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EF1" w:rsidRPr="00CD48A7" w:rsidRDefault="00B33EF1" w:rsidP="00B33EF1">
      <w:pPr>
        <w:spacing w:line="480" w:lineRule="auto"/>
      </w:pPr>
    </w:p>
    <w:p w:rsidR="00B33EF1" w:rsidRPr="00CD48A7" w:rsidRDefault="00B33EF1" w:rsidP="00B33EF1">
      <w:pPr>
        <w:spacing w:line="480" w:lineRule="auto"/>
        <w:rPr>
          <w:b/>
          <w:sz w:val="28"/>
          <w:szCs w:val="28"/>
        </w:rPr>
      </w:pPr>
      <w:r w:rsidRPr="00CD48A7">
        <w:rPr>
          <w:b/>
          <w:sz w:val="28"/>
          <w:szCs w:val="28"/>
        </w:rPr>
        <w:t>Title</w:t>
      </w:r>
    </w:p>
    <w:p w:rsidR="004D1212" w:rsidRPr="00CD48A7" w:rsidRDefault="004D1212" w:rsidP="004D1212">
      <w:pPr>
        <w:spacing w:line="480" w:lineRule="auto"/>
        <w:jc w:val="center"/>
        <w:rPr>
          <w:b/>
          <w:bCs/>
          <w:sz w:val="28"/>
          <w:szCs w:val="28"/>
        </w:rPr>
      </w:pPr>
      <w:r w:rsidRPr="00CD48A7">
        <w:rPr>
          <w:b/>
          <w:bCs/>
          <w:sz w:val="28"/>
          <w:szCs w:val="28"/>
        </w:rPr>
        <w:t>An investigation into the effect of try-in pastes, uncured and cured resin cements on the overall colour of ceramic veneer restorations.</w:t>
      </w:r>
    </w:p>
    <w:p w:rsidR="00B33EF1" w:rsidRPr="00CD48A7" w:rsidRDefault="00B33EF1" w:rsidP="00B33EF1">
      <w:pPr>
        <w:spacing w:line="480" w:lineRule="auto"/>
        <w:jc w:val="center"/>
        <w:rPr>
          <w:b/>
          <w:bCs/>
        </w:rPr>
      </w:pPr>
    </w:p>
    <w:p w:rsidR="00B33EF1" w:rsidRPr="00CD48A7" w:rsidRDefault="00B33EF1" w:rsidP="00B33EF1">
      <w:pPr>
        <w:spacing w:line="480" w:lineRule="auto"/>
        <w:rPr>
          <w:b/>
          <w:bCs/>
          <w:sz w:val="28"/>
          <w:szCs w:val="28"/>
        </w:rPr>
      </w:pPr>
      <w:r w:rsidRPr="00CD48A7">
        <w:rPr>
          <w:b/>
          <w:bCs/>
          <w:sz w:val="28"/>
          <w:szCs w:val="28"/>
        </w:rPr>
        <w:t>Short title</w:t>
      </w:r>
    </w:p>
    <w:p w:rsidR="00B33EF1" w:rsidRPr="00CD48A7" w:rsidRDefault="00B33EF1" w:rsidP="00B33EF1">
      <w:pPr>
        <w:rPr>
          <w:b/>
          <w:bCs/>
        </w:rPr>
      </w:pPr>
      <w:r w:rsidRPr="00CD48A7">
        <w:rPr>
          <w:b/>
          <w:bCs/>
        </w:rPr>
        <w:t>The effect of resin cement on ceramic veneer colour.</w:t>
      </w:r>
    </w:p>
    <w:p w:rsidR="00B33EF1" w:rsidRPr="00CD48A7" w:rsidRDefault="00B33EF1" w:rsidP="00B33EF1">
      <w:pPr>
        <w:rPr>
          <w:b/>
          <w:bCs/>
        </w:rPr>
      </w:pPr>
    </w:p>
    <w:p w:rsidR="00B33EF1" w:rsidRPr="00CD48A7" w:rsidRDefault="00B33EF1" w:rsidP="00B33EF1">
      <w:pPr>
        <w:rPr>
          <w:b/>
          <w:bCs/>
        </w:rPr>
      </w:pPr>
    </w:p>
    <w:p w:rsidR="00B33EF1" w:rsidRPr="00CD48A7" w:rsidRDefault="00B33EF1" w:rsidP="00B33EF1">
      <w:pPr>
        <w:spacing w:line="480" w:lineRule="auto"/>
        <w:rPr>
          <w:b/>
          <w:sz w:val="28"/>
          <w:szCs w:val="28"/>
        </w:rPr>
      </w:pPr>
      <w:r w:rsidRPr="00CD48A7">
        <w:rPr>
          <w:b/>
          <w:sz w:val="28"/>
          <w:szCs w:val="28"/>
        </w:rPr>
        <w:t>Authors</w:t>
      </w:r>
    </w:p>
    <w:p w:rsidR="00B33EF1" w:rsidRPr="00CD48A7" w:rsidRDefault="00B33EF1" w:rsidP="00B33EF1">
      <w:pPr>
        <w:spacing w:line="480" w:lineRule="auto"/>
        <w:rPr>
          <w:b/>
        </w:rPr>
      </w:pPr>
      <w:r w:rsidRPr="00CD48A7">
        <w:rPr>
          <w:b/>
        </w:rPr>
        <w:t xml:space="preserve">Nabiel ALGhazali, Jan Laukner, </w:t>
      </w:r>
      <w:r w:rsidR="004D1212" w:rsidRPr="00CD48A7">
        <w:rPr>
          <w:b/>
        </w:rPr>
        <w:t xml:space="preserve">Girvan Burnside, </w:t>
      </w:r>
      <w:r w:rsidRPr="00CD48A7">
        <w:rPr>
          <w:b/>
        </w:rPr>
        <w:t>Fadi Jarad, Phil Smith, Antony Preston</w:t>
      </w:r>
    </w:p>
    <w:p w:rsidR="00B33EF1" w:rsidRPr="00CD48A7" w:rsidRDefault="00B33EF1" w:rsidP="00B33EF1">
      <w:pPr>
        <w:spacing w:line="480" w:lineRule="auto"/>
      </w:pPr>
      <w:r w:rsidRPr="00CD48A7">
        <w:t>School of Dental Sciences, University of Liverpool, United Kingdom.</w:t>
      </w:r>
    </w:p>
    <w:p w:rsidR="00B33EF1" w:rsidRPr="00CD48A7" w:rsidRDefault="00B33EF1" w:rsidP="00B33EF1">
      <w:pPr>
        <w:spacing w:line="480" w:lineRule="auto"/>
      </w:pPr>
    </w:p>
    <w:p w:rsidR="00B33EF1" w:rsidRPr="00CD48A7" w:rsidRDefault="00B33EF1" w:rsidP="00B33EF1">
      <w:pPr>
        <w:pStyle w:val="western"/>
        <w:spacing w:line="480" w:lineRule="auto"/>
        <w:rPr>
          <w:b/>
          <w:sz w:val="28"/>
          <w:szCs w:val="28"/>
        </w:rPr>
      </w:pPr>
      <w:r w:rsidRPr="00CD48A7">
        <w:rPr>
          <w:b/>
          <w:sz w:val="28"/>
          <w:szCs w:val="28"/>
        </w:rPr>
        <w:t>Corresponding Author:</w:t>
      </w:r>
    </w:p>
    <w:p w:rsidR="00B33EF1" w:rsidRPr="00CD48A7" w:rsidRDefault="00B33EF1" w:rsidP="00B33EF1">
      <w:pPr>
        <w:pStyle w:val="western"/>
        <w:spacing w:line="480" w:lineRule="auto"/>
        <w:rPr>
          <w:b/>
        </w:rPr>
      </w:pPr>
      <w:r w:rsidRPr="00CD48A7">
        <w:rPr>
          <w:b/>
        </w:rPr>
        <w:t>Nabiel ALGhazali</w:t>
      </w:r>
    </w:p>
    <w:p w:rsidR="00B33EF1" w:rsidRPr="00CD48A7" w:rsidRDefault="00B33EF1" w:rsidP="00B33EF1">
      <w:pPr>
        <w:pStyle w:val="western"/>
        <w:spacing w:line="480" w:lineRule="auto"/>
      </w:pPr>
      <w:r w:rsidRPr="00CD48A7">
        <w:t>Edward Building, Dept of Dental Studies</w:t>
      </w:r>
    </w:p>
    <w:p w:rsidR="00B33EF1" w:rsidRPr="00CD48A7" w:rsidRDefault="00B33EF1" w:rsidP="00B33EF1">
      <w:pPr>
        <w:pStyle w:val="western"/>
        <w:spacing w:line="480" w:lineRule="auto"/>
      </w:pPr>
      <w:r w:rsidRPr="00CD48A7">
        <w:t>The Liverpool Dental Hospital</w:t>
      </w:r>
    </w:p>
    <w:p w:rsidR="00B33EF1" w:rsidRPr="00CD48A7" w:rsidRDefault="00B33EF1" w:rsidP="00B33EF1">
      <w:pPr>
        <w:pStyle w:val="western"/>
        <w:spacing w:line="480" w:lineRule="auto"/>
      </w:pPr>
      <w:r w:rsidRPr="00CD48A7">
        <w:t>Pembroke Place</w:t>
      </w:r>
    </w:p>
    <w:p w:rsidR="00B33EF1" w:rsidRPr="00CD48A7" w:rsidRDefault="00B33EF1" w:rsidP="00B33EF1">
      <w:pPr>
        <w:pStyle w:val="western"/>
        <w:spacing w:line="480" w:lineRule="auto"/>
      </w:pPr>
      <w:r w:rsidRPr="00CD48A7">
        <w:t>Liverpool L3 5PS</w:t>
      </w:r>
    </w:p>
    <w:p w:rsidR="00B33EF1" w:rsidRPr="00CD48A7" w:rsidRDefault="00B33EF1" w:rsidP="00B33EF1">
      <w:pPr>
        <w:pStyle w:val="western"/>
        <w:spacing w:line="480" w:lineRule="auto"/>
      </w:pPr>
      <w:r w:rsidRPr="00CD48A7">
        <w:t>Telephone: 0151 7065256</w:t>
      </w:r>
    </w:p>
    <w:p w:rsidR="00B33EF1" w:rsidRPr="00CD48A7" w:rsidRDefault="00B33EF1" w:rsidP="00B33EF1">
      <w:pPr>
        <w:pStyle w:val="western"/>
        <w:spacing w:line="480" w:lineRule="auto"/>
      </w:pPr>
      <w:r w:rsidRPr="00CD48A7">
        <w:t xml:space="preserve">E-mail       : nabeel_gza@hotmail.com </w:t>
      </w:r>
    </w:p>
    <w:p w:rsidR="00B33EF1" w:rsidRPr="00CD48A7" w:rsidRDefault="00B33EF1" w:rsidP="00B33EF1">
      <w:pPr>
        <w:pStyle w:val="western"/>
        <w:spacing w:line="480" w:lineRule="auto"/>
      </w:pPr>
    </w:p>
    <w:p w:rsidR="00B33EF1" w:rsidRPr="00CD48A7" w:rsidRDefault="00B33EF1" w:rsidP="00B33EF1">
      <w:pPr>
        <w:spacing w:line="480" w:lineRule="auto"/>
      </w:pPr>
      <w:r w:rsidRPr="00CD48A7">
        <w:rPr>
          <w:b/>
          <w:sz w:val="28"/>
          <w:szCs w:val="28"/>
        </w:rPr>
        <w:t>Keywords</w:t>
      </w:r>
      <w:r w:rsidRPr="00CD48A7">
        <w:t>: Colour difference, resin cement, ceramic veneers.</w:t>
      </w:r>
    </w:p>
    <w:p w:rsidR="00B33EF1" w:rsidRPr="00CD48A7" w:rsidRDefault="00B33EF1" w:rsidP="00B33EF1">
      <w:pPr>
        <w:rPr>
          <w:b/>
          <w:bCs/>
        </w:rPr>
      </w:pPr>
    </w:p>
    <w:p w:rsidR="00B33EF1" w:rsidRPr="00CD48A7" w:rsidRDefault="00B33EF1" w:rsidP="00B33EF1">
      <w:pPr>
        <w:rPr>
          <w:b/>
          <w:bCs/>
        </w:rPr>
      </w:pPr>
    </w:p>
    <w:p w:rsidR="00B33EF1" w:rsidRPr="00CD48A7" w:rsidRDefault="00B33EF1" w:rsidP="00B33EF1">
      <w:pPr>
        <w:rPr>
          <w:b/>
          <w:bCs/>
        </w:rPr>
      </w:pPr>
    </w:p>
    <w:p w:rsidR="00B33EF1" w:rsidRPr="00CD48A7" w:rsidRDefault="00B33EF1" w:rsidP="00B33EF1">
      <w:pPr>
        <w:rPr>
          <w:b/>
          <w:bCs/>
          <w:sz w:val="28"/>
          <w:szCs w:val="28"/>
        </w:rPr>
      </w:pPr>
    </w:p>
    <w:p w:rsidR="00B33EF1" w:rsidRPr="00CD48A7" w:rsidRDefault="00B33EF1" w:rsidP="00B33EF1">
      <w:pPr>
        <w:rPr>
          <w:b/>
          <w:bCs/>
          <w:sz w:val="28"/>
          <w:szCs w:val="28"/>
        </w:rPr>
      </w:pPr>
    </w:p>
    <w:p w:rsidR="004D1212" w:rsidRPr="00CD48A7" w:rsidRDefault="004D1212" w:rsidP="004D1212">
      <w:pPr>
        <w:spacing w:line="480" w:lineRule="auto"/>
        <w:jc w:val="center"/>
        <w:rPr>
          <w:b/>
          <w:bCs/>
          <w:sz w:val="28"/>
          <w:szCs w:val="28"/>
        </w:rPr>
      </w:pPr>
      <w:r w:rsidRPr="00CD48A7">
        <w:rPr>
          <w:b/>
          <w:bCs/>
          <w:sz w:val="28"/>
          <w:szCs w:val="28"/>
        </w:rPr>
        <w:lastRenderedPageBreak/>
        <w:t>An investigation into the effect of try-in pastes, uncured and cured resin cements on the overall colour of ceramic veneer restorations.</w:t>
      </w:r>
    </w:p>
    <w:p w:rsidR="00B33EF1" w:rsidRPr="00CD48A7" w:rsidRDefault="00B33EF1" w:rsidP="00B33EF1">
      <w:pPr>
        <w:spacing w:line="480" w:lineRule="auto"/>
      </w:pPr>
    </w:p>
    <w:p w:rsidR="00B33EF1" w:rsidRPr="00CD48A7" w:rsidRDefault="00B33EF1" w:rsidP="00B33EF1">
      <w:pPr>
        <w:spacing w:line="480" w:lineRule="auto"/>
        <w:rPr>
          <w:b/>
          <w:bCs/>
          <w:sz w:val="28"/>
          <w:szCs w:val="28"/>
        </w:rPr>
      </w:pPr>
      <w:r w:rsidRPr="00CD48A7">
        <w:rPr>
          <w:b/>
          <w:bCs/>
          <w:sz w:val="28"/>
          <w:szCs w:val="28"/>
        </w:rPr>
        <w:t>Abstract</w:t>
      </w:r>
    </w:p>
    <w:p w:rsidR="00B33EF1" w:rsidRPr="00CD48A7" w:rsidRDefault="00B33EF1" w:rsidP="00B33EF1">
      <w:pPr>
        <w:spacing w:line="480" w:lineRule="auto"/>
        <w:rPr>
          <w:b/>
          <w:bCs/>
        </w:rPr>
      </w:pPr>
      <w:r w:rsidRPr="00CD48A7">
        <w:rPr>
          <w:b/>
          <w:bCs/>
        </w:rPr>
        <w:t>Objectives</w:t>
      </w:r>
    </w:p>
    <w:p w:rsidR="00B33EF1" w:rsidRPr="00CD48A7" w:rsidRDefault="00B33EF1" w:rsidP="004D1212">
      <w:pPr>
        <w:autoSpaceDE w:val="0"/>
        <w:autoSpaceDN w:val="0"/>
        <w:adjustRightInd w:val="0"/>
        <w:spacing w:line="480" w:lineRule="auto"/>
      </w:pPr>
      <w:r w:rsidRPr="00CD48A7">
        <w:rPr>
          <w:b/>
          <w:bCs/>
        </w:rPr>
        <w:t xml:space="preserve"> </w:t>
      </w:r>
      <w:r w:rsidR="004D1212" w:rsidRPr="00CD48A7">
        <w:t xml:space="preserve">The aim of this study was to assess </w:t>
      </w:r>
      <w:r w:rsidR="004D1212" w:rsidRPr="00CD48A7">
        <w:rPr>
          <w:bCs/>
        </w:rPr>
        <w:t>how different shades of try-in pastes</w:t>
      </w:r>
      <w:r w:rsidR="002C4A1C" w:rsidRPr="00CD48A7">
        <w:rPr>
          <w:bCs/>
        </w:rPr>
        <w:t>,</w:t>
      </w:r>
      <w:r w:rsidR="004D1212" w:rsidRPr="00CD48A7">
        <w:rPr>
          <w:bCs/>
        </w:rPr>
        <w:t xml:space="preserve"> uncured and cured resin cements influence the </w:t>
      </w:r>
      <w:r w:rsidR="004D1212" w:rsidRPr="00CD48A7">
        <w:t>overall colour of porcelain veneer restorations</w:t>
      </w:r>
      <w:r w:rsidR="004D1212" w:rsidRPr="00CD48A7">
        <w:rPr>
          <w:sz w:val="28"/>
          <w:szCs w:val="28"/>
        </w:rPr>
        <w:t>.</w:t>
      </w:r>
    </w:p>
    <w:p w:rsidR="00B33EF1" w:rsidRPr="00CD48A7" w:rsidRDefault="00B33EF1" w:rsidP="00B33EF1">
      <w:pPr>
        <w:spacing w:line="480" w:lineRule="auto"/>
        <w:rPr>
          <w:b/>
          <w:bCs/>
        </w:rPr>
      </w:pPr>
      <w:r w:rsidRPr="00CD48A7">
        <w:rPr>
          <w:b/>
          <w:bCs/>
        </w:rPr>
        <w:t>Methods</w:t>
      </w:r>
    </w:p>
    <w:p w:rsidR="00B33EF1" w:rsidRPr="00CD48A7" w:rsidRDefault="00B33EF1" w:rsidP="00B33EF1">
      <w:pPr>
        <w:spacing w:line="480" w:lineRule="auto"/>
        <w:rPr>
          <w:bCs/>
        </w:rPr>
      </w:pPr>
      <w:r w:rsidRPr="00CD48A7">
        <w:rPr>
          <w:bCs/>
        </w:rPr>
        <w:t xml:space="preserve"> Porcelain veneers of shade Vita 1M1 VM7 and 1mm thick were applied to bovine teeth using 3 shades of resin cement and their try-in paste produced by 3 manufacturers. Analysis of variance was carried out on the colour difference values (ΔE*) between the Aquagel and both the try-in paste and cured resins. An assessment of the clinical significance of ΔE* between the try-in paste and the cured resin and also between the uncured and cured resin was made.</w:t>
      </w:r>
    </w:p>
    <w:p w:rsidR="00B33EF1" w:rsidRPr="00CD48A7" w:rsidRDefault="00B33EF1" w:rsidP="00B33EF1">
      <w:pPr>
        <w:spacing w:line="480" w:lineRule="auto"/>
        <w:rPr>
          <w:b/>
          <w:bCs/>
        </w:rPr>
      </w:pPr>
      <w:r w:rsidRPr="00CD48A7">
        <w:rPr>
          <w:b/>
          <w:bCs/>
        </w:rPr>
        <w:t>Results</w:t>
      </w:r>
    </w:p>
    <w:p w:rsidR="00B33EF1" w:rsidRPr="00CD48A7" w:rsidRDefault="00B33EF1" w:rsidP="00B33EF1">
      <w:pPr>
        <w:spacing w:line="480" w:lineRule="auto"/>
      </w:pPr>
      <w:r w:rsidRPr="00CD48A7">
        <w:rPr>
          <w:bCs/>
        </w:rPr>
        <w:t xml:space="preserve"> There were statistically significant differences in veneers’ colours when using different shades of both Calibra and Nexus resin cements (p&lt;0.05). Also, statistically significant differences were noticed when using different shades of </w:t>
      </w:r>
      <w:r w:rsidRPr="00CD48A7">
        <w:t>both Rely-X and Nexus try-in pastes (p&lt;0.05). Colour differences produced between the try-in pastes and the corresponding shades of cured resin cements was perceptible with some of these differences were clinically unacceptable (ΔE* 1.05 – 3.34). The colour differences between uncured and cured resins of the same shade were around the perceptibility threshold (ΔE* 0.78 – 1.41).</w:t>
      </w:r>
    </w:p>
    <w:p w:rsidR="00B33EF1" w:rsidRPr="00CD48A7" w:rsidRDefault="00B33EF1" w:rsidP="00B33EF1">
      <w:pPr>
        <w:spacing w:line="480" w:lineRule="auto"/>
        <w:rPr>
          <w:b/>
        </w:rPr>
      </w:pPr>
      <w:r w:rsidRPr="00CD48A7">
        <w:rPr>
          <w:b/>
        </w:rPr>
        <w:t>Conclusions</w:t>
      </w:r>
    </w:p>
    <w:p w:rsidR="00B33EF1" w:rsidRPr="00CD48A7" w:rsidRDefault="00B33EF1" w:rsidP="00B33EF1">
      <w:pPr>
        <w:spacing w:line="480" w:lineRule="auto"/>
      </w:pPr>
      <w:r w:rsidRPr="00CD48A7">
        <w:t xml:space="preserve"> Different coloured try-in pastes and resin cements produce colour changes which may be clinically useful in changing the colour of veneer restorations and therefore aid colour matching to the adjacent dentition. The colour match achieved by the try-in paste should be </w:t>
      </w:r>
      <w:r w:rsidRPr="00CD48A7">
        <w:lastRenderedPageBreak/>
        <w:t>treated with caution and further assessment of the restoration should be made with the resin in place before curing.</w:t>
      </w:r>
    </w:p>
    <w:p w:rsidR="00B33EF1" w:rsidRPr="00CD48A7" w:rsidRDefault="00B33EF1" w:rsidP="00B33EF1">
      <w:pPr>
        <w:spacing w:line="480" w:lineRule="auto"/>
      </w:pPr>
    </w:p>
    <w:p w:rsidR="00B33EF1" w:rsidRPr="00CD48A7" w:rsidRDefault="00B33EF1" w:rsidP="00B33EF1">
      <w:pPr>
        <w:spacing w:line="480" w:lineRule="auto"/>
      </w:pPr>
      <w:r w:rsidRPr="00CD48A7">
        <w:rPr>
          <w:b/>
          <w:sz w:val="28"/>
          <w:szCs w:val="28"/>
        </w:rPr>
        <w:t>Keywords</w:t>
      </w:r>
      <w:r w:rsidRPr="00CD48A7">
        <w:t>: Colour difference, resin cement, ceramic veneers.</w:t>
      </w:r>
    </w:p>
    <w:p w:rsidR="00B33EF1" w:rsidRPr="00CD48A7" w:rsidRDefault="00B33EF1" w:rsidP="00B33EF1">
      <w:pPr>
        <w:spacing w:line="480" w:lineRule="auto"/>
        <w:rPr>
          <w:b/>
        </w:rPr>
      </w:pPr>
      <w:r w:rsidRPr="00CD48A7">
        <w:rPr>
          <w:b/>
        </w:rPr>
        <w:t>Article Outline</w:t>
      </w:r>
    </w:p>
    <w:p w:rsidR="00B33EF1" w:rsidRPr="00CD48A7" w:rsidRDefault="00B33EF1" w:rsidP="00B33EF1">
      <w:pPr>
        <w:pStyle w:val="ListParagraph"/>
        <w:numPr>
          <w:ilvl w:val="0"/>
          <w:numId w:val="21"/>
        </w:numPr>
        <w:spacing w:after="200" w:line="480" w:lineRule="auto"/>
      </w:pPr>
      <w:r w:rsidRPr="00CD48A7">
        <w:t>Introduction</w:t>
      </w:r>
    </w:p>
    <w:p w:rsidR="00B33EF1" w:rsidRPr="00CD48A7" w:rsidRDefault="00B33EF1" w:rsidP="00B33EF1">
      <w:pPr>
        <w:pStyle w:val="ListParagraph"/>
        <w:numPr>
          <w:ilvl w:val="0"/>
          <w:numId w:val="21"/>
        </w:numPr>
        <w:spacing w:after="200" w:line="480" w:lineRule="auto"/>
      </w:pPr>
      <w:r w:rsidRPr="00CD48A7">
        <w:t>Materials and methods</w:t>
      </w:r>
    </w:p>
    <w:p w:rsidR="00B33EF1" w:rsidRPr="00CD48A7" w:rsidRDefault="00B33EF1" w:rsidP="00B33EF1">
      <w:pPr>
        <w:pStyle w:val="ListParagraph"/>
        <w:numPr>
          <w:ilvl w:val="1"/>
          <w:numId w:val="21"/>
        </w:numPr>
        <w:spacing w:after="200" w:line="480" w:lineRule="auto"/>
      </w:pPr>
      <w:r w:rsidRPr="00CD48A7">
        <w:t>Study design</w:t>
      </w:r>
    </w:p>
    <w:p w:rsidR="00B33EF1" w:rsidRPr="00CD48A7" w:rsidRDefault="00B33EF1" w:rsidP="00B33EF1">
      <w:pPr>
        <w:pStyle w:val="ListParagraph"/>
        <w:numPr>
          <w:ilvl w:val="1"/>
          <w:numId w:val="21"/>
        </w:numPr>
        <w:spacing w:after="200" w:line="480" w:lineRule="auto"/>
      </w:pPr>
      <w:r w:rsidRPr="00CD48A7">
        <w:rPr>
          <w:bCs/>
        </w:rPr>
        <w:t>Preparation of tooth samples</w:t>
      </w:r>
    </w:p>
    <w:p w:rsidR="00B33EF1" w:rsidRPr="00CD48A7" w:rsidRDefault="00B33EF1" w:rsidP="00B33EF1">
      <w:pPr>
        <w:pStyle w:val="ListParagraph"/>
        <w:numPr>
          <w:ilvl w:val="1"/>
          <w:numId w:val="21"/>
        </w:numPr>
        <w:spacing w:after="200" w:line="480" w:lineRule="auto"/>
      </w:pPr>
      <w:r w:rsidRPr="00CD48A7">
        <w:rPr>
          <w:bCs/>
        </w:rPr>
        <w:t>Preparation of veneers</w:t>
      </w:r>
    </w:p>
    <w:p w:rsidR="00B33EF1" w:rsidRPr="00CD48A7" w:rsidRDefault="00B33EF1" w:rsidP="00B33EF1">
      <w:pPr>
        <w:pStyle w:val="ListParagraph"/>
        <w:numPr>
          <w:ilvl w:val="1"/>
          <w:numId w:val="21"/>
        </w:numPr>
        <w:spacing w:after="200" w:line="480" w:lineRule="auto"/>
      </w:pPr>
      <w:r w:rsidRPr="00CD48A7">
        <w:rPr>
          <w:bCs/>
        </w:rPr>
        <w:t>Resin cement</w:t>
      </w:r>
    </w:p>
    <w:p w:rsidR="00B33EF1" w:rsidRPr="00CD48A7" w:rsidRDefault="00B33EF1" w:rsidP="00B33EF1">
      <w:pPr>
        <w:pStyle w:val="ListParagraph"/>
        <w:numPr>
          <w:ilvl w:val="1"/>
          <w:numId w:val="21"/>
        </w:numPr>
        <w:spacing w:after="200" w:line="480" w:lineRule="auto"/>
      </w:pPr>
      <w:r w:rsidRPr="00CD48A7">
        <w:rPr>
          <w:bCs/>
        </w:rPr>
        <w:t>Bonding</w:t>
      </w:r>
    </w:p>
    <w:p w:rsidR="00B33EF1" w:rsidRPr="00CD48A7" w:rsidRDefault="00B33EF1" w:rsidP="00B33EF1">
      <w:pPr>
        <w:pStyle w:val="ListParagraph"/>
        <w:numPr>
          <w:ilvl w:val="1"/>
          <w:numId w:val="21"/>
        </w:numPr>
        <w:spacing w:after="200" w:line="480" w:lineRule="auto"/>
      </w:pPr>
      <w:r w:rsidRPr="00CD48A7">
        <w:t>Colour measurement</w:t>
      </w:r>
    </w:p>
    <w:p w:rsidR="00B33EF1" w:rsidRPr="00CD48A7" w:rsidRDefault="00B33EF1" w:rsidP="00B33EF1">
      <w:pPr>
        <w:pStyle w:val="ListParagraph"/>
        <w:numPr>
          <w:ilvl w:val="1"/>
          <w:numId w:val="21"/>
        </w:numPr>
        <w:spacing w:after="200" w:line="480" w:lineRule="auto"/>
      </w:pPr>
      <w:r w:rsidRPr="00CD48A7">
        <w:t>Data analysis</w:t>
      </w:r>
    </w:p>
    <w:p w:rsidR="00B33EF1" w:rsidRPr="00CD48A7" w:rsidRDefault="00B33EF1" w:rsidP="00B33EF1">
      <w:pPr>
        <w:pStyle w:val="ListParagraph"/>
        <w:numPr>
          <w:ilvl w:val="0"/>
          <w:numId w:val="21"/>
        </w:numPr>
        <w:spacing w:after="200" w:line="480" w:lineRule="auto"/>
      </w:pPr>
      <w:r w:rsidRPr="00CD48A7">
        <w:t xml:space="preserve">Results </w:t>
      </w:r>
    </w:p>
    <w:p w:rsidR="00B33EF1" w:rsidRPr="00CD48A7" w:rsidRDefault="00B33EF1" w:rsidP="00B33EF1">
      <w:pPr>
        <w:pStyle w:val="ListParagraph"/>
        <w:numPr>
          <w:ilvl w:val="1"/>
          <w:numId w:val="21"/>
        </w:numPr>
        <w:spacing w:after="200" w:line="480" w:lineRule="auto"/>
      </w:pPr>
      <w:r w:rsidRPr="00CD48A7">
        <w:t>Final restoration</w:t>
      </w:r>
    </w:p>
    <w:p w:rsidR="00B33EF1" w:rsidRPr="00CD48A7" w:rsidRDefault="00B33EF1" w:rsidP="00B33EF1">
      <w:pPr>
        <w:pStyle w:val="ListParagraph"/>
        <w:numPr>
          <w:ilvl w:val="1"/>
          <w:numId w:val="21"/>
        </w:numPr>
        <w:spacing w:after="200" w:line="480" w:lineRule="auto"/>
      </w:pPr>
      <w:r w:rsidRPr="00CD48A7">
        <w:t>Try-in pastes</w:t>
      </w:r>
    </w:p>
    <w:p w:rsidR="00B33EF1" w:rsidRPr="00CD48A7" w:rsidRDefault="00B33EF1" w:rsidP="00B33EF1">
      <w:pPr>
        <w:pStyle w:val="ListParagraph"/>
        <w:numPr>
          <w:ilvl w:val="1"/>
          <w:numId w:val="21"/>
        </w:numPr>
        <w:spacing w:after="200" w:line="480" w:lineRule="auto"/>
      </w:pPr>
      <w:r w:rsidRPr="00CD48A7">
        <w:t>Try-in paste and same shade of cured resin</w:t>
      </w:r>
    </w:p>
    <w:p w:rsidR="00B33EF1" w:rsidRPr="00CD48A7" w:rsidRDefault="00B33EF1" w:rsidP="00B33EF1">
      <w:pPr>
        <w:pStyle w:val="ListParagraph"/>
        <w:numPr>
          <w:ilvl w:val="1"/>
          <w:numId w:val="21"/>
        </w:numPr>
        <w:spacing w:after="200" w:line="480" w:lineRule="auto"/>
      </w:pPr>
      <w:r w:rsidRPr="00CD48A7">
        <w:t xml:space="preserve">Uncured and cured resin cement </w:t>
      </w:r>
    </w:p>
    <w:p w:rsidR="00B33EF1" w:rsidRPr="00CD48A7" w:rsidRDefault="00B33EF1" w:rsidP="00B33EF1">
      <w:pPr>
        <w:pStyle w:val="ListParagraph"/>
        <w:numPr>
          <w:ilvl w:val="0"/>
          <w:numId w:val="21"/>
        </w:numPr>
        <w:spacing w:after="200" w:line="480" w:lineRule="auto"/>
      </w:pPr>
      <w:r w:rsidRPr="00CD48A7">
        <w:t>Discussion</w:t>
      </w:r>
    </w:p>
    <w:p w:rsidR="00B33EF1" w:rsidRPr="00CD48A7" w:rsidRDefault="00B33EF1" w:rsidP="00B33EF1">
      <w:pPr>
        <w:pStyle w:val="ListParagraph"/>
        <w:numPr>
          <w:ilvl w:val="0"/>
          <w:numId w:val="21"/>
        </w:numPr>
        <w:spacing w:after="200" w:line="480" w:lineRule="auto"/>
      </w:pPr>
      <w:r w:rsidRPr="00CD48A7">
        <w:t>Conclusion</w:t>
      </w:r>
    </w:p>
    <w:p w:rsidR="00B33EF1" w:rsidRPr="00CD48A7" w:rsidRDefault="00B33EF1" w:rsidP="00B33EF1">
      <w:pPr>
        <w:spacing w:line="480" w:lineRule="auto"/>
        <w:ind w:left="360"/>
      </w:pPr>
      <w:r w:rsidRPr="00CD48A7">
        <w:t>Acknowledgment</w:t>
      </w:r>
    </w:p>
    <w:p w:rsidR="00B33EF1" w:rsidRPr="00CD48A7" w:rsidRDefault="00B33EF1" w:rsidP="00B33EF1">
      <w:pPr>
        <w:spacing w:line="480" w:lineRule="auto"/>
        <w:ind w:left="360"/>
      </w:pPr>
      <w:r w:rsidRPr="00CD48A7">
        <w:t>References</w:t>
      </w:r>
    </w:p>
    <w:p w:rsidR="00B33EF1" w:rsidRPr="00CD48A7" w:rsidRDefault="00B33EF1" w:rsidP="00B33EF1">
      <w:pPr>
        <w:spacing w:line="480" w:lineRule="auto"/>
        <w:ind w:left="360"/>
      </w:pPr>
      <w:r w:rsidRPr="00CD48A7">
        <w:t xml:space="preserve">Tables and Legends to Illustrations </w:t>
      </w:r>
    </w:p>
    <w:p w:rsidR="00B33EF1" w:rsidRPr="00CD48A7" w:rsidRDefault="00B33EF1" w:rsidP="00B33EF1">
      <w:pPr>
        <w:spacing w:line="480" w:lineRule="auto"/>
        <w:ind w:left="360"/>
      </w:pPr>
    </w:p>
    <w:p w:rsidR="00B33EF1" w:rsidRPr="00CD48A7" w:rsidRDefault="00B33EF1" w:rsidP="00B33EF1">
      <w:pPr>
        <w:spacing w:line="480" w:lineRule="auto"/>
        <w:ind w:left="360"/>
      </w:pPr>
    </w:p>
    <w:p w:rsidR="00F07AFE" w:rsidRPr="00CD48A7" w:rsidRDefault="00F07AFE" w:rsidP="00F07AFE">
      <w:pPr>
        <w:spacing w:line="480" w:lineRule="auto"/>
        <w:jc w:val="center"/>
        <w:rPr>
          <w:b/>
          <w:bCs/>
          <w:sz w:val="28"/>
          <w:szCs w:val="28"/>
        </w:rPr>
      </w:pPr>
      <w:r w:rsidRPr="00CD48A7">
        <w:rPr>
          <w:b/>
          <w:bCs/>
          <w:sz w:val="28"/>
          <w:szCs w:val="28"/>
        </w:rPr>
        <w:t>An investigation into the effect of try-in pastes, uncured and cured resin cements on the overall colour of ceramic veneer restorations.</w:t>
      </w:r>
    </w:p>
    <w:p w:rsidR="00F07AFE" w:rsidRPr="00CD48A7" w:rsidRDefault="00F07AFE" w:rsidP="00F07AFE">
      <w:pPr>
        <w:spacing w:line="480" w:lineRule="auto"/>
        <w:ind w:left="360"/>
        <w:rPr>
          <w:b/>
          <w:bCs/>
          <w:sz w:val="28"/>
          <w:szCs w:val="28"/>
        </w:rPr>
      </w:pPr>
      <w:r w:rsidRPr="00CD48A7">
        <w:rPr>
          <w:b/>
          <w:bCs/>
          <w:sz w:val="28"/>
          <w:szCs w:val="28"/>
        </w:rPr>
        <w:t>1.                Introduction.</w:t>
      </w:r>
    </w:p>
    <w:p w:rsidR="00F07AFE" w:rsidRPr="00CD48A7" w:rsidRDefault="00F07AFE" w:rsidP="00F07AFE">
      <w:pPr>
        <w:spacing w:line="480" w:lineRule="auto"/>
      </w:pPr>
      <w:r w:rsidRPr="00CD48A7">
        <w:t>It is well established that dental appearance is of importance to patients and may have a significant effect on psychological parameters such as self esteem</w:t>
      </w:r>
      <w:r w:rsidRPr="00CD48A7">
        <w:rPr>
          <w:vertAlign w:val="superscript"/>
        </w:rPr>
        <w:t>1, 2, 3</w:t>
      </w:r>
      <w:r w:rsidRPr="00CD48A7">
        <w:t>. It is also the case that patients are now better informed of the options for improving the aesthetics of their teeth</w:t>
      </w:r>
      <w:r w:rsidRPr="00CD48A7">
        <w:rPr>
          <w:vertAlign w:val="superscript"/>
        </w:rPr>
        <w:t>1, 2</w:t>
      </w:r>
      <w:r w:rsidRPr="00CD48A7">
        <w:t>.</w:t>
      </w:r>
    </w:p>
    <w:p w:rsidR="00F07AFE" w:rsidRPr="00CD48A7" w:rsidRDefault="00F07AFE" w:rsidP="00F07AFE">
      <w:pPr>
        <w:autoSpaceDE w:val="0"/>
        <w:autoSpaceDN w:val="0"/>
        <w:adjustRightInd w:val="0"/>
        <w:spacing w:line="480" w:lineRule="auto"/>
      </w:pPr>
      <w:r w:rsidRPr="00CD48A7">
        <w:t xml:space="preserve">One option for aesthetic restoration of anterior teeth is the use of veneers which are applied to the labial surfaces of anterior teeth. The materials and methods used to achieve veneering include preformed and laboratory-fabricated acrylic veneers, direct and indirect composite resins, and all-ceramic veneers </w:t>
      </w:r>
      <w:r w:rsidRPr="00CD48A7">
        <w:rPr>
          <w:vertAlign w:val="superscript"/>
        </w:rPr>
        <w:t>4</w:t>
      </w:r>
      <w:r w:rsidRPr="00CD48A7">
        <w:t xml:space="preserve">. Moreover, using porcelain veneers and other all-ceramic restorations to correct discoloured or malformed anterior teeth has become a popular and standard procedure in aesthetic dentistry </w:t>
      </w:r>
      <w:r w:rsidRPr="00CD48A7">
        <w:rPr>
          <w:vertAlign w:val="superscript"/>
        </w:rPr>
        <w:t>5</w:t>
      </w:r>
      <w:r w:rsidRPr="00CD48A7">
        <w:t xml:space="preserve">. </w:t>
      </w:r>
      <w:r w:rsidRPr="00CD48A7">
        <w:rPr>
          <w:vertAlign w:val="superscript"/>
        </w:rPr>
        <w:t xml:space="preserve"> </w:t>
      </w:r>
      <w:r w:rsidRPr="00CD48A7">
        <w:t>Ninety one per cent of practitioners in a survey identified veneers as an ethical choice to treat aesthetic problems</w:t>
      </w:r>
      <w:r w:rsidRPr="00CD48A7">
        <w:rPr>
          <w:vertAlign w:val="superscript"/>
        </w:rPr>
        <w:t>6</w:t>
      </w:r>
      <w:r w:rsidRPr="00CD48A7">
        <w:t>.</w:t>
      </w:r>
    </w:p>
    <w:p w:rsidR="00F07AFE" w:rsidRPr="00CD48A7" w:rsidRDefault="00F07AFE" w:rsidP="00F07AFE">
      <w:pPr>
        <w:spacing w:line="480" w:lineRule="auto"/>
      </w:pPr>
      <w:r w:rsidRPr="00CD48A7">
        <w:t>Guidelines produced by the Royal College of Surgeons of England describe a number of situations where the use of porcelain veneers is indicated</w:t>
      </w:r>
      <w:r w:rsidRPr="00CD48A7">
        <w:rPr>
          <w:vertAlign w:val="superscript"/>
        </w:rPr>
        <w:t xml:space="preserve"> 7</w:t>
      </w:r>
      <w:r w:rsidRPr="00CD48A7">
        <w:t>. Typically, ceramic veneers are used to alter the colour or shape of anterior teeth such as discoloured or hypoplastic teeth, fractured incisors or teeth where the morphology or alignment is causing poor aesthetics.</w:t>
      </w:r>
    </w:p>
    <w:p w:rsidR="00F07AFE" w:rsidRPr="00CD48A7" w:rsidRDefault="00F07AFE" w:rsidP="00F07AFE">
      <w:pPr>
        <w:spacing w:line="480" w:lineRule="auto"/>
      </w:pPr>
      <w:r w:rsidRPr="00CD48A7">
        <w:t>Preparations for ceramic veneers, which are typically very conservative, allow the preparation to remain within enamel</w:t>
      </w:r>
      <w:r w:rsidRPr="00CD48A7">
        <w:rPr>
          <w:vertAlign w:val="superscript"/>
        </w:rPr>
        <w:t xml:space="preserve"> 8</w:t>
      </w:r>
      <w:r w:rsidRPr="00CD48A7">
        <w:t xml:space="preserve">. This reduces the risk of pulpal injury and gives a more predictable adhesion than when bonding to dentine </w:t>
      </w:r>
      <w:r w:rsidRPr="00CD48A7">
        <w:rPr>
          <w:vertAlign w:val="superscript"/>
        </w:rPr>
        <w:t>9, 10</w:t>
      </w:r>
      <w:r w:rsidRPr="00CD48A7">
        <w:t>.</w:t>
      </w:r>
      <w:r w:rsidRPr="00CD48A7">
        <w:rPr>
          <w:vertAlign w:val="superscript"/>
        </w:rPr>
        <w:t xml:space="preserve"> </w:t>
      </w:r>
    </w:p>
    <w:p w:rsidR="00F07AFE" w:rsidRPr="00CD48A7" w:rsidRDefault="00F07AFE" w:rsidP="00F07AFE">
      <w:pPr>
        <w:spacing w:line="480" w:lineRule="auto"/>
      </w:pPr>
      <w:r w:rsidRPr="00CD48A7">
        <w:t>A significant component of the aesthetic value is the colour match of any restoration to the existing dentition. This should preferably be carried out prior to any tooth preparation and potential drying of adjacent teeth which will alter their colour</w:t>
      </w:r>
      <w:r w:rsidRPr="00CD48A7">
        <w:rPr>
          <w:vertAlign w:val="superscript"/>
        </w:rPr>
        <w:t xml:space="preserve"> 11</w:t>
      </w:r>
      <w:r w:rsidRPr="00CD48A7">
        <w:t>. The shade is then chosen to visually match a shade guide such as the Vita Lumin shade guide tab system (Vita, Zahnfabrik, Bad Sackigen, Germany) and the porcelain veneer is then produced to match the prescribed shade. It is preferable to involve the patient in the shade selection process. The veneer that is produced in this preparation is ideally thin and translucent so as to avoid an opaque, “lifeless” appearance</w:t>
      </w:r>
      <w:r w:rsidRPr="00CD48A7">
        <w:rPr>
          <w:vertAlign w:val="superscript"/>
        </w:rPr>
        <w:t xml:space="preserve"> 12</w:t>
      </w:r>
      <w:r w:rsidRPr="00CD48A7">
        <w:t>.</w:t>
      </w:r>
    </w:p>
    <w:p w:rsidR="00F07AFE" w:rsidRPr="00CD48A7" w:rsidRDefault="00F07AFE" w:rsidP="00F07AFE">
      <w:pPr>
        <w:pStyle w:val="NormalWeb"/>
        <w:spacing w:line="480" w:lineRule="auto"/>
        <w:rPr>
          <w:color w:val="auto"/>
        </w:rPr>
      </w:pPr>
      <w:r w:rsidRPr="00CD48A7">
        <w:rPr>
          <w:color w:val="auto"/>
        </w:rPr>
        <w:t>Resin cements are the adhesive of choice for veneers as they have a favourable fracture load, good longevity and satisfactory clinical performance</w:t>
      </w:r>
      <w:r w:rsidRPr="00CD48A7">
        <w:rPr>
          <w:color w:val="auto"/>
          <w:vertAlign w:val="superscript"/>
        </w:rPr>
        <w:t xml:space="preserve"> 13</w:t>
      </w:r>
      <w:r w:rsidRPr="00CD48A7">
        <w:rPr>
          <w:color w:val="auto"/>
        </w:rPr>
        <w:t>. The resin adhesive is used in a thin layer, as increased thickness may also produce a lifeless aesthetic result</w:t>
      </w:r>
      <w:r w:rsidRPr="00CD48A7">
        <w:rPr>
          <w:color w:val="auto"/>
          <w:vertAlign w:val="superscript"/>
        </w:rPr>
        <w:t xml:space="preserve"> 8</w:t>
      </w:r>
      <w:r w:rsidRPr="00CD48A7">
        <w:rPr>
          <w:color w:val="auto"/>
        </w:rPr>
        <w:t xml:space="preserve">. Resins are produced by several manufacturers and are produced in different shades (Calibra is produced in light, medium, dark, opaque and transparent shades. Nexus Universal Luting system is produced with light, dark and neutral shades. RelyX- Unicem Veneer cement is produced with </w:t>
      </w:r>
      <w:r w:rsidRPr="00CD48A7">
        <w:rPr>
          <w:rStyle w:val="A13"/>
          <w:color w:val="auto"/>
        </w:rPr>
        <w:t>Translucent, Opaque/Yellow Opaque, White Opaque, A5 Opaque/Dark, A1/Light Yellow, and B0.5/White).</w:t>
      </w:r>
    </w:p>
    <w:p w:rsidR="00F07AFE" w:rsidRPr="00CD48A7" w:rsidRDefault="00F07AFE" w:rsidP="00F07AFE">
      <w:pPr>
        <w:pStyle w:val="NormalWeb"/>
        <w:spacing w:line="480" w:lineRule="auto"/>
        <w:rPr>
          <w:color w:val="auto"/>
        </w:rPr>
      </w:pPr>
      <w:r w:rsidRPr="00CD48A7">
        <w:rPr>
          <w:color w:val="auto"/>
        </w:rPr>
        <w:t xml:space="preserve"> The shade of a porcelain veneer is determined by several factors which include the colour and the thickness of the porcelain veneer,</w:t>
      </w:r>
      <w:r w:rsidRPr="00CD48A7">
        <w:rPr>
          <w:color w:val="auto"/>
          <w:vertAlign w:val="superscript"/>
        </w:rPr>
        <w:t xml:space="preserve"> </w:t>
      </w:r>
      <w:r w:rsidRPr="00CD48A7">
        <w:rPr>
          <w:color w:val="auto"/>
        </w:rPr>
        <w:t>the thickness and the colour of the luting cement and the colour</w:t>
      </w:r>
      <w:r w:rsidRPr="00CD48A7">
        <w:rPr>
          <w:color w:val="auto"/>
          <w:vertAlign w:val="superscript"/>
        </w:rPr>
        <w:t xml:space="preserve"> </w:t>
      </w:r>
      <w:r w:rsidRPr="00CD48A7">
        <w:rPr>
          <w:color w:val="auto"/>
        </w:rPr>
        <w:t xml:space="preserve">of the underlying tooth structure </w:t>
      </w:r>
      <w:r w:rsidRPr="00CD48A7">
        <w:rPr>
          <w:color w:val="auto"/>
          <w:vertAlign w:val="superscript"/>
        </w:rPr>
        <w:t>14,15,16,17</w:t>
      </w:r>
      <w:r w:rsidRPr="00CD48A7">
        <w:rPr>
          <w:color w:val="auto"/>
        </w:rPr>
        <w:t>. Generally, a relatively thin translucent porcelain veneer cemented to sound non-discolourated tooth could produce a good aesthetic result</w:t>
      </w:r>
      <w:r w:rsidRPr="00CD48A7">
        <w:rPr>
          <w:color w:val="auto"/>
          <w:vertAlign w:val="superscript"/>
        </w:rPr>
        <w:t>18</w:t>
      </w:r>
      <w:r w:rsidRPr="00CD48A7">
        <w:rPr>
          <w:color w:val="auto"/>
        </w:rPr>
        <w:t>. However, when a porcelain veneer does not give a pleasing colour match to the adjacent teeth, practitioners often use resin cements of different shades in an attempt to mask the underlying tooth structure and modify the final colour of the porcelain veneer restoration to attain a satisfactory colour match</w:t>
      </w:r>
      <w:r w:rsidRPr="00CD48A7">
        <w:rPr>
          <w:color w:val="auto"/>
          <w:vertAlign w:val="superscript"/>
        </w:rPr>
        <w:t>19</w:t>
      </w:r>
      <w:r w:rsidRPr="00CD48A7">
        <w:rPr>
          <w:color w:val="auto"/>
        </w:rPr>
        <w:t xml:space="preserve">. However, there is no agreement in the literature about the influence of the cement shade on the overall colour of porcelain veneer restorations or about whether different shades will produce </w:t>
      </w:r>
      <w:r w:rsidR="002C4A1C" w:rsidRPr="00CD48A7">
        <w:rPr>
          <w:color w:val="auto"/>
        </w:rPr>
        <w:t>a varied amount of colour change</w:t>
      </w:r>
      <w:r w:rsidRPr="00CD48A7">
        <w:rPr>
          <w:color w:val="auto"/>
        </w:rPr>
        <w:t xml:space="preserve"> of the final restorations. Some studies </w:t>
      </w:r>
      <w:r w:rsidR="002C4A1C" w:rsidRPr="00CD48A7">
        <w:rPr>
          <w:color w:val="auto"/>
        </w:rPr>
        <w:t xml:space="preserve">have </w:t>
      </w:r>
      <w:r w:rsidRPr="00CD48A7">
        <w:rPr>
          <w:color w:val="auto"/>
        </w:rPr>
        <w:t xml:space="preserve">revealed that the resin cement shade may produce significant colour differences of the final porcelain restorations </w:t>
      </w:r>
      <w:r w:rsidRPr="00CD48A7">
        <w:rPr>
          <w:color w:val="auto"/>
          <w:vertAlign w:val="superscript"/>
        </w:rPr>
        <w:t>19,20</w:t>
      </w:r>
      <w:r w:rsidRPr="00CD48A7">
        <w:rPr>
          <w:color w:val="auto"/>
        </w:rPr>
        <w:t xml:space="preserve">. On the other hand, other studies noticed no significant influences of the resin cement on the overall colour of IPS Empress all-ceramic materials </w:t>
      </w:r>
      <w:r w:rsidRPr="00CD48A7">
        <w:rPr>
          <w:color w:val="auto"/>
          <w:vertAlign w:val="superscript"/>
        </w:rPr>
        <w:t>14,21</w:t>
      </w:r>
      <w:r w:rsidRPr="00CD48A7">
        <w:rPr>
          <w:color w:val="auto"/>
        </w:rPr>
        <w:t xml:space="preserve">. Moreover, colour shifts caused by different resin cement shades were not significantly different at any of 0.5, 1, 2 and 3 mm thicknesses of IPS Empress ceramic restorations </w:t>
      </w:r>
      <w:r w:rsidRPr="00CD48A7">
        <w:rPr>
          <w:color w:val="auto"/>
          <w:vertAlign w:val="superscript"/>
        </w:rPr>
        <w:t>22</w:t>
      </w:r>
      <w:r w:rsidRPr="00CD48A7">
        <w:rPr>
          <w:color w:val="auto"/>
        </w:rPr>
        <w:t xml:space="preserve">. Similarly, seven different shades of resin cements had no significant effect on the overall colour of porcelain veneers </w:t>
      </w:r>
      <w:r w:rsidRPr="00CD48A7">
        <w:rPr>
          <w:color w:val="auto"/>
          <w:vertAlign w:val="superscript"/>
        </w:rPr>
        <w:t>23</w:t>
      </w:r>
      <w:r w:rsidRPr="00CD48A7">
        <w:rPr>
          <w:color w:val="auto"/>
        </w:rPr>
        <w:t>. These different results might be due to the varied experimental methodologies conducted and varied perceptibility and acceptability thresholds used to compare the colour findings.</w:t>
      </w:r>
    </w:p>
    <w:p w:rsidR="00F07AFE" w:rsidRPr="00CD48A7" w:rsidRDefault="00F07AFE" w:rsidP="00F07AFE">
      <w:pPr>
        <w:spacing w:line="480" w:lineRule="auto"/>
      </w:pPr>
      <w:r w:rsidRPr="00CD48A7">
        <w:rPr>
          <w:rStyle w:val="A13"/>
          <w:color w:val="auto"/>
        </w:rPr>
        <w:t xml:space="preserve">Each of the resins is supplied with a try-in paste to give a visual indication of the colour of the final restoration before final bonding. </w:t>
      </w:r>
      <w:r w:rsidRPr="00CD48A7">
        <w:t xml:space="preserve">The stated purpose of these different shades of resin and try in pastes is to improve the colour matching and aesthetics of the final restoration. However, the agreement between the try-in pastes and resin cements in producing the same colour of the final porcelain restoration is critical. Some available brands of the resin cements have try-in pastes which match the colour of the set cements well, while some other do not produce a well match between the try-in paste and the cement </w:t>
      </w:r>
      <w:r w:rsidRPr="00CD48A7">
        <w:rPr>
          <w:vertAlign w:val="superscript"/>
        </w:rPr>
        <w:t>24,25</w:t>
      </w:r>
      <w:r w:rsidRPr="00CD48A7">
        <w:t xml:space="preserve">. Moreover, agreement between try-in paste and the corresponding shade of resin cement were noticed in some shades rather than others </w:t>
      </w:r>
      <w:r w:rsidRPr="00CD48A7">
        <w:rPr>
          <w:vertAlign w:val="superscript"/>
        </w:rPr>
        <w:t>26</w:t>
      </w:r>
      <w:r w:rsidRPr="00CD48A7">
        <w:t xml:space="preserve">. Significant differences in colour were found between resin cements and their corresponding shades of cured resin cements when using three different shades of three different brands </w:t>
      </w:r>
      <w:r w:rsidRPr="00CD48A7">
        <w:rPr>
          <w:vertAlign w:val="superscript"/>
        </w:rPr>
        <w:t>27</w:t>
      </w:r>
      <w:r w:rsidRPr="00CD48A7">
        <w:t xml:space="preserve">.  </w:t>
      </w:r>
    </w:p>
    <w:p w:rsidR="00F07AFE" w:rsidRPr="00CD48A7" w:rsidRDefault="00F07AFE" w:rsidP="00F07AFE">
      <w:pPr>
        <w:spacing w:line="480" w:lineRule="auto"/>
      </w:pPr>
      <w:r w:rsidRPr="00CD48A7">
        <w:t>After selecting the proper shade of resin cement that will produce a pleasing colour match with the adjacent teeth, it is important that the colour of the final porcelain veneer restoration stay the same after polymerization of the resin cement. However, it has been demonstrated that a significant change in colour may occur during polymerisation of the resin cement and that this should be considered during shade selection and manufacture</w:t>
      </w:r>
      <w:r w:rsidRPr="00CD48A7">
        <w:rPr>
          <w:vertAlign w:val="superscript"/>
        </w:rPr>
        <w:t xml:space="preserve"> 28</w:t>
      </w:r>
      <w:r w:rsidRPr="00CD48A7">
        <w:t xml:space="preserve">.  </w:t>
      </w:r>
    </w:p>
    <w:p w:rsidR="00F07AFE" w:rsidRPr="00CD48A7" w:rsidRDefault="00F07AFE" w:rsidP="00F07AFE">
      <w:pPr>
        <w:autoSpaceDE w:val="0"/>
        <w:autoSpaceDN w:val="0"/>
        <w:adjustRightInd w:val="0"/>
        <w:spacing w:line="480" w:lineRule="auto"/>
      </w:pPr>
      <w:r w:rsidRPr="00CD48A7">
        <w:t>While visual shade-matching is most practical in a clinical environment, in a laboratory the use of spectrophotometric techniques allows for reliable and reproducible measurements of the colour of porcelain</w:t>
      </w:r>
      <w:r w:rsidRPr="00CD48A7">
        <w:rPr>
          <w:vertAlign w:val="superscript"/>
        </w:rPr>
        <w:t>29,30</w:t>
      </w:r>
      <w:r w:rsidRPr="00CD48A7">
        <w:t>.</w:t>
      </w:r>
      <w:r w:rsidRPr="00CD48A7">
        <w:rPr>
          <w:vertAlign w:val="superscript"/>
        </w:rPr>
        <w:t xml:space="preserve"> </w:t>
      </w:r>
      <w:r w:rsidRPr="00CD48A7">
        <w:t xml:space="preserve"> Spectrophotometers measure CIE-</w:t>
      </w:r>
      <w:smartTag w:uri="urn:schemas-microsoft-com:office:smarttags" w:element="stockticker">
        <w:r w:rsidRPr="00CD48A7">
          <w:t>LAB</w:t>
        </w:r>
      </w:smartTag>
      <w:r w:rsidRPr="00CD48A7">
        <w:t xml:space="preserve"> values</w:t>
      </w:r>
      <w:r w:rsidRPr="00CD48A7">
        <w:rPr>
          <w:vertAlign w:val="superscript"/>
        </w:rPr>
        <w:t>31</w:t>
      </w:r>
      <w:r w:rsidRPr="00CD48A7">
        <w:t xml:space="preserve"> to give a numeric value of 3D colour (E*) which can then be used to assess colour change (ΔE*) </w:t>
      </w:r>
      <w:r w:rsidRPr="00CD48A7">
        <w:rPr>
          <w:vertAlign w:val="superscript"/>
        </w:rPr>
        <w:t>32</w:t>
      </w:r>
      <w:r w:rsidRPr="00CD48A7">
        <w:t>.</w:t>
      </w:r>
    </w:p>
    <w:p w:rsidR="00F07AFE" w:rsidRPr="00CD48A7" w:rsidRDefault="00F07AFE" w:rsidP="00F07AFE">
      <w:pPr>
        <w:autoSpaceDE w:val="0"/>
        <w:autoSpaceDN w:val="0"/>
        <w:adjustRightInd w:val="0"/>
        <w:spacing w:line="480" w:lineRule="auto"/>
      </w:pPr>
      <w:r w:rsidRPr="00CD48A7">
        <w:t>Determining the value of ΔE* which is clinically significant is challenging and different levels have been determined. It has been shown that the borderline ΔE* which is perceptible to all people in a colour test is 2.5</w:t>
      </w:r>
      <w:r w:rsidRPr="00CD48A7">
        <w:rPr>
          <w:vertAlign w:val="superscript"/>
        </w:rPr>
        <w:t xml:space="preserve"> 33</w:t>
      </w:r>
      <w:r w:rsidRPr="00CD48A7">
        <w:t>.</w:t>
      </w:r>
      <w:r w:rsidRPr="00CD48A7">
        <w:rPr>
          <w:vertAlign w:val="superscript"/>
        </w:rPr>
        <w:t xml:space="preserve"> </w:t>
      </w:r>
      <w:r w:rsidRPr="00CD48A7">
        <w:t xml:space="preserve">  A scale of perceptible colour difference has also been proposed with a ΔE* &lt; 1 regarded as not appreciable to the human eye and a ΔE* &gt; 2 appreciable by non-skilled persons and therefore of clinical significance</w:t>
      </w:r>
      <w:r w:rsidRPr="00CD48A7">
        <w:rPr>
          <w:vertAlign w:val="superscript"/>
        </w:rPr>
        <w:t xml:space="preserve"> 34,35</w:t>
      </w:r>
      <w:r w:rsidRPr="00CD48A7">
        <w:t xml:space="preserve">. Moreover, </w:t>
      </w:r>
      <w:r w:rsidRPr="00CD48A7">
        <w:rPr>
          <w:rFonts w:eastAsia="Times New Roman"/>
          <w:lang w:eastAsia="en-GB"/>
        </w:rPr>
        <w:t xml:space="preserve">it has been found that 3.3 units of colour difference </w:t>
      </w:r>
      <w:r w:rsidR="002C4A1C" w:rsidRPr="00CD48A7">
        <w:rPr>
          <w:rFonts w:eastAsia="Times New Roman"/>
          <w:lang w:eastAsia="en-GB"/>
        </w:rPr>
        <w:t>have been</w:t>
      </w:r>
      <w:r w:rsidRPr="00CD48A7">
        <w:rPr>
          <w:rFonts w:eastAsia="Times New Roman"/>
          <w:lang w:eastAsia="en-GB"/>
        </w:rPr>
        <w:t xml:space="preserve"> considered unacceptable by 50% of observers </w:t>
      </w:r>
      <w:r w:rsidRPr="00CD48A7">
        <w:rPr>
          <w:rFonts w:eastAsia="Times New Roman"/>
          <w:vertAlign w:val="superscript"/>
          <w:lang w:eastAsia="en-GB"/>
        </w:rPr>
        <w:t>36</w:t>
      </w:r>
      <w:r w:rsidRPr="00CD48A7">
        <w:rPr>
          <w:rFonts w:eastAsia="Times New Roman"/>
          <w:lang w:eastAsia="en-GB"/>
        </w:rPr>
        <w:t xml:space="preserve">. Similarly, 50% of observers had rejected the colour difference of 2.72 ΔE units between the samples </w:t>
      </w:r>
      <w:r w:rsidRPr="00CD48A7">
        <w:rPr>
          <w:rFonts w:eastAsia="Times New Roman"/>
          <w:vertAlign w:val="superscript"/>
          <w:lang w:eastAsia="en-GB"/>
        </w:rPr>
        <w:t>37</w:t>
      </w:r>
      <w:r w:rsidRPr="00CD48A7">
        <w:rPr>
          <w:rFonts w:eastAsia="Times New Roman"/>
          <w:lang w:eastAsia="en-GB"/>
        </w:rPr>
        <w:t xml:space="preserve">. </w:t>
      </w:r>
      <w:r w:rsidRPr="00CD48A7">
        <w:t xml:space="preserve">Additionally, an </w:t>
      </w:r>
      <w:r w:rsidRPr="00CD48A7">
        <w:rPr>
          <w:i/>
        </w:rPr>
        <w:t>in vivo</w:t>
      </w:r>
      <w:r w:rsidRPr="00CD48A7">
        <w:t xml:space="preserve"> study has shown that the average ΔE* between teeth assessed to be a complete colour match intra-orally is 3.7 while the average ΔE* of 6.8 units has </w:t>
      </w:r>
      <w:r w:rsidR="002C4A1C" w:rsidRPr="00CD48A7">
        <w:t xml:space="preserve">been </w:t>
      </w:r>
      <w:r w:rsidRPr="00CD48A7">
        <w:t xml:space="preserve">assessed to present the clinically colour mismatch </w:t>
      </w:r>
      <w:r w:rsidRPr="00CD48A7">
        <w:rPr>
          <w:vertAlign w:val="superscript"/>
        </w:rPr>
        <w:t>38</w:t>
      </w:r>
      <w:r w:rsidRPr="00CD48A7">
        <w:t xml:space="preserve">. However, a recent </w:t>
      </w:r>
      <w:r w:rsidRPr="00CD48A7">
        <w:rPr>
          <w:i/>
        </w:rPr>
        <w:t>in vivo</w:t>
      </w:r>
      <w:r w:rsidRPr="00CD48A7">
        <w:t xml:space="preserve"> study has presented the clinically acceptable threshold to be ΔE* 5.5 units </w:t>
      </w:r>
      <w:r w:rsidRPr="00CD48A7">
        <w:rPr>
          <w:vertAlign w:val="superscript"/>
        </w:rPr>
        <w:t>39</w:t>
      </w:r>
      <w:r w:rsidRPr="00CD48A7">
        <w:t>. Therefore, ΔE* 1 unit and 5.5 units reflects the perceptible and clinically acceptable thresholds respectively, and these values should be borne in mind when assessing restorations spectrophotometrically. It follows, therefore, that if different shades of resin cement produce a ΔE*</w:t>
      </w:r>
      <w:r w:rsidRPr="00CD48A7">
        <w:rPr>
          <w:vertAlign w:val="subscript"/>
        </w:rPr>
        <w:t>ab</w:t>
      </w:r>
      <w:r w:rsidRPr="00CD48A7">
        <w:t xml:space="preserve"> of </w:t>
      </w:r>
      <w:r w:rsidR="002C4A1C" w:rsidRPr="00CD48A7">
        <w:t>this</w:t>
      </w:r>
      <w:r w:rsidRPr="00CD48A7">
        <w:t xml:space="preserve"> magnitude then a clinically significant difference in the colour of the restoration has been achieved.</w:t>
      </w:r>
    </w:p>
    <w:p w:rsidR="00F07AFE" w:rsidRPr="00CD48A7" w:rsidRDefault="00F07AFE" w:rsidP="00F07AFE">
      <w:pPr>
        <w:autoSpaceDE w:val="0"/>
        <w:autoSpaceDN w:val="0"/>
        <w:adjustRightInd w:val="0"/>
        <w:spacing w:line="480" w:lineRule="auto"/>
        <w:rPr>
          <w:b/>
        </w:rPr>
      </w:pPr>
      <w:r w:rsidRPr="00CD48A7">
        <w:rPr>
          <w:b/>
        </w:rPr>
        <w:t>Aim of the study:</w:t>
      </w:r>
    </w:p>
    <w:p w:rsidR="00F07AFE" w:rsidRPr="00CD48A7" w:rsidRDefault="00F07AFE" w:rsidP="00F07AFE">
      <w:pPr>
        <w:autoSpaceDE w:val="0"/>
        <w:autoSpaceDN w:val="0"/>
        <w:adjustRightInd w:val="0"/>
        <w:spacing w:line="480" w:lineRule="auto"/>
      </w:pPr>
      <w:r w:rsidRPr="00CD48A7">
        <w:t xml:space="preserve">The aim of this study was to assess </w:t>
      </w:r>
      <w:r w:rsidRPr="00CD48A7">
        <w:rPr>
          <w:bCs/>
        </w:rPr>
        <w:t>how different shades of try-in pastes</w:t>
      </w:r>
      <w:r w:rsidR="002C4A1C" w:rsidRPr="00CD48A7">
        <w:rPr>
          <w:bCs/>
        </w:rPr>
        <w:t>,</w:t>
      </w:r>
      <w:r w:rsidRPr="00CD48A7">
        <w:rPr>
          <w:bCs/>
        </w:rPr>
        <w:t xml:space="preserve"> uncured and cured resin cements influence the </w:t>
      </w:r>
      <w:r w:rsidRPr="00CD48A7">
        <w:t>overall colour of porcelain veneer restorations</w:t>
      </w:r>
      <w:r w:rsidRPr="00CD48A7">
        <w:rPr>
          <w:sz w:val="28"/>
          <w:szCs w:val="28"/>
        </w:rPr>
        <w:t>.</w:t>
      </w:r>
    </w:p>
    <w:p w:rsidR="00F07AFE" w:rsidRPr="00CD48A7" w:rsidRDefault="00F07AFE" w:rsidP="00F07AFE">
      <w:pPr>
        <w:spacing w:line="480" w:lineRule="auto"/>
      </w:pPr>
      <w:r w:rsidRPr="00CD48A7">
        <w:t>The following null hypotheses were investigated:</w:t>
      </w:r>
    </w:p>
    <w:p w:rsidR="00F07AFE" w:rsidRPr="00CD48A7" w:rsidRDefault="00F07AFE" w:rsidP="00F07AFE">
      <w:pPr>
        <w:numPr>
          <w:ilvl w:val="0"/>
          <w:numId w:val="13"/>
        </w:numPr>
        <w:spacing w:line="480" w:lineRule="auto"/>
      </w:pPr>
      <w:r w:rsidRPr="00CD48A7">
        <w:t>There is no difference in the colour of the final restoration achieved using different shades of luting resin produced by three different manufacturers.</w:t>
      </w:r>
    </w:p>
    <w:p w:rsidR="00F07AFE" w:rsidRPr="00CD48A7" w:rsidRDefault="00F07AFE" w:rsidP="00F07AFE">
      <w:pPr>
        <w:numPr>
          <w:ilvl w:val="0"/>
          <w:numId w:val="13"/>
        </w:numPr>
        <w:spacing w:line="480" w:lineRule="auto"/>
      </w:pPr>
      <w:r w:rsidRPr="00CD48A7">
        <w:t>There is no difference in the colour achieved using different shades of try-in pastes produced by a manufacturer.</w:t>
      </w:r>
    </w:p>
    <w:p w:rsidR="00F07AFE" w:rsidRPr="00CD48A7" w:rsidRDefault="00F07AFE" w:rsidP="00F07AFE">
      <w:pPr>
        <w:numPr>
          <w:ilvl w:val="0"/>
          <w:numId w:val="13"/>
        </w:numPr>
        <w:spacing w:line="480" w:lineRule="auto"/>
      </w:pPr>
      <w:r w:rsidRPr="00CD48A7">
        <w:t>There is no perceptible difference between the colour of the try-in paste and the cured resin of the same shade.</w:t>
      </w:r>
    </w:p>
    <w:p w:rsidR="00F07AFE" w:rsidRPr="00CD48A7" w:rsidRDefault="00F07AFE" w:rsidP="00F07AFE">
      <w:pPr>
        <w:numPr>
          <w:ilvl w:val="0"/>
          <w:numId w:val="13"/>
        </w:numPr>
        <w:spacing w:line="480" w:lineRule="auto"/>
      </w:pPr>
      <w:r w:rsidRPr="00CD48A7">
        <w:t>There is no perceptible change in the colour of the restoration after curing of the resin cement.</w:t>
      </w:r>
    </w:p>
    <w:p w:rsidR="00F07AFE" w:rsidRPr="00CD48A7" w:rsidRDefault="00F07AFE" w:rsidP="00F07AFE">
      <w:pPr>
        <w:spacing w:line="480" w:lineRule="auto"/>
        <w:ind w:left="720"/>
      </w:pPr>
    </w:p>
    <w:p w:rsidR="00F07AFE" w:rsidRPr="00CD48A7" w:rsidRDefault="00F07AFE" w:rsidP="00F07AFE">
      <w:pPr>
        <w:numPr>
          <w:ilvl w:val="0"/>
          <w:numId w:val="15"/>
        </w:numPr>
        <w:spacing w:line="480" w:lineRule="auto"/>
        <w:rPr>
          <w:b/>
          <w:bCs/>
          <w:sz w:val="28"/>
          <w:szCs w:val="28"/>
        </w:rPr>
      </w:pPr>
      <w:r w:rsidRPr="00CD48A7">
        <w:rPr>
          <w:b/>
          <w:bCs/>
          <w:sz w:val="28"/>
          <w:szCs w:val="28"/>
        </w:rPr>
        <w:t>Materials and methods</w:t>
      </w:r>
    </w:p>
    <w:p w:rsidR="00F07AFE" w:rsidRPr="00CD48A7" w:rsidRDefault="00F07AFE" w:rsidP="00F07AFE">
      <w:pPr>
        <w:numPr>
          <w:ilvl w:val="1"/>
          <w:numId w:val="15"/>
        </w:numPr>
        <w:spacing w:line="480" w:lineRule="auto"/>
        <w:rPr>
          <w:b/>
          <w:bCs/>
        </w:rPr>
      </w:pPr>
      <w:r w:rsidRPr="00CD48A7">
        <w:rPr>
          <w:b/>
          <w:bCs/>
        </w:rPr>
        <w:t>2.1      Study design</w:t>
      </w:r>
    </w:p>
    <w:p w:rsidR="00F07AFE" w:rsidRPr="00CD48A7" w:rsidRDefault="00F07AFE" w:rsidP="00F07AFE">
      <w:pPr>
        <w:spacing w:line="480" w:lineRule="auto"/>
      </w:pPr>
      <w:r w:rsidRPr="00CD48A7">
        <w:t>A total of 135 bovine teeth were collected, prepared and bleached to standardise colour before random division into 3 groups. Ceramic veneers were produced to a standardised shade and thickness.</w:t>
      </w:r>
    </w:p>
    <w:p w:rsidR="00F07AFE" w:rsidRPr="00CD48A7" w:rsidRDefault="00F07AFE" w:rsidP="00F07AFE">
      <w:pPr>
        <w:spacing w:line="480" w:lineRule="auto"/>
      </w:pPr>
      <w:r w:rsidRPr="00CD48A7">
        <w:t>Colour was measured with the veneers placed on the prepared surfaces of the teeth with Aquagel acting as a medium between the veneer and tooth (Aquagel is a commercialy water gel: Aquagel® - Adams Healthcare, UK).</w:t>
      </w:r>
    </w:p>
    <w:p w:rsidR="00F07AFE" w:rsidRPr="00CD48A7" w:rsidRDefault="00F07AFE" w:rsidP="00F07AFE">
      <w:pPr>
        <w:spacing w:line="480" w:lineRule="auto"/>
      </w:pPr>
      <w:r w:rsidRPr="00CD48A7">
        <w:t>One group had veneers bonded with Calibra (Dentsply International), the second with Nexus-3 (Kerr Corporation), and the third with Rely-X (3M-ESPE). Each of the bonded groups was further subdivided into three groups (15 per group) with a light, a dark and a translucent resin selected from those provided by each manufacturer. The veneers were applied to the teeth using the try-in pastes and the colour measured. The veneers were then loaded with resin cement and placed on the prepared tooth surface. Colour was measured pre- and post-curing of the resin. Colour was measured using a spectrophotometer and analysed to determine any differences in the colour of the restorations achieved by the different shades and products produced by each manufacturer.</w:t>
      </w:r>
    </w:p>
    <w:p w:rsidR="00F07AFE" w:rsidRPr="00CD48A7" w:rsidRDefault="00F07AFE" w:rsidP="00F07AFE">
      <w:pPr>
        <w:spacing w:line="480" w:lineRule="auto"/>
        <w:rPr>
          <w:b/>
          <w:bCs/>
        </w:rPr>
      </w:pPr>
      <w:r w:rsidRPr="00CD48A7">
        <w:rPr>
          <w:b/>
          <w:bCs/>
        </w:rPr>
        <w:t>2.2</w:t>
      </w:r>
      <w:r w:rsidRPr="00CD48A7">
        <w:rPr>
          <w:b/>
          <w:bCs/>
        </w:rPr>
        <w:tab/>
        <w:t>Preparation of tooth samples</w:t>
      </w:r>
    </w:p>
    <w:p w:rsidR="00F07AFE" w:rsidRPr="00CD48A7" w:rsidRDefault="00F07AFE" w:rsidP="00F07AFE">
      <w:pPr>
        <w:spacing w:line="480" w:lineRule="auto"/>
      </w:pPr>
      <w:r w:rsidRPr="00CD48A7">
        <w:t>Bovine central incisor teeth of almost the same size and thickness were used in the study. The teeth had been stored in Thymol solution. Soft tissue was removed manually and then by soaking in 2% sodium hypochlorite (Milton’s solution, Milton, UK) for 2 hours. Buccal surfaces were prepared using a circular abrasive lathe in order to produce flattened enamel surfaces of at least 8mm diameter. The flattened surface was then polished using fine abrasive paper.  The teeth were bleached in 33% hydrogen peroxide for 1 hour (2 cycles) in order to standardise the colour by reducing staining. A single operator then recorded a colour reading for all teeth.  A specific area of the prepared surface of each tooth was outlined just larger than 8 mm diameter (The diameter of the porcelain veneers used in this study), and colour measurement were performed on this area throughout the whole study to determine standardisation. The teeth were then randomly assigned to the groups and analysed statistically to confirm that there were no significant variations within or between groups.</w:t>
      </w:r>
    </w:p>
    <w:p w:rsidR="00F07AFE" w:rsidRPr="00CD48A7" w:rsidRDefault="00F07AFE" w:rsidP="00F07AFE">
      <w:pPr>
        <w:spacing w:line="480" w:lineRule="auto"/>
        <w:rPr>
          <w:b/>
          <w:bCs/>
        </w:rPr>
      </w:pPr>
      <w:r w:rsidRPr="00CD48A7">
        <w:rPr>
          <w:b/>
          <w:bCs/>
        </w:rPr>
        <w:t>2.3</w:t>
      </w:r>
      <w:r w:rsidRPr="00CD48A7">
        <w:rPr>
          <w:b/>
          <w:bCs/>
        </w:rPr>
        <w:tab/>
        <w:t>Preparation of veneers</w:t>
      </w:r>
    </w:p>
    <w:p w:rsidR="00F07AFE" w:rsidRPr="00CD48A7" w:rsidRDefault="00F07AFE" w:rsidP="00F07AFE">
      <w:pPr>
        <w:spacing w:line="480" w:lineRule="auto"/>
      </w:pPr>
      <w:r w:rsidRPr="00CD48A7">
        <w:t xml:space="preserve">Vitadur Alpha porcelain veneers of shade 1M1 VM7 (Vita, Zahnfabrik, Bad Sackigen, Germany) were fabricated by a single operator using a Teflon mould with a diameter of 10mm and a depth of 1.2 mm. This shade was selected as such light shades are the most used shades </w:t>
      </w:r>
      <w:r w:rsidR="002C4A1C" w:rsidRPr="00CD48A7">
        <w:t>in</w:t>
      </w:r>
      <w:r w:rsidRPr="00CD48A7">
        <w:t xml:space="preserve"> porcelain veneers</w:t>
      </w:r>
      <w:r w:rsidR="002C4A1C" w:rsidRPr="00CD48A7">
        <w:t xml:space="preserve"> fabrication</w:t>
      </w:r>
      <w:r w:rsidRPr="00CD48A7">
        <w:t>, and mainly the translucency of such light shades enable to assess the effect of resin cement under translucent porcelain veneer shades as translucent shades will be influenced more than the opaque shades. The porcelain and modelling liquid were mixed, packed and dried and then placed onto platinum foil and fired according to manufacturer’s instructions. Both surfaces of the veneers were finished using abrasive paper to give a finished thickness of 1.0 mm +/- 0.025mm (measured with digital callipers and rejected if outside given range). A single operator then recorded a colour reading for all veneers to determine standardisation. The veneers were then randomly assigned to the groups.</w:t>
      </w:r>
    </w:p>
    <w:p w:rsidR="00F07AFE" w:rsidRPr="00CD48A7" w:rsidRDefault="00F07AFE" w:rsidP="00F07AFE">
      <w:pPr>
        <w:spacing w:line="480" w:lineRule="auto"/>
      </w:pPr>
      <w:r w:rsidRPr="00CD48A7">
        <w:t>The bonding surface of each veneer was then prepared by sandblasting and etched with hydrofluoric acid (Vita Ceramic Etch) for 1 minute.</w:t>
      </w:r>
    </w:p>
    <w:p w:rsidR="00F07AFE" w:rsidRPr="00CD48A7" w:rsidRDefault="00F07AFE" w:rsidP="00F07AFE">
      <w:pPr>
        <w:spacing w:line="480" w:lineRule="auto"/>
        <w:rPr>
          <w:b/>
          <w:bCs/>
        </w:rPr>
      </w:pPr>
      <w:r w:rsidRPr="00CD48A7">
        <w:rPr>
          <w:b/>
          <w:bCs/>
        </w:rPr>
        <w:t>2.4</w:t>
      </w:r>
      <w:r w:rsidRPr="00CD48A7">
        <w:rPr>
          <w:b/>
          <w:bCs/>
        </w:rPr>
        <w:tab/>
        <w:t>Resin cements</w:t>
      </w:r>
    </w:p>
    <w:p w:rsidR="00F07AFE" w:rsidRPr="00CD48A7" w:rsidRDefault="00F07AFE" w:rsidP="00F07AFE">
      <w:pPr>
        <w:spacing w:line="480" w:lineRule="auto"/>
        <w:rPr>
          <w:rStyle w:val="A13"/>
          <w:color w:val="auto"/>
        </w:rPr>
      </w:pPr>
      <w:r w:rsidRPr="00CD48A7">
        <w:t xml:space="preserve">Resin cements in the following shades from each stated manufacturer were chosen: Calibra - light, dark, and transparent shades; Nexus-3 Universal Luting system - light, dark and neutral shades; RelyX- Unicem Veneer cement - </w:t>
      </w:r>
      <w:r w:rsidRPr="00CD48A7">
        <w:rPr>
          <w:rStyle w:val="A13"/>
          <w:color w:val="auto"/>
        </w:rPr>
        <w:t>white opaque, A3 opaque/dark and translucent shades. These shades represent the broadest colour variation available within the shades produced by each manufacturer along with a neutral or translucent resin. The corresponding try-in pastes of each of the above shades were also used.</w:t>
      </w:r>
    </w:p>
    <w:p w:rsidR="00F07AFE" w:rsidRPr="00CD48A7" w:rsidRDefault="00F07AFE" w:rsidP="00F07AFE">
      <w:pPr>
        <w:spacing w:line="480" w:lineRule="auto"/>
        <w:rPr>
          <w:b/>
          <w:bCs/>
        </w:rPr>
      </w:pPr>
      <w:r w:rsidRPr="00CD48A7">
        <w:rPr>
          <w:b/>
          <w:bCs/>
        </w:rPr>
        <w:t>2.5</w:t>
      </w:r>
      <w:r w:rsidRPr="00CD48A7">
        <w:rPr>
          <w:b/>
          <w:bCs/>
        </w:rPr>
        <w:tab/>
        <w:t>Bonding</w:t>
      </w:r>
    </w:p>
    <w:p w:rsidR="00F07AFE" w:rsidRPr="00CD48A7" w:rsidRDefault="00F07AFE" w:rsidP="00F07AFE">
      <w:pPr>
        <w:spacing w:line="480" w:lineRule="auto"/>
      </w:pPr>
      <w:r w:rsidRPr="00CD48A7">
        <w:t xml:space="preserve">Measurements of colour were taken with each of the different control and test substances (Aqua gel, Try-in pastes, resin cements before curing and resin cements after curing) in place. The tooth and veneer were cleaned and dried before the application of each substance. The try-in paste and resin cements were applied according to the manufacturers’ instructions. Teeth surfaces were etched using 37% phosphoric acid that was included with the resin cement kit for 15-20 seconds as instructed by the manufacturer. The resin cement, as instructed, was applied to the etched surfaces of the veneers and then the veneers were applied to the determined area of the teeth surfaces. The resin was then cured with a light-curing unit (Curing light XL3000, 3M ESPE, U.S.A) for 80 seconds to insure complete curing of the cement under such 1 mm porcelain veneers </w:t>
      </w:r>
      <w:r w:rsidRPr="00CD48A7">
        <w:rPr>
          <w:vertAlign w:val="superscript"/>
        </w:rPr>
        <w:t>40,41</w:t>
      </w:r>
      <w:r w:rsidRPr="00CD48A7">
        <w:t xml:space="preserve">. </w:t>
      </w:r>
    </w:p>
    <w:p w:rsidR="00F07AFE" w:rsidRPr="00CD48A7" w:rsidRDefault="00F07AFE" w:rsidP="00F07AFE">
      <w:pPr>
        <w:spacing w:line="480" w:lineRule="auto"/>
      </w:pPr>
      <w:r w:rsidRPr="00CD48A7">
        <w:t xml:space="preserve">It has been revealed that the cement thickness can be controlled to a certain extent by the clinician and therefore, it might not be considered as a significant procedure influencing the colour matching process </w:t>
      </w:r>
      <w:r w:rsidRPr="00CD48A7">
        <w:rPr>
          <w:vertAlign w:val="superscript"/>
        </w:rPr>
        <w:t>14</w:t>
      </w:r>
      <w:r w:rsidR="002C4A1C" w:rsidRPr="00CD48A7">
        <w:t>. However, to standardis</w:t>
      </w:r>
      <w:r w:rsidRPr="00CD48A7">
        <w:t>e the thickness of resin cement throughout the whole study</w:t>
      </w:r>
      <w:r w:rsidR="002C4A1C" w:rsidRPr="00CD48A7">
        <w:t>,</w:t>
      </w:r>
      <w:r w:rsidRPr="00CD48A7">
        <w:t xml:space="preserve"> a consistent 1 kg weighed was applied onto the veneer while cementing. A measurement of colour was made before and after the resin cement was cured.</w:t>
      </w:r>
    </w:p>
    <w:p w:rsidR="00F07AFE" w:rsidRPr="00CD48A7" w:rsidRDefault="00F07AFE" w:rsidP="00F07AFE">
      <w:pPr>
        <w:spacing w:line="480" w:lineRule="auto"/>
      </w:pPr>
      <w:r w:rsidRPr="00CD48A7">
        <w:t xml:space="preserve"> </w:t>
      </w:r>
      <w:r w:rsidRPr="00CD48A7">
        <w:rPr>
          <w:b/>
          <w:bCs/>
        </w:rPr>
        <w:t>2.6</w:t>
      </w:r>
      <w:r w:rsidRPr="00CD48A7">
        <w:rPr>
          <w:b/>
          <w:bCs/>
        </w:rPr>
        <w:tab/>
        <w:t>Colour measurement</w:t>
      </w:r>
    </w:p>
    <w:p w:rsidR="00F07AFE" w:rsidRPr="00CD48A7" w:rsidRDefault="00F07AFE" w:rsidP="00F07AFE">
      <w:pPr>
        <w:spacing w:line="480" w:lineRule="auto"/>
      </w:pPr>
      <w:r w:rsidRPr="00CD48A7">
        <w:t>Colour measurements were made using an ‘Easy shade’ Vita probe spectrophotometer (Vita Easy shade, Vita, Germany). Spectrophotometers measure CIE-</w:t>
      </w:r>
      <w:smartTag w:uri="urn:schemas-microsoft-com:office:smarttags" w:element="stockticker">
        <w:r w:rsidRPr="00CD48A7">
          <w:t>LAB</w:t>
        </w:r>
      </w:smartTag>
      <w:r w:rsidRPr="00CD48A7">
        <w:t xml:space="preserve"> values giving a numerical representation of a 3D measure of colour. These measurements have been previously used in studies assessing shades of both teeth and porcelain. Readings of L*, a*and b* were performed three times against the same background (black) and the mean value used. Means of colour data with the standard deviations of tooth surfaces, try-in pastes and resin cements are shown in Table 1.</w:t>
      </w:r>
    </w:p>
    <w:p w:rsidR="00F07AFE" w:rsidRPr="00CD48A7" w:rsidRDefault="00F07AFE" w:rsidP="00F07AFE">
      <w:pPr>
        <w:spacing w:line="480" w:lineRule="auto"/>
      </w:pPr>
      <w:r w:rsidRPr="00CD48A7">
        <w:t>Bovine teeth through the whole study, with or without the porcelain veneers, were</w:t>
      </w:r>
      <w:r w:rsidR="002C4A1C" w:rsidRPr="00CD48A7">
        <w:t xml:space="preserve"> stabilis</w:t>
      </w:r>
      <w:r w:rsidRPr="00CD48A7">
        <w:t>ed against the black background by holding them on a frame made of impression compound (Kerr, USA) in a way that maintain</w:t>
      </w:r>
      <w:r w:rsidR="002C4A1C" w:rsidRPr="00CD48A7">
        <w:t>ed</w:t>
      </w:r>
      <w:r w:rsidRPr="00CD48A7">
        <w:t xml:space="preserve"> the veneer in a horizontal level.</w:t>
      </w:r>
    </w:p>
    <w:p w:rsidR="00F07AFE" w:rsidRPr="00CD48A7" w:rsidRDefault="00F07AFE" w:rsidP="00F07AFE">
      <w:pPr>
        <w:spacing w:line="480" w:lineRule="auto"/>
        <w:rPr>
          <w:b/>
          <w:bCs/>
        </w:rPr>
      </w:pPr>
      <w:r w:rsidRPr="00CD48A7">
        <w:rPr>
          <w:b/>
          <w:bCs/>
        </w:rPr>
        <w:t>2.7</w:t>
      </w:r>
      <w:r w:rsidRPr="00CD48A7">
        <w:rPr>
          <w:b/>
          <w:bCs/>
        </w:rPr>
        <w:tab/>
        <w:t xml:space="preserve">Data Analysis </w:t>
      </w:r>
    </w:p>
    <w:p w:rsidR="00F07AFE" w:rsidRPr="00CD48A7" w:rsidRDefault="00F07AFE" w:rsidP="00F07AFE">
      <w:pPr>
        <w:spacing w:line="480" w:lineRule="auto"/>
      </w:pPr>
      <w:r w:rsidRPr="00CD48A7">
        <w:t xml:space="preserve">Data was entered into a Microsoft Excel (Microsoft Corp., Redmond, USA) spreadsheet and analysed using </w:t>
      </w:r>
      <w:smartTag w:uri="urn:schemas-microsoft-com:office:smarttags" w:element="stockticker">
        <w:r w:rsidRPr="00CD48A7">
          <w:t>SPSS</w:t>
        </w:r>
      </w:smartTag>
      <w:r w:rsidRPr="00CD48A7">
        <w:t xml:space="preserve"> 15 (</w:t>
      </w:r>
      <w:smartTag w:uri="urn:schemas-microsoft-com:office:smarttags" w:element="stockticker">
        <w:r w:rsidRPr="00CD48A7">
          <w:t>SPSS</w:t>
        </w:r>
      </w:smartTag>
      <w:r w:rsidRPr="00CD48A7">
        <w:t xml:space="preserve"> inc., Chicago, USA).</w:t>
      </w:r>
    </w:p>
    <w:p w:rsidR="00F07AFE" w:rsidRPr="00CD48A7" w:rsidRDefault="00F07AFE" w:rsidP="00F07AFE">
      <w:pPr>
        <w:spacing w:line="480" w:lineRule="auto"/>
      </w:pPr>
      <w:r w:rsidRPr="00CD48A7">
        <w:t>The ΔE* values were calculated for the different shades of cured resin and try-in paste and were also calculated for each resin on curing using the following equation:</w:t>
      </w:r>
    </w:p>
    <w:p w:rsidR="00F07AFE" w:rsidRPr="00CD48A7" w:rsidRDefault="00F07AFE" w:rsidP="00F07AFE">
      <w:pPr>
        <w:spacing w:line="480" w:lineRule="auto"/>
      </w:pPr>
      <w:r w:rsidRPr="00CD48A7">
        <w:t xml:space="preserve"> ΔE* = [(L</w:t>
      </w:r>
      <w:r w:rsidRPr="00CD48A7">
        <w:rPr>
          <w:vertAlign w:val="subscript"/>
        </w:rPr>
        <w:t>1</w:t>
      </w:r>
      <w:r w:rsidRPr="00CD48A7">
        <w:rPr>
          <w:vertAlign w:val="superscript"/>
        </w:rPr>
        <w:t>*</w:t>
      </w:r>
      <w:r w:rsidRPr="00CD48A7">
        <w:t>- L</w:t>
      </w:r>
      <w:r w:rsidRPr="00CD48A7">
        <w:rPr>
          <w:vertAlign w:val="subscript"/>
        </w:rPr>
        <w:t>2</w:t>
      </w:r>
      <w:r w:rsidRPr="00CD48A7">
        <w:rPr>
          <w:vertAlign w:val="superscript"/>
        </w:rPr>
        <w:t>*</w:t>
      </w:r>
      <w:r w:rsidRPr="00CD48A7">
        <w:t>)</w:t>
      </w:r>
      <w:r w:rsidRPr="00CD48A7">
        <w:rPr>
          <w:vertAlign w:val="superscript"/>
        </w:rPr>
        <w:t xml:space="preserve">2 </w:t>
      </w:r>
      <w:r w:rsidRPr="00CD48A7">
        <w:t>+ (a</w:t>
      </w:r>
      <w:r w:rsidRPr="00CD48A7">
        <w:rPr>
          <w:vertAlign w:val="subscript"/>
        </w:rPr>
        <w:t>1</w:t>
      </w:r>
      <w:r w:rsidRPr="00CD48A7">
        <w:rPr>
          <w:vertAlign w:val="superscript"/>
          <w:rtl/>
        </w:rPr>
        <w:t>٭</w:t>
      </w:r>
      <w:r w:rsidRPr="00CD48A7">
        <w:t xml:space="preserve"> -a</w:t>
      </w:r>
      <w:r w:rsidRPr="00CD48A7">
        <w:rPr>
          <w:vertAlign w:val="subscript"/>
        </w:rPr>
        <w:t>2</w:t>
      </w:r>
      <w:r w:rsidRPr="00CD48A7">
        <w:rPr>
          <w:vertAlign w:val="superscript"/>
          <w:rtl/>
        </w:rPr>
        <w:t>٭</w:t>
      </w:r>
      <w:r w:rsidRPr="00CD48A7">
        <w:t>)</w:t>
      </w:r>
      <w:r w:rsidRPr="00CD48A7">
        <w:rPr>
          <w:vertAlign w:val="superscript"/>
        </w:rPr>
        <w:t xml:space="preserve"> 2 </w:t>
      </w:r>
      <w:r w:rsidRPr="00CD48A7">
        <w:t>+ (b</w:t>
      </w:r>
      <w:r w:rsidRPr="00CD48A7">
        <w:rPr>
          <w:vertAlign w:val="subscript"/>
        </w:rPr>
        <w:t>1</w:t>
      </w:r>
      <w:r w:rsidRPr="00CD48A7">
        <w:rPr>
          <w:vertAlign w:val="superscript"/>
          <w:rtl/>
        </w:rPr>
        <w:t>٭</w:t>
      </w:r>
      <w:r w:rsidRPr="00CD48A7">
        <w:t xml:space="preserve"> -b</w:t>
      </w:r>
      <w:r w:rsidRPr="00CD48A7">
        <w:rPr>
          <w:vertAlign w:val="subscript"/>
        </w:rPr>
        <w:t>2</w:t>
      </w:r>
      <w:r w:rsidRPr="00CD48A7">
        <w:rPr>
          <w:vertAlign w:val="superscript"/>
          <w:rtl/>
        </w:rPr>
        <w:t>٭</w:t>
      </w:r>
      <w:r w:rsidRPr="00CD48A7">
        <w:t>)</w:t>
      </w:r>
      <w:r w:rsidRPr="00CD48A7">
        <w:rPr>
          <w:vertAlign w:val="superscript"/>
        </w:rPr>
        <w:t xml:space="preserve"> 2</w:t>
      </w:r>
      <w:r w:rsidRPr="00CD48A7">
        <w:t>]</w:t>
      </w:r>
      <w:r w:rsidRPr="00CD48A7">
        <w:rPr>
          <w:vertAlign w:val="superscript"/>
        </w:rPr>
        <w:t>1/2</w:t>
      </w:r>
    </w:p>
    <w:p w:rsidR="00F07AFE" w:rsidRPr="00CD48A7" w:rsidRDefault="00F07AFE" w:rsidP="00F07AFE">
      <w:pPr>
        <w:spacing w:line="480" w:lineRule="auto"/>
      </w:pPr>
      <w:r w:rsidRPr="00CD48A7">
        <w:t xml:space="preserve">The ΔE* values were entered into </w:t>
      </w:r>
      <w:smartTag w:uri="urn:schemas-microsoft-com:office:smarttags" w:element="stockticker">
        <w:r w:rsidRPr="00CD48A7">
          <w:t>SPSS</w:t>
        </w:r>
      </w:smartTag>
      <w:r w:rsidRPr="00CD48A7">
        <w:t xml:space="preserve"> 15 to test the null hypotheses that the different shades of try-in paste and cured resin of a manufacturer produce no variation in the colour of the porcelain veneer restorations using analysis of variance (p&lt;0.05 and 95% confidence intervals) and Tukey test for multiple comparisons. An assessment was also made of the clinical significance of colour differences values by comparing them to the perceptibility (1 ΔE* unit) and acceptability (5.5 ΔE* units) thresholds.  </w:t>
      </w:r>
    </w:p>
    <w:p w:rsidR="00F07AFE" w:rsidRPr="00CD48A7" w:rsidRDefault="00F07AFE" w:rsidP="00F07AFE">
      <w:pPr>
        <w:spacing w:line="480" w:lineRule="auto"/>
      </w:pPr>
    </w:p>
    <w:p w:rsidR="00F07AFE" w:rsidRPr="00CD48A7" w:rsidRDefault="00F07AFE" w:rsidP="00F07AFE">
      <w:pPr>
        <w:numPr>
          <w:ilvl w:val="0"/>
          <w:numId w:val="15"/>
        </w:numPr>
        <w:spacing w:line="480" w:lineRule="auto"/>
        <w:rPr>
          <w:b/>
          <w:sz w:val="28"/>
          <w:szCs w:val="28"/>
        </w:rPr>
      </w:pPr>
      <w:r w:rsidRPr="00CD48A7">
        <w:rPr>
          <w:b/>
          <w:sz w:val="28"/>
          <w:szCs w:val="28"/>
        </w:rPr>
        <w:t>Results</w:t>
      </w:r>
    </w:p>
    <w:p w:rsidR="00F07AFE" w:rsidRPr="00CD48A7" w:rsidRDefault="00F07AFE" w:rsidP="00F07AFE">
      <w:pPr>
        <w:spacing w:line="480" w:lineRule="auto"/>
        <w:rPr>
          <w:b/>
        </w:rPr>
      </w:pPr>
      <w:r w:rsidRPr="00CD48A7">
        <w:rPr>
          <w:b/>
        </w:rPr>
        <w:t>3.1</w:t>
      </w:r>
      <w:r w:rsidRPr="00CD48A7">
        <w:rPr>
          <w:b/>
        </w:rPr>
        <w:tab/>
        <w:t>Final restoration</w:t>
      </w:r>
    </w:p>
    <w:p w:rsidR="00F07AFE" w:rsidRPr="00CD48A7" w:rsidRDefault="00F07AFE" w:rsidP="00F07AFE">
      <w:pPr>
        <w:spacing w:line="480" w:lineRule="auto"/>
        <w:rPr>
          <w:bCs/>
        </w:rPr>
      </w:pPr>
      <w:r w:rsidRPr="00CD48A7">
        <w:t xml:space="preserve">The colour difference of final cured resin restorations was evaluated by comparing the colour change (ΔE*) produced by each resin shade against the Aquagel colour produced by the same tooth veneer complex. </w:t>
      </w:r>
    </w:p>
    <w:p w:rsidR="00F07AFE" w:rsidRPr="00CD48A7" w:rsidRDefault="00F07AFE" w:rsidP="00F07AFE">
      <w:pPr>
        <w:spacing w:line="480" w:lineRule="auto"/>
      </w:pPr>
      <w:r w:rsidRPr="00CD48A7">
        <w:t>There were no significant differences between the ΔE* values produced by any of the shades of Rely-X resins.</w:t>
      </w:r>
    </w:p>
    <w:p w:rsidR="00F07AFE" w:rsidRPr="00CD48A7" w:rsidRDefault="00F07AFE" w:rsidP="00F07AFE">
      <w:pPr>
        <w:spacing w:line="480" w:lineRule="auto"/>
      </w:pPr>
      <w:r w:rsidRPr="00CD48A7">
        <w:t>Statistically significant differences in ΔE* were produced between Aquagel and cured resin shades of both Calibra and Nexus (Figure 3).</w:t>
      </w:r>
    </w:p>
    <w:p w:rsidR="00F07AFE" w:rsidRPr="00CD48A7" w:rsidRDefault="00F07AFE" w:rsidP="00F07AFE">
      <w:pPr>
        <w:spacing w:line="480" w:lineRule="auto"/>
      </w:pPr>
      <w:r w:rsidRPr="00CD48A7">
        <w:t>The colour change was significantly different between Calibra dark and white resins (mean ΔE* difference = 2.13. p=0.000) and also between dark and translucent resins (mean difference = 2.15. p=0.000). There was a significant difference between Nexus-3 dark and neutral resins (mean difference = 1.30. p=0.034).</w:t>
      </w:r>
    </w:p>
    <w:p w:rsidR="00F07AFE" w:rsidRPr="00CD48A7" w:rsidRDefault="00F07AFE" w:rsidP="00F07AFE">
      <w:pPr>
        <w:spacing w:line="480" w:lineRule="auto"/>
      </w:pPr>
      <w:r w:rsidRPr="00CD48A7">
        <w:t>The ΔE* values produced by all shades of resin were &gt;1 (ΔE* 1.8 – 4.9) and therefore above the perceptible threshold (Table 2).</w:t>
      </w:r>
    </w:p>
    <w:p w:rsidR="00F07AFE" w:rsidRPr="00CD48A7" w:rsidRDefault="00F07AFE" w:rsidP="00F07AFE">
      <w:pPr>
        <w:numPr>
          <w:ilvl w:val="1"/>
          <w:numId w:val="17"/>
        </w:numPr>
        <w:spacing w:line="480" w:lineRule="auto"/>
        <w:rPr>
          <w:bCs/>
        </w:rPr>
      </w:pPr>
      <w:r w:rsidRPr="00CD48A7">
        <w:rPr>
          <w:b/>
          <w:bCs/>
        </w:rPr>
        <w:t>Try-in Pastes</w:t>
      </w:r>
    </w:p>
    <w:p w:rsidR="00F07AFE" w:rsidRPr="00CD48A7" w:rsidRDefault="00F07AFE" w:rsidP="00F07AFE">
      <w:pPr>
        <w:spacing w:line="480" w:lineRule="auto"/>
        <w:rPr>
          <w:bCs/>
        </w:rPr>
      </w:pPr>
      <w:r w:rsidRPr="00CD48A7">
        <w:rPr>
          <w:bCs/>
        </w:rPr>
        <w:t>The difference in the colour achieved by the different shades of try-in paste was evaluated by calculating the difference in ΔE* between the Aquagel and try-in paste results of each resin shade. The results were tested statistically using analysis of variance.</w:t>
      </w:r>
    </w:p>
    <w:p w:rsidR="00F07AFE" w:rsidRPr="00CD48A7" w:rsidRDefault="00F07AFE" w:rsidP="00F07AFE">
      <w:pPr>
        <w:spacing w:line="480" w:lineRule="auto"/>
      </w:pPr>
      <w:r w:rsidRPr="00CD48A7">
        <w:t>There were no significant differences between the ΔE* produced by any of the shades of Calibra try-in paste. There were significant differences in the ΔE* produced between the white and translucent try-in shades of Rely-X (mean difference = 1.57. p=0.001). Nexus-3 try-in pastes had differences in the ΔE* produced by the dark and neutral shades (mean difference = 2.09. p=0.000) and also between the white and neutral shades (mean difference = 1.15. p=0.000) (Figure 4).</w:t>
      </w:r>
    </w:p>
    <w:p w:rsidR="00F07AFE" w:rsidRPr="00CD48A7" w:rsidRDefault="00F07AFE" w:rsidP="00F07AFE">
      <w:pPr>
        <w:spacing w:line="480" w:lineRule="auto"/>
      </w:pPr>
      <w:r w:rsidRPr="00CD48A7">
        <w:t>The Try-in pastes all produced colour changes above the perceptibility threshold of ΔE* 1 unit (ΔE* 0.8 – 3.2) with the Nexus-3 neutral shade &lt;1 and therefore not perceptible (Table 2).</w:t>
      </w:r>
    </w:p>
    <w:p w:rsidR="00F07AFE" w:rsidRPr="00CD48A7" w:rsidRDefault="00F07AFE" w:rsidP="00F07AFE">
      <w:pPr>
        <w:spacing w:line="480" w:lineRule="auto"/>
        <w:rPr>
          <w:b/>
        </w:rPr>
      </w:pPr>
      <w:r w:rsidRPr="00CD48A7">
        <w:rPr>
          <w:b/>
        </w:rPr>
        <w:t>3.3</w:t>
      </w:r>
      <w:r w:rsidRPr="00CD48A7">
        <w:rPr>
          <w:b/>
        </w:rPr>
        <w:tab/>
        <w:t>Try-in paste and same shade of cured resin</w:t>
      </w:r>
    </w:p>
    <w:p w:rsidR="00F07AFE" w:rsidRPr="00CD48A7" w:rsidRDefault="00F07AFE" w:rsidP="00F07AFE">
      <w:pPr>
        <w:spacing w:line="480" w:lineRule="auto"/>
      </w:pPr>
      <w:r w:rsidRPr="00CD48A7">
        <w:t>When comparing the final cured resin colour and the try-in paste of the same shade, all shades from each manufacturer produced mean ΔE* values which were perceptible (ΔE* 1.05 – 3.34)  but below the clinically significant threshold of ΔE* 5.5 units (Figure 5).</w:t>
      </w:r>
    </w:p>
    <w:p w:rsidR="00F07AFE" w:rsidRPr="00CD48A7" w:rsidRDefault="00F07AFE" w:rsidP="00F07AFE">
      <w:pPr>
        <w:spacing w:line="480" w:lineRule="auto"/>
        <w:rPr>
          <w:b/>
        </w:rPr>
      </w:pPr>
      <w:r w:rsidRPr="00CD48A7">
        <w:rPr>
          <w:b/>
        </w:rPr>
        <w:t>3.4</w:t>
      </w:r>
      <w:r w:rsidRPr="00CD48A7">
        <w:rPr>
          <w:b/>
        </w:rPr>
        <w:tab/>
        <w:t>Uncured and cured resin</w:t>
      </w:r>
    </w:p>
    <w:p w:rsidR="00F07AFE" w:rsidRPr="00CD48A7" w:rsidRDefault="00F07AFE" w:rsidP="00F07AFE">
      <w:pPr>
        <w:spacing w:line="480" w:lineRule="auto"/>
      </w:pPr>
      <w:r w:rsidRPr="00CD48A7">
        <w:t>Mean colour changes on curing all resin cements were low (ΔE* 0.78 – 1.41). Some of these colour changes were just above the perceptibility threshold  with Rely-X neutral, Calibra dark and Nexus-3 dark and white shades changed colour by less than the perceptible threshold of 1 ΔE* (Figure 6).</w:t>
      </w:r>
    </w:p>
    <w:p w:rsidR="00F07AFE" w:rsidRPr="00CD48A7" w:rsidRDefault="00F07AFE" w:rsidP="00F07AFE">
      <w:pPr>
        <w:spacing w:line="480" w:lineRule="auto"/>
      </w:pPr>
    </w:p>
    <w:p w:rsidR="00F07AFE" w:rsidRPr="00CD48A7" w:rsidRDefault="00F07AFE" w:rsidP="00F07AFE">
      <w:pPr>
        <w:pStyle w:val="ListParagraph"/>
        <w:numPr>
          <w:ilvl w:val="0"/>
          <w:numId w:val="15"/>
        </w:numPr>
        <w:spacing w:line="480" w:lineRule="auto"/>
      </w:pPr>
      <w:r w:rsidRPr="00CD48A7">
        <w:rPr>
          <w:b/>
          <w:sz w:val="28"/>
          <w:szCs w:val="28"/>
        </w:rPr>
        <w:t>Discussion.</w:t>
      </w:r>
    </w:p>
    <w:p w:rsidR="00F07AFE" w:rsidRPr="00CD48A7" w:rsidRDefault="00F07AFE" w:rsidP="00F07AFE">
      <w:pPr>
        <w:spacing w:line="480" w:lineRule="auto"/>
      </w:pPr>
      <w:r w:rsidRPr="00CD48A7">
        <w:t>The final colour of the porcelain veneer restorations was influenced by the resin cement in terms of shade and brand. All groups produced absolute colour changes between the Aquagel and cured resins which were perceptible (ΔE* &gt; 1).</w:t>
      </w:r>
    </w:p>
    <w:p w:rsidR="00F07AFE" w:rsidRPr="00CD48A7" w:rsidRDefault="00F07AFE" w:rsidP="00F07AFE">
      <w:pPr>
        <w:spacing w:line="480" w:lineRule="auto"/>
      </w:pPr>
      <w:r w:rsidRPr="00CD48A7">
        <w:t xml:space="preserve">Significantly differences in colour were found between Calibra dark and neutral shades, Calibra dark and white shades and between the Nexus-3 dark and neutral shades (p&lt;0.05). There were no significant differences between colour changes produced by different shades of Rely-X cement. Therefore, </w:t>
      </w:r>
      <w:r w:rsidRPr="00CD48A7">
        <w:rPr>
          <w:rFonts w:eastAsia="Times New Roman"/>
          <w:lang w:eastAsia="en-GB"/>
        </w:rPr>
        <w:t xml:space="preserve">the null hypothesis that there is no difference in colour achieved using different shades of resin cement produced by a manufacturer was partially rejected and partially accepted. Differences in colour between different shades of resin cements were understandably noticed as different values of a* and b* colour coordinates of different shades will obviously give different colours based on the fact that resin cements contain some opacity ingredients in different amounts. Moreover, degree of chroma influences the translucency level which in turn influences the final colour as well: </w:t>
      </w:r>
      <w:r w:rsidRPr="00CD48A7">
        <w:t xml:space="preserve">high chroma shades were less translucent </w:t>
      </w:r>
      <w:r w:rsidRPr="00CD48A7">
        <w:rPr>
          <w:vertAlign w:val="superscript"/>
        </w:rPr>
        <w:t>42</w:t>
      </w:r>
      <w:r w:rsidRPr="00CD48A7">
        <w:t>. However some of these shades might not be different enough resulting in insignificant differences.</w:t>
      </w:r>
    </w:p>
    <w:p w:rsidR="00F07AFE" w:rsidRPr="00CD48A7" w:rsidRDefault="00F07AFE" w:rsidP="00F07AFE">
      <w:pPr>
        <w:spacing w:line="480" w:lineRule="auto"/>
      </w:pPr>
      <w:r w:rsidRPr="00CD48A7">
        <w:t>Although</w:t>
      </w:r>
      <w:r w:rsidR="002C4A1C" w:rsidRPr="00CD48A7">
        <w:t xml:space="preserve"> reasonably low SDs in teeth samples and veneers samples separately were achieved, the SDs were found higher in the complex (tooth, medium and veneer). </w:t>
      </w:r>
      <w:r w:rsidRPr="00CD48A7">
        <w:t xml:space="preserve">However, it is a common issue in colour research to find such </w:t>
      </w:r>
      <w:r w:rsidR="002C4A1C" w:rsidRPr="00CD48A7">
        <w:t xml:space="preserve">relatively high </w:t>
      </w:r>
      <w:r w:rsidRPr="00CD48A7">
        <w:t>SDs</w:t>
      </w:r>
      <w:r w:rsidR="002C4A1C" w:rsidRPr="00CD48A7">
        <w:t>,</w:t>
      </w:r>
      <w:r w:rsidRPr="00CD48A7">
        <w:t xml:space="preserve"> especially with layered samples which might be explained by the variations in colour measurements of samples even under controlled conditions. Moreover, </w:t>
      </w:r>
      <w:r w:rsidR="002C4A1C" w:rsidRPr="00CD48A7">
        <w:t xml:space="preserve">based on sample size calculation made on a similar study, </w:t>
      </w:r>
      <w:r w:rsidRPr="00CD48A7">
        <w:t>15 samples were counted per group to minimize the SDs. However, a direct comparison of the colour of final restorations and try-in pastes, and therefore the ΔE between them, was not performed to avoid such high SD. Alternatively, in comparing the colour differences achieved by the cured resins and the try-in pastes from an Aquagel baseline</w:t>
      </w:r>
      <w:r w:rsidR="002C4A1C" w:rsidRPr="00CD48A7">
        <w:t>,</w:t>
      </w:r>
      <w:r w:rsidRPr="00CD48A7">
        <w:t xml:space="preserve"> it was possible to demonstrate differences in the amount of colour change produced by each shade of resin cement. This does not indicate the final colour of the restoration within the 3D colour space</w:t>
      </w:r>
      <w:r w:rsidR="002C4A1C" w:rsidRPr="00CD48A7">
        <w:t>,</w:t>
      </w:r>
      <w:r w:rsidRPr="00CD48A7">
        <w:t xml:space="preserve"> but relative distances moved within that space (ΔE*)</w:t>
      </w:r>
      <w:r w:rsidRPr="00CD48A7">
        <w:rPr>
          <w:vertAlign w:val="superscript"/>
        </w:rPr>
        <w:t xml:space="preserve"> 32</w:t>
      </w:r>
      <w:r w:rsidRPr="00CD48A7">
        <w:t>. It therefore follows that if the distance moved within that colour space is significantly different</w:t>
      </w:r>
      <w:r w:rsidR="002C4A1C" w:rsidRPr="00CD48A7">
        <w:t>,</w:t>
      </w:r>
      <w:r w:rsidRPr="00CD48A7">
        <w:t xml:space="preserve"> then the different shades will produce a different colour of final restoration.</w:t>
      </w:r>
    </w:p>
    <w:p w:rsidR="00F07AFE" w:rsidRPr="00CD48A7" w:rsidRDefault="00F07AFE" w:rsidP="00F07AFE">
      <w:pPr>
        <w:spacing w:line="480" w:lineRule="auto"/>
      </w:pPr>
      <w:r w:rsidRPr="00CD48A7">
        <w:t xml:space="preserve">The purpose of the different shades of resin cement is to achieve clinically-acceptable restorations with good colour matching to </w:t>
      </w:r>
      <w:r w:rsidR="002C4A1C" w:rsidRPr="00CD48A7">
        <w:t xml:space="preserve">the </w:t>
      </w:r>
      <w:r w:rsidRPr="00CD48A7">
        <w:t xml:space="preserve">adjacent dentition. In the </w:t>
      </w:r>
      <w:r w:rsidR="002C4A1C" w:rsidRPr="00CD48A7">
        <w:t>production</w:t>
      </w:r>
      <w:r w:rsidRPr="00CD48A7">
        <w:t xml:space="preserve"> of the veneer</w:t>
      </w:r>
      <w:r w:rsidR="002C4A1C" w:rsidRPr="00CD48A7">
        <w:t>,</w:t>
      </w:r>
      <w:r w:rsidRPr="00CD48A7">
        <w:t xml:space="preserve"> the porcelain shade is matched to the shade of the adjacent teeth. However, this matched restoration forms a complex with the underlying tooth and this can then have an influence on the colour of the restoration. </w:t>
      </w:r>
    </w:p>
    <w:p w:rsidR="00F07AFE" w:rsidRPr="00CD48A7" w:rsidRDefault="00F07AFE" w:rsidP="00F07AFE">
      <w:pPr>
        <w:spacing w:line="480" w:lineRule="auto"/>
      </w:pPr>
      <w:r w:rsidRPr="00CD48A7">
        <w:t>The differences between the colour changes produced by different cement shades, although not all above the colour matching threshold</w:t>
      </w:r>
      <w:r w:rsidR="002C4A1C" w:rsidRPr="00CD48A7">
        <w:t>,</w:t>
      </w:r>
      <w:r w:rsidRPr="00CD48A7">
        <w:t xml:space="preserve"> may be sufficient to reduce a clinically-perceptible difference between the restoration and the adjacent dentition to below the clinically perceptible threshold.</w:t>
      </w:r>
    </w:p>
    <w:p w:rsidR="00F07AFE" w:rsidRPr="00CD48A7" w:rsidRDefault="00F07AFE" w:rsidP="00F07AFE">
      <w:pPr>
        <w:spacing w:line="480" w:lineRule="auto"/>
      </w:pPr>
      <w:r w:rsidRPr="00CD48A7">
        <w:t xml:space="preserve">The try-in pastes showed significant differences in ΔE* between white neutral shades of Rely-X, and dark neutral and white neutral shades of Nexus-3. There was no significance in the differences in ΔE* between different shades of Calibra. Therefore, </w:t>
      </w:r>
      <w:r w:rsidRPr="00CD48A7">
        <w:rPr>
          <w:rFonts w:eastAsia="Times New Roman"/>
          <w:lang w:eastAsia="en-GB"/>
        </w:rPr>
        <w:t>the null hypothesis that there is no difference in colour achieved using different shades of try-in pastes produced by a manufacturer was partially rejected and partially accepted.</w:t>
      </w:r>
      <w:r w:rsidRPr="00CD48A7">
        <w:t xml:space="preserve"> </w:t>
      </w:r>
      <w:r w:rsidR="002C4A1C" w:rsidRPr="00CD48A7">
        <w:t>The</w:t>
      </w:r>
      <w:r w:rsidRPr="00CD48A7">
        <w:t xml:space="preserve"> differences between the colours produced by different try-in pastes mean that in a clinical situation the different shades can be used to produce colour changes and guide colour-matching.</w:t>
      </w:r>
    </w:p>
    <w:p w:rsidR="00F07AFE" w:rsidRPr="00CD48A7" w:rsidRDefault="00F07AFE" w:rsidP="00F07AFE">
      <w:pPr>
        <w:spacing w:line="480" w:lineRule="auto"/>
      </w:pPr>
      <w:r w:rsidRPr="00CD48A7">
        <w:t>The null hypothesis that there is no perceptible difference between the colour achieved by the try-in paste and the same shade of cured resin cement was rejected as all colour difference values between try-in pastes and corresponding shades of resin cements were perceptible (ΔE* 1.05 – 3.34). All these difference</w:t>
      </w:r>
      <w:r w:rsidR="002C4A1C" w:rsidRPr="00CD48A7">
        <w:t>s</w:t>
      </w:r>
      <w:r w:rsidRPr="00CD48A7">
        <w:t xml:space="preserve"> were below the clinically acceptable threshold of ΔE* 5.5 units, however, most of them were highly above the perceptible limit and considered clinically significant.</w:t>
      </w:r>
    </w:p>
    <w:p w:rsidR="00F07AFE" w:rsidRPr="00CD48A7" w:rsidRDefault="00F07AFE" w:rsidP="00F07AFE">
      <w:pPr>
        <w:spacing w:line="480" w:lineRule="auto"/>
      </w:pPr>
      <w:r w:rsidRPr="00CD48A7">
        <w:t>In order to act as a guide to the shade of resin required to achieve an acceptable restoration</w:t>
      </w:r>
      <w:r w:rsidR="002C4A1C" w:rsidRPr="00CD48A7">
        <w:t>,</w:t>
      </w:r>
      <w:r w:rsidRPr="00CD48A7">
        <w:t xml:space="preserve"> the try-in paste should give an accurate reflection of the final colour which will be achieved by that shade of resin. However, the difference between the try-in paste and the cured resin means that the pastes are only useful as a guide and the difference between that and the cured resin may result in a clinically-unacceptable differences between the restoration and the matched dentition when the cured resin is in place. </w:t>
      </w:r>
    </w:p>
    <w:p w:rsidR="00F07AFE" w:rsidRPr="00CD48A7" w:rsidRDefault="00F07AFE" w:rsidP="00F07AFE">
      <w:pPr>
        <w:spacing w:line="480" w:lineRule="auto"/>
      </w:pPr>
      <w:r w:rsidRPr="00CD48A7">
        <w:t>The null hypothesis that there is no perceptible change in the colour of the restoration on curing of the resin cement was partially rejected and partially accepted as the ΔE* values calculated between the uncured and cured resin cements for all shades and manufacturers were found to be around the threshold of perceptibility (ΔE* 0.78 – 1.41). Such small colour d</w:t>
      </w:r>
      <w:r w:rsidR="002C4A1C" w:rsidRPr="00CD48A7">
        <w:t>ifferences happened on polymeris</w:t>
      </w:r>
      <w:r w:rsidRPr="00CD48A7">
        <w:t xml:space="preserve">ation of resin cement might be traced back to the reduction in absorption of blue light by photo initiations after light curing, which might influence the b* colour coordinates and therefore the colour difference values </w:t>
      </w:r>
      <w:r w:rsidRPr="00CD48A7">
        <w:rPr>
          <w:vertAlign w:val="superscript"/>
        </w:rPr>
        <w:t>43</w:t>
      </w:r>
      <w:r w:rsidRPr="00CD48A7">
        <w:t>. Moreover, resin cements samples bec</w:t>
      </w:r>
      <w:r w:rsidR="002C4A1C" w:rsidRPr="00CD48A7">
        <w:t>ame darker after light polymeris</w:t>
      </w:r>
      <w:r w:rsidRPr="00CD48A7">
        <w:t xml:space="preserve">ation beneath 1mm and 2 mm thick porcelain veneers and therefore, influenced the colour of the final veneer restoration </w:t>
      </w:r>
      <w:r w:rsidRPr="00CD48A7">
        <w:rPr>
          <w:vertAlign w:val="superscript"/>
        </w:rPr>
        <w:t>44</w:t>
      </w:r>
      <w:r w:rsidRPr="00CD48A7">
        <w:t xml:space="preserve">. </w:t>
      </w:r>
    </w:p>
    <w:p w:rsidR="00F07AFE" w:rsidRPr="00CD48A7" w:rsidRDefault="00F07AFE" w:rsidP="00F07AFE">
      <w:pPr>
        <w:spacing w:line="480" w:lineRule="auto"/>
      </w:pPr>
      <w:r w:rsidRPr="00CD48A7">
        <w:t>Colour chang</w:t>
      </w:r>
      <w:r w:rsidR="002C4A1C" w:rsidRPr="00CD48A7">
        <w:t>es of resin cements on polymeris</w:t>
      </w:r>
      <w:r w:rsidRPr="00CD48A7">
        <w:t>ation were not clinically significant as some these colour change values were just above the perceptibility threshold with Rely-X neutral, Calibra dark and Nexus-3 dark and white shades changed colour by less than the perceptible threshold of 1 ΔE*. Therefore, in a clinical context the guidance of the try-in paste is limited and the colour of the final restoration is more accurately guided by the colour of the uncured resin. When the veneer is in place and the resin is uncured then the colour can be assessed and the resin removed if the colour match is unacceptable. Moreover, using the uncured resin cement is advised to be used as a try-in of porcelain veneers, and using any of the solvents available for oral use (</w:t>
      </w:r>
      <w:r w:rsidR="002C4A1C" w:rsidRPr="00CD48A7">
        <w:t>for instance, a</w:t>
      </w:r>
      <w:r w:rsidRPr="00CD48A7">
        <w:t xml:space="preserve">cetone, ethanol and  methanol) to remove the remains of the uncured resin cement has not influenced the bond strength of these veneers </w:t>
      </w:r>
      <w:r w:rsidRPr="00CD48A7">
        <w:rPr>
          <w:vertAlign w:val="superscript"/>
        </w:rPr>
        <w:t>45</w:t>
      </w:r>
      <w:r w:rsidRPr="00CD48A7">
        <w:t>.</w:t>
      </w:r>
    </w:p>
    <w:p w:rsidR="00F07AFE" w:rsidRPr="00CD48A7" w:rsidRDefault="00F07AFE" w:rsidP="00F07AFE">
      <w:pPr>
        <w:spacing w:line="480" w:lineRule="auto"/>
      </w:pPr>
      <w:r w:rsidRPr="00CD48A7">
        <w:t xml:space="preserve">It is also significant that the thickness of porcelain varies over the area of clinical veneer with thinner porcelain at the cervical margin. The effect of the underlying cement shade would therefore be expected to change over this area. It is generally accepted that an ideal preparation is 0.7mm, reducing to 0.4mm at the gingival margin </w:t>
      </w:r>
      <w:r w:rsidRPr="00CD48A7">
        <w:rPr>
          <w:vertAlign w:val="superscript"/>
        </w:rPr>
        <w:t>8</w:t>
      </w:r>
      <w:r w:rsidRPr="00CD48A7">
        <w:t xml:space="preserve">. Twenty four per cent of teeth prepared to receive a porcelain veneer were found to have preparations around or exceed 1.0 mm </w:t>
      </w:r>
      <w:r w:rsidRPr="00CD48A7">
        <w:rPr>
          <w:vertAlign w:val="superscript"/>
        </w:rPr>
        <w:t>46</w:t>
      </w:r>
      <w:r w:rsidRPr="00CD48A7">
        <w:t>. Therefore, porcelain veneers of 1.0 mm thickness were used in this study. And further investigation into the effect of cement shade with 0.6 mm thicknesses of porcelain veneers (1.0 mm, and 0.6 mm will represents the common porcelain thicknesses used to fabricate veneers) is going to be investigated in our next study and this will, it is hoped, add to the overall relevant clinical picture.</w:t>
      </w:r>
    </w:p>
    <w:p w:rsidR="00F07AFE" w:rsidRPr="00CD48A7" w:rsidRDefault="00F07AFE" w:rsidP="00F07AFE">
      <w:pPr>
        <w:pStyle w:val="western"/>
        <w:spacing w:line="480" w:lineRule="auto"/>
      </w:pPr>
      <w:r w:rsidRPr="00CD48A7">
        <w:t xml:space="preserve">The colour of the Empress Porcelain samples cemented with resin cement has changed after water storage, regardless of the shade of resin cement used </w:t>
      </w:r>
      <w:r w:rsidRPr="00CD48A7">
        <w:rPr>
          <w:vertAlign w:val="superscript"/>
        </w:rPr>
        <w:t>47</w:t>
      </w:r>
      <w:r w:rsidRPr="00CD48A7">
        <w:t xml:space="preserve">. Furthermore, many studies have shown a difference in colour of resin cement and porcelain samples after aging </w:t>
      </w:r>
      <w:r w:rsidRPr="00CD48A7">
        <w:rPr>
          <w:vertAlign w:val="superscript"/>
        </w:rPr>
        <w:t>48</w:t>
      </w:r>
      <w:r w:rsidRPr="00CD48A7">
        <w:t>. In our study, colour measurements of the veneers were taken after cementation, therefore, further studies are recommended to see the effect of water storage, accelerating aging, and thermocycling on the colour of porcelain veneers cemented by different shades of resin cements.</w:t>
      </w:r>
    </w:p>
    <w:p w:rsidR="00F07AFE" w:rsidRPr="00CD48A7" w:rsidRDefault="00F07AFE" w:rsidP="00F07AFE">
      <w:pPr>
        <w:spacing w:line="480" w:lineRule="auto"/>
      </w:pPr>
      <w:r w:rsidRPr="00CD48A7">
        <w:t xml:space="preserve">Additional studies in this area could incorporate clear elements of colour matching. The colour of restoration produced with different resin shades could be compared with the desired shade of porcelain restoration. </w:t>
      </w:r>
    </w:p>
    <w:p w:rsidR="00F07AFE" w:rsidRPr="00CD48A7" w:rsidRDefault="00F07AFE" w:rsidP="00F07AFE">
      <w:pPr>
        <w:spacing w:line="480" w:lineRule="auto"/>
        <w:rPr>
          <w:b/>
          <w:sz w:val="28"/>
          <w:szCs w:val="28"/>
        </w:rPr>
      </w:pPr>
      <w:r w:rsidRPr="00CD48A7">
        <w:rPr>
          <w:b/>
          <w:sz w:val="28"/>
          <w:szCs w:val="28"/>
        </w:rPr>
        <w:t>5.</w:t>
      </w:r>
      <w:r w:rsidRPr="00CD48A7">
        <w:rPr>
          <w:b/>
          <w:sz w:val="28"/>
          <w:szCs w:val="28"/>
        </w:rPr>
        <w:tab/>
        <w:t>Conclusion</w:t>
      </w:r>
    </w:p>
    <w:p w:rsidR="00F07AFE" w:rsidRPr="00CD48A7" w:rsidRDefault="00F07AFE" w:rsidP="00F07AFE">
      <w:pPr>
        <w:spacing w:line="480" w:lineRule="auto"/>
      </w:pPr>
      <w:r w:rsidRPr="00CD48A7">
        <w:t>Different coloured try-in pastes and resin cements produce colour changes which may be clinically useful in changing the colour of veneer restorations and therefore aid colour matching to adjacent dentition. Clinically significant differences were found between try-in pastes and the cured resin of the same shade, however, there were relatively small changes measured between un-cured and cured resins. The colour match achieved by the try-in paste should be treated with caution and further assessment of the restoration made with the resin in place before curing.</w:t>
      </w:r>
    </w:p>
    <w:p w:rsidR="00F07AFE" w:rsidRPr="00CD48A7" w:rsidRDefault="00F07AFE" w:rsidP="00F07AFE">
      <w:pPr>
        <w:spacing w:line="480" w:lineRule="auto"/>
      </w:pPr>
    </w:p>
    <w:p w:rsidR="00F07AFE" w:rsidRPr="00CD48A7" w:rsidRDefault="00F07AFE" w:rsidP="00F07AFE">
      <w:pPr>
        <w:spacing w:line="480" w:lineRule="auto"/>
      </w:pPr>
    </w:p>
    <w:p w:rsidR="00F07AFE" w:rsidRPr="00CD48A7" w:rsidRDefault="00F07AFE" w:rsidP="00F07AFE">
      <w:pPr>
        <w:spacing w:line="480" w:lineRule="auto"/>
      </w:pPr>
    </w:p>
    <w:p w:rsidR="00F07AFE" w:rsidRPr="00CD48A7" w:rsidRDefault="00F07AFE" w:rsidP="00F07AFE">
      <w:pPr>
        <w:spacing w:line="480" w:lineRule="auto"/>
      </w:pPr>
    </w:p>
    <w:p w:rsidR="00F07AFE" w:rsidRPr="00CD48A7" w:rsidRDefault="00F07AFE" w:rsidP="00F07AFE">
      <w:pPr>
        <w:spacing w:after="100" w:afterAutospacing="1" w:line="480" w:lineRule="auto"/>
        <w:rPr>
          <w:b/>
          <w:sz w:val="28"/>
          <w:szCs w:val="28"/>
        </w:rPr>
      </w:pPr>
      <w:r w:rsidRPr="00CD48A7">
        <w:rPr>
          <w:b/>
          <w:sz w:val="28"/>
          <w:szCs w:val="28"/>
        </w:rPr>
        <w:t>Acknowledgment</w:t>
      </w:r>
    </w:p>
    <w:p w:rsidR="00F07AFE" w:rsidRPr="00CD48A7" w:rsidRDefault="00F07AFE" w:rsidP="00F07AFE">
      <w:pPr>
        <w:spacing w:after="100" w:afterAutospacing="1" w:line="480" w:lineRule="auto"/>
      </w:pPr>
      <w:r w:rsidRPr="00CD48A7">
        <w:t xml:space="preserve">Nabiel ALGhazali is funded by Syrian Government, University of Aleppo. </w:t>
      </w:r>
    </w:p>
    <w:p w:rsidR="00F07AFE" w:rsidRPr="00CD48A7" w:rsidRDefault="00F07AFE" w:rsidP="00F07AFE">
      <w:pPr>
        <w:spacing w:after="100" w:afterAutospacing="1" w:line="480" w:lineRule="auto"/>
      </w:pPr>
      <w:r w:rsidRPr="00CD48A7">
        <w:rPr>
          <w:b/>
          <w:bCs/>
          <w:sz w:val="28"/>
          <w:szCs w:val="28"/>
        </w:rPr>
        <w:t xml:space="preserve">6. </w:t>
      </w:r>
      <w:r w:rsidRPr="00CD48A7">
        <w:rPr>
          <w:b/>
          <w:bCs/>
          <w:sz w:val="28"/>
          <w:szCs w:val="28"/>
        </w:rPr>
        <w:tab/>
      </w:r>
      <w:r w:rsidRPr="00CD48A7">
        <w:rPr>
          <w:b/>
          <w:bCs/>
        </w:rPr>
        <w:t>References:</w:t>
      </w:r>
    </w:p>
    <w:p w:rsidR="00E61790" w:rsidRPr="00CD48A7" w:rsidRDefault="00E61790" w:rsidP="00E61790">
      <w:pPr>
        <w:tabs>
          <w:tab w:val="num" w:pos="644"/>
        </w:tabs>
        <w:autoSpaceDE w:val="0"/>
        <w:autoSpaceDN w:val="0"/>
        <w:adjustRightInd w:val="0"/>
        <w:spacing w:line="480" w:lineRule="auto"/>
        <w:ind w:left="357"/>
      </w:pPr>
      <w:r w:rsidRPr="00CD48A7">
        <w:t xml:space="preserve">1.Vallittu PK, Vallittu ASJ, Lassila VP. Dental aesthetics-a survey of attitudes in different groups of patients. </w:t>
      </w:r>
      <w:r w:rsidRPr="00CD48A7">
        <w:rPr>
          <w:i/>
          <w:iCs/>
        </w:rPr>
        <w:t>Journal of Denistry</w:t>
      </w:r>
      <w:r w:rsidRPr="00CD48A7">
        <w:t xml:space="preserve"> 1996;</w:t>
      </w:r>
      <w:r w:rsidRPr="00CD48A7">
        <w:rPr>
          <w:b/>
          <w:bCs/>
        </w:rPr>
        <w:t xml:space="preserve"> 24</w:t>
      </w:r>
      <w:r w:rsidRPr="00CD48A7">
        <w:rPr>
          <w:bCs/>
        </w:rPr>
        <w:t>:335</w:t>
      </w:r>
      <w:r w:rsidRPr="00CD48A7">
        <w:t>-338.</w:t>
      </w:r>
    </w:p>
    <w:p w:rsidR="00E61790" w:rsidRPr="00CD48A7" w:rsidRDefault="00E61790" w:rsidP="00E61790">
      <w:pPr>
        <w:tabs>
          <w:tab w:val="num" w:pos="644"/>
        </w:tabs>
        <w:autoSpaceDE w:val="0"/>
        <w:autoSpaceDN w:val="0"/>
        <w:adjustRightInd w:val="0"/>
        <w:spacing w:line="480" w:lineRule="auto"/>
        <w:ind w:left="357"/>
      </w:pPr>
      <w:r w:rsidRPr="00CD48A7">
        <w:t xml:space="preserve">2. Carlsson GE, Wagner IV, O¨ dman P, Ekstrand K, MacEntee M, Marinello C. An international comparative multicenter study of assessment of dental appearance using computer aided image manipulation. </w:t>
      </w:r>
      <w:r w:rsidRPr="00CD48A7">
        <w:rPr>
          <w:i/>
          <w:iCs/>
        </w:rPr>
        <w:t>International Journal of Prosthodontics</w:t>
      </w:r>
      <w:r w:rsidRPr="00CD48A7">
        <w:t xml:space="preserve"> 1998;</w:t>
      </w:r>
      <w:r w:rsidRPr="00CD48A7">
        <w:rPr>
          <w:b/>
          <w:bCs/>
        </w:rPr>
        <w:t xml:space="preserve"> 11:</w:t>
      </w:r>
      <w:r w:rsidRPr="00CD48A7">
        <w:rPr>
          <w:bCs/>
        </w:rPr>
        <w:t>246</w:t>
      </w:r>
      <w:r w:rsidRPr="00CD48A7">
        <w:t>-54.</w:t>
      </w:r>
    </w:p>
    <w:p w:rsidR="00E61790" w:rsidRPr="00CD48A7" w:rsidRDefault="00E61790" w:rsidP="00E61790">
      <w:pPr>
        <w:tabs>
          <w:tab w:val="num" w:pos="644"/>
        </w:tabs>
        <w:autoSpaceDE w:val="0"/>
        <w:autoSpaceDN w:val="0"/>
        <w:adjustRightInd w:val="0"/>
        <w:spacing w:line="480" w:lineRule="auto"/>
        <w:ind w:left="357"/>
      </w:pPr>
      <w:r w:rsidRPr="00CD48A7">
        <w:t xml:space="preserve">3. Davis LG, Ashworth PD, Spriggs LS. Psychological effects of aesthetic dental treatment. </w:t>
      </w:r>
      <w:r w:rsidRPr="00CD48A7">
        <w:rPr>
          <w:i/>
        </w:rPr>
        <w:t>Journal of Dentistry</w:t>
      </w:r>
      <w:r w:rsidRPr="00CD48A7">
        <w:t xml:space="preserve"> 1998;</w:t>
      </w:r>
      <w:r w:rsidRPr="00CD48A7">
        <w:rPr>
          <w:b/>
          <w:bCs/>
        </w:rPr>
        <w:t xml:space="preserve"> 26</w:t>
      </w:r>
      <w:r w:rsidRPr="00CD48A7">
        <w:rPr>
          <w:bCs/>
        </w:rPr>
        <w:t>:547</w:t>
      </w:r>
      <w:r w:rsidRPr="00CD48A7">
        <w:t>-54.</w:t>
      </w:r>
    </w:p>
    <w:p w:rsidR="00E61790" w:rsidRPr="00CD48A7" w:rsidRDefault="00E61790" w:rsidP="00E61790">
      <w:pPr>
        <w:tabs>
          <w:tab w:val="num" w:pos="644"/>
        </w:tabs>
        <w:autoSpaceDE w:val="0"/>
        <w:autoSpaceDN w:val="0"/>
        <w:adjustRightInd w:val="0"/>
        <w:spacing w:line="480" w:lineRule="auto"/>
        <w:ind w:left="357"/>
      </w:pPr>
      <w:r w:rsidRPr="00CD48A7">
        <w:t xml:space="preserve">4. Feigenbaum NA, Mopper WKA: </w:t>
      </w:r>
      <w:r w:rsidRPr="00CD48A7">
        <w:rPr>
          <w:i/>
        </w:rPr>
        <w:t>A complete guide to bonding</w:t>
      </w:r>
      <w:r w:rsidRPr="00CD48A7">
        <w:t>. East Windsor, N.J.: MED Communications; 1984.</w:t>
      </w:r>
    </w:p>
    <w:p w:rsidR="00E61790" w:rsidRPr="00CD48A7" w:rsidRDefault="00E61790" w:rsidP="00E61790">
      <w:pPr>
        <w:tabs>
          <w:tab w:val="num" w:pos="644"/>
        </w:tabs>
        <w:autoSpaceDE w:val="0"/>
        <w:autoSpaceDN w:val="0"/>
        <w:adjustRightInd w:val="0"/>
        <w:spacing w:line="480" w:lineRule="auto"/>
        <w:ind w:left="357"/>
      </w:pPr>
      <w:r w:rsidRPr="00CD48A7">
        <w:t xml:space="preserve">5. Chiche GA, Pinault A. </w:t>
      </w:r>
      <w:r w:rsidRPr="00CD48A7">
        <w:rPr>
          <w:i/>
        </w:rPr>
        <w:t>Aesthetics of anterior fixed prosthodontics</w:t>
      </w:r>
      <w:r w:rsidRPr="00CD48A7">
        <w:t>. Chicago: Quintessence; 1993.</w:t>
      </w:r>
    </w:p>
    <w:p w:rsidR="00E61790" w:rsidRPr="00CD48A7" w:rsidRDefault="00E61790" w:rsidP="00E61790">
      <w:pPr>
        <w:tabs>
          <w:tab w:val="num" w:pos="644"/>
        </w:tabs>
        <w:autoSpaceDE w:val="0"/>
        <w:autoSpaceDN w:val="0"/>
        <w:adjustRightInd w:val="0"/>
        <w:spacing w:line="480" w:lineRule="auto"/>
        <w:ind w:left="357"/>
      </w:pPr>
      <w:r w:rsidRPr="00CD48A7">
        <w:t xml:space="preserve">6. Christensen GJ. How ethical are aesthetic dental procedures? </w:t>
      </w:r>
      <w:r w:rsidRPr="00CD48A7">
        <w:rPr>
          <w:i/>
        </w:rPr>
        <w:t>Journal of American Dental Association</w:t>
      </w:r>
      <w:r w:rsidRPr="00CD48A7">
        <w:t xml:space="preserve"> 1994; </w:t>
      </w:r>
      <w:r w:rsidRPr="00CD48A7">
        <w:rPr>
          <w:b/>
        </w:rPr>
        <w:t>125</w:t>
      </w:r>
      <w:r w:rsidRPr="00CD48A7">
        <w:t>:1498-502.</w:t>
      </w:r>
    </w:p>
    <w:p w:rsidR="00E61790" w:rsidRPr="00CD48A7" w:rsidRDefault="00E61790" w:rsidP="00E61790">
      <w:pPr>
        <w:tabs>
          <w:tab w:val="num" w:pos="644"/>
        </w:tabs>
        <w:autoSpaceDE w:val="0"/>
        <w:autoSpaceDN w:val="0"/>
        <w:adjustRightInd w:val="0"/>
        <w:spacing w:line="480" w:lineRule="auto"/>
        <w:ind w:left="357"/>
      </w:pPr>
      <w:r w:rsidRPr="00CD48A7">
        <w:t xml:space="preserve">7. Faculty of Dental Surgery; Royal College of Surgeons. National Clinical Guidelines: </w:t>
      </w:r>
      <w:r w:rsidRPr="00CD48A7">
        <w:rPr>
          <w:i/>
        </w:rPr>
        <w:t>Restorative Indications for Porcelain Veneer Restorations</w:t>
      </w:r>
      <w:r w:rsidRPr="00CD48A7">
        <w:t>. London: Royal College of Surgeons; 1997.</w:t>
      </w:r>
    </w:p>
    <w:p w:rsidR="00E61790" w:rsidRPr="00CD48A7" w:rsidRDefault="00E61790" w:rsidP="00E61790">
      <w:pPr>
        <w:tabs>
          <w:tab w:val="num" w:pos="644"/>
        </w:tabs>
        <w:autoSpaceDE w:val="0"/>
        <w:autoSpaceDN w:val="0"/>
        <w:adjustRightInd w:val="0"/>
        <w:spacing w:line="480" w:lineRule="auto"/>
        <w:ind w:left="357"/>
      </w:pPr>
      <w:r w:rsidRPr="00CD48A7">
        <w:t xml:space="preserve">8. Peumans M, Van Meerbeek B, Lambrechts P, Vanherle G. Porcelain veneers: a review of the literature. </w:t>
      </w:r>
      <w:r w:rsidRPr="00CD48A7">
        <w:rPr>
          <w:i/>
          <w:iCs/>
        </w:rPr>
        <w:t>Journal of Dentistry</w:t>
      </w:r>
      <w:r w:rsidRPr="00CD48A7">
        <w:t xml:space="preserve"> 2000;</w:t>
      </w:r>
      <w:r w:rsidRPr="00CD48A7">
        <w:rPr>
          <w:b/>
          <w:bCs/>
        </w:rPr>
        <w:t xml:space="preserve"> 28</w:t>
      </w:r>
      <w:r w:rsidRPr="00CD48A7">
        <w:rPr>
          <w:bCs/>
        </w:rPr>
        <w:t>:163</w:t>
      </w:r>
      <w:r w:rsidRPr="00CD48A7">
        <w:t>-77.</w:t>
      </w:r>
    </w:p>
    <w:p w:rsidR="00E61790" w:rsidRPr="00CD48A7" w:rsidRDefault="00E61790" w:rsidP="00E61790">
      <w:pPr>
        <w:tabs>
          <w:tab w:val="num" w:pos="644"/>
        </w:tabs>
        <w:autoSpaceDE w:val="0"/>
        <w:autoSpaceDN w:val="0"/>
        <w:adjustRightInd w:val="0"/>
        <w:spacing w:line="480" w:lineRule="auto"/>
        <w:ind w:left="357"/>
      </w:pPr>
      <w:r w:rsidRPr="00CD48A7">
        <w:t xml:space="preserve">9. Van-Meerbeek B, Peumans M, Gladys S, et al. Three-year clinical effectiveness of four totals-etch dentinal adhesive systems in cervical lesion. </w:t>
      </w:r>
      <w:r w:rsidRPr="00CD48A7">
        <w:rPr>
          <w:i/>
          <w:iCs/>
        </w:rPr>
        <w:t>Quintessence International</w:t>
      </w:r>
      <w:r w:rsidRPr="00CD48A7">
        <w:t xml:space="preserve"> 1996;</w:t>
      </w:r>
      <w:r w:rsidRPr="00CD48A7">
        <w:rPr>
          <w:b/>
          <w:bCs/>
        </w:rPr>
        <w:t xml:space="preserve"> 27</w:t>
      </w:r>
      <w:r w:rsidRPr="00CD48A7">
        <w:rPr>
          <w:bCs/>
        </w:rPr>
        <w:t>:775</w:t>
      </w:r>
      <w:r w:rsidRPr="00CD48A7">
        <w:t>-84.</w:t>
      </w:r>
    </w:p>
    <w:p w:rsidR="00E61790" w:rsidRPr="00CD48A7" w:rsidRDefault="00E61790" w:rsidP="00E61790">
      <w:pPr>
        <w:tabs>
          <w:tab w:val="num" w:pos="644"/>
        </w:tabs>
        <w:autoSpaceDE w:val="0"/>
        <w:autoSpaceDN w:val="0"/>
        <w:adjustRightInd w:val="0"/>
        <w:spacing w:line="480" w:lineRule="auto"/>
        <w:ind w:left="357"/>
      </w:pPr>
      <w:r w:rsidRPr="00CD48A7">
        <w:t>10. Van-Meerbeek B, Perdigoa J, Lambrechets P, et al. The clinical performance of adhesives</w:t>
      </w:r>
      <w:r w:rsidRPr="00CD48A7">
        <w:rPr>
          <w:i/>
          <w:iCs/>
        </w:rPr>
        <w:t>. Journal of Dentistry</w:t>
      </w:r>
      <w:r w:rsidRPr="00CD48A7">
        <w:t xml:space="preserve"> 1998;</w:t>
      </w:r>
      <w:r w:rsidRPr="00CD48A7">
        <w:rPr>
          <w:b/>
          <w:bCs/>
        </w:rPr>
        <w:t xml:space="preserve"> 26</w:t>
      </w:r>
      <w:r w:rsidRPr="00CD48A7">
        <w:rPr>
          <w:bCs/>
        </w:rPr>
        <w:t>:1</w:t>
      </w:r>
      <w:r w:rsidRPr="00CD48A7">
        <w:t>–20.</w:t>
      </w:r>
    </w:p>
    <w:p w:rsidR="00E61790" w:rsidRPr="00CD48A7" w:rsidRDefault="00E61790" w:rsidP="00E61790">
      <w:pPr>
        <w:tabs>
          <w:tab w:val="num" w:pos="644"/>
        </w:tabs>
        <w:autoSpaceDE w:val="0"/>
        <w:autoSpaceDN w:val="0"/>
        <w:adjustRightInd w:val="0"/>
        <w:spacing w:line="480" w:lineRule="auto"/>
        <w:ind w:left="357"/>
      </w:pPr>
      <w:r w:rsidRPr="00CD48A7">
        <w:t xml:space="preserve">11. Russell MD, Gulfraz M, Moss BW. In vivo measurement of colour changes in natural teeth. </w:t>
      </w:r>
      <w:r w:rsidRPr="00CD48A7">
        <w:rPr>
          <w:i/>
          <w:iCs/>
        </w:rPr>
        <w:t xml:space="preserve">Journal of Oral Rehabitation </w:t>
      </w:r>
      <w:r w:rsidRPr="00CD48A7">
        <w:rPr>
          <w:iCs/>
        </w:rPr>
        <w:t>2000</w:t>
      </w:r>
      <w:r w:rsidRPr="00CD48A7">
        <w:t>;</w:t>
      </w:r>
      <w:r w:rsidRPr="00CD48A7">
        <w:rPr>
          <w:b/>
          <w:bCs/>
        </w:rPr>
        <w:t xml:space="preserve"> 27</w:t>
      </w:r>
      <w:r w:rsidRPr="00CD48A7">
        <w:rPr>
          <w:bCs/>
        </w:rPr>
        <w:t>:786</w:t>
      </w:r>
      <w:r w:rsidRPr="00CD48A7">
        <w:t>-92.</w:t>
      </w:r>
    </w:p>
    <w:p w:rsidR="00E61790" w:rsidRPr="00CD48A7" w:rsidRDefault="00E61790" w:rsidP="00E61790">
      <w:pPr>
        <w:tabs>
          <w:tab w:val="num" w:pos="644"/>
        </w:tabs>
        <w:autoSpaceDE w:val="0"/>
        <w:autoSpaceDN w:val="0"/>
        <w:adjustRightInd w:val="0"/>
        <w:spacing w:line="480" w:lineRule="auto"/>
        <w:ind w:left="357"/>
      </w:pPr>
      <w:r w:rsidRPr="00CD48A7">
        <w:t xml:space="preserve">12. Masterdomini D, Friedman MJ. The contact lens effect: enhancing Porcelain Veneer esthetics. </w:t>
      </w:r>
      <w:r w:rsidRPr="00CD48A7">
        <w:rPr>
          <w:i/>
          <w:iCs/>
        </w:rPr>
        <w:t xml:space="preserve"> Journal of Esthetic Dentistry</w:t>
      </w:r>
      <w:r w:rsidRPr="00CD48A7">
        <w:t xml:space="preserve"> 1995;</w:t>
      </w:r>
      <w:r w:rsidRPr="00CD48A7">
        <w:rPr>
          <w:b/>
          <w:bCs/>
        </w:rPr>
        <w:t xml:space="preserve"> 7</w:t>
      </w:r>
      <w:r w:rsidRPr="00CD48A7">
        <w:rPr>
          <w:bCs/>
        </w:rPr>
        <w:t>:99</w:t>
      </w:r>
      <w:r w:rsidRPr="00CD48A7">
        <w:t>-103.</w:t>
      </w:r>
    </w:p>
    <w:p w:rsidR="00E61790" w:rsidRPr="00CD48A7" w:rsidRDefault="00E61790" w:rsidP="00E61790">
      <w:pPr>
        <w:tabs>
          <w:tab w:val="num" w:pos="644"/>
        </w:tabs>
        <w:autoSpaceDE w:val="0"/>
        <w:autoSpaceDN w:val="0"/>
        <w:adjustRightInd w:val="0"/>
        <w:spacing w:line="480" w:lineRule="auto"/>
        <w:ind w:left="357"/>
      </w:pPr>
      <w:r w:rsidRPr="00CD48A7">
        <w:t xml:space="preserve">13. Conrad HJ, Seong W, Pesun IJ. Current ceramic materials and systems with clinical recommendations: A systematic review. </w:t>
      </w:r>
      <w:r w:rsidRPr="00CD48A7">
        <w:rPr>
          <w:i/>
          <w:iCs/>
        </w:rPr>
        <w:t>Journal of Prosthetic Dentistry</w:t>
      </w:r>
      <w:r w:rsidRPr="00CD48A7">
        <w:t xml:space="preserve"> 2007;</w:t>
      </w:r>
      <w:r w:rsidRPr="00CD48A7">
        <w:rPr>
          <w:b/>
          <w:bCs/>
        </w:rPr>
        <w:t xml:space="preserve"> 98</w:t>
      </w:r>
      <w:r w:rsidRPr="00CD48A7">
        <w:rPr>
          <w:bCs/>
        </w:rPr>
        <w:t>:389</w:t>
      </w:r>
      <w:r w:rsidRPr="00CD48A7">
        <w:t>-404.</w:t>
      </w:r>
    </w:p>
    <w:p w:rsidR="00E61790" w:rsidRPr="00CD48A7" w:rsidRDefault="00E61790" w:rsidP="00E61790">
      <w:pPr>
        <w:tabs>
          <w:tab w:val="num" w:pos="644"/>
        </w:tabs>
        <w:autoSpaceDE w:val="0"/>
        <w:autoSpaceDN w:val="0"/>
        <w:adjustRightInd w:val="0"/>
        <w:spacing w:line="480" w:lineRule="auto"/>
        <w:ind w:left="357"/>
      </w:pPr>
      <w:r w:rsidRPr="00CD48A7">
        <w:t>14. Vichi A, Ferrari M, Davidson CL. Influence of ceramic and cement thickness on the masking of various types of opaque posts.</w:t>
      </w:r>
      <w:r w:rsidRPr="00CD48A7">
        <w:rPr>
          <w:i/>
          <w:iCs/>
        </w:rPr>
        <w:t xml:space="preserve"> Journal of Prosthtic Dentistry</w:t>
      </w:r>
      <w:r w:rsidRPr="00CD48A7">
        <w:t xml:space="preserve"> 2000;</w:t>
      </w:r>
      <w:r w:rsidRPr="00CD48A7">
        <w:rPr>
          <w:b/>
          <w:bCs/>
        </w:rPr>
        <w:t xml:space="preserve"> 83</w:t>
      </w:r>
      <w:r w:rsidRPr="00CD48A7">
        <w:rPr>
          <w:bCs/>
        </w:rPr>
        <w:t>:412</w:t>
      </w:r>
      <w:r w:rsidRPr="00CD48A7">
        <w:t>-7.</w:t>
      </w:r>
    </w:p>
    <w:p w:rsidR="00E61790" w:rsidRPr="00CD48A7" w:rsidRDefault="00E61790" w:rsidP="00E61790">
      <w:pPr>
        <w:spacing w:before="100" w:beforeAutospacing="1" w:after="240" w:line="480" w:lineRule="auto"/>
        <w:ind w:left="357"/>
        <w:rPr>
          <w:lang w:eastAsia="en-GB"/>
        </w:rPr>
      </w:pPr>
      <w:r w:rsidRPr="00CD48A7">
        <w:t xml:space="preserve">15. Davis BK, Aquilino SA, Lund PS, Diaz-Arnold AM, Denehy GE. Colourimetric evaluation of the effect of porcelain opacity on the resultant colour of porcelain veneers. </w:t>
      </w:r>
      <w:r w:rsidRPr="00CD48A7">
        <w:rPr>
          <w:i/>
          <w:iCs/>
        </w:rPr>
        <w:t>International Journal of Prosthodontics</w:t>
      </w:r>
      <w:r w:rsidRPr="00CD48A7">
        <w:t xml:space="preserve"> 1992; </w:t>
      </w:r>
      <w:r w:rsidRPr="00CD48A7">
        <w:rPr>
          <w:b/>
        </w:rPr>
        <w:t>5</w:t>
      </w:r>
      <w:r w:rsidRPr="00CD48A7">
        <w:t>:130–136.</w:t>
      </w:r>
    </w:p>
    <w:p w:rsidR="00E61790" w:rsidRPr="00CD48A7" w:rsidRDefault="00E61790" w:rsidP="00E61790">
      <w:pPr>
        <w:spacing w:before="100" w:beforeAutospacing="1" w:after="240" w:line="480" w:lineRule="auto"/>
        <w:ind w:left="357"/>
        <w:rPr>
          <w:lang w:eastAsia="en-GB"/>
        </w:rPr>
      </w:pPr>
      <w:r w:rsidRPr="00CD48A7">
        <w:rPr>
          <w:lang w:eastAsia="en-GB"/>
        </w:rPr>
        <w:t xml:space="preserve">16. Yaman P, Qazi SR, Dennison JB and Razzoog ME. Effect of adding opaqe porcelain on the final colour of porcelain laminates. </w:t>
      </w:r>
      <w:r w:rsidRPr="00CD48A7">
        <w:rPr>
          <w:i/>
          <w:lang w:eastAsia="en-GB"/>
        </w:rPr>
        <w:t>The Journal of Prosthetic Dentistry</w:t>
      </w:r>
      <w:r w:rsidRPr="00CD48A7">
        <w:rPr>
          <w:lang w:eastAsia="en-GB"/>
        </w:rPr>
        <w:t xml:space="preserve"> 1997; </w:t>
      </w:r>
      <w:r w:rsidRPr="00CD48A7">
        <w:rPr>
          <w:b/>
          <w:lang w:eastAsia="en-GB"/>
        </w:rPr>
        <w:t>77</w:t>
      </w:r>
      <w:r w:rsidRPr="00CD48A7">
        <w:rPr>
          <w:lang w:eastAsia="en-GB"/>
        </w:rPr>
        <w:t>: 136-40.</w:t>
      </w:r>
    </w:p>
    <w:p w:rsidR="00E61790" w:rsidRPr="00CD48A7" w:rsidRDefault="00E61790" w:rsidP="00E61790">
      <w:pPr>
        <w:spacing w:before="100" w:beforeAutospacing="1" w:after="240" w:line="480" w:lineRule="auto"/>
        <w:ind w:left="357"/>
        <w:rPr>
          <w:lang w:eastAsia="en-GB"/>
        </w:rPr>
      </w:pPr>
      <w:r w:rsidRPr="00CD48A7">
        <w:rPr>
          <w:lang w:eastAsia="en-GB"/>
        </w:rPr>
        <w:t xml:space="preserve">17. Chu C, Chow TW and Chai J. Contrast ratio and masking ability of three types of ceramic veneers. </w:t>
      </w:r>
      <w:r w:rsidRPr="00CD48A7">
        <w:rPr>
          <w:i/>
          <w:lang w:eastAsia="en-GB"/>
        </w:rPr>
        <w:t>Journal of Prosthetic Dentistry</w:t>
      </w:r>
      <w:r w:rsidRPr="00CD48A7">
        <w:rPr>
          <w:lang w:eastAsia="en-GB"/>
        </w:rPr>
        <w:t xml:space="preserve"> 2007; </w:t>
      </w:r>
      <w:r w:rsidRPr="00CD48A7">
        <w:rPr>
          <w:b/>
          <w:lang w:eastAsia="en-GB"/>
        </w:rPr>
        <w:t>98</w:t>
      </w:r>
      <w:r w:rsidRPr="00CD48A7">
        <w:rPr>
          <w:lang w:eastAsia="en-GB"/>
        </w:rPr>
        <w:t>: 359-64.</w:t>
      </w:r>
    </w:p>
    <w:p w:rsidR="00E61790" w:rsidRPr="00CD48A7" w:rsidRDefault="00E61790" w:rsidP="00E61790">
      <w:pPr>
        <w:spacing w:before="100" w:beforeAutospacing="1" w:after="240" w:line="480" w:lineRule="auto"/>
        <w:ind w:left="357"/>
        <w:rPr>
          <w:lang w:eastAsia="en-GB"/>
        </w:rPr>
      </w:pPr>
      <w:r w:rsidRPr="00CD48A7">
        <w:rPr>
          <w:lang w:eastAsia="en-GB"/>
        </w:rPr>
        <w:t xml:space="preserve">18. Barghi N and McAlister. Porcelain for veneers. </w:t>
      </w:r>
      <w:r w:rsidRPr="00CD48A7">
        <w:rPr>
          <w:i/>
          <w:lang w:eastAsia="en-GB"/>
        </w:rPr>
        <w:t>Journal of Esthetic Dentistry</w:t>
      </w:r>
      <w:r w:rsidRPr="00CD48A7">
        <w:rPr>
          <w:lang w:eastAsia="en-GB"/>
        </w:rPr>
        <w:t xml:space="preserve"> 1998; </w:t>
      </w:r>
      <w:r w:rsidRPr="00CD48A7">
        <w:rPr>
          <w:b/>
          <w:lang w:eastAsia="en-GB"/>
        </w:rPr>
        <w:t>10</w:t>
      </w:r>
      <w:r w:rsidRPr="00CD48A7">
        <w:rPr>
          <w:lang w:eastAsia="en-GB"/>
        </w:rPr>
        <w:t>: 191-97.</w:t>
      </w:r>
    </w:p>
    <w:p w:rsidR="00E61790" w:rsidRPr="00CD48A7" w:rsidRDefault="00E61790" w:rsidP="00E61790">
      <w:pPr>
        <w:spacing w:before="100" w:beforeAutospacing="1" w:after="240" w:line="480" w:lineRule="auto"/>
        <w:ind w:left="357"/>
        <w:rPr>
          <w:lang w:eastAsia="en-GB"/>
        </w:rPr>
      </w:pPr>
      <w:r w:rsidRPr="00CD48A7">
        <w:rPr>
          <w:lang w:eastAsia="en-GB"/>
        </w:rPr>
        <w:t xml:space="preserve">19. Change J, Da Silva JD, Sakai M, Kristiansen J and Ishikawa-Nagai S. The optical effect of composite luting cement on all ceramic crowns. </w:t>
      </w:r>
      <w:r w:rsidRPr="00CD48A7">
        <w:rPr>
          <w:i/>
          <w:lang w:eastAsia="en-GB"/>
        </w:rPr>
        <w:t>Journal of Dentistry</w:t>
      </w:r>
      <w:r w:rsidRPr="00CD48A7">
        <w:rPr>
          <w:lang w:eastAsia="en-GB"/>
        </w:rPr>
        <w:t xml:space="preserve"> 2009; </w:t>
      </w:r>
      <w:r w:rsidRPr="00CD48A7">
        <w:rPr>
          <w:b/>
          <w:lang w:eastAsia="en-GB"/>
        </w:rPr>
        <w:t>37</w:t>
      </w:r>
      <w:r w:rsidRPr="00CD48A7">
        <w:rPr>
          <w:lang w:eastAsia="en-GB"/>
        </w:rPr>
        <w:t>: 937-943.</w:t>
      </w:r>
    </w:p>
    <w:p w:rsidR="00E61790" w:rsidRPr="00CD48A7" w:rsidRDefault="00E61790" w:rsidP="00E61790">
      <w:pPr>
        <w:spacing w:before="100" w:beforeAutospacing="1" w:after="240" w:line="480" w:lineRule="auto"/>
        <w:ind w:left="357"/>
        <w:rPr>
          <w:lang w:eastAsia="en-GB"/>
        </w:rPr>
      </w:pPr>
      <w:r w:rsidRPr="00CD48A7">
        <w:rPr>
          <w:lang w:eastAsia="en-GB"/>
        </w:rPr>
        <w:t xml:space="preserve">20. Xing W, Jiang T, Ma X, Liang S, Wang Z, Sa Y and Wang Y. Evaluation of the esthetic effect of resin cements and try-in pastes on ceromer veneers. </w:t>
      </w:r>
      <w:r w:rsidRPr="00CD48A7">
        <w:rPr>
          <w:i/>
          <w:lang w:eastAsia="en-GB"/>
        </w:rPr>
        <w:t>Journal of Dentistry</w:t>
      </w:r>
      <w:r w:rsidRPr="00CD48A7">
        <w:rPr>
          <w:lang w:eastAsia="en-GB"/>
        </w:rPr>
        <w:t xml:space="preserve"> 2010, Article in press.</w:t>
      </w:r>
    </w:p>
    <w:p w:rsidR="00E61790" w:rsidRPr="00CD48A7" w:rsidRDefault="00E61790" w:rsidP="00E61790">
      <w:pPr>
        <w:spacing w:before="100" w:beforeAutospacing="1" w:after="240" w:line="480" w:lineRule="auto"/>
        <w:ind w:left="357"/>
        <w:rPr>
          <w:lang w:eastAsia="en-GB"/>
        </w:rPr>
      </w:pPr>
      <w:r w:rsidRPr="00CD48A7">
        <w:rPr>
          <w:lang w:eastAsia="en-GB"/>
        </w:rPr>
        <w:t xml:space="preserve">21. Azer SS, Ayash GM, Johnston WM, Khalil MF and Rosentiel SF. Effect of esthetic core shades on the final colour of IPS Empress all-ceramic crowns. </w:t>
      </w:r>
      <w:r w:rsidRPr="00CD48A7">
        <w:rPr>
          <w:i/>
          <w:lang w:eastAsia="en-GB"/>
        </w:rPr>
        <w:t xml:space="preserve">Journal of Prosthetic Dentistry </w:t>
      </w:r>
      <w:r w:rsidRPr="00CD48A7">
        <w:rPr>
          <w:lang w:eastAsia="en-GB"/>
        </w:rPr>
        <w:t xml:space="preserve">2006; </w:t>
      </w:r>
      <w:r w:rsidRPr="00CD48A7">
        <w:rPr>
          <w:b/>
          <w:lang w:eastAsia="en-GB"/>
        </w:rPr>
        <w:t>96</w:t>
      </w:r>
      <w:r w:rsidRPr="00CD48A7">
        <w:rPr>
          <w:lang w:eastAsia="en-GB"/>
        </w:rPr>
        <w:t>: 397-401.</w:t>
      </w:r>
    </w:p>
    <w:p w:rsidR="00E61790" w:rsidRPr="00CD48A7" w:rsidRDefault="00E61790" w:rsidP="00E61790">
      <w:pPr>
        <w:spacing w:before="100" w:beforeAutospacing="1" w:after="240" w:line="480" w:lineRule="auto"/>
        <w:ind w:left="357"/>
        <w:rPr>
          <w:lang w:eastAsia="en-GB"/>
        </w:rPr>
      </w:pPr>
      <w:r w:rsidRPr="00CD48A7">
        <w:rPr>
          <w:lang w:eastAsia="en-GB"/>
        </w:rPr>
        <w:t xml:space="preserve">22. Terzioglu H, Yilmaz B and Yurdukoru B. The effect of different shades of specific luting agents and IPS empress ceramic thickness on overall color. </w:t>
      </w:r>
      <w:r w:rsidRPr="00CD48A7">
        <w:rPr>
          <w:i/>
          <w:lang w:eastAsia="en-GB"/>
        </w:rPr>
        <w:t>International Journal of Prosthodontics Restorative Dentistry</w:t>
      </w:r>
      <w:r w:rsidRPr="00CD48A7">
        <w:rPr>
          <w:lang w:eastAsia="en-GB"/>
        </w:rPr>
        <w:t xml:space="preserve"> 2009; </w:t>
      </w:r>
      <w:r w:rsidRPr="00CD48A7">
        <w:rPr>
          <w:b/>
          <w:lang w:eastAsia="en-GB"/>
        </w:rPr>
        <w:t>29</w:t>
      </w:r>
      <w:r w:rsidRPr="00CD48A7">
        <w:rPr>
          <w:lang w:eastAsia="en-GB"/>
        </w:rPr>
        <w:t>: 499-505.</w:t>
      </w:r>
    </w:p>
    <w:p w:rsidR="00E61790" w:rsidRPr="00CD48A7" w:rsidRDefault="00E61790" w:rsidP="00E61790">
      <w:pPr>
        <w:spacing w:before="100" w:beforeAutospacing="1" w:after="240" w:line="480" w:lineRule="auto"/>
        <w:ind w:left="357"/>
        <w:rPr>
          <w:lang w:eastAsia="en-GB"/>
        </w:rPr>
      </w:pPr>
      <w:r w:rsidRPr="00CD48A7">
        <w:rPr>
          <w:lang w:eastAsia="en-GB"/>
        </w:rPr>
        <w:t xml:space="preserve">23. Dozic A, Tsagkari M, Khashaya G and Aboushelib M. Color management of porcelain veneers: influence of dentin and resin cement colors. </w:t>
      </w:r>
      <w:r w:rsidRPr="00CD48A7">
        <w:rPr>
          <w:i/>
          <w:lang w:eastAsia="en-GB"/>
        </w:rPr>
        <w:t>Quintessence International</w:t>
      </w:r>
      <w:r w:rsidRPr="00CD48A7">
        <w:rPr>
          <w:lang w:eastAsia="en-GB"/>
        </w:rPr>
        <w:t xml:space="preserve"> 2010; </w:t>
      </w:r>
      <w:r w:rsidRPr="00CD48A7">
        <w:rPr>
          <w:b/>
          <w:lang w:eastAsia="en-GB"/>
        </w:rPr>
        <w:t>41</w:t>
      </w:r>
      <w:r w:rsidRPr="00CD48A7">
        <w:rPr>
          <w:lang w:eastAsia="en-GB"/>
        </w:rPr>
        <w:t>: 567-73.</w:t>
      </w:r>
    </w:p>
    <w:p w:rsidR="00E61790" w:rsidRPr="00CD48A7" w:rsidRDefault="00E61790" w:rsidP="00E61790">
      <w:pPr>
        <w:autoSpaceDE w:val="0"/>
        <w:autoSpaceDN w:val="0"/>
        <w:adjustRightInd w:val="0"/>
        <w:spacing w:line="480" w:lineRule="auto"/>
        <w:ind w:left="357"/>
      </w:pPr>
      <w:r w:rsidRPr="00CD48A7">
        <w:rPr>
          <w:lang w:eastAsia="en-GB"/>
        </w:rPr>
        <w:t xml:space="preserve">24. Clinical Research Associates. Upper anterior veneers: state of the art (part 1). </w:t>
      </w:r>
      <w:r w:rsidRPr="00CD48A7">
        <w:rPr>
          <w:i/>
          <w:lang w:eastAsia="en-GB"/>
        </w:rPr>
        <w:t xml:space="preserve">CRA Newsletter </w:t>
      </w:r>
      <w:r w:rsidRPr="00CD48A7">
        <w:rPr>
          <w:lang w:eastAsia="en-GB"/>
        </w:rPr>
        <w:t>2006;</w:t>
      </w:r>
      <w:r w:rsidRPr="00CD48A7">
        <w:rPr>
          <w:b/>
          <w:lang w:eastAsia="en-GB"/>
        </w:rPr>
        <w:t xml:space="preserve"> 30</w:t>
      </w:r>
      <w:r w:rsidRPr="00CD48A7">
        <w:rPr>
          <w:lang w:eastAsia="en-GB"/>
        </w:rPr>
        <w:t>(1):1–3.</w:t>
      </w:r>
    </w:p>
    <w:p w:rsidR="00E61790" w:rsidRPr="00CD48A7" w:rsidRDefault="00E61790" w:rsidP="00E61790">
      <w:pPr>
        <w:spacing w:before="100" w:beforeAutospacing="1" w:after="240" w:line="480" w:lineRule="auto"/>
        <w:ind w:left="357"/>
        <w:rPr>
          <w:lang w:eastAsia="en-GB"/>
        </w:rPr>
      </w:pPr>
      <w:r w:rsidRPr="00CD48A7">
        <w:rPr>
          <w:lang w:eastAsia="en-GB"/>
        </w:rPr>
        <w:t xml:space="preserve">25. Clinical Research Associates. Upper anterior veneers: state of the art (part 2). </w:t>
      </w:r>
      <w:r w:rsidRPr="00CD48A7">
        <w:rPr>
          <w:i/>
          <w:lang w:eastAsia="en-GB"/>
        </w:rPr>
        <w:t>CRA Newsletter</w:t>
      </w:r>
      <w:r w:rsidRPr="00CD48A7">
        <w:rPr>
          <w:lang w:eastAsia="en-GB"/>
        </w:rPr>
        <w:t xml:space="preserve"> 2006; </w:t>
      </w:r>
      <w:r w:rsidRPr="00CD48A7">
        <w:rPr>
          <w:b/>
          <w:lang w:eastAsia="en-GB"/>
        </w:rPr>
        <w:t>30</w:t>
      </w:r>
      <w:r w:rsidRPr="00CD48A7">
        <w:rPr>
          <w:lang w:eastAsia="en-GB"/>
        </w:rPr>
        <w:t>(3):1–3.</w:t>
      </w:r>
    </w:p>
    <w:p w:rsidR="00E61790" w:rsidRPr="00CD48A7" w:rsidRDefault="00E61790" w:rsidP="00E61790">
      <w:pPr>
        <w:autoSpaceDE w:val="0"/>
        <w:autoSpaceDN w:val="0"/>
        <w:adjustRightInd w:val="0"/>
        <w:spacing w:line="480" w:lineRule="auto"/>
        <w:ind w:left="357"/>
        <w:rPr>
          <w:rFonts w:asciiTheme="minorHAnsi" w:hAnsiTheme="minorHAnsi" w:cstheme="minorBidi"/>
          <w:sz w:val="22"/>
          <w:szCs w:val="22"/>
        </w:rPr>
      </w:pPr>
      <w:r w:rsidRPr="00CD48A7">
        <w:t xml:space="preserve">26. Wang X and Powers JM. Colour difference between a resin cement and try-in paste. </w:t>
      </w:r>
      <w:r w:rsidRPr="00CD48A7">
        <w:rPr>
          <w:i/>
        </w:rPr>
        <w:t>Zhonghua Kou Qiang Yi Xue Za Zhe</w:t>
      </w:r>
      <w:r w:rsidRPr="00CD48A7">
        <w:t xml:space="preserve"> 1999; </w:t>
      </w:r>
      <w:r w:rsidRPr="00CD48A7">
        <w:rPr>
          <w:b/>
        </w:rPr>
        <w:t>34</w:t>
      </w:r>
      <w:r w:rsidRPr="00CD48A7">
        <w:t>: 58-9.</w:t>
      </w:r>
    </w:p>
    <w:p w:rsidR="00E61790" w:rsidRPr="00CD48A7" w:rsidRDefault="00E61790" w:rsidP="00E61790">
      <w:pPr>
        <w:autoSpaceDE w:val="0"/>
        <w:autoSpaceDN w:val="0"/>
        <w:adjustRightInd w:val="0"/>
        <w:spacing w:line="480" w:lineRule="auto"/>
        <w:ind w:left="357"/>
        <w:rPr>
          <w:rFonts w:asciiTheme="minorHAnsi" w:hAnsiTheme="minorHAnsi" w:cstheme="minorBidi"/>
          <w:sz w:val="22"/>
          <w:szCs w:val="22"/>
        </w:rPr>
      </w:pPr>
      <w:r w:rsidRPr="00CD48A7">
        <w:t xml:space="preserve">27. Balderamos LP, O’Keefe KL and Powers JM. Colour stability of resin cement and try-in paste. </w:t>
      </w:r>
      <w:r w:rsidRPr="00CD48A7">
        <w:rPr>
          <w:i/>
        </w:rPr>
        <w:t>International Journal of Prosthodontics</w:t>
      </w:r>
      <w:r w:rsidRPr="00CD48A7">
        <w:t xml:space="preserve"> 1997; </w:t>
      </w:r>
      <w:r w:rsidRPr="00CD48A7">
        <w:rPr>
          <w:b/>
        </w:rPr>
        <w:t>10</w:t>
      </w:r>
      <w:r w:rsidRPr="00CD48A7">
        <w:t>: 111-5.</w:t>
      </w:r>
    </w:p>
    <w:p w:rsidR="00E61790" w:rsidRPr="00CD48A7" w:rsidRDefault="00E61790" w:rsidP="00E61790">
      <w:pPr>
        <w:tabs>
          <w:tab w:val="num" w:pos="644"/>
        </w:tabs>
        <w:autoSpaceDE w:val="0"/>
        <w:autoSpaceDN w:val="0"/>
        <w:adjustRightInd w:val="0"/>
        <w:spacing w:line="480" w:lineRule="auto"/>
        <w:ind w:left="357"/>
        <w:rPr>
          <w:rFonts w:asciiTheme="minorHAnsi" w:hAnsiTheme="minorHAnsi" w:cstheme="minorBidi"/>
          <w:sz w:val="22"/>
          <w:szCs w:val="22"/>
        </w:rPr>
      </w:pPr>
      <w:r w:rsidRPr="00CD48A7">
        <w:t xml:space="preserve">28. Kucukesmen HC, Usumez A, Ozturk N, Eroglu E. Change of shade by light polymerization in resin cement polymerized beneath a ceramic restoration. </w:t>
      </w:r>
      <w:r w:rsidRPr="00CD48A7">
        <w:rPr>
          <w:i/>
          <w:iCs/>
        </w:rPr>
        <w:t xml:space="preserve">Journal of Dentistry </w:t>
      </w:r>
      <w:r w:rsidRPr="00CD48A7">
        <w:t>2008;</w:t>
      </w:r>
      <w:r w:rsidRPr="00CD48A7">
        <w:rPr>
          <w:b/>
          <w:bCs/>
        </w:rPr>
        <w:t xml:space="preserve"> 36</w:t>
      </w:r>
      <w:r w:rsidRPr="00CD48A7">
        <w:rPr>
          <w:bCs/>
        </w:rPr>
        <w:t>:219</w:t>
      </w:r>
      <w:r w:rsidRPr="00CD48A7">
        <w:t>-223.</w:t>
      </w:r>
    </w:p>
    <w:p w:rsidR="00E61790" w:rsidRPr="00CD48A7" w:rsidRDefault="00E61790" w:rsidP="00E61790">
      <w:pPr>
        <w:tabs>
          <w:tab w:val="num" w:pos="644"/>
        </w:tabs>
        <w:autoSpaceDE w:val="0"/>
        <w:autoSpaceDN w:val="0"/>
        <w:adjustRightInd w:val="0"/>
        <w:spacing w:line="480" w:lineRule="auto"/>
        <w:ind w:left="357"/>
        <w:rPr>
          <w:rFonts w:asciiTheme="minorHAnsi" w:hAnsiTheme="minorHAnsi" w:cstheme="minorBidi"/>
          <w:sz w:val="22"/>
          <w:szCs w:val="22"/>
        </w:rPr>
      </w:pPr>
      <w:r w:rsidRPr="00CD48A7">
        <w:t>29. Seghi RR, Johnstin WM, O’Brien WJ. Performance assessment of colorimetric devices on dental porcelains</w:t>
      </w:r>
      <w:r w:rsidRPr="00CD48A7">
        <w:rPr>
          <w:i/>
          <w:iCs/>
        </w:rPr>
        <w:t>. Journal of Dental Research</w:t>
      </w:r>
      <w:r w:rsidRPr="00CD48A7">
        <w:t xml:space="preserve"> 1989;</w:t>
      </w:r>
      <w:r w:rsidRPr="00CD48A7">
        <w:rPr>
          <w:b/>
          <w:bCs/>
        </w:rPr>
        <w:t xml:space="preserve"> 27</w:t>
      </w:r>
      <w:r w:rsidRPr="00CD48A7">
        <w:rPr>
          <w:bCs/>
        </w:rPr>
        <w:t>:417</w:t>
      </w:r>
      <w:r w:rsidRPr="00CD48A7">
        <w:t xml:space="preserve">-21. </w:t>
      </w:r>
    </w:p>
    <w:p w:rsidR="00E61790" w:rsidRPr="00CD48A7" w:rsidRDefault="00E61790" w:rsidP="00E61790">
      <w:pPr>
        <w:tabs>
          <w:tab w:val="num" w:pos="644"/>
        </w:tabs>
        <w:autoSpaceDE w:val="0"/>
        <w:autoSpaceDN w:val="0"/>
        <w:adjustRightInd w:val="0"/>
        <w:spacing w:line="480" w:lineRule="auto"/>
        <w:ind w:left="357"/>
        <w:rPr>
          <w:rFonts w:asciiTheme="minorHAnsi" w:hAnsiTheme="minorHAnsi" w:cstheme="minorBidi"/>
          <w:sz w:val="22"/>
          <w:szCs w:val="22"/>
        </w:rPr>
      </w:pPr>
      <w:r w:rsidRPr="00CD48A7">
        <w:t xml:space="preserve">30. Paul et al. Visual and Spectrophotometric Shade Analysis of Human Teeth. </w:t>
      </w:r>
      <w:r w:rsidRPr="00CD48A7">
        <w:rPr>
          <w:i/>
          <w:iCs/>
        </w:rPr>
        <w:t>Journal of Dental Research</w:t>
      </w:r>
      <w:r w:rsidRPr="00CD48A7">
        <w:t xml:space="preserve"> 81(8) 2002;</w:t>
      </w:r>
      <w:r w:rsidRPr="00CD48A7">
        <w:rPr>
          <w:b/>
          <w:bCs/>
        </w:rPr>
        <w:t xml:space="preserve"> 81</w:t>
      </w:r>
      <w:r w:rsidRPr="00CD48A7">
        <w:rPr>
          <w:bCs/>
        </w:rPr>
        <w:t>:578</w:t>
      </w:r>
      <w:r w:rsidRPr="00CD48A7">
        <w:t>-582.</w:t>
      </w:r>
    </w:p>
    <w:p w:rsidR="00E61790" w:rsidRPr="00CD48A7" w:rsidRDefault="00E61790" w:rsidP="00E61790">
      <w:pPr>
        <w:tabs>
          <w:tab w:val="num" w:pos="644"/>
        </w:tabs>
        <w:autoSpaceDE w:val="0"/>
        <w:autoSpaceDN w:val="0"/>
        <w:adjustRightInd w:val="0"/>
        <w:spacing w:line="480" w:lineRule="auto"/>
        <w:ind w:left="357"/>
        <w:rPr>
          <w:rFonts w:asciiTheme="minorHAnsi" w:hAnsiTheme="minorHAnsi" w:cstheme="minorBidi"/>
          <w:sz w:val="22"/>
          <w:szCs w:val="22"/>
        </w:rPr>
      </w:pPr>
      <w:r w:rsidRPr="00CD48A7">
        <w:t xml:space="preserve">31. CIE (Commission Internationale de l’Eclairage). </w:t>
      </w:r>
      <w:r w:rsidRPr="00CD48A7">
        <w:rPr>
          <w:i/>
        </w:rPr>
        <w:t>Colorimetry</w:t>
      </w:r>
      <w:r w:rsidRPr="00CD48A7">
        <w:t xml:space="preserve">, official recommendations of the International Commission on Illumination. Publication CIE No. 15 (E-1.3.1). Paris, France: Bureau Central de la CIE; 1971. </w:t>
      </w:r>
    </w:p>
    <w:p w:rsidR="00E61790" w:rsidRPr="00CD48A7" w:rsidRDefault="00E61790" w:rsidP="00E61790">
      <w:pPr>
        <w:tabs>
          <w:tab w:val="num" w:pos="644"/>
        </w:tabs>
        <w:autoSpaceDE w:val="0"/>
        <w:autoSpaceDN w:val="0"/>
        <w:adjustRightInd w:val="0"/>
        <w:spacing w:line="480" w:lineRule="auto"/>
        <w:ind w:left="357"/>
        <w:rPr>
          <w:rFonts w:asciiTheme="minorHAnsi" w:hAnsiTheme="minorHAnsi" w:cstheme="minorBidi"/>
          <w:sz w:val="22"/>
          <w:szCs w:val="22"/>
        </w:rPr>
      </w:pPr>
      <w:r w:rsidRPr="00CD48A7">
        <w:t xml:space="preserve">32. Joiner A. Tooth colour: a review of the literature. </w:t>
      </w:r>
      <w:r w:rsidRPr="00CD48A7">
        <w:rPr>
          <w:i/>
          <w:iCs/>
        </w:rPr>
        <w:t>Journal of Dentistry</w:t>
      </w:r>
      <w:r w:rsidRPr="00CD48A7">
        <w:t xml:space="preserve"> 2004;</w:t>
      </w:r>
      <w:r w:rsidRPr="00CD48A7">
        <w:rPr>
          <w:b/>
          <w:bCs/>
        </w:rPr>
        <w:t xml:space="preserve"> 32</w:t>
      </w:r>
      <w:r w:rsidRPr="00CD48A7">
        <w:rPr>
          <w:bCs/>
        </w:rPr>
        <w:t>:3</w:t>
      </w:r>
      <w:r w:rsidRPr="00CD48A7">
        <w:t>-12.</w:t>
      </w:r>
    </w:p>
    <w:p w:rsidR="00E61790" w:rsidRPr="00CD48A7" w:rsidRDefault="00E61790" w:rsidP="00E61790">
      <w:pPr>
        <w:tabs>
          <w:tab w:val="num" w:pos="644"/>
        </w:tabs>
        <w:autoSpaceDE w:val="0"/>
        <w:autoSpaceDN w:val="0"/>
        <w:adjustRightInd w:val="0"/>
        <w:spacing w:line="480" w:lineRule="auto"/>
        <w:ind w:left="357"/>
      </w:pPr>
      <w:r w:rsidRPr="00CD48A7">
        <w:t xml:space="preserve">33. Hosoya Y. Five-year colour changes of light-cured resin composites: influence of light-curing times. </w:t>
      </w:r>
      <w:r w:rsidRPr="00CD48A7">
        <w:rPr>
          <w:i/>
          <w:iCs/>
        </w:rPr>
        <w:t>Dental Materials</w:t>
      </w:r>
      <w:r w:rsidRPr="00CD48A7">
        <w:t xml:space="preserve"> 1999; </w:t>
      </w:r>
      <w:r w:rsidRPr="00CD48A7">
        <w:rPr>
          <w:b/>
          <w:bCs/>
        </w:rPr>
        <w:t>15</w:t>
      </w:r>
      <w:r w:rsidRPr="00CD48A7">
        <w:t>: 268-274.</w:t>
      </w:r>
    </w:p>
    <w:p w:rsidR="00E61790" w:rsidRPr="00CD48A7" w:rsidRDefault="00E61790" w:rsidP="00E61790">
      <w:pPr>
        <w:tabs>
          <w:tab w:val="num" w:pos="644"/>
        </w:tabs>
        <w:autoSpaceDE w:val="0"/>
        <w:autoSpaceDN w:val="0"/>
        <w:adjustRightInd w:val="0"/>
        <w:spacing w:line="480" w:lineRule="auto"/>
        <w:ind w:left="357"/>
        <w:rPr>
          <w:rFonts w:asciiTheme="minorHAnsi" w:hAnsiTheme="minorHAnsi" w:cstheme="minorBidi"/>
          <w:sz w:val="22"/>
          <w:szCs w:val="22"/>
        </w:rPr>
      </w:pPr>
      <w:r w:rsidRPr="00CD48A7">
        <w:t>34. Kuehni RG and R.T. Marcus RT. An experiment in visual scaling of small colour differences, Col Res Appl 1979; 4: 83–91.</w:t>
      </w:r>
    </w:p>
    <w:p w:rsidR="00E61790" w:rsidRPr="00CD48A7" w:rsidRDefault="00E61790" w:rsidP="00E61790">
      <w:pPr>
        <w:tabs>
          <w:tab w:val="num" w:pos="644"/>
        </w:tabs>
        <w:autoSpaceDE w:val="0"/>
        <w:autoSpaceDN w:val="0"/>
        <w:adjustRightInd w:val="0"/>
        <w:spacing w:line="480" w:lineRule="auto"/>
        <w:ind w:left="357"/>
        <w:rPr>
          <w:rFonts w:asciiTheme="minorHAnsi" w:hAnsiTheme="minorHAnsi" w:cstheme="minorBidi"/>
          <w:bCs/>
          <w:sz w:val="22"/>
          <w:szCs w:val="22"/>
        </w:rPr>
      </w:pPr>
      <w:r w:rsidRPr="00CD48A7">
        <w:t xml:space="preserve">35. </w:t>
      </w:r>
      <w:r w:rsidRPr="00CD48A7">
        <w:rPr>
          <w:bCs/>
        </w:rPr>
        <w:t xml:space="preserve">Seghi RR, Hewlett ER, Kim J. Visual and instrumental colorimetric assessments of small colour differences on translucent dental porcelain. J Dent Res. [Comparative Study Research Support, Non-U.S. Gov't]. 1989; </w:t>
      </w:r>
      <w:r w:rsidRPr="00CD48A7">
        <w:rPr>
          <w:b/>
          <w:bCs/>
        </w:rPr>
        <w:t>68</w:t>
      </w:r>
      <w:r w:rsidRPr="00CD48A7">
        <w:rPr>
          <w:bCs/>
        </w:rPr>
        <w:t>(12):1760-4.</w:t>
      </w:r>
    </w:p>
    <w:p w:rsidR="00E61790" w:rsidRPr="00CD48A7" w:rsidRDefault="00E61790" w:rsidP="00E61790">
      <w:pPr>
        <w:spacing w:after="200" w:line="480" w:lineRule="auto"/>
        <w:ind w:left="357"/>
        <w:rPr>
          <w:rFonts w:asciiTheme="minorHAnsi" w:hAnsiTheme="minorHAnsi" w:cstheme="minorBidi"/>
          <w:sz w:val="22"/>
          <w:szCs w:val="22"/>
        </w:rPr>
      </w:pPr>
      <w:r w:rsidRPr="00CD48A7">
        <w:t xml:space="preserve">36. Ruyter IE, Nilner K and  Moller B. Color stability of dental composite resin materials for crown and bridge veneers, </w:t>
      </w:r>
      <w:r w:rsidRPr="00CD48A7">
        <w:rPr>
          <w:i/>
        </w:rPr>
        <w:t>Dental Material</w:t>
      </w:r>
      <w:r w:rsidRPr="00CD48A7">
        <w:t xml:space="preserve"> 1987; </w:t>
      </w:r>
      <w:r w:rsidRPr="00CD48A7">
        <w:rPr>
          <w:b/>
        </w:rPr>
        <w:t>3</w:t>
      </w:r>
      <w:r w:rsidRPr="00CD48A7">
        <w:t>: 246–251.</w:t>
      </w:r>
    </w:p>
    <w:p w:rsidR="00E61790" w:rsidRPr="00CD48A7" w:rsidRDefault="00E61790" w:rsidP="00E61790">
      <w:pPr>
        <w:spacing w:after="200" w:line="480" w:lineRule="auto"/>
        <w:ind w:left="357"/>
        <w:rPr>
          <w:bCs/>
        </w:rPr>
      </w:pPr>
      <w:r w:rsidRPr="00CD48A7">
        <w:rPr>
          <w:bCs/>
        </w:rPr>
        <w:t xml:space="preserve">37. James C, Ragain Jr, and WM Johnston. Colour acceptance of direct dental restorative materials by human observers. </w:t>
      </w:r>
      <w:r w:rsidRPr="00CD48A7">
        <w:rPr>
          <w:bCs/>
          <w:i/>
        </w:rPr>
        <w:t>Color Research and Application</w:t>
      </w:r>
      <w:r w:rsidRPr="00CD48A7">
        <w:rPr>
          <w:bCs/>
        </w:rPr>
        <w:t xml:space="preserve"> 2000; </w:t>
      </w:r>
      <w:r w:rsidRPr="00CD48A7">
        <w:rPr>
          <w:b/>
          <w:bCs/>
        </w:rPr>
        <w:t>25</w:t>
      </w:r>
      <w:r w:rsidRPr="00CD48A7">
        <w:rPr>
          <w:bCs/>
        </w:rPr>
        <w:t>:278-85.</w:t>
      </w:r>
    </w:p>
    <w:p w:rsidR="00E61790" w:rsidRPr="00CD48A7" w:rsidRDefault="00E61790" w:rsidP="00E61790">
      <w:pPr>
        <w:tabs>
          <w:tab w:val="num" w:pos="644"/>
        </w:tabs>
        <w:autoSpaceDE w:val="0"/>
        <w:autoSpaceDN w:val="0"/>
        <w:adjustRightInd w:val="0"/>
        <w:spacing w:line="480" w:lineRule="auto"/>
        <w:ind w:left="357"/>
      </w:pPr>
      <w:r w:rsidRPr="00CD48A7">
        <w:t xml:space="preserve">38. Johnston WM, Kao EC. Assessment of appearance matched by visual observation and clinical colourimetery. </w:t>
      </w:r>
      <w:r w:rsidRPr="00CD48A7">
        <w:rPr>
          <w:i/>
          <w:iCs/>
        </w:rPr>
        <w:t>Journal of Dental Research</w:t>
      </w:r>
      <w:r w:rsidRPr="00CD48A7">
        <w:t xml:space="preserve"> 1989;</w:t>
      </w:r>
      <w:r w:rsidRPr="00CD48A7">
        <w:rPr>
          <w:b/>
          <w:bCs/>
        </w:rPr>
        <w:t xml:space="preserve"> 68:</w:t>
      </w:r>
      <w:r w:rsidRPr="00CD48A7">
        <w:rPr>
          <w:bCs/>
        </w:rPr>
        <w:t>819</w:t>
      </w:r>
      <w:r w:rsidRPr="00CD48A7">
        <w:t>-22.</w:t>
      </w:r>
    </w:p>
    <w:p w:rsidR="00E61790" w:rsidRPr="00CD48A7" w:rsidRDefault="00E61790" w:rsidP="00E61790">
      <w:pPr>
        <w:spacing w:after="200" w:line="480" w:lineRule="auto"/>
        <w:ind w:left="357"/>
      </w:pPr>
      <w:r w:rsidRPr="00CD48A7">
        <w:t xml:space="preserve">39. Douglas RD, Steinhaurer TJ, and Wee AG. Intraoral determination of the tolerance of dentists for perceptibility and acceptability of shade mismatch. </w:t>
      </w:r>
      <w:r w:rsidRPr="00CD48A7">
        <w:rPr>
          <w:i/>
        </w:rPr>
        <w:t>Journal of Prosthetic Dentistry</w:t>
      </w:r>
      <w:r w:rsidRPr="00CD48A7">
        <w:t xml:space="preserve">, 2007; </w:t>
      </w:r>
      <w:r w:rsidRPr="00CD48A7">
        <w:rPr>
          <w:b/>
        </w:rPr>
        <w:t>97</w:t>
      </w:r>
      <w:r w:rsidRPr="00CD48A7">
        <w:t>: 200-8.</w:t>
      </w:r>
    </w:p>
    <w:p w:rsidR="00E61790" w:rsidRPr="00CD48A7" w:rsidRDefault="00E61790" w:rsidP="00E61790">
      <w:pPr>
        <w:autoSpaceDE w:val="0"/>
        <w:autoSpaceDN w:val="0"/>
        <w:adjustRightInd w:val="0"/>
        <w:spacing w:line="480" w:lineRule="auto"/>
        <w:ind w:left="357"/>
      </w:pPr>
      <w:r w:rsidRPr="00CD48A7">
        <w:t xml:space="preserve">40. Linden JJ, Swift EJ, Boyer DB et al. Photo activation of resin cements through porcelain venners. </w:t>
      </w:r>
      <w:r w:rsidRPr="00CD48A7">
        <w:rPr>
          <w:i/>
        </w:rPr>
        <w:t>Dental Research</w:t>
      </w:r>
      <w:r w:rsidRPr="00CD48A7">
        <w:t xml:space="preserve"> 1991; </w:t>
      </w:r>
      <w:r w:rsidRPr="00CD48A7">
        <w:rPr>
          <w:b/>
        </w:rPr>
        <w:t>70</w:t>
      </w:r>
      <w:r w:rsidRPr="00CD48A7">
        <w:t>: 154-57.</w:t>
      </w:r>
    </w:p>
    <w:p w:rsidR="00E61790" w:rsidRPr="00CD48A7" w:rsidRDefault="00E61790" w:rsidP="00E61790">
      <w:pPr>
        <w:autoSpaceDE w:val="0"/>
        <w:autoSpaceDN w:val="0"/>
        <w:adjustRightInd w:val="0"/>
        <w:spacing w:line="480" w:lineRule="auto"/>
        <w:ind w:left="357"/>
      </w:pPr>
      <w:r w:rsidRPr="00CD48A7">
        <w:t xml:space="preserve">41. O’Keefe KL, Pease PL and Herrin HK. Variables affecting the spectral transmittance of porcelain through porcelain veneer samples. </w:t>
      </w:r>
      <w:r w:rsidRPr="00CD48A7">
        <w:rPr>
          <w:i/>
        </w:rPr>
        <w:t>The Journal of Prosthodontic Dentistry</w:t>
      </w:r>
      <w:r w:rsidRPr="00CD48A7">
        <w:t xml:space="preserve"> 1991; </w:t>
      </w:r>
      <w:r w:rsidRPr="00CD48A7">
        <w:rPr>
          <w:b/>
        </w:rPr>
        <w:t>66</w:t>
      </w:r>
      <w:r w:rsidRPr="00CD48A7">
        <w:t>: 434-38.</w:t>
      </w:r>
    </w:p>
    <w:p w:rsidR="00E61790" w:rsidRPr="00CD48A7" w:rsidRDefault="00E61790" w:rsidP="00E61790">
      <w:pPr>
        <w:shd w:val="clear" w:color="auto" w:fill="FFFFFF"/>
        <w:spacing w:line="480" w:lineRule="auto"/>
        <w:ind w:left="357"/>
        <w:rPr>
          <w:rFonts w:eastAsia="Times New Roman"/>
          <w:bCs/>
          <w:lang w:eastAsia="en-GB"/>
        </w:rPr>
      </w:pPr>
      <w:r w:rsidRPr="00CD48A7">
        <w:t xml:space="preserve">42. Yu B and Lee YK. </w:t>
      </w:r>
      <w:r w:rsidRPr="00CD48A7">
        <w:rPr>
          <w:rFonts w:eastAsia="Times New Roman"/>
          <w:bCs/>
          <w:lang w:eastAsia="en-GB"/>
        </w:rPr>
        <w:t xml:space="preserve">Influence of color parameters of resin composites on their translucency. </w:t>
      </w:r>
      <w:r w:rsidRPr="00CD48A7">
        <w:rPr>
          <w:i/>
        </w:rPr>
        <w:t>Dental Material</w:t>
      </w:r>
      <w:r w:rsidRPr="00CD48A7">
        <w:t xml:space="preserve"> </w:t>
      </w:r>
      <w:r w:rsidRPr="00CD48A7">
        <w:rPr>
          <w:rFonts w:eastAsia="Times New Roman"/>
          <w:bCs/>
          <w:lang w:eastAsia="en-GB"/>
        </w:rPr>
        <w:t xml:space="preserve">2008; </w:t>
      </w:r>
      <w:r w:rsidRPr="00CD48A7">
        <w:rPr>
          <w:rFonts w:eastAsia="Times New Roman"/>
          <w:b/>
          <w:bCs/>
          <w:lang w:eastAsia="en-GB"/>
        </w:rPr>
        <w:t>24</w:t>
      </w:r>
      <w:r w:rsidRPr="00CD48A7">
        <w:rPr>
          <w:rFonts w:eastAsia="Times New Roman"/>
          <w:bCs/>
          <w:lang w:eastAsia="en-GB"/>
        </w:rPr>
        <w:t>: 1236-1242.</w:t>
      </w:r>
    </w:p>
    <w:p w:rsidR="00E61790" w:rsidRPr="00CD48A7" w:rsidRDefault="00E61790" w:rsidP="00E61790">
      <w:pPr>
        <w:autoSpaceDE w:val="0"/>
        <w:autoSpaceDN w:val="0"/>
        <w:adjustRightInd w:val="0"/>
        <w:spacing w:line="480" w:lineRule="auto"/>
        <w:ind w:left="357"/>
      </w:pPr>
      <w:r w:rsidRPr="00CD48A7">
        <w:t xml:space="preserve">43. Sidhu SK, Ikeda T, Omata Y, Fujita M and Sano H. Change of colour and translucency by light curing in resin composites. </w:t>
      </w:r>
      <w:r w:rsidRPr="00CD48A7">
        <w:rPr>
          <w:i/>
        </w:rPr>
        <w:t>Operative Dentistry</w:t>
      </w:r>
      <w:r w:rsidRPr="00CD48A7">
        <w:t xml:space="preserve"> 2000; </w:t>
      </w:r>
      <w:r w:rsidRPr="00CD48A7">
        <w:rPr>
          <w:b/>
        </w:rPr>
        <w:t>31</w:t>
      </w:r>
      <w:r w:rsidRPr="00CD48A7">
        <w:t>: 589-603.</w:t>
      </w:r>
    </w:p>
    <w:p w:rsidR="00E61790" w:rsidRPr="00CD48A7" w:rsidRDefault="00E61790" w:rsidP="00E61790">
      <w:pPr>
        <w:autoSpaceDE w:val="0"/>
        <w:autoSpaceDN w:val="0"/>
        <w:adjustRightInd w:val="0"/>
        <w:spacing w:line="480" w:lineRule="auto"/>
        <w:ind w:left="357"/>
      </w:pPr>
      <w:r w:rsidRPr="00CD48A7">
        <w:t xml:space="preserve">44. Kucukesmen HC, Usumez A, Ozturk N and Eroglu E. Change of shade by light polimerization in a resin cement polymerized beneath a ceramic restoration. </w:t>
      </w:r>
      <w:r w:rsidRPr="00CD48A7">
        <w:rPr>
          <w:i/>
        </w:rPr>
        <w:t>Journal of Dentistry</w:t>
      </w:r>
      <w:r w:rsidRPr="00CD48A7">
        <w:t xml:space="preserve"> 2005; </w:t>
      </w:r>
      <w:r w:rsidRPr="00CD48A7">
        <w:rPr>
          <w:b/>
        </w:rPr>
        <w:t>36</w:t>
      </w:r>
      <w:r w:rsidRPr="00CD48A7">
        <w:t>: 219-23.</w:t>
      </w:r>
    </w:p>
    <w:p w:rsidR="00E61790" w:rsidRPr="00CD48A7" w:rsidRDefault="00E61790" w:rsidP="00E61790">
      <w:pPr>
        <w:autoSpaceDE w:val="0"/>
        <w:autoSpaceDN w:val="0"/>
        <w:adjustRightInd w:val="0"/>
        <w:spacing w:line="480" w:lineRule="auto"/>
        <w:ind w:left="357"/>
      </w:pPr>
      <w:r w:rsidRPr="00CD48A7">
        <w:t xml:space="preserve">45. Barghi N, Chung K, Farshchiant F and Berry T. Effects of the solvents on the bond strength of resin bonded porcelain. </w:t>
      </w:r>
      <w:r w:rsidRPr="00CD48A7">
        <w:rPr>
          <w:i/>
        </w:rPr>
        <w:t>Journal of Oral Rehabitation</w:t>
      </w:r>
      <w:r w:rsidRPr="00CD48A7">
        <w:t xml:space="preserve"> 2001; </w:t>
      </w:r>
      <w:r w:rsidRPr="00CD48A7">
        <w:rPr>
          <w:b/>
        </w:rPr>
        <w:t>26</w:t>
      </w:r>
      <w:r w:rsidRPr="00CD48A7">
        <w:t>: 853-857.</w:t>
      </w:r>
    </w:p>
    <w:p w:rsidR="00E61790" w:rsidRPr="00CD48A7" w:rsidRDefault="00E61790" w:rsidP="00E61790">
      <w:pPr>
        <w:tabs>
          <w:tab w:val="num" w:pos="644"/>
        </w:tabs>
        <w:spacing w:line="480" w:lineRule="auto"/>
        <w:ind w:left="357"/>
        <w:rPr>
          <w:i/>
        </w:rPr>
      </w:pPr>
      <w:r w:rsidRPr="00CD48A7">
        <w:t xml:space="preserve">46. Burton PA, Richmond ST and Wilson NH: Variations in the depth of preparations for porcelain laminate veneers. </w:t>
      </w:r>
      <w:r w:rsidRPr="00CD48A7">
        <w:rPr>
          <w:i/>
        </w:rPr>
        <w:t>European Journal of Prosthodontic Restorative Dentistry</w:t>
      </w:r>
      <w:r w:rsidRPr="00CD48A7">
        <w:t xml:space="preserve"> 1997; </w:t>
      </w:r>
      <w:r w:rsidRPr="00CD48A7">
        <w:rPr>
          <w:b/>
        </w:rPr>
        <w:t>5</w:t>
      </w:r>
      <w:r w:rsidRPr="00CD48A7">
        <w:t>: 89-92.</w:t>
      </w:r>
    </w:p>
    <w:p w:rsidR="00E61790" w:rsidRPr="00CD48A7" w:rsidRDefault="00E61790" w:rsidP="00E61790">
      <w:pPr>
        <w:pStyle w:val="western"/>
        <w:tabs>
          <w:tab w:val="num" w:pos="644"/>
        </w:tabs>
        <w:spacing w:line="480" w:lineRule="auto"/>
        <w:ind w:left="357"/>
      </w:pPr>
      <w:r w:rsidRPr="00CD48A7">
        <w:t xml:space="preserve">47. Karaagaclioglu L: Influence of cement shade and water storage on the final colour of leucite-reinforced ceramics. </w:t>
      </w:r>
      <w:r w:rsidRPr="00CD48A7">
        <w:rPr>
          <w:i/>
        </w:rPr>
        <w:t>Operative Dentistry</w:t>
      </w:r>
      <w:r w:rsidRPr="00CD48A7">
        <w:t xml:space="preserve"> 2008; </w:t>
      </w:r>
      <w:r w:rsidRPr="00CD48A7">
        <w:rPr>
          <w:b/>
        </w:rPr>
        <w:t>33</w:t>
      </w:r>
      <w:r w:rsidRPr="00CD48A7">
        <w:t>:386-91.</w:t>
      </w:r>
    </w:p>
    <w:p w:rsidR="00E61790" w:rsidRPr="00CD48A7" w:rsidRDefault="00E61790" w:rsidP="00E61790">
      <w:pPr>
        <w:tabs>
          <w:tab w:val="num" w:pos="644"/>
        </w:tabs>
        <w:spacing w:line="480" w:lineRule="auto"/>
        <w:ind w:left="357"/>
        <w:rPr>
          <w:i/>
        </w:rPr>
      </w:pPr>
      <w:r w:rsidRPr="00CD48A7">
        <w:t xml:space="preserve">48. Eldiwany M, Fried KH,Powers JM. Color stability of light-cured and post-cured composites. </w:t>
      </w:r>
      <w:r w:rsidRPr="00CD48A7">
        <w:rPr>
          <w:i/>
        </w:rPr>
        <w:t xml:space="preserve">American Journal of Dentistry </w:t>
      </w:r>
      <w:r w:rsidRPr="00CD48A7">
        <w:t xml:space="preserve">1995; </w:t>
      </w:r>
      <w:r w:rsidRPr="00CD48A7">
        <w:rPr>
          <w:b/>
        </w:rPr>
        <w:t>8</w:t>
      </w:r>
      <w:r w:rsidRPr="00CD48A7">
        <w:t>:179-181.</w:t>
      </w:r>
    </w:p>
    <w:p w:rsidR="00E61790" w:rsidRPr="00CD48A7" w:rsidRDefault="00E61790" w:rsidP="00E61790">
      <w:pPr>
        <w:spacing w:line="480" w:lineRule="auto"/>
      </w:pPr>
    </w:p>
    <w:p w:rsidR="00E61790" w:rsidRPr="00CD48A7" w:rsidRDefault="00E61790" w:rsidP="00E61790">
      <w:pPr>
        <w:spacing w:line="480" w:lineRule="auto"/>
      </w:pPr>
    </w:p>
    <w:p w:rsidR="00B33EF1" w:rsidRPr="00CD48A7" w:rsidRDefault="00B33EF1" w:rsidP="00B33EF1">
      <w:pPr>
        <w:spacing w:line="480" w:lineRule="auto"/>
      </w:pPr>
    </w:p>
    <w:p w:rsidR="00B33EF1" w:rsidRPr="00CD48A7" w:rsidRDefault="00B33EF1" w:rsidP="00B33EF1">
      <w:pPr>
        <w:spacing w:line="480" w:lineRule="auto"/>
      </w:pPr>
    </w:p>
    <w:p w:rsidR="00B33EF1" w:rsidRPr="00CD48A7" w:rsidRDefault="00B33EF1" w:rsidP="00B33EF1">
      <w:pPr>
        <w:spacing w:line="480" w:lineRule="auto"/>
      </w:pPr>
    </w:p>
    <w:p w:rsidR="00B33EF1" w:rsidRPr="00CD48A7" w:rsidRDefault="00B33EF1" w:rsidP="00B33EF1">
      <w:pPr>
        <w:spacing w:line="480" w:lineRule="auto"/>
      </w:pPr>
    </w:p>
    <w:p w:rsidR="00B33EF1" w:rsidRPr="00CD48A7" w:rsidRDefault="00B33EF1" w:rsidP="00B33EF1">
      <w:pPr>
        <w:spacing w:line="480" w:lineRule="auto"/>
      </w:pPr>
    </w:p>
    <w:p w:rsidR="00B33EF1" w:rsidRPr="00CD48A7" w:rsidRDefault="00B33EF1" w:rsidP="00B33EF1">
      <w:pPr>
        <w:spacing w:line="480" w:lineRule="auto"/>
      </w:pPr>
    </w:p>
    <w:p w:rsidR="00B33EF1" w:rsidRPr="00CD48A7" w:rsidRDefault="00B33EF1" w:rsidP="00B33EF1">
      <w:pPr>
        <w:spacing w:line="480" w:lineRule="auto"/>
      </w:pPr>
    </w:p>
    <w:p w:rsidR="00B33EF1" w:rsidRPr="00CD48A7" w:rsidRDefault="00B33EF1" w:rsidP="00B33EF1">
      <w:pPr>
        <w:spacing w:line="480" w:lineRule="auto"/>
      </w:pPr>
    </w:p>
    <w:p w:rsidR="00731E23" w:rsidRPr="00CD48A7" w:rsidRDefault="00731E23" w:rsidP="00B33EF1">
      <w:pPr>
        <w:spacing w:line="480" w:lineRule="auto"/>
      </w:pPr>
    </w:p>
    <w:p w:rsidR="00731E23" w:rsidRPr="00CD48A7" w:rsidRDefault="00731E23" w:rsidP="00B33EF1">
      <w:pPr>
        <w:spacing w:line="480" w:lineRule="auto"/>
      </w:pPr>
    </w:p>
    <w:p w:rsidR="00B33EF1" w:rsidRPr="00CD48A7" w:rsidRDefault="00B33EF1" w:rsidP="00B33EF1">
      <w:pPr>
        <w:spacing w:line="480" w:lineRule="auto"/>
      </w:pPr>
    </w:p>
    <w:p w:rsidR="004D1212" w:rsidRPr="00CD48A7" w:rsidRDefault="004D1212" w:rsidP="00B33EF1">
      <w:pPr>
        <w:spacing w:line="480" w:lineRule="auto"/>
      </w:pPr>
    </w:p>
    <w:p w:rsidR="004D1212" w:rsidRPr="00CD48A7" w:rsidRDefault="004D1212" w:rsidP="00B33EF1">
      <w:pPr>
        <w:spacing w:line="480" w:lineRule="auto"/>
      </w:pPr>
    </w:p>
    <w:p w:rsidR="00F07AFE" w:rsidRPr="00CD48A7" w:rsidRDefault="00F07AFE" w:rsidP="00B33EF1">
      <w:pPr>
        <w:spacing w:line="480" w:lineRule="auto"/>
      </w:pPr>
    </w:p>
    <w:p w:rsidR="00F07AFE" w:rsidRPr="00CD48A7" w:rsidRDefault="00F07AFE" w:rsidP="00B33EF1">
      <w:pPr>
        <w:spacing w:line="480" w:lineRule="auto"/>
      </w:pPr>
    </w:p>
    <w:p w:rsidR="00F07AFE" w:rsidRPr="00CD48A7" w:rsidRDefault="00F07AFE" w:rsidP="00B33EF1">
      <w:pPr>
        <w:spacing w:line="480" w:lineRule="auto"/>
      </w:pPr>
    </w:p>
    <w:p w:rsidR="00F07AFE" w:rsidRPr="00CD48A7" w:rsidRDefault="00F07AFE" w:rsidP="00B33EF1">
      <w:pPr>
        <w:spacing w:line="480" w:lineRule="auto"/>
      </w:pPr>
    </w:p>
    <w:p w:rsidR="00F07AFE" w:rsidRPr="00CD48A7" w:rsidRDefault="00F07AFE" w:rsidP="00B33EF1">
      <w:pPr>
        <w:spacing w:line="480" w:lineRule="auto"/>
      </w:pPr>
    </w:p>
    <w:p w:rsidR="00F07AFE" w:rsidRPr="00CD48A7" w:rsidRDefault="00F07AFE" w:rsidP="00B33EF1">
      <w:pPr>
        <w:spacing w:line="480" w:lineRule="auto"/>
      </w:pPr>
    </w:p>
    <w:p w:rsidR="004D1212" w:rsidRPr="00CD48A7" w:rsidRDefault="004D1212" w:rsidP="00B33EF1">
      <w:pPr>
        <w:spacing w:line="480" w:lineRule="auto"/>
      </w:pPr>
    </w:p>
    <w:p w:rsidR="004D1212" w:rsidRPr="00CD48A7" w:rsidRDefault="004D1212" w:rsidP="00B33EF1">
      <w:pPr>
        <w:spacing w:line="480" w:lineRule="auto"/>
      </w:pPr>
    </w:p>
    <w:p w:rsidR="00B33EF1" w:rsidRPr="00CD48A7" w:rsidRDefault="00B33EF1" w:rsidP="00B33EF1">
      <w:pPr>
        <w:spacing w:line="480" w:lineRule="auto"/>
        <w:rPr>
          <w:b/>
          <w:sz w:val="28"/>
          <w:szCs w:val="28"/>
        </w:rPr>
      </w:pPr>
      <w:r w:rsidRPr="00CD48A7">
        <w:rPr>
          <w:b/>
          <w:sz w:val="28"/>
          <w:szCs w:val="28"/>
        </w:rPr>
        <w:t>Tables and Illustrations</w:t>
      </w:r>
    </w:p>
    <w:p w:rsidR="00B33EF1" w:rsidRPr="00CD48A7" w:rsidRDefault="00B33EF1" w:rsidP="00B33EF1">
      <w:pPr>
        <w:spacing w:line="480" w:lineRule="auto"/>
        <w:rPr>
          <w:b/>
          <w:sz w:val="28"/>
          <w:szCs w:val="28"/>
        </w:rPr>
      </w:pPr>
    </w:p>
    <w:p w:rsidR="00B33EF1" w:rsidRPr="00CD48A7" w:rsidRDefault="00B33EF1" w:rsidP="00B33EF1">
      <w:pPr>
        <w:spacing w:line="480" w:lineRule="auto"/>
        <w:rPr>
          <w:b/>
          <w:sz w:val="28"/>
          <w:szCs w:val="28"/>
        </w:rPr>
      </w:pPr>
    </w:p>
    <w:p w:rsidR="00B33EF1" w:rsidRPr="00CD48A7" w:rsidRDefault="00A63BD5" w:rsidP="00B33EF1">
      <w:pPr>
        <w:spacing w:line="480" w:lineRule="auto"/>
        <w:rPr>
          <w:sz w:val="28"/>
          <w:szCs w:val="28"/>
        </w:rPr>
      </w:pPr>
      <w:r>
        <w:rPr>
          <w:noProof/>
          <w:sz w:val="28"/>
          <w:szCs w:val="28"/>
          <w:lang w:eastAsia="en-GB"/>
        </w:rPr>
        <w:pict>
          <v:shapetype id="_x0000_t202" coordsize="21600,21600" o:spt="202" path="m,l,21600r21600,l21600,xe">
            <v:stroke joinstyle="miter"/>
            <v:path gradientshapeok="t" o:connecttype="rect"/>
          </v:shapetype>
          <v:shape id="_x0000_s1079" type="#_x0000_t202" style="position:absolute;margin-left:.8pt;margin-top:277.75pt;width:450pt;height:22.75pt;z-index:251661312" stroked="f">
            <v:textbox>
              <w:txbxContent>
                <w:p w:rsidR="002C4A1C" w:rsidRPr="00A934FE" w:rsidRDefault="002C4A1C" w:rsidP="00B33EF1">
                  <w:pPr>
                    <w:rPr>
                      <w:rFonts w:ascii="Calibri" w:hAnsi="Calibri"/>
                      <w:sz w:val="22"/>
                      <w:szCs w:val="22"/>
                    </w:rPr>
                  </w:pPr>
                  <w:r w:rsidRPr="00A934FE">
                    <w:rPr>
                      <w:rFonts w:ascii="Calibri" w:hAnsi="Calibri"/>
                      <w:sz w:val="22"/>
                      <w:szCs w:val="22"/>
                    </w:rPr>
                    <w:t>Fig</w:t>
                  </w:r>
                  <w:r>
                    <w:rPr>
                      <w:rFonts w:ascii="Calibri" w:hAnsi="Calibri"/>
                      <w:sz w:val="22"/>
                      <w:szCs w:val="22"/>
                    </w:rPr>
                    <w:t>ure (</w:t>
                  </w:r>
                  <w:r w:rsidRPr="00A934FE">
                    <w:rPr>
                      <w:rFonts w:ascii="Calibri" w:hAnsi="Calibri"/>
                      <w:sz w:val="22"/>
                      <w:szCs w:val="22"/>
                    </w:rPr>
                    <w:t>1</w:t>
                  </w:r>
                  <w:r>
                    <w:rPr>
                      <w:rFonts w:ascii="Calibri" w:hAnsi="Calibri"/>
                      <w:sz w:val="22"/>
                      <w:szCs w:val="22"/>
                    </w:rPr>
                    <w:t>): shows</w:t>
                  </w:r>
                  <w:r w:rsidRPr="00A934FE">
                    <w:rPr>
                      <w:rFonts w:ascii="Calibri" w:hAnsi="Calibri"/>
                      <w:sz w:val="22"/>
                      <w:szCs w:val="22"/>
                    </w:rPr>
                    <w:t xml:space="preserve"> Flow diagram of study design</w:t>
                  </w:r>
                </w:p>
              </w:txbxContent>
            </v:textbox>
          </v:shape>
        </w:pict>
      </w:r>
      <w:r>
        <w:rPr>
          <w:sz w:val="28"/>
          <w:szCs w:val="28"/>
        </w:rPr>
      </w:r>
      <w:r>
        <w:rPr>
          <w:sz w:val="28"/>
          <w:szCs w:val="28"/>
        </w:rPr>
        <w:pict>
          <v:group id="_x0000_s1026" editas="canvas" style="width:450pt;height:270pt;mso-position-horizontal-relative:char;mso-position-vertical-relative:line" coordorigin="2257,2001"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57;top:2001;width:7200;height:4320" o:preferrelative="f" stroked="t">
              <v:fill o:detectmouseclick="t"/>
              <v:path o:extrusionok="t" o:connecttype="none"/>
              <o:lock v:ext="edit" text="t"/>
            </v:shape>
            <v:shapetype id="_x0000_t109" coordsize="21600,21600" o:spt="109" path="m,l,21600r21600,l21600,xe">
              <v:stroke joinstyle="miter"/>
              <v:path gradientshapeok="t" o:connecttype="rect"/>
            </v:shapetype>
            <v:shape id="_x0000_s1028" type="#_x0000_t109" alt="" style="position:absolute;left:4273;top:2289;width:960;height:288">
              <v:textbox>
                <w:txbxContent>
                  <w:p w:rsidR="002C4A1C" w:rsidRPr="00386E73" w:rsidRDefault="002C4A1C" w:rsidP="00B33EF1">
                    <w:pPr>
                      <w:rPr>
                        <w:sz w:val="16"/>
                        <w:szCs w:val="16"/>
                      </w:rPr>
                    </w:pPr>
                    <w:r w:rsidRPr="00386E73">
                      <w:rPr>
                        <w:sz w:val="16"/>
                        <w:szCs w:val="16"/>
                      </w:rPr>
                      <w:t>Collect teeth</w:t>
                    </w:r>
                  </w:p>
                </w:txbxContent>
              </v:textbox>
            </v:shape>
            <v:shape id="_x0000_s1029" type="#_x0000_t109" style="position:absolute;left:3889;top:2721;width:1728;height:288">
              <v:textbox>
                <w:txbxContent>
                  <w:p w:rsidR="002C4A1C" w:rsidRPr="00386E73" w:rsidRDefault="002C4A1C" w:rsidP="00B33EF1">
                    <w:pPr>
                      <w:rPr>
                        <w:sz w:val="16"/>
                        <w:szCs w:val="16"/>
                      </w:rPr>
                    </w:pPr>
                    <w:r w:rsidRPr="00386E73">
                      <w:rPr>
                        <w:sz w:val="16"/>
                        <w:szCs w:val="16"/>
                      </w:rPr>
                      <w:t>Clean and prepare surfaces</w:t>
                    </w:r>
                  </w:p>
                  <w:p w:rsidR="002C4A1C" w:rsidRDefault="002C4A1C" w:rsidP="00B33EF1"/>
                </w:txbxContent>
              </v:textbox>
            </v:shape>
            <v:shape id="_x0000_s1030" type="#_x0000_t109" style="position:absolute;left:5329;top:3153;width:1248;height:288">
              <v:textbox>
                <w:txbxContent>
                  <w:p w:rsidR="002C4A1C" w:rsidRPr="00386E73" w:rsidRDefault="002C4A1C" w:rsidP="00B33EF1">
                    <w:pPr>
                      <w:rPr>
                        <w:sz w:val="16"/>
                        <w:szCs w:val="16"/>
                      </w:rPr>
                    </w:pPr>
                    <w:r>
                      <w:rPr>
                        <w:sz w:val="16"/>
                        <w:szCs w:val="16"/>
                      </w:rPr>
                      <w:t>Measure colour</w:t>
                    </w:r>
                  </w:p>
                </w:txbxContent>
              </v:textbox>
            </v:shape>
            <v:shape id="_x0000_s1031" type="#_x0000_t109" style="position:absolute;left:6289;top:2721;width:1248;height:288">
              <v:textbox>
                <w:txbxContent>
                  <w:p w:rsidR="002C4A1C" w:rsidRPr="00386E73" w:rsidRDefault="002C4A1C" w:rsidP="00B33EF1">
                    <w:pPr>
                      <w:rPr>
                        <w:sz w:val="16"/>
                        <w:szCs w:val="16"/>
                      </w:rPr>
                    </w:pPr>
                    <w:r>
                      <w:rPr>
                        <w:sz w:val="16"/>
                        <w:szCs w:val="16"/>
                      </w:rPr>
                      <w:t>Prepare veneers</w:t>
                    </w:r>
                  </w:p>
                </w:txbxContent>
              </v:textbox>
            </v:shape>
            <v:shape id="_x0000_s1032" type="#_x0000_t109" style="position:absolute;left:2833;top:3585;width:960;height:288">
              <v:textbox>
                <w:txbxContent>
                  <w:p w:rsidR="002C4A1C" w:rsidRPr="00386E73" w:rsidRDefault="002C4A1C" w:rsidP="00B33EF1">
                    <w:pPr>
                      <w:jc w:val="center"/>
                      <w:rPr>
                        <w:sz w:val="16"/>
                        <w:szCs w:val="16"/>
                      </w:rPr>
                    </w:pPr>
                    <w:r w:rsidRPr="00386E73">
                      <w:rPr>
                        <w:sz w:val="16"/>
                        <w:szCs w:val="16"/>
                      </w:rPr>
                      <w:t>Rely-X</w:t>
                    </w:r>
                  </w:p>
                </w:txbxContent>
              </v:textbox>
            </v:shape>
            <v:shape id="_x0000_s1033" type="#_x0000_t109" style="position:absolute;left:5425;top:3585;width:1056;height:288">
              <v:textbox>
                <w:txbxContent>
                  <w:p w:rsidR="002C4A1C" w:rsidRPr="00BC5AC7" w:rsidRDefault="002C4A1C" w:rsidP="00B33EF1">
                    <w:pPr>
                      <w:jc w:val="center"/>
                      <w:rPr>
                        <w:sz w:val="20"/>
                        <w:szCs w:val="20"/>
                      </w:rPr>
                    </w:pPr>
                    <w:r>
                      <w:rPr>
                        <w:sz w:val="20"/>
                        <w:szCs w:val="20"/>
                      </w:rPr>
                      <w:t>Calibra</w:t>
                    </w:r>
                  </w:p>
                </w:txbxContent>
              </v:textbox>
            </v:shape>
            <v:shape id="_x0000_s1034" type="#_x0000_t109" style="position:absolute;left:2353;top:4017;width:576;height:288">
              <v:textbox>
                <w:txbxContent>
                  <w:p w:rsidR="002C4A1C" w:rsidRPr="00674118" w:rsidRDefault="002C4A1C" w:rsidP="00B33EF1">
                    <w:pPr>
                      <w:rPr>
                        <w:sz w:val="16"/>
                        <w:szCs w:val="16"/>
                      </w:rPr>
                    </w:pPr>
                    <w:r>
                      <w:rPr>
                        <w:sz w:val="16"/>
                        <w:szCs w:val="16"/>
                      </w:rPr>
                      <w:t xml:space="preserve">Light </w:t>
                    </w:r>
                  </w:p>
                </w:txbxContent>
              </v:textbox>
            </v:shape>
            <v:shape id="_x0000_s1035" type="#_x0000_t109" style="position:absolute;left:4561;top:4449;width:2784;height:432">
              <v:textbox>
                <w:txbxContent>
                  <w:p w:rsidR="002C4A1C" w:rsidRDefault="002C4A1C" w:rsidP="00B33EF1">
                    <w:pPr>
                      <w:jc w:val="center"/>
                      <w:rPr>
                        <w:sz w:val="16"/>
                        <w:szCs w:val="16"/>
                      </w:rPr>
                    </w:pPr>
                    <w:r>
                      <w:rPr>
                        <w:sz w:val="16"/>
                        <w:szCs w:val="16"/>
                      </w:rPr>
                      <w:t>Veneer applied to tooth with separating material</w:t>
                    </w:r>
                  </w:p>
                  <w:p w:rsidR="002C4A1C" w:rsidRPr="0052579B" w:rsidRDefault="002C4A1C" w:rsidP="00B33EF1">
                    <w:pPr>
                      <w:jc w:val="center"/>
                      <w:rPr>
                        <w:sz w:val="16"/>
                        <w:szCs w:val="16"/>
                      </w:rPr>
                    </w:pPr>
                    <w:r>
                      <w:rPr>
                        <w:sz w:val="16"/>
                        <w:szCs w:val="16"/>
                      </w:rPr>
                      <w:t>(Aquagel, try-in paste, resin cement)</w:t>
                    </w:r>
                  </w:p>
                </w:txbxContent>
              </v:textbox>
            </v:shape>
            <v:shape id="_x0000_s1036" type="#_x0000_t109" style="position:absolute;left:7921;top:3585;width:864;height:288">
              <v:textbox>
                <w:txbxContent>
                  <w:p w:rsidR="002C4A1C" w:rsidRPr="00386E73" w:rsidRDefault="002C4A1C" w:rsidP="00B33EF1">
                    <w:pPr>
                      <w:jc w:val="center"/>
                      <w:rPr>
                        <w:sz w:val="20"/>
                        <w:szCs w:val="20"/>
                      </w:rPr>
                    </w:pPr>
                    <w:r>
                      <w:rPr>
                        <w:sz w:val="20"/>
                        <w:szCs w:val="20"/>
                      </w:rPr>
                      <w:t>Nexus-3</w:t>
                    </w:r>
                  </w:p>
                </w:txbxContent>
              </v:textbox>
            </v:shape>
            <v:shape id="_x0000_s1037" type="#_x0000_t109" style="position:absolute;left:3025;top:4017;width:576;height:288">
              <v:textbox>
                <w:txbxContent>
                  <w:p w:rsidR="002C4A1C" w:rsidRPr="00674118" w:rsidRDefault="002C4A1C" w:rsidP="00B33EF1">
                    <w:pPr>
                      <w:rPr>
                        <w:sz w:val="16"/>
                        <w:szCs w:val="16"/>
                      </w:rPr>
                    </w:pPr>
                    <w:r>
                      <w:rPr>
                        <w:sz w:val="16"/>
                        <w:szCs w:val="16"/>
                      </w:rPr>
                      <w:t>Dark</w:t>
                    </w:r>
                  </w:p>
                </w:txbxContent>
              </v:textbox>
            </v:shape>
            <v:shape id="_x0000_s1038" type="#_x0000_t109" style="position:absolute;left:3697;top:4017;width:864;height:288">
              <v:textbox style="mso-next-textbox:#_x0000_s1038">
                <w:txbxContent>
                  <w:p w:rsidR="002C4A1C" w:rsidRPr="00674118" w:rsidRDefault="002C4A1C" w:rsidP="00B33EF1">
                    <w:pPr>
                      <w:jc w:val="center"/>
                      <w:rPr>
                        <w:sz w:val="16"/>
                        <w:szCs w:val="16"/>
                      </w:rPr>
                    </w:pPr>
                    <w:r>
                      <w:rPr>
                        <w:sz w:val="16"/>
                        <w:szCs w:val="16"/>
                      </w:rPr>
                      <w:t>Translucent</w:t>
                    </w:r>
                  </w:p>
                </w:txbxContent>
              </v:textbox>
            </v:shape>
            <v:shape id="_x0000_s1039" type="#_x0000_t109" style="position:absolute;left:7345;top:4017;width:576;height:288">
              <v:textbox>
                <w:txbxContent>
                  <w:p w:rsidR="002C4A1C" w:rsidRPr="00674118" w:rsidRDefault="002C4A1C" w:rsidP="00B33EF1">
                    <w:pPr>
                      <w:rPr>
                        <w:sz w:val="16"/>
                        <w:szCs w:val="16"/>
                      </w:rPr>
                    </w:pPr>
                    <w:r>
                      <w:rPr>
                        <w:sz w:val="16"/>
                        <w:szCs w:val="16"/>
                      </w:rPr>
                      <w:t xml:space="preserve">Light </w:t>
                    </w:r>
                  </w:p>
                </w:txbxContent>
              </v:textbox>
            </v:shape>
            <v:shape id="_x0000_s1040" type="#_x0000_t109" style="position:absolute;left:8017;top:4017;width:576;height:288">
              <v:textbox>
                <w:txbxContent>
                  <w:p w:rsidR="002C4A1C" w:rsidRPr="00674118" w:rsidRDefault="002C4A1C" w:rsidP="00B33EF1">
                    <w:pPr>
                      <w:rPr>
                        <w:sz w:val="16"/>
                        <w:szCs w:val="16"/>
                      </w:rPr>
                    </w:pPr>
                    <w:r>
                      <w:rPr>
                        <w:sz w:val="16"/>
                        <w:szCs w:val="16"/>
                      </w:rPr>
                      <w:t>Dark</w:t>
                    </w:r>
                  </w:p>
                </w:txbxContent>
              </v:textbox>
            </v:shape>
            <v:shape id="_x0000_s1041" type="#_x0000_t109" style="position:absolute;left:8689;top:4017;width:672;height:288">
              <v:textbox style="mso-next-textbox:#_x0000_s1041">
                <w:txbxContent>
                  <w:p w:rsidR="002C4A1C" w:rsidRPr="00674118" w:rsidRDefault="002C4A1C" w:rsidP="00B33EF1">
                    <w:pPr>
                      <w:jc w:val="center"/>
                      <w:rPr>
                        <w:sz w:val="16"/>
                        <w:szCs w:val="16"/>
                      </w:rPr>
                    </w:pPr>
                    <w:r>
                      <w:rPr>
                        <w:sz w:val="16"/>
                        <w:szCs w:val="16"/>
                      </w:rPr>
                      <w:t>Neutral</w:t>
                    </w:r>
                  </w:p>
                </w:txbxContent>
              </v:textbox>
            </v:shape>
            <v:shape id="_x0000_s1042" type="#_x0000_t109" style="position:absolute;left:4849;top:4017;width:576;height:288">
              <v:textbox>
                <w:txbxContent>
                  <w:p w:rsidR="002C4A1C" w:rsidRPr="00674118" w:rsidRDefault="002C4A1C" w:rsidP="00B33EF1">
                    <w:pPr>
                      <w:rPr>
                        <w:sz w:val="16"/>
                        <w:szCs w:val="16"/>
                      </w:rPr>
                    </w:pPr>
                    <w:r>
                      <w:rPr>
                        <w:sz w:val="16"/>
                        <w:szCs w:val="16"/>
                      </w:rPr>
                      <w:t xml:space="preserve">Light </w:t>
                    </w:r>
                  </w:p>
                </w:txbxContent>
              </v:textbox>
            </v:shape>
            <v:shape id="_x0000_s1043" type="#_x0000_t109" style="position:absolute;left:5521;top:4017;width:576;height:288">
              <v:textbox>
                <w:txbxContent>
                  <w:p w:rsidR="002C4A1C" w:rsidRPr="00674118" w:rsidRDefault="002C4A1C" w:rsidP="00B33EF1">
                    <w:pPr>
                      <w:rPr>
                        <w:sz w:val="16"/>
                        <w:szCs w:val="16"/>
                      </w:rPr>
                    </w:pPr>
                    <w:r>
                      <w:rPr>
                        <w:sz w:val="16"/>
                        <w:szCs w:val="16"/>
                      </w:rPr>
                      <w:t>Dark</w:t>
                    </w:r>
                  </w:p>
                </w:txbxContent>
              </v:textbox>
            </v:shape>
            <v:shape id="_x0000_s1044" type="#_x0000_t109" style="position:absolute;left:6289;top:4017;width:864;height:288">
              <v:textbox style="mso-next-textbox:#_x0000_s1044">
                <w:txbxContent>
                  <w:p w:rsidR="002C4A1C" w:rsidRPr="00674118" w:rsidRDefault="002C4A1C" w:rsidP="00B33EF1">
                    <w:pPr>
                      <w:jc w:val="center"/>
                      <w:rPr>
                        <w:sz w:val="16"/>
                        <w:szCs w:val="16"/>
                      </w:rPr>
                    </w:pPr>
                    <w:r>
                      <w:rPr>
                        <w:sz w:val="16"/>
                        <w:szCs w:val="16"/>
                      </w:rPr>
                      <w:t>Translucent</w:t>
                    </w:r>
                  </w:p>
                </w:txbxContent>
              </v:textbox>
            </v:shape>
            <v:shape id="_x0000_s1045" type="#_x0000_t109" style="position:absolute;left:5329;top:4955;width:1152;height:288">
              <v:textbox>
                <w:txbxContent>
                  <w:p w:rsidR="002C4A1C" w:rsidRPr="00D728A7" w:rsidRDefault="002C4A1C" w:rsidP="00B33EF1">
                    <w:pPr>
                      <w:rPr>
                        <w:sz w:val="16"/>
                        <w:szCs w:val="16"/>
                      </w:rPr>
                    </w:pPr>
                    <w:r>
                      <w:rPr>
                        <w:sz w:val="16"/>
                        <w:szCs w:val="16"/>
                      </w:rPr>
                      <w:t>Measure colour</w:t>
                    </w:r>
                  </w:p>
                </w:txbxContent>
              </v:textbox>
            </v:shape>
            <v:shape id="_x0000_s1046" type="#_x0000_t109" style="position:absolute;left:5329;top:5387;width:1152;height:288">
              <v:textbox>
                <w:txbxContent>
                  <w:p w:rsidR="002C4A1C" w:rsidRPr="00D728A7" w:rsidRDefault="002C4A1C" w:rsidP="00B33EF1">
                    <w:pPr>
                      <w:rPr>
                        <w:sz w:val="16"/>
                        <w:szCs w:val="16"/>
                      </w:rPr>
                    </w:pPr>
                    <w:r>
                      <w:rPr>
                        <w:sz w:val="16"/>
                        <w:szCs w:val="16"/>
                      </w:rPr>
                      <w:t>Clean surfaces</w:t>
                    </w:r>
                  </w:p>
                </w:txbxContent>
              </v:textbox>
            </v:shape>
            <v:line id="_x0000_s1047" style="position:absolute" from="4753,2577" to="4753,2721">
              <v:stroke endarrow="block"/>
            </v:line>
            <v:shapetype id="_x0000_t33" coordsize="21600,21600" o:spt="33" o:oned="t" path="m,l21600,r,21600e" filled="f">
              <v:stroke joinstyle="miter"/>
              <v:path arrowok="t" fillok="f" o:connecttype="none"/>
              <o:lock v:ext="edit" shapetype="t"/>
            </v:shapetype>
            <v:shape id="_x0000_s1048" type="#_x0000_t33" style="position:absolute;left:4897;top:2865;width:288;height:576;rotation:90;flip:x" o:connectortype="elbow" adj="-273240,91620,-273240">
              <v:stroke endarrow="block"/>
            </v:shape>
            <v:shape id="_x0000_s1049" type="#_x0000_t33" style="position:absolute;left:6601;top:2985;width:288;height:336;rotation:90" o:connectortype="elbow" adj="-435240,-157063,-43524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0" type="#_x0000_t34" style="position:absolute;left:4561;top:2193;width:144;height:2640;rotation:90" o:connectortype="elbow" adj=",-23524,-726480">
              <v:stroke endarrow="block"/>
            </v:shape>
            <v:shape id="_x0000_s1051" type="#_x0000_t34" style="position:absolute;left:7081;top:2313;width:144;height:2400;rotation:90;flip:x" o:connectortype="elbow" adj=",25877,-726480">
              <v:stroke endarrow="block"/>
            </v:shape>
            <v:shape id="_x0000_s1052" type="#_x0000_t33" style="position:absolute;left:2641;top:3729;width:192;height:288;rotation:180;flip:y" o:connectortype="elbow" adj="-193860,237240,-193860">
              <v:stroke endarrow="block"/>
            </v:shape>
            <v:shape id="_x0000_s1053" type="#_x0000_t33" style="position:absolute;left:3793;top:3729;width:336;height:288" o:connectortype="elbow" adj="-172491,-237240,-172491">
              <v:stroke endarrow="block"/>
            </v:shape>
            <v:line id="_x0000_s1054" style="position:absolute" from="3313,3873" to="3313,4017">
              <v:stroke endarrow="block"/>
            </v:line>
            <v:line id="_x0000_s1055" style="position:absolute" from="5809,3873" to="5809,4017">
              <v:stroke endarrow="block"/>
            </v:line>
            <v:shape id="_x0000_s1056" type="#_x0000_t33" style="position:absolute;left:5137;top:3729;width:288;height:288;rotation:180;flip:y" o:connectortype="elbow" adj="-323640,237240,-323640">
              <v:stroke endarrow="block"/>
            </v:shape>
            <v:shape id="_x0000_s1057" type="#_x0000_t33" style="position:absolute;left:6481;top:3729;width:240;height:288" o:connectortype="elbow" adj="-483408,-237240,-483408">
              <v:stroke endarrow="block"/>
            </v:shape>
            <v:shape id="_x0000_s1058" type="#_x0000_t33" style="position:absolute;left:7633;top:3729;width:288;height:288;rotation:180;flip:y" o:connectortype="elbow" adj="-510840,237240,-510840">
              <v:stroke endarrow="block"/>
            </v:shape>
            <v:shape id="_x0000_s1059" type="#_x0000_t33" style="position:absolute;left:8785;top:3729;width:240;height:288" o:connectortype="elbow" adj="-690768,-237240,-690768">
              <v:stroke endarrow="block"/>
            </v:shape>
            <v:line id="_x0000_s1060" style="position:absolute" from="8305,3873" to="8305,4017">
              <v:stroke endarrow="block"/>
            </v:line>
            <v:shape id="_x0000_s1061" type="#_x0000_t33" style="position:absolute;left:3421;top:3525;width:360;height:1920;rotation:90;flip:x" o:connectortype="elbow" adj="-91872,42066,-91872">
              <v:stroke endarrow="block"/>
            </v:shape>
            <v:shape id="_x0000_s1062" type="#_x0000_t33" style="position:absolute;left:8005;top:3645;width:360;height:1680;rotation:90" o:connectortype="elbow" adj="-474912,-48075,-474912">
              <v:stroke endarrow="block"/>
            </v:shape>
            <v:shapetype id="_x0000_t32" coordsize="21600,21600" o:spt="32" o:oned="t" path="m,l21600,21600e" filled="f">
              <v:path arrowok="t" fillok="f" o:connecttype="none"/>
              <o:lock v:ext="edit" shapetype="t"/>
            </v:shapetype>
            <v:shape id="_x0000_s1063" type="#_x0000_t32" style="position:absolute;left:3313;top:4305;width:0;height:288" o:connectortype="straight"/>
            <v:line id="_x0000_s1064" style="position:absolute" from="3985,4305" to="3986,4593"/>
            <v:line id="_x0000_s1065" style="position:absolute" from="8305,4305" to="8305,4593"/>
            <v:line id="_x0000_s1066" style="position:absolute" from="7729,4305" to="7729,4593"/>
            <v:line id="_x0000_s1067" style="position:absolute" from="5137,4305" to="5137,4449">
              <v:stroke endarrow="block"/>
            </v:line>
            <v:line id="_x0000_s1068" style="position:absolute" from="5809,4305" to="5809,4449">
              <v:stroke endarrow="block"/>
            </v:line>
            <v:line id="_x0000_s1069" style="position:absolute" from="6577,4305" to="6577,4449">
              <v:stroke endarrow="block"/>
            </v:line>
            <v:shape id="_x0000_s1070" type="#_x0000_t34" style="position:absolute;left:4561;top:4665;width:768;height:866;rotation:180" o:connectortype="elbow" adj="29700,-123796,-118665">
              <v:stroke endarrow="block"/>
            </v:shape>
            <v:line id="_x0000_s1071" style="position:absolute" from="5808,4811" to="5809,4955">
              <v:stroke endarrow="block"/>
            </v:line>
            <v:line id="_x0000_s1072" style="position:absolute" from="5811,5243" to="5813,5387">
              <v:stroke endarrow="block"/>
            </v:line>
            <v:shapetype id="_x0000_t116" coordsize="21600,21600" o:spt="116" path="m3475,qx,10800,3475,21600l18125,21600qx21600,10800,18125,xe">
              <v:stroke joinstyle="miter"/>
              <v:path gradientshapeok="t" o:connecttype="rect" textboxrect="1018,3163,20582,18437"/>
            </v:shapetype>
            <v:shape id="_x0000_s1073" type="#_x0000_t116" style="position:absolute;left:6769;top:5099;width:864;height:432">
              <v:textbox>
                <w:txbxContent>
                  <w:p w:rsidR="002C4A1C" w:rsidRPr="00691E2E" w:rsidRDefault="002C4A1C" w:rsidP="00B33EF1">
                    <w:pPr>
                      <w:rPr>
                        <w:sz w:val="16"/>
                        <w:szCs w:val="16"/>
                      </w:rPr>
                    </w:pPr>
                    <w:r>
                      <w:rPr>
                        <w:sz w:val="16"/>
                        <w:szCs w:val="16"/>
                      </w:rPr>
                      <w:t>Cure resin</w:t>
                    </w:r>
                  </w:p>
                </w:txbxContent>
              </v:textbox>
            </v:shape>
            <v:shape id="_x0000_s1074" type="#_x0000_t116" style="position:absolute;left:6577;top:5675;width:1152;height:384">
              <v:textbox>
                <w:txbxContent>
                  <w:p w:rsidR="002C4A1C" w:rsidRPr="00691E2E" w:rsidRDefault="002C4A1C" w:rsidP="00B33EF1">
                    <w:pPr>
                      <w:rPr>
                        <w:sz w:val="16"/>
                        <w:szCs w:val="16"/>
                      </w:rPr>
                    </w:pPr>
                    <w:r>
                      <w:rPr>
                        <w:sz w:val="16"/>
                        <w:szCs w:val="16"/>
                      </w:rPr>
                      <w:t>Measure colour</w:t>
                    </w:r>
                  </w:p>
                </w:txbxContent>
              </v:textbox>
            </v:shape>
            <v:line id="_x0000_s1075" style="position:absolute" from="7153,4881" to="7154,5169">
              <v:stroke endarrow="block"/>
            </v:line>
            <v:line id="_x0000_s1076" style="position:absolute" from="7153,5531" to="7154,5675">
              <v:stroke endarrow="block"/>
            </v:line>
            <v:shape id="_x0000_s1077" type="#_x0000_t32" style="position:absolute;left:5953;top:3441;width:1;height:144" o:connectortype="straight">
              <v:stroke endarrow="block"/>
            </v:shape>
            <w10:wrap type="none"/>
            <w10:anchorlock/>
          </v:group>
        </w:pict>
      </w:r>
    </w:p>
    <w:p w:rsidR="00B33EF1" w:rsidRPr="00CD48A7" w:rsidRDefault="00B33EF1" w:rsidP="00B33EF1">
      <w:pPr>
        <w:spacing w:line="480" w:lineRule="auto"/>
      </w:pPr>
    </w:p>
    <w:p w:rsidR="00B33EF1" w:rsidRPr="00CD48A7" w:rsidRDefault="00B33EF1" w:rsidP="00B33EF1">
      <w:pPr>
        <w:spacing w:line="480" w:lineRule="auto"/>
        <w:jc w:val="center"/>
      </w:pPr>
    </w:p>
    <w:p w:rsidR="00B33EF1" w:rsidRPr="00CD48A7" w:rsidRDefault="00B33EF1" w:rsidP="00B33EF1">
      <w:pPr>
        <w:spacing w:line="480" w:lineRule="auto"/>
        <w:jc w:val="center"/>
      </w:pPr>
    </w:p>
    <w:p w:rsidR="00B33EF1" w:rsidRPr="00CD48A7" w:rsidRDefault="00B33EF1" w:rsidP="00B33EF1">
      <w:pPr>
        <w:spacing w:line="480" w:lineRule="auto"/>
        <w:jc w:val="center"/>
      </w:pPr>
    </w:p>
    <w:p w:rsidR="00B33EF1" w:rsidRPr="00CD48A7" w:rsidRDefault="00B33EF1" w:rsidP="00B33EF1">
      <w:pPr>
        <w:spacing w:line="480" w:lineRule="auto"/>
        <w:jc w:val="center"/>
      </w:pPr>
      <w:r w:rsidRPr="00CD48A7">
        <w:rPr>
          <w:noProof/>
          <w:lang w:eastAsia="en-GB"/>
        </w:rPr>
        <w:drawing>
          <wp:anchor distT="0" distB="0" distL="114300" distR="114300" simplePos="0" relativeHeight="251662336" behindDoc="0" locked="0" layoutInCell="1" allowOverlap="1">
            <wp:simplePos x="0" y="0"/>
            <wp:positionH relativeFrom="column">
              <wp:posOffset>1004570</wp:posOffset>
            </wp:positionH>
            <wp:positionV relativeFrom="paragraph">
              <wp:posOffset>109220</wp:posOffset>
            </wp:positionV>
            <wp:extent cx="2946400" cy="1466850"/>
            <wp:effectExtent l="19050" t="0" r="6350" b="0"/>
            <wp:wrapSquare wrapText="bothSides"/>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srcRect/>
                    <a:stretch>
                      <a:fillRect/>
                    </a:stretch>
                  </pic:blipFill>
                  <pic:spPr bwMode="auto">
                    <a:xfrm>
                      <a:off x="0" y="0"/>
                      <a:ext cx="2946400" cy="1466850"/>
                    </a:xfrm>
                    <a:prstGeom prst="rect">
                      <a:avLst/>
                    </a:prstGeom>
                    <a:noFill/>
                    <a:ln w="9525">
                      <a:noFill/>
                      <a:miter lim="800000"/>
                      <a:headEnd/>
                      <a:tailEnd/>
                    </a:ln>
                  </pic:spPr>
                </pic:pic>
              </a:graphicData>
            </a:graphic>
          </wp:anchor>
        </w:drawing>
      </w:r>
    </w:p>
    <w:p w:rsidR="00B33EF1" w:rsidRPr="00CD48A7" w:rsidRDefault="00B33EF1" w:rsidP="00B33EF1">
      <w:pPr>
        <w:spacing w:line="480" w:lineRule="auto"/>
        <w:jc w:val="center"/>
      </w:pPr>
    </w:p>
    <w:p w:rsidR="00B33EF1" w:rsidRPr="00CD48A7" w:rsidRDefault="00B33EF1" w:rsidP="00B33EF1">
      <w:pPr>
        <w:spacing w:line="480" w:lineRule="auto"/>
        <w:jc w:val="center"/>
      </w:pPr>
    </w:p>
    <w:p w:rsidR="00B33EF1" w:rsidRPr="00CD48A7" w:rsidRDefault="00B33EF1" w:rsidP="00B33EF1">
      <w:pPr>
        <w:spacing w:line="480" w:lineRule="auto"/>
        <w:jc w:val="center"/>
      </w:pPr>
    </w:p>
    <w:p w:rsidR="00B33EF1" w:rsidRPr="00CD48A7" w:rsidRDefault="00A63BD5" w:rsidP="00B33EF1">
      <w:pPr>
        <w:spacing w:line="480" w:lineRule="auto"/>
        <w:jc w:val="center"/>
        <w:rPr>
          <w:b/>
        </w:rPr>
      </w:pPr>
      <w:r w:rsidRPr="00A63BD5">
        <w:rPr>
          <w:noProof/>
          <w:lang w:eastAsia="en-GB"/>
        </w:rPr>
        <w:pict>
          <v:shape id="_x0000_s1080" type="#_x0000_t202" style="position:absolute;left:0;text-align:left;margin-left:78.35pt;margin-top:21.2pt;width:270pt;height:43.15pt;z-index:251663360" stroked="f">
            <v:textbox style="mso-next-textbox:#_x0000_s1080">
              <w:txbxContent>
                <w:p w:rsidR="002C4A1C" w:rsidRPr="00A934FE" w:rsidRDefault="002C4A1C" w:rsidP="00B33EF1">
                  <w:pPr>
                    <w:rPr>
                      <w:rFonts w:ascii="Calibri" w:hAnsi="Calibri"/>
                      <w:sz w:val="22"/>
                      <w:szCs w:val="22"/>
                    </w:rPr>
                  </w:pPr>
                  <w:r>
                    <w:rPr>
                      <w:rFonts w:ascii="Calibri" w:hAnsi="Calibri"/>
                      <w:sz w:val="22"/>
                      <w:szCs w:val="22"/>
                    </w:rPr>
                    <w:t>Figure (</w:t>
                  </w:r>
                  <w:r w:rsidRPr="00A934FE">
                    <w:rPr>
                      <w:rFonts w:ascii="Calibri" w:hAnsi="Calibri"/>
                      <w:sz w:val="22"/>
                      <w:szCs w:val="22"/>
                    </w:rPr>
                    <w:t>2</w:t>
                  </w:r>
                  <w:r>
                    <w:rPr>
                      <w:rFonts w:ascii="Calibri" w:hAnsi="Calibri"/>
                      <w:sz w:val="22"/>
                      <w:szCs w:val="22"/>
                    </w:rPr>
                    <w:t>): Mould used to make veneers with a porcelain veneer before firing.</w:t>
                  </w:r>
                </w:p>
              </w:txbxContent>
            </v:textbox>
            <w10:wrap type="square"/>
          </v:shape>
        </w:pict>
      </w:r>
    </w:p>
    <w:p w:rsidR="00B33EF1" w:rsidRPr="00CD48A7" w:rsidRDefault="00B33EF1" w:rsidP="00B33EF1">
      <w:pPr>
        <w:spacing w:line="480" w:lineRule="auto"/>
        <w:jc w:val="center"/>
      </w:pPr>
    </w:p>
    <w:p w:rsidR="00B33EF1" w:rsidRPr="00CD48A7" w:rsidRDefault="00B33EF1" w:rsidP="00B33EF1">
      <w:pPr>
        <w:spacing w:line="480" w:lineRule="auto"/>
        <w:jc w:val="center"/>
      </w:pPr>
    </w:p>
    <w:p w:rsidR="00B33EF1" w:rsidRPr="00CD48A7" w:rsidRDefault="00B33EF1" w:rsidP="00731E23">
      <w:pPr>
        <w:spacing w:line="480" w:lineRule="auto"/>
        <w:rPr>
          <w:b/>
        </w:rPr>
      </w:pPr>
    </w:p>
    <w:p w:rsidR="00B33EF1" w:rsidRPr="00CD48A7" w:rsidRDefault="00B33EF1" w:rsidP="00B33EF1">
      <w:pPr>
        <w:spacing w:line="480" w:lineRule="auto"/>
      </w:pPr>
    </w:p>
    <w:p w:rsidR="00B33EF1" w:rsidRPr="00CD48A7" w:rsidRDefault="00A63BD5" w:rsidP="00B33EF1">
      <w:pPr>
        <w:spacing w:line="480" w:lineRule="auto"/>
      </w:pPr>
      <w:r>
        <w:rPr>
          <w:noProof/>
          <w:lang w:eastAsia="en-GB"/>
        </w:rPr>
        <w:pict>
          <v:shape id="_x0000_s1085" type="#_x0000_t202" style="position:absolute;margin-left:-1.1pt;margin-top:278.15pt;width:396pt;height:45pt;z-index:251668480" stroked="f">
            <v:textbox style="mso-next-textbox:#_x0000_s1085">
              <w:txbxContent>
                <w:p w:rsidR="002C4A1C" w:rsidRPr="003B3057" w:rsidRDefault="002C4A1C" w:rsidP="00B33EF1">
                  <w:pPr>
                    <w:rPr>
                      <w:rFonts w:ascii="Calibri" w:hAnsi="Calibri"/>
                      <w:sz w:val="20"/>
                      <w:szCs w:val="20"/>
                    </w:rPr>
                  </w:pPr>
                  <w:r>
                    <w:rPr>
                      <w:rFonts w:ascii="Calibri" w:hAnsi="Calibri"/>
                      <w:sz w:val="20"/>
                      <w:szCs w:val="20"/>
                    </w:rPr>
                    <w:t>Figure (3)</w:t>
                  </w:r>
                  <w:r w:rsidRPr="003B3057">
                    <w:rPr>
                      <w:rFonts w:ascii="Calibri" w:hAnsi="Calibri"/>
                      <w:sz w:val="20"/>
                      <w:szCs w:val="20"/>
                    </w:rPr>
                    <w:t xml:space="preserve"> – Graph showing mean differences between ΔE values produced between different shades of resin of each manufacturer. </w:t>
                  </w:r>
                  <w:r w:rsidRPr="004D1212">
                    <w:rPr>
                      <w:rFonts w:ascii="Calibri" w:hAnsi="Calibri"/>
                      <w:color w:val="FF0000"/>
                      <w:sz w:val="20"/>
                      <w:szCs w:val="20"/>
                    </w:rPr>
                    <w:t>(95% Confidence Interval illustrated)</w:t>
                  </w:r>
                  <w:r w:rsidRPr="003B3057">
                    <w:rPr>
                      <w:rFonts w:ascii="Calibri" w:hAnsi="Calibri"/>
                      <w:sz w:val="20"/>
                      <w:szCs w:val="20"/>
                    </w:rPr>
                    <w:t xml:space="preserve"> </w:t>
                  </w:r>
                </w:p>
                <w:p w:rsidR="002C4A1C" w:rsidRPr="003B3057" w:rsidRDefault="002C4A1C" w:rsidP="00B33EF1">
                  <w:pPr>
                    <w:rPr>
                      <w:rFonts w:ascii="Calibri" w:hAnsi="Calibri"/>
                      <w:sz w:val="20"/>
                      <w:szCs w:val="20"/>
                    </w:rPr>
                  </w:pPr>
                  <w:r w:rsidRPr="003B3057">
                    <w:rPr>
                      <w:rFonts w:ascii="Calibri" w:hAnsi="Calibri"/>
                      <w:sz w:val="20"/>
                      <w:szCs w:val="20"/>
                    </w:rPr>
                    <w:t xml:space="preserve"> </w:t>
                  </w:r>
                  <w:r>
                    <w:rPr>
                      <w:rFonts w:ascii="Calibri" w:hAnsi="Calibri"/>
                      <w:sz w:val="20"/>
                      <w:szCs w:val="20"/>
                    </w:rPr>
                    <w:t>(* indicates significance p&lt;0.0</w:t>
                  </w:r>
                  <w:r w:rsidRPr="003B3057">
                    <w:rPr>
                      <w:rFonts w:ascii="Calibri" w:hAnsi="Calibri"/>
                      <w:sz w:val="20"/>
                      <w:szCs w:val="20"/>
                    </w:rPr>
                    <w:t>5</w:t>
                  </w:r>
                  <w:r w:rsidRPr="004D1212">
                    <w:rPr>
                      <w:rFonts w:ascii="Calibri" w:hAnsi="Calibri"/>
                      <w:sz w:val="20"/>
                      <w:szCs w:val="20"/>
                    </w:rPr>
                    <w:t>)</w:t>
                  </w:r>
                  <w:r>
                    <w:rPr>
                      <w:rFonts w:ascii="Calibri" w:hAnsi="Calibri"/>
                      <w:sz w:val="20"/>
                      <w:szCs w:val="20"/>
                    </w:rPr>
                    <w:t>.</w:t>
                  </w:r>
                </w:p>
              </w:txbxContent>
            </v:textbox>
          </v:shape>
        </w:pict>
      </w:r>
      <w:r w:rsidR="00B33EF1" w:rsidRPr="00CD48A7">
        <w:rPr>
          <w:noProof/>
          <w:lang w:eastAsia="en-GB"/>
        </w:rPr>
        <w:drawing>
          <wp:inline distT="0" distB="0" distL="0" distR="0">
            <wp:extent cx="5619750" cy="3457575"/>
            <wp:effectExtent l="19050" t="0" r="19050" b="0"/>
            <wp:docPr id="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lang w:eastAsia="en-GB"/>
        </w:rPr>
        <w:pict>
          <v:shape id="_x0000_s1083" type="#_x0000_t202" style="position:absolute;margin-left:192pt;margin-top:97pt;width:24pt;height:18pt;z-index:251666432;mso-position-horizontal-relative:text;mso-position-vertical-relative:text" stroked="f" strokecolor="white">
            <v:fill opacity="0"/>
            <v:textbox style="mso-next-textbox:#_x0000_s1083">
              <w:txbxContent>
                <w:p w:rsidR="002C4A1C" w:rsidRPr="00A934FE" w:rsidRDefault="002C4A1C" w:rsidP="00B33EF1">
                  <w:pPr>
                    <w:jc w:val="center"/>
                    <w:rPr>
                      <w:sz w:val="20"/>
                      <w:szCs w:val="20"/>
                    </w:rPr>
                  </w:pPr>
                </w:p>
              </w:txbxContent>
            </v:textbox>
          </v:shape>
        </w:pict>
      </w:r>
      <w:r>
        <w:rPr>
          <w:noProof/>
          <w:lang w:eastAsia="en-GB"/>
        </w:rPr>
        <w:pict>
          <v:shape id="_x0000_s1084" type="#_x0000_t202" style="position:absolute;margin-left:264pt;margin-top:97pt;width:24pt;height:18pt;z-index:251667456;mso-position-horizontal-relative:text;mso-position-vertical-relative:text" stroked="f" strokecolor="white">
            <v:fill opacity="0"/>
            <v:textbox style="mso-next-textbox:#_x0000_s1084">
              <w:txbxContent>
                <w:p w:rsidR="002C4A1C" w:rsidRPr="00A934FE" w:rsidRDefault="002C4A1C" w:rsidP="00B33EF1">
                  <w:pPr>
                    <w:jc w:val="center"/>
                    <w:rPr>
                      <w:sz w:val="20"/>
                      <w:szCs w:val="20"/>
                    </w:rPr>
                  </w:pPr>
                </w:p>
              </w:txbxContent>
            </v:textbox>
          </v:shape>
        </w:pict>
      </w:r>
      <w:r>
        <w:rPr>
          <w:noProof/>
          <w:lang w:eastAsia="en-GB"/>
        </w:rPr>
        <w:pict>
          <v:shape id="_x0000_s1082" type="#_x0000_t202" style="position:absolute;margin-left:156pt;margin-top:97pt;width:24pt;height:18pt;z-index:251665408;mso-position-horizontal-relative:text;mso-position-vertical-relative:text" stroked="f" strokecolor="white">
            <v:fill opacity="0"/>
            <v:textbox style="mso-next-textbox:#_x0000_s1082">
              <w:txbxContent>
                <w:p w:rsidR="002C4A1C" w:rsidRPr="00A934FE" w:rsidRDefault="002C4A1C" w:rsidP="00B33EF1">
                  <w:pPr>
                    <w:rPr>
                      <w:sz w:val="20"/>
                      <w:szCs w:val="20"/>
                    </w:rPr>
                  </w:pPr>
                </w:p>
              </w:txbxContent>
            </v:textbox>
          </v:shape>
        </w:pict>
      </w:r>
    </w:p>
    <w:p w:rsidR="00B33EF1" w:rsidRPr="00CD48A7" w:rsidRDefault="00B33EF1" w:rsidP="00B33EF1">
      <w:pPr>
        <w:spacing w:line="480" w:lineRule="auto"/>
      </w:pPr>
    </w:p>
    <w:p w:rsidR="00B33EF1" w:rsidRPr="00CD48A7" w:rsidRDefault="00B33EF1" w:rsidP="00B33EF1">
      <w:pPr>
        <w:spacing w:line="480" w:lineRule="auto"/>
      </w:pPr>
    </w:p>
    <w:p w:rsidR="00B33EF1" w:rsidRPr="00CD48A7" w:rsidRDefault="00B33EF1" w:rsidP="00B33EF1">
      <w:pPr>
        <w:spacing w:line="480" w:lineRule="auto"/>
      </w:pPr>
    </w:p>
    <w:p w:rsidR="00B33EF1" w:rsidRPr="00CD48A7" w:rsidRDefault="00A63BD5" w:rsidP="00B33EF1">
      <w:pPr>
        <w:spacing w:line="480" w:lineRule="auto"/>
      </w:pPr>
      <w:r>
        <w:rPr>
          <w:noProof/>
          <w:lang w:eastAsia="en-GB"/>
        </w:rPr>
        <w:pict>
          <v:shape id="_x0000_s1086" type="#_x0000_t202" style="position:absolute;margin-left:4.5pt;margin-top:276.75pt;width:396pt;height:45pt;z-index:251669504" stroked="f">
            <v:textbox style="mso-next-textbox:#_x0000_s1086">
              <w:txbxContent>
                <w:p w:rsidR="002C4A1C" w:rsidRPr="003B3057" w:rsidRDefault="002C4A1C" w:rsidP="00B33EF1">
                  <w:pPr>
                    <w:rPr>
                      <w:rFonts w:ascii="Calibri" w:hAnsi="Calibri"/>
                      <w:sz w:val="20"/>
                      <w:szCs w:val="20"/>
                    </w:rPr>
                  </w:pPr>
                  <w:r>
                    <w:rPr>
                      <w:rFonts w:ascii="Calibri" w:hAnsi="Calibri"/>
                      <w:sz w:val="20"/>
                      <w:szCs w:val="20"/>
                    </w:rPr>
                    <w:t>Figure (4)</w:t>
                  </w:r>
                  <w:r w:rsidRPr="003B3057">
                    <w:rPr>
                      <w:rFonts w:ascii="Calibri" w:hAnsi="Calibri"/>
                      <w:sz w:val="20"/>
                      <w:szCs w:val="20"/>
                    </w:rPr>
                    <w:t xml:space="preserve"> – Graph showing mean differences between ΔE values produced b</w:t>
                  </w:r>
                  <w:r>
                    <w:rPr>
                      <w:rFonts w:ascii="Calibri" w:hAnsi="Calibri"/>
                      <w:sz w:val="20"/>
                      <w:szCs w:val="20"/>
                    </w:rPr>
                    <w:t>etween different shades of try-in paste</w:t>
                  </w:r>
                  <w:r w:rsidRPr="003B3057">
                    <w:rPr>
                      <w:rFonts w:ascii="Calibri" w:hAnsi="Calibri"/>
                      <w:sz w:val="20"/>
                      <w:szCs w:val="20"/>
                    </w:rPr>
                    <w:t xml:space="preserve"> of each manufacturer. </w:t>
                  </w:r>
                  <w:r w:rsidRPr="004D1212">
                    <w:rPr>
                      <w:rFonts w:ascii="Calibri" w:hAnsi="Calibri"/>
                      <w:color w:val="FF0000"/>
                      <w:sz w:val="20"/>
                      <w:szCs w:val="20"/>
                    </w:rPr>
                    <w:t>(95% Confidence Interval illustrated)</w:t>
                  </w:r>
                  <w:r w:rsidRPr="003B3057">
                    <w:rPr>
                      <w:rFonts w:ascii="Calibri" w:hAnsi="Calibri"/>
                      <w:sz w:val="20"/>
                      <w:szCs w:val="20"/>
                    </w:rPr>
                    <w:t xml:space="preserve"> </w:t>
                  </w:r>
                </w:p>
                <w:p w:rsidR="002C4A1C" w:rsidRPr="003B3057" w:rsidRDefault="002C4A1C" w:rsidP="00B33EF1">
                  <w:pPr>
                    <w:rPr>
                      <w:rFonts w:ascii="Calibri" w:hAnsi="Calibri"/>
                      <w:sz w:val="20"/>
                      <w:szCs w:val="20"/>
                    </w:rPr>
                  </w:pPr>
                  <w:r w:rsidRPr="003B3057">
                    <w:rPr>
                      <w:rFonts w:ascii="Calibri" w:hAnsi="Calibri"/>
                      <w:sz w:val="20"/>
                      <w:szCs w:val="20"/>
                    </w:rPr>
                    <w:t xml:space="preserve"> </w:t>
                  </w:r>
                  <w:r>
                    <w:rPr>
                      <w:rFonts w:ascii="Calibri" w:hAnsi="Calibri"/>
                      <w:sz w:val="20"/>
                      <w:szCs w:val="20"/>
                    </w:rPr>
                    <w:t>(* indicates significance p&lt;0.0</w:t>
                  </w:r>
                  <w:r w:rsidRPr="003B3057">
                    <w:rPr>
                      <w:rFonts w:ascii="Calibri" w:hAnsi="Calibri"/>
                      <w:sz w:val="20"/>
                      <w:szCs w:val="20"/>
                    </w:rPr>
                    <w:t>5)</w:t>
                  </w:r>
                </w:p>
              </w:txbxContent>
            </v:textbox>
          </v:shape>
        </w:pict>
      </w:r>
      <w:r w:rsidR="00B33EF1" w:rsidRPr="00CD48A7">
        <w:rPr>
          <w:noProof/>
          <w:lang w:eastAsia="en-GB"/>
        </w:rPr>
        <w:drawing>
          <wp:inline distT="0" distB="0" distL="0" distR="0">
            <wp:extent cx="5619750" cy="3457575"/>
            <wp:effectExtent l="19050" t="0" r="19050" b="0"/>
            <wp:docPr id="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lang w:eastAsia="en-GB"/>
        </w:rPr>
        <w:pict>
          <v:shape id="_x0000_s1088" type="#_x0000_t202" style="position:absolute;margin-left:273pt;margin-top:107.7pt;width:24pt;height:18pt;z-index:251671552;mso-position-horizontal-relative:text;mso-position-vertical-relative:text" stroked="f" strokecolor="white">
            <v:fill opacity="0"/>
            <v:textbox style="mso-next-textbox:#_x0000_s1088">
              <w:txbxContent>
                <w:p w:rsidR="002C4A1C" w:rsidRPr="00A934FE" w:rsidRDefault="002C4A1C" w:rsidP="00B33EF1">
                  <w:pPr>
                    <w:jc w:val="center"/>
                    <w:rPr>
                      <w:sz w:val="20"/>
                      <w:szCs w:val="20"/>
                    </w:rPr>
                  </w:pPr>
                </w:p>
              </w:txbxContent>
            </v:textbox>
          </v:shape>
        </w:pict>
      </w:r>
      <w:r>
        <w:rPr>
          <w:noProof/>
          <w:lang w:eastAsia="en-GB"/>
        </w:rPr>
        <w:pict>
          <v:shape id="_x0000_s1087" type="#_x0000_t202" style="position:absolute;margin-left:346.3pt;margin-top:107.7pt;width:24pt;height:18pt;z-index:251670528;mso-position-horizontal-relative:text;mso-position-vertical-relative:text" stroked="f" strokecolor="white">
            <v:fill opacity="0"/>
            <v:textbox style="mso-next-textbox:#_x0000_s1087">
              <w:txbxContent>
                <w:p w:rsidR="002C4A1C" w:rsidRPr="00A934FE" w:rsidRDefault="002C4A1C" w:rsidP="00B33EF1">
                  <w:pPr>
                    <w:jc w:val="center"/>
                    <w:rPr>
                      <w:sz w:val="20"/>
                      <w:szCs w:val="20"/>
                    </w:rPr>
                  </w:pPr>
                </w:p>
              </w:txbxContent>
            </v:textbox>
          </v:shape>
        </w:pict>
      </w:r>
      <w:r>
        <w:rPr>
          <w:noProof/>
          <w:lang w:eastAsia="en-GB"/>
        </w:rPr>
        <w:pict>
          <v:shape id="_x0000_s1089" type="#_x0000_t202" style="position:absolute;margin-left:124.5pt;margin-top:107.7pt;width:24pt;height:18pt;z-index:251672576;mso-position-horizontal-relative:text;mso-position-vertical-relative:text" stroked="f" strokecolor="white">
            <v:fill opacity="0"/>
            <v:textbox style="mso-next-textbox:#_x0000_s1089">
              <w:txbxContent>
                <w:p w:rsidR="002C4A1C" w:rsidRPr="00A934FE" w:rsidRDefault="002C4A1C" w:rsidP="00B33EF1">
                  <w:pPr>
                    <w:jc w:val="center"/>
                    <w:rPr>
                      <w:sz w:val="20"/>
                      <w:szCs w:val="20"/>
                    </w:rPr>
                  </w:pPr>
                </w:p>
              </w:txbxContent>
            </v:textbox>
            <w10:anchorlock/>
          </v:shape>
        </w:pict>
      </w:r>
    </w:p>
    <w:p w:rsidR="00B33EF1" w:rsidRPr="00CD48A7" w:rsidRDefault="00B33EF1" w:rsidP="00B33EF1">
      <w:pPr>
        <w:spacing w:line="480" w:lineRule="auto"/>
      </w:pPr>
    </w:p>
    <w:p w:rsidR="00B33EF1" w:rsidRPr="00CD48A7" w:rsidRDefault="00A63BD5" w:rsidP="00B33EF1">
      <w:pPr>
        <w:spacing w:line="480" w:lineRule="auto"/>
      </w:pPr>
      <w:r>
        <w:rPr>
          <w:noProof/>
          <w:lang w:eastAsia="en-GB"/>
        </w:rPr>
        <w:pict>
          <v:shape id="_x0000_s1090" type="#_x0000_t202" style="position:absolute;margin-left:3.15pt;margin-top:278.55pt;width:426.95pt;height:46.5pt;z-index:251673600" stroked="f">
            <v:textbox style="mso-next-textbox:#_x0000_s1090">
              <w:txbxContent>
                <w:p w:rsidR="002C4A1C" w:rsidRDefault="002C4A1C" w:rsidP="00B33EF1">
                  <w:pPr>
                    <w:rPr>
                      <w:rFonts w:ascii="Calibri" w:hAnsi="Calibri"/>
                      <w:sz w:val="20"/>
                      <w:szCs w:val="20"/>
                    </w:rPr>
                  </w:pPr>
                  <w:r w:rsidRPr="00516E1F">
                    <w:rPr>
                      <w:rFonts w:ascii="Calibri" w:hAnsi="Calibri"/>
                      <w:sz w:val="20"/>
                      <w:szCs w:val="20"/>
                    </w:rPr>
                    <w:t>Figure (5) - Mean ΔE between try-in paste and cured resi</w:t>
                  </w:r>
                  <w:r>
                    <w:rPr>
                      <w:rFonts w:ascii="Calibri" w:hAnsi="Calibri"/>
                      <w:sz w:val="20"/>
                      <w:szCs w:val="20"/>
                    </w:rPr>
                    <w:t>n of the same shade</w:t>
                  </w:r>
                  <w:r>
                    <w:rPr>
                      <w:rFonts w:ascii="Calibri" w:hAnsi="Calibri"/>
                      <w:sz w:val="20"/>
                      <w:szCs w:val="20"/>
                    </w:rPr>
                    <w:br/>
                    <w:t xml:space="preserve"> </w:t>
                  </w:r>
                  <w:r w:rsidRPr="00516E1F">
                    <w:rPr>
                      <w:rFonts w:ascii="Calibri" w:hAnsi="Calibri"/>
                      <w:sz w:val="20"/>
                      <w:szCs w:val="20"/>
                    </w:rPr>
                    <w:t xml:space="preserve">(95% Confidence Interval illustrated) (Green line refers </w:t>
                  </w:r>
                  <w:r>
                    <w:rPr>
                      <w:rFonts w:ascii="Calibri" w:hAnsi="Calibri"/>
                      <w:sz w:val="20"/>
                      <w:szCs w:val="20"/>
                    </w:rPr>
                    <w:t xml:space="preserve">to perceptible threshold, while </w:t>
                  </w:r>
                  <w:r w:rsidRPr="00516E1F">
                    <w:rPr>
                      <w:rFonts w:ascii="Calibri" w:hAnsi="Calibri"/>
                      <w:sz w:val="20"/>
                      <w:szCs w:val="20"/>
                    </w:rPr>
                    <w:t>the red line refers to the clinically acceptable threshold).</w:t>
                  </w:r>
                </w:p>
                <w:p w:rsidR="002C4A1C" w:rsidRPr="00516E1F" w:rsidRDefault="002C4A1C" w:rsidP="00B33EF1">
                  <w:pPr>
                    <w:rPr>
                      <w:rFonts w:ascii="Calibri" w:hAnsi="Calibri"/>
                      <w:sz w:val="20"/>
                      <w:szCs w:val="20"/>
                    </w:rPr>
                  </w:pPr>
                </w:p>
              </w:txbxContent>
            </v:textbox>
          </v:shape>
        </w:pict>
      </w:r>
      <w:r w:rsidR="00B33EF1" w:rsidRPr="00CD48A7">
        <w:rPr>
          <w:noProof/>
          <w:lang w:eastAsia="en-GB"/>
        </w:rPr>
        <w:drawing>
          <wp:inline distT="0" distB="0" distL="0" distR="0">
            <wp:extent cx="5619750" cy="3457575"/>
            <wp:effectExtent l="19050" t="0" r="19050" b="0"/>
            <wp:docPr id="1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33EF1" w:rsidRPr="00CD48A7" w:rsidRDefault="00B33EF1" w:rsidP="00B33EF1">
      <w:pPr>
        <w:spacing w:line="480" w:lineRule="auto"/>
        <w:rPr>
          <w:b/>
        </w:rPr>
      </w:pPr>
    </w:p>
    <w:p w:rsidR="00B33EF1" w:rsidRPr="00CD48A7" w:rsidRDefault="00B33EF1" w:rsidP="00B33EF1">
      <w:pPr>
        <w:spacing w:line="480" w:lineRule="auto"/>
        <w:rPr>
          <w:b/>
        </w:rPr>
      </w:pPr>
    </w:p>
    <w:p w:rsidR="00B33EF1" w:rsidRPr="00CD48A7" w:rsidRDefault="00B33EF1" w:rsidP="00B33EF1">
      <w:pPr>
        <w:spacing w:line="480" w:lineRule="auto"/>
        <w:rPr>
          <w:b/>
        </w:rPr>
      </w:pPr>
    </w:p>
    <w:p w:rsidR="00B33EF1" w:rsidRPr="00CD48A7" w:rsidRDefault="00A63BD5" w:rsidP="00B33EF1">
      <w:pPr>
        <w:spacing w:line="480" w:lineRule="auto"/>
        <w:rPr>
          <w:b/>
        </w:rPr>
      </w:pPr>
      <w:r w:rsidRPr="00A63BD5">
        <w:rPr>
          <w:b/>
          <w:bCs/>
          <w:noProof/>
          <w:lang w:eastAsia="en-GB"/>
        </w:rPr>
        <w:pict>
          <v:shape id="_x0000_s1078" type="#_x0000_t202" style="position:absolute;margin-left:10.05pt;margin-top:275.7pt;width:405.8pt;height:45pt;z-index:251660288" stroked="f">
            <v:textbox style="mso-next-textbox:#_x0000_s1078">
              <w:txbxContent>
                <w:p w:rsidR="002C4A1C" w:rsidRPr="008C71D5" w:rsidRDefault="002C4A1C" w:rsidP="00B33EF1">
                  <w:pPr>
                    <w:rPr>
                      <w:rFonts w:ascii="Calibri" w:hAnsi="Calibri"/>
                      <w:sz w:val="20"/>
                      <w:szCs w:val="20"/>
                    </w:rPr>
                  </w:pPr>
                  <w:r>
                    <w:rPr>
                      <w:rFonts w:ascii="Calibri" w:hAnsi="Calibri"/>
                      <w:sz w:val="20"/>
                      <w:szCs w:val="20"/>
                    </w:rPr>
                    <w:t xml:space="preserve">Figure (6) - Mean ΔE between uncured and cured resin of the same shade </w:t>
                  </w:r>
                  <w:r>
                    <w:rPr>
                      <w:rFonts w:ascii="Calibri" w:hAnsi="Calibri"/>
                      <w:sz w:val="20"/>
                      <w:szCs w:val="20"/>
                    </w:rPr>
                    <w:br/>
                    <w:t>(95% Confidence Interval illustrated)</w:t>
                  </w:r>
                  <w:r w:rsidRPr="008C7889">
                    <w:rPr>
                      <w:rFonts w:ascii="Calibri" w:hAnsi="Calibri"/>
                      <w:sz w:val="20"/>
                      <w:szCs w:val="20"/>
                    </w:rPr>
                    <w:t xml:space="preserve"> </w:t>
                  </w:r>
                  <w:r w:rsidRPr="00516E1F">
                    <w:rPr>
                      <w:rFonts w:ascii="Calibri" w:hAnsi="Calibri"/>
                      <w:sz w:val="20"/>
                      <w:szCs w:val="20"/>
                    </w:rPr>
                    <w:t xml:space="preserve">(Green line refers </w:t>
                  </w:r>
                  <w:r>
                    <w:rPr>
                      <w:rFonts w:ascii="Calibri" w:hAnsi="Calibri"/>
                      <w:sz w:val="20"/>
                      <w:szCs w:val="20"/>
                    </w:rPr>
                    <w:t xml:space="preserve">to perceptible threshold, while </w:t>
                  </w:r>
                  <w:r w:rsidRPr="00516E1F">
                    <w:rPr>
                      <w:rFonts w:ascii="Calibri" w:hAnsi="Calibri"/>
                      <w:sz w:val="20"/>
                      <w:szCs w:val="20"/>
                    </w:rPr>
                    <w:t>the red line refers to the clinically acceptable threshold).</w:t>
                  </w:r>
                </w:p>
              </w:txbxContent>
            </v:textbox>
          </v:shape>
        </w:pict>
      </w:r>
      <w:r w:rsidR="00B33EF1" w:rsidRPr="00CD48A7">
        <w:rPr>
          <w:b/>
          <w:noProof/>
          <w:lang w:eastAsia="en-GB"/>
        </w:rPr>
        <w:drawing>
          <wp:inline distT="0" distB="0" distL="0" distR="0">
            <wp:extent cx="5619750" cy="3457575"/>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33EF1" w:rsidRPr="00CD48A7" w:rsidRDefault="00B33EF1" w:rsidP="00B33EF1">
      <w:pPr>
        <w:spacing w:line="480" w:lineRule="auto"/>
      </w:pPr>
    </w:p>
    <w:p w:rsidR="00B33EF1" w:rsidRPr="00CD48A7" w:rsidRDefault="00B33EF1" w:rsidP="00B33EF1">
      <w:pPr>
        <w:spacing w:line="480" w:lineRule="auto"/>
        <w:rPr>
          <w:b/>
          <w:bCs/>
        </w:rPr>
      </w:pPr>
    </w:p>
    <w:p w:rsidR="00B33EF1" w:rsidRPr="00CD48A7" w:rsidRDefault="00B33EF1" w:rsidP="00B33EF1">
      <w:pPr>
        <w:spacing w:line="480" w:lineRule="auto"/>
        <w:rPr>
          <w:b/>
          <w:bCs/>
        </w:rPr>
      </w:pPr>
    </w:p>
    <w:p w:rsidR="00AF40C4" w:rsidRPr="00CD48A7" w:rsidRDefault="00AF40C4" w:rsidP="00AF40C4">
      <w:pPr>
        <w:spacing w:line="480" w:lineRule="auto"/>
        <w:jc w:val="center"/>
        <w:rPr>
          <w:b/>
        </w:rPr>
      </w:pPr>
    </w:p>
    <w:p w:rsidR="00AF40C4" w:rsidRPr="00CD48A7" w:rsidRDefault="00AF40C4" w:rsidP="00AF40C4">
      <w:pPr>
        <w:spacing w:line="480" w:lineRule="auto"/>
        <w:jc w:val="center"/>
        <w:rPr>
          <w:b/>
        </w:rPr>
      </w:pPr>
    </w:p>
    <w:tbl>
      <w:tblPr>
        <w:tblW w:w="9745" w:type="dxa"/>
        <w:tblLook w:val="04A0"/>
      </w:tblPr>
      <w:tblGrid>
        <w:gridCol w:w="895"/>
        <w:gridCol w:w="890"/>
        <w:gridCol w:w="735"/>
        <w:gridCol w:w="827"/>
        <w:gridCol w:w="754"/>
        <w:gridCol w:w="828"/>
        <w:gridCol w:w="827"/>
        <w:gridCol w:w="754"/>
        <w:gridCol w:w="828"/>
        <w:gridCol w:w="827"/>
        <w:gridCol w:w="754"/>
        <w:gridCol w:w="828"/>
      </w:tblGrid>
      <w:tr w:rsidR="004029D0" w:rsidRPr="00CD48A7" w:rsidTr="004029D0">
        <w:trPr>
          <w:trHeight w:val="284"/>
        </w:trPr>
        <w:tc>
          <w:tcPr>
            <w:tcW w:w="2517" w:type="dxa"/>
            <w:gridSpan w:val="3"/>
            <w:vMerge w:val="restart"/>
            <w:tcBorders>
              <w:top w:val="single" w:sz="8" w:space="0" w:color="auto"/>
              <w:left w:val="single" w:sz="8" w:space="0" w:color="auto"/>
              <w:bottom w:val="nil"/>
              <w:right w:val="nil"/>
            </w:tcBorders>
            <w:shd w:val="clear" w:color="auto" w:fill="auto"/>
            <w:noWrap/>
            <w:vAlign w:val="center"/>
            <w:hideMark/>
          </w:tcPr>
          <w:p w:rsidR="004029D0" w:rsidRPr="00CD48A7" w:rsidRDefault="004029D0" w:rsidP="004029D0">
            <w:pPr>
              <w:jc w:val="center"/>
              <w:rPr>
                <w:rFonts w:ascii="Calibri" w:eastAsia="Times New Roman" w:hAnsi="Calibri"/>
                <w:lang w:eastAsia="en-GB"/>
              </w:rPr>
            </w:pPr>
            <w:r w:rsidRPr="00CD48A7">
              <w:rPr>
                <w:rFonts w:ascii="Calibri" w:eastAsia="Times New Roman" w:hAnsi="Calibri"/>
                <w:sz w:val="22"/>
                <w:szCs w:val="22"/>
                <w:lang w:eastAsia="en-GB"/>
              </w:rPr>
              <w:t> </w:t>
            </w:r>
          </w:p>
        </w:tc>
        <w:tc>
          <w:tcPr>
            <w:tcW w:w="240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029D0" w:rsidRPr="00CD48A7" w:rsidRDefault="004029D0" w:rsidP="004029D0">
            <w:pPr>
              <w:jc w:val="center"/>
              <w:rPr>
                <w:rFonts w:ascii="Calibri" w:eastAsia="Times New Roman" w:hAnsi="Calibri"/>
                <w:lang w:eastAsia="en-GB"/>
              </w:rPr>
            </w:pPr>
            <w:r w:rsidRPr="00CD48A7">
              <w:rPr>
                <w:rFonts w:ascii="Calibri" w:eastAsia="Times New Roman" w:hAnsi="Calibri"/>
                <w:sz w:val="22"/>
                <w:szCs w:val="22"/>
                <w:lang w:eastAsia="en-GB"/>
              </w:rPr>
              <w:t>Teeth surfaces</w:t>
            </w:r>
          </w:p>
        </w:tc>
        <w:tc>
          <w:tcPr>
            <w:tcW w:w="2408" w:type="dxa"/>
            <w:gridSpan w:val="3"/>
            <w:tcBorders>
              <w:top w:val="single" w:sz="8" w:space="0" w:color="auto"/>
              <w:left w:val="nil"/>
              <w:bottom w:val="nil"/>
              <w:right w:val="single" w:sz="8" w:space="0" w:color="000000"/>
            </w:tcBorders>
            <w:shd w:val="clear" w:color="auto" w:fill="auto"/>
            <w:noWrap/>
            <w:vAlign w:val="center"/>
            <w:hideMark/>
          </w:tcPr>
          <w:p w:rsidR="004029D0" w:rsidRPr="00CD48A7" w:rsidRDefault="004029D0" w:rsidP="004029D0">
            <w:pPr>
              <w:jc w:val="center"/>
              <w:rPr>
                <w:rFonts w:ascii="Calibri" w:eastAsia="Times New Roman" w:hAnsi="Calibri"/>
                <w:lang w:eastAsia="en-GB"/>
              </w:rPr>
            </w:pPr>
            <w:r w:rsidRPr="00CD48A7">
              <w:rPr>
                <w:rFonts w:ascii="Calibri" w:eastAsia="Times New Roman" w:hAnsi="Calibri"/>
                <w:sz w:val="22"/>
                <w:szCs w:val="22"/>
                <w:lang w:eastAsia="en-GB"/>
              </w:rPr>
              <w:t>Try-in pastes</w:t>
            </w:r>
          </w:p>
        </w:tc>
        <w:tc>
          <w:tcPr>
            <w:tcW w:w="2408" w:type="dxa"/>
            <w:gridSpan w:val="3"/>
            <w:tcBorders>
              <w:top w:val="single" w:sz="8" w:space="0" w:color="auto"/>
              <w:left w:val="nil"/>
              <w:bottom w:val="nil"/>
              <w:right w:val="single" w:sz="8" w:space="0" w:color="000000"/>
            </w:tcBorders>
            <w:shd w:val="clear" w:color="auto" w:fill="auto"/>
            <w:noWrap/>
            <w:vAlign w:val="center"/>
            <w:hideMark/>
          </w:tcPr>
          <w:p w:rsidR="004029D0" w:rsidRPr="00CD48A7" w:rsidRDefault="004029D0" w:rsidP="004029D0">
            <w:pPr>
              <w:jc w:val="center"/>
              <w:rPr>
                <w:rFonts w:ascii="Calibri" w:eastAsia="Times New Roman" w:hAnsi="Calibri"/>
                <w:lang w:eastAsia="en-GB"/>
              </w:rPr>
            </w:pPr>
            <w:r w:rsidRPr="00CD48A7">
              <w:rPr>
                <w:rFonts w:ascii="Calibri" w:eastAsia="Times New Roman" w:hAnsi="Calibri"/>
                <w:sz w:val="22"/>
                <w:szCs w:val="22"/>
                <w:lang w:eastAsia="en-GB"/>
              </w:rPr>
              <w:t>Cured resin cements</w:t>
            </w:r>
          </w:p>
        </w:tc>
      </w:tr>
      <w:tr w:rsidR="004029D0" w:rsidRPr="00CD48A7" w:rsidTr="004029D0">
        <w:trPr>
          <w:trHeight w:val="298"/>
        </w:trPr>
        <w:tc>
          <w:tcPr>
            <w:tcW w:w="2517" w:type="dxa"/>
            <w:gridSpan w:val="3"/>
            <w:vMerge/>
            <w:tcBorders>
              <w:top w:val="single" w:sz="8" w:space="0" w:color="auto"/>
              <w:left w:val="single" w:sz="8" w:space="0" w:color="auto"/>
              <w:bottom w:val="nil"/>
              <w:right w:val="nil"/>
            </w:tcBorders>
            <w:vAlign w:val="center"/>
            <w:hideMark/>
          </w:tcPr>
          <w:p w:rsidR="004029D0" w:rsidRPr="00CD48A7" w:rsidRDefault="004029D0" w:rsidP="004029D0">
            <w:pPr>
              <w:rPr>
                <w:rFonts w:ascii="Calibri" w:eastAsia="Times New Roman" w:hAnsi="Calibri"/>
                <w:lang w:eastAsia="en-GB"/>
              </w:rPr>
            </w:pPr>
          </w:p>
        </w:tc>
        <w:tc>
          <w:tcPr>
            <w:tcW w:w="827" w:type="dxa"/>
            <w:tcBorders>
              <w:top w:val="nil"/>
              <w:left w:val="single" w:sz="8" w:space="0" w:color="auto"/>
              <w:bottom w:val="nil"/>
              <w:right w:val="nil"/>
            </w:tcBorders>
            <w:shd w:val="clear" w:color="auto" w:fill="auto"/>
            <w:noWrap/>
            <w:vAlign w:val="center"/>
            <w:hideMark/>
          </w:tcPr>
          <w:p w:rsidR="004029D0" w:rsidRPr="00CD48A7" w:rsidRDefault="004029D0" w:rsidP="004029D0">
            <w:pPr>
              <w:rPr>
                <w:rFonts w:ascii="Calibri" w:eastAsia="Times New Roman" w:hAnsi="Calibri"/>
                <w:lang w:eastAsia="en-GB"/>
              </w:rPr>
            </w:pPr>
            <w:r w:rsidRPr="00CD48A7">
              <w:rPr>
                <w:rFonts w:ascii="Calibri" w:eastAsia="Times New Roman" w:hAnsi="Calibri"/>
                <w:sz w:val="22"/>
                <w:szCs w:val="22"/>
                <w:lang w:eastAsia="en-GB"/>
              </w:rPr>
              <w:t>L*</w:t>
            </w:r>
          </w:p>
        </w:tc>
        <w:tc>
          <w:tcPr>
            <w:tcW w:w="754" w:type="dxa"/>
            <w:tcBorders>
              <w:top w:val="nil"/>
              <w:left w:val="nil"/>
              <w:bottom w:val="nil"/>
              <w:right w:val="nil"/>
            </w:tcBorders>
            <w:shd w:val="clear" w:color="auto" w:fill="auto"/>
            <w:noWrap/>
            <w:vAlign w:val="center"/>
            <w:hideMark/>
          </w:tcPr>
          <w:p w:rsidR="004029D0" w:rsidRPr="00CD48A7" w:rsidRDefault="004029D0" w:rsidP="004029D0">
            <w:pPr>
              <w:rPr>
                <w:rFonts w:ascii="Calibri" w:eastAsia="Times New Roman" w:hAnsi="Calibri"/>
                <w:lang w:eastAsia="en-GB"/>
              </w:rPr>
            </w:pPr>
            <w:r w:rsidRPr="00CD48A7">
              <w:rPr>
                <w:rFonts w:ascii="Calibri" w:eastAsia="Times New Roman" w:hAnsi="Calibri"/>
                <w:sz w:val="22"/>
                <w:szCs w:val="22"/>
                <w:lang w:eastAsia="en-GB"/>
              </w:rPr>
              <w:t>a*</w:t>
            </w:r>
          </w:p>
        </w:tc>
        <w:tc>
          <w:tcPr>
            <w:tcW w:w="828" w:type="dxa"/>
            <w:tcBorders>
              <w:top w:val="nil"/>
              <w:left w:val="nil"/>
              <w:bottom w:val="nil"/>
              <w:right w:val="single" w:sz="8" w:space="0" w:color="auto"/>
            </w:tcBorders>
            <w:shd w:val="clear" w:color="auto" w:fill="auto"/>
            <w:noWrap/>
            <w:vAlign w:val="center"/>
            <w:hideMark/>
          </w:tcPr>
          <w:p w:rsidR="004029D0" w:rsidRPr="00CD48A7" w:rsidRDefault="004029D0" w:rsidP="004029D0">
            <w:pPr>
              <w:rPr>
                <w:rFonts w:ascii="Calibri" w:eastAsia="Times New Roman" w:hAnsi="Calibri"/>
                <w:lang w:eastAsia="en-GB"/>
              </w:rPr>
            </w:pPr>
            <w:r w:rsidRPr="00CD48A7">
              <w:rPr>
                <w:rFonts w:ascii="Calibri" w:eastAsia="Times New Roman" w:hAnsi="Calibri"/>
                <w:sz w:val="22"/>
                <w:szCs w:val="22"/>
                <w:lang w:eastAsia="en-GB"/>
              </w:rPr>
              <w:t>b*</w:t>
            </w:r>
          </w:p>
        </w:tc>
        <w:tc>
          <w:tcPr>
            <w:tcW w:w="827" w:type="dxa"/>
            <w:tcBorders>
              <w:top w:val="nil"/>
              <w:left w:val="nil"/>
              <w:bottom w:val="nil"/>
              <w:right w:val="nil"/>
            </w:tcBorders>
            <w:shd w:val="clear" w:color="auto" w:fill="auto"/>
            <w:noWrap/>
            <w:vAlign w:val="center"/>
            <w:hideMark/>
          </w:tcPr>
          <w:p w:rsidR="004029D0" w:rsidRPr="00CD48A7" w:rsidRDefault="004029D0" w:rsidP="004029D0">
            <w:pPr>
              <w:rPr>
                <w:rFonts w:ascii="Calibri" w:eastAsia="Times New Roman" w:hAnsi="Calibri"/>
                <w:lang w:eastAsia="en-GB"/>
              </w:rPr>
            </w:pPr>
            <w:r w:rsidRPr="00CD48A7">
              <w:rPr>
                <w:rFonts w:ascii="Calibri" w:eastAsia="Times New Roman" w:hAnsi="Calibri"/>
                <w:sz w:val="22"/>
                <w:szCs w:val="22"/>
                <w:lang w:eastAsia="en-GB"/>
              </w:rPr>
              <w:t>L*</w:t>
            </w:r>
          </w:p>
        </w:tc>
        <w:tc>
          <w:tcPr>
            <w:tcW w:w="754" w:type="dxa"/>
            <w:tcBorders>
              <w:top w:val="nil"/>
              <w:left w:val="nil"/>
              <w:bottom w:val="nil"/>
              <w:right w:val="nil"/>
            </w:tcBorders>
            <w:shd w:val="clear" w:color="auto" w:fill="auto"/>
            <w:noWrap/>
            <w:vAlign w:val="center"/>
            <w:hideMark/>
          </w:tcPr>
          <w:p w:rsidR="004029D0" w:rsidRPr="00CD48A7" w:rsidRDefault="004029D0" w:rsidP="004029D0">
            <w:pPr>
              <w:rPr>
                <w:rFonts w:ascii="Calibri" w:eastAsia="Times New Roman" w:hAnsi="Calibri"/>
                <w:lang w:eastAsia="en-GB"/>
              </w:rPr>
            </w:pPr>
            <w:r w:rsidRPr="00CD48A7">
              <w:rPr>
                <w:rFonts w:ascii="Calibri" w:eastAsia="Times New Roman" w:hAnsi="Calibri"/>
                <w:sz w:val="22"/>
                <w:szCs w:val="22"/>
                <w:lang w:eastAsia="en-GB"/>
              </w:rPr>
              <w:t>a*</w:t>
            </w:r>
          </w:p>
        </w:tc>
        <w:tc>
          <w:tcPr>
            <w:tcW w:w="828" w:type="dxa"/>
            <w:tcBorders>
              <w:top w:val="nil"/>
              <w:left w:val="nil"/>
              <w:bottom w:val="nil"/>
              <w:right w:val="single" w:sz="8" w:space="0" w:color="auto"/>
            </w:tcBorders>
            <w:shd w:val="clear" w:color="auto" w:fill="auto"/>
            <w:noWrap/>
            <w:vAlign w:val="center"/>
            <w:hideMark/>
          </w:tcPr>
          <w:p w:rsidR="004029D0" w:rsidRPr="00CD48A7" w:rsidRDefault="004029D0" w:rsidP="004029D0">
            <w:pPr>
              <w:rPr>
                <w:rFonts w:ascii="Calibri" w:eastAsia="Times New Roman" w:hAnsi="Calibri"/>
                <w:lang w:eastAsia="en-GB"/>
              </w:rPr>
            </w:pPr>
            <w:r w:rsidRPr="00CD48A7">
              <w:rPr>
                <w:rFonts w:ascii="Calibri" w:eastAsia="Times New Roman" w:hAnsi="Calibri"/>
                <w:sz w:val="22"/>
                <w:szCs w:val="22"/>
                <w:lang w:eastAsia="en-GB"/>
              </w:rPr>
              <w:t>b*</w:t>
            </w:r>
          </w:p>
        </w:tc>
        <w:tc>
          <w:tcPr>
            <w:tcW w:w="827" w:type="dxa"/>
            <w:tcBorders>
              <w:top w:val="nil"/>
              <w:left w:val="nil"/>
              <w:bottom w:val="nil"/>
              <w:right w:val="nil"/>
            </w:tcBorders>
            <w:shd w:val="clear" w:color="auto" w:fill="auto"/>
            <w:noWrap/>
            <w:vAlign w:val="center"/>
            <w:hideMark/>
          </w:tcPr>
          <w:p w:rsidR="004029D0" w:rsidRPr="00CD48A7" w:rsidRDefault="004029D0" w:rsidP="004029D0">
            <w:pPr>
              <w:rPr>
                <w:rFonts w:ascii="Calibri" w:eastAsia="Times New Roman" w:hAnsi="Calibri"/>
                <w:lang w:eastAsia="en-GB"/>
              </w:rPr>
            </w:pPr>
            <w:r w:rsidRPr="00CD48A7">
              <w:rPr>
                <w:rFonts w:ascii="Calibri" w:eastAsia="Times New Roman" w:hAnsi="Calibri"/>
                <w:sz w:val="22"/>
                <w:szCs w:val="22"/>
                <w:lang w:eastAsia="en-GB"/>
              </w:rPr>
              <w:t>L*</w:t>
            </w:r>
          </w:p>
        </w:tc>
        <w:tc>
          <w:tcPr>
            <w:tcW w:w="754" w:type="dxa"/>
            <w:tcBorders>
              <w:top w:val="nil"/>
              <w:left w:val="nil"/>
              <w:bottom w:val="nil"/>
              <w:right w:val="nil"/>
            </w:tcBorders>
            <w:shd w:val="clear" w:color="auto" w:fill="auto"/>
            <w:noWrap/>
            <w:vAlign w:val="center"/>
            <w:hideMark/>
          </w:tcPr>
          <w:p w:rsidR="004029D0" w:rsidRPr="00CD48A7" w:rsidRDefault="004029D0" w:rsidP="004029D0">
            <w:pPr>
              <w:rPr>
                <w:rFonts w:ascii="Calibri" w:eastAsia="Times New Roman" w:hAnsi="Calibri"/>
                <w:lang w:eastAsia="en-GB"/>
              </w:rPr>
            </w:pPr>
            <w:r w:rsidRPr="00CD48A7">
              <w:rPr>
                <w:rFonts w:ascii="Calibri" w:eastAsia="Times New Roman" w:hAnsi="Calibri"/>
                <w:sz w:val="22"/>
                <w:szCs w:val="22"/>
                <w:lang w:eastAsia="en-GB"/>
              </w:rPr>
              <w:t>a*</w:t>
            </w:r>
          </w:p>
        </w:tc>
        <w:tc>
          <w:tcPr>
            <w:tcW w:w="828" w:type="dxa"/>
            <w:tcBorders>
              <w:top w:val="nil"/>
              <w:left w:val="nil"/>
              <w:bottom w:val="nil"/>
              <w:right w:val="single" w:sz="8" w:space="0" w:color="auto"/>
            </w:tcBorders>
            <w:shd w:val="clear" w:color="auto" w:fill="auto"/>
            <w:noWrap/>
            <w:vAlign w:val="center"/>
            <w:hideMark/>
          </w:tcPr>
          <w:p w:rsidR="004029D0" w:rsidRPr="00CD48A7" w:rsidRDefault="004029D0" w:rsidP="004029D0">
            <w:pPr>
              <w:rPr>
                <w:rFonts w:ascii="Calibri" w:eastAsia="Times New Roman" w:hAnsi="Calibri"/>
                <w:lang w:eastAsia="en-GB"/>
              </w:rPr>
            </w:pPr>
            <w:r w:rsidRPr="00CD48A7">
              <w:rPr>
                <w:rFonts w:ascii="Calibri" w:eastAsia="Times New Roman" w:hAnsi="Calibri"/>
                <w:sz w:val="22"/>
                <w:szCs w:val="22"/>
                <w:lang w:eastAsia="en-GB"/>
              </w:rPr>
              <w:t>b*</w:t>
            </w:r>
          </w:p>
        </w:tc>
      </w:tr>
      <w:tr w:rsidR="004029D0" w:rsidRPr="00CD48A7" w:rsidTr="004029D0">
        <w:trPr>
          <w:trHeight w:val="284"/>
        </w:trPr>
        <w:tc>
          <w:tcPr>
            <w:tcW w:w="895"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4029D0" w:rsidRPr="00CD48A7" w:rsidRDefault="004029D0" w:rsidP="004029D0">
            <w:pPr>
              <w:jc w:val="center"/>
              <w:rPr>
                <w:rFonts w:ascii="Calibri" w:eastAsia="Times New Roman" w:hAnsi="Calibri"/>
                <w:lang w:eastAsia="en-GB"/>
              </w:rPr>
            </w:pPr>
            <w:r w:rsidRPr="00CD48A7">
              <w:rPr>
                <w:rFonts w:ascii="Calibri" w:eastAsia="Times New Roman" w:hAnsi="Calibri"/>
                <w:sz w:val="22"/>
                <w:szCs w:val="22"/>
                <w:lang w:eastAsia="en-GB"/>
              </w:rPr>
              <w:t>Rely-x</w:t>
            </w:r>
          </w:p>
        </w:tc>
        <w:tc>
          <w:tcPr>
            <w:tcW w:w="889"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4029D0" w:rsidRPr="00CD48A7" w:rsidRDefault="004029D0" w:rsidP="004029D0">
            <w:pPr>
              <w:jc w:val="center"/>
              <w:rPr>
                <w:rFonts w:ascii="Calibri" w:eastAsia="Times New Roman" w:hAnsi="Calibri"/>
                <w:lang w:eastAsia="en-GB"/>
              </w:rPr>
            </w:pPr>
            <w:r w:rsidRPr="00CD48A7">
              <w:rPr>
                <w:rFonts w:ascii="Calibri" w:eastAsia="Times New Roman" w:hAnsi="Calibri"/>
                <w:sz w:val="22"/>
                <w:szCs w:val="22"/>
                <w:lang w:eastAsia="en-GB"/>
              </w:rPr>
              <w:t xml:space="preserve">White </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9D0" w:rsidRPr="00CD48A7" w:rsidRDefault="004029D0" w:rsidP="004029D0">
            <w:pPr>
              <w:rPr>
                <w:rFonts w:ascii="Calibri" w:eastAsia="Times New Roman" w:hAnsi="Calibri"/>
                <w:lang w:eastAsia="en-GB"/>
              </w:rPr>
            </w:pPr>
            <w:r w:rsidRPr="00CD48A7">
              <w:rPr>
                <w:rFonts w:ascii="Calibri" w:eastAsia="Times New Roman" w:hAnsi="Calibri"/>
                <w:sz w:val="22"/>
                <w:szCs w:val="22"/>
                <w:lang w:eastAsia="en-GB"/>
              </w:rPr>
              <w:t>Mean</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94.5</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-1</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14.2</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90.6</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-0.7</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14.4</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92.3</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-0.8</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14.5</w:t>
            </w:r>
          </w:p>
        </w:tc>
      </w:tr>
      <w:tr w:rsidR="004029D0" w:rsidRPr="00CD48A7" w:rsidTr="004029D0">
        <w:trPr>
          <w:trHeight w:val="298"/>
        </w:trPr>
        <w:tc>
          <w:tcPr>
            <w:tcW w:w="895" w:type="dxa"/>
            <w:vMerge/>
            <w:tcBorders>
              <w:top w:val="single" w:sz="8" w:space="0" w:color="auto"/>
              <w:left w:val="single" w:sz="8" w:space="0" w:color="auto"/>
              <w:bottom w:val="single" w:sz="8" w:space="0" w:color="000000"/>
              <w:right w:val="single" w:sz="4" w:space="0" w:color="auto"/>
            </w:tcBorders>
            <w:vAlign w:val="center"/>
            <w:hideMark/>
          </w:tcPr>
          <w:p w:rsidR="004029D0" w:rsidRPr="00CD48A7" w:rsidRDefault="004029D0" w:rsidP="004029D0">
            <w:pPr>
              <w:rPr>
                <w:rFonts w:ascii="Calibri" w:eastAsia="Times New Roman" w:hAnsi="Calibri"/>
                <w:lang w:eastAsia="en-GB"/>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4029D0" w:rsidRPr="00CD48A7" w:rsidRDefault="004029D0" w:rsidP="004029D0">
            <w:pPr>
              <w:rPr>
                <w:rFonts w:ascii="Calibri" w:eastAsia="Times New Roman" w:hAnsi="Calibri"/>
                <w:lang w:eastAsia="en-GB"/>
              </w:rPr>
            </w:pPr>
          </w:p>
        </w:tc>
        <w:tc>
          <w:tcPr>
            <w:tcW w:w="734" w:type="dxa"/>
            <w:tcBorders>
              <w:top w:val="nil"/>
              <w:left w:val="single" w:sz="4" w:space="0" w:color="auto"/>
              <w:bottom w:val="nil"/>
              <w:right w:val="nil"/>
            </w:tcBorders>
            <w:shd w:val="clear" w:color="auto" w:fill="auto"/>
            <w:noWrap/>
            <w:vAlign w:val="center"/>
            <w:hideMark/>
          </w:tcPr>
          <w:p w:rsidR="004029D0" w:rsidRPr="00CD48A7" w:rsidRDefault="004029D0" w:rsidP="004029D0">
            <w:pPr>
              <w:rPr>
                <w:rFonts w:ascii="Calibri" w:eastAsia="Times New Roman" w:hAnsi="Calibri"/>
                <w:lang w:eastAsia="en-GB"/>
              </w:rPr>
            </w:pPr>
            <w:r w:rsidRPr="00CD48A7">
              <w:rPr>
                <w:rFonts w:ascii="Calibri" w:eastAsia="Times New Roman" w:hAnsi="Calibri"/>
                <w:sz w:val="22"/>
                <w:szCs w:val="22"/>
                <w:lang w:eastAsia="en-GB"/>
              </w:rPr>
              <w:t>SD</w:t>
            </w:r>
          </w:p>
        </w:tc>
        <w:tc>
          <w:tcPr>
            <w:tcW w:w="827" w:type="dxa"/>
            <w:tcBorders>
              <w:top w:val="nil"/>
              <w:left w:val="single" w:sz="8" w:space="0" w:color="auto"/>
              <w:bottom w:val="nil"/>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3.3</w:t>
            </w:r>
          </w:p>
        </w:tc>
        <w:tc>
          <w:tcPr>
            <w:tcW w:w="754" w:type="dxa"/>
            <w:tcBorders>
              <w:top w:val="nil"/>
              <w:left w:val="nil"/>
              <w:bottom w:val="nil"/>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0.7</w:t>
            </w:r>
          </w:p>
        </w:tc>
        <w:tc>
          <w:tcPr>
            <w:tcW w:w="828" w:type="dxa"/>
            <w:tcBorders>
              <w:top w:val="nil"/>
              <w:left w:val="nil"/>
              <w:bottom w:val="nil"/>
              <w:right w:val="single" w:sz="8" w:space="0" w:color="auto"/>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2.4</w:t>
            </w:r>
          </w:p>
        </w:tc>
        <w:tc>
          <w:tcPr>
            <w:tcW w:w="827" w:type="dxa"/>
            <w:tcBorders>
              <w:top w:val="nil"/>
              <w:left w:val="nil"/>
              <w:bottom w:val="nil"/>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1.5</w:t>
            </w:r>
          </w:p>
        </w:tc>
        <w:tc>
          <w:tcPr>
            <w:tcW w:w="754" w:type="dxa"/>
            <w:tcBorders>
              <w:top w:val="nil"/>
              <w:left w:val="nil"/>
              <w:bottom w:val="nil"/>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0.4</w:t>
            </w:r>
          </w:p>
        </w:tc>
        <w:tc>
          <w:tcPr>
            <w:tcW w:w="828" w:type="dxa"/>
            <w:tcBorders>
              <w:top w:val="nil"/>
              <w:left w:val="nil"/>
              <w:bottom w:val="nil"/>
              <w:right w:val="single" w:sz="8" w:space="0" w:color="auto"/>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0.8</w:t>
            </w:r>
          </w:p>
        </w:tc>
        <w:tc>
          <w:tcPr>
            <w:tcW w:w="827" w:type="dxa"/>
            <w:tcBorders>
              <w:top w:val="nil"/>
              <w:left w:val="nil"/>
              <w:bottom w:val="nil"/>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1.5</w:t>
            </w:r>
          </w:p>
        </w:tc>
        <w:tc>
          <w:tcPr>
            <w:tcW w:w="754" w:type="dxa"/>
            <w:tcBorders>
              <w:top w:val="nil"/>
              <w:left w:val="nil"/>
              <w:bottom w:val="nil"/>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0.4</w:t>
            </w:r>
          </w:p>
        </w:tc>
        <w:tc>
          <w:tcPr>
            <w:tcW w:w="828" w:type="dxa"/>
            <w:tcBorders>
              <w:top w:val="nil"/>
              <w:left w:val="nil"/>
              <w:bottom w:val="nil"/>
              <w:right w:val="single" w:sz="8" w:space="0" w:color="auto"/>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1</w:t>
            </w:r>
          </w:p>
        </w:tc>
      </w:tr>
      <w:tr w:rsidR="004029D0" w:rsidRPr="00CD48A7" w:rsidTr="004029D0">
        <w:trPr>
          <w:trHeight w:val="284"/>
        </w:trPr>
        <w:tc>
          <w:tcPr>
            <w:tcW w:w="895" w:type="dxa"/>
            <w:vMerge/>
            <w:tcBorders>
              <w:top w:val="single" w:sz="8" w:space="0" w:color="auto"/>
              <w:left w:val="single" w:sz="8" w:space="0" w:color="auto"/>
              <w:bottom w:val="single" w:sz="8" w:space="0" w:color="000000"/>
              <w:right w:val="single" w:sz="4" w:space="0" w:color="auto"/>
            </w:tcBorders>
            <w:vAlign w:val="center"/>
            <w:hideMark/>
          </w:tcPr>
          <w:p w:rsidR="004029D0" w:rsidRPr="00CD48A7" w:rsidRDefault="004029D0" w:rsidP="004029D0">
            <w:pPr>
              <w:rPr>
                <w:rFonts w:ascii="Calibri" w:eastAsia="Times New Roman" w:hAnsi="Calibri"/>
                <w:lang w:eastAsia="en-GB"/>
              </w:rPr>
            </w:pPr>
          </w:p>
        </w:tc>
        <w:tc>
          <w:tcPr>
            <w:tcW w:w="889"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4029D0" w:rsidRPr="00CD48A7" w:rsidRDefault="004029D0" w:rsidP="004029D0">
            <w:pPr>
              <w:jc w:val="center"/>
              <w:rPr>
                <w:rFonts w:ascii="Calibri" w:eastAsia="Times New Roman" w:hAnsi="Calibri"/>
                <w:lang w:eastAsia="en-GB"/>
              </w:rPr>
            </w:pPr>
            <w:r w:rsidRPr="00CD48A7">
              <w:rPr>
                <w:rFonts w:ascii="Calibri" w:eastAsia="Times New Roman" w:hAnsi="Calibri"/>
                <w:sz w:val="22"/>
                <w:szCs w:val="22"/>
                <w:lang w:eastAsia="en-GB"/>
              </w:rPr>
              <w:t>Dark</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9D0" w:rsidRPr="00CD48A7" w:rsidRDefault="004029D0" w:rsidP="004029D0">
            <w:pPr>
              <w:rPr>
                <w:rFonts w:ascii="Calibri" w:eastAsia="Times New Roman" w:hAnsi="Calibri"/>
                <w:lang w:eastAsia="en-GB"/>
              </w:rPr>
            </w:pPr>
            <w:r w:rsidRPr="00CD48A7">
              <w:rPr>
                <w:rFonts w:ascii="Calibri" w:eastAsia="Times New Roman" w:hAnsi="Calibri"/>
                <w:sz w:val="22"/>
                <w:szCs w:val="22"/>
                <w:lang w:eastAsia="en-GB"/>
              </w:rPr>
              <w:t>Mean</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95.7</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-1.2</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15.6</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91.1</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-0.9</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16.2</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91.2</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-0.9</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17.9</w:t>
            </w:r>
          </w:p>
        </w:tc>
      </w:tr>
      <w:tr w:rsidR="004029D0" w:rsidRPr="00CD48A7" w:rsidTr="004029D0">
        <w:trPr>
          <w:trHeight w:val="298"/>
        </w:trPr>
        <w:tc>
          <w:tcPr>
            <w:tcW w:w="895" w:type="dxa"/>
            <w:vMerge/>
            <w:tcBorders>
              <w:top w:val="single" w:sz="8" w:space="0" w:color="auto"/>
              <w:left w:val="single" w:sz="8" w:space="0" w:color="auto"/>
              <w:bottom w:val="single" w:sz="8" w:space="0" w:color="000000"/>
              <w:right w:val="single" w:sz="4" w:space="0" w:color="auto"/>
            </w:tcBorders>
            <w:vAlign w:val="center"/>
            <w:hideMark/>
          </w:tcPr>
          <w:p w:rsidR="004029D0" w:rsidRPr="00CD48A7" w:rsidRDefault="004029D0" w:rsidP="004029D0">
            <w:pPr>
              <w:rPr>
                <w:rFonts w:ascii="Calibri" w:eastAsia="Times New Roman" w:hAnsi="Calibri"/>
                <w:lang w:eastAsia="en-GB"/>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4029D0" w:rsidRPr="00CD48A7" w:rsidRDefault="004029D0" w:rsidP="004029D0">
            <w:pPr>
              <w:rPr>
                <w:rFonts w:ascii="Calibri" w:eastAsia="Times New Roman" w:hAnsi="Calibri"/>
                <w:lang w:eastAsia="en-GB"/>
              </w:rPr>
            </w:pPr>
          </w:p>
        </w:tc>
        <w:tc>
          <w:tcPr>
            <w:tcW w:w="734" w:type="dxa"/>
            <w:tcBorders>
              <w:top w:val="nil"/>
              <w:left w:val="single" w:sz="4" w:space="0" w:color="auto"/>
              <w:bottom w:val="nil"/>
              <w:right w:val="nil"/>
            </w:tcBorders>
            <w:shd w:val="clear" w:color="auto" w:fill="auto"/>
            <w:noWrap/>
            <w:vAlign w:val="center"/>
            <w:hideMark/>
          </w:tcPr>
          <w:p w:rsidR="004029D0" w:rsidRPr="00CD48A7" w:rsidRDefault="004029D0" w:rsidP="004029D0">
            <w:pPr>
              <w:rPr>
                <w:rFonts w:ascii="Calibri" w:eastAsia="Times New Roman" w:hAnsi="Calibri"/>
                <w:lang w:eastAsia="en-GB"/>
              </w:rPr>
            </w:pPr>
            <w:r w:rsidRPr="00CD48A7">
              <w:rPr>
                <w:rFonts w:ascii="Calibri" w:eastAsia="Times New Roman" w:hAnsi="Calibri"/>
                <w:sz w:val="22"/>
                <w:szCs w:val="22"/>
                <w:lang w:eastAsia="en-GB"/>
              </w:rPr>
              <w:t>SD</w:t>
            </w:r>
          </w:p>
        </w:tc>
        <w:tc>
          <w:tcPr>
            <w:tcW w:w="827" w:type="dxa"/>
            <w:tcBorders>
              <w:top w:val="nil"/>
              <w:left w:val="single" w:sz="8" w:space="0" w:color="auto"/>
              <w:bottom w:val="nil"/>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2.8</w:t>
            </w:r>
          </w:p>
        </w:tc>
        <w:tc>
          <w:tcPr>
            <w:tcW w:w="754" w:type="dxa"/>
            <w:tcBorders>
              <w:top w:val="nil"/>
              <w:left w:val="nil"/>
              <w:bottom w:val="nil"/>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0.4</w:t>
            </w:r>
          </w:p>
        </w:tc>
        <w:tc>
          <w:tcPr>
            <w:tcW w:w="828" w:type="dxa"/>
            <w:tcBorders>
              <w:top w:val="nil"/>
              <w:left w:val="nil"/>
              <w:bottom w:val="nil"/>
              <w:right w:val="single" w:sz="8" w:space="0" w:color="auto"/>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2.2</w:t>
            </w:r>
          </w:p>
        </w:tc>
        <w:tc>
          <w:tcPr>
            <w:tcW w:w="827" w:type="dxa"/>
            <w:tcBorders>
              <w:top w:val="nil"/>
              <w:left w:val="nil"/>
              <w:bottom w:val="nil"/>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2.2</w:t>
            </w:r>
          </w:p>
        </w:tc>
        <w:tc>
          <w:tcPr>
            <w:tcW w:w="754" w:type="dxa"/>
            <w:tcBorders>
              <w:top w:val="nil"/>
              <w:left w:val="nil"/>
              <w:bottom w:val="nil"/>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0.3</w:t>
            </w:r>
          </w:p>
        </w:tc>
        <w:tc>
          <w:tcPr>
            <w:tcW w:w="828" w:type="dxa"/>
            <w:tcBorders>
              <w:top w:val="nil"/>
              <w:left w:val="nil"/>
              <w:bottom w:val="nil"/>
              <w:right w:val="single" w:sz="8" w:space="0" w:color="auto"/>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1.1</w:t>
            </w:r>
          </w:p>
        </w:tc>
        <w:tc>
          <w:tcPr>
            <w:tcW w:w="827" w:type="dxa"/>
            <w:tcBorders>
              <w:top w:val="nil"/>
              <w:left w:val="nil"/>
              <w:bottom w:val="nil"/>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1.5</w:t>
            </w:r>
          </w:p>
        </w:tc>
        <w:tc>
          <w:tcPr>
            <w:tcW w:w="754" w:type="dxa"/>
            <w:tcBorders>
              <w:top w:val="nil"/>
              <w:left w:val="nil"/>
              <w:bottom w:val="nil"/>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0.4</w:t>
            </w:r>
          </w:p>
        </w:tc>
        <w:tc>
          <w:tcPr>
            <w:tcW w:w="828" w:type="dxa"/>
            <w:tcBorders>
              <w:top w:val="nil"/>
              <w:left w:val="nil"/>
              <w:bottom w:val="nil"/>
              <w:right w:val="single" w:sz="8" w:space="0" w:color="auto"/>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1.1</w:t>
            </w:r>
          </w:p>
        </w:tc>
      </w:tr>
      <w:tr w:rsidR="004029D0" w:rsidRPr="00CD48A7" w:rsidTr="004029D0">
        <w:trPr>
          <w:trHeight w:val="284"/>
        </w:trPr>
        <w:tc>
          <w:tcPr>
            <w:tcW w:w="895" w:type="dxa"/>
            <w:vMerge/>
            <w:tcBorders>
              <w:top w:val="single" w:sz="8" w:space="0" w:color="auto"/>
              <w:left w:val="single" w:sz="8" w:space="0" w:color="auto"/>
              <w:bottom w:val="single" w:sz="8" w:space="0" w:color="000000"/>
              <w:right w:val="single" w:sz="4" w:space="0" w:color="auto"/>
            </w:tcBorders>
            <w:vAlign w:val="center"/>
            <w:hideMark/>
          </w:tcPr>
          <w:p w:rsidR="004029D0" w:rsidRPr="00CD48A7" w:rsidRDefault="004029D0" w:rsidP="004029D0">
            <w:pPr>
              <w:rPr>
                <w:rFonts w:ascii="Calibri" w:eastAsia="Times New Roman" w:hAnsi="Calibri"/>
                <w:lang w:eastAsia="en-GB"/>
              </w:rPr>
            </w:pPr>
          </w:p>
        </w:tc>
        <w:tc>
          <w:tcPr>
            <w:tcW w:w="889"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4029D0" w:rsidRPr="00CD48A7" w:rsidRDefault="004029D0" w:rsidP="004029D0">
            <w:pPr>
              <w:jc w:val="center"/>
              <w:rPr>
                <w:rFonts w:ascii="Calibri" w:eastAsia="Times New Roman" w:hAnsi="Calibri"/>
                <w:lang w:eastAsia="en-GB"/>
              </w:rPr>
            </w:pPr>
            <w:r w:rsidRPr="00CD48A7">
              <w:rPr>
                <w:rFonts w:ascii="Calibri" w:eastAsia="Times New Roman" w:hAnsi="Calibri"/>
                <w:sz w:val="22"/>
                <w:szCs w:val="22"/>
                <w:lang w:eastAsia="en-GB"/>
              </w:rPr>
              <w:t>Neutral</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9D0" w:rsidRPr="00CD48A7" w:rsidRDefault="004029D0" w:rsidP="004029D0">
            <w:pPr>
              <w:rPr>
                <w:rFonts w:ascii="Calibri" w:eastAsia="Times New Roman" w:hAnsi="Calibri"/>
                <w:lang w:eastAsia="en-GB"/>
              </w:rPr>
            </w:pPr>
            <w:r w:rsidRPr="00CD48A7">
              <w:rPr>
                <w:rFonts w:ascii="Calibri" w:eastAsia="Times New Roman" w:hAnsi="Calibri"/>
                <w:sz w:val="22"/>
                <w:szCs w:val="22"/>
                <w:lang w:eastAsia="en-GB"/>
              </w:rPr>
              <w:t>Mean</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94.5</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-1.2</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15.6</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90.3</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-1</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14.2</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90.8</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-1.2</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14.5</w:t>
            </w:r>
          </w:p>
        </w:tc>
      </w:tr>
      <w:tr w:rsidR="004029D0" w:rsidRPr="00CD48A7" w:rsidTr="004029D0">
        <w:trPr>
          <w:trHeight w:val="298"/>
        </w:trPr>
        <w:tc>
          <w:tcPr>
            <w:tcW w:w="895" w:type="dxa"/>
            <w:vMerge/>
            <w:tcBorders>
              <w:top w:val="single" w:sz="8" w:space="0" w:color="auto"/>
              <w:left w:val="single" w:sz="8" w:space="0" w:color="auto"/>
              <w:bottom w:val="single" w:sz="8" w:space="0" w:color="000000"/>
              <w:right w:val="single" w:sz="4" w:space="0" w:color="auto"/>
            </w:tcBorders>
            <w:vAlign w:val="center"/>
            <w:hideMark/>
          </w:tcPr>
          <w:p w:rsidR="004029D0" w:rsidRPr="00CD48A7" w:rsidRDefault="004029D0" w:rsidP="004029D0">
            <w:pPr>
              <w:rPr>
                <w:rFonts w:ascii="Calibri" w:eastAsia="Times New Roman" w:hAnsi="Calibri"/>
                <w:lang w:eastAsia="en-GB"/>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4029D0" w:rsidRPr="00CD48A7" w:rsidRDefault="004029D0" w:rsidP="004029D0">
            <w:pPr>
              <w:rPr>
                <w:rFonts w:ascii="Calibri" w:eastAsia="Times New Roman" w:hAnsi="Calibri"/>
                <w:lang w:eastAsia="en-GB"/>
              </w:rPr>
            </w:pPr>
          </w:p>
        </w:tc>
        <w:tc>
          <w:tcPr>
            <w:tcW w:w="734" w:type="dxa"/>
            <w:tcBorders>
              <w:top w:val="nil"/>
              <w:left w:val="single" w:sz="4" w:space="0" w:color="auto"/>
              <w:bottom w:val="nil"/>
              <w:right w:val="nil"/>
            </w:tcBorders>
            <w:shd w:val="clear" w:color="auto" w:fill="auto"/>
            <w:noWrap/>
            <w:vAlign w:val="center"/>
            <w:hideMark/>
          </w:tcPr>
          <w:p w:rsidR="004029D0" w:rsidRPr="00CD48A7" w:rsidRDefault="004029D0" w:rsidP="004029D0">
            <w:pPr>
              <w:rPr>
                <w:rFonts w:ascii="Calibri" w:eastAsia="Times New Roman" w:hAnsi="Calibri"/>
                <w:lang w:eastAsia="en-GB"/>
              </w:rPr>
            </w:pPr>
            <w:r w:rsidRPr="00CD48A7">
              <w:rPr>
                <w:rFonts w:ascii="Calibri" w:eastAsia="Times New Roman" w:hAnsi="Calibri"/>
                <w:sz w:val="22"/>
                <w:szCs w:val="22"/>
                <w:lang w:eastAsia="en-GB"/>
              </w:rPr>
              <w:t>SD</w:t>
            </w:r>
          </w:p>
        </w:tc>
        <w:tc>
          <w:tcPr>
            <w:tcW w:w="827" w:type="dxa"/>
            <w:tcBorders>
              <w:top w:val="nil"/>
              <w:left w:val="single" w:sz="8" w:space="0" w:color="auto"/>
              <w:bottom w:val="nil"/>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3</w:t>
            </w:r>
          </w:p>
        </w:tc>
        <w:tc>
          <w:tcPr>
            <w:tcW w:w="754" w:type="dxa"/>
            <w:tcBorders>
              <w:top w:val="nil"/>
              <w:left w:val="nil"/>
              <w:bottom w:val="nil"/>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0.3</w:t>
            </w:r>
          </w:p>
        </w:tc>
        <w:tc>
          <w:tcPr>
            <w:tcW w:w="828" w:type="dxa"/>
            <w:tcBorders>
              <w:top w:val="nil"/>
              <w:left w:val="nil"/>
              <w:bottom w:val="nil"/>
              <w:right w:val="single" w:sz="8" w:space="0" w:color="auto"/>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2.1</w:t>
            </w:r>
          </w:p>
        </w:tc>
        <w:tc>
          <w:tcPr>
            <w:tcW w:w="827" w:type="dxa"/>
            <w:tcBorders>
              <w:top w:val="nil"/>
              <w:left w:val="nil"/>
              <w:bottom w:val="nil"/>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2</w:t>
            </w:r>
          </w:p>
        </w:tc>
        <w:tc>
          <w:tcPr>
            <w:tcW w:w="754" w:type="dxa"/>
            <w:tcBorders>
              <w:top w:val="nil"/>
              <w:left w:val="nil"/>
              <w:bottom w:val="nil"/>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0.6</w:t>
            </w:r>
          </w:p>
        </w:tc>
        <w:tc>
          <w:tcPr>
            <w:tcW w:w="828" w:type="dxa"/>
            <w:tcBorders>
              <w:top w:val="nil"/>
              <w:left w:val="nil"/>
              <w:bottom w:val="nil"/>
              <w:right w:val="single" w:sz="8" w:space="0" w:color="auto"/>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1.5</w:t>
            </w:r>
          </w:p>
        </w:tc>
        <w:tc>
          <w:tcPr>
            <w:tcW w:w="827" w:type="dxa"/>
            <w:tcBorders>
              <w:top w:val="nil"/>
              <w:left w:val="nil"/>
              <w:bottom w:val="nil"/>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1.6</w:t>
            </w:r>
          </w:p>
        </w:tc>
        <w:tc>
          <w:tcPr>
            <w:tcW w:w="754" w:type="dxa"/>
            <w:tcBorders>
              <w:top w:val="nil"/>
              <w:left w:val="nil"/>
              <w:bottom w:val="nil"/>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0.5</w:t>
            </w:r>
          </w:p>
        </w:tc>
        <w:tc>
          <w:tcPr>
            <w:tcW w:w="828" w:type="dxa"/>
            <w:tcBorders>
              <w:top w:val="nil"/>
              <w:left w:val="nil"/>
              <w:bottom w:val="nil"/>
              <w:right w:val="single" w:sz="8" w:space="0" w:color="auto"/>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1.1</w:t>
            </w:r>
          </w:p>
        </w:tc>
      </w:tr>
      <w:tr w:rsidR="004029D0" w:rsidRPr="00CD48A7" w:rsidTr="004029D0">
        <w:trPr>
          <w:trHeight w:val="284"/>
        </w:trPr>
        <w:tc>
          <w:tcPr>
            <w:tcW w:w="89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4029D0" w:rsidRPr="00CD48A7" w:rsidRDefault="004029D0" w:rsidP="004029D0">
            <w:pPr>
              <w:jc w:val="center"/>
              <w:rPr>
                <w:rFonts w:ascii="Calibri" w:eastAsia="Times New Roman" w:hAnsi="Calibri"/>
                <w:lang w:eastAsia="en-GB"/>
              </w:rPr>
            </w:pPr>
            <w:r w:rsidRPr="00CD48A7">
              <w:rPr>
                <w:rFonts w:ascii="Calibri" w:eastAsia="Times New Roman" w:hAnsi="Calibri"/>
                <w:sz w:val="22"/>
                <w:szCs w:val="22"/>
                <w:lang w:eastAsia="en-GB"/>
              </w:rPr>
              <w:t>Calibra</w:t>
            </w:r>
          </w:p>
        </w:tc>
        <w:tc>
          <w:tcPr>
            <w:tcW w:w="889"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4029D0" w:rsidRPr="00CD48A7" w:rsidRDefault="004029D0" w:rsidP="004029D0">
            <w:pPr>
              <w:jc w:val="center"/>
              <w:rPr>
                <w:rFonts w:ascii="Calibri" w:eastAsia="Times New Roman" w:hAnsi="Calibri"/>
                <w:lang w:eastAsia="en-GB"/>
              </w:rPr>
            </w:pPr>
            <w:r w:rsidRPr="00CD48A7">
              <w:rPr>
                <w:rFonts w:ascii="Calibri" w:eastAsia="Times New Roman" w:hAnsi="Calibri"/>
                <w:sz w:val="22"/>
                <w:szCs w:val="22"/>
                <w:lang w:eastAsia="en-GB"/>
              </w:rPr>
              <w:t xml:space="preserve">White </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9D0" w:rsidRPr="00CD48A7" w:rsidRDefault="004029D0" w:rsidP="004029D0">
            <w:pPr>
              <w:rPr>
                <w:rFonts w:ascii="Calibri" w:eastAsia="Times New Roman" w:hAnsi="Calibri"/>
                <w:lang w:eastAsia="en-GB"/>
              </w:rPr>
            </w:pPr>
            <w:r w:rsidRPr="00CD48A7">
              <w:rPr>
                <w:rFonts w:ascii="Calibri" w:eastAsia="Times New Roman" w:hAnsi="Calibri"/>
                <w:sz w:val="22"/>
                <w:szCs w:val="22"/>
                <w:lang w:eastAsia="en-GB"/>
              </w:rPr>
              <w:t>Mean</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96</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-1.2</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16.3</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90.5</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-1</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16.2</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88.7</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-0.4</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17.4</w:t>
            </w:r>
          </w:p>
        </w:tc>
      </w:tr>
      <w:tr w:rsidR="004029D0" w:rsidRPr="00CD48A7" w:rsidTr="004029D0">
        <w:trPr>
          <w:trHeight w:val="298"/>
        </w:trPr>
        <w:tc>
          <w:tcPr>
            <w:tcW w:w="895" w:type="dxa"/>
            <w:vMerge/>
            <w:tcBorders>
              <w:top w:val="nil"/>
              <w:left w:val="single" w:sz="8" w:space="0" w:color="auto"/>
              <w:bottom w:val="single" w:sz="8" w:space="0" w:color="000000"/>
              <w:right w:val="single" w:sz="4" w:space="0" w:color="auto"/>
            </w:tcBorders>
            <w:vAlign w:val="center"/>
            <w:hideMark/>
          </w:tcPr>
          <w:p w:rsidR="004029D0" w:rsidRPr="00CD48A7" w:rsidRDefault="004029D0" w:rsidP="004029D0">
            <w:pPr>
              <w:rPr>
                <w:rFonts w:ascii="Calibri" w:eastAsia="Times New Roman" w:hAnsi="Calibri"/>
                <w:lang w:eastAsia="en-GB"/>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4029D0" w:rsidRPr="00CD48A7" w:rsidRDefault="004029D0" w:rsidP="004029D0">
            <w:pPr>
              <w:rPr>
                <w:rFonts w:ascii="Calibri" w:eastAsia="Times New Roman" w:hAnsi="Calibri"/>
                <w:lang w:eastAsia="en-GB"/>
              </w:rPr>
            </w:pPr>
          </w:p>
        </w:tc>
        <w:tc>
          <w:tcPr>
            <w:tcW w:w="734" w:type="dxa"/>
            <w:tcBorders>
              <w:top w:val="nil"/>
              <w:left w:val="single" w:sz="4" w:space="0" w:color="auto"/>
              <w:bottom w:val="nil"/>
              <w:right w:val="nil"/>
            </w:tcBorders>
            <w:shd w:val="clear" w:color="auto" w:fill="auto"/>
            <w:noWrap/>
            <w:vAlign w:val="center"/>
            <w:hideMark/>
          </w:tcPr>
          <w:p w:rsidR="004029D0" w:rsidRPr="00CD48A7" w:rsidRDefault="004029D0" w:rsidP="004029D0">
            <w:pPr>
              <w:rPr>
                <w:rFonts w:ascii="Calibri" w:eastAsia="Times New Roman" w:hAnsi="Calibri"/>
                <w:lang w:eastAsia="en-GB"/>
              </w:rPr>
            </w:pPr>
            <w:r w:rsidRPr="00CD48A7">
              <w:rPr>
                <w:rFonts w:ascii="Calibri" w:eastAsia="Times New Roman" w:hAnsi="Calibri"/>
                <w:sz w:val="22"/>
                <w:szCs w:val="22"/>
                <w:lang w:eastAsia="en-GB"/>
              </w:rPr>
              <w:t>SD</w:t>
            </w:r>
          </w:p>
        </w:tc>
        <w:tc>
          <w:tcPr>
            <w:tcW w:w="827" w:type="dxa"/>
            <w:tcBorders>
              <w:top w:val="nil"/>
              <w:left w:val="single" w:sz="8" w:space="0" w:color="auto"/>
              <w:bottom w:val="nil"/>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2.7</w:t>
            </w:r>
          </w:p>
        </w:tc>
        <w:tc>
          <w:tcPr>
            <w:tcW w:w="754" w:type="dxa"/>
            <w:tcBorders>
              <w:top w:val="nil"/>
              <w:left w:val="nil"/>
              <w:bottom w:val="nil"/>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0.3</w:t>
            </w:r>
          </w:p>
        </w:tc>
        <w:tc>
          <w:tcPr>
            <w:tcW w:w="828" w:type="dxa"/>
            <w:tcBorders>
              <w:top w:val="nil"/>
              <w:left w:val="nil"/>
              <w:bottom w:val="nil"/>
              <w:right w:val="single" w:sz="8" w:space="0" w:color="auto"/>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2.3</w:t>
            </w:r>
          </w:p>
        </w:tc>
        <w:tc>
          <w:tcPr>
            <w:tcW w:w="827" w:type="dxa"/>
            <w:tcBorders>
              <w:top w:val="nil"/>
              <w:left w:val="nil"/>
              <w:bottom w:val="nil"/>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1.8</w:t>
            </w:r>
          </w:p>
        </w:tc>
        <w:tc>
          <w:tcPr>
            <w:tcW w:w="754" w:type="dxa"/>
            <w:tcBorders>
              <w:top w:val="nil"/>
              <w:left w:val="nil"/>
              <w:bottom w:val="nil"/>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0.2</w:t>
            </w:r>
          </w:p>
        </w:tc>
        <w:tc>
          <w:tcPr>
            <w:tcW w:w="828" w:type="dxa"/>
            <w:tcBorders>
              <w:top w:val="nil"/>
              <w:left w:val="nil"/>
              <w:bottom w:val="nil"/>
              <w:right w:val="single" w:sz="8" w:space="0" w:color="auto"/>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1.6</w:t>
            </w:r>
          </w:p>
        </w:tc>
        <w:tc>
          <w:tcPr>
            <w:tcW w:w="827" w:type="dxa"/>
            <w:tcBorders>
              <w:top w:val="nil"/>
              <w:left w:val="nil"/>
              <w:bottom w:val="nil"/>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1.5</w:t>
            </w:r>
          </w:p>
        </w:tc>
        <w:tc>
          <w:tcPr>
            <w:tcW w:w="754" w:type="dxa"/>
            <w:tcBorders>
              <w:top w:val="nil"/>
              <w:left w:val="nil"/>
              <w:bottom w:val="nil"/>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0.3</w:t>
            </w:r>
          </w:p>
        </w:tc>
        <w:tc>
          <w:tcPr>
            <w:tcW w:w="828" w:type="dxa"/>
            <w:tcBorders>
              <w:top w:val="nil"/>
              <w:left w:val="nil"/>
              <w:bottom w:val="nil"/>
              <w:right w:val="single" w:sz="8" w:space="0" w:color="auto"/>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1.6</w:t>
            </w:r>
          </w:p>
        </w:tc>
      </w:tr>
      <w:tr w:rsidR="004029D0" w:rsidRPr="00CD48A7" w:rsidTr="004029D0">
        <w:trPr>
          <w:trHeight w:val="284"/>
        </w:trPr>
        <w:tc>
          <w:tcPr>
            <w:tcW w:w="895" w:type="dxa"/>
            <w:vMerge/>
            <w:tcBorders>
              <w:top w:val="nil"/>
              <w:left w:val="single" w:sz="8" w:space="0" w:color="auto"/>
              <w:bottom w:val="single" w:sz="8" w:space="0" w:color="000000"/>
              <w:right w:val="single" w:sz="4" w:space="0" w:color="auto"/>
            </w:tcBorders>
            <w:vAlign w:val="center"/>
            <w:hideMark/>
          </w:tcPr>
          <w:p w:rsidR="004029D0" w:rsidRPr="00CD48A7" w:rsidRDefault="004029D0" w:rsidP="004029D0">
            <w:pPr>
              <w:rPr>
                <w:rFonts w:ascii="Calibri" w:eastAsia="Times New Roman" w:hAnsi="Calibri"/>
                <w:lang w:eastAsia="en-GB"/>
              </w:rPr>
            </w:pPr>
          </w:p>
        </w:tc>
        <w:tc>
          <w:tcPr>
            <w:tcW w:w="889"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4029D0" w:rsidRPr="00CD48A7" w:rsidRDefault="004029D0" w:rsidP="004029D0">
            <w:pPr>
              <w:jc w:val="center"/>
              <w:rPr>
                <w:rFonts w:ascii="Calibri" w:eastAsia="Times New Roman" w:hAnsi="Calibri"/>
                <w:lang w:eastAsia="en-GB"/>
              </w:rPr>
            </w:pPr>
            <w:r w:rsidRPr="00CD48A7">
              <w:rPr>
                <w:rFonts w:ascii="Calibri" w:eastAsia="Times New Roman" w:hAnsi="Calibri"/>
                <w:sz w:val="22"/>
                <w:szCs w:val="22"/>
                <w:lang w:eastAsia="en-GB"/>
              </w:rPr>
              <w:t>Dark</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9D0" w:rsidRPr="00CD48A7" w:rsidRDefault="004029D0" w:rsidP="004029D0">
            <w:pPr>
              <w:rPr>
                <w:rFonts w:ascii="Calibri" w:eastAsia="Times New Roman" w:hAnsi="Calibri"/>
                <w:lang w:eastAsia="en-GB"/>
              </w:rPr>
            </w:pPr>
            <w:r w:rsidRPr="00CD48A7">
              <w:rPr>
                <w:rFonts w:ascii="Calibri" w:eastAsia="Times New Roman" w:hAnsi="Calibri"/>
                <w:sz w:val="22"/>
                <w:szCs w:val="22"/>
                <w:lang w:eastAsia="en-GB"/>
              </w:rPr>
              <w:t>Mean</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94.8</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-1.2</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15.7</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89.7</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-2.6</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15.9</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90.8</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-1.4</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18.6</w:t>
            </w:r>
          </w:p>
        </w:tc>
      </w:tr>
      <w:tr w:rsidR="004029D0" w:rsidRPr="00CD48A7" w:rsidTr="004029D0">
        <w:trPr>
          <w:trHeight w:val="298"/>
        </w:trPr>
        <w:tc>
          <w:tcPr>
            <w:tcW w:w="895" w:type="dxa"/>
            <w:vMerge/>
            <w:tcBorders>
              <w:top w:val="nil"/>
              <w:left w:val="single" w:sz="8" w:space="0" w:color="auto"/>
              <w:bottom w:val="single" w:sz="8" w:space="0" w:color="000000"/>
              <w:right w:val="single" w:sz="4" w:space="0" w:color="auto"/>
            </w:tcBorders>
            <w:vAlign w:val="center"/>
            <w:hideMark/>
          </w:tcPr>
          <w:p w:rsidR="004029D0" w:rsidRPr="00CD48A7" w:rsidRDefault="004029D0" w:rsidP="004029D0">
            <w:pPr>
              <w:rPr>
                <w:rFonts w:ascii="Calibri" w:eastAsia="Times New Roman" w:hAnsi="Calibri"/>
                <w:lang w:eastAsia="en-GB"/>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4029D0" w:rsidRPr="00CD48A7" w:rsidRDefault="004029D0" w:rsidP="004029D0">
            <w:pPr>
              <w:rPr>
                <w:rFonts w:ascii="Calibri" w:eastAsia="Times New Roman" w:hAnsi="Calibri"/>
                <w:lang w:eastAsia="en-GB"/>
              </w:rPr>
            </w:pPr>
          </w:p>
        </w:tc>
        <w:tc>
          <w:tcPr>
            <w:tcW w:w="734" w:type="dxa"/>
            <w:tcBorders>
              <w:top w:val="nil"/>
              <w:left w:val="single" w:sz="4" w:space="0" w:color="auto"/>
              <w:bottom w:val="nil"/>
              <w:right w:val="nil"/>
            </w:tcBorders>
            <w:shd w:val="clear" w:color="auto" w:fill="auto"/>
            <w:noWrap/>
            <w:vAlign w:val="center"/>
            <w:hideMark/>
          </w:tcPr>
          <w:p w:rsidR="004029D0" w:rsidRPr="00CD48A7" w:rsidRDefault="004029D0" w:rsidP="004029D0">
            <w:pPr>
              <w:rPr>
                <w:rFonts w:ascii="Calibri" w:eastAsia="Times New Roman" w:hAnsi="Calibri"/>
                <w:lang w:eastAsia="en-GB"/>
              </w:rPr>
            </w:pPr>
            <w:r w:rsidRPr="00CD48A7">
              <w:rPr>
                <w:rFonts w:ascii="Calibri" w:eastAsia="Times New Roman" w:hAnsi="Calibri"/>
                <w:sz w:val="22"/>
                <w:szCs w:val="22"/>
                <w:lang w:eastAsia="en-GB"/>
              </w:rPr>
              <w:t>SD</w:t>
            </w:r>
          </w:p>
        </w:tc>
        <w:tc>
          <w:tcPr>
            <w:tcW w:w="827" w:type="dxa"/>
            <w:tcBorders>
              <w:top w:val="nil"/>
              <w:left w:val="single" w:sz="8" w:space="0" w:color="auto"/>
              <w:bottom w:val="nil"/>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3.1</w:t>
            </w:r>
          </w:p>
        </w:tc>
        <w:tc>
          <w:tcPr>
            <w:tcW w:w="754" w:type="dxa"/>
            <w:tcBorders>
              <w:top w:val="nil"/>
              <w:left w:val="nil"/>
              <w:bottom w:val="nil"/>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0.4</w:t>
            </w:r>
          </w:p>
        </w:tc>
        <w:tc>
          <w:tcPr>
            <w:tcW w:w="828" w:type="dxa"/>
            <w:tcBorders>
              <w:top w:val="nil"/>
              <w:left w:val="nil"/>
              <w:bottom w:val="nil"/>
              <w:right w:val="single" w:sz="8" w:space="0" w:color="auto"/>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2.9</w:t>
            </w:r>
          </w:p>
        </w:tc>
        <w:tc>
          <w:tcPr>
            <w:tcW w:w="827" w:type="dxa"/>
            <w:tcBorders>
              <w:top w:val="nil"/>
              <w:left w:val="nil"/>
              <w:bottom w:val="nil"/>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1.4</w:t>
            </w:r>
          </w:p>
        </w:tc>
        <w:tc>
          <w:tcPr>
            <w:tcW w:w="754" w:type="dxa"/>
            <w:tcBorders>
              <w:top w:val="nil"/>
              <w:left w:val="nil"/>
              <w:bottom w:val="nil"/>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0.4</w:t>
            </w:r>
          </w:p>
        </w:tc>
        <w:tc>
          <w:tcPr>
            <w:tcW w:w="828" w:type="dxa"/>
            <w:tcBorders>
              <w:top w:val="nil"/>
              <w:left w:val="nil"/>
              <w:bottom w:val="nil"/>
              <w:right w:val="single" w:sz="8" w:space="0" w:color="auto"/>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1.3</w:t>
            </w:r>
          </w:p>
        </w:tc>
        <w:tc>
          <w:tcPr>
            <w:tcW w:w="827" w:type="dxa"/>
            <w:tcBorders>
              <w:top w:val="nil"/>
              <w:left w:val="nil"/>
              <w:bottom w:val="nil"/>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1.4</w:t>
            </w:r>
          </w:p>
        </w:tc>
        <w:tc>
          <w:tcPr>
            <w:tcW w:w="754" w:type="dxa"/>
            <w:tcBorders>
              <w:top w:val="nil"/>
              <w:left w:val="nil"/>
              <w:bottom w:val="nil"/>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0.2</w:t>
            </w:r>
          </w:p>
        </w:tc>
        <w:tc>
          <w:tcPr>
            <w:tcW w:w="828" w:type="dxa"/>
            <w:tcBorders>
              <w:top w:val="nil"/>
              <w:left w:val="nil"/>
              <w:bottom w:val="nil"/>
              <w:right w:val="single" w:sz="8" w:space="0" w:color="auto"/>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1.4</w:t>
            </w:r>
          </w:p>
        </w:tc>
      </w:tr>
      <w:tr w:rsidR="004029D0" w:rsidRPr="00CD48A7" w:rsidTr="004029D0">
        <w:trPr>
          <w:trHeight w:val="284"/>
        </w:trPr>
        <w:tc>
          <w:tcPr>
            <w:tcW w:w="895" w:type="dxa"/>
            <w:vMerge/>
            <w:tcBorders>
              <w:top w:val="nil"/>
              <w:left w:val="single" w:sz="8" w:space="0" w:color="auto"/>
              <w:bottom w:val="single" w:sz="8" w:space="0" w:color="000000"/>
              <w:right w:val="single" w:sz="4" w:space="0" w:color="auto"/>
            </w:tcBorders>
            <w:vAlign w:val="center"/>
            <w:hideMark/>
          </w:tcPr>
          <w:p w:rsidR="004029D0" w:rsidRPr="00CD48A7" w:rsidRDefault="004029D0" w:rsidP="004029D0">
            <w:pPr>
              <w:rPr>
                <w:rFonts w:ascii="Calibri" w:eastAsia="Times New Roman" w:hAnsi="Calibri"/>
                <w:lang w:eastAsia="en-GB"/>
              </w:rPr>
            </w:pPr>
          </w:p>
        </w:tc>
        <w:tc>
          <w:tcPr>
            <w:tcW w:w="889"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4029D0" w:rsidRPr="00CD48A7" w:rsidRDefault="004029D0" w:rsidP="004029D0">
            <w:pPr>
              <w:jc w:val="center"/>
              <w:rPr>
                <w:rFonts w:ascii="Calibri" w:eastAsia="Times New Roman" w:hAnsi="Calibri"/>
                <w:lang w:eastAsia="en-GB"/>
              </w:rPr>
            </w:pPr>
            <w:r w:rsidRPr="00CD48A7">
              <w:rPr>
                <w:rFonts w:ascii="Calibri" w:eastAsia="Times New Roman" w:hAnsi="Calibri"/>
                <w:sz w:val="22"/>
                <w:szCs w:val="22"/>
                <w:lang w:eastAsia="en-GB"/>
              </w:rPr>
              <w:t>Neutral</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9D0" w:rsidRPr="00CD48A7" w:rsidRDefault="004029D0" w:rsidP="004029D0">
            <w:pPr>
              <w:rPr>
                <w:rFonts w:ascii="Calibri" w:eastAsia="Times New Roman" w:hAnsi="Calibri"/>
                <w:lang w:eastAsia="en-GB"/>
              </w:rPr>
            </w:pPr>
            <w:r w:rsidRPr="00CD48A7">
              <w:rPr>
                <w:rFonts w:ascii="Calibri" w:eastAsia="Times New Roman" w:hAnsi="Calibri"/>
                <w:sz w:val="22"/>
                <w:szCs w:val="22"/>
                <w:lang w:eastAsia="en-GB"/>
              </w:rPr>
              <w:t>Mean</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94.9</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-0.9</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16.2</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90.6</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-0.2</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16.3</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91.2</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-0.8</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16.2</w:t>
            </w:r>
          </w:p>
        </w:tc>
      </w:tr>
      <w:tr w:rsidR="004029D0" w:rsidRPr="00CD48A7" w:rsidTr="004029D0">
        <w:trPr>
          <w:trHeight w:val="298"/>
        </w:trPr>
        <w:tc>
          <w:tcPr>
            <w:tcW w:w="895" w:type="dxa"/>
            <w:vMerge/>
            <w:tcBorders>
              <w:top w:val="nil"/>
              <w:left w:val="single" w:sz="8" w:space="0" w:color="auto"/>
              <w:bottom w:val="single" w:sz="8" w:space="0" w:color="000000"/>
              <w:right w:val="single" w:sz="4" w:space="0" w:color="auto"/>
            </w:tcBorders>
            <w:vAlign w:val="center"/>
            <w:hideMark/>
          </w:tcPr>
          <w:p w:rsidR="004029D0" w:rsidRPr="00CD48A7" w:rsidRDefault="004029D0" w:rsidP="004029D0">
            <w:pPr>
              <w:rPr>
                <w:rFonts w:ascii="Calibri" w:eastAsia="Times New Roman" w:hAnsi="Calibri"/>
                <w:lang w:eastAsia="en-GB"/>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4029D0" w:rsidRPr="00CD48A7" w:rsidRDefault="004029D0" w:rsidP="004029D0">
            <w:pPr>
              <w:rPr>
                <w:rFonts w:ascii="Calibri" w:eastAsia="Times New Roman" w:hAnsi="Calibri"/>
                <w:lang w:eastAsia="en-GB"/>
              </w:rPr>
            </w:pPr>
          </w:p>
        </w:tc>
        <w:tc>
          <w:tcPr>
            <w:tcW w:w="734" w:type="dxa"/>
            <w:tcBorders>
              <w:top w:val="nil"/>
              <w:left w:val="single" w:sz="4" w:space="0" w:color="auto"/>
              <w:bottom w:val="nil"/>
              <w:right w:val="nil"/>
            </w:tcBorders>
            <w:shd w:val="clear" w:color="auto" w:fill="auto"/>
            <w:noWrap/>
            <w:vAlign w:val="center"/>
            <w:hideMark/>
          </w:tcPr>
          <w:p w:rsidR="004029D0" w:rsidRPr="00CD48A7" w:rsidRDefault="004029D0" w:rsidP="004029D0">
            <w:pPr>
              <w:rPr>
                <w:rFonts w:ascii="Calibri" w:eastAsia="Times New Roman" w:hAnsi="Calibri"/>
                <w:lang w:eastAsia="en-GB"/>
              </w:rPr>
            </w:pPr>
            <w:r w:rsidRPr="00CD48A7">
              <w:rPr>
                <w:rFonts w:ascii="Calibri" w:eastAsia="Times New Roman" w:hAnsi="Calibri"/>
                <w:sz w:val="22"/>
                <w:szCs w:val="22"/>
                <w:lang w:eastAsia="en-GB"/>
              </w:rPr>
              <w:t>SD</w:t>
            </w:r>
          </w:p>
        </w:tc>
        <w:tc>
          <w:tcPr>
            <w:tcW w:w="827" w:type="dxa"/>
            <w:tcBorders>
              <w:top w:val="nil"/>
              <w:left w:val="single" w:sz="8" w:space="0" w:color="auto"/>
              <w:bottom w:val="nil"/>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2.2</w:t>
            </w:r>
          </w:p>
        </w:tc>
        <w:tc>
          <w:tcPr>
            <w:tcW w:w="754" w:type="dxa"/>
            <w:tcBorders>
              <w:top w:val="nil"/>
              <w:left w:val="nil"/>
              <w:bottom w:val="nil"/>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0.7</w:t>
            </w:r>
          </w:p>
        </w:tc>
        <w:tc>
          <w:tcPr>
            <w:tcW w:w="828" w:type="dxa"/>
            <w:tcBorders>
              <w:top w:val="nil"/>
              <w:left w:val="nil"/>
              <w:bottom w:val="nil"/>
              <w:right w:val="single" w:sz="8" w:space="0" w:color="auto"/>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2.9</w:t>
            </w:r>
          </w:p>
        </w:tc>
        <w:tc>
          <w:tcPr>
            <w:tcW w:w="827" w:type="dxa"/>
            <w:tcBorders>
              <w:top w:val="nil"/>
              <w:left w:val="nil"/>
              <w:bottom w:val="nil"/>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1.8</w:t>
            </w:r>
          </w:p>
        </w:tc>
        <w:tc>
          <w:tcPr>
            <w:tcW w:w="754" w:type="dxa"/>
            <w:tcBorders>
              <w:top w:val="nil"/>
              <w:left w:val="nil"/>
              <w:bottom w:val="nil"/>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0.3</w:t>
            </w:r>
          </w:p>
        </w:tc>
        <w:tc>
          <w:tcPr>
            <w:tcW w:w="828" w:type="dxa"/>
            <w:tcBorders>
              <w:top w:val="nil"/>
              <w:left w:val="nil"/>
              <w:bottom w:val="nil"/>
              <w:right w:val="single" w:sz="8" w:space="0" w:color="auto"/>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1.3</w:t>
            </w:r>
          </w:p>
        </w:tc>
        <w:tc>
          <w:tcPr>
            <w:tcW w:w="827" w:type="dxa"/>
            <w:tcBorders>
              <w:top w:val="nil"/>
              <w:left w:val="nil"/>
              <w:bottom w:val="nil"/>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2.1</w:t>
            </w:r>
          </w:p>
        </w:tc>
        <w:tc>
          <w:tcPr>
            <w:tcW w:w="754" w:type="dxa"/>
            <w:tcBorders>
              <w:top w:val="nil"/>
              <w:left w:val="nil"/>
              <w:bottom w:val="nil"/>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0.5</w:t>
            </w:r>
          </w:p>
        </w:tc>
        <w:tc>
          <w:tcPr>
            <w:tcW w:w="828" w:type="dxa"/>
            <w:tcBorders>
              <w:top w:val="nil"/>
              <w:left w:val="nil"/>
              <w:bottom w:val="nil"/>
              <w:right w:val="single" w:sz="8" w:space="0" w:color="auto"/>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1.2</w:t>
            </w:r>
          </w:p>
        </w:tc>
      </w:tr>
      <w:tr w:rsidR="004029D0" w:rsidRPr="00CD48A7" w:rsidTr="004029D0">
        <w:trPr>
          <w:trHeight w:val="284"/>
        </w:trPr>
        <w:tc>
          <w:tcPr>
            <w:tcW w:w="89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4029D0" w:rsidRPr="00CD48A7" w:rsidRDefault="004029D0" w:rsidP="004029D0">
            <w:pPr>
              <w:jc w:val="center"/>
              <w:rPr>
                <w:rFonts w:ascii="Calibri" w:eastAsia="Times New Roman" w:hAnsi="Calibri"/>
                <w:lang w:eastAsia="en-GB"/>
              </w:rPr>
            </w:pPr>
            <w:r w:rsidRPr="00CD48A7">
              <w:rPr>
                <w:rFonts w:ascii="Calibri" w:eastAsia="Times New Roman" w:hAnsi="Calibri"/>
                <w:sz w:val="22"/>
                <w:szCs w:val="22"/>
                <w:lang w:eastAsia="en-GB"/>
              </w:rPr>
              <w:t>Nexus 3</w:t>
            </w:r>
          </w:p>
        </w:tc>
        <w:tc>
          <w:tcPr>
            <w:tcW w:w="889"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4029D0" w:rsidRPr="00CD48A7" w:rsidRDefault="004029D0" w:rsidP="004029D0">
            <w:pPr>
              <w:jc w:val="center"/>
              <w:rPr>
                <w:rFonts w:ascii="Calibri" w:eastAsia="Times New Roman" w:hAnsi="Calibri"/>
                <w:lang w:eastAsia="en-GB"/>
              </w:rPr>
            </w:pPr>
            <w:r w:rsidRPr="00CD48A7">
              <w:rPr>
                <w:rFonts w:ascii="Calibri" w:eastAsia="Times New Roman" w:hAnsi="Calibri"/>
                <w:sz w:val="22"/>
                <w:szCs w:val="22"/>
                <w:lang w:eastAsia="en-GB"/>
              </w:rPr>
              <w:t xml:space="preserve">White </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9D0" w:rsidRPr="00CD48A7" w:rsidRDefault="004029D0" w:rsidP="004029D0">
            <w:pPr>
              <w:rPr>
                <w:rFonts w:ascii="Calibri" w:eastAsia="Times New Roman" w:hAnsi="Calibri"/>
                <w:lang w:eastAsia="en-GB"/>
              </w:rPr>
            </w:pPr>
            <w:r w:rsidRPr="00CD48A7">
              <w:rPr>
                <w:rFonts w:ascii="Calibri" w:eastAsia="Times New Roman" w:hAnsi="Calibri"/>
                <w:sz w:val="22"/>
                <w:szCs w:val="22"/>
                <w:lang w:eastAsia="en-GB"/>
              </w:rPr>
              <w:t>Mean</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95.5</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-1.3</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16.1</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90.2</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-0.3</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15.4</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91.2</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-0.7</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15.5</w:t>
            </w:r>
          </w:p>
        </w:tc>
      </w:tr>
      <w:tr w:rsidR="004029D0" w:rsidRPr="00CD48A7" w:rsidTr="004029D0">
        <w:trPr>
          <w:trHeight w:val="298"/>
        </w:trPr>
        <w:tc>
          <w:tcPr>
            <w:tcW w:w="895" w:type="dxa"/>
            <w:vMerge/>
            <w:tcBorders>
              <w:top w:val="nil"/>
              <w:left w:val="single" w:sz="8" w:space="0" w:color="auto"/>
              <w:bottom w:val="single" w:sz="8" w:space="0" w:color="000000"/>
              <w:right w:val="single" w:sz="4" w:space="0" w:color="auto"/>
            </w:tcBorders>
            <w:vAlign w:val="center"/>
            <w:hideMark/>
          </w:tcPr>
          <w:p w:rsidR="004029D0" w:rsidRPr="00CD48A7" w:rsidRDefault="004029D0" w:rsidP="004029D0">
            <w:pPr>
              <w:rPr>
                <w:rFonts w:ascii="Calibri" w:eastAsia="Times New Roman" w:hAnsi="Calibri"/>
                <w:lang w:eastAsia="en-GB"/>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4029D0" w:rsidRPr="00CD48A7" w:rsidRDefault="004029D0" w:rsidP="004029D0">
            <w:pPr>
              <w:rPr>
                <w:rFonts w:ascii="Calibri" w:eastAsia="Times New Roman" w:hAnsi="Calibri"/>
                <w:lang w:eastAsia="en-GB"/>
              </w:rPr>
            </w:pPr>
          </w:p>
        </w:tc>
        <w:tc>
          <w:tcPr>
            <w:tcW w:w="734" w:type="dxa"/>
            <w:tcBorders>
              <w:top w:val="nil"/>
              <w:left w:val="single" w:sz="4" w:space="0" w:color="auto"/>
              <w:bottom w:val="nil"/>
              <w:right w:val="nil"/>
            </w:tcBorders>
            <w:shd w:val="clear" w:color="auto" w:fill="auto"/>
            <w:noWrap/>
            <w:vAlign w:val="center"/>
            <w:hideMark/>
          </w:tcPr>
          <w:p w:rsidR="004029D0" w:rsidRPr="00CD48A7" w:rsidRDefault="004029D0" w:rsidP="004029D0">
            <w:pPr>
              <w:rPr>
                <w:rFonts w:ascii="Calibri" w:eastAsia="Times New Roman" w:hAnsi="Calibri"/>
                <w:lang w:eastAsia="en-GB"/>
              </w:rPr>
            </w:pPr>
            <w:r w:rsidRPr="00CD48A7">
              <w:rPr>
                <w:rFonts w:ascii="Calibri" w:eastAsia="Times New Roman" w:hAnsi="Calibri"/>
                <w:sz w:val="22"/>
                <w:szCs w:val="22"/>
                <w:lang w:eastAsia="en-GB"/>
              </w:rPr>
              <w:t>SD</w:t>
            </w:r>
          </w:p>
        </w:tc>
        <w:tc>
          <w:tcPr>
            <w:tcW w:w="827" w:type="dxa"/>
            <w:tcBorders>
              <w:top w:val="nil"/>
              <w:left w:val="single" w:sz="8" w:space="0" w:color="auto"/>
              <w:bottom w:val="nil"/>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3.4</w:t>
            </w:r>
          </w:p>
        </w:tc>
        <w:tc>
          <w:tcPr>
            <w:tcW w:w="754" w:type="dxa"/>
            <w:tcBorders>
              <w:top w:val="nil"/>
              <w:left w:val="nil"/>
              <w:bottom w:val="nil"/>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0.3</w:t>
            </w:r>
          </w:p>
        </w:tc>
        <w:tc>
          <w:tcPr>
            <w:tcW w:w="828" w:type="dxa"/>
            <w:tcBorders>
              <w:top w:val="nil"/>
              <w:left w:val="nil"/>
              <w:bottom w:val="nil"/>
              <w:right w:val="single" w:sz="8" w:space="0" w:color="auto"/>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2.1</w:t>
            </w:r>
          </w:p>
        </w:tc>
        <w:tc>
          <w:tcPr>
            <w:tcW w:w="827" w:type="dxa"/>
            <w:tcBorders>
              <w:top w:val="nil"/>
              <w:left w:val="nil"/>
              <w:bottom w:val="nil"/>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1.2</w:t>
            </w:r>
          </w:p>
        </w:tc>
        <w:tc>
          <w:tcPr>
            <w:tcW w:w="754" w:type="dxa"/>
            <w:tcBorders>
              <w:top w:val="nil"/>
              <w:left w:val="nil"/>
              <w:bottom w:val="nil"/>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0.3</w:t>
            </w:r>
          </w:p>
        </w:tc>
        <w:tc>
          <w:tcPr>
            <w:tcW w:w="828" w:type="dxa"/>
            <w:tcBorders>
              <w:top w:val="nil"/>
              <w:left w:val="nil"/>
              <w:bottom w:val="nil"/>
              <w:right w:val="single" w:sz="8" w:space="0" w:color="auto"/>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0.9</w:t>
            </w:r>
          </w:p>
        </w:tc>
        <w:tc>
          <w:tcPr>
            <w:tcW w:w="827" w:type="dxa"/>
            <w:tcBorders>
              <w:top w:val="nil"/>
              <w:left w:val="nil"/>
              <w:bottom w:val="nil"/>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2.1</w:t>
            </w:r>
          </w:p>
        </w:tc>
        <w:tc>
          <w:tcPr>
            <w:tcW w:w="754" w:type="dxa"/>
            <w:tcBorders>
              <w:top w:val="nil"/>
              <w:left w:val="nil"/>
              <w:bottom w:val="nil"/>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0.4</w:t>
            </w:r>
          </w:p>
        </w:tc>
        <w:tc>
          <w:tcPr>
            <w:tcW w:w="828" w:type="dxa"/>
            <w:tcBorders>
              <w:top w:val="nil"/>
              <w:left w:val="nil"/>
              <w:bottom w:val="nil"/>
              <w:right w:val="single" w:sz="8" w:space="0" w:color="auto"/>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0.6</w:t>
            </w:r>
          </w:p>
        </w:tc>
      </w:tr>
      <w:tr w:rsidR="004029D0" w:rsidRPr="00CD48A7" w:rsidTr="004029D0">
        <w:trPr>
          <w:trHeight w:val="284"/>
        </w:trPr>
        <w:tc>
          <w:tcPr>
            <w:tcW w:w="895" w:type="dxa"/>
            <w:vMerge/>
            <w:tcBorders>
              <w:top w:val="nil"/>
              <w:left w:val="single" w:sz="8" w:space="0" w:color="auto"/>
              <w:bottom w:val="single" w:sz="8" w:space="0" w:color="000000"/>
              <w:right w:val="single" w:sz="4" w:space="0" w:color="auto"/>
            </w:tcBorders>
            <w:vAlign w:val="center"/>
            <w:hideMark/>
          </w:tcPr>
          <w:p w:rsidR="004029D0" w:rsidRPr="00CD48A7" w:rsidRDefault="004029D0" w:rsidP="004029D0">
            <w:pPr>
              <w:rPr>
                <w:rFonts w:ascii="Calibri" w:eastAsia="Times New Roman" w:hAnsi="Calibri"/>
                <w:lang w:eastAsia="en-GB"/>
              </w:rPr>
            </w:pPr>
          </w:p>
        </w:tc>
        <w:tc>
          <w:tcPr>
            <w:tcW w:w="889"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4029D0" w:rsidRPr="00CD48A7" w:rsidRDefault="004029D0" w:rsidP="004029D0">
            <w:pPr>
              <w:jc w:val="center"/>
              <w:rPr>
                <w:rFonts w:ascii="Calibri" w:eastAsia="Times New Roman" w:hAnsi="Calibri"/>
                <w:lang w:eastAsia="en-GB"/>
              </w:rPr>
            </w:pPr>
            <w:r w:rsidRPr="00CD48A7">
              <w:rPr>
                <w:rFonts w:ascii="Calibri" w:eastAsia="Times New Roman" w:hAnsi="Calibri"/>
                <w:sz w:val="22"/>
                <w:szCs w:val="22"/>
                <w:lang w:eastAsia="en-GB"/>
              </w:rPr>
              <w:t>Dark</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9D0" w:rsidRPr="00CD48A7" w:rsidRDefault="004029D0" w:rsidP="004029D0">
            <w:pPr>
              <w:rPr>
                <w:rFonts w:ascii="Calibri" w:eastAsia="Times New Roman" w:hAnsi="Calibri"/>
                <w:lang w:eastAsia="en-GB"/>
              </w:rPr>
            </w:pPr>
            <w:r w:rsidRPr="00CD48A7">
              <w:rPr>
                <w:rFonts w:ascii="Calibri" w:eastAsia="Times New Roman" w:hAnsi="Calibri"/>
                <w:sz w:val="22"/>
                <w:szCs w:val="22"/>
                <w:lang w:eastAsia="en-GB"/>
              </w:rPr>
              <w:t>Mean</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95.2</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-1</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15.8</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89.5</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0.5</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16.6</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90.5</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0.2</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16.7</w:t>
            </w:r>
          </w:p>
        </w:tc>
      </w:tr>
      <w:tr w:rsidR="004029D0" w:rsidRPr="00CD48A7" w:rsidTr="004029D0">
        <w:trPr>
          <w:trHeight w:val="298"/>
        </w:trPr>
        <w:tc>
          <w:tcPr>
            <w:tcW w:w="895" w:type="dxa"/>
            <w:vMerge/>
            <w:tcBorders>
              <w:top w:val="nil"/>
              <w:left w:val="single" w:sz="8" w:space="0" w:color="auto"/>
              <w:bottom w:val="single" w:sz="8" w:space="0" w:color="000000"/>
              <w:right w:val="single" w:sz="4" w:space="0" w:color="auto"/>
            </w:tcBorders>
            <w:vAlign w:val="center"/>
            <w:hideMark/>
          </w:tcPr>
          <w:p w:rsidR="004029D0" w:rsidRPr="00CD48A7" w:rsidRDefault="004029D0" w:rsidP="004029D0">
            <w:pPr>
              <w:rPr>
                <w:rFonts w:ascii="Calibri" w:eastAsia="Times New Roman" w:hAnsi="Calibri"/>
                <w:lang w:eastAsia="en-GB"/>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4029D0" w:rsidRPr="00CD48A7" w:rsidRDefault="004029D0" w:rsidP="004029D0">
            <w:pPr>
              <w:rPr>
                <w:rFonts w:ascii="Calibri" w:eastAsia="Times New Roman" w:hAnsi="Calibri"/>
                <w:lang w:eastAsia="en-GB"/>
              </w:rPr>
            </w:pPr>
          </w:p>
        </w:tc>
        <w:tc>
          <w:tcPr>
            <w:tcW w:w="734" w:type="dxa"/>
            <w:tcBorders>
              <w:top w:val="nil"/>
              <w:left w:val="single" w:sz="4" w:space="0" w:color="auto"/>
              <w:bottom w:val="nil"/>
              <w:right w:val="nil"/>
            </w:tcBorders>
            <w:shd w:val="clear" w:color="auto" w:fill="auto"/>
            <w:noWrap/>
            <w:vAlign w:val="center"/>
            <w:hideMark/>
          </w:tcPr>
          <w:p w:rsidR="004029D0" w:rsidRPr="00CD48A7" w:rsidRDefault="004029D0" w:rsidP="004029D0">
            <w:pPr>
              <w:rPr>
                <w:rFonts w:ascii="Calibri" w:eastAsia="Times New Roman" w:hAnsi="Calibri"/>
                <w:lang w:eastAsia="en-GB"/>
              </w:rPr>
            </w:pPr>
            <w:r w:rsidRPr="00CD48A7">
              <w:rPr>
                <w:rFonts w:ascii="Calibri" w:eastAsia="Times New Roman" w:hAnsi="Calibri"/>
                <w:sz w:val="22"/>
                <w:szCs w:val="22"/>
                <w:lang w:eastAsia="en-GB"/>
              </w:rPr>
              <w:t>SD</w:t>
            </w:r>
          </w:p>
        </w:tc>
        <w:tc>
          <w:tcPr>
            <w:tcW w:w="827" w:type="dxa"/>
            <w:tcBorders>
              <w:top w:val="nil"/>
              <w:left w:val="single" w:sz="8" w:space="0" w:color="auto"/>
              <w:bottom w:val="nil"/>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2.6</w:t>
            </w:r>
          </w:p>
        </w:tc>
        <w:tc>
          <w:tcPr>
            <w:tcW w:w="754" w:type="dxa"/>
            <w:tcBorders>
              <w:top w:val="nil"/>
              <w:left w:val="nil"/>
              <w:bottom w:val="nil"/>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0.5</w:t>
            </w:r>
          </w:p>
        </w:tc>
        <w:tc>
          <w:tcPr>
            <w:tcW w:w="828" w:type="dxa"/>
            <w:tcBorders>
              <w:top w:val="nil"/>
              <w:left w:val="nil"/>
              <w:bottom w:val="nil"/>
              <w:right w:val="single" w:sz="8" w:space="0" w:color="auto"/>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2.6</w:t>
            </w:r>
          </w:p>
        </w:tc>
        <w:tc>
          <w:tcPr>
            <w:tcW w:w="827" w:type="dxa"/>
            <w:tcBorders>
              <w:top w:val="nil"/>
              <w:left w:val="nil"/>
              <w:bottom w:val="nil"/>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1.6</w:t>
            </w:r>
          </w:p>
        </w:tc>
        <w:tc>
          <w:tcPr>
            <w:tcW w:w="754" w:type="dxa"/>
            <w:tcBorders>
              <w:top w:val="nil"/>
              <w:left w:val="nil"/>
              <w:bottom w:val="nil"/>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0.4</w:t>
            </w:r>
          </w:p>
        </w:tc>
        <w:tc>
          <w:tcPr>
            <w:tcW w:w="828" w:type="dxa"/>
            <w:tcBorders>
              <w:top w:val="nil"/>
              <w:left w:val="nil"/>
              <w:bottom w:val="nil"/>
              <w:right w:val="single" w:sz="8" w:space="0" w:color="auto"/>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0.8</w:t>
            </w:r>
          </w:p>
        </w:tc>
        <w:tc>
          <w:tcPr>
            <w:tcW w:w="827" w:type="dxa"/>
            <w:tcBorders>
              <w:top w:val="nil"/>
              <w:left w:val="nil"/>
              <w:bottom w:val="nil"/>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1.5</w:t>
            </w:r>
          </w:p>
        </w:tc>
        <w:tc>
          <w:tcPr>
            <w:tcW w:w="754" w:type="dxa"/>
            <w:tcBorders>
              <w:top w:val="nil"/>
              <w:left w:val="nil"/>
              <w:bottom w:val="nil"/>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0.3</w:t>
            </w:r>
          </w:p>
        </w:tc>
        <w:tc>
          <w:tcPr>
            <w:tcW w:w="828" w:type="dxa"/>
            <w:tcBorders>
              <w:top w:val="nil"/>
              <w:left w:val="nil"/>
              <w:bottom w:val="nil"/>
              <w:right w:val="single" w:sz="8" w:space="0" w:color="auto"/>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1.1</w:t>
            </w:r>
          </w:p>
        </w:tc>
      </w:tr>
      <w:tr w:rsidR="004029D0" w:rsidRPr="00CD48A7" w:rsidTr="004029D0">
        <w:trPr>
          <w:trHeight w:val="284"/>
        </w:trPr>
        <w:tc>
          <w:tcPr>
            <w:tcW w:w="895" w:type="dxa"/>
            <w:vMerge/>
            <w:tcBorders>
              <w:top w:val="nil"/>
              <w:left w:val="single" w:sz="8" w:space="0" w:color="auto"/>
              <w:bottom w:val="single" w:sz="8" w:space="0" w:color="000000"/>
              <w:right w:val="single" w:sz="4" w:space="0" w:color="auto"/>
            </w:tcBorders>
            <w:vAlign w:val="center"/>
            <w:hideMark/>
          </w:tcPr>
          <w:p w:rsidR="004029D0" w:rsidRPr="00CD48A7" w:rsidRDefault="004029D0" w:rsidP="004029D0">
            <w:pPr>
              <w:rPr>
                <w:rFonts w:ascii="Calibri" w:eastAsia="Times New Roman" w:hAnsi="Calibri"/>
                <w:lang w:eastAsia="en-GB"/>
              </w:rPr>
            </w:pPr>
          </w:p>
        </w:tc>
        <w:tc>
          <w:tcPr>
            <w:tcW w:w="889"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4029D0" w:rsidRPr="00CD48A7" w:rsidRDefault="004029D0" w:rsidP="004029D0">
            <w:pPr>
              <w:jc w:val="center"/>
              <w:rPr>
                <w:rFonts w:ascii="Calibri" w:eastAsia="Times New Roman" w:hAnsi="Calibri"/>
                <w:lang w:eastAsia="en-GB"/>
              </w:rPr>
            </w:pPr>
            <w:r w:rsidRPr="00CD48A7">
              <w:rPr>
                <w:rFonts w:ascii="Calibri" w:eastAsia="Times New Roman" w:hAnsi="Calibri"/>
                <w:sz w:val="22"/>
                <w:szCs w:val="22"/>
                <w:lang w:eastAsia="en-GB"/>
              </w:rPr>
              <w:t>Neutral</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9D0" w:rsidRPr="00CD48A7" w:rsidRDefault="004029D0" w:rsidP="004029D0">
            <w:pPr>
              <w:rPr>
                <w:rFonts w:ascii="Calibri" w:eastAsia="Times New Roman" w:hAnsi="Calibri"/>
                <w:lang w:eastAsia="en-GB"/>
              </w:rPr>
            </w:pPr>
            <w:r w:rsidRPr="00CD48A7">
              <w:rPr>
                <w:rFonts w:ascii="Calibri" w:eastAsia="Times New Roman" w:hAnsi="Calibri"/>
                <w:sz w:val="22"/>
                <w:szCs w:val="22"/>
                <w:lang w:eastAsia="en-GB"/>
              </w:rPr>
              <w:t>Mean</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94.5</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-1</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16.6</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90.4</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-0.2</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15.1</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91.2</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-0.1</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4029D0" w:rsidRPr="00CD48A7" w:rsidRDefault="004029D0" w:rsidP="004029D0">
            <w:pPr>
              <w:jc w:val="center"/>
              <w:rPr>
                <w:rFonts w:ascii="Tahoma" w:eastAsia="Times New Roman" w:hAnsi="Tahoma" w:cs="Tahoma"/>
                <w:sz w:val="20"/>
                <w:szCs w:val="20"/>
                <w:lang w:eastAsia="en-GB"/>
              </w:rPr>
            </w:pPr>
            <w:r w:rsidRPr="00CD48A7">
              <w:rPr>
                <w:rFonts w:ascii="Tahoma" w:eastAsia="Times New Roman" w:hAnsi="Tahoma" w:cs="Tahoma"/>
                <w:sz w:val="20"/>
                <w:szCs w:val="20"/>
                <w:lang w:eastAsia="en-GB"/>
              </w:rPr>
              <w:t>15.5</w:t>
            </w:r>
          </w:p>
        </w:tc>
      </w:tr>
      <w:tr w:rsidR="004029D0" w:rsidRPr="00CD48A7" w:rsidTr="004029D0">
        <w:trPr>
          <w:trHeight w:val="298"/>
        </w:trPr>
        <w:tc>
          <w:tcPr>
            <w:tcW w:w="895" w:type="dxa"/>
            <w:vMerge/>
            <w:tcBorders>
              <w:top w:val="nil"/>
              <w:left w:val="single" w:sz="8" w:space="0" w:color="auto"/>
              <w:bottom w:val="single" w:sz="8" w:space="0" w:color="000000"/>
              <w:right w:val="single" w:sz="4" w:space="0" w:color="auto"/>
            </w:tcBorders>
            <w:vAlign w:val="center"/>
            <w:hideMark/>
          </w:tcPr>
          <w:p w:rsidR="004029D0" w:rsidRPr="00CD48A7" w:rsidRDefault="004029D0" w:rsidP="004029D0">
            <w:pPr>
              <w:rPr>
                <w:rFonts w:ascii="Calibri" w:eastAsia="Times New Roman" w:hAnsi="Calibri"/>
                <w:lang w:eastAsia="en-GB"/>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4029D0" w:rsidRPr="00CD48A7" w:rsidRDefault="004029D0" w:rsidP="004029D0">
            <w:pPr>
              <w:rPr>
                <w:rFonts w:ascii="Calibri" w:eastAsia="Times New Roman" w:hAnsi="Calibri"/>
                <w:lang w:eastAsia="en-GB"/>
              </w:rPr>
            </w:pPr>
          </w:p>
        </w:tc>
        <w:tc>
          <w:tcPr>
            <w:tcW w:w="734" w:type="dxa"/>
            <w:tcBorders>
              <w:top w:val="nil"/>
              <w:left w:val="single" w:sz="4" w:space="0" w:color="auto"/>
              <w:bottom w:val="single" w:sz="8" w:space="0" w:color="auto"/>
              <w:right w:val="nil"/>
            </w:tcBorders>
            <w:shd w:val="clear" w:color="auto" w:fill="auto"/>
            <w:noWrap/>
            <w:vAlign w:val="center"/>
            <w:hideMark/>
          </w:tcPr>
          <w:p w:rsidR="004029D0" w:rsidRPr="00CD48A7" w:rsidRDefault="004029D0" w:rsidP="004029D0">
            <w:pPr>
              <w:rPr>
                <w:rFonts w:ascii="Calibri" w:eastAsia="Times New Roman" w:hAnsi="Calibri"/>
                <w:lang w:eastAsia="en-GB"/>
              </w:rPr>
            </w:pPr>
            <w:r w:rsidRPr="00CD48A7">
              <w:rPr>
                <w:rFonts w:ascii="Calibri" w:eastAsia="Times New Roman" w:hAnsi="Calibri"/>
                <w:sz w:val="22"/>
                <w:szCs w:val="22"/>
                <w:lang w:eastAsia="en-GB"/>
              </w:rPr>
              <w:t>SD</w:t>
            </w:r>
          </w:p>
        </w:tc>
        <w:tc>
          <w:tcPr>
            <w:tcW w:w="827" w:type="dxa"/>
            <w:tcBorders>
              <w:top w:val="nil"/>
              <w:left w:val="single" w:sz="8" w:space="0" w:color="auto"/>
              <w:bottom w:val="single" w:sz="8" w:space="0" w:color="auto"/>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3.1</w:t>
            </w:r>
          </w:p>
        </w:tc>
        <w:tc>
          <w:tcPr>
            <w:tcW w:w="754" w:type="dxa"/>
            <w:tcBorders>
              <w:top w:val="nil"/>
              <w:left w:val="nil"/>
              <w:bottom w:val="single" w:sz="8" w:space="0" w:color="auto"/>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0.7</w:t>
            </w:r>
          </w:p>
        </w:tc>
        <w:tc>
          <w:tcPr>
            <w:tcW w:w="828" w:type="dxa"/>
            <w:tcBorders>
              <w:top w:val="nil"/>
              <w:left w:val="nil"/>
              <w:bottom w:val="single" w:sz="8" w:space="0" w:color="auto"/>
              <w:right w:val="single" w:sz="8" w:space="0" w:color="auto"/>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2.5</w:t>
            </w:r>
          </w:p>
        </w:tc>
        <w:tc>
          <w:tcPr>
            <w:tcW w:w="827" w:type="dxa"/>
            <w:tcBorders>
              <w:top w:val="nil"/>
              <w:left w:val="nil"/>
              <w:bottom w:val="single" w:sz="8" w:space="0" w:color="auto"/>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1.6</w:t>
            </w:r>
          </w:p>
        </w:tc>
        <w:tc>
          <w:tcPr>
            <w:tcW w:w="754" w:type="dxa"/>
            <w:tcBorders>
              <w:top w:val="nil"/>
              <w:left w:val="nil"/>
              <w:bottom w:val="single" w:sz="8" w:space="0" w:color="auto"/>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0.3</w:t>
            </w:r>
          </w:p>
        </w:tc>
        <w:tc>
          <w:tcPr>
            <w:tcW w:w="828" w:type="dxa"/>
            <w:tcBorders>
              <w:top w:val="nil"/>
              <w:left w:val="nil"/>
              <w:bottom w:val="single" w:sz="8" w:space="0" w:color="auto"/>
              <w:right w:val="single" w:sz="8" w:space="0" w:color="auto"/>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1.1</w:t>
            </w:r>
          </w:p>
        </w:tc>
        <w:tc>
          <w:tcPr>
            <w:tcW w:w="827" w:type="dxa"/>
            <w:tcBorders>
              <w:top w:val="nil"/>
              <w:left w:val="nil"/>
              <w:bottom w:val="single" w:sz="8" w:space="0" w:color="auto"/>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1.4</w:t>
            </w:r>
          </w:p>
        </w:tc>
        <w:tc>
          <w:tcPr>
            <w:tcW w:w="754" w:type="dxa"/>
            <w:tcBorders>
              <w:top w:val="nil"/>
              <w:left w:val="nil"/>
              <w:bottom w:val="single" w:sz="8" w:space="0" w:color="auto"/>
              <w:right w:val="nil"/>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0.4</w:t>
            </w:r>
          </w:p>
        </w:tc>
        <w:tc>
          <w:tcPr>
            <w:tcW w:w="828" w:type="dxa"/>
            <w:tcBorders>
              <w:top w:val="nil"/>
              <w:left w:val="nil"/>
              <w:bottom w:val="single" w:sz="8" w:space="0" w:color="auto"/>
              <w:right w:val="single" w:sz="8" w:space="0" w:color="auto"/>
            </w:tcBorders>
            <w:shd w:val="clear" w:color="auto" w:fill="auto"/>
            <w:noWrap/>
            <w:vAlign w:val="center"/>
            <w:hideMark/>
          </w:tcPr>
          <w:p w:rsidR="004029D0" w:rsidRPr="00CD48A7" w:rsidRDefault="004029D0" w:rsidP="004029D0">
            <w:pPr>
              <w:jc w:val="center"/>
              <w:rPr>
                <w:rFonts w:ascii="Arial" w:eastAsia="Times New Roman" w:hAnsi="Arial" w:cs="Arial"/>
                <w:sz w:val="20"/>
                <w:szCs w:val="20"/>
                <w:lang w:eastAsia="en-GB"/>
              </w:rPr>
            </w:pPr>
            <w:r w:rsidRPr="00CD48A7">
              <w:rPr>
                <w:rFonts w:ascii="Arial" w:eastAsia="Times New Roman" w:hAnsi="Arial" w:cs="Arial"/>
                <w:sz w:val="20"/>
                <w:szCs w:val="20"/>
                <w:lang w:eastAsia="en-GB"/>
              </w:rPr>
              <w:t>1</w:t>
            </w:r>
          </w:p>
        </w:tc>
      </w:tr>
    </w:tbl>
    <w:p w:rsidR="00AF40C4" w:rsidRPr="00CD48A7" w:rsidRDefault="00AF40C4" w:rsidP="00AF40C4">
      <w:pPr>
        <w:spacing w:line="480" w:lineRule="auto"/>
      </w:pPr>
      <w:r w:rsidRPr="00CD48A7">
        <w:t>Table (1): Means and SDs of colour data for tooth surfaces, try-in pastes and resin cements.</w:t>
      </w:r>
    </w:p>
    <w:p w:rsidR="0045278A" w:rsidRPr="00CD48A7" w:rsidRDefault="0045278A" w:rsidP="00AF40C4">
      <w:pPr>
        <w:spacing w:line="480" w:lineRule="auto"/>
      </w:pPr>
    </w:p>
    <w:p w:rsidR="0045278A" w:rsidRPr="00CD48A7" w:rsidRDefault="0045278A" w:rsidP="00AF40C4">
      <w:pPr>
        <w:spacing w:line="480" w:lineRule="auto"/>
      </w:pPr>
    </w:p>
    <w:tbl>
      <w:tblPr>
        <w:tblW w:w="9534" w:type="dxa"/>
        <w:tblInd w:w="93" w:type="dxa"/>
        <w:tblLook w:val="04A0"/>
      </w:tblPr>
      <w:tblGrid>
        <w:gridCol w:w="1589"/>
        <w:gridCol w:w="1589"/>
        <w:gridCol w:w="1589"/>
        <w:gridCol w:w="1589"/>
        <w:gridCol w:w="1589"/>
        <w:gridCol w:w="1589"/>
      </w:tblGrid>
      <w:tr w:rsidR="0045278A" w:rsidRPr="00CD48A7" w:rsidTr="0045278A">
        <w:trPr>
          <w:trHeight w:val="292"/>
        </w:trPr>
        <w:tc>
          <w:tcPr>
            <w:tcW w:w="1589" w:type="dxa"/>
            <w:tcBorders>
              <w:top w:val="single" w:sz="8" w:space="0" w:color="auto"/>
              <w:left w:val="single" w:sz="8" w:space="0" w:color="auto"/>
              <w:bottom w:val="nil"/>
              <w:right w:val="nil"/>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 </w:t>
            </w:r>
          </w:p>
        </w:tc>
        <w:tc>
          <w:tcPr>
            <w:tcW w:w="1589" w:type="dxa"/>
            <w:tcBorders>
              <w:top w:val="single" w:sz="8" w:space="0" w:color="auto"/>
              <w:left w:val="nil"/>
              <w:bottom w:val="nil"/>
              <w:right w:val="nil"/>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 </w:t>
            </w:r>
          </w:p>
        </w:tc>
        <w:tc>
          <w:tcPr>
            <w:tcW w:w="1589" w:type="dxa"/>
            <w:tcBorders>
              <w:top w:val="single" w:sz="8" w:space="0" w:color="auto"/>
              <w:left w:val="single" w:sz="8" w:space="0" w:color="auto"/>
              <w:bottom w:val="nil"/>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Aquagel</w:t>
            </w:r>
          </w:p>
        </w:tc>
        <w:tc>
          <w:tcPr>
            <w:tcW w:w="1589" w:type="dxa"/>
            <w:tcBorders>
              <w:top w:val="single" w:sz="8" w:space="0" w:color="auto"/>
              <w:left w:val="nil"/>
              <w:bottom w:val="nil"/>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Aquagel</w:t>
            </w:r>
          </w:p>
        </w:tc>
        <w:tc>
          <w:tcPr>
            <w:tcW w:w="1589" w:type="dxa"/>
            <w:tcBorders>
              <w:top w:val="single" w:sz="8" w:space="0" w:color="auto"/>
              <w:left w:val="nil"/>
              <w:bottom w:val="nil"/>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Try-in</w:t>
            </w:r>
          </w:p>
        </w:tc>
        <w:tc>
          <w:tcPr>
            <w:tcW w:w="1589" w:type="dxa"/>
            <w:tcBorders>
              <w:top w:val="single" w:sz="8" w:space="0" w:color="auto"/>
              <w:left w:val="nil"/>
              <w:bottom w:val="nil"/>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Uncured</w:t>
            </w:r>
          </w:p>
        </w:tc>
      </w:tr>
      <w:tr w:rsidR="0045278A" w:rsidRPr="00CD48A7" w:rsidTr="0045278A">
        <w:trPr>
          <w:trHeight w:val="307"/>
        </w:trPr>
        <w:tc>
          <w:tcPr>
            <w:tcW w:w="1589" w:type="dxa"/>
            <w:tcBorders>
              <w:top w:val="nil"/>
              <w:left w:val="single" w:sz="8" w:space="0" w:color="auto"/>
              <w:bottom w:val="nil"/>
              <w:right w:val="nil"/>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 </w:t>
            </w:r>
          </w:p>
        </w:tc>
        <w:tc>
          <w:tcPr>
            <w:tcW w:w="1589" w:type="dxa"/>
            <w:tcBorders>
              <w:top w:val="nil"/>
              <w:left w:val="nil"/>
              <w:bottom w:val="nil"/>
              <w:right w:val="nil"/>
            </w:tcBorders>
            <w:shd w:val="clear" w:color="auto" w:fill="auto"/>
            <w:noWrap/>
            <w:vAlign w:val="center"/>
            <w:hideMark/>
          </w:tcPr>
          <w:p w:rsidR="0045278A" w:rsidRPr="00CD48A7" w:rsidRDefault="0045278A" w:rsidP="0045278A">
            <w:pPr>
              <w:jc w:val="center"/>
              <w:rPr>
                <w:rFonts w:eastAsia="Times New Roman"/>
                <w:sz w:val="20"/>
                <w:szCs w:val="20"/>
                <w:lang w:eastAsia="en-GB"/>
              </w:rPr>
            </w:pPr>
          </w:p>
        </w:tc>
        <w:tc>
          <w:tcPr>
            <w:tcW w:w="1589" w:type="dxa"/>
            <w:tcBorders>
              <w:top w:val="nil"/>
              <w:left w:val="single" w:sz="8" w:space="0" w:color="auto"/>
              <w:bottom w:val="single" w:sz="8" w:space="0" w:color="auto"/>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Try-in</w:t>
            </w:r>
          </w:p>
        </w:tc>
        <w:tc>
          <w:tcPr>
            <w:tcW w:w="1589" w:type="dxa"/>
            <w:tcBorders>
              <w:top w:val="nil"/>
              <w:left w:val="nil"/>
              <w:bottom w:val="single" w:sz="8" w:space="0" w:color="auto"/>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Cured</w:t>
            </w:r>
          </w:p>
        </w:tc>
        <w:tc>
          <w:tcPr>
            <w:tcW w:w="1589" w:type="dxa"/>
            <w:tcBorders>
              <w:top w:val="nil"/>
              <w:left w:val="nil"/>
              <w:bottom w:val="single" w:sz="8" w:space="0" w:color="auto"/>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Cured</w:t>
            </w:r>
          </w:p>
        </w:tc>
        <w:tc>
          <w:tcPr>
            <w:tcW w:w="1589" w:type="dxa"/>
            <w:tcBorders>
              <w:top w:val="nil"/>
              <w:left w:val="nil"/>
              <w:bottom w:val="single" w:sz="8" w:space="0" w:color="auto"/>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Cured</w:t>
            </w:r>
          </w:p>
        </w:tc>
      </w:tr>
      <w:tr w:rsidR="0045278A" w:rsidRPr="00CD48A7" w:rsidTr="0045278A">
        <w:trPr>
          <w:trHeight w:val="292"/>
        </w:trPr>
        <w:tc>
          <w:tcPr>
            <w:tcW w:w="1589" w:type="dxa"/>
            <w:vMerge w:val="restart"/>
            <w:tcBorders>
              <w:top w:val="single" w:sz="8" w:space="0" w:color="auto"/>
              <w:left w:val="single" w:sz="8" w:space="0" w:color="auto"/>
              <w:bottom w:val="single" w:sz="4" w:space="0" w:color="auto"/>
              <w:right w:val="nil"/>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Rely-X</w:t>
            </w:r>
          </w:p>
        </w:tc>
        <w:tc>
          <w:tcPr>
            <w:tcW w:w="158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White</w:t>
            </w:r>
          </w:p>
        </w:tc>
        <w:tc>
          <w:tcPr>
            <w:tcW w:w="1589" w:type="dxa"/>
            <w:tcBorders>
              <w:top w:val="nil"/>
              <w:left w:val="nil"/>
              <w:bottom w:val="single" w:sz="4" w:space="0" w:color="auto"/>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1.6 (1.0)</w:t>
            </w:r>
          </w:p>
        </w:tc>
        <w:tc>
          <w:tcPr>
            <w:tcW w:w="1589" w:type="dxa"/>
            <w:tcBorders>
              <w:top w:val="nil"/>
              <w:left w:val="nil"/>
              <w:bottom w:val="single" w:sz="4" w:space="0" w:color="auto"/>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3.2 (1.2)</w:t>
            </w:r>
          </w:p>
        </w:tc>
        <w:tc>
          <w:tcPr>
            <w:tcW w:w="1589" w:type="dxa"/>
            <w:tcBorders>
              <w:top w:val="nil"/>
              <w:left w:val="nil"/>
              <w:bottom w:val="single" w:sz="4" w:space="0" w:color="auto"/>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1.9 (1.0)</w:t>
            </w:r>
          </w:p>
        </w:tc>
        <w:tc>
          <w:tcPr>
            <w:tcW w:w="1589" w:type="dxa"/>
            <w:tcBorders>
              <w:top w:val="nil"/>
              <w:left w:val="nil"/>
              <w:bottom w:val="single" w:sz="4" w:space="0" w:color="auto"/>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1.1 (0.3)</w:t>
            </w:r>
          </w:p>
        </w:tc>
      </w:tr>
      <w:tr w:rsidR="0045278A" w:rsidRPr="00CD48A7" w:rsidTr="0045278A">
        <w:trPr>
          <w:trHeight w:val="292"/>
        </w:trPr>
        <w:tc>
          <w:tcPr>
            <w:tcW w:w="1589" w:type="dxa"/>
            <w:vMerge/>
            <w:tcBorders>
              <w:top w:val="single" w:sz="8" w:space="0" w:color="auto"/>
              <w:left w:val="single" w:sz="8" w:space="0" w:color="auto"/>
              <w:bottom w:val="single" w:sz="4" w:space="0" w:color="auto"/>
              <w:right w:val="nil"/>
            </w:tcBorders>
            <w:vAlign w:val="center"/>
            <w:hideMark/>
          </w:tcPr>
          <w:p w:rsidR="0045278A" w:rsidRPr="00CD48A7" w:rsidRDefault="0045278A" w:rsidP="0045278A">
            <w:pPr>
              <w:rPr>
                <w:rFonts w:eastAsia="Times New Roman"/>
                <w:sz w:val="20"/>
                <w:szCs w:val="20"/>
                <w:lang w:eastAsia="en-GB"/>
              </w:rPr>
            </w:pPr>
          </w:p>
        </w:tc>
        <w:tc>
          <w:tcPr>
            <w:tcW w:w="1589" w:type="dxa"/>
            <w:tcBorders>
              <w:top w:val="nil"/>
              <w:left w:val="single" w:sz="8" w:space="0" w:color="auto"/>
              <w:bottom w:val="single" w:sz="4" w:space="0" w:color="auto"/>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Dark</w:t>
            </w:r>
          </w:p>
        </w:tc>
        <w:tc>
          <w:tcPr>
            <w:tcW w:w="1589" w:type="dxa"/>
            <w:tcBorders>
              <w:top w:val="nil"/>
              <w:left w:val="nil"/>
              <w:bottom w:val="single" w:sz="4" w:space="0" w:color="auto"/>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2.3 (0.9)</w:t>
            </w:r>
          </w:p>
        </w:tc>
        <w:tc>
          <w:tcPr>
            <w:tcW w:w="1589" w:type="dxa"/>
            <w:tcBorders>
              <w:top w:val="nil"/>
              <w:left w:val="nil"/>
              <w:bottom w:val="single" w:sz="4" w:space="0" w:color="auto"/>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3.4 (0.9)</w:t>
            </w:r>
          </w:p>
        </w:tc>
        <w:tc>
          <w:tcPr>
            <w:tcW w:w="1589" w:type="dxa"/>
            <w:tcBorders>
              <w:top w:val="nil"/>
              <w:left w:val="nil"/>
              <w:bottom w:val="single" w:sz="4" w:space="0" w:color="auto"/>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2.2 (1.0)</w:t>
            </w:r>
          </w:p>
        </w:tc>
        <w:tc>
          <w:tcPr>
            <w:tcW w:w="1589" w:type="dxa"/>
            <w:tcBorders>
              <w:top w:val="nil"/>
              <w:left w:val="nil"/>
              <w:bottom w:val="single" w:sz="4" w:space="0" w:color="auto"/>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1.4 (0.4)</w:t>
            </w:r>
          </w:p>
        </w:tc>
      </w:tr>
      <w:tr w:rsidR="0045278A" w:rsidRPr="00CD48A7" w:rsidTr="0045278A">
        <w:trPr>
          <w:trHeight w:val="307"/>
        </w:trPr>
        <w:tc>
          <w:tcPr>
            <w:tcW w:w="1589" w:type="dxa"/>
            <w:vMerge/>
            <w:tcBorders>
              <w:top w:val="single" w:sz="8" w:space="0" w:color="auto"/>
              <w:left w:val="single" w:sz="8" w:space="0" w:color="auto"/>
              <w:bottom w:val="single" w:sz="4" w:space="0" w:color="auto"/>
              <w:right w:val="nil"/>
            </w:tcBorders>
            <w:vAlign w:val="center"/>
            <w:hideMark/>
          </w:tcPr>
          <w:p w:rsidR="0045278A" w:rsidRPr="00CD48A7" w:rsidRDefault="0045278A" w:rsidP="0045278A">
            <w:pPr>
              <w:rPr>
                <w:rFonts w:eastAsia="Times New Roman"/>
                <w:sz w:val="20"/>
                <w:szCs w:val="20"/>
                <w:lang w:eastAsia="en-GB"/>
              </w:rPr>
            </w:pPr>
          </w:p>
        </w:tc>
        <w:tc>
          <w:tcPr>
            <w:tcW w:w="1589" w:type="dxa"/>
            <w:tcBorders>
              <w:top w:val="nil"/>
              <w:left w:val="single" w:sz="8" w:space="0" w:color="auto"/>
              <w:bottom w:val="nil"/>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Neutral</w:t>
            </w:r>
          </w:p>
        </w:tc>
        <w:tc>
          <w:tcPr>
            <w:tcW w:w="1589" w:type="dxa"/>
            <w:tcBorders>
              <w:top w:val="nil"/>
              <w:left w:val="nil"/>
              <w:bottom w:val="nil"/>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3.2 (1.4)</w:t>
            </w:r>
          </w:p>
        </w:tc>
        <w:tc>
          <w:tcPr>
            <w:tcW w:w="1589" w:type="dxa"/>
            <w:tcBorders>
              <w:top w:val="nil"/>
              <w:left w:val="nil"/>
              <w:bottom w:val="nil"/>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2.9 (1.6)</w:t>
            </w:r>
          </w:p>
        </w:tc>
        <w:tc>
          <w:tcPr>
            <w:tcW w:w="1589" w:type="dxa"/>
            <w:tcBorders>
              <w:top w:val="nil"/>
              <w:left w:val="nil"/>
              <w:bottom w:val="nil"/>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1.1 (0.9)</w:t>
            </w:r>
          </w:p>
        </w:tc>
        <w:tc>
          <w:tcPr>
            <w:tcW w:w="1589" w:type="dxa"/>
            <w:tcBorders>
              <w:top w:val="nil"/>
              <w:left w:val="nil"/>
              <w:bottom w:val="nil"/>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1.0 (0.3)</w:t>
            </w:r>
          </w:p>
        </w:tc>
      </w:tr>
      <w:tr w:rsidR="0045278A" w:rsidRPr="00CD48A7" w:rsidTr="0045278A">
        <w:trPr>
          <w:trHeight w:val="292"/>
        </w:trPr>
        <w:tc>
          <w:tcPr>
            <w:tcW w:w="1589"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Calibra</w:t>
            </w:r>
          </w:p>
        </w:tc>
        <w:tc>
          <w:tcPr>
            <w:tcW w:w="158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White</w:t>
            </w:r>
          </w:p>
        </w:tc>
        <w:tc>
          <w:tcPr>
            <w:tcW w:w="1589" w:type="dxa"/>
            <w:tcBorders>
              <w:top w:val="single" w:sz="8" w:space="0" w:color="auto"/>
              <w:left w:val="nil"/>
              <w:bottom w:val="single" w:sz="4" w:space="0" w:color="auto"/>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2.1 (0.9)</w:t>
            </w:r>
          </w:p>
        </w:tc>
        <w:tc>
          <w:tcPr>
            <w:tcW w:w="1589" w:type="dxa"/>
            <w:tcBorders>
              <w:top w:val="single" w:sz="8" w:space="0" w:color="auto"/>
              <w:left w:val="nil"/>
              <w:bottom w:val="single" w:sz="4" w:space="0" w:color="auto"/>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2.8 (0.5)</w:t>
            </w:r>
          </w:p>
        </w:tc>
        <w:tc>
          <w:tcPr>
            <w:tcW w:w="1589" w:type="dxa"/>
            <w:tcBorders>
              <w:top w:val="single" w:sz="8" w:space="0" w:color="auto"/>
              <w:left w:val="nil"/>
              <w:bottom w:val="single" w:sz="4" w:space="0" w:color="auto"/>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2.4 (0.7)</w:t>
            </w:r>
          </w:p>
        </w:tc>
        <w:tc>
          <w:tcPr>
            <w:tcW w:w="1589" w:type="dxa"/>
            <w:tcBorders>
              <w:top w:val="single" w:sz="8" w:space="0" w:color="auto"/>
              <w:left w:val="nil"/>
              <w:bottom w:val="single" w:sz="4" w:space="0" w:color="auto"/>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1.3 (0.5)</w:t>
            </w:r>
          </w:p>
        </w:tc>
      </w:tr>
      <w:tr w:rsidR="0045278A" w:rsidRPr="00CD48A7" w:rsidTr="0045278A">
        <w:trPr>
          <w:trHeight w:val="292"/>
        </w:trPr>
        <w:tc>
          <w:tcPr>
            <w:tcW w:w="1589" w:type="dxa"/>
            <w:vMerge/>
            <w:tcBorders>
              <w:top w:val="single" w:sz="8" w:space="0" w:color="auto"/>
              <w:left w:val="single" w:sz="8" w:space="0" w:color="auto"/>
              <w:bottom w:val="single" w:sz="8" w:space="0" w:color="000000"/>
              <w:right w:val="nil"/>
            </w:tcBorders>
            <w:vAlign w:val="center"/>
            <w:hideMark/>
          </w:tcPr>
          <w:p w:rsidR="0045278A" w:rsidRPr="00CD48A7" w:rsidRDefault="0045278A" w:rsidP="0045278A">
            <w:pPr>
              <w:rPr>
                <w:rFonts w:eastAsia="Times New Roman"/>
                <w:sz w:val="20"/>
                <w:szCs w:val="20"/>
                <w:lang w:eastAsia="en-GB"/>
              </w:rPr>
            </w:pPr>
          </w:p>
        </w:tc>
        <w:tc>
          <w:tcPr>
            <w:tcW w:w="1589" w:type="dxa"/>
            <w:tcBorders>
              <w:top w:val="nil"/>
              <w:left w:val="single" w:sz="8" w:space="0" w:color="auto"/>
              <w:bottom w:val="single" w:sz="4" w:space="0" w:color="auto"/>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Dark</w:t>
            </w:r>
          </w:p>
        </w:tc>
        <w:tc>
          <w:tcPr>
            <w:tcW w:w="1589" w:type="dxa"/>
            <w:tcBorders>
              <w:top w:val="nil"/>
              <w:left w:val="nil"/>
              <w:bottom w:val="single" w:sz="4" w:space="0" w:color="auto"/>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2.8 (0.9)</w:t>
            </w:r>
          </w:p>
        </w:tc>
        <w:tc>
          <w:tcPr>
            <w:tcW w:w="1589" w:type="dxa"/>
            <w:tcBorders>
              <w:top w:val="nil"/>
              <w:left w:val="nil"/>
              <w:bottom w:val="single" w:sz="4" w:space="0" w:color="auto"/>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4.9 (1.3)</w:t>
            </w:r>
          </w:p>
        </w:tc>
        <w:tc>
          <w:tcPr>
            <w:tcW w:w="1589" w:type="dxa"/>
            <w:tcBorders>
              <w:top w:val="nil"/>
              <w:left w:val="nil"/>
              <w:bottom w:val="single" w:sz="4" w:space="0" w:color="auto"/>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3.3 (1.7)</w:t>
            </w:r>
          </w:p>
        </w:tc>
        <w:tc>
          <w:tcPr>
            <w:tcW w:w="1589" w:type="dxa"/>
            <w:tcBorders>
              <w:top w:val="nil"/>
              <w:left w:val="nil"/>
              <w:bottom w:val="single" w:sz="4" w:space="0" w:color="auto"/>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0.8 (0.4)</w:t>
            </w:r>
          </w:p>
        </w:tc>
      </w:tr>
      <w:tr w:rsidR="0045278A" w:rsidRPr="00CD48A7" w:rsidTr="0045278A">
        <w:trPr>
          <w:trHeight w:val="307"/>
        </w:trPr>
        <w:tc>
          <w:tcPr>
            <w:tcW w:w="1589" w:type="dxa"/>
            <w:vMerge/>
            <w:tcBorders>
              <w:top w:val="single" w:sz="8" w:space="0" w:color="auto"/>
              <w:left w:val="single" w:sz="8" w:space="0" w:color="auto"/>
              <w:bottom w:val="single" w:sz="8" w:space="0" w:color="000000"/>
              <w:right w:val="nil"/>
            </w:tcBorders>
            <w:vAlign w:val="center"/>
            <w:hideMark/>
          </w:tcPr>
          <w:p w:rsidR="0045278A" w:rsidRPr="00CD48A7" w:rsidRDefault="0045278A" w:rsidP="0045278A">
            <w:pPr>
              <w:rPr>
                <w:rFonts w:eastAsia="Times New Roman"/>
                <w:sz w:val="20"/>
                <w:szCs w:val="20"/>
                <w:lang w:eastAsia="en-GB"/>
              </w:rPr>
            </w:pPr>
          </w:p>
        </w:tc>
        <w:tc>
          <w:tcPr>
            <w:tcW w:w="1589" w:type="dxa"/>
            <w:tcBorders>
              <w:top w:val="nil"/>
              <w:left w:val="single" w:sz="8" w:space="0" w:color="auto"/>
              <w:bottom w:val="single" w:sz="8" w:space="0" w:color="auto"/>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Neutral</w:t>
            </w:r>
          </w:p>
        </w:tc>
        <w:tc>
          <w:tcPr>
            <w:tcW w:w="1589" w:type="dxa"/>
            <w:tcBorders>
              <w:top w:val="nil"/>
              <w:left w:val="nil"/>
              <w:bottom w:val="single" w:sz="8" w:space="0" w:color="auto"/>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2.3 (1.1)</w:t>
            </w:r>
          </w:p>
        </w:tc>
        <w:tc>
          <w:tcPr>
            <w:tcW w:w="1589" w:type="dxa"/>
            <w:tcBorders>
              <w:top w:val="nil"/>
              <w:left w:val="nil"/>
              <w:bottom w:val="single" w:sz="8" w:space="0" w:color="auto"/>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2.8 (1.2)</w:t>
            </w:r>
          </w:p>
        </w:tc>
        <w:tc>
          <w:tcPr>
            <w:tcW w:w="1589" w:type="dxa"/>
            <w:tcBorders>
              <w:top w:val="nil"/>
              <w:left w:val="nil"/>
              <w:bottom w:val="single" w:sz="8" w:space="0" w:color="auto"/>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1.3 (0.5)</w:t>
            </w:r>
          </w:p>
        </w:tc>
        <w:tc>
          <w:tcPr>
            <w:tcW w:w="1589" w:type="dxa"/>
            <w:tcBorders>
              <w:top w:val="nil"/>
              <w:left w:val="nil"/>
              <w:bottom w:val="single" w:sz="8" w:space="0" w:color="auto"/>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1.1 (0.6)</w:t>
            </w:r>
          </w:p>
        </w:tc>
      </w:tr>
      <w:tr w:rsidR="0045278A" w:rsidRPr="00CD48A7" w:rsidTr="0045278A">
        <w:trPr>
          <w:trHeight w:val="292"/>
        </w:trPr>
        <w:tc>
          <w:tcPr>
            <w:tcW w:w="1589" w:type="dxa"/>
            <w:vMerge w:val="restart"/>
            <w:tcBorders>
              <w:top w:val="nil"/>
              <w:left w:val="single" w:sz="8" w:space="0" w:color="auto"/>
              <w:bottom w:val="single" w:sz="8" w:space="0" w:color="000000"/>
              <w:right w:val="nil"/>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Nexus</w:t>
            </w:r>
          </w:p>
        </w:tc>
        <w:tc>
          <w:tcPr>
            <w:tcW w:w="1589" w:type="dxa"/>
            <w:tcBorders>
              <w:top w:val="nil"/>
              <w:left w:val="single" w:sz="8" w:space="0" w:color="auto"/>
              <w:bottom w:val="single" w:sz="4" w:space="0" w:color="auto"/>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White</w:t>
            </w:r>
          </w:p>
        </w:tc>
        <w:tc>
          <w:tcPr>
            <w:tcW w:w="1589" w:type="dxa"/>
            <w:tcBorders>
              <w:top w:val="nil"/>
              <w:left w:val="nil"/>
              <w:bottom w:val="single" w:sz="4" w:space="0" w:color="auto"/>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2.3 (0.9)</w:t>
            </w:r>
          </w:p>
        </w:tc>
        <w:tc>
          <w:tcPr>
            <w:tcW w:w="1589" w:type="dxa"/>
            <w:tcBorders>
              <w:top w:val="nil"/>
              <w:left w:val="nil"/>
              <w:bottom w:val="single" w:sz="4" w:space="0" w:color="auto"/>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3.0 (1.7)</w:t>
            </w:r>
          </w:p>
        </w:tc>
        <w:tc>
          <w:tcPr>
            <w:tcW w:w="1589" w:type="dxa"/>
            <w:tcBorders>
              <w:top w:val="nil"/>
              <w:left w:val="nil"/>
              <w:bottom w:val="single" w:sz="4" w:space="0" w:color="auto"/>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2.0 (1.1)</w:t>
            </w:r>
          </w:p>
        </w:tc>
        <w:tc>
          <w:tcPr>
            <w:tcW w:w="1589" w:type="dxa"/>
            <w:tcBorders>
              <w:top w:val="nil"/>
              <w:left w:val="nil"/>
              <w:bottom w:val="single" w:sz="4" w:space="0" w:color="auto"/>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0.7 (0.4)</w:t>
            </w:r>
          </w:p>
        </w:tc>
      </w:tr>
      <w:tr w:rsidR="0045278A" w:rsidRPr="00CD48A7" w:rsidTr="0045278A">
        <w:trPr>
          <w:trHeight w:val="292"/>
        </w:trPr>
        <w:tc>
          <w:tcPr>
            <w:tcW w:w="1589" w:type="dxa"/>
            <w:vMerge/>
            <w:tcBorders>
              <w:top w:val="nil"/>
              <w:left w:val="single" w:sz="8" w:space="0" w:color="auto"/>
              <w:bottom w:val="single" w:sz="8" w:space="0" w:color="000000"/>
              <w:right w:val="nil"/>
            </w:tcBorders>
            <w:vAlign w:val="center"/>
            <w:hideMark/>
          </w:tcPr>
          <w:p w:rsidR="0045278A" w:rsidRPr="00CD48A7" w:rsidRDefault="0045278A" w:rsidP="0045278A">
            <w:pPr>
              <w:rPr>
                <w:rFonts w:eastAsia="Times New Roman"/>
                <w:sz w:val="20"/>
                <w:szCs w:val="20"/>
                <w:lang w:eastAsia="en-GB"/>
              </w:rPr>
            </w:pPr>
          </w:p>
        </w:tc>
        <w:tc>
          <w:tcPr>
            <w:tcW w:w="1589" w:type="dxa"/>
            <w:tcBorders>
              <w:top w:val="nil"/>
              <w:left w:val="single" w:sz="8" w:space="0" w:color="auto"/>
              <w:bottom w:val="single" w:sz="4" w:space="0" w:color="auto"/>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Dark</w:t>
            </w:r>
          </w:p>
        </w:tc>
        <w:tc>
          <w:tcPr>
            <w:tcW w:w="1589" w:type="dxa"/>
            <w:tcBorders>
              <w:top w:val="nil"/>
              <w:left w:val="nil"/>
              <w:bottom w:val="single" w:sz="4" w:space="0" w:color="auto"/>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2.9 (0.9)</w:t>
            </w:r>
          </w:p>
        </w:tc>
        <w:tc>
          <w:tcPr>
            <w:tcW w:w="1589" w:type="dxa"/>
            <w:tcBorders>
              <w:top w:val="nil"/>
              <w:left w:val="nil"/>
              <w:bottom w:val="single" w:sz="4" w:space="0" w:color="auto"/>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3.1 (1.0)</w:t>
            </w:r>
          </w:p>
        </w:tc>
        <w:tc>
          <w:tcPr>
            <w:tcW w:w="1589" w:type="dxa"/>
            <w:tcBorders>
              <w:top w:val="nil"/>
              <w:left w:val="nil"/>
              <w:bottom w:val="single" w:sz="4" w:space="0" w:color="auto"/>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1.5 (0.8)</w:t>
            </w:r>
          </w:p>
        </w:tc>
        <w:tc>
          <w:tcPr>
            <w:tcW w:w="1589" w:type="dxa"/>
            <w:tcBorders>
              <w:top w:val="nil"/>
              <w:left w:val="nil"/>
              <w:bottom w:val="single" w:sz="4" w:space="0" w:color="auto"/>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0.8 (0.5)</w:t>
            </w:r>
          </w:p>
        </w:tc>
      </w:tr>
      <w:tr w:rsidR="0045278A" w:rsidRPr="00CD48A7" w:rsidTr="0045278A">
        <w:trPr>
          <w:trHeight w:val="307"/>
        </w:trPr>
        <w:tc>
          <w:tcPr>
            <w:tcW w:w="1589" w:type="dxa"/>
            <w:vMerge/>
            <w:tcBorders>
              <w:top w:val="nil"/>
              <w:left w:val="single" w:sz="8" w:space="0" w:color="auto"/>
              <w:bottom w:val="single" w:sz="8" w:space="0" w:color="000000"/>
              <w:right w:val="nil"/>
            </w:tcBorders>
            <w:vAlign w:val="center"/>
            <w:hideMark/>
          </w:tcPr>
          <w:p w:rsidR="0045278A" w:rsidRPr="00CD48A7" w:rsidRDefault="0045278A" w:rsidP="0045278A">
            <w:pPr>
              <w:rPr>
                <w:rFonts w:eastAsia="Times New Roman"/>
                <w:sz w:val="20"/>
                <w:szCs w:val="20"/>
                <w:lang w:eastAsia="en-GB"/>
              </w:rPr>
            </w:pPr>
          </w:p>
        </w:tc>
        <w:tc>
          <w:tcPr>
            <w:tcW w:w="1589" w:type="dxa"/>
            <w:tcBorders>
              <w:top w:val="nil"/>
              <w:left w:val="single" w:sz="8" w:space="0" w:color="auto"/>
              <w:bottom w:val="single" w:sz="8" w:space="0" w:color="auto"/>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Neutral</w:t>
            </w:r>
          </w:p>
        </w:tc>
        <w:tc>
          <w:tcPr>
            <w:tcW w:w="1589" w:type="dxa"/>
            <w:tcBorders>
              <w:top w:val="nil"/>
              <w:left w:val="nil"/>
              <w:bottom w:val="single" w:sz="8" w:space="0" w:color="auto"/>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0.8 (0.5)</w:t>
            </w:r>
          </w:p>
        </w:tc>
        <w:tc>
          <w:tcPr>
            <w:tcW w:w="1589" w:type="dxa"/>
            <w:tcBorders>
              <w:top w:val="nil"/>
              <w:left w:val="nil"/>
              <w:bottom w:val="single" w:sz="8" w:space="0" w:color="auto"/>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1.8 (1.4)</w:t>
            </w:r>
          </w:p>
        </w:tc>
        <w:tc>
          <w:tcPr>
            <w:tcW w:w="1589" w:type="dxa"/>
            <w:tcBorders>
              <w:top w:val="nil"/>
              <w:left w:val="nil"/>
              <w:bottom w:val="single" w:sz="8" w:space="0" w:color="auto"/>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1.6 (1.5)</w:t>
            </w:r>
          </w:p>
        </w:tc>
        <w:tc>
          <w:tcPr>
            <w:tcW w:w="1589" w:type="dxa"/>
            <w:tcBorders>
              <w:top w:val="nil"/>
              <w:left w:val="nil"/>
              <w:bottom w:val="single" w:sz="8" w:space="0" w:color="auto"/>
              <w:right w:val="single" w:sz="8" w:space="0" w:color="auto"/>
            </w:tcBorders>
            <w:shd w:val="clear" w:color="auto" w:fill="auto"/>
            <w:noWrap/>
            <w:vAlign w:val="center"/>
            <w:hideMark/>
          </w:tcPr>
          <w:p w:rsidR="0045278A" w:rsidRPr="00CD48A7" w:rsidRDefault="0045278A" w:rsidP="0045278A">
            <w:pPr>
              <w:jc w:val="center"/>
              <w:rPr>
                <w:rFonts w:eastAsia="Times New Roman"/>
                <w:sz w:val="20"/>
                <w:szCs w:val="20"/>
                <w:lang w:eastAsia="en-GB"/>
              </w:rPr>
            </w:pPr>
            <w:r w:rsidRPr="00CD48A7">
              <w:rPr>
                <w:rFonts w:eastAsia="Times New Roman"/>
                <w:sz w:val="20"/>
                <w:szCs w:val="20"/>
                <w:lang w:eastAsia="en-GB"/>
              </w:rPr>
              <w:t>1.0 (0.6)</w:t>
            </w:r>
          </w:p>
        </w:tc>
      </w:tr>
    </w:tbl>
    <w:p w:rsidR="00AF40C4" w:rsidRPr="00CD48A7" w:rsidRDefault="00A63BD5" w:rsidP="00AF40C4">
      <w:pPr>
        <w:spacing w:line="480" w:lineRule="auto"/>
        <w:jc w:val="center"/>
        <w:rPr>
          <w:b/>
        </w:rPr>
      </w:pPr>
      <w:r w:rsidRPr="00A63BD5">
        <w:rPr>
          <w:noProof/>
          <w:lang w:eastAsia="en-GB"/>
        </w:rPr>
        <w:pict>
          <v:shape id="_x0000_s1091" type="#_x0000_t202" style="position:absolute;left:0;text-align:left;margin-left:-1.1pt;margin-top:1.7pt;width:416.2pt;height:36.05pt;z-index:251675648;mso-position-horizontal-relative:text;mso-position-vertical-relative:text" stroked="f">
            <v:textbox style="mso-next-textbox:#_x0000_s1091">
              <w:txbxContent>
                <w:p w:rsidR="002C4A1C" w:rsidRPr="000D6E8D" w:rsidRDefault="002C4A1C" w:rsidP="00AF40C4">
                  <w:pPr>
                    <w:rPr>
                      <w:rFonts w:ascii="Arial" w:hAnsi="Arial" w:cs="Arial"/>
                      <w:sz w:val="20"/>
                      <w:szCs w:val="20"/>
                    </w:rPr>
                  </w:pPr>
                  <w:r w:rsidRPr="000D6E8D">
                    <w:rPr>
                      <w:rFonts w:ascii="Arial" w:hAnsi="Arial" w:cs="Arial"/>
                      <w:sz w:val="20"/>
                      <w:szCs w:val="20"/>
                    </w:rPr>
                    <w:t>Table (</w:t>
                  </w:r>
                  <w:r>
                    <w:rPr>
                      <w:rFonts w:ascii="Arial" w:hAnsi="Arial" w:cs="Arial"/>
                      <w:sz w:val="20"/>
                      <w:szCs w:val="20"/>
                    </w:rPr>
                    <w:t>2</w:t>
                  </w:r>
                  <w:r w:rsidRPr="000D6E8D">
                    <w:rPr>
                      <w:rFonts w:ascii="Arial" w:hAnsi="Arial" w:cs="Arial"/>
                      <w:sz w:val="20"/>
                      <w:szCs w:val="20"/>
                    </w:rPr>
                    <w:t>): Mean ΔE values produced between different separating materials (SD</w:t>
                  </w:r>
                  <w:r>
                    <w:rPr>
                      <w:rFonts w:ascii="Arial" w:hAnsi="Arial" w:cs="Arial"/>
                      <w:sz w:val="20"/>
                      <w:szCs w:val="20"/>
                    </w:rPr>
                    <w:t>).</w:t>
                  </w:r>
                  <w:r w:rsidRPr="00731E23">
                    <w:rPr>
                      <w:rFonts w:ascii="Arial" w:hAnsi="Arial" w:cs="Arial"/>
                      <w:color w:val="FF0000"/>
                      <w:sz w:val="20"/>
                      <w:szCs w:val="20"/>
                    </w:rPr>
                    <w:t xml:space="preserve"> </w:t>
                  </w:r>
                </w:p>
              </w:txbxContent>
            </v:textbox>
          </v:shape>
        </w:pict>
      </w:r>
    </w:p>
    <w:p w:rsidR="00AF40C4" w:rsidRPr="00CD48A7" w:rsidRDefault="00AF40C4" w:rsidP="00AF40C4">
      <w:pPr>
        <w:spacing w:line="480" w:lineRule="auto"/>
        <w:jc w:val="center"/>
        <w:rPr>
          <w:b/>
        </w:rPr>
      </w:pPr>
    </w:p>
    <w:p w:rsidR="00AF40C4" w:rsidRPr="00CD48A7" w:rsidRDefault="00AF40C4" w:rsidP="00AF40C4">
      <w:pPr>
        <w:spacing w:line="480" w:lineRule="auto"/>
      </w:pPr>
    </w:p>
    <w:p w:rsidR="00B33EF1" w:rsidRPr="00CD48A7" w:rsidRDefault="00B33EF1" w:rsidP="00B33EF1">
      <w:pPr>
        <w:spacing w:line="480" w:lineRule="auto"/>
        <w:rPr>
          <w:b/>
          <w:sz w:val="28"/>
          <w:szCs w:val="28"/>
        </w:rPr>
      </w:pPr>
    </w:p>
    <w:p w:rsidR="00B33EF1" w:rsidRPr="00CD48A7" w:rsidRDefault="00B33EF1" w:rsidP="00B33EF1">
      <w:pPr>
        <w:spacing w:line="480" w:lineRule="auto"/>
        <w:rPr>
          <w:b/>
        </w:rPr>
      </w:pPr>
      <w:r w:rsidRPr="00CD48A7">
        <w:rPr>
          <w:b/>
          <w:sz w:val="28"/>
          <w:szCs w:val="28"/>
        </w:rPr>
        <w:t>Legends of tables and Illustrations</w:t>
      </w:r>
    </w:p>
    <w:p w:rsidR="00B33EF1" w:rsidRPr="00CD48A7" w:rsidRDefault="00B33EF1" w:rsidP="00B33EF1">
      <w:pPr>
        <w:spacing w:line="480" w:lineRule="auto"/>
      </w:pPr>
      <w:r w:rsidRPr="00CD48A7">
        <w:t>Figure (1): shows flow diagram of study design</w:t>
      </w:r>
    </w:p>
    <w:p w:rsidR="00B33EF1" w:rsidRPr="00CD48A7" w:rsidRDefault="003C2818" w:rsidP="00B33EF1">
      <w:pPr>
        <w:spacing w:line="480" w:lineRule="auto"/>
      </w:pPr>
      <w:r w:rsidRPr="00CD48A7">
        <w:t>Figure (</w:t>
      </w:r>
      <w:r w:rsidR="00B33EF1" w:rsidRPr="00CD48A7">
        <w:t>2</w:t>
      </w:r>
      <w:r w:rsidRPr="00CD48A7">
        <w:t>)</w:t>
      </w:r>
      <w:r w:rsidR="00731E23" w:rsidRPr="00CD48A7">
        <w:t xml:space="preserve">: </w:t>
      </w:r>
      <w:r w:rsidR="00B33EF1" w:rsidRPr="00CD48A7">
        <w:t>Mould used to make veneers</w:t>
      </w:r>
      <w:r w:rsidR="00731E23" w:rsidRPr="00CD48A7">
        <w:rPr>
          <w:sz w:val="22"/>
          <w:szCs w:val="22"/>
        </w:rPr>
        <w:t xml:space="preserve"> with a porcelain veneer before firing.</w:t>
      </w:r>
    </w:p>
    <w:p w:rsidR="003C2818" w:rsidRPr="00CD48A7" w:rsidRDefault="003C2818" w:rsidP="003C2818">
      <w:pPr>
        <w:spacing w:line="480" w:lineRule="auto"/>
      </w:pPr>
      <w:r w:rsidRPr="00CD48A7">
        <w:t>Table (1): Means and SDs of colour data for tooth surfaces, try-in pastes and resin cements.</w:t>
      </w:r>
    </w:p>
    <w:p w:rsidR="00B33EF1" w:rsidRPr="00CD48A7" w:rsidRDefault="003C2818" w:rsidP="00B33EF1">
      <w:pPr>
        <w:spacing w:line="480" w:lineRule="auto"/>
      </w:pPr>
      <w:r w:rsidRPr="00CD48A7">
        <w:t>Table (2</w:t>
      </w:r>
      <w:r w:rsidR="00B33EF1" w:rsidRPr="00CD48A7">
        <w:t>): Mean ΔE* values produced between different separating material (SD)</w:t>
      </w:r>
    </w:p>
    <w:p w:rsidR="00B33EF1" w:rsidRPr="00CD48A7" w:rsidRDefault="00731E23" w:rsidP="00B33EF1">
      <w:pPr>
        <w:spacing w:line="480" w:lineRule="auto"/>
      </w:pPr>
      <w:r w:rsidRPr="00CD48A7">
        <w:t xml:space="preserve">Figure (3): </w:t>
      </w:r>
      <w:r w:rsidR="00B33EF1" w:rsidRPr="00CD48A7">
        <w:t>Graph showing mean differences between ΔE* values produced between different shades of resin of each manufacturer. (95% Confidence Interval illustrated) (* indicates significance p&lt;0.05)</w:t>
      </w:r>
    </w:p>
    <w:p w:rsidR="00B33EF1" w:rsidRPr="00CD48A7" w:rsidRDefault="00731E23" w:rsidP="00B33EF1">
      <w:pPr>
        <w:spacing w:line="480" w:lineRule="auto"/>
      </w:pPr>
      <w:r w:rsidRPr="00CD48A7">
        <w:t xml:space="preserve">Figure (4): </w:t>
      </w:r>
      <w:r w:rsidR="00B33EF1" w:rsidRPr="00CD48A7">
        <w:t>Graph showing mean differences between ΔE* values produced between different shades of try-in paste of each manufacturer. (95% Confidence Interval illustrated) (* indicates significance p&lt;0.05)</w:t>
      </w:r>
    </w:p>
    <w:p w:rsidR="00B33EF1" w:rsidRPr="00CD48A7" w:rsidRDefault="00731E23" w:rsidP="00B33EF1">
      <w:pPr>
        <w:spacing w:line="480" w:lineRule="auto"/>
      </w:pPr>
      <w:r w:rsidRPr="00CD48A7">
        <w:t xml:space="preserve">Figure (5): </w:t>
      </w:r>
      <w:r w:rsidR="00B33EF1" w:rsidRPr="00CD48A7">
        <w:t>Mean ΔE* between try-in paste and cured resin of the same shade</w:t>
      </w:r>
      <w:r w:rsidR="00B33EF1" w:rsidRPr="00CD48A7">
        <w:br/>
        <w:t xml:space="preserve">            (95% Confidence Interval illustrated)</w:t>
      </w:r>
    </w:p>
    <w:p w:rsidR="00B33EF1" w:rsidRPr="00CD48A7" w:rsidRDefault="00731E23" w:rsidP="00B33EF1">
      <w:pPr>
        <w:spacing w:line="480" w:lineRule="auto"/>
      </w:pPr>
      <w:r w:rsidRPr="00CD48A7">
        <w:t xml:space="preserve">Figure (6): </w:t>
      </w:r>
      <w:r w:rsidR="00B33EF1" w:rsidRPr="00CD48A7">
        <w:t>Mean ΔE* between uncured and cured resin of the same shade</w:t>
      </w:r>
      <w:r w:rsidR="00B33EF1" w:rsidRPr="00CD48A7">
        <w:br/>
        <w:t xml:space="preserve">            (95% Confidence Interval illustrated)</w:t>
      </w:r>
    </w:p>
    <w:p w:rsidR="00B33EF1" w:rsidRPr="00CD48A7" w:rsidRDefault="00B33EF1" w:rsidP="00B33EF1">
      <w:pPr>
        <w:spacing w:line="480" w:lineRule="auto"/>
        <w:jc w:val="center"/>
        <w:rPr>
          <w:b/>
        </w:rPr>
      </w:pPr>
    </w:p>
    <w:p w:rsidR="00B33EF1" w:rsidRPr="00CD48A7" w:rsidRDefault="00B33EF1" w:rsidP="00B33EF1">
      <w:pPr>
        <w:spacing w:line="480" w:lineRule="auto"/>
        <w:jc w:val="center"/>
        <w:rPr>
          <w:b/>
          <w:sz w:val="28"/>
          <w:szCs w:val="28"/>
        </w:rPr>
      </w:pPr>
    </w:p>
    <w:p w:rsidR="00B33EF1" w:rsidRPr="00CD48A7" w:rsidRDefault="00B33EF1" w:rsidP="00B33EF1">
      <w:pPr>
        <w:spacing w:line="480" w:lineRule="auto"/>
        <w:jc w:val="center"/>
        <w:rPr>
          <w:b/>
          <w:sz w:val="28"/>
          <w:szCs w:val="28"/>
        </w:rPr>
      </w:pPr>
    </w:p>
    <w:p w:rsidR="00B33EF1" w:rsidRPr="00CD48A7" w:rsidRDefault="00B33EF1" w:rsidP="00B33EF1">
      <w:pPr>
        <w:spacing w:line="480" w:lineRule="auto"/>
        <w:rPr>
          <w:b/>
        </w:rPr>
      </w:pPr>
    </w:p>
    <w:p w:rsidR="001445C6" w:rsidRPr="00CD48A7" w:rsidRDefault="001445C6"/>
    <w:sectPr w:rsidR="001445C6" w:rsidRPr="00CD48A7" w:rsidSect="00592433">
      <w:footerReference w:type="default" r:id="rId13"/>
      <w:pgSz w:w="11906" w:h="16838"/>
      <w:pgMar w:top="1134" w:right="1418" w:bottom="1134" w:left="141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C76" w:rsidRDefault="00890C76" w:rsidP="002772BD">
      <w:r>
        <w:separator/>
      </w:r>
    </w:p>
  </w:endnote>
  <w:endnote w:type="continuationSeparator" w:id="0">
    <w:p w:rsidR="00890C76" w:rsidRDefault="00890C76" w:rsidP="002772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Condensed">
    <w:altName w:val="Helvetica Condens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A1C" w:rsidRPr="009515E0" w:rsidRDefault="002C4A1C" w:rsidP="00592433">
    <w:pPr>
      <w:pStyle w:val="Footer"/>
      <w:rPr>
        <w:rFonts w:ascii="Calibri" w:hAnsi="Calibri"/>
        <w:color w:val="999999"/>
      </w:rPr>
    </w:pPr>
    <w:r w:rsidRPr="009515E0">
      <w:rPr>
        <w:rFonts w:ascii="Calibri" w:hAnsi="Calibri"/>
        <w:color w:val="999999"/>
      </w:rPr>
      <w:tab/>
      <w:t xml:space="preserve">Page </w:t>
    </w:r>
    <w:r w:rsidR="00A63BD5" w:rsidRPr="009515E0">
      <w:rPr>
        <w:rFonts w:ascii="Calibri" w:hAnsi="Calibri"/>
        <w:color w:val="999999"/>
      </w:rPr>
      <w:fldChar w:fldCharType="begin"/>
    </w:r>
    <w:r w:rsidRPr="009515E0">
      <w:rPr>
        <w:rFonts w:ascii="Calibri" w:hAnsi="Calibri"/>
        <w:color w:val="999999"/>
      </w:rPr>
      <w:instrText xml:space="preserve"> PAGE </w:instrText>
    </w:r>
    <w:r w:rsidR="00A63BD5" w:rsidRPr="009515E0">
      <w:rPr>
        <w:rFonts w:ascii="Calibri" w:hAnsi="Calibri"/>
        <w:color w:val="999999"/>
      </w:rPr>
      <w:fldChar w:fldCharType="separate"/>
    </w:r>
    <w:r w:rsidR="0053776F">
      <w:rPr>
        <w:rFonts w:ascii="Calibri" w:hAnsi="Calibri"/>
        <w:noProof/>
        <w:color w:val="999999"/>
      </w:rPr>
      <w:t>2</w:t>
    </w:r>
    <w:r w:rsidR="00A63BD5" w:rsidRPr="009515E0">
      <w:rPr>
        <w:rFonts w:ascii="Calibri" w:hAnsi="Calibri"/>
        <w:color w:val="999999"/>
      </w:rPr>
      <w:fldChar w:fldCharType="end"/>
    </w:r>
    <w:r>
      <w:rPr>
        <w:rFonts w:ascii="Calibri" w:hAnsi="Calibri"/>
        <w:color w:val="999999"/>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C76" w:rsidRDefault="00890C76" w:rsidP="002772BD">
      <w:r>
        <w:separator/>
      </w:r>
    </w:p>
  </w:footnote>
  <w:footnote w:type="continuationSeparator" w:id="0">
    <w:p w:rsidR="00890C76" w:rsidRDefault="00890C76" w:rsidP="002772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486D"/>
    <w:multiLevelType w:val="multilevel"/>
    <w:tmpl w:val="1D243228"/>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1B6DF8"/>
    <w:multiLevelType w:val="hybridMultilevel"/>
    <w:tmpl w:val="A6F6DE9E"/>
    <w:lvl w:ilvl="0" w:tplc="EDD80E5A">
      <w:start w:val="2"/>
      <w:numFmt w:val="decimal"/>
      <w:lvlText w:val="%1."/>
      <w:lvlJc w:val="left"/>
      <w:pPr>
        <w:tabs>
          <w:tab w:val="num" w:pos="1080"/>
        </w:tabs>
        <w:ind w:left="1080" w:hanging="720"/>
      </w:pPr>
      <w:rPr>
        <w:rFonts w:hint="default"/>
      </w:rPr>
    </w:lvl>
    <w:lvl w:ilvl="1" w:tplc="EF506F02">
      <w:numFmt w:val="none"/>
      <w:lvlText w:val=""/>
      <w:lvlJc w:val="left"/>
      <w:pPr>
        <w:tabs>
          <w:tab w:val="num" w:pos="360"/>
        </w:tabs>
      </w:pPr>
    </w:lvl>
    <w:lvl w:ilvl="2" w:tplc="16D6791C">
      <w:numFmt w:val="none"/>
      <w:lvlText w:val=""/>
      <w:lvlJc w:val="left"/>
      <w:pPr>
        <w:tabs>
          <w:tab w:val="num" w:pos="360"/>
        </w:tabs>
      </w:pPr>
    </w:lvl>
    <w:lvl w:ilvl="3" w:tplc="A6580970">
      <w:numFmt w:val="none"/>
      <w:lvlText w:val=""/>
      <w:lvlJc w:val="left"/>
      <w:pPr>
        <w:tabs>
          <w:tab w:val="num" w:pos="360"/>
        </w:tabs>
      </w:pPr>
    </w:lvl>
    <w:lvl w:ilvl="4" w:tplc="7A1E6BDE">
      <w:numFmt w:val="none"/>
      <w:lvlText w:val=""/>
      <w:lvlJc w:val="left"/>
      <w:pPr>
        <w:tabs>
          <w:tab w:val="num" w:pos="360"/>
        </w:tabs>
      </w:pPr>
    </w:lvl>
    <w:lvl w:ilvl="5" w:tplc="94FE838C">
      <w:numFmt w:val="none"/>
      <w:lvlText w:val=""/>
      <w:lvlJc w:val="left"/>
      <w:pPr>
        <w:tabs>
          <w:tab w:val="num" w:pos="360"/>
        </w:tabs>
      </w:pPr>
    </w:lvl>
    <w:lvl w:ilvl="6" w:tplc="347A7DFC">
      <w:numFmt w:val="none"/>
      <w:lvlText w:val=""/>
      <w:lvlJc w:val="left"/>
      <w:pPr>
        <w:tabs>
          <w:tab w:val="num" w:pos="360"/>
        </w:tabs>
      </w:pPr>
    </w:lvl>
    <w:lvl w:ilvl="7" w:tplc="CF6A96C2">
      <w:numFmt w:val="none"/>
      <w:lvlText w:val=""/>
      <w:lvlJc w:val="left"/>
      <w:pPr>
        <w:tabs>
          <w:tab w:val="num" w:pos="360"/>
        </w:tabs>
      </w:pPr>
    </w:lvl>
    <w:lvl w:ilvl="8" w:tplc="08FAC66A">
      <w:numFmt w:val="none"/>
      <w:lvlText w:val=""/>
      <w:lvlJc w:val="left"/>
      <w:pPr>
        <w:tabs>
          <w:tab w:val="num" w:pos="360"/>
        </w:tabs>
      </w:pPr>
    </w:lvl>
  </w:abstractNum>
  <w:abstractNum w:abstractNumId="2">
    <w:nsid w:val="1E0E4742"/>
    <w:multiLevelType w:val="multilevel"/>
    <w:tmpl w:val="4F2CCEB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A135603"/>
    <w:multiLevelType w:val="multilevel"/>
    <w:tmpl w:val="2F5C553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C807760"/>
    <w:multiLevelType w:val="multilevel"/>
    <w:tmpl w:val="1D24322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8F4216E"/>
    <w:multiLevelType w:val="hybridMultilevel"/>
    <w:tmpl w:val="E21039D0"/>
    <w:lvl w:ilvl="0" w:tplc="8868A6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FE5102"/>
    <w:multiLevelType w:val="multilevel"/>
    <w:tmpl w:val="F34C5628"/>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87A2A81"/>
    <w:multiLevelType w:val="multilevel"/>
    <w:tmpl w:val="1D243228"/>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9FC7DB4"/>
    <w:multiLevelType w:val="hybridMultilevel"/>
    <w:tmpl w:val="4A40FC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CB74CFE"/>
    <w:multiLevelType w:val="multilevel"/>
    <w:tmpl w:val="81AC4BA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DF26F96"/>
    <w:multiLevelType w:val="multilevel"/>
    <w:tmpl w:val="7C0400F2"/>
    <w:lvl w:ilvl="0">
      <w:start w:val="1"/>
      <w:numFmt w:val="decimal"/>
      <w:lvlText w:val="%1."/>
      <w:lvlJc w:val="left"/>
      <w:pPr>
        <w:ind w:left="720" w:hanging="360"/>
      </w:pPr>
      <w:rPr>
        <w:rFonts w:hint="default"/>
      </w:rPr>
    </w:lvl>
    <w:lvl w:ilvl="1">
      <w:start w:val="1"/>
      <w:numFmt w:val="decimal"/>
      <w:isLgl/>
      <w:lvlText w:val="%1.%2."/>
      <w:lvlJc w:val="left"/>
      <w:pPr>
        <w:ind w:left="2010" w:hanging="720"/>
      </w:pPr>
      <w:rPr>
        <w:rFonts w:hint="default"/>
      </w:rPr>
    </w:lvl>
    <w:lvl w:ilvl="2">
      <w:start w:val="1"/>
      <w:numFmt w:val="decimal"/>
      <w:isLgl/>
      <w:lvlText w:val="%1.%2.%3."/>
      <w:lvlJc w:val="left"/>
      <w:pPr>
        <w:ind w:left="2940" w:hanging="720"/>
      </w:pPr>
      <w:rPr>
        <w:rFonts w:hint="default"/>
      </w:rPr>
    </w:lvl>
    <w:lvl w:ilvl="3">
      <w:start w:val="1"/>
      <w:numFmt w:val="decimal"/>
      <w:isLgl/>
      <w:lvlText w:val="%1.%2.%3.%4."/>
      <w:lvlJc w:val="left"/>
      <w:pPr>
        <w:ind w:left="4230" w:hanging="1080"/>
      </w:pPr>
      <w:rPr>
        <w:rFonts w:hint="default"/>
      </w:rPr>
    </w:lvl>
    <w:lvl w:ilvl="4">
      <w:start w:val="1"/>
      <w:numFmt w:val="decimal"/>
      <w:isLgl/>
      <w:lvlText w:val="%1.%2.%3.%4.%5."/>
      <w:lvlJc w:val="left"/>
      <w:pPr>
        <w:ind w:left="5520" w:hanging="1440"/>
      </w:pPr>
      <w:rPr>
        <w:rFonts w:hint="default"/>
      </w:rPr>
    </w:lvl>
    <w:lvl w:ilvl="5">
      <w:start w:val="1"/>
      <w:numFmt w:val="decimal"/>
      <w:isLgl/>
      <w:lvlText w:val="%1.%2.%3.%4.%5.%6."/>
      <w:lvlJc w:val="left"/>
      <w:pPr>
        <w:ind w:left="6450" w:hanging="1440"/>
      </w:pPr>
      <w:rPr>
        <w:rFonts w:hint="default"/>
      </w:rPr>
    </w:lvl>
    <w:lvl w:ilvl="6">
      <w:start w:val="1"/>
      <w:numFmt w:val="decimal"/>
      <w:isLgl/>
      <w:lvlText w:val="%1.%2.%3.%4.%5.%6.%7."/>
      <w:lvlJc w:val="left"/>
      <w:pPr>
        <w:ind w:left="7740" w:hanging="1800"/>
      </w:pPr>
      <w:rPr>
        <w:rFonts w:hint="default"/>
      </w:rPr>
    </w:lvl>
    <w:lvl w:ilvl="7">
      <w:start w:val="1"/>
      <w:numFmt w:val="decimal"/>
      <w:isLgl/>
      <w:lvlText w:val="%1.%2.%3.%4.%5.%6.%7.%8."/>
      <w:lvlJc w:val="left"/>
      <w:pPr>
        <w:ind w:left="9030" w:hanging="2160"/>
      </w:pPr>
      <w:rPr>
        <w:rFonts w:hint="default"/>
      </w:rPr>
    </w:lvl>
    <w:lvl w:ilvl="8">
      <w:start w:val="1"/>
      <w:numFmt w:val="decimal"/>
      <w:isLgl/>
      <w:lvlText w:val="%1.%2.%3.%4.%5.%6.%7.%8.%9."/>
      <w:lvlJc w:val="left"/>
      <w:pPr>
        <w:ind w:left="10320" w:hanging="2520"/>
      </w:pPr>
      <w:rPr>
        <w:rFonts w:hint="default"/>
      </w:rPr>
    </w:lvl>
  </w:abstractNum>
  <w:abstractNum w:abstractNumId="11">
    <w:nsid w:val="4E6672DD"/>
    <w:multiLevelType w:val="hybridMultilevel"/>
    <w:tmpl w:val="A26EDD7E"/>
    <w:lvl w:ilvl="0" w:tplc="2BE41D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746C18"/>
    <w:multiLevelType w:val="multilevel"/>
    <w:tmpl w:val="365CEF3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F293067"/>
    <w:multiLevelType w:val="hybridMultilevel"/>
    <w:tmpl w:val="265E60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3B223D0"/>
    <w:multiLevelType w:val="multilevel"/>
    <w:tmpl w:val="1D24322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8575170"/>
    <w:multiLevelType w:val="multilevel"/>
    <w:tmpl w:val="1D243228"/>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B2D2527"/>
    <w:multiLevelType w:val="multilevel"/>
    <w:tmpl w:val="1D243228"/>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B6627BC"/>
    <w:multiLevelType w:val="multilevel"/>
    <w:tmpl w:val="2F5C553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C131A10"/>
    <w:multiLevelType w:val="hybridMultilevel"/>
    <w:tmpl w:val="05062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640D1F3C"/>
    <w:multiLevelType w:val="multilevel"/>
    <w:tmpl w:val="1D243228"/>
    <w:lvl w:ilvl="0">
      <w:start w:val="3"/>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0">
    <w:nsid w:val="6A9B13F5"/>
    <w:multiLevelType w:val="multilevel"/>
    <w:tmpl w:val="81AC4BA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0041C96"/>
    <w:multiLevelType w:val="multilevel"/>
    <w:tmpl w:val="A91C11C8"/>
    <w:lvl w:ilvl="0">
      <w:start w:val="3"/>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nsid w:val="748314AF"/>
    <w:multiLevelType w:val="multilevel"/>
    <w:tmpl w:val="81AC4BA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C047677"/>
    <w:multiLevelType w:val="hybridMultilevel"/>
    <w:tmpl w:val="9B56D6A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17"/>
  </w:num>
  <w:num w:numId="4">
    <w:abstractNumId w:val="20"/>
  </w:num>
  <w:num w:numId="5">
    <w:abstractNumId w:val="9"/>
  </w:num>
  <w:num w:numId="6">
    <w:abstractNumId w:val="22"/>
  </w:num>
  <w:num w:numId="7">
    <w:abstractNumId w:val="6"/>
  </w:num>
  <w:num w:numId="8">
    <w:abstractNumId w:val="12"/>
  </w:num>
  <w:num w:numId="9">
    <w:abstractNumId w:val="15"/>
  </w:num>
  <w:num w:numId="10">
    <w:abstractNumId w:val="16"/>
  </w:num>
  <w:num w:numId="11">
    <w:abstractNumId w:val="0"/>
  </w:num>
  <w:num w:numId="12">
    <w:abstractNumId w:val="7"/>
  </w:num>
  <w:num w:numId="13">
    <w:abstractNumId w:val="18"/>
  </w:num>
  <w:num w:numId="14">
    <w:abstractNumId w:val="13"/>
  </w:num>
  <w:num w:numId="15">
    <w:abstractNumId w:val="1"/>
  </w:num>
  <w:num w:numId="16">
    <w:abstractNumId w:val="2"/>
  </w:num>
  <w:num w:numId="17">
    <w:abstractNumId w:val="21"/>
  </w:num>
  <w:num w:numId="18">
    <w:abstractNumId w:val="14"/>
  </w:num>
  <w:num w:numId="19">
    <w:abstractNumId w:val="4"/>
  </w:num>
  <w:num w:numId="20">
    <w:abstractNumId w:val="19"/>
  </w:num>
  <w:num w:numId="21">
    <w:abstractNumId w:val="10"/>
  </w:num>
  <w:num w:numId="22">
    <w:abstractNumId w:val="11"/>
  </w:num>
  <w:num w:numId="23">
    <w:abstractNumId w:val="5"/>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33EF1"/>
    <w:rsid w:val="00037DA6"/>
    <w:rsid w:val="000537C4"/>
    <w:rsid w:val="001445C6"/>
    <w:rsid w:val="00182CE8"/>
    <w:rsid w:val="001A058F"/>
    <w:rsid w:val="001A5655"/>
    <w:rsid w:val="002772BD"/>
    <w:rsid w:val="002B2B58"/>
    <w:rsid w:val="002B63B5"/>
    <w:rsid w:val="002C4A1C"/>
    <w:rsid w:val="00312A12"/>
    <w:rsid w:val="003C2818"/>
    <w:rsid w:val="003C73AC"/>
    <w:rsid w:val="004029D0"/>
    <w:rsid w:val="00432FF7"/>
    <w:rsid w:val="0045278A"/>
    <w:rsid w:val="004D1212"/>
    <w:rsid w:val="0053776F"/>
    <w:rsid w:val="00592433"/>
    <w:rsid w:val="005D5B9B"/>
    <w:rsid w:val="0064130F"/>
    <w:rsid w:val="0066393C"/>
    <w:rsid w:val="00710C70"/>
    <w:rsid w:val="00731E23"/>
    <w:rsid w:val="0080796F"/>
    <w:rsid w:val="00830665"/>
    <w:rsid w:val="00867484"/>
    <w:rsid w:val="00875459"/>
    <w:rsid w:val="00890C76"/>
    <w:rsid w:val="009B2262"/>
    <w:rsid w:val="00A36C67"/>
    <w:rsid w:val="00A63BD5"/>
    <w:rsid w:val="00A667F9"/>
    <w:rsid w:val="00A96E89"/>
    <w:rsid w:val="00AE27DB"/>
    <w:rsid w:val="00AF40C4"/>
    <w:rsid w:val="00B33EF1"/>
    <w:rsid w:val="00BC1090"/>
    <w:rsid w:val="00BD2AEA"/>
    <w:rsid w:val="00C3424A"/>
    <w:rsid w:val="00C95012"/>
    <w:rsid w:val="00CD48A7"/>
    <w:rsid w:val="00D252B2"/>
    <w:rsid w:val="00D515D3"/>
    <w:rsid w:val="00D624B3"/>
    <w:rsid w:val="00E12814"/>
    <w:rsid w:val="00E61790"/>
    <w:rsid w:val="00EA52CA"/>
    <w:rsid w:val="00EB3060"/>
    <w:rsid w:val="00EB5ABA"/>
    <w:rsid w:val="00ED3B1C"/>
    <w:rsid w:val="00F07AFE"/>
    <w:rsid w:val="00F23B51"/>
    <w:rsid w:val="00F844D6"/>
    <w:rsid w:val="00FC64EA"/>
    <w:rsid w:val="00FE7A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93"/>
    <o:shapelayout v:ext="edit">
      <o:idmap v:ext="edit" data="1"/>
      <o:rules v:ext="edit">
        <o:r id="V:Rule16" type="connector" idref="#_x0000_s1062">
          <o:proxy start="" idref="#_x0000_s1041" connectloc="2"/>
          <o:proxy end="" idref="#_x0000_s1035" connectloc="3"/>
        </o:r>
        <o:r id="V:Rule17" type="connector" idref="#_x0000_s1053">
          <o:proxy start="" idref="#_x0000_s1032" connectloc="3"/>
          <o:proxy end="" idref="#_x0000_s1038" connectloc="0"/>
        </o:r>
        <o:r id="V:Rule18" type="connector" idref="#_x0000_s1061">
          <o:proxy start="" idref="#_x0000_s1034" connectloc="2"/>
          <o:proxy end="" idref="#_x0000_s1035" connectloc="1"/>
        </o:r>
        <o:r id="V:Rule19" type="connector" idref="#_x0000_s1058">
          <o:proxy start="" idref="#_x0000_s1036" connectloc="1"/>
          <o:proxy end="" idref="#_x0000_s1039" connectloc="0"/>
        </o:r>
        <o:r id="V:Rule20" type="connector" idref="#_x0000_s1063">
          <o:proxy start="" idref="#_x0000_s1037" connectloc="2"/>
        </o:r>
        <o:r id="V:Rule21" type="connector" idref="#_x0000_s1051">
          <o:proxy start="" idref="#_x0000_s1030" connectloc="2"/>
          <o:proxy end="" idref="#_x0000_s1036" connectloc="0"/>
        </o:r>
        <o:r id="V:Rule22" type="connector" idref="#_x0000_s1050">
          <o:proxy start="" idref="#_x0000_s1030" connectloc="2"/>
          <o:proxy end="" idref="#_x0000_s1032" connectloc="0"/>
        </o:r>
        <o:r id="V:Rule23" type="connector" idref="#_x0000_s1048">
          <o:proxy start="" idref="#_x0000_s1029" connectloc="2"/>
          <o:proxy end="" idref="#_x0000_s1030" connectloc="1"/>
        </o:r>
        <o:r id="V:Rule24" type="connector" idref="#_x0000_s1057">
          <o:proxy start="" idref="#_x0000_s1033" connectloc="3"/>
          <o:proxy end="" idref="#_x0000_s1044" connectloc="0"/>
        </o:r>
        <o:r id="V:Rule25" type="connector" idref="#_x0000_s1056">
          <o:proxy start="" idref="#_x0000_s1033" connectloc="1"/>
          <o:proxy end="" idref="#_x0000_s1042" connectloc="0"/>
        </o:r>
        <o:r id="V:Rule26" type="connector" idref="#_x0000_s1059">
          <o:proxy start="" idref="#_x0000_s1036" connectloc="3"/>
          <o:proxy end="" idref="#_x0000_s1041" connectloc="0"/>
        </o:r>
        <o:r id="V:Rule27" type="connector" idref="#_x0000_s1052">
          <o:proxy start="" idref="#_x0000_s1032" connectloc="1"/>
          <o:proxy end="" idref="#_x0000_s1034" connectloc="0"/>
        </o:r>
        <o:r id="V:Rule28" type="connector" idref="#_x0000_s1070">
          <o:proxy start="" idref="#_x0000_s1046" connectloc="1"/>
          <o:proxy end="" idref="#_x0000_s1035" connectloc="1"/>
        </o:r>
        <o:r id="V:Rule29" type="connector" idref="#_x0000_s1077">
          <o:proxy start="" idref="#_x0000_s1030" connectloc="2"/>
          <o:proxy end="" idref="#_x0000_s1033" connectloc="0"/>
        </o:r>
        <o:r id="V:Rule30" type="connector" idref="#_x0000_s1049">
          <o:proxy start="" idref="#_x0000_s1031" connectloc="2"/>
          <o:proxy end="" idref="#_x0000_s1030"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EF1"/>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3EF1"/>
    <w:pPr>
      <w:tabs>
        <w:tab w:val="center" w:pos="4153"/>
        <w:tab w:val="right" w:pos="8306"/>
      </w:tabs>
    </w:pPr>
  </w:style>
  <w:style w:type="character" w:customStyle="1" w:styleId="HeaderChar">
    <w:name w:val="Header Char"/>
    <w:basedOn w:val="DefaultParagraphFont"/>
    <w:link w:val="Header"/>
    <w:rsid w:val="00B33EF1"/>
    <w:rPr>
      <w:rFonts w:ascii="Times New Roman" w:eastAsia="SimSun" w:hAnsi="Times New Roman" w:cs="Times New Roman"/>
      <w:sz w:val="24"/>
      <w:szCs w:val="24"/>
      <w:lang w:eastAsia="zh-CN"/>
    </w:rPr>
  </w:style>
  <w:style w:type="paragraph" w:styleId="Footer">
    <w:name w:val="footer"/>
    <w:basedOn w:val="Normal"/>
    <w:link w:val="FooterChar"/>
    <w:rsid w:val="00B33EF1"/>
    <w:pPr>
      <w:tabs>
        <w:tab w:val="center" w:pos="4153"/>
        <w:tab w:val="right" w:pos="8306"/>
      </w:tabs>
    </w:pPr>
  </w:style>
  <w:style w:type="character" w:customStyle="1" w:styleId="FooterChar">
    <w:name w:val="Footer Char"/>
    <w:basedOn w:val="DefaultParagraphFont"/>
    <w:link w:val="Footer"/>
    <w:rsid w:val="00B33EF1"/>
    <w:rPr>
      <w:rFonts w:ascii="Times New Roman" w:eastAsia="SimSun" w:hAnsi="Times New Roman" w:cs="Times New Roman"/>
      <w:sz w:val="24"/>
      <w:szCs w:val="24"/>
      <w:lang w:eastAsia="zh-CN"/>
    </w:rPr>
  </w:style>
  <w:style w:type="paragraph" w:customStyle="1" w:styleId="Pa12">
    <w:name w:val="Pa12"/>
    <w:basedOn w:val="Normal"/>
    <w:next w:val="Normal"/>
    <w:rsid w:val="00B33EF1"/>
    <w:pPr>
      <w:autoSpaceDE w:val="0"/>
      <w:autoSpaceDN w:val="0"/>
      <w:adjustRightInd w:val="0"/>
      <w:spacing w:line="161" w:lineRule="atLeast"/>
    </w:pPr>
    <w:rPr>
      <w:rFonts w:ascii="Helvetica Condensed" w:hAnsi="Helvetica Condensed"/>
    </w:rPr>
  </w:style>
  <w:style w:type="character" w:customStyle="1" w:styleId="A13">
    <w:name w:val="A13"/>
    <w:rsid w:val="00B33EF1"/>
    <w:rPr>
      <w:rFonts w:cs="Helvetica Condensed"/>
      <w:color w:val="000000"/>
    </w:rPr>
  </w:style>
  <w:style w:type="character" w:styleId="PageNumber">
    <w:name w:val="page number"/>
    <w:basedOn w:val="DefaultParagraphFont"/>
    <w:rsid w:val="00B33EF1"/>
  </w:style>
  <w:style w:type="character" w:styleId="Hyperlink">
    <w:name w:val="Hyperlink"/>
    <w:basedOn w:val="DefaultParagraphFont"/>
    <w:rsid w:val="00B33EF1"/>
    <w:rPr>
      <w:color w:val="0000FF"/>
      <w:u w:val="single"/>
    </w:rPr>
  </w:style>
  <w:style w:type="paragraph" w:styleId="NormalWeb">
    <w:name w:val="Normal (Web)"/>
    <w:basedOn w:val="Normal"/>
    <w:uiPriority w:val="99"/>
    <w:rsid w:val="00B33EF1"/>
    <w:pPr>
      <w:spacing w:before="100" w:beforeAutospacing="1" w:after="100" w:afterAutospacing="1"/>
    </w:pPr>
    <w:rPr>
      <w:color w:val="000000"/>
    </w:rPr>
  </w:style>
  <w:style w:type="paragraph" w:styleId="BalloonText">
    <w:name w:val="Balloon Text"/>
    <w:basedOn w:val="Normal"/>
    <w:link w:val="BalloonTextChar"/>
    <w:uiPriority w:val="99"/>
    <w:semiHidden/>
    <w:unhideWhenUsed/>
    <w:rsid w:val="00B33EF1"/>
    <w:rPr>
      <w:rFonts w:ascii="Tahoma" w:hAnsi="Tahoma" w:cs="Tahoma"/>
      <w:sz w:val="16"/>
      <w:szCs w:val="16"/>
    </w:rPr>
  </w:style>
  <w:style w:type="character" w:customStyle="1" w:styleId="BalloonTextChar">
    <w:name w:val="Balloon Text Char"/>
    <w:basedOn w:val="DefaultParagraphFont"/>
    <w:link w:val="BalloonText"/>
    <w:uiPriority w:val="99"/>
    <w:semiHidden/>
    <w:rsid w:val="00B33EF1"/>
    <w:rPr>
      <w:rFonts w:ascii="Tahoma" w:eastAsia="SimSun" w:hAnsi="Tahoma" w:cs="Tahoma"/>
      <w:sz w:val="16"/>
      <w:szCs w:val="16"/>
      <w:lang w:eastAsia="zh-CN"/>
    </w:rPr>
  </w:style>
  <w:style w:type="paragraph" w:customStyle="1" w:styleId="western">
    <w:name w:val="western"/>
    <w:basedOn w:val="Normal"/>
    <w:uiPriority w:val="99"/>
    <w:rsid w:val="00B33EF1"/>
    <w:rPr>
      <w:rFonts w:eastAsia="Times New Roman"/>
      <w:lang w:eastAsia="en-GB"/>
    </w:rPr>
  </w:style>
  <w:style w:type="paragraph" w:styleId="ListParagraph">
    <w:name w:val="List Paragraph"/>
    <w:basedOn w:val="Normal"/>
    <w:uiPriority w:val="34"/>
    <w:qFormat/>
    <w:rsid w:val="00B33EF1"/>
    <w:pPr>
      <w:ind w:left="720"/>
      <w:contextualSpacing/>
    </w:pPr>
  </w:style>
</w:styles>
</file>

<file path=word/webSettings.xml><?xml version="1.0" encoding="utf-8"?>
<w:webSettings xmlns:r="http://schemas.openxmlformats.org/officeDocument/2006/relationships" xmlns:w="http://schemas.openxmlformats.org/wordprocessingml/2006/main">
  <w:divs>
    <w:div w:id="136074905">
      <w:bodyDiv w:val="1"/>
      <w:marLeft w:val="0"/>
      <w:marRight w:val="0"/>
      <w:marTop w:val="0"/>
      <w:marBottom w:val="0"/>
      <w:divBdr>
        <w:top w:val="none" w:sz="0" w:space="0" w:color="auto"/>
        <w:left w:val="none" w:sz="0" w:space="0" w:color="auto"/>
        <w:bottom w:val="none" w:sz="0" w:space="0" w:color="auto"/>
        <w:right w:val="none" w:sz="0" w:space="0" w:color="auto"/>
      </w:divBdr>
    </w:div>
    <w:div w:id="814763555">
      <w:bodyDiv w:val="1"/>
      <w:marLeft w:val="0"/>
      <w:marRight w:val="0"/>
      <w:marTop w:val="0"/>
      <w:marBottom w:val="0"/>
      <w:divBdr>
        <w:top w:val="none" w:sz="0" w:space="0" w:color="auto"/>
        <w:left w:val="none" w:sz="0" w:space="0" w:color="auto"/>
        <w:bottom w:val="none" w:sz="0" w:space="0" w:color="auto"/>
        <w:right w:val="none" w:sz="0" w:space="0" w:color="auto"/>
      </w:divBdr>
    </w:div>
    <w:div w:id="2066441135">
      <w:bodyDiv w:val="1"/>
      <w:marLeft w:val="0"/>
      <w:marRight w:val="0"/>
      <w:marTop w:val="0"/>
      <w:marBottom w:val="0"/>
      <w:divBdr>
        <w:top w:val="none" w:sz="0" w:space="0" w:color="auto"/>
        <w:left w:val="none" w:sz="0" w:space="0" w:color="auto"/>
        <w:bottom w:val="none" w:sz="0" w:space="0" w:color="auto"/>
        <w:right w:val="none" w:sz="0" w:space="0" w:color="auto"/>
      </w:divBdr>
    </w:div>
    <w:div w:id="209154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nabiel\My%20Documents\first%20resin%20cement%20&amp;veneer%20study\first%20veneer%20Colour%20data%20-%20stats.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nabiel\My%20Documents\first%20resin%20cement%20&amp;veneer%20study\first%20veneer%20Colour%20data%20-%20stats.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Documents%20and%20Settings\nabiel\My%20Documents\first%20resin%20cement%20&amp;veneer%20study\first%20veneer%20Colour%20data%20-%20stats.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Documents%20and%20Settings\nabiel\My%20Documents\first%20resin%20cement%20&amp;veneer%20study\first%20veneer%20Colour%20data%20-%20stat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sz="1200"/>
              <a:t>Mean difference in colour between different shades of resin cement for each manufacturer</a:t>
            </a:r>
          </a:p>
        </c:rich>
      </c:tx>
      <c:layout>
        <c:manualLayout>
          <c:xMode val="edge"/>
          <c:yMode val="edge"/>
          <c:x val="0.10828257484763708"/>
          <c:y val="3.3062767980448722E-2"/>
        </c:manualLayout>
      </c:layout>
    </c:title>
    <c:plotArea>
      <c:layout>
        <c:manualLayout>
          <c:layoutTarget val="inner"/>
          <c:xMode val="edge"/>
          <c:yMode val="edge"/>
          <c:x val="7.4492165242165523E-2"/>
          <c:y val="0.20237044749571592"/>
          <c:w val="0.78900645046488793"/>
          <c:h val="0.73600890797741192"/>
        </c:manualLayout>
      </c:layout>
      <c:barChart>
        <c:barDir val="col"/>
        <c:grouping val="clustered"/>
        <c:ser>
          <c:idx val="0"/>
          <c:order val="0"/>
          <c:tx>
            <c:strRef>
              <c:f>'stats 3'!$D$2</c:f>
              <c:strCache>
                <c:ptCount val="1"/>
                <c:pt idx="0">
                  <c:v>Mean difference</c:v>
                </c:pt>
              </c:strCache>
            </c:strRef>
          </c:tx>
          <c:errBars>
            <c:errBarType val="both"/>
            <c:errValType val="cust"/>
            <c:plus>
              <c:numRef>
                <c:f>'stats 3'!$J$3:$J$11</c:f>
                <c:numCache>
                  <c:formatCode>General</c:formatCode>
                  <c:ptCount val="9"/>
                  <c:pt idx="0">
                    <c:v>1.1100000000000001</c:v>
                  </c:pt>
                  <c:pt idx="1">
                    <c:v>1.1099999999999828</c:v>
                  </c:pt>
                  <c:pt idx="2">
                    <c:v>1.1099999999999828</c:v>
                  </c:pt>
                  <c:pt idx="3">
                    <c:v>0.95000000000000062</c:v>
                  </c:pt>
                  <c:pt idx="4">
                    <c:v>0.95000000000000062</c:v>
                  </c:pt>
                  <c:pt idx="5">
                    <c:v>0.94000000000000061</c:v>
                  </c:pt>
                  <c:pt idx="6">
                    <c:v>1.2200000000000002</c:v>
                  </c:pt>
                  <c:pt idx="7">
                    <c:v>1.21</c:v>
                  </c:pt>
                  <c:pt idx="8">
                    <c:v>1.22</c:v>
                  </c:pt>
                </c:numCache>
              </c:numRef>
            </c:plus>
            <c:minus>
              <c:numRef>
                <c:f>'stats 3'!$J$3:$J$11</c:f>
                <c:numCache>
                  <c:formatCode>General</c:formatCode>
                  <c:ptCount val="9"/>
                  <c:pt idx="0">
                    <c:v>1.1100000000000001</c:v>
                  </c:pt>
                  <c:pt idx="1">
                    <c:v>1.1099999999999828</c:v>
                  </c:pt>
                  <c:pt idx="2">
                    <c:v>1.1099999999999828</c:v>
                  </c:pt>
                  <c:pt idx="3">
                    <c:v>0.95000000000000062</c:v>
                  </c:pt>
                  <c:pt idx="4">
                    <c:v>0.95000000000000062</c:v>
                  </c:pt>
                  <c:pt idx="5">
                    <c:v>0.94000000000000061</c:v>
                  </c:pt>
                  <c:pt idx="6">
                    <c:v>1.2200000000000002</c:v>
                  </c:pt>
                  <c:pt idx="7">
                    <c:v>1.21</c:v>
                  </c:pt>
                  <c:pt idx="8">
                    <c:v>1.22</c:v>
                  </c:pt>
                </c:numCache>
              </c:numRef>
            </c:minus>
          </c:errBars>
          <c:cat>
            <c:multiLvlStrRef>
              <c:f>'stats 3'!$B$3:$C$11</c:f>
              <c:multiLvlStrCache>
                <c:ptCount val="9"/>
                <c:lvl>
                  <c:pt idx="0">
                    <c:v>White  Dark</c:v>
                  </c:pt>
                  <c:pt idx="1">
                    <c:v>White  Neutral</c:v>
                  </c:pt>
                  <c:pt idx="2">
                    <c:v>Dark  Neutral</c:v>
                  </c:pt>
                  <c:pt idx="3">
                    <c:v>White  Dark</c:v>
                  </c:pt>
                  <c:pt idx="4">
                    <c:v>White  Neutral</c:v>
                  </c:pt>
                  <c:pt idx="5">
                    <c:v>Dark  Neutral</c:v>
                  </c:pt>
                  <c:pt idx="6">
                    <c:v>White  Dark</c:v>
                  </c:pt>
                  <c:pt idx="7">
                    <c:v>White   Neutarl</c:v>
                  </c:pt>
                  <c:pt idx="8">
                    <c:v>Dark   Neutral</c:v>
                  </c:pt>
                </c:lvl>
                <c:lvl>
                  <c:pt idx="0">
                    <c:v>Rely-X</c:v>
                  </c:pt>
                  <c:pt idx="3">
                    <c:v>Calibra</c:v>
                  </c:pt>
                  <c:pt idx="6">
                    <c:v>Nexus 3</c:v>
                  </c:pt>
                </c:lvl>
              </c:multiLvlStrCache>
            </c:multiLvlStrRef>
          </c:cat>
          <c:val>
            <c:numRef>
              <c:f>'stats 3'!$D$3:$D$11</c:f>
              <c:numCache>
                <c:formatCode>General</c:formatCode>
                <c:ptCount val="9"/>
                <c:pt idx="0">
                  <c:v>0.23</c:v>
                </c:pt>
                <c:pt idx="1">
                  <c:v>0.29000000000000031</c:v>
                </c:pt>
                <c:pt idx="2">
                  <c:v>0.51</c:v>
                </c:pt>
                <c:pt idx="3">
                  <c:v>2.13</c:v>
                </c:pt>
                <c:pt idx="4">
                  <c:v>3.0000000000000002E-2</c:v>
                </c:pt>
                <c:pt idx="5">
                  <c:v>2.15</c:v>
                </c:pt>
                <c:pt idx="6">
                  <c:v>0.11</c:v>
                </c:pt>
                <c:pt idx="7">
                  <c:v>1.1900000000000142</c:v>
                </c:pt>
                <c:pt idx="8">
                  <c:v>1.3</c:v>
                </c:pt>
              </c:numCache>
            </c:numRef>
          </c:val>
        </c:ser>
        <c:axId val="22364544"/>
        <c:axId val="22366080"/>
      </c:barChart>
      <c:catAx>
        <c:axId val="22364544"/>
        <c:scaling>
          <c:orientation val="minMax"/>
        </c:scaling>
        <c:axPos val="b"/>
        <c:numFmt formatCode="General" sourceLinked="1"/>
        <c:tickLblPos val="nextTo"/>
        <c:crossAx val="22366080"/>
        <c:crosses val="autoZero"/>
        <c:auto val="1"/>
        <c:lblAlgn val="ctr"/>
        <c:lblOffset val="100"/>
      </c:catAx>
      <c:valAx>
        <c:axId val="22366080"/>
        <c:scaling>
          <c:orientation val="minMax"/>
        </c:scaling>
        <c:axPos val="l"/>
        <c:numFmt formatCode="General" sourceLinked="1"/>
        <c:tickLblPos val="nextTo"/>
        <c:crossAx val="22364544"/>
        <c:crosses val="autoZero"/>
        <c:crossBetween val="between"/>
      </c:valAx>
    </c:plotArea>
    <c:legend>
      <c:legendPos val="r"/>
      <c:layout>
        <c:manualLayout>
          <c:xMode val="edge"/>
          <c:yMode val="edge"/>
          <c:x val="0.86124175055369312"/>
          <c:y val="0.4722410938302134"/>
          <c:w val="0.12518980967786497"/>
          <c:h val="0.11789737026673319"/>
        </c:manualLayout>
      </c:layout>
    </c:legend>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sz="1200"/>
              <a:t>Mean difference in colour between different shades of try-in paste for each manufacturer</a:t>
            </a:r>
          </a:p>
        </c:rich>
      </c:tx>
      <c:layout>
        <c:manualLayout>
          <c:xMode val="edge"/>
          <c:yMode val="edge"/>
          <c:x val="0.11890386583033051"/>
          <c:y val="2.9389673398263236E-2"/>
        </c:manualLayout>
      </c:layout>
    </c:title>
    <c:plotArea>
      <c:layout>
        <c:manualLayout>
          <c:layoutTarget val="inner"/>
          <c:xMode val="edge"/>
          <c:yMode val="edge"/>
          <c:x val="7.4492165242165523E-2"/>
          <c:y val="0.18768327512780111"/>
          <c:w val="0.77543662974331551"/>
          <c:h val="0.68186604773576021"/>
        </c:manualLayout>
      </c:layout>
      <c:barChart>
        <c:barDir val="col"/>
        <c:grouping val="clustered"/>
        <c:ser>
          <c:idx val="0"/>
          <c:order val="0"/>
          <c:tx>
            <c:strRef>
              <c:f>'stats 3'!$D$16</c:f>
              <c:strCache>
                <c:ptCount val="1"/>
                <c:pt idx="0">
                  <c:v>Mean difference</c:v>
                </c:pt>
              </c:strCache>
            </c:strRef>
          </c:tx>
          <c:errBars>
            <c:errBarType val="both"/>
            <c:errValType val="cust"/>
            <c:plus>
              <c:numRef>
                <c:f>'stats 3'!$J$17:$J$25</c:f>
                <c:numCache>
                  <c:formatCode>General</c:formatCode>
                  <c:ptCount val="9"/>
                  <c:pt idx="0">
                    <c:v>0.98</c:v>
                  </c:pt>
                  <c:pt idx="1">
                    <c:v>0.98000000000000009</c:v>
                  </c:pt>
                  <c:pt idx="2">
                    <c:v>0.98</c:v>
                  </c:pt>
                  <c:pt idx="3">
                    <c:v>0.86000000000000065</c:v>
                  </c:pt>
                  <c:pt idx="4">
                    <c:v>0.86000000000000065</c:v>
                  </c:pt>
                  <c:pt idx="5">
                    <c:v>0.86000000000000065</c:v>
                  </c:pt>
                  <c:pt idx="6">
                    <c:v>0.69000000000000061</c:v>
                  </c:pt>
                  <c:pt idx="7">
                    <c:v>0.69000000000000061</c:v>
                  </c:pt>
                  <c:pt idx="8">
                    <c:v>0.69000000000000061</c:v>
                  </c:pt>
                </c:numCache>
              </c:numRef>
            </c:plus>
            <c:minus>
              <c:numRef>
                <c:f>'stats 3'!$J$17:$J$25</c:f>
                <c:numCache>
                  <c:formatCode>General</c:formatCode>
                  <c:ptCount val="9"/>
                  <c:pt idx="0">
                    <c:v>0.98</c:v>
                  </c:pt>
                  <c:pt idx="1">
                    <c:v>0.98000000000000009</c:v>
                  </c:pt>
                  <c:pt idx="2">
                    <c:v>0.98</c:v>
                  </c:pt>
                  <c:pt idx="3">
                    <c:v>0.86000000000000065</c:v>
                  </c:pt>
                  <c:pt idx="4">
                    <c:v>0.86000000000000065</c:v>
                  </c:pt>
                  <c:pt idx="5">
                    <c:v>0.86000000000000065</c:v>
                  </c:pt>
                  <c:pt idx="6">
                    <c:v>0.69000000000000061</c:v>
                  </c:pt>
                  <c:pt idx="7">
                    <c:v>0.69000000000000061</c:v>
                  </c:pt>
                  <c:pt idx="8">
                    <c:v>0.69000000000000061</c:v>
                  </c:pt>
                </c:numCache>
              </c:numRef>
            </c:minus>
          </c:errBars>
          <c:cat>
            <c:multiLvlStrRef>
              <c:f>'stats 3'!$B$17:$C$25</c:f>
              <c:multiLvlStrCache>
                <c:ptCount val="9"/>
                <c:lvl>
                  <c:pt idx="0">
                    <c:v>White  Dark</c:v>
                  </c:pt>
                  <c:pt idx="1">
                    <c:v>White  Neutral</c:v>
                  </c:pt>
                  <c:pt idx="2">
                    <c:v>Dark  Neutral</c:v>
                  </c:pt>
                  <c:pt idx="3">
                    <c:v>White  Dark</c:v>
                  </c:pt>
                  <c:pt idx="4">
                    <c:v>White  Neutral</c:v>
                  </c:pt>
                  <c:pt idx="5">
                    <c:v>Dark  Neutral</c:v>
                  </c:pt>
                  <c:pt idx="6">
                    <c:v>White Dark</c:v>
                  </c:pt>
                  <c:pt idx="7">
                    <c:v>White Neutarl</c:v>
                  </c:pt>
                  <c:pt idx="8">
                    <c:v>Dark Neutral</c:v>
                  </c:pt>
                </c:lvl>
                <c:lvl>
                  <c:pt idx="0">
                    <c:v>Rely-X</c:v>
                  </c:pt>
                  <c:pt idx="3">
                    <c:v>Calibra</c:v>
                  </c:pt>
                  <c:pt idx="6">
                    <c:v>Nexus 3</c:v>
                  </c:pt>
                </c:lvl>
              </c:multiLvlStrCache>
            </c:multiLvlStrRef>
          </c:cat>
          <c:val>
            <c:numRef>
              <c:f>'stats 3'!$D$17:$D$25</c:f>
              <c:numCache>
                <c:formatCode>General</c:formatCode>
                <c:ptCount val="9"/>
                <c:pt idx="0">
                  <c:v>0.69000000000000061</c:v>
                </c:pt>
                <c:pt idx="1">
                  <c:v>1.57</c:v>
                </c:pt>
                <c:pt idx="2">
                  <c:v>0.88</c:v>
                </c:pt>
                <c:pt idx="3">
                  <c:v>0.69000000000000061</c:v>
                </c:pt>
                <c:pt idx="4">
                  <c:v>0.18000000000000024</c:v>
                </c:pt>
                <c:pt idx="5">
                  <c:v>0.51</c:v>
                </c:pt>
                <c:pt idx="6">
                  <c:v>0.58000000000000007</c:v>
                </c:pt>
                <c:pt idx="7">
                  <c:v>1.51</c:v>
                </c:pt>
                <c:pt idx="8">
                  <c:v>2.09</c:v>
                </c:pt>
              </c:numCache>
            </c:numRef>
          </c:val>
        </c:ser>
        <c:axId val="22404480"/>
        <c:axId val="66856064"/>
      </c:barChart>
      <c:catAx>
        <c:axId val="22404480"/>
        <c:scaling>
          <c:orientation val="minMax"/>
        </c:scaling>
        <c:axPos val="b"/>
        <c:numFmt formatCode="General" sourceLinked="1"/>
        <c:tickLblPos val="nextTo"/>
        <c:crossAx val="66856064"/>
        <c:crosses val="autoZero"/>
        <c:auto val="1"/>
        <c:lblAlgn val="ctr"/>
        <c:lblOffset val="100"/>
      </c:catAx>
      <c:valAx>
        <c:axId val="66856064"/>
        <c:scaling>
          <c:orientation val="minMax"/>
        </c:scaling>
        <c:axPos val="l"/>
        <c:numFmt formatCode="General" sourceLinked="1"/>
        <c:tickLblPos val="nextTo"/>
        <c:crossAx val="22404480"/>
        <c:crosses val="autoZero"/>
        <c:crossBetween val="between"/>
      </c:valAx>
    </c:plotArea>
    <c:legend>
      <c:legendPos val="r"/>
      <c:layout>
        <c:manualLayout>
          <c:xMode val="edge"/>
          <c:yMode val="edge"/>
          <c:x val="0.85898034392560019"/>
          <c:y val="0.45386723353795688"/>
          <c:w val="0.12745121630594136"/>
          <c:h val="0.13627123055899268"/>
        </c:manualLayout>
      </c:layout>
    </c:legend>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sz="1400"/>
              <a:t>Colour difference between try-in paste and cured resin cement</a:t>
            </a:r>
          </a:p>
        </c:rich>
      </c:tx>
    </c:title>
    <c:plotArea>
      <c:layout/>
      <c:barChart>
        <c:barDir val="col"/>
        <c:grouping val="clustered"/>
        <c:ser>
          <c:idx val="0"/>
          <c:order val="0"/>
          <c:tx>
            <c:strRef>
              <c:f>stats!$S$16</c:f>
              <c:strCache>
                <c:ptCount val="1"/>
                <c:pt idx="0">
                  <c:v>Mean ∆E</c:v>
                </c:pt>
              </c:strCache>
            </c:strRef>
          </c:tx>
          <c:errBars>
            <c:errBarType val="both"/>
            <c:errValType val="cust"/>
            <c:plus>
              <c:numRef>
                <c:f>stats!$X$17:$X$25</c:f>
                <c:numCache>
                  <c:formatCode>General</c:formatCode>
                  <c:ptCount val="9"/>
                  <c:pt idx="0">
                    <c:v>0.53680000000000061</c:v>
                  </c:pt>
                  <c:pt idx="1">
                    <c:v>0.56650000000000023</c:v>
                  </c:pt>
                  <c:pt idx="2">
                    <c:v>0.49530000000000451</c:v>
                  </c:pt>
                  <c:pt idx="3">
                    <c:v>0.39910000000000423</c:v>
                  </c:pt>
                  <c:pt idx="4">
                    <c:v>0.97160000000000801</c:v>
                  </c:pt>
                  <c:pt idx="5">
                    <c:v>0.28450000000000031</c:v>
                  </c:pt>
                  <c:pt idx="6">
                    <c:v>0.6117000000000079</c:v>
                  </c:pt>
                  <c:pt idx="7">
                    <c:v>0.41770000000000002</c:v>
                  </c:pt>
                  <c:pt idx="8">
                    <c:v>0.84610000000000063</c:v>
                  </c:pt>
                </c:numCache>
              </c:numRef>
            </c:plus>
            <c:minus>
              <c:numRef>
                <c:f>stats!$X$17:$X$25</c:f>
                <c:numCache>
                  <c:formatCode>General</c:formatCode>
                  <c:ptCount val="9"/>
                  <c:pt idx="0">
                    <c:v>0.53680000000000061</c:v>
                  </c:pt>
                  <c:pt idx="1">
                    <c:v>0.56650000000000023</c:v>
                  </c:pt>
                  <c:pt idx="2">
                    <c:v>0.49530000000000451</c:v>
                  </c:pt>
                  <c:pt idx="3">
                    <c:v>0.39910000000000423</c:v>
                  </c:pt>
                  <c:pt idx="4">
                    <c:v>0.97160000000000801</c:v>
                  </c:pt>
                  <c:pt idx="5">
                    <c:v>0.28450000000000031</c:v>
                  </c:pt>
                  <c:pt idx="6">
                    <c:v>0.6117000000000079</c:v>
                  </c:pt>
                  <c:pt idx="7">
                    <c:v>0.41770000000000002</c:v>
                  </c:pt>
                  <c:pt idx="8">
                    <c:v>0.84610000000000063</c:v>
                  </c:pt>
                </c:numCache>
              </c:numRef>
            </c:minus>
          </c:errBars>
          <c:cat>
            <c:multiLvlStrRef>
              <c:f>stats!$Q$17:$R$25</c:f>
              <c:multiLvlStrCache>
                <c:ptCount val="9"/>
                <c:lvl>
                  <c:pt idx="0">
                    <c:v>White </c:v>
                  </c:pt>
                  <c:pt idx="1">
                    <c:v>Dark</c:v>
                  </c:pt>
                  <c:pt idx="2">
                    <c:v>Neutral</c:v>
                  </c:pt>
                  <c:pt idx="3">
                    <c:v>White </c:v>
                  </c:pt>
                  <c:pt idx="4">
                    <c:v>Dark</c:v>
                  </c:pt>
                  <c:pt idx="5">
                    <c:v>Neutral</c:v>
                  </c:pt>
                  <c:pt idx="6">
                    <c:v>White </c:v>
                  </c:pt>
                  <c:pt idx="7">
                    <c:v>Dark</c:v>
                  </c:pt>
                  <c:pt idx="8">
                    <c:v>Neutral</c:v>
                  </c:pt>
                </c:lvl>
                <c:lvl>
                  <c:pt idx="0">
                    <c:v>Rely-X</c:v>
                  </c:pt>
                  <c:pt idx="3">
                    <c:v>Calibra</c:v>
                  </c:pt>
                  <c:pt idx="6">
                    <c:v>Nexus 3</c:v>
                  </c:pt>
                </c:lvl>
              </c:multiLvlStrCache>
            </c:multiLvlStrRef>
          </c:cat>
          <c:val>
            <c:numRef>
              <c:f>stats!$S$17:$S$25</c:f>
              <c:numCache>
                <c:formatCode>0.00</c:formatCode>
                <c:ptCount val="9"/>
                <c:pt idx="0">
                  <c:v>1.86</c:v>
                </c:pt>
                <c:pt idx="1">
                  <c:v>2.2267000000000001</c:v>
                </c:pt>
                <c:pt idx="2">
                  <c:v>1.0467</c:v>
                </c:pt>
                <c:pt idx="3">
                  <c:v>2.4333</c:v>
                </c:pt>
                <c:pt idx="4">
                  <c:v>3.34</c:v>
                </c:pt>
                <c:pt idx="5">
                  <c:v>1.26</c:v>
                </c:pt>
                <c:pt idx="6">
                  <c:v>2</c:v>
                </c:pt>
                <c:pt idx="7">
                  <c:v>1.48</c:v>
                </c:pt>
                <c:pt idx="8">
                  <c:v>1.58</c:v>
                </c:pt>
              </c:numCache>
            </c:numRef>
          </c:val>
        </c:ser>
        <c:axId val="66878080"/>
        <c:axId val="66896256"/>
      </c:barChart>
      <c:catAx>
        <c:axId val="66878080"/>
        <c:scaling>
          <c:orientation val="minMax"/>
        </c:scaling>
        <c:axPos val="b"/>
        <c:numFmt formatCode="General" sourceLinked="1"/>
        <c:tickLblPos val="nextTo"/>
        <c:crossAx val="66896256"/>
        <c:crosses val="autoZero"/>
        <c:auto val="1"/>
        <c:lblAlgn val="ctr"/>
        <c:lblOffset val="100"/>
      </c:catAx>
      <c:valAx>
        <c:axId val="66896256"/>
        <c:scaling>
          <c:orientation val="minMax"/>
        </c:scaling>
        <c:axPos val="l"/>
        <c:numFmt formatCode="0.00" sourceLinked="1"/>
        <c:tickLblPos val="nextTo"/>
        <c:crossAx val="66878080"/>
        <c:crosses val="autoZero"/>
        <c:crossBetween val="between"/>
      </c:valAx>
    </c:plotArea>
    <c:legend>
      <c:legendPos val="r"/>
    </c:legend>
    <c:plotVisOnly val="1"/>
    <c:dispBlanksAs val="gap"/>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sz="1400"/>
              <a:t>Colour difference between uncured and cured resin cement</a:t>
            </a:r>
          </a:p>
        </c:rich>
      </c:tx>
    </c:title>
    <c:plotArea>
      <c:layout>
        <c:manualLayout>
          <c:layoutTarget val="inner"/>
          <c:xMode val="edge"/>
          <c:yMode val="edge"/>
          <c:x val="8.5957621082621227E-2"/>
          <c:y val="0.13667390046296296"/>
          <c:w val="0.76627261396012336"/>
          <c:h val="0.53101070601851863"/>
        </c:manualLayout>
      </c:layout>
      <c:barChart>
        <c:barDir val="col"/>
        <c:grouping val="clustered"/>
        <c:ser>
          <c:idx val="0"/>
          <c:order val="0"/>
          <c:tx>
            <c:strRef>
              <c:f>stats!$S$2</c:f>
              <c:strCache>
                <c:ptCount val="1"/>
                <c:pt idx="0">
                  <c:v>Mean ∆E</c:v>
                </c:pt>
              </c:strCache>
            </c:strRef>
          </c:tx>
          <c:errBars>
            <c:errBarType val="both"/>
            <c:errValType val="cust"/>
            <c:plus>
              <c:numRef>
                <c:f>stats!$X$3:$X$11</c:f>
                <c:numCache>
                  <c:formatCode>General</c:formatCode>
                  <c:ptCount val="9"/>
                  <c:pt idx="0">
                    <c:v>0.18060000000000001</c:v>
                  </c:pt>
                  <c:pt idx="1">
                    <c:v>0.15070000000000044</c:v>
                  </c:pt>
                  <c:pt idx="2">
                    <c:v>0.2298</c:v>
                  </c:pt>
                  <c:pt idx="3">
                    <c:v>0.331100000000004</c:v>
                  </c:pt>
                  <c:pt idx="4">
                    <c:v>0.28910000000000002</c:v>
                  </c:pt>
                  <c:pt idx="5">
                    <c:v>0.19320000000000004</c:v>
                  </c:pt>
                  <c:pt idx="6">
                    <c:v>0.31500000000000355</c:v>
                  </c:pt>
                  <c:pt idx="7">
                    <c:v>0.23230000000000001</c:v>
                  </c:pt>
                  <c:pt idx="8">
                    <c:v>0.26900000000000002</c:v>
                  </c:pt>
                </c:numCache>
              </c:numRef>
            </c:plus>
            <c:minus>
              <c:numRef>
                <c:f>stats!$X$3:$X$11</c:f>
                <c:numCache>
                  <c:formatCode>General</c:formatCode>
                  <c:ptCount val="9"/>
                  <c:pt idx="0">
                    <c:v>0.18060000000000001</c:v>
                  </c:pt>
                  <c:pt idx="1">
                    <c:v>0.15070000000000044</c:v>
                  </c:pt>
                  <c:pt idx="2">
                    <c:v>0.2298</c:v>
                  </c:pt>
                  <c:pt idx="3">
                    <c:v>0.331100000000004</c:v>
                  </c:pt>
                  <c:pt idx="4">
                    <c:v>0.28910000000000002</c:v>
                  </c:pt>
                  <c:pt idx="5">
                    <c:v>0.19320000000000004</c:v>
                  </c:pt>
                  <c:pt idx="6">
                    <c:v>0.31500000000000355</c:v>
                  </c:pt>
                  <c:pt idx="7">
                    <c:v>0.23230000000000001</c:v>
                  </c:pt>
                  <c:pt idx="8">
                    <c:v>0.26900000000000002</c:v>
                  </c:pt>
                </c:numCache>
              </c:numRef>
            </c:minus>
          </c:errBars>
          <c:cat>
            <c:multiLvlStrRef>
              <c:f>stats!$Q$3:$R$11</c:f>
              <c:multiLvlStrCache>
                <c:ptCount val="9"/>
                <c:lvl>
                  <c:pt idx="0">
                    <c:v>White </c:v>
                  </c:pt>
                  <c:pt idx="1">
                    <c:v>Dark</c:v>
                  </c:pt>
                  <c:pt idx="2">
                    <c:v>Neutral</c:v>
                  </c:pt>
                  <c:pt idx="3">
                    <c:v>White </c:v>
                  </c:pt>
                  <c:pt idx="4">
                    <c:v>Dark</c:v>
                  </c:pt>
                  <c:pt idx="5">
                    <c:v>Neutral</c:v>
                  </c:pt>
                  <c:pt idx="6">
                    <c:v>White </c:v>
                  </c:pt>
                  <c:pt idx="7">
                    <c:v>Dark</c:v>
                  </c:pt>
                  <c:pt idx="8">
                    <c:v>Neutral</c:v>
                  </c:pt>
                </c:lvl>
                <c:lvl>
                  <c:pt idx="0">
                    <c:v>Rely-X</c:v>
                  </c:pt>
                  <c:pt idx="3">
                    <c:v>Calibra</c:v>
                  </c:pt>
                  <c:pt idx="6">
                    <c:v>Nexus 3</c:v>
                  </c:pt>
                </c:lvl>
              </c:multiLvlStrCache>
            </c:multiLvlStrRef>
          </c:cat>
          <c:val>
            <c:numRef>
              <c:f>stats!$S$3:$S$11</c:f>
              <c:numCache>
                <c:formatCode>0.00</c:formatCode>
                <c:ptCount val="9"/>
                <c:pt idx="0">
                  <c:v>1.1133</c:v>
                </c:pt>
                <c:pt idx="1">
                  <c:v>1.4066999999999819</c:v>
                </c:pt>
                <c:pt idx="2">
                  <c:v>0.99329999999999996</c:v>
                </c:pt>
                <c:pt idx="3">
                  <c:v>1.3132999999999841</c:v>
                </c:pt>
                <c:pt idx="4">
                  <c:v>0.78</c:v>
                </c:pt>
                <c:pt idx="5">
                  <c:v>1.08</c:v>
                </c:pt>
                <c:pt idx="6">
                  <c:v>0.72000000000000064</c:v>
                </c:pt>
                <c:pt idx="7">
                  <c:v>0.82000000000000062</c:v>
                </c:pt>
                <c:pt idx="8">
                  <c:v>1.0066999999999857</c:v>
                </c:pt>
              </c:numCache>
            </c:numRef>
          </c:val>
        </c:ser>
        <c:axId val="67047424"/>
        <c:axId val="67048960"/>
      </c:barChart>
      <c:catAx>
        <c:axId val="67047424"/>
        <c:scaling>
          <c:orientation val="minMax"/>
        </c:scaling>
        <c:axPos val="b"/>
        <c:numFmt formatCode="General" sourceLinked="1"/>
        <c:tickLblPos val="nextTo"/>
        <c:crossAx val="67048960"/>
        <c:crosses val="autoZero"/>
        <c:auto val="1"/>
        <c:lblAlgn val="ctr"/>
        <c:lblOffset val="100"/>
      </c:catAx>
      <c:valAx>
        <c:axId val="67048960"/>
        <c:scaling>
          <c:orientation val="minMax"/>
          <c:max val="4"/>
        </c:scaling>
        <c:axPos val="l"/>
        <c:numFmt formatCode="0.00" sourceLinked="1"/>
        <c:tickLblPos val="nextTo"/>
        <c:crossAx val="67047424"/>
        <c:crosses val="autoZero"/>
        <c:crossBetween val="between"/>
      </c:valAx>
    </c:plotArea>
    <c:legend>
      <c:legendPos val="r"/>
    </c:legend>
    <c:plotVisOnly val="1"/>
    <c:dispBlanksAs val="gap"/>
  </c:chart>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0.80847</cdr:x>
      <cdr:y>0.66116</cdr:y>
    </cdr:from>
    <cdr:to>
      <cdr:x>0.83728</cdr:x>
      <cdr:y>0.69421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543425" y="2286000"/>
          <a:ext cx="161905" cy="114286"/>
        </a:xfrm>
        <a:prstGeom xmlns:a="http://schemas.openxmlformats.org/drawingml/2006/main" prst="rect">
          <a:avLst/>
        </a:prstGeom>
      </cdr:spPr>
    </cdr:pic>
  </cdr:relSizeAnchor>
  <cdr:relSizeAnchor xmlns:cdr="http://schemas.openxmlformats.org/drawingml/2006/chartDrawing">
    <cdr:from>
      <cdr:x>0.3661</cdr:x>
      <cdr:y>0.66116</cdr:y>
    </cdr:from>
    <cdr:to>
      <cdr:x>0.39491</cdr:x>
      <cdr:y>0.69421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057400" y="2286000"/>
          <a:ext cx="161905" cy="114286"/>
        </a:xfrm>
        <a:prstGeom xmlns:a="http://schemas.openxmlformats.org/drawingml/2006/main" prst="rect">
          <a:avLst/>
        </a:prstGeom>
      </cdr:spPr>
    </cdr:pic>
  </cdr:relSizeAnchor>
  <cdr:relSizeAnchor xmlns:cdr="http://schemas.openxmlformats.org/drawingml/2006/chartDrawing">
    <cdr:from>
      <cdr:x>0.54407</cdr:x>
      <cdr:y>0.66116</cdr:y>
    </cdr:from>
    <cdr:to>
      <cdr:x>0.56751</cdr:x>
      <cdr:y>0.68738</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057525" y="2286000"/>
          <a:ext cx="131720" cy="90663"/>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0.19322</cdr:x>
      <cdr:y>0.63912</cdr:y>
    </cdr:from>
    <cdr:to>
      <cdr:x>0.22203</cdr:x>
      <cdr:y>0.67217</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085850" y="2209800"/>
          <a:ext cx="161905" cy="114286"/>
        </a:xfrm>
        <a:prstGeom xmlns:a="http://schemas.openxmlformats.org/drawingml/2006/main" prst="rect">
          <a:avLst/>
        </a:prstGeom>
      </cdr:spPr>
    </cdr:pic>
  </cdr:relSizeAnchor>
  <cdr:relSizeAnchor xmlns:cdr="http://schemas.openxmlformats.org/drawingml/2006/chartDrawing">
    <cdr:from>
      <cdr:x>0.70339</cdr:x>
      <cdr:y>0.64187</cdr:y>
    </cdr:from>
    <cdr:to>
      <cdr:x>0.7322</cdr:x>
      <cdr:y>0.67493</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952875" y="2219325"/>
          <a:ext cx="161905" cy="114286"/>
        </a:xfrm>
        <a:prstGeom xmlns:a="http://schemas.openxmlformats.org/drawingml/2006/main" prst="rect">
          <a:avLst/>
        </a:prstGeom>
      </cdr:spPr>
    </cdr:pic>
  </cdr:relSizeAnchor>
  <cdr:relSizeAnchor xmlns:cdr="http://schemas.openxmlformats.org/drawingml/2006/chartDrawing">
    <cdr:from>
      <cdr:x>0.79322</cdr:x>
      <cdr:y>0.64187</cdr:y>
    </cdr:from>
    <cdr:to>
      <cdr:x>0.82203</cdr:x>
      <cdr:y>0.67493</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457700" y="2219325"/>
          <a:ext cx="161905" cy="114286"/>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0.08311</cdr:x>
      <cdr:y>0.68069</cdr:y>
    </cdr:from>
    <cdr:to>
      <cdr:x>0.83785</cdr:x>
      <cdr:y>0.68345</cdr:y>
    </cdr:to>
    <cdr:sp macro="" textlink="">
      <cdr:nvSpPr>
        <cdr:cNvPr id="3" name="Straight Connector 2"/>
        <cdr:cNvSpPr/>
      </cdr:nvSpPr>
      <cdr:spPr>
        <a:xfrm xmlns:a="http://schemas.openxmlformats.org/drawingml/2006/main" flipV="1">
          <a:off x="467057" y="2353550"/>
          <a:ext cx="4241451" cy="9543"/>
        </a:xfrm>
        <a:prstGeom xmlns:a="http://schemas.openxmlformats.org/drawingml/2006/main" prst="line">
          <a:avLst/>
        </a:prstGeom>
        <a:ln xmlns:a="http://schemas.openxmlformats.org/drawingml/2006/main">
          <a:solidFill>
            <a:srgbClr val="00B050"/>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GB"/>
        </a:p>
      </cdr:txBody>
    </cdr:sp>
  </cdr:relSizeAnchor>
</c:userShapes>
</file>

<file path=word/drawings/drawing4.xml><?xml version="1.0" encoding="utf-8"?>
<c:userShapes xmlns:c="http://schemas.openxmlformats.org/drawingml/2006/chart">
  <cdr:relSizeAnchor xmlns:cdr="http://schemas.openxmlformats.org/drawingml/2006/chartDrawing">
    <cdr:from>
      <cdr:x>0.08311</cdr:x>
      <cdr:y>0.53046</cdr:y>
    </cdr:from>
    <cdr:to>
      <cdr:x>0.85164</cdr:x>
      <cdr:y>0.53322</cdr:y>
    </cdr:to>
    <cdr:sp macro="" textlink="">
      <cdr:nvSpPr>
        <cdr:cNvPr id="3" name="Straight Connector 2"/>
        <cdr:cNvSpPr/>
      </cdr:nvSpPr>
      <cdr:spPr>
        <a:xfrm xmlns:a="http://schemas.openxmlformats.org/drawingml/2006/main" flipV="1">
          <a:off x="466724" y="1838325"/>
          <a:ext cx="4324350" cy="9525"/>
        </a:xfrm>
        <a:prstGeom xmlns:a="http://schemas.openxmlformats.org/drawingml/2006/main" prst="line">
          <a:avLst/>
        </a:prstGeom>
        <a:ln xmlns:a="http://schemas.openxmlformats.org/drawingml/2006/main">
          <a:solidFill>
            <a:srgbClr val="00B050"/>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GB"/>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8BB3D-17A2-483D-8420-9B08CAF3D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6024</Words>
  <Characters>34338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nabiel</dc:creator>
  <cp:keywords/>
  <dc:description/>
  <cp:lastModifiedBy>Ms Brenda Smith</cp:lastModifiedBy>
  <cp:revision>2</cp:revision>
  <dcterms:created xsi:type="dcterms:W3CDTF">2010-09-20T09:58:00Z</dcterms:created>
  <dcterms:modified xsi:type="dcterms:W3CDTF">2010-09-20T09:58:00Z</dcterms:modified>
</cp:coreProperties>
</file>