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79D" w:rsidRPr="00412BD0" w:rsidRDefault="00753AD4" w:rsidP="00412BD0">
      <w:pPr>
        <w:pStyle w:val="Title"/>
        <w:jc w:val="both"/>
        <w:outlineLvl w:val="0"/>
        <w:rPr>
          <w:lang w:val="en-US"/>
        </w:rPr>
      </w:pPr>
      <w:r w:rsidRPr="00412BD0">
        <w:rPr>
          <w:lang w:val="en-US"/>
        </w:rPr>
        <w:t>Chapter 6: The Impact of Investment Treaty Law on Host State Behavior: Some Doctrinal, Empirical and Interdisciplinary Insights</w:t>
      </w:r>
    </w:p>
    <w:p w:rsidR="00753AD4" w:rsidRPr="00412BD0" w:rsidRDefault="00753AD4" w:rsidP="00412BD0">
      <w:pPr>
        <w:pStyle w:val="Heading6"/>
        <w:rPr>
          <w:lang w:val="en-US"/>
        </w:rPr>
      </w:pPr>
      <w:bookmarkStart w:id="0" w:name="_Toc388003499"/>
      <w:proofErr w:type="spellStart"/>
      <w:r w:rsidRPr="00412BD0">
        <w:rPr>
          <w:lang w:val="en-US"/>
        </w:rPr>
        <w:t>Mavluda</w:t>
      </w:r>
      <w:proofErr w:type="spellEnd"/>
      <w:r w:rsidRPr="00412BD0">
        <w:rPr>
          <w:lang w:val="en-US"/>
        </w:rPr>
        <w:t xml:space="preserve"> </w:t>
      </w:r>
      <w:proofErr w:type="spellStart"/>
      <w:r w:rsidRPr="00412BD0">
        <w:rPr>
          <w:lang w:val="en-US"/>
        </w:rPr>
        <w:t>Sattorova</w:t>
      </w:r>
      <w:proofErr w:type="spellEnd"/>
      <w:r w:rsidRPr="00412BD0">
        <w:rPr>
          <w:lang w:val="en-US" w:eastAsia="it-IT"/>
        </w:rPr>
        <w:t>*</w:t>
      </w:r>
      <w:bookmarkEnd w:id="0"/>
    </w:p>
    <w:p w:rsidR="00753AD4" w:rsidRPr="00412BD0" w:rsidRDefault="00753AD4" w:rsidP="00412BD0">
      <w:pPr>
        <w:pStyle w:val="Heading2"/>
        <w:rPr>
          <w:lang w:val="en-US"/>
        </w:rPr>
      </w:pPr>
      <w:r w:rsidRPr="00412BD0">
        <w:rPr>
          <w:lang w:val="en-US"/>
        </w:rPr>
        <w:t>Introduction</w:t>
      </w:r>
    </w:p>
    <w:p w:rsidR="00753AD4" w:rsidRPr="00412BD0" w:rsidRDefault="00753AD4" w:rsidP="00412BD0">
      <w:pPr>
        <w:jc w:val="both"/>
        <w:rPr>
          <w:rFonts w:cs="Times New Roman"/>
          <w:lang w:val="en-US"/>
        </w:rPr>
      </w:pPr>
      <w:r w:rsidRPr="00412BD0">
        <w:rPr>
          <w:rFonts w:cs="Times New Roman"/>
          <w:lang w:val="en-US"/>
        </w:rPr>
        <w:t>This chapter is intended as a mapping exercise to introduce a project which examines the effectiveness of international investment law, with particular focus on the role of international investment treaties in fostering good governance and rule of law on a national plane. The aim of th</w:t>
      </w:r>
      <w:bookmarkStart w:id="1" w:name="_GoBack"/>
      <w:bookmarkEnd w:id="1"/>
      <w:r w:rsidRPr="00412BD0">
        <w:rPr>
          <w:rFonts w:cs="Times New Roman"/>
          <w:lang w:val="en-US"/>
        </w:rPr>
        <w:t>e project is to analyze if investment treaty rules and remedies can have a transformative effect on the behavior of governmental agencies and officials in host States. Originally conceived with a view to protecting foreign undertakings from opportunistic governmental behavior, international investment treaties have gradually come to be interpreted as also requiring host States to maintain good governance standards in their dealings with foreign investors. Lack of transparency</w:t>
      </w:r>
      <w:r w:rsidR="0014779D" w:rsidRPr="00412BD0">
        <w:rPr>
          <w:rFonts w:cs="Times New Roman"/>
          <w:lang w:val="en-US"/>
        </w:rPr>
        <w:fldChar w:fldCharType="begin"/>
      </w:r>
      <w:r w:rsidRPr="00412BD0">
        <w:rPr>
          <w:lang w:val="en-GB"/>
        </w:rPr>
        <w:instrText xml:space="preserve"> XE "</w:instrText>
      </w:r>
      <w:r w:rsidRPr="00412BD0">
        <w:rPr>
          <w:lang w:val="en-US"/>
        </w:rPr>
        <w:instrText>transparency</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stability, predictability as well as the lack of effective remedies and enforcement mechanisms at a national level can now lead to a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’s liability in damages. The scope of investment treaty protection—and the extent of host State exposure to international arbitral review and monetary liability—has dramatically expanded, enabling investors </w:t>
      </w:r>
      <w:proofErr w:type="gramStart"/>
      <w:r w:rsidRPr="00412BD0">
        <w:rPr>
          <w:rFonts w:cs="Times New Roman"/>
          <w:lang w:val="en-US"/>
        </w:rPr>
        <w:t>to</w:t>
      </w:r>
      <w:proofErr w:type="gramEnd"/>
      <w:r w:rsidRPr="00412BD0">
        <w:rPr>
          <w:rFonts w:cs="Times New Roman"/>
          <w:lang w:val="en-US"/>
        </w:rPr>
        <w:t xml:space="preserve"> challenge a diverse range of national measures in an infinite variety of socio-economic settings. One of the emerging justifications for this expansion of international investment law is that the global network of treaties and its arbitration mechanism can act as (</w:t>
      </w:r>
      <w:proofErr w:type="spellStart"/>
      <w:r w:rsidRPr="00412BD0">
        <w:rPr>
          <w:rFonts w:cs="Times New Roman"/>
          <w:lang w:val="en-US"/>
        </w:rPr>
        <w:t>i</w:t>
      </w:r>
      <w:proofErr w:type="spellEnd"/>
      <w:r w:rsidRPr="00412BD0">
        <w:rPr>
          <w:rFonts w:cs="Times New Roman"/>
          <w:lang w:val="en-US"/>
        </w:rPr>
        <w:t>) a catalyst of regulatory reform in host States or (ii) a substitute of otherwise lacking and ineffective governmental institutions in host States.</w:t>
      </w:r>
    </w:p>
    <w:p w:rsidR="00753AD4" w:rsidRPr="00412BD0" w:rsidRDefault="00753AD4" w:rsidP="00412BD0">
      <w:pPr>
        <w:jc w:val="both"/>
        <w:rPr>
          <w:rFonts w:cs="Times New Roman"/>
          <w:lang w:val="en-US"/>
        </w:rPr>
      </w:pPr>
      <w:r w:rsidRPr="00412BD0">
        <w:rPr>
          <w:rFonts w:cs="Times New Roman"/>
          <w:lang w:val="en-US"/>
        </w:rPr>
        <w:t xml:space="preserve">The project will test these claims and examine the role of international investment law in promoting the rule of law and good governance at a national level. Can investment treaty remedies induce governments into compliance with the rule of law and good governance standards? To what extent and how do investment treaty norms influence government decision-making in host states? How do host States respond to investment treaty remedies? To answer these questions, the project will undertake a critical analysis of evolving objectives and scope of international investment law. This will be followed by socio-legal and interdisciplinary analysis of the impact, both </w:t>
      </w:r>
      <w:r w:rsidRPr="00412BD0">
        <w:rPr>
          <w:rFonts w:cs="Times New Roman"/>
          <w:i/>
          <w:lang w:val="en-US"/>
        </w:rPr>
        <w:t>ex ante</w:t>
      </w:r>
      <w:r w:rsidRPr="00412BD0">
        <w:rPr>
          <w:rFonts w:cs="Times New Roman"/>
          <w:lang w:val="en-US"/>
        </w:rPr>
        <w:t xml:space="preserve"> and </w:t>
      </w:r>
      <w:r w:rsidRPr="00412BD0">
        <w:rPr>
          <w:rFonts w:cs="Times New Roman"/>
          <w:i/>
          <w:lang w:val="en-US"/>
        </w:rPr>
        <w:t>ex post</w:t>
      </w:r>
      <w:r w:rsidRPr="00412BD0">
        <w:rPr>
          <w:rFonts w:cs="Times New Roman"/>
          <w:lang w:val="en-US"/>
        </w:rPr>
        <w:t>, of international investment law on governmental conduct. The capacity of the investment treaty regime to foster the rule of law and good governance reforms in host States will also be examined from a comparative perspective, with focus on the rule of law and regulatory compliance initiatives undertaken by the World Bank</w:t>
      </w:r>
      <w:r w:rsidR="0014779D" w:rsidRPr="00412BD0">
        <w:rPr>
          <w:rFonts w:cs="Times New Roman"/>
          <w:lang w:val="en-US"/>
        </w:rPr>
        <w:fldChar w:fldCharType="begin"/>
      </w:r>
      <w:r w:rsidRPr="00412BD0">
        <w:rPr>
          <w:lang w:val="en-GB"/>
        </w:rPr>
        <w:instrText xml:space="preserve"> XE "</w:instrText>
      </w:r>
      <w:r w:rsidRPr="00412BD0">
        <w:rPr>
          <w:lang w:val="en-US"/>
        </w:rPr>
        <w:instrText>World Bank</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IMF, and the European Union</w:t>
      </w:r>
      <w:r w:rsidR="0014779D" w:rsidRPr="00412BD0">
        <w:rPr>
          <w:rFonts w:cs="Times New Roman"/>
          <w:lang w:val="en-US"/>
        </w:rPr>
        <w:fldChar w:fldCharType="begin"/>
      </w:r>
      <w:r w:rsidRPr="00412BD0">
        <w:rPr>
          <w:lang w:val="en-GB"/>
        </w:rPr>
        <w:instrText xml:space="preserve"> XE "</w:instrText>
      </w:r>
      <w:r w:rsidRPr="00412BD0">
        <w:rPr>
          <w:rFonts w:cs="Times New Roman"/>
          <w:lang w:val="en-US"/>
        </w:rPr>
        <w:instrText>European Union</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The overarching aim of the project is to offer an exposition of the evolving international investment law, examine the function of its remedial mechanism, and to engage with the hitherto underexplored questions of effectiveness and compliance in the investment treaty context. The aim of this chapter is to introduce some of the key research questions of the project and outline some of the principal strands of the argument. In particular, the chapter will focus on the genesis of the good governance arguments in investment treaty law and scholarship, as well as setting the stage for a socio-legal, interdisciplinary and comparative inquiry into the investment treaty regime’s power to bring about change in domestic legal and bureaucratic culture. </w:t>
      </w:r>
    </w:p>
    <w:p w:rsidR="00753AD4" w:rsidRPr="00412BD0" w:rsidRDefault="00753AD4" w:rsidP="00412BD0">
      <w:pPr>
        <w:pStyle w:val="Heading2"/>
        <w:rPr>
          <w:lang w:val="en-US"/>
        </w:rPr>
      </w:pPr>
      <w:r w:rsidRPr="00412BD0">
        <w:rPr>
          <w:lang w:val="en-US"/>
        </w:rPr>
        <w:t>Genesis of the Good Governance Rationale in International Investment Law and Scholarship</w:t>
      </w:r>
    </w:p>
    <w:p w:rsidR="00753AD4" w:rsidRPr="00412BD0" w:rsidRDefault="00753AD4" w:rsidP="00412BD0">
      <w:pPr>
        <w:jc w:val="both"/>
        <w:rPr>
          <w:rFonts w:cs="Times New Roman"/>
          <w:lang w:val="en-US"/>
        </w:rPr>
      </w:pPr>
      <w:r w:rsidRPr="00412BD0">
        <w:rPr>
          <w:rFonts w:cs="Times New Roman"/>
          <w:lang w:val="en-US"/>
        </w:rPr>
        <w:t xml:space="preserve">Historically, references to good governance, the rule of law and transformation of legal and bureaucratic culture in host States were sporadic and made predominantly in the context of justifications for the foreign investors’ right to claim monetary damages directly against host States. Since its inception in early international investment treaties, the private right to damages has been </w:t>
      </w:r>
      <w:r w:rsidRPr="00412BD0">
        <w:rPr>
          <w:rFonts w:cs="Times New Roman"/>
          <w:lang w:val="en-US"/>
        </w:rPr>
        <w:lastRenderedPageBreak/>
        <w:t>justified by reference to broader objectives of the international investment regime.</w:t>
      </w:r>
      <w:r w:rsidRPr="00412BD0">
        <w:rPr>
          <w:rStyle w:val="FootnoteReference"/>
          <w:lang w:val="en-US"/>
        </w:rPr>
        <w:footnoteReference w:id="1"/>
      </w:r>
      <w:r w:rsidRPr="00412BD0">
        <w:rPr>
          <w:rFonts w:cs="Times New Roman"/>
          <w:lang w:val="en-US"/>
        </w:rPr>
        <w:t xml:space="preserve"> Such objectives included the need to lower risks associated with investing in a foreign country and thus to reduce the cost of capital for host States. This, in turn, would increase the flow of inward investment and accelerate host States’ economic development. In order to achieve such risk reduction, host States would need to commit themselves not to engage in proscribed conduct, such as arbitrary and discriminatory action, uncompensated takings and breaches due process</w:t>
      </w:r>
      <w:r w:rsidR="0014779D" w:rsidRPr="00412BD0">
        <w:rPr>
          <w:rFonts w:cs="Times New Roman"/>
          <w:lang w:val="en-US"/>
        </w:rPr>
        <w:fldChar w:fldCharType="begin"/>
      </w:r>
      <w:r w:rsidRPr="00412BD0">
        <w:rPr>
          <w:lang w:val="en-GB"/>
        </w:rPr>
        <w:instrText xml:space="preserve"> XE "</w:instrText>
      </w:r>
      <w:r w:rsidRPr="00412BD0">
        <w:rPr>
          <w:lang w:val="en-US"/>
        </w:rPr>
        <w:instrText>due process</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This promise would be enforced by conferring upon the investor the right to claim monetary redress against the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The remedy of damages was thus regarded as “a relatively inexpensive commitment device”</w:t>
      </w:r>
      <w:r w:rsidRPr="00412BD0">
        <w:rPr>
          <w:rStyle w:val="FootnoteReference"/>
          <w:lang w:val="en-US"/>
        </w:rPr>
        <w:footnoteReference w:id="2"/>
      </w:r>
      <w:r w:rsidRPr="00412BD0">
        <w:rPr>
          <w:rFonts w:cs="Times New Roman"/>
          <w:lang w:val="en-US"/>
        </w:rPr>
        <w:t xml:space="preserve"> which would act as a means of attracting foreign investment</w:t>
      </w:r>
      <w:r w:rsidR="0014779D" w:rsidRPr="00412BD0">
        <w:rPr>
          <w:rFonts w:cs="Times New Roman"/>
          <w:lang w:val="en-US"/>
        </w:rPr>
        <w:fldChar w:fldCharType="begin"/>
      </w:r>
      <w:r w:rsidRPr="00412BD0">
        <w:rPr>
          <w:lang w:val="en-GB"/>
        </w:rPr>
        <w:instrText xml:space="preserve"> XE "</w:instrText>
      </w:r>
      <w:r w:rsidRPr="00412BD0">
        <w:rPr>
          <w:rFonts w:cs="Times New Roman"/>
          <w:lang w:val="en-US"/>
        </w:rPr>
        <w:instrText>foreign investment</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and discourage host States from behaving unlawfully.</w:t>
      </w:r>
    </w:p>
    <w:p w:rsidR="00753AD4" w:rsidRPr="00412BD0" w:rsidRDefault="00753AD4" w:rsidP="00412BD0">
      <w:pPr>
        <w:jc w:val="both"/>
        <w:rPr>
          <w:rFonts w:cs="Times New Roman"/>
          <w:lang w:val="en-US"/>
        </w:rPr>
      </w:pPr>
      <w:r w:rsidRPr="00412BD0">
        <w:rPr>
          <w:rFonts w:cs="Times New Roman"/>
          <w:lang w:val="en-US"/>
        </w:rPr>
        <w:t xml:space="preserve">It was not until the first wave of investment arbitrations that the rhetoric of good governance was </w:t>
      </w:r>
      <w:r w:rsidR="00981399" w:rsidRPr="00412BD0">
        <w:rPr>
          <w:rFonts w:cs="Times New Roman"/>
          <w:lang w:val="en-US"/>
        </w:rPr>
        <w:t xml:space="preserve">amplified and expressly </w:t>
      </w:r>
      <w:r w:rsidRPr="00412BD0">
        <w:rPr>
          <w:rFonts w:cs="Times New Roman"/>
          <w:lang w:val="en-US"/>
        </w:rPr>
        <w:t xml:space="preserve">embraced </w:t>
      </w:r>
      <w:r w:rsidRPr="00412BD0">
        <w:rPr>
          <w:rFonts w:cs="Times New Roman"/>
          <w:i/>
          <w:lang w:val="en-US"/>
        </w:rPr>
        <w:t xml:space="preserve">de </w:t>
      </w:r>
      <w:proofErr w:type="spellStart"/>
      <w:r w:rsidRPr="00412BD0">
        <w:rPr>
          <w:rFonts w:cs="Times New Roman"/>
          <w:i/>
          <w:lang w:val="en-US"/>
        </w:rPr>
        <w:t>lege</w:t>
      </w:r>
      <w:proofErr w:type="spellEnd"/>
      <w:r w:rsidRPr="00412BD0">
        <w:rPr>
          <w:rFonts w:cs="Times New Roman"/>
          <w:i/>
          <w:lang w:val="en-US"/>
        </w:rPr>
        <w:t xml:space="preserve"> </w:t>
      </w:r>
      <w:proofErr w:type="spellStart"/>
      <w:r w:rsidRPr="00412BD0">
        <w:rPr>
          <w:rFonts w:cs="Times New Roman"/>
          <w:i/>
          <w:lang w:val="en-US"/>
        </w:rPr>
        <w:t>lata</w:t>
      </w:r>
      <w:proofErr w:type="spellEnd"/>
      <w:r w:rsidRPr="00412BD0">
        <w:rPr>
          <w:rFonts w:cs="Times New Roman"/>
          <w:lang w:val="en-US"/>
        </w:rPr>
        <w:t>. In a rising tide of investment claims challenging various host government acts, the boundaries of the notion of proscribed conduct have been pushed beyond the familiar. Expropriation has ceased to be a dominant cause of action, with investors increasingly making use of broader guarantees of fair and equitable treatment</w:t>
      </w:r>
      <w:r w:rsidR="0014779D" w:rsidRPr="00412BD0">
        <w:rPr>
          <w:rFonts w:cs="Times New Roman"/>
          <w:lang w:val="en-US"/>
        </w:rPr>
        <w:fldChar w:fldCharType="begin"/>
      </w:r>
      <w:r w:rsidRPr="00412BD0">
        <w:rPr>
          <w:lang w:val="en-GB"/>
        </w:rPr>
        <w:instrText xml:space="preserve"> XE "</w:instrText>
      </w:r>
      <w:r w:rsidRPr="00412BD0">
        <w:rPr>
          <w:lang w:val="en-US"/>
        </w:rPr>
        <w:instrText>fair and equitable treatment</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(FET</w:t>
      </w:r>
      <w:r w:rsidR="0014779D" w:rsidRPr="00412BD0">
        <w:rPr>
          <w:rFonts w:cs="Times New Roman"/>
          <w:lang w:val="en-US"/>
        </w:rPr>
        <w:fldChar w:fldCharType="begin"/>
      </w:r>
      <w:r w:rsidRPr="00412BD0">
        <w:rPr>
          <w:lang w:val="en-GB"/>
        </w:rPr>
        <w:instrText xml:space="preserve"> XE "</w:instrText>
      </w:r>
      <w:r w:rsidRPr="00412BD0">
        <w:rPr>
          <w:lang w:val="en-US"/>
        </w:rPr>
        <w:instrText>FET</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and sanctity of contract. A string of arbitral awards, including the famous </w:t>
      </w:r>
      <w:proofErr w:type="spellStart"/>
      <w:r w:rsidRPr="00412BD0">
        <w:rPr>
          <w:rFonts w:cs="Times New Roman"/>
          <w:i/>
          <w:lang w:val="en-US"/>
        </w:rPr>
        <w:t>Metalclad</w:t>
      </w:r>
      <w:proofErr w:type="spellEnd"/>
      <w:r w:rsidRPr="00412BD0">
        <w:rPr>
          <w:rFonts w:cs="Times New Roman"/>
          <w:lang w:val="en-US"/>
        </w:rPr>
        <w:t xml:space="preserve">, </w:t>
      </w:r>
      <w:proofErr w:type="spellStart"/>
      <w:r w:rsidRPr="00412BD0">
        <w:rPr>
          <w:rFonts w:cs="Times New Roman"/>
          <w:i/>
          <w:lang w:val="en-US"/>
        </w:rPr>
        <w:t>Tecmed</w:t>
      </w:r>
      <w:proofErr w:type="spellEnd"/>
      <w:r w:rsidRPr="00412BD0">
        <w:rPr>
          <w:rFonts w:cs="Times New Roman"/>
          <w:lang w:val="en-US"/>
        </w:rPr>
        <w:t xml:space="preserve">, and </w:t>
      </w:r>
      <w:r w:rsidRPr="00412BD0">
        <w:rPr>
          <w:rFonts w:cs="Times New Roman"/>
          <w:i/>
          <w:lang w:val="en-US"/>
        </w:rPr>
        <w:t>Occidental</w:t>
      </w:r>
      <w:r w:rsidRPr="00412BD0">
        <w:rPr>
          <w:rFonts w:cs="Times New Roman"/>
          <w:lang w:val="en-US"/>
        </w:rPr>
        <w:t xml:space="preserve"> awards,</w:t>
      </w:r>
      <w:r w:rsidRPr="00412BD0">
        <w:rPr>
          <w:rStyle w:val="FootnoteReference"/>
          <w:lang w:val="en-US"/>
        </w:rPr>
        <w:footnoteReference w:id="3"/>
      </w:r>
      <w:r w:rsidRPr="00412BD0">
        <w:rPr>
          <w:rFonts w:cs="Times New Roman"/>
          <w:lang w:val="en-US"/>
        </w:rPr>
        <w:t xml:space="preserve"> proclaimed that transparency</w:t>
      </w:r>
      <w:r w:rsidR="0014779D" w:rsidRPr="00412BD0">
        <w:rPr>
          <w:rFonts w:cs="Times New Roman"/>
          <w:lang w:val="en-US"/>
        </w:rPr>
        <w:fldChar w:fldCharType="begin"/>
      </w:r>
      <w:r w:rsidRPr="00412BD0">
        <w:rPr>
          <w:lang w:val="en-GB"/>
        </w:rPr>
        <w:instrText xml:space="preserve"> XE "</w:instrText>
      </w:r>
      <w:r w:rsidRPr="00412BD0">
        <w:rPr>
          <w:lang w:val="en-US"/>
        </w:rPr>
        <w:instrText>transparency</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stability, predictability, consistency</w:t>
      </w:r>
      <w:r w:rsidR="0014779D" w:rsidRPr="00412BD0">
        <w:rPr>
          <w:rFonts w:cs="Times New Roman"/>
          <w:lang w:val="en-US"/>
        </w:rPr>
        <w:fldChar w:fldCharType="begin"/>
      </w:r>
      <w:r w:rsidRPr="00412BD0">
        <w:rPr>
          <w:lang w:val="en-GB"/>
        </w:rPr>
        <w:instrText xml:space="preserve"> XE "consistency" </w:instrText>
      </w:r>
      <w:r w:rsidR="0014779D" w:rsidRPr="00412BD0">
        <w:rPr>
          <w:rFonts w:cs="Times New Roman"/>
          <w:lang w:val="en-US"/>
        </w:rPr>
        <w:fldChar w:fldCharType="end"/>
      </w:r>
      <w:r w:rsidRPr="00412BD0">
        <w:rPr>
          <w:rFonts w:cs="Times New Roman"/>
          <w:lang w:val="en-US"/>
        </w:rPr>
        <w:t xml:space="preserve"> ought to be construed as elements of FET. A failure to create and maintain a transparent, stable and predictable regime was found to be a sufficient ground for claiming compensation against the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These arbitral pronouncements have met with considerable skepticism. As one critic noted, transparency ‘is actually not a standard at all; it is rather a description of a perfect public regulation in a perfect public world, to which all States should aspire, but very few (if any) will ever attain.</w:t>
      </w:r>
      <w:r w:rsidR="00412BD0" w:rsidRPr="00412BD0">
        <w:rPr>
          <w:rFonts w:cs="Times New Roman"/>
          <w:lang w:val="en-US"/>
        </w:rPr>
        <w:t>’</w:t>
      </w:r>
      <w:r w:rsidRPr="00412BD0">
        <w:rPr>
          <w:rStyle w:val="FootnoteReference"/>
          <w:lang w:val="en-US"/>
        </w:rPr>
        <w:footnoteReference w:id="4"/>
      </w:r>
      <w:r w:rsidRPr="00412BD0">
        <w:rPr>
          <w:rFonts w:cs="Times New Roman"/>
          <w:lang w:val="en-US"/>
        </w:rPr>
        <w:t xml:space="preserve"> However, in spite of a welter of criticism from various quarters, a number of subsequent tribunals have endorsed the interpretation of FET as requiring a duty to ensure transparency, stability and predictability. States have also been found to be under a duty to act proactively as opposed to merely avoiding prejudicial conduct to the investors. Even State action displaying “a relatively lower degree of inappropriateness”</w:t>
      </w:r>
      <w:r w:rsidRPr="00412BD0">
        <w:rPr>
          <w:rStyle w:val="FootnoteReference"/>
          <w:rFonts w:cs="Times New Roman"/>
          <w:lang w:val="en-US"/>
        </w:rPr>
        <w:t xml:space="preserve"> </w:t>
      </w:r>
      <w:r w:rsidRPr="00412BD0">
        <w:rPr>
          <w:rStyle w:val="FootnoteReference"/>
          <w:lang w:val="en-US"/>
        </w:rPr>
        <w:footnoteReference w:id="5"/>
      </w:r>
      <w:r w:rsidRPr="00412BD0">
        <w:rPr>
          <w:rFonts w:cs="Times New Roman"/>
          <w:lang w:val="en-US"/>
        </w:rPr>
        <w:t xml:space="preserve"> may now suffice to establish an investment treaty breach.</w:t>
      </w:r>
    </w:p>
    <w:p w:rsidR="00753AD4" w:rsidRPr="00412BD0" w:rsidRDefault="00753AD4" w:rsidP="00412BD0">
      <w:pPr>
        <w:jc w:val="both"/>
        <w:rPr>
          <w:rFonts w:cs="Times New Roman"/>
          <w:lang w:val="en-US"/>
        </w:rPr>
      </w:pPr>
      <w:r w:rsidRPr="00412BD0">
        <w:rPr>
          <w:rFonts w:cs="Times New Roman"/>
          <w:lang w:val="en-US"/>
        </w:rPr>
        <w:lastRenderedPageBreak/>
        <w:t>Beyond arbitral jurisprudence, references to good governance standards can be discerned in investment treaty instruments. Some treaties expressly require that States ensure “effective means of asserting claims and enforcing rights.”</w:t>
      </w:r>
      <w:r w:rsidRPr="00412BD0">
        <w:rPr>
          <w:rStyle w:val="FootnoteReference"/>
          <w:lang w:val="en-US"/>
        </w:rPr>
        <w:footnoteReference w:id="6"/>
      </w:r>
      <w:r w:rsidRPr="00412BD0">
        <w:rPr>
          <w:rFonts w:cs="Times New Roman"/>
          <w:lang w:val="en-US"/>
        </w:rPr>
        <w:t xml:space="preserve"> This ‘effective means’ provision was invoked in a number of investment disputes, including </w:t>
      </w:r>
      <w:r w:rsidRPr="00412BD0">
        <w:rPr>
          <w:rFonts w:cs="Times New Roman"/>
          <w:i/>
          <w:lang w:val="en-US"/>
        </w:rPr>
        <w:t>AMTO v Ukraine</w:t>
      </w:r>
      <w:r w:rsidRPr="00412BD0">
        <w:rPr>
          <w:rFonts w:cs="Times New Roman"/>
          <w:lang w:val="en-US"/>
        </w:rPr>
        <w:t>, where the claimants went as far as contending that the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should be held to monetary responsibility for failing to create and maintain effective bankruptcy legislation.</w:t>
      </w:r>
      <w:r w:rsidRPr="00412BD0">
        <w:rPr>
          <w:rStyle w:val="FootnoteReference"/>
          <w:lang w:val="en-US"/>
        </w:rPr>
        <w:footnoteReference w:id="7"/>
      </w:r>
      <w:r w:rsidRPr="00412BD0">
        <w:rPr>
          <w:rFonts w:cs="Times New Roman"/>
          <w:lang w:val="en-US"/>
        </w:rPr>
        <w:t xml:space="preserve"> There are also international investment treaties that contain a host state obligation to “create and maintain in its territory a legal framework apt to guarantee to investors the continuity of legal treatment.”</w:t>
      </w:r>
      <w:r w:rsidRPr="00412BD0">
        <w:rPr>
          <w:rStyle w:val="FootnoteReference"/>
          <w:lang w:val="en-US"/>
        </w:rPr>
        <w:footnoteReference w:id="8"/>
      </w:r>
      <w:r w:rsidRPr="00412BD0">
        <w:rPr>
          <w:rStyle w:val="FootnoteReference"/>
          <w:rFonts w:cs="Times New Roman"/>
          <w:lang w:val="en-US"/>
        </w:rPr>
        <w:t xml:space="preserve"> </w:t>
      </w:r>
      <w:r w:rsidRPr="00412BD0">
        <w:rPr>
          <w:rFonts w:cs="Times New Roman"/>
          <w:lang w:val="en-US"/>
        </w:rPr>
        <w:t xml:space="preserve">To borrow the phrase from the award in </w:t>
      </w:r>
      <w:r w:rsidRPr="00412BD0">
        <w:rPr>
          <w:rFonts w:cs="Times New Roman"/>
          <w:i/>
          <w:lang w:val="en-US"/>
        </w:rPr>
        <w:t>El Paso v Argentina</w:t>
      </w:r>
      <w:r w:rsidR="0014779D" w:rsidRPr="00412BD0">
        <w:rPr>
          <w:rFonts w:cs="Times New Roman"/>
          <w:i/>
          <w:lang w:val="en-US"/>
        </w:rPr>
        <w:fldChar w:fldCharType="begin"/>
      </w:r>
      <w:r w:rsidRPr="00412BD0">
        <w:rPr>
          <w:lang w:val="en-GB"/>
        </w:rPr>
        <w:instrText xml:space="preserve"> XE "</w:instrText>
      </w:r>
      <w:r w:rsidRPr="00412BD0">
        <w:rPr>
          <w:i/>
          <w:iCs/>
          <w:lang w:val="en-US"/>
        </w:rPr>
        <w:instrText>Argentina</w:instrText>
      </w:r>
      <w:r w:rsidRPr="00412BD0">
        <w:rPr>
          <w:lang w:val="en-GB"/>
        </w:rPr>
        <w:instrText xml:space="preserve">" </w:instrText>
      </w:r>
      <w:r w:rsidR="0014779D" w:rsidRPr="00412BD0">
        <w:rPr>
          <w:rFonts w:cs="Times New Roman"/>
          <w:i/>
          <w:lang w:val="en-US"/>
        </w:rPr>
        <w:fldChar w:fldCharType="end"/>
      </w:r>
      <w:r w:rsidRPr="00412BD0">
        <w:rPr>
          <w:rFonts w:cs="Times New Roman"/>
          <w:lang w:val="en-US"/>
        </w:rPr>
        <w:t xml:space="preserve">, such provisions advance “a </w:t>
      </w:r>
      <w:proofErr w:type="spellStart"/>
      <w:r w:rsidRPr="00412BD0">
        <w:rPr>
          <w:rFonts w:cs="Times New Roman"/>
          <w:lang w:val="en-US"/>
        </w:rPr>
        <w:t>programme</w:t>
      </w:r>
      <w:proofErr w:type="spellEnd"/>
      <w:r w:rsidRPr="00412BD0">
        <w:rPr>
          <w:rFonts w:cs="Times New Roman"/>
          <w:lang w:val="en-US"/>
        </w:rPr>
        <w:t xml:space="preserve"> of good governance that no State in the world is capable of guaranteeing at all times.”</w:t>
      </w:r>
      <w:r w:rsidRPr="00412BD0">
        <w:rPr>
          <w:rStyle w:val="FootnoteReference"/>
          <w:lang w:val="en-US"/>
        </w:rPr>
        <w:footnoteReference w:id="9"/>
      </w:r>
    </w:p>
    <w:p w:rsidR="00753AD4" w:rsidRPr="00412BD0" w:rsidRDefault="00753AD4" w:rsidP="00412BD0">
      <w:pPr>
        <w:jc w:val="both"/>
        <w:rPr>
          <w:rFonts w:cs="Times New Roman"/>
          <w:lang w:val="en-US" w:eastAsia="en-GB"/>
        </w:rPr>
      </w:pPr>
      <w:r w:rsidRPr="00412BD0">
        <w:rPr>
          <w:rFonts w:cs="Times New Roman"/>
          <w:lang w:val="en-US"/>
        </w:rPr>
        <w:t xml:space="preserve">The proliferation of references to good governance in arbitral jurisprudence and investment treaty texts has coincided with a new wave of scholarship where considerable emphasis is made on the importance of the investment treaty regime in transforming governance culture and practices in host States. It has been argued that </w:t>
      </w:r>
      <w:r w:rsidRPr="00412BD0">
        <w:rPr>
          <w:rFonts w:cs="Times New Roman"/>
          <w:lang w:val="en-US" w:eastAsia="en-GB"/>
        </w:rPr>
        <w:t>“...investment treaties aim at binding States into a legal framework that gives them an incentive and a yardstick for transforming their legal systems into ones that are conducive to market-based investment activities and provide the institutions necessary for the functioning of such markets.”</w:t>
      </w:r>
      <w:r w:rsidRPr="00412BD0">
        <w:rPr>
          <w:rStyle w:val="FootnoteReference"/>
          <w:lang w:val="en-US"/>
        </w:rPr>
        <w:footnoteReference w:id="10"/>
      </w:r>
      <w:r w:rsidRPr="00412BD0">
        <w:rPr>
          <w:rFonts w:cs="Times New Roman"/>
          <w:lang w:val="en-US" w:eastAsia="en-GB"/>
        </w:rPr>
        <w:t xml:space="preserve"> The Oxford Handbook on International Investment Law states in its preface that “standards of due process</w:t>
      </w:r>
      <w:r w:rsidR="0014779D" w:rsidRPr="00412BD0">
        <w:rPr>
          <w:rFonts w:cs="Times New Roman"/>
          <w:lang w:val="en-US" w:eastAsia="en-GB"/>
        </w:rPr>
        <w:fldChar w:fldCharType="begin"/>
      </w:r>
      <w:r w:rsidRPr="00412BD0">
        <w:rPr>
          <w:lang w:val="en-GB"/>
        </w:rPr>
        <w:instrText xml:space="preserve"> XE "</w:instrText>
      </w:r>
      <w:r w:rsidRPr="00412BD0">
        <w:rPr>
          <w:lang w:val="en-US"/>
        </w:rPr>
        <w:instrText>due process</w:instrText>
      </w:r>
      <w:r w:rsidRPr="00412BD0">
        <w:rPr>
          <w:lang w:val="en-GB"/>
        </w:rPr>
        <w:instrText xml:space="preserve">" </w:instrText>
      </w:r>
      <w:r w:rsidR="0014779D" w:rsidRPr="00412BD0">
        <w:rPr>
          <w:rFonts w:cs="Times New Roman"/>
          <w:lang w:val="en-US" w:eastAsia="en-GB"/>
        </w:rPr>
        <w:fldChar w:fldCharType="end"/>
      </w:r>
      <w:r w:rsidRPr="00412BD0">
        <w:rPr>
          <w:rFonts w:cs="Times New Roman"/>
          <w:lang w:val="en-US" w:eastAsia="en-GB"/>
        </w:rPr>
        <w:t xml:space="preserve"> and good governance required for foreign investment</w:t>
      </w:r>
      <w:r w:rsidR="0014779D" w:rsidRPr="00412BD0">
        <w:rPr>
          <w:rFonts w:cs="Times New Roman"/>
          <w:lang w:val="en-US" w:eastAsia="en-GB"/>
        </w:rPr>
        <w:fldChar w:fldCharType="begin"/>
      </w:r>
      <w:r w:rsidRPr="00412BD0">
        <w:rPr>
          <w:lang w:val="en-GB"/>
        </w:rPr>
        <w:instrText xml:space="preserve"> XE "</w:instrText>
      </w:r>
      <w:r w:rsidRPr="00412BD0">
        <w:rPr>
          <w:rFonts w:cs="Times New Roman"/>
          <w:lang w:val="en-US"/>
        </w:rPr>
        <w:instrText>foreign investment</w:instrText>
      </w:r>
      <w:r w:rsidRPr="00412BD0">
        <w:rPr>
          <w:lang w:val="en-GB"/>
        </w:rPr>
        <w:instrText xml:space="preserve">" </w:instrText>
      </w:r>
      <w:r w:rsidR="0014779D" w:rsidRPr="00412BD0">
        <w:rPr>
          <w:rFonts w:cs="Times New Roman"/>
          <w:lang w:val="en-US" w:eastAsia="en-GB"/>
        </w:rPr>
        <w:fldChar w:fldCharType="end"/>
      </w:r>
      <w:r w:rsidRPr="00412BD0">
        <w:rPr>
          <w:rFonts w:cs="Times New Roman"/>
          <w:lang w:val="en-US" w:eastAsia="en-GB"/>
        </w:rPr>
        <w:t xml:space="preserve"> may spill over into domestic law and may set new standards also for the domestic legal system.”</w:t>
      </w:r>
      <w:r w:rsidRPr="00412BD0">
        <w:rPr>
          <w:rStyle w:val="FootnoteReference"/>
          <w:lang w:val="en-US"/>
        </w:rPr>
        <w:footnoteReference w:id="11"/>
      </w:r>
      <w:r w:rsidRPr="00412BD0">
        <w:rPr>
          <w:rFonts w:cs="Times New Roman"/>
          <w:lang w:val="en-US" w:eastAsia="en-GB"/>
        </w:rPr>
        <w:t xml:space="preserve"> </w:t>
      </w:r>
      <w:proofErr w:type="spellStart"/>
      <w:r w:rsidRPr="00412BD0">
        <w:rPr>
          <w:rFonts w:cs="Times New Roman"/>
          <w:lang w:val="en-US" w:eastAsia="en-GB"/>
        </w:rPr>
        <w:t>Dolzer</w:t>
      </w:r>
      <w:proofErr w:type="spellEnd"/>
      <w:r w:rsidRPr="00412BD0">
        <w:rPr>
          <w:rFonts w:cs="Times New Roman"/>
          <w:lang w:val="en-US" w:eastAsia="en-GB"/>
        </w:rPr>
        <w:t xml:space="preserve"> has suggested that, especially in cases involving review of administrative law of host States, investment arbitration</w:t>
      </w:r>
      <w:r w:rsidR="0014779D" w:rsidRPr="00412BD0">
        <w:rPr>
          <w:rFonts w:cs="Times New Roman"/>
          <w:lang w:val="en-US" w:eastAsia="en-GB"/>
        </w:rPr>
        <w:fldChar w:fldCharType="begin"/>
      </w:r>
      <w:r w:rsidRPr="00412BD0">
        <w:rPr>
          <w:lang w:val="en-GB"/>
        </w:rPr>
        <w:instrText xml:space="preserve"> XE "</w:instrText>
      </w:r>
      <w:r w:rsidRPr="00412BD0">
        <w:rPr>
          <w:lang w:val="en-US"/>
        </w:rPr>
        <w:instrText>investment arbitration</w:instrText>
      </w:r>
      <w:r w:rsidRPr="00412BD0">
        <w:rPr>
          <w:lang w:val="en-GB"/>
        </w:rPr>
        <w:instrText xml:space="preserve">" </w:instrText>
      </w:r>
      <w:r w:rsidR="0014779D" w:rsidRPr="00412BD0">
        <w:rPr>
          <w:rFonts w:cs="Times New Roman"/>
          <w:lang w:val="en-US" w:eastAsia="en-GB"/>
        </w:rPr>
        <w:fldChar w:fldCharType="end"/>
      </w:r>
      <w:r w:rsidRPr="00412BD0">
        <w:rPr>
          <w:rFonts w:cs="Times New Roman"/>
          <w:lang w:val="en-US" w:eastAsia="en-GB"/>
        </w:rPr>
        <w:t xml:space="preserve"> “may provide a powerful incentive to review and modernize their domestic legal systems.”</w:t>
      </w:r>
      <w:r w:rsidRPr="00412BD0">
        <w:rPr>
          <w:rStyle w:val="FootnoteReference"/>
          <w:lang w:val="en-US"/>
        </w:rPr>
        <w:footnoteReference w:id="12"/>
      </w:r>
      <w:r w:rsidRPr="00412BD0">
        <w:rPr>
          <w:rFonts w:cs="Times New Roman"/>
          <w:lang w:val="en-US" w:eastAsia="en-GB"/>
        </w:rPr>
        <w:t xml:space="preserve"> This argument is also echoed in </w:t>
      </w:r>
      <w:proofErr w:type="spellStart"/>
      <w:r w:rsidRPr="00412BD0">
        <w:rPr>
          <w:rFonts w:cs="Times New Roman"/>
          <w:lang w:val="en-US" w:eastAsia="en-GB"/>
        </w:rPr>
        <w:t>Vandevelde’s</w:t>
      </w:r>
      <w:proofErr w:type="spellEnd"/>
      <w:r w:rsidRPr="00412BD0">
        <w:rPr>
          <w:rFonts w:cs="Times New Roman"/>
          <w:lang w:val="en-US" w:eastAsia="en-GB"/>
        </w:rPr>
        <w:t xml:space="preserve"> remark that BITs “embody norms that all countries committed to the rule of law should follow” and “can contribute greatly to institutional quality in host countries.”</w:t>
      </w:r>
      <w:r w:rsidRPr="00412BD0">
        <w:rPr>
          <w:rStyle w:val="FootnoteReference"/>
          <w:lang w:val="en-US"/>
        </w:rPr>
        <w:footnoteReference w:id="13"/>
      </w:r>
      <w:r w:rsidRPr="00412BD0">
        <w:rPr>
          <w:rFonts w:cs="Times New Roman"/>
          <w:lang w:val="en-US" w:eastAsia="en-GB"/>
        </w:rPr>
        <w:t xml:space="preserve"> </w:t>
      </w:r>
      <w:r w:rsidR="00BE2199" w:rsidRPr="00412BD0">
        <w:rPr>
          <w:rFonts w:cs="Times New Roman"/>
          <w:lang w:val="en-US" w:eastAsia="en-GB"/>
        </w:rPr>
        <w:t>T</w:t>
      </w:r>
      <w:r w:rsidRPr="00412BD0">
        <w:rPr>
          <w:rFonts w:cs="Times New Roman"/>
          <w:lang w:val="en-US" w:eastAsia="en-GB"/>
        </w:rPr>
        <w:t>he recent scoping paper from the Organization for Economic Cooperation and Development (OECD</w:t>
      </w:r>
      <w:r w:rsidR="0014779D" w:rsidRPr="00412BD0">
        <w:rPr>
          <w:rFonts w:cs="Times New Roman"/>
          <w:lang w:val="en-US" w:eastAsia="en-GB"/>
        </w:rPr>
        <w:fldChar w:fldCharType="begin"/>
      </w:r>
      <w:r w:rsidRPr="00412BD0">
        <w:rPr>
          <w:lang w:val="en-GB"/>
        </w:rPr>
        <w:instrText xml:space="preserve"> XE "</w:instrText>
      </w:r>
      <w:r w:rsidRPr="00412BD0">
        <w:rPr>
          <w:lang w:val="en-US"/>
        </w:rPr>
        <w:instrText>OECD</w:instrText>
      </w:r>
      <w:r w:rsidRPr="00412BD0">
        <w:rPr>
          <w:lang w:val="en-GB"/>
        </w:rPr>
        <w:instrText xml:space="preserve">" </w:instrText>
      </w:r>
      <w:r w:rsidR="0014779D" w:rsidRPr="00412BD0">
        <w:rPr>
          <w:rFonts w:cs="Times New Roman"/>
          <w:lang w:val="en-US" w:eastAsia="en-GB"/>
        </w:rPr>
        <w:fldChar w:fldCharType="end"/>
      </w:r>
      <w:r w:rsidRPr="00412BD0">
        <w:rPr>
          <w:rFonts w:cs="Times New Roman"/>
          <w:lang w:val="en-US" w:eastAsia="en-GB"/>
        </w:rPr>
        <w:t>)</w:t>
      </w:r>
      <w:r w:rsidR="00BE2199" w:rsidRPr="00412BD0">
        <w:rPr>
          <w:rFonts w:cs="Times New Roman"/>
          <w:lang w:val="en-US" w:eastAsia="en-GB"/>
        </w:rPr>
        <w:t xml:space="preserve"> suggests that</w:t>
      </w:r>
      <w:r w:rsidRPr="00412BD0">
        <w:rPr>
          <w:rFonts w:cs="Times New Roman"/>
          <w:lang w:val="en-US" w:eastAsia="en-GB"/>
        </w:rPr>
        <w:t xml:space="preserve"> “</w:t>
      </w:r>
      <w:r w:rsidRPr="00412BD0">
        <w:rPr>
          <w:rFonts w:cs="Times New Roman"/>
          <w:lang w:val="en-US"/>
        </w:rPr>
        <w:t xml:space="preserve">indirect collective benefits” of international investment law for host societies comprise not only the ability of host States to attract investment even despite lacking </w:t>
      </w:r>
      <w:r w:rsidRPr="00412BD0">
        <w:rPr>
          <w:rFonts w:cs="Times New Roman"/>
          <w:lang w:val="en-US"/>
        </w:rPr>
        <w:lastRenderedPageBreak/>
        <w:t>domestic governance standards, but also the potential for change in “the political dynamic of reform of domestic dispute resolution and policy making institutions.”</w:t>
      </w:r>
      <w:r w:rsidRPr="00412BD0">
        <w:rPr>
          <w:rStyle w:val="FootnoteReference"/>
          <w:lang w:val="en-US"/>
        </w:rPr>
        <w:footnoteReference w:id="14"/>
      </w:r>
    </w:p>
    <w:p w:rsidR="00753AD4" w:rsidRPr="00412BD0" w:rsidRDefault="00753AD4" w:rsidP="00412BD0">
      <w:pPr>
        <w:jc w:val="both"/>
        <w:rPr>
          <w:rFonts w:cs="Times New Roman"/>
          <w:lang w:val="en-US"/>
        </w:rPr>
      </w:pPr>
      <w:r w:rsidRPr="00412BD0">
        <w:rPr>
          <w:rFonts w:cs="Times New Roman"/>
          <w:lang w:val="en-US"/>
        </w:rPr>
        <w:t>The increasing frequency in which such claims are being made in scholarly discourse compels one to question their juridical underpinnings. Indeed, do investment treaties and their remedial mechanism intend to transform governance practices in host States? When approaching this question from a descriptive, historical and doctrinal, angle, one is faced with very limited textual support for interpreting international investment treaties as instruments designed to promote good governance in host States. The very fact that investment treaty forefathers and the founders of the ICSID Convention</w:t>
      </w:r>
      <w:r w:rsidR="0014779D" w:rsidRPr="00412BD0">
        <w:rPr>
          <w:rFonts w:cs="Times New Roman"/>
          <w:lang w:val="en-US"/>
        </w:rPr>
        <w:fldChar w:fldCharType="begin"/>
      </w:r>
      <w:r w:rsidRPr="00412BD0">
        <w:rPr>
          <w:lang w:val="en-US"/>
        </w:rPr>
        <w:instrText xml:space="preserve"> XE "</w:instrText>
      </w:r>
      <w:r w:rsidRPr="00412BD0">
        <w:rPr>
          <w:lang w:val="en-US" w:eastAsia="zh-TW"/>
        </w:rPr>
        <w:instrText>ICSID Convention</w:instrText>
      </w:r>
      <w:r w:rsidRPr="00412BD0">
        <w:rPr>
          <w:lang w:val="en-US"/>
        </w:rPr>
        <w:instrText xml:space="preserve">" </w:instrText>
      </w:r>
      <w:r w:rsidR="0014779D" w:rsidRPr="00412BD0">
        <w:rPr>
          <w:rFonts w:cs="Times New Roman"/>
          <w:lang w:val="en-US"/>
        </w:rPr>
        <w:fldChar w:fldCharType="end"/>
      </w:r>
      <w:r w:rsidRPr="00412BD0">
        <w:rPr>
          <w:rStyle w:val="FootnoteReference"/>
          <w:lang w:val="en-US"/>
        </w:rPr>
        <w:footnoteReference w:id="15"/>
      </w:r>
      <w:r w:rsidRPr="00412BD0">
        <w:rPr>
          <w:rFonts w:cs="Times New Roman"/>
          <w:lang w:val="en-US"/>
        </w:rPr>
        <w:t xml:space="preserve"> emphasized the importance of moving the resolution of investment disputes away from the (weak, biased and incompetent) domestic institutions and to independent international panels appears to provide ample evidence to the historical emphasis on the substitute nature of the investment treaty regime.</w:t>
      </w:r>
      <w:r w:rsidRPr="00412BD0">
        <w:rPr>
          <w:rStyle w:val="FootnoteReference"/>
          <w:lang w:val="en-US"/>
        </w:rPr>
        <w:footnoteReference w:id="16"/>
      </w:r>
      <w:r w:rsidRPr="00412BD0">
        <w:rPr>
          <w:rFonts w:cs="Times New Roman"/>
          <w:lang w:val="en-US"/>
        </w:rPr>
        <w:t xml:space="preserve"> Recent debates over the local remedies requirement and the role of domestic courts</w:t>
      </w:r>
      <w:r w:rsidR="0014779D" w:rsidRPr="00412BD0">
        <w:rPr>
          <w:rFonts w:cs="Times New Roman"/>
          <w:lang w:val="en-US"/>
        </w:rPr>
        <w:fldChar w:fldCharType="begin"/>
      </w:r>
      <w:r w:rsidRPr="00412BD0">
        <w:rPr>
          <w:lang w:val="en-GB"/>
        </w:rPr>
        <w:instrText xml:space="preserve"> XE "</w:instrText>
      </w:r>
      <w:r w:rsidRPr="00412BD0">
        <w:rPr>
          <w:rFonts w:cs="Times New Roman"/>
          <w:lang w:val="en-US"/>
        </w:rPr>
        <w:instrText>domestic courts</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in adjudicating investment disputes in Australia</w:t>
      </w:r>
      <w:r w:rsidR="0014779D" w:rsidRPr="00412BD0">
        <w:rPr>
          <w:rFonts w:cs="Times New Roman"/>
          <w:lang w:val="en-US"/>
        </w:rPr>
        <w:fldChar w:fldCharType="begin"/>
      </w:r>
      <w:r w:rsidRPr="00412BD0">
        <w:rPr>
          <w:lang w:val="en-GB"/>
        </w:rPr>
        <w:instrText xml:space="preserve"> XE "</w:instrText>
      </w:r>
      <w:r w:rsidRPr="00412BD0">
        <w:rPr>
          <w:lang w:val="en-US"/>
        </w:rPr>
        <w:instrText>Australia</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and the European Union</w:t>
      </w:r>
      <w:r w:rsidR="0014779D" w:rsidRPr="00412BD0">
        <w:rPr>
          <w:rFonts w:cs="Times New Roman"/>
          <w:lang w:val="en-US"/>
        </w:rPr>
        <w:fldChar w:fldCharType="begin"/>
      </w:r>
      <w:r w:rsidRPr="00412BD0">
        <w:rPr>
          <w:lang w:val="en-GB"/>
        </w:rPr>
        <w:instrText xml:space="preserve"> XE "</w:instrText>
      </w:r>
      <w:r w:rsidRPr="00412BD0">
        <w:rPr>
          <w:rFonts w:cs="Times New Roman"/>
          <w:lang w:val="en-US"/>
        </w:rPr>
        <w:instrText>European Union</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too have made it clear that investment treaty law and its remedial mechanisms were created and continue to function as an alternative to domestic structures and not as a means of bringing about change on a national level</w:t>
      </w:r>
      <w:r w:rsidR="00BE2199" w:rsidRPr="00412BD0">
        <w:rPr>
          <w:rFonts w:cs="Times New Roman"/>
          <w:lang w:val="en-US"/>
        </w:rPr>
        <w:t xml:space="preserve"> in developing S</w:t>
      </w:r>
      <w:r w:rsidR="00076313" w:rsidRPr="00412BD0">
        <w:rPr>
          <w:rFonts w:cs="Times New Roman"/>
          <w:lang w:val="en-US"/>
        </w:rPr>
        <w:t>tates</w:t>
      </w:r>
      <w:r w:rsidRPr="00412BD0">
        <w:rPr>
          <w:rFonts w:cs="Times New Roman"/>
          <w:lang w:val="en-US"/>
        </w:rPr>
        <w:t>.</w:t>
      </w:r>
      <w:r w:rsidRPr="00412BD0">
        <w:rPr>
          <w:rStyle w:val="FootnoteReference"/>
          <w:lang w:val="en-US"/>
        </w:rPr>
        <w:footnoteReference w:id="17"/>
      </w:r>
      <w:r w:rsidRPr="00412BD0">
        <w:rPr>
          <w:rFonts w:cs="Times New Roman"/>
          <w:lang w:val="en-US"/>
        </w:rPr>
        <w:t xml:space="preserve"> The primary concern for advocates of the international investment regime was not to improve governance in host States but rather to limit foreign investors’ exposure to lacking domestic structures and practices by offering investors the possibility of exiting the domestic legal regime and using international remedies.</w:t>
      </w:r>
    </w:p>
    <w:p w:rsidR="00753AD4" w:rsidRPr="00412BD0" w:rsidRDefault="00753AD4" w:rsidP="00412BD0">
      <w:pPr>
        <w:jc w:val="both"/>
        <w:rPr>
          <w:rFonts w:cs="Times New Roman"/>
          <w:lang w:val="en-US"/>
        </w:rPr>
      </w:pPr>
      <w:r w:rsidRPr="00412BD0">
        <w:rPr>
          <w:rFonts w:cs="Times New Roman"/>
          <w:lang w:val="en-US"/>
        </w:rPr>
        <w:t>The lack of textual support, as well as the historical emphasis on the internationalization of remedies as opposed to promoting change at a national level, seems to invite a conclusion that the good governance objective was never in the minds of treaty drafters but has become a popular banner inasmuch as it offered an additional justification for the recent expansion of the investment treaty regime and its increasingly intrusive reach. Indeed, a historical analysis of the investment treaty regimes exposes a noticeable circularity of the good governance argument: the weaknesses and shortcomings of domestic legal systems in developing States have been traditionally cited as a rationale for providing foreign investors with access to a stronger and more effective alternative mechanism on the international plane</w:t>
      </w:r>
      <w:r w:rsidRPr="00412BD0">
        <w:rPr>
          <w:rStyle w:val="FootnoteReference"/>
          <w:lang w:val="en-US"/>
        </w:rPr>
        <w:footnoteReference w:id="18"/>
      </w:r>
      <w:r w:rsidRPr="00412BD0">
        <w:rPr>
          <w:rFonts w:cs="Times New Roman"/>
          <w:lang w:val="en-US"/>
        </w:rPr>
        <w:t xml:space="preserve">; however, as this international mechanism came of age, its ability to spill over </w:t>
      </w:r>
      <w:r w:rsidRPr="00412BD0">
        <w:rPr>
          <w:rFonts w:cs="Times New Roman"/>
          <w:lang w:val="en-US"/>
        </w:rPr>
        <w:lastRenderedPageBreak/>
        <w:t xml:space="preserve">into the domestic arena and to strengthen governance institutions and practices at a national level is now being invoked as an example of positive side-effects of such internationalization. One is left with an impression that the good governance argument has been engineered in an attempt to deflect criticism that has been increasingly mounted against the </w:t>
      </w:r>
      <w:r w:rsidR="00076313" w:rsidRPr="00412BD0">
        <w:rPr>
          <w:rFonts w:cs="Times New Roman"/>
          <w:lang w:val="en-US"/>
        </w:rPr>
        <w:t xml:space="preserve">widening scope of </w:t>
      </w:r>
      <w:r w:rsidRPr="00412BD0">
        <w:rPr>
          <w:rFonts w:cs="Times New Roman"/>
          <w:lang w:val="en-US"/>
        </w:rPr>
        <w:t xml:space="preserve">investment treaty </w:t>
      </w:r>
      <w:r w:rsidR="00076313" w:rsidRPr="00412BD0">
        <w:rPr>
          <w:rFonts w:cs="Times New Roman"/>
          <w:lang w:val="en-US"/>
        </w:rPr>
        <w:t xml:space="preserve">rules </w:t>
      </w:r>
      <w:r w:rsidRPr="00412BD0">
        <w:rPr>
          <w:rFonts w:cs="Times New Roman"/>
          <w:lang w:val="en-US"/>
        </w:rPr>
        <w:t xml:space="preserve">and the </w:t>
      </w:r>
      <w:r w:rsidR="00076313" w:rsidRPr="00412BD0">
        <w:rPr>
          <w:rFonts w:cs="Times New Roman"/>
          <w:lang w:val="en-US"/>
        </w:rPr>
        <w:t xml:space="preserve">growing reach of the </w:t>
      </w:r>
      <w:r w:rsidRPr="00412BD0">
        <w:rPr>
          <w:rFonts w:cs="Times New Roman"/>
          <w:lang w:val="en-US"/>
        </w:rPr>
        <w:t>institute of investor-State arbitration</w:t>
      </w:r>
      <w:r w:rsidR="0014779D" w:rsidRPr="00412BD0">
        <w:rPr>
          <w:rFonts w:cs="Times New Roman"/>
          <w:lang w:val="en-US"/>
        </w:rPr>
        <w:fldChar w:fldCharType="begin"/>
      </w:r>
      <w:r w:rsidRPr="00412BD0">
        <w:rPr>
          <w:lang w:val="en-GB"/>
        </w:rPr>
        <w:instrText xml:space="preserve"> XE "</w:instrText>
      </w:r>
      <w:r w:rsidRPr="00412BD0">
        <w:rPr>
          <w:lang w:val="en-US"/>
        </w:rPr>
        <w:instrText>investor-State arbitration</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w:t>
      </w:r>
    </w:p>
    <w:p w:rsidR="00753AD4" w:rsidRPr="00412BD0" w:rsidRDefault="00753AD4" w:rsidP="00412BD0">
      <w:pPr>
        <w:jc w:val="both"/>
        <w:rPr>
          <w:rFonts w:cs="Times New Roman"/>
          <w:lang w:val="en-US"/>
        </w:rPr>
      </w:pPr>
      <w:r w:rsidRPr="00412BD0">
        <w:rPr>
          <w:rFonts w:cs="Times New Roman"/>
          <w:lang w:val="en-US"/>
        </w:rPr>
        <w:t>It could, of course, be argued that, even though initially created as a substitute for lacking and ineffective domestic regimes and not intended as a catalyst of regulatory reform in host States, international investment law has subsequently developed into a mechanism that can foster positive transformations at a national level. In other words, the ability to foster good governance and to strengthen the rule of law in host States may not have been a shared goal of investment treaty instruments but rather is an unintended and welcome side effect. Thus, although only legally enforceable by foreign investors, strict investment protection standards create a “spill over” effect that benefits national citizens and residents as the host country gradually develops better administrative practices to comply with international investment best practices.</w:t>
      </w:r>
      <w:r w:rsidRPr="00412BD0">
        <w:rPr>
          <w:rStyle w:val="FootnoteReference"/>
          <w:lang w:val="en-US"/>
        </w:rPr>
        <w:footnoteReference w:id="19"/>
      </w:r>
      <w:r w:rsidRPr="00412BD0">
        <w:rPr>
          <w:rFonts w:cs="Times New Roman"/>
          <w:lang w:val="en-US"/>
        </w:rPr>
        <w:t xml:space="preserve"> The need to comply effectively with the rule of law and principles of due process</w:t>
      </w:r>
      <w:r w:rsidR="0014779D" w:rsidRPr="00412BD0">
        <w:rPr>
          <w:rFonts w:cs="Times New Roman"/>
          <w:lang w:val="en-US"/>
        </w:rPr>
        <w:fldChar w:fldCharType="begin"/>
      </w:r>
      <w:r w:rsidRPr="00412BD0">
        <w:rPr>
          <w:lang w:val="en-GB"/>
        </w:rPr>
        <w:instrText xml:space="preserve"> XE "</w:instrText>
      </w:r>
      <w:r w:rsidRPr="00412BD0">
        <w:rPr>
          <w:lang w:val="en-US"/>
        </w:rPr>
        <w:instrText>due process</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imposed by investment treaties may entail legal reforms and foster a more legalistic and rule-oriented administrative practice.</w:t>
      </w:r>
      <w:r w:rsidRPr="00412BD0">
        <w:rPr>
          <w:rStyle w:val="FootnoteReference"/>
          <w:lang w:val="en-US"/>
        </w:rPr>
        <w:footnoteReference w:id="20"/>
      </w:r>
      <w:r w:rsidRPr="00412BD0">
        <w:rPr>
          <w:rFonts w:cs="Times New Roman"/>
          <w:lang w:val="en-US"/>
        </w:rPr>
        <w:t xml:space="preserve"> However, given the investment treaty regime was conceived so as to insulate foreign investors from shortcomings of domestic regimes, by replacing the latter with a stronger and more effective international alternative, would host States not lose the incentive to carry out legal reforms? International investment law may indeed benefit individual investors by providing them with the option of side-stepping “what may be poorly functioning or biased domestic dispute resolution and policy-making processes”.</w:t>
      </w:r>
      <w:r w:rsidRPr="00412BD0">
        <w:rPr>
          <w:rStyle w:val="FootnoteReference"/>
          <w:lang w:val="en-US"/>
        </w:rPr>
        <w:footnoteReference w:id="21"/>
      </w:r>
      <w:r w:rsidRPr="00412BD0">
        <w:rPr>
          <w:rFonts w:cs="Times New Roman"/>
          <w:lang w:val="en-US"/>
        </w:rPr>
        <w:t xml:space="preserve"> However, the benefits of such internationalization for host state communities are less apparent. As Ginsburg has convincingly argued, by allowing foreign investors to resort to international treaties and arbitration and thereby avoid domestic law and institutions, international investment law does not ameliorate but in fact entrenches weaknesses of domestic legal orders.</w:t>
      </w:r>
      <w:r w:rsidRPr="00412BD0">
        <w:rPr>
          <w:rStyle w:val="FootnoteReference"/>
          <w:lang w:val="en-US"/>
        </w:rPr>
        <w:footnoteReference w:id="22"/>
      </w:r>
      <w:r w:rsidRPr="00412BD0">
        <w:rPr>
          <w:rFonts w:cs="Times New Roman"/>
          <w:lang w:val="en-US"/>
        </w:rPr>
        <w:t xml:space="preserve"> The availability of the investor-state dispute settlement regime on the international level, it has been argued, makes it easier for host governments to attract international investment without having to improve domestic governance mechanisms and practices.</w:t>
      </w:r>
      <w:r w:rsidRPr="00412BD0">
        <w:rPr>
          <w:rStyle w:val="FootnoteReference"/>
          <w:lang w:val="en-US"/>
        </w:rPr>
        <w:footnoteReference w:id="23"/>
      </w:r>
    </w:p>
    <w:p w:rsidR="00753AD4" w:rsidRPr="00412BD0" w:rsidRDefault="00753AD4" w:rsidP="00412BD0">
      <w:pPr>
        <w:pStyle w:val="Heading2"/>
        <w:rPr>
          <w:lang w:val="en-US"/>
        </w:rPr>
      </w:pPr>
      <w:r w:rsidRPr="00412BD0">
        <w:rPr>
          <w:lang w:val="en-US"/>
        </w:rPr>
        <w:t xml:space="preserve">Does the International Investment Regime Conform to the Good Governance Standards that it </w:t>
      </w:r>
      <w:proofErr w:type="gramStart"/>
      <w:r w:rsidRPr="00412BD0">
        <w:rPr>
          <w:lang w:val="en-US"/>
        </w:rPr>
        <w:t>Imposes</w:t>
      </w:r>
      <w:proofErr w:type="gramEnd"/>
      <w:r w:rsidRPr="00412BD0">
        <w:rPr>
          <w:lang w:val="en-US"/>
        </w:rPr>
        <w:t xml:space="preserve"> on Host States?</w:t>
      </w:r>
    </w:p>
    <w:p w:rsidR="00753AD4" w:rsidRPr="00412BD0" w:rsidRDefault="00753AD4" w:rsidP="00412BD0">
      <w:pPr>
        <w:jc w:val="both"/>
        <w:rPr>
          <w:rFonts w:cs="Times New Roman"/>
          <w:lang w:val="en-US"/>
        </w:rPr>
      </w:pPr>
      <w:r w:rsidRPr="00412BD0">
        <w:rPr>
          <w:rFonts w:cs="Times New Roman"/>
          <w:lang w:val="en-US"/>
        </w:rPr>
        <w:t xml:space="preserve">Whilst contesting the juridical underpinnings of the argument that postulates the positive, albeit incidental, effect of international investment law on national governance structures and practices, this paper does not deny that such effect would be desirable. Numerous studies have doubted the positive </w:t>
      </w:r>
      <w:r w:rsidRPr="00412BD0">
        <w:rPr>
          <w:rFonts w:cs="Times New Roman"/>
          <w:lang w:val="en-US"/>
        </w:rPr>
        <w:lastRenderedPageBreak/>
        <w:t>effect of investment treaty instruments on foreign investment</w:t>
      </w:r>
      <w:r w:rsidR="0014779D" w:rsidRPr="00412BD0">
        <w:rPr>
          <w:rFonts w:cs="Times New Roman"/>
          <w:lang w:val="en-US"/>
        </w:rPr>
        <w:fldChar w:fldCharType="begin"/>
      </w:r>
      <w:r w:rsidRPr="00412BD0">
        <w:rPr>
          <w:lang w:val="en-GB"/>
        </w:rPr>
        <w:instrText xml:space="preserve"> XE "</w:instrText>
      </w:r>
      <w:r w:rsidRPr="00412BD0">
        <w:rPr>
          <w:rFonts w:cs="Times New Roman"/>
          <w:lang w:val="en-US"/>
        </w:rPr>
        <w:instrText>foreign investment</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flows.</w:t>
      </w:r>
      <w:r w:rsidRPr="00412BD0">
        <w:rPr>
          <w:rStyle w:val="FootnoteReference"/>
          <w:lang w:val="en-US"/>
        </w:rPr>
        <w:footnoteReference w:id="24"/>
      </w:r>
      <w:r w:rsidRPr="00412BD0">
        <w:rPr>
          <w:rFonts w:cs="Times New Roman"/>
          <w:lang w:val="en-US"/>
        </w:rPr>
        <w:t xml:space="preserve"> Likewise, the role of investments in bringing about economic development of host States has been debated</w:t>
      </w:r>
      <w:r w:rsidRPr="00412BD0">
        <w:rPr>
          <w:rStyle w:val="FootnoteReference"/>
          <w:lang w:val="en-US"/>
        </w:rPr>
        <w:footnoteReference w:id="25"/>
      </w:r>
      <w:r w:rsidRPr="00412BD0">
        <w:rPr>
          <w:rFonts w:cs="Times New Roman"/>
          <w:lang w:val="en-US"/>
        </w:rPr>
        <w:t>, with none other than investment tribunals themselves at times downplaying the importance of the development objectives in interpreting key investment treaty provisions.</w:t>
      </w:r>
      <w:r w:rsidRPr="00412BD0">
        <w:rPr>
          <w:rStyle w:val="FootnoteReference"/>
          <w:lang w:val="en-US"/>
        </w:rPr>
        <w:footnoteReference w:id="26"/>
      </w:r>
      <w:r w:rsidRPr="00412BD0">
        <w:rPr>
          <w:rFonts w:cs="Times New Roman"/>
          <w:lang w:val="en-US"/>
        </w:rPr>
        <w:t xml:space="preserve"> As the existing foundations of investment treaty law are being increasingly criticized and contested, the regime’s capacity to transform legal and bureaucratic institutions and culture in host States could provide a very much needed </w:t>
      </w:r>
      <w:r w:rsidRPr="00412BD0">
        <w:rPr>
          <w:rFonts w:cs="Times New Roman"/>
          <w:i/>
          <w:lang w:val="en-US"/>
        </w:rPr>
        <w:t>raison d’être</w:t>
      </w:r>
      <w:r w:rsidRPr="00412BD0">
        <w:rPr>
          <w:rFonts w:cs="Times New Roman"/>
          <w:lang w:val="en-US"/>
        </w:rPr>
        <w:t>. From a theoretical perspective, an inquiry into the capacity of international investment law to bring about a positive change will provide new insights into the hitherto largely unexplored question of compliance in the investment treaty context.</w:t>
      </w:r>
    </w:p>
    <w:p w:rsidR="00753AD4" w:rsidRPr="00412BD0" w:rsidRDefault="00753AD4" w:rsidP="00412BD0">
      <w:pPr>
        <w:jc w:val="both"/>
        <w:rPr>
          <w:rFonts w:cs="Times New Roman"/>
          <w:lang w:val="en-US"/>
        </w:rPr>
      </w:pPr>
      <w:r w:rsidRPr="00412BD0">
        <w:rPr>
          <w:rFonts w:cs="Times New Roman"/>
          <w:lang w:val="en-US"/>
        </w:rPr>
        <w:t xml:space="preserve">So does the investment treaty regime possess the necessary characteristics that would enable it to have a transformative impact on domestic governance? To begin with, if international investment law is to foster good governance and the </w:t>
      </w:r>
      <w:proofErr w:type="gramStart"/>
      <w:r w:rsidRPr="00412BD0">
        <w:rPr>
          <w:rFonts w:cs="Times New Roman"/>
          <w:lang w:val="en-US"/>
        </w:rPr>
        <w:t>rule of law in host</w:t>
      </w:r>
      <w:proofErr w:type="gramEnd"/>
      <w:r w:rsidRPr="00412BD0">
        <w:rPr>
          <w:rFonts w:cs="Times New Roman"/>
          <w:lang w:val="en-US"/>
        </w:rPr>
        <w:t xml:space="preserve"> States, it should be rule-of-law compliant in the first place. In more specific terms, if subjecting host States to stringent standards of conduct, such as the duty to maintain transparency</w:t>
      </w:r>
      <w:r w:rsidR="0014779D" w:rsidRPr="00412BD0">
        <w:rPr>
          <w:rFonts w:cs="Times New Roman"/>
          <w:lang w:val="en-US"/>
        </w:rPr>
        <w:fldChar w:fldCharType="begin"/>
      </w:r>
      <w:r w:rsidRPr="00412BD0">
        <w:rPr>
          <w:lang w:val="en-GB"/>
        </w:rPr>
        <w:instrText xml:space="preserve"> XE "</w:instrText>
      </w:r>
      <w:r w:rsidRPr="00412BD0">
        <w:rPr>
          <w:lang w:val="en-US"/>
        </w:rPr>
        <w:instrText>transparency</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stability, consistency</w:t>
      </w:r>
      <w:r w:rsidR="0014779D" w:rsidRPr="00412BD0">
        <w:rPr>
          <w:rFonts w:cs="Times New Roman"/>
          <w:lang w:val="en-US"/>
        </w:rPr>
        <w:fldChar w:fldCharType="begin"/>
      </w:r>
      <w:r w:rsidRPr="00412BD0">
        <w:rPr>
          <w:lang w:val="en-GB"/>
        </w:rPr>
        <w:instrText xml:space="preserve"> XE "consistency" </w:instrText>
      </w:r>
      <w:r w:rsidR="0014779D" w:rsidRPr="00412BD0">
        <w:rPr>
          <w:rFonts w:cs="Times New Roman"/>
          <w:lang w:val="en-US"/>
        </w:rPr>
        <w:fldChar w:fldCharType="end"/>
      </w:r>
      <w:r w:rsidRPr="00412BD0">
        <w:rPr>
          <w:rFonts w:cs="Times New Roman"/>
          <w:lang w:val="en-US"/>
        </w:rPr>
        <w:t xml:space="preserve"> and predictability, were to result in the host States embracing such standards in the domestic sphere, it could be argued that the international investment regime should also be transparent, stable, consistent and predictable. It has been noted earlier that the imposition of good governance standards by investment tribunals was seen by many as a step too far: is it fair and just to hold developing States responsible for a failure to conform to good governance standards that even developed States might frequently fail to achieve? A similar line of argument could be advanced in connection with the investment treaty regime’s role in fostering good governance in host States: is it fair, appropriate and desirable to impose monetary sanctions on host States that failed to ensure transparency, stability, predictability, and consistency where both substantive treaty rules and dispute settlement mechanisms fail to achieve the same?</w:t>
      </w:r>
    </w:p>
    <w:p w:rsidR="00753AD4" w:rsidRPr="00412BD0" w:rsidRDefault="00753AD4" w:rsidP="00412BD0">
      <w:pPr>
        <w:jc w:val="both"/>
        <w:rPr>
          <w:rFonts w:cs="Times New Roman"/>
          <w:lang w:val="en-US" w:eastAsia="en-GB"/>
        </w:rPr>
      </w:pPr>
      <w:r w:rsidRPr="00412BD0">
        <w:rPr>
          <w:rFonts w:cs="Times New Roman"/>
          <w:lang w:val="en-US"/>
        </w:rPr>
        <w:t>It is telling that the arguments claiming spill-over effects of investment treaty law into the domestic arena and its capacity to foster good governance at a national level appear to have been prompted by a proliferation of claims brought under the FET</w:t>
      </w:r>
      <w:r w:rsidR="0014779D" w:rsidRPr="00412BD0">
        <w:rPr>
          <w:rFonts w:cs="Times New Roman"/>
          <w:lang w:val="en-US"/>
        </w:rPr>
        <w:fldChar w:fldCharType="begin"/>
      </w:r>
      <w:r w:rsidRPr="00412BD0">
        <w:rPr>
          <w:lang w:val="en-GB"/>
        </w:rPr>
        <w:instrText xml:space="preserve"> XE "</w:instrText>
      </w:r>
      <w:r w:rsidRPr="00412BD0">
        <w:rPr>
          <w:lang w:val="en-US"/>
        </w:rPr>
        <w:instrText>FET</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standard. It was in the course of establishing the substantive content of FET that investment tribunals proclaimed a duty to maintain good governance standards to be required by the notions of fairness and equity. Yet the very jurisprudence of investment </w:t>
      </w:r>
      <w:r w:rsidRPr="00412BD0">
        <w:rPr>
          <w:rFonts w:cs="Times New Roman"/>
          <w:lang w:val="en-US"/>
        </w:rPr>
        <w:lastRenderedPageBreak/>
        <w:t>tribunals on FET as well as the formulation of the standard in investment treaty texts has attracted scathing criticism for lack of clarity, consistency</w:t>
      </w:r>
      <w:r w:rsidR="0014779D" w:rsidRPr="00412BD0">
        <w:rPr>
          <w:rFonts w:cs="Times New Roman"/>
          <w:lang w:val="en-US"/>
        </w:rPr>
        <w:fldChar w:fldCharType="begin"/>
      </w:r>
      <w:r w:rsidRPr="00412BD0">
        <w:rPr>
          <w:lang w:val="en-GB"/>
        </w:rPr>
        <w:instrText xml:space="preserve"> XE "consistency" </w:instrText>
      </w:r>
      <w:r w:rsidR="0014779D" w:rsidRPr="00412BD0">
        <w:rPr>
          <w:rFonts w:cs="Times New Roman"/>
          <w:lang w:val="en-US"/>
        </w:rPr>
        <w:fldChar w:fldCharType="end"/>
      </w:r>
      <w:r w:rsidRPr="00412BD0">
        <w:rPr>
          <w:rFonts w:cs="Times New Roman"/>
          <w:lang w:val="en-US"/>
        </w:rPr>
        <w:t>, and predictability</w:t>
      </w:r>
      <w:r w:rsidR="00076313" w:rsidRPr="00412BD0">
        <w:rPr>
          <w:rFonts w:cs="Times New Roman"/>
          <w:lang w:val="en-US"/>
        </w:rPr>
        <w:t xml:space="preserve"> in arbitral practice</w:t>
      </w:r>
      <w:r w:rsidRPr="00412BD0">
        <w:rPr>
          <w:rFonts w:cs="Times New Roman"/>
          <w:lang w:val="en-US"/>
        </w:rPr>
        <w:t>. A recent UNCTAD report has observed that such shortcomings within international investment law would present considerable challenges to host States and their</w:t>
      </w:r>
      <w:r w:rsidRPr="00412BD0">
        <w:rPr>
          <w:rFonts w:cs="Times New Roman"/>
          <w:lang w:val="en-US" w:eastAsia="en-GB"/>
        </w:rPr>
        <w:t xml:space="preserve"> agencies that interact with investors.</w:t>
      </w:r>
      <w:r w:rsidRPr="00412BD0">
        <w:rPr>
          <w:rStyle w:val="FootnoteReference"/>
          <w:lang w:val="en-US"/>
        </w:rPr>
        <w:footnoteReference w:id="27"/>
      </w:r>
      <w:r w:rsidRPr="00412BD0">
        <w:rPr>
          <w:rFonts w:cs="Times New Roman"/>
          <w:lang w:val="en-US" w:eastAsia="en-GB"/>
        </w:rPr>
        <w:t xml:space="preserve"> Indeed, “if the State and its subnational entities do not know in advance what type of conduct may be considered a breach of a treaty, then it cannot organize its regulatory and administrative decision-making processes and delegation in a way that ensures that its conduct will not incur liability under the FET standard.”</w:t>
      </w:r>
      <w:r w:rsidRPr="00412BD0">
        <w:rPr>
          <w:rStyle w:val="FootnoteReference"/>
          <w:lang w:val="en-US"/>
        </w:rPr>
        <w:footnoteReference w:id="28"/>
      </w:r>
    </w:p>
    <w:p w:rsidR="00753AD4" w:rsidRPr="00412BD0" w:rsidRDefault="00753AD4" w:rsidP="00412BD0">
      <w:pPr>
        <w:jc w:val="both"/>
        <w:rPr>
          <w:rFonts w:cs="Times New Roman"/>
          <w:lang w:val="en-US"/>
        </w:rPr>
      </w:pPr>
      <w:r w:rsidRPr="00412BD0">
        <w:rPr>
          <w:rFonts w:cs="Times New Roman"/>
          <w:lang w:val="en-US"/>
        </w:rPr>
        <w:t>The question also arises about the design of investment treaty norms and the role it plays in facilitating the regime’s good governance mission. This calls for a comparative analysis of international legal regimes that expressly require changes in domestic administrative practices and procedures and those that do not require such norm adoption. One can draw useful insights from scholarly analyses of compliance in the GATT/WTO</w:t>
      </w:r>
      <w:r w:rsidR="0014779D" w:rsidRPr="00412BD0">
        <w:rPr>
          <w:rFonts w:cs="Times New Roman"/>
          <w:lang w:val="en-US"/>
        </w:rPr>
        <w:fldChar w:fldCharType="begin"/>
      </w:r>
      <w:r w:rsidRPr="00412BD0">
        <w:rPr>
          <w:lang w:val="en-GB"/>
        </w:rPr>
        <w:instrText xml:space="preserve"> XE "</w:instrText>
      </w:r>
      <w:r w:rsidRPr="00412BD0">
        <w:rPr>
          <w:lang w:val="en-US"/>
        </w:rPr>
        <w:instrText>WTO</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context. For example, Sykes observes that the “GATT had changed behavior and induced members to behave in ways that they would not have otherwise.”</w:t>
      </w:r>
      <w:r w:rsidRPr="00412BD0">
        <w:rPr>
          <w:rStyle w:val="FootnoteReference"/>
          <w:lang w:val="en-US"/>
        </w:rPr>
        <w:footnoteReference w:id="29"/>
      </w:r>
      <w:r w:rsidRPr="00412BD0">
        <w:rPr>
          <w:rFonts w:cs="Times New Roman"/>
          <w:lang w:val="en-US"/>
        </w:rPr>
        <w:t xml:space="preserve"> What lies beneath the GATT’s success in bringing about changes in government conduct? Could this be due to the nature of the GATT/WTO obligations </w:t>
      </w:r>
      <w:r w:rsidR="00076313" w:rsidRPr="00412BD0">
        <w:rPr>
          <w:rFonts w:cs="Times New Roman"/>
          <w:lang w:val="en-US"/>
        </w:rPr>
        <w:t xml:space="preserve">many of </w:t>
      </w:r>
      <w:r w:rsidRPr="00412BD0">
        <w:rPr>
          <w:rFonts w:cs="Times New Roman"/>
          <w:lang w:val="en-US"/>
        </w:rPr>
        <w:t>which require substantive and concrete changes in domestic laws of States? One is also reminded of the concept of direct effect and its role in fostering compliance with European Union</w:t>
      </w:r>
      <w:r w:rsidR="0014779D" w:rsidRPr="00412BD0">
        <w:rPr>
          <w:rFonts w:cs="Times New Roman"/>
          <w:lang w:val="en-US"/>
        </w:rPr>
        <w:fldChar w:fldCharType="begin"/>
      </w:r>
      <w:r w:rsidRPr="00412BD0">
        <w:rPr>
          <w:lang w:val="en-GB"/>
        </w:rPr>
        <w:instrText xml:space="preserve"> XE "</w:instrText>
      </w:r>
      <w:r w:rsidRPr="00412BD0">
        <w:rPr>
          <w:rFonts w:cs="Times New Roman"/>
          <w:lang w:val="en-US"/>
        </w:rPr>
        <w:instrText>European Union</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laws at a national level. In order to be effectively incorporated into national legal orders, rules must be clear, precise and unconditional.</w:t>
      </w:r>
      <w:r w:rsidRPr="00412BD0">
        <w:rPr>
          <w:rStyle w:val="FootnoteReference"/>
          <w:lang w:val="en-US"/>
        </w:rPr>
        <w:footnoteReference w:id="30"/>
      </w:r>
      <w:r w:rsidRPr="00412BD0">
        <w:rPr>
          <w:rFonts w:cs="Times New Roman"/>
          <w:lang w:val="en-US"/>
        </w:rPr>
        <w:t xml:space="preserve"> In contrast with multilateral trade norms, investment treaty rules are framed broadly and in abstract terms. This is especially true of FET</w:t>
      </w:r>
      <w:r w:rsidR="0014779D" w:rsidRPr="00412BD0">
        <w:rPr>
          <w:rFonts w:cs="Times New Roman"/>
          <w:lang w:val="en-US"/>
        </w:rPr>
        <w:fldChar w:fldCharType="begin"/>
      </w:r>
      <w:r w:rsidRPr="00412BD0">
        <w:rPr>
          <w:lang w:val="en-GB"/>
        </w:rPr>
        <w:instrText xml:space="preserve"> XE "</w:instrText>
      </w:r>
      <w:r w:rsidRPr="00412BD0">
        <w:rPr>
          <w:lang w:val="en-US"/>
        </w:rPr>
        <w:instrText>FET</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standard which has been used as a basis for transforming a failure to comply with good governance standards into an actionable investment treaty breach. Not only is the FET standard phrased in what many consider broad and ambiguous terms, but its constitutive elements have not been adequately and consistently spelled out to enable their embedding in domestic regimes. Some of the prevailing interpretations of FET do not qualify “as a system of objective and accessible commands, commands which can be seen to flow from collective agreement rather than from exercise of discretion or preferences by those persons who happen to be in positions of authority.”</w:t>
      </w:r>
      <w:r w:rsidRPr="00412BD0">
        <w:rPr>
          <w:rStyle w:val="FootnoteReference"/>
          <w:lang w:val="en-US"/>
        </w:rPr>
        <w:footnoteReference w:id="31"/>
      </w:r>
    </w:p>
    <w:p w:rsidR="00753AD4" w:rsidRPr="00412BD0" w:rsidRDefault="00753AD4" w:rsidP="00412BD0">
      <w:pPr>
        <w:jc w:val="both"/>
        <w:rPr>
          <w:rFonts w:cs="Times New Roman"/>
          <w:lang w:val="en-US"/>
        </w:rPr>
      </w:pPr>
      <w:r w:rsidRPr="00412BD0">
        <w:rPr>
          <w:rFonts w:cs="Times New Roman"/>
          <w:lang w:val="en-US"/>
        </w:rPr>
        <w:t>Besides the FET</w:t>
      </w:r>
      <w:r w:rsidR="0014779D" w:rsidRPr="00412BD0">
        <w:rPr>
          <w:rFonts w:cs="Times New Roman"/>
          <w:lang w:val="en-US"/>
        </w:rPr>
        <w:fldChar w:fldCharType="begin"/>
      </w:r>
      <w:r w:rsidRPr="00412BD0">
        <w:rPr>
          <w:lang w:val="en-GB"/>
        </w:rPr>
        <w:instrText xml:space="preserve"> XE "</w:instrText>
      </w:r>
      <w:r w:rsidRPr="00412BD0">
        <w:rPr>
          <w:lang w:val="en-US"/>
        </w:rPr>
        <w:instrText>FET</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standard, investment treaties may also contain a loose obligation to create conditions favorable to foreign investment</w:t>
      </w:r>
      <w:r w:rsidR="0014779D" w:rsidRPr="00412BD0">
        <w:rPr>
          <w:rFonts w:cs="Times New Roman"/>
          <w:lang w:val="en-US"/>
        </w:rPr>
        <w:fldChar w:fldCharType="begin"/>
      </w:r>
      <w:r w:rsidRPr="00412BD0">
        <w:rPr>
          <w:lang w:val="en-GB"/>
        </w:rPr>
        <w:instrText xml:space="preserve"> XE "</w:instrText>
      </w:r>
      <w:r w:rsidRPr="00412BD0">
        <w:rPr>
          <w:rFonts w:cs="Times New Roman"/>
          <w:lang w:val="en-US"/>
        </w:rPr>
        <w:instrText>foreign investment</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In most cases, there is a declaratory statement to this effect contained in a preamble.</w:t>
      </w:r>
      <w:r w:rsidRPr="00412BD0">
        <w:rPr>
          <w:rStyle w:val="FootnoteReference"/>
          <w:lang w:val="en-US"/>
        </w:rPr>
        <w:footnoteReference w:id="32"/>
      </w:r>
      <w:r w:rsidRPr="00412BD0">
        <w:rPr>
          <w:rFonts w:cs="Times New Roman"/>
          <w:lang w:val="en-US"/>
        </w:rPr>
        <w:t xml:space="preserve"> In few investment treaty texts, such a loose commitment is encapsulated in a standalone provision mandating the state to create and maintain effective legal frameworks for investment.</w:t>
      </w:r>
      <w:r w:rsidRPr="00412BD0">
        <w:rPr>
          <w:rStyle w:val="FootnoteReference"/>
          <w:lang w:val="en-US"/>
        </w:rPr>
        <w:footnoteReference w:id="33"/>
      </w:r>
      <w:r w:rsidRPr="00412BD0">
        <w:rPr>
          <w:rFonts w:cs="Times New Roman"/>
          <w:lang w:val="en-US"/>
        </w:rPr>
        <w:t xml:space="preserve"> Beyond this often loose form of commitment, the bulk of existing treaties do not contain </w:t>
      </w:r>
      <w:r w:rsidRPr="00412BD0">
        <w:rPr>
          <w:rFonts w:cs="Times New Roman"/>
          <w:lang w:val="en-US"/>
        </w:rPr>
        <w:lastRenderedPageBreak/>
        <w:t>norms that would compel signatory states to enact appropriate domestic legislation and to effectively implement substantive obligations. Neither do such treaties have direct effect. Given the prevailing design of investment treaty norms, the extent to which procedural and substantive limitations imposed by decisions of arbitral tribunals on respondent states may be effectively embraced in daily bureaucratic practices is questionable. One might agree that arbitral review extends procedural and substantive limitations onto domestic regulators,</w:t>
      </w:r>
      <w:r w:rsidRPr="00412BD0">
        <w:rPr>
          <w:rStyle w:val="FootnoteReference"/>
          <w:lang w:val="en-US"/>
        </w:rPr>
        <w:footnoteReference w:id="34"/>
      </w:r>
      <w:r w:rsidRPr="00412BD0">
        <w:rPr>
          <w:rFonts w:cs="Times New Roman"/>
          <w:lang w:val="en-US"/>
        </w:rPr>
        <w:t xml:space="preserve"> but is it a one-off extension or one that affects the deep matter of domestic governance? </w:t>
      </w:r>
    </w:p>
    <w:p w:rsidR="00753AD4" w:rsidRPr="00412BD0" w:rsidRDefault="00753AD4" w:rsidP="00412BD0">
      <w:pPr>
        <w:jc w:val="both"/>
        <w:rPr>
          <w:rFonts w:cs="Times New Roman"/>
          <w:lang w:val="en-US"/>
        </w:rPr>
      </w:pPr>
      <w:r w:rsidRPr="00412BD0">
        <w:rPr>
          <w:rFonts w:cs="Times New Roman"/>
          <w:lang w:val="en-US"/>
        </w:rPr>
        <w:t xml:space="preserve">Another shortcoming of the existing investment treaty regime, which detracts from its capacity to command </w:t>
      </w:r>
      <w:r w:rsidRPr="00412BD0">
        <w:rPr>
          <w:rFonts w:cs="Times New Roman"/>
          <w:i/>
          <w:lang w:val="en-US"/>
        </w:rPr>
        <w:t>ex ante</w:t>
      </w:r>
      <w:r w:rsidRPr="00412BD0">
        <w:rPr>
          <w:rFonts w:cs="Times New Roman"/>
          <w:lang w:val="en-US"/>
        </w:rPr>
        <w:t xml:space="preserve"> compliance (i.e. compliance with investment treaty norms before a dispute arises), and can discourage rather than encourage positive change in host States, is its lop-sided nature and the resulting ambiguity of normative values that it stands for and is able to export into domestic regimes. Of particular interest here is the much-criticized failure of international investment law to balance investment rights with investment responsibilities. Hirsch observes that “existing literature consistently emphasizes the importance of foreign investment</w:t>
      </w:r>
      <w:r w:rsidR="0014779D" w:rsidRPr="00412BD0">
        <w:rPr>
          <w:rFonts w:cs="Times New Roman"/>
          <w:lang w:val="en-US"/>
        </w:rPr>
        <w:fldChar w:fldCharType="begin"/>
      </w:r>
      <w:r w:rsidRPr="00412BD0">
        <w:rPr>
          <w:lang w:val="en-GB"/>
        </w:rPr>
        <w:instrText xml:space="preserve"> XE "</w:instrText>
      </w:r>
      <w:r w:rsidRPr="00412BD0">
        <w:rPr>
          <w:rFonts w:cs="Times New Roman"/>
          <w:lang w:val="en-US"/>
        </w:rPr>
        <w:instrText>foreign investment</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as a channel for the diffusion of knowledge, technology and management practices.”</w:t>
      </w:r>
      <w:r w:rsidRPr="00412BD0">
        <w:rPr>
          <w:rStyle w:val="FootnoteReference"/>
          <w:lang w:val="en-US"/>
        </w:rPr>
        <w:footnoteReference w:id="35"/>
      </w:r>
      <w:r w:rsidRPr="00412BD0">
        <w:rPr>
          <w:rFonts w:cs="Times New Roman"/>
          <w:lang w:val="en-US"/>
        </w:rPr>
        <w:t xml:space="preserve"> Might this ‘channeling’ be useful in advancing our understanding of the role that investments </w:t>
      </w:r>
      <w:r w:rsidRPr="00412BD0">
        <w:rPr>
          <w:rFonts w:cs="Times New Roman"/>
          <w:i/>
          <w:lang w:val="en-US"/>
        </w:rPr>
        <w:t>and</w:t>
      </w:r>
      <w:r w:rsidRPr="00412BD0">
        <w:rPr>
          <w:rFonts w:cs="Times New Roman"/>
          <w:lang w:val="en-US"/>
        </w:rPr>
        <w:t xml:space="preserve"> investment protection rules could play in entrenching, rather than eliminating, weaknesses in governance culture practices in host States? It has been reported, for instance, that the introduction of more stringent sanctions for bribery in U.S. legislation has arguably led to the loss of the Americans’ competitive position in the African market as compared to Chinese investors.</w:t>
      </w:r>
      <w:r w:rsidRPr="00412BD0">
        <w:rPr>
          <w:rStyle w:val="FootnoteReference"/>
          <w:lang w:val="en-US"/>
        </w:rPr>
        <w:footnoteReference w:id="36"/>
      </w:r>
      <w:r w:rsidRPr="00412BD0">
        <w:rPr>
          <w:rFonts w:cs="Times New Roman"/>
          <w:lang w:val="en-US"/>
        </w:rPr>
        <w:t xml:space="preserve"> Based on this analysis, it is safe to conclude that (1) prior to the adoption of more stringent anti-corruption</w:t>
      </w:r>
      <w:r w:rsidR="0014779D" w:rsidRPr="00412BD0">
        <w:rPr>
          <w:rFonts w:cs="Times New Roman"/>
          <w:lang w:val="en-US"/>
        </w:rPr>
        <w:fldChar w:fldCharType="begin"/>
      </w:r>
      <w:r w:rsidRPr="00412BD0">
        <w:rPr>
          <w:lang w:val="en-GB"/>
        </w:rPr>
        <w:instrText xml:space="preserve"> XE "</w:instrText>
      </w:r>
      <w:r w:rsidRPr="00412BD0">
        <w:rPr>
          <w:lang w:val="en-US"/>
        </w:rPr>
        <w:instrText>corruption</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laws, U.S. companies were complicit in corrupt practices in host States (2) Chinese investments may also connive at existing practices as they are unencumbered by fear of financial and criminal sanctions either in host States (due to intrinsic weaknesses of domestic anti-corruption laws) or in China</w:t>
      </w:r>
      <w:r w:rsidR="0014779D" w:rsidRPr="00412BD0">
        <w:rPr>
          <w:rFonts w:cs="Times New Roman"/>
          <w:lang w:val="en-US"/>
        </w:rPr>
        <w:fldChar w:fldCharType="begin"/>
      </w:r>
      <w:r w:rsidRPr="00412BD0">
        <w:rPr>
          <w:lang w:val="en-GB"/>
        </w:rPr>
        <w:instrText xml:space="preserve"> XE "</w:instrText>
      </w:r>
      <w:r w:rsidRPr="00412BD0">
        <w:rPr>
          <w:rFonts w:cs="Times New Roman"/>
          <w:lang w:val="en-US"/>
        </w:rPr>
        <w:instrText>China</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(due to its reportedly relaxed attitude to Chinese companies operating abroad). A number of investment awards have also publicized instances of foreign investors’ participation in corrupt practices.</w:t>
      </w:r>
      <w:r w:rsidRPr="00412BD0">
        <w:rPr>
          <w:rStyle w:val="FootnoteReference"/>
          <w:lang w:val="en-US"/>
        </w:rPr>
        <w:footnoteReference w:id="37"/>
      </w:r>
      <w:r w:rsidRPr="00412BD0">
        <w:rPr>
          <w:rFonts w:cs="Times New Roman"/>
          <w:lang w:val="en-US"/>
        </w:rPr>
        <w:t xml:space="preserve"> Evidence of misconduct by multinational corporations and their complicity in illegal acts committed by governmental agencies in host States is an illustration of how investments can affect local communities not by eliminating inadequate governance practices but by entrenching them. As Hirsch notes, “international investments [and, I would add, international investment agreements] are not only </w:t>
      </w:r>
      <w:r w:rsidRPr="00412BD0">
        <w:rPr>
          <w:rFonts w:cs="Times New Roman"/>
          <w:i/>
          <w:lang w:val="en-US"/>
        </w:rPr>
        <w:t xml:space="preserve">affected </w:t>
      </w:r>
      <w:r w:rsidRPr="00412BD0">
        <w:rPr>
          <w:rFonts w:cs="Times New Roman"/>
          <w:lang w:val="en-US"/>
        </w:rPr>
        <w:t xml:space="preserve">by socio-cultural factors, they often </w:t>
      </w:r>
      <w:r w:rsidRPr="00412BD0">
        <w:rPr>
          <w:rFonts w:cs="Times New Roman"/>
          <w:i/>
          <w:lang w:val="en-US"/>
        </w:rPr>
        <w:t>influence</w:t>
      </w:r>
      <w:r w:rsidRPr="00412BD0">
        <w:rPr>
          <w:rFonts w:cs="Times New Roman"/>
          <w:lang w:val="en-US"/>
        </w:rPr>
        <w:t xml:space="preserve"> the socio-cultural features of the involved communities.”</w:t>
      </w:r>
      <w:r w:rsidRPr="00412BD0">
        <w:rPr>
          <w:rStyle w:val="FootnoteReference"/>
          <w:lang w:val="en-US"/>
        </w:rPr>
        <w:footnoteReference w:id="38"/>
      </w:r>
      <w:r w:rsidRPr="00412BD0">
        <w:rPr>
          <w:rFonts w:cs="Times New Roman"/>
          <w:lang w:val="en-US"/>
        </w:rPr>
        <w:t xml:space="preserve"> The actual impact of investment treaty regime on socio-cultural settings of host communities would depend on the stance the regime takes on </w:t>
      </w:r>
      <w:r w:rsidR="00076313" w:rsidRPr="00412BD0">
        <w:rPr>
          <w:rFonts w:cs="Times New Roman"/>
          <w:lang w:val="en-US"/>
        </w:rPr>
        <w:t xml:space="preserve">investor </w:t>
      </w:r>
      <w:r w:rsidRPr="00412BD0">
        <w:rPr>
          <w:rFonts w:cs="Times New Roman"/>
          <w:lang w:val="en-US"/>
        </w:rPr>
        <w:t>behavior. If investment treaty instruments and arbitral tribunals applying them in investor-State disputes turn a blind eye to illegality</w:t>
      </w:r>
      <w:r w:rsidR="0014779D" w:rsidRPr="00412BD0">
        <w:rPr>
          <w:rFonts w:cs="Times New Roman"/>
          <w:lang w:val="en-US"/>
        </w:rPr>
        <w:fldChar w:fldCharType="begin"/>
      </w:r>
      <w:r w:rsidRPr="00412BD0">
        <w:rPr>
          <w:lang w:val="en-GB"/>
        </w:rPr>
        <w:instrText xml:space="preserve"> XE "</w:instrText>
      </w:r>
      <w:r w:rsidRPr="00412BD0">
        <w:rPr>
          <w:lang w:val="en-US"/>
        </w:rPr>
        <w:instrText>illegality</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committed by an investor in host States, including the instances of </w:t>
      </w:r>
      <w:r w:rsidRPr="00412BD0">
        <w:rPr>
          <w:rFonts w:cs="Times New Roman"/>
          <w:lang w:val="en-US"/>
        </w:rPr>
        <w:lastRenderedPageBreak/>
        <w:t>bribery and complicity in other forms of illegal behavior, one cannot speak of a transformative effect and of fostering good governance. If investment treaty law continues to remain silent on investor responsibilities and, furthermore, extends protection to investment projects tarnished by illegality, it is not only far from exerting positive influence on domestic governance culture and practices but can arguably be seen as being complicit in perpetuating inadequate and undesirable patterns of government behavior in host States.</w:t>
      </w:r>
    </w:p>
    <w:p w:rsidR="00753AD4" w:rsidRPr="00412BD0" w:rsidRDefault="00753AD4" w:rsidP="00412BD0">
      <w:pPr>
        <w:pStyle w:val="Heading2"/>
        <w:rPr>
          <w:lang w:val="en-US"/>
        </w:rPr>
      </w:pPr>
      <w:r w:rsidRPr="00412BD0">
        <w:rPr>
          <w:lang w:val="en-US"/>
        </w:rPr>
        <w:t>Socio-legal Insights into Compliance with Investment Treaty Standards</w:t>
      </w:r>
    </w:p>
    <w:p w:rsidR="00753AD4" w:rsidRPr="00412BD0" w:rsidRDefault="00753AD4" w:rsidP="00412BD0">
      <w:pPr>
        <w:jc w:val="both"/>
        <w:rPr>
          <w:rFonts w:cs="Times New Roman"/>
          <w:lang w:val="en-US"/>
        </w:rPr>
      </w:pPr>
      <w:r w:rsidRPr="00412BD0">
        <w:rPr>
          <w:rFonts w:cs="Times New Roman"/>
          <w:lang w:val="en-US"/>
        </w:rPr>
        <w:t xml:space="preserve">At the heart of the argument that posits a transformative impact of investment treaty law on governance in host States is </w:t>
      </w:r>
      <w:r w:rsidR="001774D7" w:rsidRPr="00412BD0">
        <w:rPr>
          <w:rFonts w:cs="Times New Roman"/>
          <w:lang w:val="en-US"/>
        </w:rPr>
        <w:t>rational choice theory assumption</w:t>
      </w:r>
      <w:r w:rsidRPr="00412BD0">
        <w:rPr>
          <w:rFonts w:cs="Times New Roman"/>
          <w:lang w:val="en-US"/>
        </w:rPr>
        <w:t xml:space="preserve"> that investment treaty rules act as “a deterrent mechanism against short-term policy reversals and assist developing countries in promoting greater effectiveness of the rule of law at the domestic level.”</w:t>
      </w:r>
      <w:r w:rsidRPr="00412BD0">
        <w:rPr>
          <w:rStyle w:val="FootnoteReference"/>
          <w:lang w:val="en-US"/>
        </w:rPr>
        <w:footnoteReference w:id="39"/>
      </w:r>
      <w:r w:rsidRPr="00412BD0">
        <w:rPr>
          <w:rFonts w:cs="Times New Roman"/>
          <w:lang w:val="en-US"/>
        </w:rPr>
        <w:t xml:space="preserve"> </w:t>
      </w:r>
      <w:r w:rsidR="001774D7" w:rsidRPr="00412BD0">
        <w:rPr>
          <w:rFonts w:cs="Times New Roman"/>
          <w:lang w:val="en-US"/>
        </w:rPr>
        <w:t>Thus,</w:t>
      </w:r>
      <w:r w:rsidRPr="00412BD0">
        <w:rPr>
          <w:rFonts w:cs="Times New Roman"/>
          <w:lang w:val="en-US"/>
        </w:rPr>
        <w:t xml:space="preserve"> </w:t>
      </w:r>
      <w:r w:rsidRPr="00412BD0">
        <w:rPr>
          <w:rFonts w:cs="Times New Roman"/>
          <w:lang w:val="en-US" w:eastAsia="en-GB"/>
        </w:rPr>
        <w:t>“[d]</w:t>
      </w:r>
      <w:proofErr w:type="spellStart"/>
      <w:r w:rsidRPr="00412BD0">
        <w:rPr>
          <w:rFonts w:cs="Times New Roman"/>
          <w:lang w:val="en-US" w:eastAsia="en-GB"/>
        </w:rPr>
        <w:t>amages</w:t>
      </w:r>
      <w:proofErr w:type="spellEnd"/>
      <w:r w:rsidRPr="00412BD0">
        <w:rPr>
          <w:rFonts w:cs="Times New Roman"/>
          <w:lang w:val="en-US" w:eastAsia="en-GB"/>
        </w:rPr>
        <w:t xml:space="preserve"> as a remedy sufficiently pressure States into complying with and incorporating the normative guidelines of investment treaties into their domestic legal order.”</w:t>
      </w:r>
      <w:r w:rsidRPr="00412BD0">
        <w:rPr>
          <w:rStyle w:val="FootnoteReference"/>
          <w:lang w:val="en-US"/>
        </w:rPr>
        <w:footnoteReference w:id="40"/>
      </w:r>
      <w:r w:rsidRPr="00412BD0">
        <w:rPr>
          <w:rFonts w:cs="Times New Roman"/>
          <w:lang w:val="en-US" w:eastAsia="en-GB"/>
        </w:rPr>
        <w:t xml:space="preserve"> </w:t>
      </w:r>
      <w:r w:rsidRPr="00412BD0">
        <w:rPr>
          <w:rFonts w:cs="Times New Roman"/>
          <w:lang w:val="en-US"/>
        </w:rPr>
        <w:t xml:space="preserve">Despite having recurred in various arbitral decisions and scholarly writings, the claim that investment protection treaties promote the rule of law and improve governance on a national level has not yet been supported either theoretically or through empirical appraisal. </w:t>
      </w:r>
      <w:r w:rsidR="00BE2199" w:rsidRPr="00412BD0">
        <w:rPr>
          <w:rFonts w:cs="Times New Roman"/>
          <w:lang w:val="en-US"/>
        </w:rPr>
        <w:t>T</w:t>
      </w:r>
      <w:r w:rsidRPr="00412BD0">
        <w:rPr>
          <w:rFonts w:cs="Times New Roman"/>
          <w:lang w:val="en-US"/>
        </w:rPr>
        <w:t>he question of how the objectives of international law</w:t>
      </w:r>
      <w:r w:rsidR="0014779D" w:rsidRPr="00412BD0">
        <w:rPr>
          <w:rFonts w:cs="Times New Roman"/>
          <w:lang w:val="en-US"/>
        </w:rPr>
        <w:fldChar w:fldCharType="begin"/>
      </w:r>
      <w:r w:rsidRPr="00412BD0">
        <w:rPr>
          <w:lang w:val="en-GB"/>
        </w:rPr>
        <w:instrText xml:space="preserve"> XE "</w:instrText>
      </w:r>
      <w:r w:rsidRPr="00412BD0">
        <w:rPr>
          <w:rFonts w:cs="Courier"/>
          <w:lang w:val="en-US" w:eastAsia="zh-TW"/>
        </w:rPr>
        <w:instrText>international law</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are to be achieved “necessarily includes social science knowledge; norm idealism without a reality check is at best naive, at worst untruthful.”</w:t>
      </w:r>
      <w:r w:rsidRPr="00412BD0">
        <w:rPr>
          <w:rStyle w:val="FootnoteReference"/>
          <w:lang w:val="en-US"/>
        </w:rPr>
        <w:footnoteReference w:id="41"/>
      </w:r>
      <w:r w:rsidRPr="00412BD0">
        <w:rPr>
          <w:rFonts w:cs="Times New Roman"/>
          <w:lang w:val="en-US"/>
        </w:rPr>
        <w:t xml:space="preserve"> Particularly in the context of legal policy and institutional design, “there is broad consensus that social science should be taken into account.”</w:t>
      </w:r>
      <w:r w:rsidRPr="00412BD0">
        <w:rPr>
          <w:rStyle w:val="FootnoteReference"/>
          <w:lang w:val="en-US"/>
        </w:rPr>
        <w:footnoteReference w:id="42"/>
      </w:r>
      <w:r w:rsidRPr="00412BD0">
        <w:rPr>
          <w:rFonts w:cs="Times New Roman"/>
          <w:lang w:val="en-US"/>
        </w:rPr>
        <w:t xml:space="preserve"> Just as with many areas of international law and policy, the claims regarding effectiveness of international investment law, including in the context of fostering good governance and the rule of law in host States, remain empirically and theoretically untested.</w:t>
      </w:r>
      <w:r w:rsidRPr="00412BD0">
        <w:rPr>
          <w:rStyle w:val="FootnoteReference"/>
          <w:lang w:val="en-US"/>
        </w:rPr>
        <w:footnoteReference w:id="43"/>
      </w:r>
      <w:r w:rsidRPr="00412BD0">
        <w:rPr>
          <w:rFonts w:cs="Times New Roman"/>
          <w:lang w:val="en-US"/>
        </w:rPr>
        <w:t xml:space="preserve"> </w:t>
      </w:r>
    </w:p>
    <w:p w:rsidR="00753AD4" w:rsidRPr="00412BD0" w:rsidRDefault="00753AD4" w:rsidP="00412BD0">
      <w:pPr>
        <w:jc w:val="both"/>
        <w:rPr>
          <w:rFonts w:cs="Times New Roman"/>
          <w:lang w:val="en-US"/>
        </w:rPr>
      </w:pPr>
      <w:r w:rsidRPr="00412BD0">
        <w:rPr>
          <w:rFonts w:cs="Times New Roman"/>
          <w:lang w:val="en-US"/>
        </w:rPr>
        <w:t xml:space="preserve">This project intends to fill this gap and examine the interplay between investment treaty disciplines and governmental conduct by focusing on the so-called incentive effects of investment treaty rules on bureaucratic behavior. If host States are expected to respond to investment treaty norms by adjusting their legal orders and ensuring </w:t>
      </w:r>
      <w:r w:rsidRPr="00412BD0">
        <w:rPr>
          <w:rFonts w:cs="Times New Roman"/>
          <w:i/>
          <w:lang w:val="en-US"/>
        </w:rPr>
        <w:t>ex ante</w:t>
      </w:r>
      <w:r w:rsidRPr="00412BD0">
        <w:rPr>
          <w:rFonts w:cs="Times New Roman"/>
          <w:lang w:val="en-US"/>
        </w:rPr>
        <w:t xml:space="preserve"> compliance with the prescribed standards of governmental conduct, government officials ought to understand the scope and meaning of investment protection guarantees under existing bilateral and multilateral agreements. To what extent are government officials actually aware of and influenced by investment treaty disciplines in making their decisions? Preliminary empirical insights drawn from tentative case-studies involving government officials in developing States suggest that decision-makers with whom investors interact in the course of their </w:t>
      </w:r>
      <w:r w:rsidRPr="00412BD0">
        <w:rPr>
          <w:rFonts w:cs="Times New Roman"/>
          <w:lang w:val="en-US"/>
        </w:rPr>
        <w:lastRenderedPageBreak/>
        <w:t>business are rarely if at all aware of the fact that their behavior may lead to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liability.</w:t>
      </w:r>
      <w:r w:rsidRPr="00412BD0">
        <w:rPr>
          <w:rStyle w:val="FootnoteReference"/>
          <w:lang w:val="en-US"/>
        </w:rPr>
        <w:footnoteReference w:id="44"/>
      </w:r>
      <w:r w:rsidRPr="00412BD0">
        <w:rPr>
          <w:rFonts w:cs="Times New Roman"/>
          <w:lang w:val="en-US"/>
        </w:rPr>
        <w:t xml:space="preserve"> Most of them are similarly uninformed of the very existence and relevance of investment treaty instruments in investor-host government relations. This lack of awareness has been discerned not only among government officials in local and regional governmental bodies but also among high-ranking officers at the top of government hierarchy. Interestingly, the surveyed officials were unaware of international investment law even after respective countries had been exposed to investment arbitration</w:t>
      </w:r>
      <w:r w:rsidR="0014779D" w:rsidRPr="00412BD0">
        <w:rPr>
          <w:rFonts w:cs="Times New Roman"/>
          <w:lang w:val="en-US"/>
        </w:rPr>
        <w:fldChar w:fldCharType="begin"/>
      </w:r>
      <w:r w:rsidRPr="00412BD0">
        <w:rPr>
          <w:lang w:val="en-GB"/>
        </w:rPr>
        <w:instrText xml:space="preserve"> XE "</w:instrText>
      </w:r>
      <w:r w:rsidRPr="00412BD0">
        <w:rPr>
          <w:lang w:val="en-US"/>
        </w:rPr>
        <w:instrText>investment arbitration</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claims. The fact that those who interact with foreign investors have limited if any knowledge of investment law standards (to which host States have committed themselves and which would serve as benchmarks in assessing legality of their conduct) casts doubt on the deterrent effect of investment treaties, and in particular, their capacity to transform governance practices at the domestic level.</w:t>
      </w:r>
    </w:p>
    <w:p w:rsidR="00753AD4" w:rsidRPr="00412BD0" w:rsidRDefault="00753AD4" w:rsidP="00412BD0">
      <w:pPr>
        <w:jc w:val="both"/>
        <w:rPr>
          <w:rFonts w:cs="Times New Roman"/>
          <w:lang w:val="en-US"/>
        </w:rPr>
      </w:pPr>
      <w:r w:rsidRPr="00412BD0">
        <w:rPr>
          <w:rFonts w:cs="Times New Roman"/>
          <w:lang w:val="en-US" w:eastAsia="en-GB"/>
        </w:rPr>
        <w:t xml:space="preserve">The claim that investment treaty law and its remedial mechanism promote good governance in host States is </w:t>
      </w:r>
      <w:r w:rsidRPr="00412BD0">
        <w:rPr>
          <w:rFonts w:cs="Times New Roman"/>
          <w:lang w:val="en-US"/>
        </w:rPr>
        <w:t xml:space="preserve">premised on the assumption that governments are rational decision-makers, and that the monetary consequences will necessarily lead to preventative practices in the form of better decision-making and </w:t>
      </w:r>
      <w:r w:rsidRPr="00412BD0">
        <w:rPr>
          <w:rFonts w:cs="Times New Roman"/>
          <w:i/>
          <w:lang w:val="en-US"/>
        </w:rPr>
        <w:t xml:space="preserve">ex ante </w:t>
      </w:r>
      <w:r w:rsidRPr="00412BD0">
        <w:rPr>
          <w:rFonts w:cs="Times New Roman"/>
          <w:lang w:val="en-US"/>
        </w:rPr>
        <w:t>compliance with investment treaty standards. Again, however, much of the existing scholarship tends to assume rather than examine in any real detail the impact of investment treaty remedies beyond the immediate effect of damages awards on the economic interests of investors.</w:t>
      </w:r>
      <w:r w:rsidRPr="00412BD0">
        <w:rPr>
          <w:rStyle w:val="FootnoteReference"/>
          <w:lang w:val="en-US"/>
        </w:rPr>
        <w:footnoteReference w:id="45"/>
      </w:r>
      <w:r w:rsidRPr="00412BD0">
        <w:rPr>
          <w:rFonts w:cs="Times New Roman"/>
          <w:lang w:val="en-US"/>
        </w:rPr>
        <w:t xml:space="preserve"> To what extent can States and public officials involved in investor-State relations be viewed as rational actors? A wealth of useful insights can be drawn from emerging empirical evaluations as well as interdisciplinary legal studies, including law and economics and behavioral legal analyses of the effect of liability rules on the behavior of the State.</w:t>
      </w:r>
      <w:r w:rsidRPr="00412BD0">
        <w:rPr>
          <w:rStyle w:val="FootnoteReference"/>
          <w:lang w:val="en-US"/>
        </w:rPr>
        <w:footnoteReference w:id="46"/>
      </w:r>
      <w:r w:rsidRPr="00412BD0">
        <w:rPr>
          <w:rFonts w:cs="Times New Roman"/>
          <w:lang w:val="en-US"/>
        </w:rPr>
        <w:t xml:space="preserve"> The assumption that States and public officials are rational actors is based on the premise that, under conditions of resource-scarcity, humans act as utility-maximizing, self-interested beings that respond to incentives in accordance with stable preference-ordering. When applied to investment treaty law, this assumption raises at least two questions: (1) what is the relationship between individual acts and collective decision-making in the context of governmental conduct that affects a foreign investor? (2) </w:t>
      </w:r>
      <w:proofErr w:type="gramStart"/>
      <w:r w:rsidRPr="00412BD0">
        <w:rPr>
          <w:rFonts w:cs="Times New Roman"/>
          <w:lang w:val="en-US"/>
        </w:rPr>
        <w:t>what</w:t>
      </w:r>
      <w:proofErr w:type="gramEnd"/>
      <w:r w:rsidRPr="00412BD0">
        <w:rPr>
          <w:rFonts w:cs="Times New Roman"/>
          <w:lang w:val="en-US"/>
        </w:rPr>
        <w:t xml:space="preserve"> would ‘preference ordering’ mean in a concrete situation involving a government official in a developing/underdeveloped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Experimental and empirical research has already shown that in many cases human behavior diverges from theoretical assumptions about rationality. To mention one example, as part of their recent study into why states sign investment treaties, </w:t>
      </w:r>
      <w:proofErr w:type="spellStart"/>
      <w:r w:rsidRPr="00412BD0">
        <w:rPr>
          <w:rFonts w:cs="Times New Roman"/>
          <w:lang w:val="en-US"/>
        </w:rPr>
        <w:t>Aisbett</w:t>
      </w:r>
      <w:proofErr w:type="spellEnd"/>
      <w:r w:rsidRPr="00412BD0">
        <w:rPr>
          <w:rFonts w:cs="Times New Roman"/>
          <w:lang w:val="en-US"/>
        </w:rPr>
        <w:t xml:space="preserve"> and </w:t>
      </w:r>
      <w:proofErr w:type="spellStart"/>
      <w:r w:rsidRPr="00412BD0">
        <w:rPr>
          <w:rFonts w:cs="Times New Roman"/>
          <w:lang w:val="en-US"/>
        </w:rPr>
        <w:t>Poulsen</w:t>
      </w:r>
      <w:proofErr w:type="spellEnd"/>
      <w:r w:rsidRPr="00412BD0">
        <w:rPr>
          <w:rFonts w:cs="Times New Roman"/>
          <w:lang w:val="en-US"/>
        </w:rPr>
        <w:t xml:space="preserve"> have concluded that developing countries have acted “predictably irrationally” by ignoring available information about the consequences of investment treaties and their potency.</w:t>
      </w:r>
      <w:r w:rsidRPr="00412BD0">
        <w:rPr>
          <w:rStyle w:val="FootnoteReference"/>
          <w:lang w:val="en-US"/>
        </w:rPr>
        <w:footnoteReference w:id="47"/>
      </w:r>
    </w:p>
    <w:p w:rsidR="00753AD4" w:rsidRPr="00412BD0" w:rsidRDefault="00753AD4" w:rsidP="00412BD0">
      <w:pPr>
        <w:jc w:val="both"/>
        <w:rPr>
          <w:rFonts w:cs="Times New Roman"/>
          <w:lang w:val="en-US"/>
        </w:rPr>
      </w:pPr>
      <w:r w:rsidRPr="00412BD0">
        <w:rPr>
          <w:rFonts w:cs="Times New Roman"/>
          <w:lang w:val="en-US"/>
        </w:rPr>
        <w:t>It should also be acknowledged that “individuals’ behavior and normative choices are significantly affected by the social context and socio-cultural factors.”</w:t>
      </w:r>
      <w:r w:rsidRPr="00412BD0">
        <w:rPr>
          <w:rStyle w:val="FootnoteReference"/>
          <w:lang w:val="en-US"/>
        </w:rPr>
        <w:footnoteReference w:id="48"/>
      </w:r>
      <w:r w:rsidRPr="00412BD0">
        <w:rPr>
          <w:rFonts w:cs="Times New Roman"/>
          <w:lang w:val="en-US"/>
        </w:rPr>
        <w:t xml:space="preserve"> Human action is not only “shaped by relevant economic constraints but also highly affected by people’s endogenous preferences, </w:t>
      </w:r>
      <w:r w:rsidRPr="00412BD0">
        <w:rPr>
          <w:rFonts w:cs="Times New Roman"/>
          <w:lang w:val="en-US"/>
        </w:rPr>
        <w:lastRenderedPageBreak/>
        <w:t>knowledge, skills, endowments, and a variety of psychological and physical constraints.”</w:t>
      </w:r>
      <w:r w:rsidRPr="00412BD0">
        <w:rPr>
          <w:rStyle w:val="FootnoteReference"/>
          <w:lang w:val="en-US"/>
        </w:rPr>
        <w:footnoteReference w:id="49"/>
      </w:r>
      <w:r w:rsidRPr="00412BD0">
        <w:rPr>
          <w:rFonts w:cs="Times New Roman"/>
          <w:lang w:val="en-US"/>
        </w:rPr>
        <w:t xml:space="preserve"> Indeed, bureaucratic behavior in developing States can be significantly influenced by conditions that are dramatically different from those in which western bureaucrats operate. Furthermore, international investment disputes usually arise from investor encounters with individual bureaucrats as well as with collective decision-makers. Each of these should be analyzed separately as individual and collective conduct may be subject to different influences. As </w:t>
      </w:r>
      <w:proofErr w:type="spellStart"/>
      <w:r w:rsidRPr="00412BD0">
        <w:rPr>
          <w:rFonts w:cs="Times New Roman"/>
          <w:lang w:val="en-US"/>
        </w:rPr>
        <w:t>Broude</w:t>
      </w:r>
      <w:proofErr w:type="spellEnd"/>
      <w:r w:rsidRPr="00412BD0">
        <w:rPr>
          <w:rFonts w:cs="Times New Roman"/>
          <w:lang w:val="en-US"/>
        </w:rPr>
        <w:t xml:space="preserve"> suggests, methodological </w:t>
      </w:r>
      <w:proofErr w:type="spellStart"/>
      <w:r w:rsidRPr="00412BD0">
        <w:rPr>
          <w:rFonts w:cs="Times New Roman"/>
          <w:lang w:val="en-US"/>
        </w:rPr>
        <w:t>statism</w:t>
      </w:r>
      <w:proofErr w:type="spellEnd"/>
      <w:r w:rsidRPr="00412BD0">
        <w:rPr>
          <w:rFonts w:cs="Times New Roman"/>
          <w:lang w:val="en-US"/>
        </w:rPr>
        <w:t xml:space="preserve"> ought to be avoided in favor of “recognition that states do not make decisions relating to international law</w:t>
      </w:r>
      <w:r w:rsidR="0014779D" w:rsidRPr="00412BD0">
        <w:rPr>
          <w:rFonts w:cs="Times New Roman"/>
          <w:lang w:val="en-US"/>
        </w:rPr>
        <w:fldChar w:fldCharType="begin"/>
      </w:r>
      <w:r w:rsidRPr="00412BD0">
        <w:rPr>
          <w:lang w:val="en-GB"/>
        </w:rPr>
        <w:instrText xml:space="preserve"> XE "</w:instrText>
      </w:r>
      <w:r w:rsidRPr="00412BD0">
        <w:rPr>
          <w:rFonts w:cs="Courier"/>
          <w:lang w:val="en-US" w:eastAsia="zh-TW"/>
        </w:rPr>
        <w:instrText>international law</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people do, or most often, groups of people.”</w:t>
      </w:r>
      <w:r w:rsidRPr="00412BD0">
        <w:rPr>
          <w:rStyle w:val="FootnoteReference"/>
          <w:lang w:val="en-US"/>
        </w:rPr>
        <w:footnoteReference w:id="50"/>
      </w:r>
    </w:p>
    <w:p w:rsidR="00753AD4" w:rsidRPr="00412BD0" w:rsidRDefault="00753AD4" w:rsidP="00412BD0">
      <w:pPr>
        <w:jc w:val="both"/>
        <w:rPr>
          <w:rFonts w:cs="Times New Roman"/>
          <w:lang w:val="en-US"/>
        </w:rPr>
      </w:pPr>
      <w:r w:rsidRPr="00412BD0">
        <w:rPr>
          <w:rFonts w:cs="Times New Roman"/>
          <w:lang w:val="en-US"/>
        </w:rPr>
        <w:t xml:space="preserve">Given that many </w:t>
      </w:r>
      <w:r w:rsidR="001774D7" w:rsidRPr="00412BD0">
        <w:rPr>
          <w:rFonts w:cs="Times New Roman"/>
          <w:lang w:val="en-US"/>
        </w:rPr>
        <w:t>decisions on</w:t>
      </w:r>
      <w:r w:rsidRPr="00412BD0">
        <w:rPr>
          <w:rFonts w:cs="Times New Roman"/>
          <w:lang w:val="en-US"/>
        </w:rPr>
        <w:t xml:space="preserve"> compliance or non-compliance with international law</w:t>
      </w:r>
      <w:r w:rsidR="0014779D" w:rsidRPr="00412BD0">
        <w:rPr>
          <w:rFonts w:cs="Times New Roman"/>
          <w:lang w:val="en-US"/>
        </w:rPr>
        <w:fldChar w:fldCharType="begin"/>
      </w:r>
      <w:r w:rsidRPr="00412BD0">
        <w:rPr>
          <w:lang w:val="en-GB"/>
        </w:rPr>
        <w:instrText xml:space="preserve"> XE "</w:instrText>
      </w:r>
      <w:r w:rsidRPr="00412BD0">
        <w:rPr>
          <w:rFonts w:cs="Courier"/>
          <w:lang w:val="en-US" w:eastAsia="zh-TW"/>
        </w:rPr>
        <w:instrText>international law</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are ultimately made by individuals,</w:t>
      </w:r>
      <w:r w:rsidRPr="00412BD0">
        <w:rPr>
          <w:rStyle w:val="FootnoteReference"/>
          <w:lang w:val="en-US"/>
        </w:rPr>
        <w:footnoteReference w:id="51"/>
      </w:r>
      <w:r w:rsidRPr="00412BD0">
        <w:rPr>
          <w:rFonts w:cs="Times New Roman"/>
          <w:lang w:val="en-US"/>
        </w:rPr>
        <w:t xml:space="preserve"> would holding a host government to monetary liability have a subsequent deterrent effect and promote </w:t>
      </w:r>
      <w:r w:rsidRPr="00412BD0">
        <w:rPr>
          <w:rFonts w:cs="Times New Roman"/>
          <w:i/>
          <w:lang w:val="en-US"/>
        </w:rPr>
        <w:t>ex ante</w:t>
      </w:r>
      <w:r w:rsidRPr="00412BD0">
        <w:rPr>
          <w:rFonts w:cs="Times New Roman"/>
          <w:lang w:val="en-US"/>
        </w:rPr>
        <w:t xml:space="preserve"> compliance with investment treaty rules, thus arguably leading to improved governance at a national level? In theory, the imposition of monetary liability on the State should compel a governmental agency to assume a responsibility for detecting, identifying, and controlling risk-increasing activities in which its departments and employees engage.</w:t>
      </w:r>
      <w:r w:rsidRPr="00412BD0">
        <w:rPr>
          <w:rStyle w:val="FootnoteReference"/>
          <w:lang w:val="en-US"/>
        </w:rPr>
        <w:footnoteReference w:id="52"/>
      </w:r>
      <w:r w:rsidRPr="00412BD0">
        <w:rPr>
          <w:rFonts w:cs="Times New Roman"/>
          <w:lang w:val="en-US"/>
        </w:rPr>
        <w:t xml:space="preserve"> Governments could be expected to put in place risk management measures to identify potential exposure to, and reduce the probability and magnitude of monetary liability.</w:t>
      </w:r>
      <w:r w:rsidRPr="00412BD0">
        <w:rPr>
          <w:rStyle w:val="FootnoteReference"/>
          <w:rFonts w:cs="Times New Roman"/>
          <w:lang w:val="en-US"/>
        </w:rPr>
        <w:t xml:space="preserve"> </w:t>
      </w:r>
      <w:r w:rsidRPr="00412BD0">
        <w:rPr>
          <w:rStyle w:val="FootnoteReference"/>
          <w:lang w:val="en-US"/>
        </w:rPr>
        <w:footnoteReference w:id="53"/>
      </w:r>
      <w:r w:rsidRPr="00412BD0">
        <w:rPr>
          <w:rFonts w:cs="Times New Roman"/>
          <w:lang w:val="en-US"/>
        </w:rPr>
        <w:t xml:space="preserve"> Such measures may include employee training programs and remuneration policies that link the cost of governmental responsibility to salaries and promotions. The capacity of the external regime to induce government officials to act in a certain manner and to refrain from certain types of behavior will hinge on the targeted government’s “monitoring ability”.</w:t>
      </w:r>
      <w:r w:rsidRPr="00412BD0">
        <w:rPr>
          <w:rStyle w:val="FootnoteReference"/>
          <w:lang w:val="en-US"/>
        </w:rPr>
        <w:footnoteReference w:id="54"/>
      </w:r>
      <w:r w:rsidRPr="00412BD0">
        <w:rPr>
          <w:rFonts w:cs="Times New Roman"/>
          <w:lang w:val="en-US"/>
        </w:rPr>
        <w:t xml:space="preserve"> A lack of proper incentive to avoid harm arises where neither the government nor its employees bear the costs of the harms that they cause.</w:t>
      </w:r>
      <w:r w:rsidRPr="00412BD0">
        <w:rPr>
          <w:rStyle w:val="FootnoteReference"/>
          <w:lang w:val="en-US"/>
        </w:rPr>
        <w:footnoteReference w:id="55"/>
      </w:r>
      <w:r w:rsidRPr="00412BD0">
        <w:rPr>
          <w:rFonts w:cs="Times New Roman"/>
          <w:lang w:val="en-US"/>
        </w:rPr>
        <w:t xml:space="preserve"> Thus, in order for investment treaty law to have an incentivizing and transformative effect on national governance practices in a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an internal loss-allocation regime should be in place to ensure that monetary losses incurred as a result of damages awards are shifted to a governmental agency which has managerial, supervisory, and budgetary authority and political power over bureaucrats whose activities lead to state liability.</w:t>
      </w:r>
      <w:r w:rsidRPr="00412BD0">
        <w:rPr>
          <w:rStyle w:val="FootnoteReference"/>
          <w:lang w:val="en-US"/>
        </w:rPr>
        <w:footnoteReference w:id="56"/>
      </w:r>
    </w:p>
    <w:p w:rsidR="00753AD4" w:rsidRPr="00412BD0" w:rsidRDefault="00753AD4" w:rsidP="00412BD0">
      <w:pPr>
        <w:jc w:val="both"/>
        <w:rPr>
          <w:rFonts w:cs="Times New Roman"/>
          <w:lang w:val="en-US"/>
        </w:rPr>
      </w:pPr>
      <w:r w:rsidRPr="00412BD0">
        <w:rPr>
          <w:rFonts w:cs="Times New Roman"/>
          <w:lang w:val="en-US"/>
        </w:rPr>
        <w:t>However, in practice imposing liability on host governments does not necessarily lead to a risk-averse bureaucratic behavior. This preliminary conclusion draws on sample case-studies of national legal rules governing the payment of damages in connection with claims against state organs and government officials.</w:t>
      </w:r>
      <w:r w:rsidRPr="00412BD0">
        <w:rPr>
          <w:rStyle w:val="FootnoteReference"/>
          <w:lang w:val="en-US"/>
        </w:rPr>
        <w:footnoteReference w:id="57"/>
      </w:r>
      <w:r w:rsidRPr="00412BD0">
        <w:rPr>
          <w:rFonts w:cs="Times New Roman"/>
          <w:lang w:val="en-US"/>
        </w:rPr>
        <w:t xml:space="preserve"> It transpires that governments may often fail to respond to liability rules in the expected manner, and this finding undermines the strength of arguments postulating the positive impact of </w:t>
      </w:r>
      <w:r w:rsidRPr="00412BD0">
        <w:rPr>
          <w:rFonts w:cs="Times New Roman"/>
          <w:lang w:val="en-US"/>
        </w:rPr>
        <w:lastRenderedPageBreak/>
        <w:t>investment treaty norms on governance in host States. Sociologically, the very ability of the host government to act sensitively and thus respond to the harmful consequences of international liability by changing relevant practices can be severely circumscribed by the very weaknesses in the domestic legal and bureaucratic culture which international investment law can allegedly improve. Such shortcomings interfere with government ability to create and maintain an effective internal loss-allocation mechanism. Governments in democratic States with high levels of institutional capacity are more likely to show sensitivity to the imposition of international liability than those with a long record of pervasive corruption</w:t>
      </w:r>
      <w:r w:rsidR="0014779D" w:rsidRPr="00412BD0">
        <w:rPr>
          <w:rFonts w:cs="Times New Roman"/>
          <w:lang w:val="en-US"/>
        </w:rPr>
        <w:fldChar w:fldCharType="begin"/>
      </w:r>
      <w:r w:rsidRPr="00412BD0">
        <w:rPr>
          <w:lang w:val="en-GB"/>
        </w:rPr>
        <w:instrText xml:space="preserve"> XE "</w:instrText>
      </w:r>
      <w:r w:rsidRPr="00412BD0">
        <w:rPr>
          <w:lang w:val="en-US"/>
        </w:rPr>
        <w:instrText>corruption</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and cronyism.</w:t>
      </w:r>
      <w:r w:rsidRPr="00412BD0">
        <w:rPr>
          <w:rStyle w:val="FootnoteReference"/>
          <w:lang w:val="en-US"/>
        </w:rPr>
        <w:footnoteReference w:id="58"/>
      </w:r>
    </w:p>
    <w:p w:rsidR="00753AD4" w:rsidRPr="00412BD0" w:rsidRDefault="00753AD4" w:rsidP="00412BD0">
      <w:pPr>
        <w:pStyle w:val="Heading2"/>
        <w:rPr>
          <w:lang w:val="en-US"/>
        </w:rPr>
      </w:pPr>
      <w:r w:rsidRPr="00412BD0">
        <w:rPr>
          <w:lang w:val="en-US"/>
        </w:rPr>
        <w:t>The Negative Impact of Investment Treaty Remedies: Deterring Good Governance?</w:t>
      </w:r>
    </w:p>
    <w:p w:rsidR="00753AD4" w:rsidRPr="00412BD0" w:rsidRDefault="00753AD4" w:rsidP="00412BD0">
      <w:pPr>
        <w:jc w:val="both"/>
        <w:rPr>
          <w:rFonts w:cs="Times New Roman"/>
          <w:lang w:val="en-US"/>
        </w:rPr>
      </w:pPr>
      <w:r w:rsidRPr="00412BD0">
        <w:rPr>
          <w:rFonts w:cs="Times New Roman"/>
          <w:lang w:val="en-US"/>
        </w:rPr>
        <w:t>Theoretically, if one accepts the argument that investment treaty standards and the imposition of monetary liability for their breach would act as a powerful incentive to change bureaucratic practices and culture in host States, then the very existence of such an incentivizing effect can be seen as confirming the possibility of a chilling effect on government decision-making. Put differently, if investment treaty law is capable of producing a transformative effect on government behavior, there is a likelihood that such effect will not always be positive (</w:t>
      </w:r>
      <w:r w:rsidRPr="00412BD0">
        <w:rPr>
          <w:rFonts w:cs="Times New Roman"/>
          <w:i/>
          <w:lang w:val="en-US"/>
        </w:rPr>
        <w:t>i.e.</w:t>
      </w:r>
      <w:r w:rsidRPr="00412BD0">
        <w:rPr>
          <w:rFonts w:cs="Times New Roman"/>
          <w:lang w:val="en-US"/>
        </w:rPr>
        <w:t xml:space="preserve"> stimulate compliance with good governance standards) but in some cases negative (</w:t>
      </w:r>
      <w:r w:rsidRPr="00412BD0">
        <w:rPr>
          <w:rFonts w:cs="Times New Roman"/>
          <w:i/>
          <w:lang w:val="en-US"/>
        </w:rPr>
        <w:t>i.e.</w:t>
      </w:r>
      <w:r w:rsidRPr="00412BD0">
        <w:rPr>
          <w:rFonts w:cs="Times New Roman"/>
          <w:lang w:val="en-US"/>
        </w:rPr>
        <w:t xml:space="preserve"> inhibit governments from otherwise desirable action and lead to the so-called regulatory chill).</w:t>
      </w:r>
    </w:p>
    <w:p w:rsidR="00753AD4" w:rsidRPr="00412BD0" w:rsidRDefault="00753AD4" w:rsidP="00412BD0">
      <w:pPr>
        <w:jc w:val="both"/>
        <w:rPr>
          <w:rFonts w:cs="Times New Roman"/>
          <w:color w:val="000000"/>
          <w:lang w:val="en-US"/>
        </w:rPr>
      </w:pPr>
      <w:r w:rsidRPr="00412BD0">
        <w:rPr>
          <w:rFonts w:cs="Times New Roman"/>
          <w:color w:val="000000"/>
          <w:lang w:val="en-US"/>
        </w:rPr>
        <w:t>The existence of a chilling effect of investment treaty law on national regulatory activity is a matter of an ongoing scholarly debate, particularly in the context of a clash between investment protection and States’ regulatory freedom to pursue environment protection, health and safety, and other public policy</w:t>
      </w:r>
      <w:r w:rsidR="0014779D" w:rsidRPr="00412BD0">
        <w:rPr>
          <w:rFonts w:cs="Times New Roman"/>
          <w:color w:val="000000"/>
          <w:lang w:val="en-US"/>
        </w:rPr>
        <w:fldChar w:fldCharType="begin"/>
      </w:r>
      <w:r w:rsidRPr="00412BD0">
        <w:rPr>
          <w:lang w:val="en-GB"/>
        </w:rPr>
        <w:instrText xml:space="preserve"> XE "</w:instrText>
      </w:r>
      <w:r w:rsidRPr="00412BD0">
        <w:rPr>
          <w:lang w:val="en-US"/>
        </w:rPr>
        <w:instrText>public policy</w:instrText>
      </w:r>
      <w:r w:rsidRPr="00412BD0">
        <w:rPr>
          <w:lang w:val="en-GB"/>
        </w:rPr>
        <w:instrText xml:space="preserve">" </w:instrText>
      </w:r>
      <w:r w:rsidR="0014779D" w:rsidRPr="00412BD0">
        <w:rPr>
          <w:rFonts w:cs="Times New Roman"/>
          <w:color w:val="000000"/>
          <w:lang w:val="en-US"/>
        </w:rPr>
        <w:fldChar w:fldCharType="end"/>
      </w:r>
      <w:r w:rsidRPr="00412BD0">
        <w:rPr>
          <w:rFonts w:cs="Times New Roman"/>
          <w:color w:val="000000"/>
          <w:lang w:val="en-US"/>
        </w:rPr>
        <w:t xml:space="preserve"> measures. Some scholars have argued that investment treaties “</w:t>
      </w:r>
      <w:r w:rsidRPr="00412BD0">
        <w:rPr>
          <w:rFonts w:cs="Times New Roman"/>
          <w:i/>
          <w:color w:val="000000"/>
          <w:lang w:val="en-US"/>
        </w:rPr>
        <w:t>should</w:t>
      </w:r>
      <w:r w:rsidRPr="00412BD0">
        <w:rPr>
          <w:rFonts w:cs="Times New Roman"/>
          <w:color w:val="000000"/>
          <w:lang w:val="en-US"/>
        </w:rPr>
        <w:t xml:space="preserve"> not lead to a chill on environmental regulation nor obstruct measures that are introduced in an attempt to mitigate climate change.”</w:t>
      </w:r>
      <w:r w:rsidRPr="00412BD0">
        <w:rPr>
          <w:rStyle w:val="FootnoteReference"/>
          <w:lang w:val="en-US"/>
        </w:rPr>
        <w:footnoteReference w:id="59"/>
      </w:r>
      <w:r w:rsidRPr="00412BD0">
        <w:rPr>
          <w:rStyle w:val="FootnoteReference"/>
          <w:rFonts w:cs="Times New Roman"/>
          <w:lang w:val="en-US"/>
        </w:rPr>
        <w:t xml:space="preserve"> </w:t>
      </w:r>
      <w:r w:rsidRPr="00412BD0">
        <w:rPr>
          <w:rFonts w:cs="Times New Roman"/>
          <w:color w:val="000000"/>
          <w:lang w:val="en-US"/>
        </w:rPr>
        <w:t>This proposition, however, does not engage with empirical and theoretical studies on the effect of international rules on government conduct. Other contributions to the debate indicate that international investment treaties are likely to and in some cases do have a chilling effect on regulatory conduct.</w:t>
      </w:r>
      <w:r w:rsidRPr="00412BD0">
        <w:rPr>
          <w:rStyle w:val="FootnoteReference"/>
          <w:lang w:val="en-US"/>
        </w:rPr>
        <w:footnoteReference w:id="60"/>
      </w:r>
      <w:r w:rsidRPr="00412BD0">
        <w:rPr>
          <w:rFonts w:cs="Times New Roman"/>
          <w:color w:val="000000"/>
          <w:lang w:val="en-US"/>
        </w:rPr>
        <w:t xml:space="preserve"> The aim of this project is not to record the fact that investment treaties restrict regulatory powers but rather to test this claim from various angles. </w:t>
      </w:r>
    </w:p>
    <w:p w:rsidR="00753AD4" w:rsidRPr="00412BD0" w:rsidRDefault="00753AD4" w:rsidP="00412BD0">
      <w:pPr>
        <w:jc w:val="both"/>
        <w:rPr>
          <w:rFonts w:cs="Times New Roman"/>
          <w:lang w:val="en-US"/>
        </w:rPr>
      </w:pPr>
      <w:r w:rsidRPr="00412BD0">
        <w:rPr>
          <w:rFonts w:cs="Times New Roman"/>
          <w:lang w:val="en-US"/>
        </w:rPr>
        <w:t>First, the effect of investment treaty norms on government decision-making needs to be examined against the backdrop of existing scholarship on regulatory chill in international economic law, with focus on qualitative evidence of a chilling effect of international norms on policy-making in such areas as environment protection and renewable energy development. It has been reported, for instance, that even in polities such as the EU, regulatory innovation can be hampered by a threat of international review and economic sanctions.</w:t>
      </w:r>
      <w:r w:rsidRPr="00412BD0">
        <w:rPr>
          <w:rStyle w:val="FootnoteReference"/>
          <w:lang w:val="en-US"/>
        </w:rPr>
        <w:footnoteReference w:id="61"/>
      </w:r>
      <w:r w:rsidRPr="00412BD0">
        <w:rPr>
          <w:rFonts w:cs="Times New Roman"/>
          <w:lang w:val="en-US"/>
        </w:rPr>
        <w:t xml:space="preserve"> Second, it is suggested that regulatory chill should be examined as a </w:t>
      </w:r>
      <w:r w:rsidRPr="00412BD0">
        <w:rPr>
          <w:rFonts w:cs="Times New Roman"/>
          <w:lang w:val="en-US"/>
        </w:rPr>
        <w:lastRenderedPageBreak/>
        <w:t>form of excessive risk-reduction strategy triggered by the imposition of monetary liability on the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Host States where internal risk-reduction mechanisms are in place are likely to be more susceptible to a chilling effect of investment treaty norms. This preliminary conclusion is supported by a recent study on bounded rationality, which suggests that decision-making in the investment treaty context varies with the extent of expertise in relevant government agencies and that developed countries with higher levels of administrative capacity may display different patterns of learning from their investment treaty experience.</w:t>
      </w:r>
      <w:r w:rsidRPr="00412BD0">
        <w:rPr>
          <w:rStyle w:val="FootnoteReference"/>
          <w:lang w:val="en-US"/>
        </w:rPr>
        <w:footnoteReference w:id="62"/>
      </w:r>
    </w:p>
    <w:p w:rsidR="00753AD4" w:rsidRPr="00412BD0" w:rsidRDefault="00753AD4" w:rsidP="00412BD0">
      <w:pPr>
        <w:jc w:val="both"/>
        <w:rPr>
          <w:rFonts w:cs="Times New Roman"/>
          <w:lang w:val="en-US"/>
        </w:rPr>
      </w:pPr>
      <w:r w:rsidRPr="00412BD0">
        <w:rPr>
          <w:rFonts w:cs="Times New Roman"/>
          <w:lang w:val="en-US"/>
        </w:rPr>
        <w:t>Another neglected facet of the relationship between good governance and regulatory chill is the fact that good governance is not confined to the requirements of transparency</w:t>
      </w:r>
      <w:r w:rsidR="0014779D" w:rsidRPr="00412BD0">
        <w:rPr>
          <w:rFonts w:cs="Times New Roman"/>
          <w:lang w:val="en-US"/>
        </w:rPr>
        <w:fldChar w:fldCharType="begin"/>
      </w:r>
      <w:r w:rsidRPr="00412BD0">
        <w:rPr>
          <w:lang w:val="en-GB"/>
        </w:rPr>
        <w:instrText xml:space="preserve"> XE "</w:instrText>
      </w:r>
      <w:r w:rsidRPr="00412BD0">
        <w:rPr>
          <w:lang w:val="en-US"/>
        </w:rPr>
        <w:instrText>transparency</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and consistency</w:t>
      </w:r>
      <w:r w:rsidR="0014779D" w:rsidRPr="00412BD0">
        <w:rPr>
          <w:rFonts w:cs="Times New Roman"/>
          <w:lang w:val="en-US"/>
        </w:rPr>
        <w:fldChar w:fldCharType="begin"/>
      </w:r>
      <w:r w:rsidRPr="00412BD0">
        <w:rPr>
          <w:lang w:val="en-GB"/>
        </w:rPr>
        <w:instrText xml:space="preserve"> XE "consistency" </w:instrText>
      </w:r>
      <w:r w:rsidR="0014779D" w:rsidRPr="00412BD0">
        <w:rPr>
          <w:rFonts w:cs="Times New Roman"/>
          <w:lang w:val="en-US"/>
        </w:rPr>
        <w:fldChar w:fldCharType="end"/>
      </w:r>
      <w:r w:rsidRPr="00412BD0">
        <w:rPr>
          <w:rFonts w:cs="Times New Roman"/>
          <w:lang w:val="en-US"/>
        </w:rPr>
        <w:t xml:space="preserve"> in dealing with foreign investors; it should also encompass the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’s obligation to adopt and implement policies that address challenges faced by a modern society, including protection of the environment, mitigation of climate change, and safeguarding of human rights. If States are expected to comply with good governance standards in their treatment of foreign investors, they should be afforded the corresponding degree of regulatory flexibility to ensure good governance in pursuing other policy objectives.</w:t>
      </w:r>
    </w:p>
    <w:p w:rsidR="00753AD4" w:rsidRPr="00412BD0" w:rsidRDefault="00753AD4" w:rsidP="00412BD0">
      <w:pPr>
        <w:jc w:val="both"/>
        <w:rPr>
          <w:rFonts w:cs="Times New Roman"/>
          <w:lang w:val="en-US"/>
        </w:rPr>
      </w:pPr>
      <w:r w:rsidRPr="00412BD0">
        <w:rPr>
          <w:rFonts w:cs="Times New Roman"/>
          <w:lang w:val="en-US"/>
        </w:rPr>
        <w:t xml:space="preserve">Finally, not only </w:t>
      </w:r>
      <w:proofErr w:type="gramStart"/>
      <w:r w:rsidRPr="00412BD0">
        <w:rPr>
          <w:rFonts w:cs="Times New Roman"/>
          <w:lang w:val="en-US"/>
        </w:rPr>
        <w:t>may</w:t>
      </w:r>
      <w:proofErr w:type="gramEnd"/>
      <w:r w:rsidRPr="00412BD0">
        <w:rPr>
          <w:rFonts w:cs="Times New Roman"/>
          <w:lang w:val="en-US"/>
        </w:rPr>
        <w:t xml:space="preserve"> developing countries respond differently to investment treaty norms than their more developed counterparts, but the effect of such norms – be it incentivizing or chilling—may also take different forms. Quite apart from fostering good governance and the rule of law in host States, investment treaty law may have a chilling effect not just by subjecting host governments to the threat of monetary liability but also by exposing them to the vagaries of inconsistency, ambiguity and unpredictable interpretation of its substantive provisions.</w:t>
      </w:r>
      <w:r w:rsidRPr="00412BD0">
        <w:rPr>
          <w:rStyle w:val="FootnoteReference"/>
          <w:lang w:val="en-US"/>
        </w:rPr>
        <w:footnoteReference w:id="63"/>
      </w:r>
      <w:r w:rsidRPr="00412BD0">
        <w:rPr>
          <w:rFonts w:cs="Times New Roman"/>
          <w:lang w:val="en-US"/>
        </w:rPr>
        <w:t xml:space="preserve"> Likewise, the imposition of stringent and demanding good governance standards on host States tends to highlight the difference in the respective positions of domestic and foreign claimants: the former can rarely if ever avail themselves of the opportunity to obtain monetary damages against their own governments, let alone on such grounds as a failure to maintain transparency</w:t>
      </w:r>
      <w:r w:rsidR="0014779D" w:rsidRPr="00412BD0">
        <w:rPr>
          <w:rFonts w:cs="Times New Roman"/>
          <w:lang w:val="en-US"/>
        </w:rPr>
        <w:fldChar w:fldCharType="begin"/>
      </w:r>
      <w:r w:rsidRPr="00412BD0">
        <w:rPr>
          <w:lang w:val="en-GB"/>
        </w:rPr>
        <w:instrText xml:space="preserve"> XE "</w:instrText>
      </w:r>
      <w:r w:rsidRPr="00412BD0">
        <w:rPr>
          <w:lang w:val="en-US"/>
        </w:rPr>
        <w:instrText>transparency</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stability and predictability. Scholars have persuasively argued that “requiring governments to compensate foreign investors for their losses, while not extending equivalent protection to other private actors, is likely to lead decision-makers to over-value the interests of foreign investors.”</w:t>
      </w:r>
      <w:r w:rsidRPr="00412BD0">
        <w:rPr>
          <w:rStyle w:val="FootnoteReference"/>
          <w:lang w:val="en-US"/>
        </w:rPr>
        <w:footnoteReference w:id="64"/>
      </w:r>
      <w:r w:rsidRPr="00412BD0">
        <w:rPr>
          <w:rFonts w:cs="Times New Roman"/>
          <w:lang w:val="en-US"/>
        </w:rPr>
        <w:t xml:space="preserve"> Holding the State liable for failing to maintain good governance standards </w:t>
      </w:r>
      <w:r w:rsidRPr="00412BD0">
        <w:rPr>
          <w:rFonts w:cs="Times New Roman"/>
          <w:i/>
          <w:lang w:val="en-US"/>
        </w:rPr>
        <w:t>vis-à-vis</w:t>
      </w:r>
      <w:r w:rsidRPr="00412BD0">
        <w:rPr>
          <w:rFonts w:cs="Times New Roman"/>
          <w:lang w:val="en-US"/>
        </w:rPr>
        <w:t xml:space="preserve"> foreign investors may translate into a pressure to treat foreign investors better than other businesses, as opposed to changing the generally prevailing governance culture and practices that had led to liability in the first place. There is little doubt that over-valuing foreign investors’ interests is unlikely to benefit host communities through a spill-over of good governance practices into the domestic sphere.</w:t>
      </w:r>
      <w:r w:rsidRPr="00412BD0">
        <w:rPr>
          <w:rStyle w:val="FootnoteReference"/>
          <w:lang w:val="en-US"/>
        </w:rPr>
        <w:footnoteReference w:id="65"/>
      </w:r>
      <w:r w:rsidRPr="00412BD0">
        <w:rPr>
          <w:rFonts w:cs="Times New Roman"/>
          <w:lang w:val="en-US"/>
        </w:rPr>
        <w:t xml:space="preserve"> Instead, the disadvantaging of domestic investors may lead to the internal political opposition and backlash against investment treaty law.</w:t>
      </w:r>
      <w:r w:rsidRPr="00412BD0">
        <w:rPr>
          <w:rStyle w:val="FootnoteReference"/>
          <w:lang w:val="en-US"/>
        </w:rPr>
        <w:footnoteReference w:id="66"/>
      </w:r>
      <w:r w:rsidRPr="00412BD0">
        <w:rPr>
          <w:rFonts w:cs="Times New Roman"/>
          <w:lang w:val="en-US"/>
        </w:rPr>
        <w:t xml:space="preserve"> The very fact that investment treaty </w:t>
      </w:r>
      <w:r w:rsidRPr="00412BD0">
        <w:rPr>
          <w:rFonts w:cs="Times New Roman"/>
          <w:lang w:val="en-US"/>
        </w:rPr>
        <w:lastRenderedPageBreak/>
        <w:t>remedies may lead to domestic discontent, backlash and even withdrawal shows that States do not always respond to such remedies positively.</w:t>
      </w:r>
    </w:p>
    <w:p w:rsidR="00753AD4" w:rsidRPr="00412BD0" w:rsidRDefault="00753AD4" w:rsidP="00412BD0">
      <w:pPr>
        <w:pStyle w:val="Heading2"/>
        <w:rPr>
          <w:lang w:val="en-US"/>
        </w:rPr>
      </w:pPr>
      <w:r w:rsidRPr="00412BD0">
        <w:rPr>
          <w:lang w:val="en-US"/>
        </w:rPr>
        <w:t>The Role of Remedy Design in Inducing Compliance with Investment Treaty Rules: Functional, Sociological, and Comparative Observations</w:t>
      </w:r>
    </w:p>
    <w:p w:rsidR="00753AD4" w:rsidRPr="00412BD0" w:rsidRDefault="00753AD4" w:rsidP="00412BD0">
      <w:pPr>
        <w:jc w:val="both"/>
        <w:rPr>
          <w:rFonts w:cs="Times New Roman"/>
          <w:color w:val="000000"/>
          <w:lang w:val="en-US"/>
        </w:rPr>
      </w:pPr>
      <w:r w:rsidRPr="00412BD0">
        <w:rPr>
          <w:rFonts w:cs="Times New Roman"/>
          <w:lang w:val="en-US"/>
        </w:rPr>
        <w:t xml:space="preserve">The focus of the foregoing analysis was on the conceptual flaws and practical problems besetting the argument that claims a transformative impact of investment treaty law on governance in host States. Given its historical origins and existing design, the international investment regime appears to be an unlikely candidate for bringing about positive transformation in legal and bureaucratic culture and practices in host States. This, however, does not obviate the need to examine how the regime could be reformed and </w:t>
      </w:r>
      <w:r w:rsidR="00C6574B" w:rsidRPr="00412BD0">
        <w:rPr>
          <w:rFonts w:cs="Times New Roman"/>
          <w:lang w:val="en-US"/>
        </w:rPr>
        <w:t xml:space="preserve">optimized </w:t>
      </w:r>
      <w:r w:rsidRPr="00412BD0">
        <w:rPr>
          <w:rFonts w:cs="Times New Roman"/>
          <w:lang w:val="en-US"/>
        </w:rPr>
        <w:t xml:space="preserve">to facilitate its good governance mission, including whether and how </w:t>
      </w:r>
      <w:r w:rsidRPr="00412BD0">
        <w:rPr>
          <w:rFonts w:cs="Times New Roman"/>
          <w:i/>
          <w:lang w:val="en-US"/>
        </w:rPr>
        <w:t>ex ante</w:t>
      </w:r>
      <w:r w:rsidRPr="00412BD0">
        <w:rPr>
          <w:rFonts w:cs="Times New Roman"/>
          <w:lang w:val="en-US"/>
        </w:rPr>
        <w:t xml:space="preserve"> compliance with investment treaty prescriptions could be maximized through re-calibration of investment treaty remedies. </w:t>
      </w:r>
    </w:p>
    <w:p w:rsidR="00753AD4" w:rsidRPr="00412BD0" w:rsidRDefault="00753AD4" w:rsidP="00412BD0">
      <w:pPr>
        <w:jc w:val="both"/>
        <w:rPr>
          <w:rFonts w:cs="Times New Roman"/>
          <w:lang w:val="en-US"/>
        </w:rPr>
      </w:pPr>
      <w:r w:rsidRPr="00412BD0">
        <w:rPr>
          <w:rFonts w:cs="Times New Roman"/>
          <w:color w:val="000000"/>
          <w:lang w:val="en-US"/>
        </w:rPr>
        <w:t>In examining the effectiveness of monetary sanctions as a means of encouraging host governments to improve domestic governance, one can start with an observation that “</w:t>
      </w:r>
      <w:r w:rsidRPr="00412BD0">
        <w:rPr>
          <w:rFonts w:cs="Times New Roman"/>
          <w:lang w:val="en-US"/>
        </w:rPr>
        <w:t>the gains of economic liberalization should not be lost to its beneficiaries”.</w:t>
      </w:r>
      <w:r w:rsidRPr="00412BD0">
        <w:rPr>
          <w:rStyle w:val="FootnoteReference"/>
          <w:lang w:val="en-US"/>
        </w:rPr>
        <w:footnoteReference w:id="67"/>
      </w:r>
      <w:r w:rsidRPr="00412BD0">
        <w:rPr>
          <w:rFonts w:cs="Times New Roman"/>
          <w:lang w:val="en-US"/>
        </w:rPr>
        <w:t xml:space="preserve"> It has been shown earlier, with reference to the genesis of good governance standards in investment treaty law, that the creation of the international investment regime was historically justified by the need to foster economic development. Yet can good governance, and for that matter, economic development be fostered through the externally imposed and crippling financial sanctions on host States? Political science literature offers interesting insights: in areas where furthering policy reforms is an express and primary mandate of relevant international institutions, the implementation of regulatory and legal changes in national frameworks has been encouraged by a promise of financial assistance rather than a threat of financial sanctions. To mention some pertinent examples, World Bank</w:t>
      </w:r>
      <w:r w:rsidR="0014779D" w:rsidRPr="00412BD0">
        <w:rPr>
          <w:rFonts w:cs="Times New Roman"/>
          <w:lang w:val="en-US"/>
        </w:rPr>
        <w:fldChar w:fldCharType="begin"/>
      </w:r>
      <w:r w:rsidRPr="00412BD0">
        <w:rPr>
          <w:lang w:val="en-GB"/>
        </w:rPr>
        <w:instrText xml:space="preserve"> XE "</w:instrText>
      </w:r>
      <w:r w:rsidRPr="00412BD0">
        <w:rPr>
          <w:lang w:val="en-US"/>
        </w:rPr>
        <w:instrText>World Bank</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and IMF norms “have transformed, or are in the process of transforming, domestic administration in large parts of the world.”</w:t>
      </w:r>
      <w:r w:rsidRPr="00412BD0">
        <w:rPr>
          <w:rStyle w:val="FootnoteReference"/>
          <w:lang w:val="en-US"/>
        </w:rPr>
        <w:footnoteReference w:id="68"/>
      </w:r>
      <w:r w:rsidRPr="00412BD0">
        <w:rPr>
          <w:rFonts w:cs="Times New Roman"/>
          <w:lang w:val="en-US"/>
        </w:rPr>
        <w:t xml:space="preserve"> A parallel can also be drawn with the politics of conditionality—a bargaining strategy of reinforcement by reward</w:t>
      </w:r>
      <w:r w:rsidRPr="00412BD0">
        <w:rPr>
          <w:rStyle w:val="FootnoteReference"/>
          <w:lang w:val="en-US"/>
        </w:rPr>
        <w:footnoteReference w:id="69"/>
      </w:r>
      <w:r w:rsidRPr="00412BD0">
        <w:rPr>
          <w:rFonts w:cs="Times New Roman"/>
          <w:lang w:val="en-US"/>
        </w:rPr>
        <w:t xml:space="preserve"> – deployed by the European Union</w:t>
      </w:r>
      <w:r w:rsidR="0014779D" w:rsidRPr="00412BD0">
        <w:rPr>
          <w:rFonts w:cs="Times New Roman"/>
          <w:lang w:val="en-US"/>
        </w:rPr>
        <w:fldChar w:fldCharType="begin"/>
      </w:r>
      <w:r w:rsidRPr="00412BD0">
        <w:rPr>
          <w:lang w:val="en-GB"/>
        </w:rPr>
        <w:instrText xml:space="preserve"> XE "</w:instrText>
      </w:r>
      <w:r w:rsidRPr="00412BD0">
        <w:rPr>
          <w:rFonts w:cs="Times New Roman"/>
          <w:lang w:val="en-US"/>
        </w:rPr>
        <w:instrText>European Union</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as part of its rule of law initiatives in the context of EU enlargement. In prompting the targeted post-communist countries in Eastern and Central Europe to embrace certain standards of good governance, the EU did not resort to reinforcement by support (unconditional assistance) or reinforcement by punishment (inflicting extra costs for failing to comply). Rather, it has followed a strategy of reinforcement by reward, with rewards delivered in cases of rule adoption and withheld in cases of non-compliance.</w:t>
      </w:r>
      <w:r w:rsidRPr="00412BD0">
        <w:rPr>
          <w:rStyle w:val="FootnoteReference"/>
          <w:lang w:val="en-US"/>
        </w:rPr>
        <w:footnoteReference w:id="70"/>
      </w:r>
      <w:r w:rsidRPr="00412BD0">
        <w:rPr>
          <w:rFonts w:cs="Times New Roman"/>
          <w:lang w:val="en-US"/>
        </w:rPr>
        <w:t xml:space="preserve"> This raises questions about the strategy of reinforcement by punishment which lies at heart of the remedial mechanism through which international investment law can allegedly transform domestic governance. Can host States be coerced into embracing good governance values? Is it fair, desirable, and effective to hold a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to monetary liability for failing to ensure good governance, where such failure is the result of the host State’s lack of financial, institutional, political and social capacity?</w:t>
      </w:r>
    </w:p>
    <w:p w:rsidR="00753AD4" w:rsidRPr="00412BD0" w:rsidRDefault="00753AD4" w:rsidP="00412BD0">
      <w:pPr>
        <w:jc w:val="both"/>
        <w:rPr>
          <w:rFonts w:cs="Times New Roman"/>
          <w:color w:val="000000"/>
          <w:lang w:val="en-US"/>
        </w:rPr>
      </w:pPr>
      <w:r w:rsidRPr="00412BD0">
        <w:rPr>
          <w:rFonts w:cs="Times New Roman"/>
          <w:lang w:val="en-US"/>
        </w:rPr>
        <w:lastRenderedPageBreak/>
        <w:t xml:space="preserve">The role of the currently prevailing monetary remedies in inducing </w:t>
      </w:r>
      <w:r w:rsidRPr="00412BD0">
        <w:rPr>
          <w:rFonts w:cs="Times New Roman"/>
          <w:i/>
          <w:lang w:val="en-US"/>
        </w:rPr>
        <w:t>ex ante</w:t>
      </w:r>
      <w:r w:rsidRPr="00412BD0">
        <w:rPr>
          <w:rFonts w:cs="Times New Roman"/>
          <w:lang w:val="en-US"/>
        </w:rPr>
        <w:t xml:space="preserve"> compliance by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authorities with first order investment treaty rules (and facilitating a positive impact on national governance) cannot be fully examined without analyzing the goal and design of remedies. Notwithstanding a large and growing body of scholarship engaging with various aspects of investment treaty remedies, the question of their function and goals remains largely unexplored. </w:t>
      </w:r>
      <w:r w:rsidRPr="00412BD0">
        <w:rPr>
          <w:rFonts w:cs="Times New Roman"/>
          <w:color w:val="000000"/>
          <w:lang w:val="en-US"/>
        </w:rPr>
        <w:t>An overview of scholarly debates over remedies in GATT/WTO</w:t>
      </w:r>
      <w:r w:rsidR="0014779D" w:rsidRPr="00412BD0">
        <w:rPr>
          <w:rFonts w:cs="Times New Roman"/>
          <w:color w:val="000000"/>
          <w:lang w:val="en-US"/>
        </w:rPr>
        <w:fldChar w:fldCharType="begin"/>
      </w:r>
      <w:r w:rsidRPr="00412BD0">
        <w:rPr>
          <w:lang w:val="en-GB"/>
        </w:rPr>
        <w:instrText xml:space="preserve"> XE "</w:instrText>
      </w:r>
      <w:r w:rsidRPr="00412BD0">
        <w:rPr>
          <w:lang w:val="en-US"/>
        </w:rPr>
        <w:instrText>WTO</w:instrText>
      </w:r>
      <w:r w:rsidRPr="00412BD0">
        <w:rPr>
          <w:lang w:val="en-GB"/>
        </w:rPr>
        <w:instrText xml:space="preserve">" </w:instrText>
      </w:r>
      <w:r w:rsidR="0014779D" w:rsidRPr="00412BD0">
        <w:rPr>
          <w:rFonts w:cs="Times New Roman"/>
          <w:color w:val="000000"/>
          <w:lang w:val="en-US"/>
        </w:rPr>
        <w:fldChar w:fldCharType="end"/>
      </w:r>
      <w:r w:rsidRPr="00412BD0">
        <w:rPr>
          <w:rFonts w:cs="Times New Roman"/>
          <w:color w:val="000000"/>
          <w:lang w:val="en-US"/>
        </w:rPr>
        <w:t xml:space="preserve"> law offers useful insights.</w:t>
      </w:r>
      <w:r w:rsidRPr="00412BD0">
        <w:rPr>
          <w:rStyle w:val="FootnoteReference"/>
          <w:lang w:val="en-US"/>
        </w:rPr>
        <w:footnoteReference w:id="71"/>
      </w:r>
      <w:r w:rsidRPr="00412BD0">
        <w:rPr>
          <w:rFonts w:cs="Times New Roman"/>
          <w:color w:val="000000"/>
          <w:lang w:val="en-US"/>
        </w:rPr>
        <w:t xml:space="preserve"> The primary remedy for a breach of multilateral trade rules is withdrawal (or modification) of a breaching measure. Compensation and suspension of concessions (also known as retaliation) are also available but not as an alternative to withdrawal; rather, compensation and retaliation can be used as temporary remedies pending the withdrawal of an inconsistent measure by the offending member. While the principal aim of withdrawal is to ensure compliance with multilateral trade rules, the goals of temporary remedies, including that of retaliation, have been the subject of scholarly debates. </w:t>
      </w:r>
      <w:proofErr w:type="spellStart"/>
      <w:r w:rsidRPr="00412BD0">
        <w:rPr>
          <w:rFonts w:cs="Times New Roman"/>
          <w:color w:val="000000"/>
          <w:lang w:val="en-US"/>
        </w:rPr>
        <w:t>Pauwelyn</w:t>
      </w:r>
      <w:proofErr w:type="spellEnd"/>
      <w:r w:rsidRPr="00412BD0">
        <w:rPr>
          <w:rFonts w:cs="Times New Roman"/>
          <w:color w:val="000000"/>
          <w:lang w:val="en-US"/>
        </w:rPr>
        <w:t>, for instance, observes that “there has been a gradual evolution from ‘compensation’ (or simple rebalancing) to ‘sanction’ (or rule compliance).”</w:t>
      </w:r>
      <w:r w:rsidRPr="00412BD0">
        <w:rPr>
          <w:rStyle w:val="FootnoteReference"/>
          <w:lang w:val="en-US"/>
        </w:rPr>
        <w:footnoteReference w:id="72"/>
      </w:r>
      <w:r w:rsidRPr="00412BD0">
        <w:rPr>
          <w:rFonts w:cs="Times New Roman"/>
          <w:color w:val="000000"/>
          <w:lang w:val="en-US"/>
        </w:rPr>
        <w:t xml:space="preserve"> Drawing on the negotiating history of the GATT/WTO, he concludes that “the movement from GATT to WTO has been one from regarding retaliation as aimed at rebalancing or compensation in GATT, to inducing compliance or sanction in WTO.”</w:t>
      </w:r>
      <w:r w:rsidRPr="00412BD0">
        <w:rPr>
          <w:rStyle w:val="FootnoteReference"/>
          <w:lang w:val="en-US"/>
        </w:rPr>
        <w:footnoteReference w:id="73"/>
      </w:r>
    </w:p>
    <w:p w:rsidR="00753AD4" w:rsidRPr="00412BD0" w:rsidRDefault="00753AD4" w:rsidP="00412BD0">
      <w:pPr>
        <w:jc w:val="both"/>
        <w:rPr>
          <w:rFonts w:cs="Times New Roman"/>
          <w:color w:val="000000"/>
          <w:lang w:val="en-US"/>
        </w:rPr>
      </w:pPr>
      <w:r w:rsidRPr="00412BD0">
        <w:rPr>
          <w:rFonts w:cs="Times New Roman"/>
          <w:lang w:val="en-US"/>
        </w:rPr>
        <w:t>In contrast with GATT/WTO</w:t>
      </w:r>
      <w:r w:rsidR="0014779D" w:rsidRPr="00412BD0">
        <w:rPr>
          <w:rFonts w:cs="Times New Roman"/>
          <w:lang w:val="en-US"/>
        </w:rPr>
        <w:fldChar w:fldCharType="begin"/>
      </w:r>
      <w:r w:rsidRPr="00412BD0">
        <w:rPr>
          <w:lang w:val="en-GB"/>
        </w:rPr>
        <w:instrText xml:space="preserve"> XE "</w:instrText>
      </w:r>
      <w:r w:rsidRPr="00412BD0">
        <w:rPr>
          <w:lang w:val="en-US"/>
        </w:rPr>
        <w:instrText>WTO</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law, pecuniary relief – the remedy of damages – has traditionally been regarded as a principal form of redress and a primary means of enforcing substantive investment protections. </w:t>
      </w:r>
      <w:r w:rsidRPr="00412BD0">
        <w:rPr>
          <w:rFonts w:cs="Times New Roman"/>
          <w:color w:val="000000"/>
          <w:lang w:val="en-US"/>
        </w:rPr>
        <w:t>What is the goal of the remedy of damages in international investment law? Is it to induce compliance with substantive protection rules or to rebalance economic interests of parties to an investment dispute by compensating the aggrieved investor? From a historical and doctrinal perspective, the long-standing emphasis on monetary redress and the fact that the latter has rarely been accompanied by other remedies</w:t>
      </w:r>
      <w:r w:rsidRPr="00412BD0">
        <w:rPr>
          <w:rStyle w:val="FootnoteReference"/>
          <w:lang w:val="en-US"/>
        </w:rPr>
        <w:footnoteReference w:id="74"/>
      </w:r>
      <w:r w:rsidRPr="00412BD0">
        <w:rPr>
          <w:rFonts w:cs="Times New Roman"/>
          <w:color w:val="000000"/>
          <w:lang w:val="en-US"/>
        </w:rPr>
        <w:t xml:space="preserve"> suggests that the primary goal of the remedial mechanism of international investment law has been to rebalance. The focus is thus on the victim (a foreign investor) and on eliminating negative economic consequences she incurred as a result of a breach.</w:t>
      </w:r>
    </w:p>
    <w:p w:rsidR="00753AD4" w:rsidRPr="00412BD0" w:rsidRDefault="00753AD4" w:rsidP="00412BD0">
      <w:pPr>
        <w:jc w:val="both"/>
        <w:rPr>
          <w:rFonts w:cs="Times New Roman"/>
          <w:color w:val="000000"/>
          <w:lang w:val="en-US"/>
        </w:rPr>
      </w:pPr>
      <w:r w:rsidRPr="00412BD0">
        <w:rPr>
          <w:rFonts w:cs="Times New Roman"/>
          <w:color w:val="000000"/>
          <w:lang w:val="en-US"/>
        </w:rPr>
        <w:t xml:space="preserve">Contrastingly, had the primary goal been to induce compliance, the remedies would have been focused on the breaching party, </w:t>
      </w:r>
      <w:r w:rsidRPr="00412BD0">
        <w:rPr>
          <w:rFonts w:cs="Times New Roman"/>
          <w:i/>
          <w:color w:val="000000"/>
          <w:lang w:val="en-US"/>
        </w:rPr>
        <w:t>i.e.</w:t>
      </w:r>
      <w:r w:rsidRPr="00412BD0">
        <w:rPr>
          <w:rFonts w:cs="Times New Roman"/>
          <w:color w:val="000000"/>
          <w:lang w:val="en-US"/>
        </w:rPr>
        <w:t xml:space="preserve"> the host State</w:t>
      </w:r>
      <w:r w:rsidR="0014779D" w:rsidRPr="00412BD0">
        <w:rPr>
          <w:rFonts w:cs="Times New Roman"/>
          <w:color w:val="000000"/>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color w:val="000000"/>
          <w:lang w:val="en-US"/>
        </w:rPr>
        <w:fldChar w:fldCharType="end"/>
      </w:r>
      <w:r w:rsidRPr="00412BD0">
        <w:rPr>
          <w:rFonts w:cs="Times New Roman"/>
          <w:color w:val="000000"/>
          <w:lang w:val="en-US"/>
        </w:rPr>
        <w:t xml:space="preserve">, and on the need to punish it to deter future violations and induce it into acting in accordance with standards prescribed by international investment treaties. In view of the traditional focus on restoring economic interests of aggrieved investors, one could argue that compliance, including </w:t>
      </w:r>
      <w:r w:rsidRPr="00412BD0">
        <w:rPr>
          <w:rFonts w:cs="Times New Roman"/>
          <w:i/>
          <w:color w:val="000000"/>
          <w:lang w:val="en-US"/>
        </w:rPr>
        <w:t xml:space="preserve">ex ante </w:t>
      </w:r>
      <w:r w:rsidRPr="00412BD0">
        <w:rPr>
          <w:rFonts w:cs="Times New Roman"/>
          <w:color w:val="000000"/>
          <w:lang w:val="en-US"/>
        </w:rPr>
        <w:t xml:space="preserve">compliance, has not been the primary goal of remedies in international investment law. This evidence provides an antithesis to the argument postulating the capacity of investment treaty law to induce governments into </w:t>
      </w:r>
      <w:r w:rsidRPr="00412BD0">
        <w:rPr>
          <w:rFonts w:cs="Times New Roman"/>
          <w:i/>
          <w:color w:val="000000"/>
          <w:lang w:val="en-US"/>
        </w:rPr>
        <w:t>ex ante</w:t>
      </w:r>
      <w:r w:rsidRPr="00412BD0">
        <w:rPr>
          <w:rFonts w:cs="Times New Roman"/>
          <w:color w:val="000000"/>
          <w:lang w:val="en-US"/>
        </w:rPr>
        <w:t xml:space="preserve"> compliance and to foster the rule of law and good governance on a national scale. </w:t>
      </w:r>
    </w:p>
    <w:p w:rsidR="00753AD4" w:rsidRPr="00412BD0" w:rsidRDefault="00753AD4" w:rsidP="00412BD0">
      <w:pPr>
        <w:jc w:val="both"/>
        <w:rPr>
          <w:rFonts w:cs="Times New Roman"/>
          <w:lang w:val="en-US"/>
        </w:rPr>
      </w:pPr>
      <w:r w:rsidRPr="00412BD0">
        <w:rPr>
          <w:rFonts w:cs="Times New Roman"/>
          <w:color w:val="000000"/>
          <w:lang w:val="en-US"/>
        </w:rPr>
        <w:lastRenderedPageBreak/>
        <w:t xml:space="preserve">Far from being aimed at achieving </w:t>
      </w:r>
      <w:r w:rsidRPr="00412BD0">
        <w:rPr>
          <w:rFonts w:cs="Times New Roman"/>
          <w:i/>
          <w:color w:val="000000"/>
          <w:lang w:val="en-US"/>
        </w:rPr>
        <w:t>ex ante</w:t>
      </w:r>
      <w:r w:rsidRPr="00412BD0">
        <w:rPr>
          <w:rFonts w:cs="Times New Roman"/>
          <w:color w:val="000000"/>
          <w:lang w:val="en-US"/>
        </w:rPr>
        <w:t xml:space="preserve"> compliance, international investment law can in fact be seen as enabling host States to violate their commitments. In her recent analysis of remedy design, Brewster has convincingly shown that “[d]</w:t>
      </w:r>
      <w:proofErr w:type="spellStart"/>
      <w:r w:rsidRPr="00412BD0">
        <w:rPr>
          <w:rFonts w:cs="Times New Roman"/>
          <w:color w:val="000000"/>
          <w:lang w:val="en-US"/>
        </w:rPr>
        <w:t>ispute</w:t>
      </w:r>
      <w:proofErr w:type="spellEnd"/>
      <w:r w:rsidRPr="00412BD0">
        <w:rPr>
          <w:rFonts w:cs="Times New Roman"/>
          <w:color w:val="000000"/>
          <w:lang w:val="en-US"/>
        </w:rPr>
        <w:t xml:space="preserve"> settlement provisions can sometimes make international obligations easier to breach, and governments may design dispute resolution systems to facilitate breach, rather than deter it. Where dispute resolution systems include specific remedy provisions, the system may price breach, permitting states to deviate from the agreement as long as the remedy is paid.”</w:t>
      </w:r>
      <w:r w:rsidRPr="00412BD0">
        <w:rPr>
          <w:rStyle w:val="FootnoteReference"/>
          <w:lang w:val="en-US"/>
        </w:rPr>
        <w:footnoteReference w:id="75"/>
      </w:r>
      <w:r w:rsidRPr="00412BD0">
        <w:rPr>
          <w:rFonts w:cs="Times New Roman"/>
          <w:color w:val="000000"/>
          <w:lang w:val="en-US"/>
        </w:rPr>
        <w:t xml:space="preserve"> </w:t>
      </w:r>
      <w:r w:rsidRPr="00412BD0">
        <w:rPr>
          <w:rFonts w:cs="Times New Roman"/>
          <w:lang w:val="en-US"/>
        </w:rPr>
        <w:t>Indeed, whilst the function of remedies—even of those aimed at rebalancing economic interests—is to punish and disapprove, they can also operate as “permission, even entitlement, to undertake certain actions” and a “license to engage in behavior at a certain cost.”</w:t>
      </w:r>
      <w:r w:rsidRPr="00412BD0">
        <w:rPr>
          <w:rStyle w:val="FootnoteReference"/>
          <w:lang w:val="en-US"/>
        </w:rPr>
        <w:footnoteReference w:id="76"/>
      </w:r>
      <w:r w:rsidRPr="00412BD0">
        <w:rPr>
          <w:rFonts w:cs="Times New Roman"/>
          <w:lang w:val="en-US"/>
        </w:rPr>
        <w:t xml:space="preserve"> This is certainly true of redress to which investors are entitled under expropriation</w:t>
      </w:r>
      <w:r w:rsidR="0014779D" w:rsidRPr="00412BD0">
        <w:rPr>
          <w:rFonts w:cs="Times New Roman"/>
          <w:lang w:val="en-US"/>
        </w:rPr>
        <w:fldChar w:fldCharType="begin"/>
      </w:r>
      <w:r w:rsidRPr="00412BD0">
        <w:rPr>
          <w:lang w:val="en-GB"/>
        </w:rPr>
        <w:instrText xml:space="preserve"> XE "</w:instrText>
      </w:r>
      <w:r w:rsidRPr="00412BD0">
        <w:rPr>
          <w:lang w:val="en-US"/>
        </w:rPr>
        <w:instrText>expropriation</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clauses in international investment agreements: States are allowed to expropriate foreign investment</w:t>
      </w:r>
      <w:r w:rsidR="0014779D" w:rsidRPr="00412BD0">
        <w:rPr>
          <w:rFonts w:cs="Times New Roman"/>
          <w:lang w:val="en-US"/>
        </w:rPr>
        <w:fldChar w:fldCharType="begin"/>
      </w:r>
      <w:r w:rsidRPr="00412BD0">
        <w:rPr>
          <w:lang w:val="en-GB"/>
        </w:rPr>
        <w:instrText xml:space="preserve"> XE "</w:instrText>
      </w:r>
      <w:r w:rsidRPr="00412BD0">
        <w:rPr>
          <w:rFonts w:cs="Times New Roman"/>
          <w:lang w:val="en-US"/>
        </w:rPr>
        <w:instrText>foreign investment</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as long as expropriation is accompanied by the payment of compensation. One can only agree that “the structure of the remedy—one of compensation, without any assessment or incorporation of fault—indicates that the bilateral investment treaties is a pricing scheme.”</w:t>
      </w:r>
      <w:r w:rsidRPr="00412BD0">
        <w:rPr>
          <w:rStyle w:val="FootnoteReference"/>
          <w:lang w:val="en-US"/>
        </w:rPr>
        <w:footnoteReference w:id="77"/>
      </w:r>
      <w:r w:rsidRPr="00412BD0">
        <w:rPr>
          <w:rFonts w:cs="Times New Roman"/>
          <w:lang w:val="en-US"/>
        </w:rPr>
        <w:t xml:space="preserve"> Thus, where the costs of breaching investment treaty provisions are less than the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’s gain from the same breach, the availability of monetary remedies may render it considerably more attractive for the State to choose breach over compliance.</w:t>
      </w:r>
    </w:p>
    <w:p w:rsidR="00753AD4" w:rsidRPr="00412BD0" w:rsidRDefault="00753AD4" w:rsidP="00412BD0">
      <w:pPr>
        <w:jc w:val="both"/>
        <w:rPr>
          <w:rFonts w:cs="Times New Roman"/>
          <w:lang w:val="en-US"/>
        </w:rPr>
      </w:pPr>
      <w:r w:rsidRPr="00412BD0">
        <w:rPr>
          <w:rFonts w:cs="Times New Roman"/>
          <w:lang w:val="en-US"/>
        </w:rPr>
        <w:t>So, “have [the States] promised to adopt policies that conform to the policy terms of the treaty, or have they only promised to provide a set level of compensation?”</w:t>
      </w:r>
      <w:r w:rsidRPr="00412BD0">
        <w:rPr>
          <w:rStyle w:val="FootnoteReference"/>
          <w:lang w:val="en-US"/>
        </w:rPr>
        <w:footnoteReference w:id="78"/>
      </w:r>
      <w:r w:rsidRPr="00412BD0">
        <w:rPr>
          <w:rFonts w:cs="Times New Roman"/>
          <w:lang w:val="en-US"/>
        </w:rPr>
        <w:t xml:space="preserve"> As noted earlier, the design of first order rules in investment treaties is not such that allows interpreting them as promises to conform to specific policy terms. Investment treaty protections lack the requisite specificity, and are frequently phrased negatively as a promise to refrain from certain types of behavior. Investment treaty remedies too, are more readily classified as a promise to pay compensation than a commitment to comply. Indeed, it has been observed earlier that the primacy of monetary remedies and the relatively limited role of non-pecuniary relief in investment treaty law points to the subordinate role that compliance plays in the hierarchy of the regime’s goals.</w:t>
      </w:r>
    </w:p>
    <w:p w:rsidR="00753AD4" w:rsidRPr="00412BD0" w:rsidRDefault="00753AD4" w:rsidP="00412BD0">
      <w:pPr>
        <w:jc w:val="both"/>
        <w:rPr>
          <w:rFonts w:cs="Times New Roman"/>
          <w:lang w:val="en-US"/>
        </w:rPr>
      </w:pPr>
      <w:r w:rsidRPr="00412BD0">
        <w:rPr>
          <w:rFonts w:cs="Times New Roman"/>
          <w:lang w:val="en-US"/>
        </w:rPr>
        <w:t>Thus, if host governments are allowed to not comply with substantive investment treaty prescriptions, it becomes all the more difficult to convincingly maintain that the existing regime could bring about a positive transformation in governance practices in host States through a spillover of good governance standards into the domestic sphere. If good governance standards that form part of investment treaty protections can themselves be ignored in return for the payment of compensation, it is difficult to envisage how host States would be motivated to commit to the same standards in domestic settings. Undeterred by the existing investment treaty remedy design, host States are not properly incentivized to undertake domestic reform and inculcate good governance standards in national legal and bureaucratic culture.</w:t>
      </w:r>
    </w:p>
    <w:p w:rsidR="00753AD4" w:rsidRPr="00412BD0" w:rsidRDefault="00753AD4" w:rsidP="00412BD0">
      <w:pPr>
        <w:jc w:val="both"/>
        <w:rPr>
          <w:rFonts w:cs="Times New Roman"/>
          <w:color w:val="000000"/>
          <w:lang w:val="en-US"/>
        </w:rPr>
      </w:pPr>
      <w:r w:rsidRPr="00412BD0">
        <w:rPr>
          <w:rFonts w:cs="Times New Roman"/>
          <w:lang w:val="en-US"/>
        </w:rPr>
        <w:t xml:space="preserve">Might a re-orientation of international investment law towards greater use of non-pecuniary remedies facilitate </w:t>
      </w:r>
      <w:r w:rsidRPr="00412BD0">
        <w:rPr>
          <w:rFonts w:cs="Times New Roman"/>
          <w:i/>
          <w:lang w:val="en-US"/>
        </w:rPr>
        <w:t>ex ante</w:t>
      </w:r>
      <w:r w:rsidRPr="00412BD0">
        <w:rPr>
          <w:rFonts w:cs="Times New Roman"/>
          <w:lang w:val="en-US"/>
        </w:rPr>
        <w:t xml:space="preserve"> compliance with its prescriptions? The desirability of monetary remedies in the long term has been questioned in a number of scholarly sources and policy discussions.</w:t>
      </w:r>
      <w:r w:rsidRPr="00412BD0">
        <w:rPr>
          <w:rStyle w:val="FootnoteReference"/>
          <w:lang w:val="en-US"/>
        </w:rPr>
        <w:footnoteReference w:id="79"/>
      </w:r>
      <w:r w:rsidRPr="00412BD0">
        <w:rPr>
          <w:rFonts w:cs="Times New Roman"/>
          <w:i/>
          <w:lang w:val="en-US"/>
        </w:rPr>
        <w:t> </w:t>
      </w:r>
      <w:r w:rsidRPr="00412BD0">
        <w:rPr>
          <w:rFonts w:cs="Times New Roman"/>
          <w:lang w:val="en-US"/>
        </w:rPr>
        <w:t xml:space="preserve">The traditional opposition to non-pecuniary remedies in the investment treaty context may in fact be gradually </w:t>
      </w:r>
      <w:r w:rsidRPr="00412BD0">
        <w:rPr>
          <w:rFonts w:cs="Times New Roman"/>
          <w:lang w:val="en-US"/>
        </w:rPr>
        <w:lastRenderedPageBreak/>
        <w:t>abating, even despite Article 54 of the ICSID Convention</w:t>
      </w:r>
      <w:r w:rsidR="0014779D" w:rsidRPr="00412BD0">
        <w:rPr>
          <w:rFonts w:cs="Times New Roman"/>
          <w:lang w:val="en-US"/>
        </w:rPr>
        <w:fldChar w:fldCharType="begin"/>
      </w:r>
      <w:r w:rsidRPr="00412BD0">
        <w:rPr>
          <w:lang w:val="en-US"/>
        </w:rPr>
        <w:instrText xml:space="preserve"> XE "</w:instrText>
      </w:r>
      <w:r w:rsidRPr="00412BD0">
        <w:rPr>
          <w:lang w:val="en-US" w:eastAsia="zh-TW"/>
        </w:rPr>
        <w:instrText>ICSID Convention</w:instrText>
      </w:r>
      <w:r w:rsidRPr="00412BD0">
        <w:rPr>
          <w:lang w:val="en-US"/>
        </w:rPr>
        <w:instrText xml:space="preserve">" </w:instrText>
      </w:r>
      <w:r w:rsidR="0014779D" w:rsidRPr="00412BD0">
        <w:rPr>
          <w:rFonts w:cs="Times New Roman"/>
          <w:lang w:val="en-US"/>
        </w:rPr>
        <w:fldChar w:fldCharType="end"/>
      </w:r>
      <w:r w:rsidRPr="00412BD0">
        <w:rPr>
          <w:rFonts w:cs="Times New Roman"/>
          <w:lang w:val="en-US"/>
        </w:rPr>
        <w:t xml:space="preserve"> offering what many consider as limited enforcement possibilities. In his seminal paper on the subject, </w:t>
      </w:r>
      <w:proofErr w:type="spellStart"/>
      <w:r w:rsidRPr="00412BD0">
        <w:rPr>
          <w:rFonts w:cs="Times New Roman"/>
          <w:lang w:val="en-US"/>
        </w:rPr>
        <w:t>Schreuer</w:t>
      </w:r>
      <w:proofErr w:type="spellEnd"/>
      <w:r w:rsidRPr="00412BD0">
        <w:rPr>
          <w:rFonts w:cs="Times New Roman"/>
          <w:lang w:val="en-US"/>
        </w:rPr>
        <w:t xml:space="preserve"> has examined jurisprudence of international courts and tribunals, as well as the drafting history of the ICSID Convention to conclude that investment tribunals have the power to grant non-pecuniary remedies.</w:t>
      </w:r>
      <w:r w:rsidRPr="00412BD0">
        <w:rPr>
          <w:rStyle w:val="FootnoteReference"/>
          <w:lang w:val="en-US"/>
        </w:rPr>
        <w:footnoteReference w:id="80"/>
      </w:r>
      <w:r w:rsidRPr="00412BD0">
        <w:rPr>
          <w:rFonts w:cs="Times New Roman"/>
          <w:lang w:val="en-US"/>
        </w:rPr>
        <w:t xml:space="preserve"> Non-pecuniary relief has been awarded in investor-State arbitration</w:t>
      </w:r>
      <w:r w:rsidR="0014779D" w:rsidRPr="00412BD0">
        <w:rPr>
          <w:rFonts w:cs="Times New Roman"/>
          <w:lang w:val="en-US"/>
        </w:rPr>
        <w:fldChar w:fldCharType="begin"/>
      </w:r>
      <w:r w:rsidRPr="00412BD0">
        <w:rPr>
          <w:lang w:val="en-GB"/>
        </w:rPr>
        <w:instrText xml:space="preserve"> XE "</w:instrText>
      </w:r>
      <w:r w:rsidRPr="00412BD0">
        <w:rPr>
          <w:lang w:val="en-US"/>
        </w:rPr>
        <w:instrText>investor-State arbitration</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including in ICSID cases.</w:t>
      </w:r>
      <w:r w:rsidRPr="00412BD0">
        <w:rPr>
          <w:rStyle w:val="FootnoteReference"/>
          <w:lang w:val="en-US"/>
        </w:rPr>
        <w:footnoteReference w:id="81"/>
      </w:r>
      <w:r w:rsidRPr="00412BD0">
        <w:rPr>
          <w:rFonts w:cs="Times New Roman"/>
          <w:lang w:val="en-US"/>
        </w:rPr>
        <w:t xml:space="preserve"> Insofar as its capacity to induce governments to act in a certain way is concerned, non-pecuniary relief appears to be a functionally more suitable alternative to the remedy of damages.</w:t>
      </w:r>
    </w:p>
    <w:p w:rsidR="00753AD4" w:rsidRPr="00412BD0" w:rsidRDefault="00753AD4" w:rsidP="00412BD0">
      <w:pPr>
        <w:jc w:val="both"/>
        <w:rPr>
          <w:rFonts w:cs="Times New Roman"/>
          <w:lang w:val="en-US"/>
        </w:rPr>
      </w:pPr>
      <w:r w:rsidRPr="00412BD0">
        <w:rPr>
          <w:rFonts w:cs="Times New Roman"/>
          <w:lang w:val="en-US"/>
        </w:rPr>
        <w:t>However, if investment treaty law were more receptive to the use of non-pecuniary remedies that focus on compliance rather than enabling host States to “breach and pay”, would that enhance the regime’s capacity to foster good governance and the rule of law at a national level? In most cases, the choice of remedy would be dictated by a claimant-investor who may prefer to request non-pecuniary relief only in those situations where compliance by the State with investment treaty rules is in the investor’s best economic interests, not because the investor is concerned about the long-term positive consequences of non-pecuniary remedies on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behavior and its compliance record. Tribunals, too, may have a certain degree of discretion in choosing the appropriate remedy; however, the ultimate choice will usually be determined by their mandate which is to resolve the dispute as opposed to promoting good governance and the rule of law in host States. Thus, the capacity of investment treaty law to command </w:t>
      </w:r>
      <w:r w:rsidRPr="00412BD0">
        <w:rPr>
          <w:rFonts w:cs="Times New Roman"/>
          <w:i/>
          <w:lang w:val="en-US"/>
        </w:rPr>
        <w:t>ex ante</w:t>
      </w:r>
      <w:r w:rsidRPr="00412BD0">
        <w:rPr>
          <w:rFonts w:cs="Times New Roman"/>
          <w:lang w:val="en-US"/>
        </w:rPr>
        <w:t xml:space="preserve"> compliance and induce governments to act in a certain way hinges on the institutional design of the investment dispute settlement mechanism and the allocation of power and control between its key players.</w:t>
      </w:r>
    </w:p>
    <w:p w:rsidR="00753AD4" w:rsidRPr="00412BD0" w:rsidRDefault="00753AD4" w:rsidP="00412BD0">
      <w:pPr>
        <w:pStyle w:val="Heading2"/>
        <w:rPr>
          <w:lang w:val="en-US"/>
        </w:rPr>
      </w:pPr>
      <w:r w:rsidRPr="00412BD0">
        <w:rPr>
          <w:lang w:val="en-US"/>
        </w:rPr>
        <w:t xml:space="preserve">Conclusion </w:t>
      </w:r>
    </w:p>
    <w:p w:rsidR="00753AD4" w:rsidRPr="00275875" w:rsidRDefault="00753AD4" w:rsidP="00412BD0">
      <w:pPr>
        <w:jc w:val="both"/>
        <w:rPr>
          <w:rFonts w:cs="Times New Roman"/>
          <w:color w:val="000000"/>
          <w:lang w:val="en-US"/>
        </w:rPr>
      </w:pPr>
      <w:r w:rsidRPr="00412BD0">
        <w:rPr>
          <w:rFonts w:cs="Times New Roman"/>
          <w:lang w:val="en-US"/>
        </w:rPr>
        <w:t>Why this project and why this chapter? The overarching aim of the project is to unpack existing assumptions concerning the effects of international investment law on host State</w:t>
      </w:r>
      <w:r w:rsidR="0014779D" w:rsidRPr="00412BD0">
        <w:rPr>
          <w:rFonts w:cs="Times New Roman"/>
          <w:lang w:val="en-US"/>
        </w:rPr>
        <w:fldChar w:fldCharType="begin"/>
      </w:r>
      <w:r w:rsidRPr="00412BD0">
        <w:rPr>
          <w:lang w:val="en-GB"/>
        </w:rPr>
        <w:instrText xml:space="preserve"> XE "</w:instrText>
      </w:r>
      <w:r w:rsidRPr="00412BD0">
        <w:rPr>
          <w:lang w:val="en-US"/>
        </w:rPr>
        <w:instrText>host State</w:instrText>
      </w:r>
      <w:r w:rsidRPr="00412BD0">
        <w:rPr>
          <w:lang w:val="en-GB"/>
        </w:rPr>
        <w:instrText xml:space="preserve">" </w:instrText>
      </w:r>
      <w:r w:rsidR="0014779D" w:rsidRPr="00412BD0">
        <w:rPr>
          <w:rFonts w:cs="Times New Roman"/>
          <w:lang w:val="en-US"/>
        </w:rPr>
        <w:fldChar w:fldCharType="end"/>
      </w:r>
      <w:r w:rsidRPr="00412BD0">
        <w:rPr>
          <w:rFonts w:cs="Times New Roman"/>
          <w:lang w:val="en-US"/>
        </w:rPr>
        <w:t xml:space="preserve"> conduct and the function of remedies in achieving investment treaty objectives as regards the promotion of good governance and rule of law in the domestic legal environment. The project is conceived to facilitate a more informed development of international investment law by contributing to a better understanding of its evolving functions and factors influencing compliance with its prescriptions at national and international levels. B</w:t>
      </w:r>
      <w:r w:rsidRPr="00412BD0">
        <w:rPr>
          <w:rFonts w:cs="Times New Roman"/>
          <w:color w:val="000000"/>
          <w:lang w:val="en-US"/>
        </w:rPr>
        <w:t>y focusing on the relationship between international investment law and host State behavior, the project aims to uncover some of the hitherto less explored aspects of the interplay between national legal systems and international law</w:t>
      </w:r>
      <w:r w:rsidR="0014779D" w:rsidRPr="00412BD0">
        <w:rPr>
          <w:rFonts w:cs="Times New Roman"/>
          <w:color w:val="000000"/>
          <w:lang w:val="en-US"/>
        </w:rPr>
        <w:fldChar w:fldCharType="begin"/>
      </w:r>
      <w:r w:rsidRPr="00412BD0">
        <w:rPr>
          <w:lang w:val="en-GB"/>
        </w:rPr>
        <w:instrText xml:space="preserve"> XE "</w:instrText>
      </w:r>
      <w:r w:rsidRPr="00412BD0">
        <w:rPr>
          <w:rFonts w:cs="Courier"/>
          <w:lang w:val="en-US" w:eastAsia="zh-TW"/>
        </w:rPr>
        <w:instrText>international law</w:instrText>
      </w:r>
      <w:r w:rsidRPr="00412BD0">
        <w:rPr>
          <w:lang w:val="en-GB"/>
        </w:rPr>
        <w:instrText xml:space="preserve">" </w:instrText>
      </w:r>
      <w:r w:rsidR="0014779D" w:rsidRPr="00412BD0">
        <w:rPr>
          <w:rFonts w:cs="Times New Roman"/>
          <w:color w:val="000000"/>
          <w:lang w:val="en-US"/>
        </w:rPr>
        <w:fldChar w:fldCharType="end"/>
      </w:r>
      <w:r w:rsidRPr="00412BD0">
        <w:rPr>
          <w:rFonts w:cs="Times New Roman"/>
          <w:color w:val="000000"/>
          <w:lang w:val="en-US"/>
        </w:rPr>
        <w:t xml:space="preserve"> in general. This, in turn, will provide a basis for analyzing the ways in which such a relationship can be optimized, including through the creation of requisite legal and institutional mechanisms. The purpose of this chapter was to introduce the project and outline its research agenda, thus contributing to a burgeoning debate over the broader effects of the international investment regime on host communities and over the role of domestic agencies in shaping international law through their involvement in implementing its prescriptions.</w:t>
      </w:r>
    </w:p>
    <w:p w:rsidR="00753AD4" w:rsidRPr="00275875" w:rsidRDefault="00753AD4" w:rsidP="00412BD0">
      <w:pPr>
        <w:jc w:val="both"/>
        <w:rPr>
          <w:lang w:val="en-US"/>
        </w:rPr>
        <w:sectPr w:rsidR="00753AD4" w:rsidRPr="00275875" w:rsidSect="004A528D">
          <w:footnotePr>
            <w:numRestart w:val="eachSect"/>
          </w:footnotePr>
          <w:type w:val="continuous"/>
          <w:pgSz w:w="11907" w:h="16840"/>
          <w:pgMar w:top="960" w:right="1320" w:bottom="1220" w:left="1300" w:header="731" w:footer="1035" w:gutter="0"/>
          <w:cols w:space="720"/>
        </w:sectPr>
      </w:pPr>
      <w:r w:rsidRPr="00275875">
        <w:rPr>
          <w:lang w:val="en-US"/>
        </w:rPr>
        <w:br w:type="page"/>
      </w:r>
    </w:p>
    <w:p w:rsidR="00977EDA" w:rsidRDefault="00977EDA" w:rsidP="00412BD0">
      <w:pPr>
        <w:jc w:val="both"/>
      </w:pPr>
    </w:p>
    <w:sectPr w:rsidR="00977EDA" w:rsidSect="004B5F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904" w:rsidRDefault="00B75904" w:rsidP="00753AD4">
      <w:pPr>
        <w:spacing w:after="0" w:line="240" w:lineRule="auto"/>
      </w:pPr>
      <w:r>
        <w:separator/>
      </w:r>
    </w:p>
  </w:endnote>
  <w:endnote w:type="continuationSeparator" w:id="0">
    <w:p w:rsidR="00B75904" w:rsidRDefault="00B75904" w:rsidP="0075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hotina MT">
    <w:altName w:val="Photina 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Arial Unicode MS"/>
    <w:panose1 w:val="00000000000000000000"/>
    <w:charset w:val="4D"/>
    <w:family w:val="roman"/>
    <w:notTrueType/>
    <w:pitch w:val="default"/>
    <w:sig w:usb0="00000003" w:usb1="08080000" w:usb2="00000010"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904" w:rsidRDefault="00B75904" w:rsidP="00753AD4">
      <w:pPr>
        <w:spacing w:after="0" w:line="240" w:lineRule="auto"/>
      </w:pPr>
      <w:r>
        <w:separator/>
      </w:r>
    </w:p>
  </w:footnote>
  <w:footnote w:type="continuationSeparator" w:id="0">
    <w:p w:rsidR="00B75904" w:rsidRDefault="00B75904" w:rsidP="00753AD4">
      <w:pPr>
        <w:spacing w:after="0" w:line="240" w:lineRule="auto"/>
      </w:pPr>
      <w:r>
        <w:continuationSeparator/>
      </w:r>
    </w:p>
  </w:footnote>
  <w:footnote w:id="1">
    <w:p w:rsidR="00753AD4" w:rsidRPr="00412BD0" w:rsidRDefault="00753AD4" w:rsidP="005F6C2A">
      <w:pPr>
        <w:pStyle w:val="Rfrence"/>
        <w:rPr>
          <w:rFonts w:cs="Times New Roman"/>
          <w:lang w:eastAsia="it-IT"/>
        </w:rPr>
      </w:pPr>
      <w:r w:rsidRPr="00412BD0">
        <w:rPr>
          <w:rFonts w:cs="Times New Roman"/>
          <w:lang w:eastAsia="it-IT"/>
        </w:rPr>
        <w:t xml:space="preserve">* Lecturer in International Economic Law at the University of Liverpool, </w:t>
      </w:r>
      <w:hyperlink r:id="rId1" w:history="1">
        <w:r w:rsidRPr="00412BD0">
          <w:rPr>
            <w:rStyle w:val="Hyperlink"/>
            <w:lang w:eastAsia="it-IT"/>
          </w:rPr>
          <w:t>m.sattorova@liverpool.ac.uk</w:t>
        </w:r>
      </w:hyperlink>
      <w:r w:rsidRPr="00412BD0">
        <w:rPr>
          <w:rFonts w:cs="Times New Roman"/>
          <w:lang w:eastAsia="it-IT"/>
        </w:rPr>
        <w:t>.</w:t>
      </w:r>
      <w:r w:rsidR="00981399" w:rsidRPr="00412BD0">
        <w:rPr>
          <w:rFonts w:cs="Times New Roman"/>
          <w:lang w:eastAsia="it-IT"/>
        </w:rPr>
        <w:t xml:space="preserve"> </w:t>
      </w:r>
      <w:r w:rsidR="00907A7A" w:rsidRPr="00412BD0">
        <w:rPr>
          <w:rFonts w:cs="Times New Roman"/>
          <w:lang w:eastAsia="it-IT"/>
        </w:rPr>
        <w:t>I am</w:t>
      </w:r>
      <w:r w:rsidR="00981399" w:rsidRPr="00412BD0">
        <w:rPr>
          <w:rFonts w:cs="Times New Roman"/>
          <w:lang w:eastAsia="it-IT"/>
        </w:rPr>
        <w:t xml:space="preserve"> grateful to </w:t>
      </w:r>
      <w:proofErr w:type="spellStart"/>
      <w:r w:rsidR="00981399" w:rsidRPr="00412BD0">
        <w:rPr>
          <w:rFonts w:cs="Times New Roman"/>
          <w:lang w:eastAsia="it-IT"/>
        </w:rPr>
        <w:t>Shaheeza</w:t>
      </w:r>
      <w:proofErr w:type="spellEnd"/>
      <w:r w:rsidR="00981399" w:rsidRPr="00412BD0">
        <w:rPr>
          <w:rFonts w:cs="Times New Roman"/>
          <w:lang w:eastAsia="it-IT"/>
        </w:rPr>
        <w:t xml:space="preserve"> </w:t>
      </w:r>
      <w:proofErr w:type="spellStart"/>
      <w:r w:rsidR="00981399" w:rsidRPr="00412BD0">
        <w:rPr>
          <w:rFonts w:cs="Times New Roman"/>
          <w:lang w:eastAsia="it-IT"/>
        </w:rPr>
        <w:t>Lalani</w:t>
      </w:r>
      <w:proofErr w:type="spellEnd"/>
      <w:r w:rsidR="00981399" w:rsidRPr="00412BD0">
        <w:rPr>
          <w:rFonts w:cs="Times New Roman"/>
          <w:lang w:eastAsia="it-IT"/>
        </w:rPr>
        <w:t xml:space="preserve"> and Rodrigo Polanco, peer reviewers, and the participants </w:t>
      </w:r>
      <w:r w:rsidR="0057765C" w:rsidRPr="00412BD0">
        <w:rPr>
          <w:rFonts w:cs="Times New Roman"/>
          <w:lang w:eastAsia="it-IT"/>
        </w:rPr>
        <w:t>at</w:t>
      </w:r>
      <w:r w:rsidR="00981399" w:rsidRPr="00412BD0">
        <w:rPr>
          <w:rFonts w:cs="Times New Roman"/>
          <w:lang w:eastAsia="it-IT"/>
        </w:rPr>
        <w:t xml:space="preserve"> the WTI conference</w:t>
      </w:r>
      <w:r w:rsidR="0057765C" w:rsidRPr="00412BD0">
        <w:rPr>
          <w:rFonts w:cs="Times New Roman"/>
          <w:lang w:eastAsia="it-IT"/>
        </w:rPr>
        <w:t xml:space="preserve"> for their comments and suggestions. The earlier version of the chapter was also presented at the 2013 ASIL Midyear Research Forum, the 2013 Society of Legal Scholars</w:t>
      </w:r>
      <w:r w:rsidR="003962A5" w:rsidRPr="00412BD0">
        <w:rPr>
          <w:rFonts w:cs="Times New Roman"/>
          <w:lang w:eastAsia="it-IT"/>
        </w:rPr>
        <w:t xml:space="preserve"> Conference</w:t>
      </w:r>
      <w:r w:rsidR="0057765C" w:rsidRPr="00412BD0">
        <w:rPr>
          <w:rFonts w:cs="Times New Roman"/>
          <w:lang w:eastAsia="it-IT"/>
        </w:rPr>
        <w:t>, and the 4</w:t>
      </w:r>
      <w:r w:rsidR="0014779D" w:rsidRPr="00412BD0">
        <w:rPr>
          <w:rFonts w:cs="Times New Roman"/>
          <w:vertAlign w:val="superscript"/>
          <w:lang w:eastAsia="it-IT"/>
        </w:rPr>
        <w:t>th</w:t>
      </w:r>
      <w:r w:rsidR="0057765C" w:rsidRPr="00412BD0">
        <w:rPr>
          <w:rFonts w:cs="Times New Roman"/>
          <w:lang w:eastAsia="it-IT"/>
        </w:rPr>
        <w:t xml:space="preserve"> Biennial</w:t>
      </w:r>
      <w:r w:rsidR="00907A7A" w:rsidRPr="00412BD0">
        <w:rPr>
          <w:rFonts w:cs="Times New Roman"/>
          <w:lang w:eastAsia="it-IT"/>
        </w:rPr>
        <w:t xml:space="preserve"> Conference of the </w:t>
      </w:r>
      <w:proofErr w:type="spellStart"/>
      <w:r w:rsidR="00907A7A" w:rsidRPr="00412BD0">
        <w:rPr>
          <w:rFonts w:cs="Times New Roman"/>
          <w:lang w:eastAsia="it-IT"/>
        </w:rPr>
        <w:t>AsianSIL</w:t>
      </w:r>
      <w:proofErr w:type="spellEnd"/>
      <w:r w:rsidR="00907A7A" w:rsidRPr="00412BD0">
        <w:rPr>
          <w:rFonts w:cs="Times New Roman"/>
          <w:lang w:eastAsia="it-IT"/>
        </w:rPr>
        <w:t>; I gratefully acknowledge feedback received from participants at these conferences.</w:t>
      </w:r>
      <w:r w:rsidR="0057765C" w:rsidRPr="00412BD0">
        <w:rPr>
          <w:rFonts w:cs="Times New Roman"/>
          <w:lang w:eastAsia="it-IT"/>
        </w:rPr>
        <w:t xml:space="preserve"> </w:t>
      </w:r>
      <w:r w:rsidR="00907A7A" w:rsidRPr="00412BD0">
        <w:rPr>
          <w:rFonts w:cs="Times New Roman"/>
          <w:lang w:eastAsia="it-IT"/>
        </w:rPr>
        <w:t xml:space="preserve">All remaining errors are </w:t>
      </w:r>
      <w:proofErr w:type="gramStart"/>
      <w:r w:rsidR="00907A7A" w:rsidRPr="00412BD0">
        <w:rPr>
          <w:rFonts w:cs="Times New Roman"/>
          <w:lang w:eastAsia="it-IT"/>
        </w:rPr>
        <w:t>mine</w:t>
      </w:r>
      <w:proofErr w:type="gramEnd"/>
      <w:r w:rsidR="00907A7A" w:rsidRPr="00412BD0">
        <w:rPr>
          <w:rFonts w:cs="Times New Roman"/>
          <w:lang w:eastAsia="it-IT"/>
        </w:rPr>
        <w:t xml:space="preserve"> alone.</w:t>
      </w:r>
    </w:p>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lang w:val="en-US" w:eastAsia="en-GB"/>
        </w:rPr>
        <w:t>Alan O. Sykes, “Public Versus Private Enforcement of International Economic law: Standing and Remedy</w:t>
      </w:r>
      <w:r w:rsidRPr="00412BD0">
        <w:rPr>
          <w:rFonts w:cs="Times New Roman"/>
          <w:lang w:eastAsia="en-GB"/>
        </w:rPr>
        <w:t>”</w:t>
      </w:r>
      <w:r w:rsidRPr="00412BD0">
        <w:rPr>
          <w:rFonts w:cs="Times New Roman"/>
          <w:lang w:val="en-US" w:eastAsia="en-GB"/>
        </w:rPr>
        <w:t xml:space="preserve">, </w:t>
      </w:r>
      <w:r w:rsidRPr="00412BD0">
        <w:rPr>
          <w:rFonts w:cs="Times New Roman"/>
          <w:i/>
          <w:lang w:val="en-US" w:eastAsia="en-GB"/>
        </w:rPr>
        <w:t>J</w:t>
      </w:r>
      <w:proofErr w:type="spellStart"/>
      <w:r w:rsidRPr="00412BD0">
        <w:rPr>
          <w:rFonts w:cs="Times New Roman"/>
          <w:i/>
          <w:lang w:eastAsia="en-GB"/>
        </w:rPr>
        <w:t>ournal</w:t>
      </w:r>
      <w:proofErr w:type="spellEnd"/>
      <w:r w:rsidRPr="00412BD0">
        <w:rPr>
          <w:rFonts w:cs="Times New Roman"/>
          <w:i/>
          <w:lang w:eastAsia="en-GB"/>
        </w:rPr>
        <w:t xml:space="preserve"> of</w:t>
      </w:r>
      <w:r w:rsidRPr="00412BD0">
        <w:rPr>
          <w:rFonts w:cs="Times New Roman"/>
          <w:i/>
          <w:lang w:val="en-US" w:eastAsia="en-GB"/>
        </w:rPr>
        <w:t xml:space="preserve"> L</w:t>
      </w:r>
      <w:proofErr w:type="spellStart"/>
      <w:r w:rsidRPr="00412BD0">
        <w:rPr>
          <w:rFonts w:cs="Times New Roman"/>
          <w:i/>
          <w:lang w:eastAsia="en-GB"/>
        </w:rPr>
        <w:t>egal</w:t>
      </w:r>
      <w:proofErr w:type="spellEnd"/>
      <w:r w:rsidRPr="00412BD0">
        <w:rPr>
          <w:rFonts w:cs="Times New Roman"/>
          <w:i/>
          <w:lang w:eastAsia="en-GB"/>
        </w:rPr>
        <w:t xml:space="preserve"> Studies</w:t>
      </w:r>
      <w:r w:rsidRPr="00412BD0">
        <w:rPr>
          <w:rFonts w:cs="Times New Roman"/>
          <w:lang w:eastAsia="en-GB"/>
        </w:rPr>
        <w:t xml:space="preserve"> 34, no. 2 (2005): </w:t>
      </w:r>
      <w:r w:rsidRPr="00412BD0">
        <w:rPr>
          <w:rFonts w:cs="Times New Roman"/>
          <w:lang w:val="en-US" w:eastAsia="en-GB"/>
        </w:rPr>
        <w:t>631</w:t>
      </w:r>
      <w:r w:rsidRPr="00412BD0">
        <w:rPr>
          <w:rFonts w:cs="Times New Roman"/>
          <w:lang w:eastAsia="en-GB"/>
        </w:rPr>
        <w:t>.</w:t>
      </w:r>
    </w:p>
  </w:footnote>
  <w:footnote w:id="2">
    <w:p w:rsidR="00753AD4" w:rsidRPr="00412BD0" w:rsidRDefault="00753AD4" w:rsidP="005F6C2A">
      <w:pPr>
        <w:pStyle w:val="Rfrence"/>
        <w:rPr>
          <w:rFonts w:cs="Times New Roman"/>
        </w:rPr>
      </w:pPr>
      <w:r w:rsidRPr="00412BD0">
        <w:rPr>
          <w:rStyle w:val="FootnoteReference"/>
        </w:rPr>
        <w:footnoteRef/>
      </w:r>
      <w:r w:rsidRPr="00412BD0">
        <w:rPr>
          <w:rFonts w:cs="Times New Roman"/>
        </w:rPr>
        <w:t xml:space="preserve"> </w:t>
      </w:r>
      <w:proofErr w:type="gramStart"/>
      <w:r w:rsidRPr="00412BD0">
        <w:rPr>
          <w:rFonts w:cs="Times New Roman"/>
          <w:i/>
        </w:rPr>
        <w:t>Ibid</w:t>
      </w:r>
      <w:r w:rsidRPr="00412BD0">
        <w:rPr>
          <w:rFonts w:cs="Times New Roman"/>
        </w:rPr>
        <w:t>.,</w:t>
      </w:r>
      <w:proofErr w:type="gramEnd"/>
      <w:r w:rsidRPr="00412BD0">
        <w:rPr>
          <w:rFonts w:cs="Times New Roman"/>
        </w:rPr>
        <w:t xml:space="preserve"> 644.</w:t>
      </w:r>
    </w:p>
  </w:footnote>
  <w:footnote w:id="3">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rPr>
        <w:t xml:space="preserve"> See </w:t>
      </w:r>
      <w:proofErr w:type="spellStart"/>
      <w:r w:rsidRPr="00412BD0">
        <w:rPr>
          <w:rFonts w:cs="Times New Roman"/>
          <w:i/>
        </w:rPr>
        <w:t>Metalclad</w:t>
      </w:r>
      <w:proofErr w:type="spellEnd"/>
      <w:r w:rsidRPr="00412BD0">
        <w:rPr>
          <w:rFonts w:cs="Times New Roman"/>
          <w:i/>
        </w:rPr>
        <w:t xml:space="preserve"> Corporation v The United Mexican States, </w:t>
      </w:r>
      <w:r w:rsidRPr="00412BD0">
        <w:rPr>
          <w:rFonts w:cs="Times New Roman"/>
        </w:rPr>
        <w:t xml:space="preserve">ICSID Case No ARB (AF)/97/1, Award ¶¶ 71-99 (Aug. 25, 2000), (2001) 40 ILM 36, </w:t>
      </w:r>
      <w:proofErr w:type="spellStart"/>
      <w:r w:rsidRPr="00412BD0">
        <w:rPr>
          <w:rFonts w:cs="Times New Roman"/>
          <w:i/>
        </w:rPr>
        <w:t>Técnicas</w:t>
      </w:r>
      <w:proofErr w:type="spellEnd"/>
      <w:r w:rsidRPr="00412BD0">
        <w:rPr>
          <w:rFonts w:cs="Times New Roman"/>
          <w:i/>
        </w:rPr>
        <w:t xml:space="preserve"> </w:t>
      </w:r>
      <w:proofErr w:type="spellStart"/>
      <w:r w:rsidRPr="00412BD0">
        <w:rPr>
          <w:rFonts w:cs="Times New Roman"/>
          <w:i/>
        </w:rPr>
        <w:t>Medioambientales</w:t>
      </w:r>
      <w:proofErr w:type="spellEnd"/>
      <w:r w:rsidRPr="00412BD0">
        <w:rPr>
          <w:rFonts w:cs="Times New Roman"/>
          <w:i/>
        </w:rPr>
        <w:t xml:space="preserve"> </w:t>
      </w:r>
      <w:proofErr w:type="spellStart"/>
      <w:r w:rsidRPr="00412BD0">
        <w:rPr>
          <w:rFonts w:cs="Times New Roman"/>
          <w:i/>
        </w:rPr>
        <w:t>Tecmed</w:t>
      </w:r>
      <w:proofErr w:type="spellEnd"/>
      <w:r w:rsidRPr="00412BD0">
        <w:rPr>
          <w:rFonts w:cs="Times New Roman"/>
          <w:i/>
        </w:rPr>
        <w:t xml:space="preserve">, S.A. v The United Mexican States, </w:t>
      </w:r>
      <w:r w:rsidRPr="00412BD0">
        <w:rPr>
          <w:rFonts w:cs="Times New Roman"/>
        </w:rPr>
        <w:t xml:space="preserve">ICSID Case No ARB(AF)/00/2, Award, ¶¶ 154-164 (May 29, 2003) 10 ICSID Rep 130, </w:t>
      </w:r>
      <w:r w:rsidRPr="00412BD0">
        <w:rPr>
          <w:rFonts w:cs="Times New Roman"/>
          <w:i/>
        </w:rPr>
        <w:t>Occidental Exploration and Production Company v The Republic of Ecuador</w:t>
      </w:r>
      <w:r w:rsidR="0014779D" w:rsidRPr="00412BD0">
        <w:rPr>
          <w:rFonts w:cs="Times New Roman"/>
          <w:i/>
        </w:rPr>
        <w:fldChar w:fldCharType="begin"/>
      </w:r>
      <w:r w:rsidRPr="00412BD0">
        <w:instrText xml:space="preserve"> XE "</w:instrText>
      </w:r>
      <w:r w:rsidRPr="00412BD0">
        <w:rPr>
          <w:i/>
        </w:rPr>
        <w:instrText>Ecuador</w:instrText>
      </w:r>
      <w:r w:rsidRPr="00412BD0">
        <w:instrText xml:space="preserve">" </w:instrText>
      </w:r>
      <w:r w:rsidR="0014779D" w:rsidRPr="00412BD0">
        <w:rPr>
          <w:rFonts w:cs="Times New Roman"/>
          <w:i/>
        </w:rPr>
        <w:fldChar w:fldCharType="end"/>
      </w:r>
      <w:r w:rsidRPr="00412BD0">
        <w:rPr>
          <w:rFonts w:cs="Times New Roman"/>
        </w:rPr>
        <w:t xml:space="preserve">, LCIA Case No UN 3467, Award, ¶¶ 184-191 (Jul. 1, 2004). Unless otherwise indicated, all cases cited in this chapter are available online at “Investment Treaty Arbitration (ITA)”, </w:t>
      </w:r>
      <w:r w:rsidRPr="00412BD0">
        <w:rPr>
          <w:rFonts w:cs="Times New Roman"/>
          <w:lang w:eastAsia="it-IT"/>
        </w:rPr>
        <w:t xml:space="preserve">accessed January 23, 2014, </w:t>
      </w:r>
      <w:hyperlink r:id="rId2" w:history="1">
        <w:r w:rsidRPr="00412BD0">
          <w:rPr>
            <w:rStyle w:val="Hyperlink"/>
            <w:lang w:val="en-US"/>
          </w:rPr>
          <w:t>http://italaw.com</w:t>
        </w:r>
      </w:hyperlink>
      <w:r w:rsidRPr="00412BD0">
        <w:rPr>
          <w:rFonts w:cs="Times New Roman"/>
        </w:rPr>
        <w:t xml:space="preserve">. </w:t>
      </w:r>
      <w:r w:rsidRPr="00412BD0">
        <w:rPr>
          <w:rFonts w:cs="Times New Roman"/>
          <w:lang w:val="en-US"/>
        </w:rPr>
        <w:t xml:space="preserve">For a critique, see </w:t>
      </w:r>
      <w:r w:rsidRPr="00412BD0">
        <w:rPr>
          <w:rFonts w:cs="Times New Roman"/>
        </w:rPr>
        <w:t>Santiago</w:t>
      </w:r>
      <w:r w:rsidRPr="00412BD0">
        <w:rPr>
          <w:rFonts w:cs="Times New Roman"/>
          <w:lang w:val="en-US"/>
        </w:rPr>
        <w:t xml:space="preserve"> </w:t>
      </w:r>
      <w:proofErr w:type="spellStart"/>
      <w:r w:rsidRPr="00412BD0">
        <w:rPr>
          <w:rFonts w:cs="Times New Roman"/>
          <w:lang w:val="en-US"/>
        </w:rPr>
        <w:t>Montt</w:t>
      </w:r>
      <w:proofErr w:type="spellEnd"/>
      <w:r w:rsidRPr="00412BD0">
        <w:rPr>
          <w:rFonts w:cs="Times New Roman"/>
          <w:lang w:val="en-US"/>
        </w:rPr>
        <w:t xml:space="preserve">, </w:t>
      </w:r>
      <w:r w:rsidRPr="00412BD0">
        <w:rPr>
          <w:rFonts w:cs="Times New Roman"/>
          <w:bCs/>
          <w:i/>
          <w:lang w:val="en-US"/>
        </w:rPr>
        <w:t>State Liability in Investment Treaty Arbitration: Global Constitutional and Administrative Law in the BIT</w:t>
      </w:r>
      <w:r w:rsidR="0014779D" w:rsidRPr="00412BD0">
        <w:rPr>
          <w:rFonts w:cs="Times New Roman"/>
          <w:bCs/>
          <w:i/>
          <w:lang w:val="en-US"/>
        </w:rPr>
        <w:fldChar w:fldCharType="begin"/>
      </w:r>
      <w:r w:rsidRPr="00412BD0">
        <w:instrText xml:space="preserve"> XE "</w:instrText>
      </w:r>
      <w:r w:rsidRPr="00412BD0">
        <w:rPr>
          <w:lang w:val="en-US" w:eastAsia="zh-TW"/>
        </w:rPr>
        <w:instrText>BIT</w:instrText>
      </w:r>
      <w:r w:rsidRPr="00412BD0">
        <w:instrText xml:space="preserve">" </w:instrText>
      </w:r>
      <w:r w:rsidR="0014779D" w:rsidRPr="00412BD0">
        <w:rPr>
          <w:rFonts w:cs="Times New Roman"/>
          <w:bCs/>
          <w:i/>
          <w:lang w:val="en-US"/>
        </w:rPr>
        <w:fldChar w:fldCharType="end"/>
      </w:r>
      <w:r w:rsidRPr="00412BD0">
        <w:rPr>
          <w:rFonts w:cs="Times New Roman"/>
          <w:bCs/>
          <w:i/>
          <w:lang w:val="en-US"/>
        </w:rPr>
        <w:t xml:space="preserve"> Generation</w:t>
      </w:r>
      <w:r w:rsidRPr="00412BD0">
        <w:rPr>
          <w:rFonts w:cs="Times New Roman"/>
          <w:lang w:val="en-US"/>
        </w:rPr>
        <w:t xml:space="preserve"> (Oxford</w:t>
      </w:r>
      <w:r w:rsidRPr="00412BD0">
        <w:rPr>
          <w:rFonts w:cs="Times New Roman"/>
        </w:rPr>
        <w:t>:</w:t>
      </w:r>
      <w:r w:rsidRPr="00412BD0">
        <w:rPr>
          <w:rFonts w:cs="Times New Roman"/>
          <w:lang w:val="en-US"/>
        </w:rPr>
        <w:t xml:space="preserve"> Hart Publishing, 2009), 309. </w:t>
      </w:r>
    </w:p>
  </w:footnote>
  <w:footnote w:id="4">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Z</w:t>
      </w:r>
      <w:proofErr w:type="spellStart"/>
      <w:r w:rsidRPr="00412BD0">
        <w:rPr>
          <w:rFonts w:cs="Times New Roman"/>
        </w:rPr>
        <w:t>achary</w:t>
      </w:r>
      <w:proofErr w:type="spellEnd"/>
      <w:r w:rsidRPr="00412BD0">
        <w:rPr>
          <w:rFonts w:cs="Times New Roman"/>
          <w:lang w:val="en-US"/>
        </w:rPr>
        <w:t xml:space="preserve"> Douglas, </w:t>
      </w:r>
      <w:r w:rsidRPr="00412BD0">
        <w:rPr>
          <w:rFonts w:cs="Times New Roman"/>
        </w:rPr>
        <w:t>“</w:t>
      </w:r>
      <w:r w:rsidRPr="00412BD0">
        <w:rPr>
          <w:rFonts w:cs="Times New Roman"/>
          <w:lang w:val="en-US"/>
        </w:rPr>
        <w:t xml:space="preserve">Nothing if Not Critical for Investment Treaty Arbitration: </w:t>
      </w:r>
      <w:r w:rsidRPr="00412BD0">
        <w:rPr>
          <w:rFonts w:cs="Times New Roman"/>
          <w:i/>
          <w:lang w:val="en-US"/>
        </w:rPr>
        <w:t>Occidental</w:t>
      </w:r>
      <w:r w:rsidRPr="00412BD0">
        <w:rPr>
          <w:rFonts w:cs="Times New Roman"/>
          <w:lang w:val="en-US"/>
        </w:rPr>
        <w:t xml:space="preserve">, </w:t>
      </w:r>
      <w:proofErr w:type="spellStart"/>
      <w:r w:rsidRPr="00412BD0">
        <w:rPr>
          <w:rFonts w:cs="Times New Roman"/>
          <w:i/>
          <w:lang w:val="en-US"/>
        </w:rPr>
        <w:t>Eureko</w:t>
      </w:r>
      <w:proofErr w:type="spellEnd"/>
      <w:r w:rsidRPr="00412BD0">
        <w:rPr>
          <w:rFonts w:cs="Times New Roman"/>
          <w:lang w:val="en-US"/>
        </w:rPr>
        <w:t xml:space="preserve">, and </w:t>
      </w:r>
      <w:proofErr w:type="spellStart"/>
      <w:r w:rsidRPr="00412BD0">
        <w:rPr>
          <w:rFonts w:cs="Times New Roman"/>
          <w:i/>
          <w:lang w:val="en-US"/>
        </w:rPr>
        <w:t>Methanex</w:t>
      </w:r>
      <w:proofErr w:type="spellEnd"/>
      <w:r w:rsidRPr="00412BD0">
        <w:rPr>
          <w:rFonts w:cs="Times New Roman"/>
        </w:rPr>
        <w:t>”</w:t>
      </w:r>
      <w:r w:rsidRPr="00412BD0">
        <w:rPr>
          <w:rFonts w:cs="Times New Roman"/>
          <w:lang w:val="en-US"/>
        </w:rPr>
        <w:t xml:space="preserve"> </w:t>
      </w:r>
      <w:r w:rsidRPr="00412BD0">
        <w:rPr>
          <w:rFonts w:cs="Times New Roman"/>
          <w:i/>
          <w:lang w:val="en-US"/>
        </w:rPr>
        <w:t xml:space="preserve">Arbitration </w:t>
      </w:r>
      <w:proofErr w:type="spellStart"/>
      <w:r w:rsidRPr="00412BD0">
        <w:rPr>
          <w:rFonts w:cs="Times New Roman"/>
          <w:i/>
          <w:lang w:val="en-US"/>
        </w:rPr>
        <w:t>Int</w:t>
      </w:r>
      <w:r w:rsidRPr="00412BD0">
        <w:rPr>
          <w:rFonts w:cs="Times New Roman"/>
          <w:i/>
        </w:rPr>
        <w:t>ernationa</w:t>
      </w:r>
      <w:proofErr w:type="spellEnd"/>
      <w:r w:rsidRPr="00412BD0">
        <w:rPr>
          <w:rFonts w:cs="Times New Roman"/>
          <w:i/>
          <w:lang w:val="en-US"/>
        </w:rPr>
        <w:t>l</w:t>
      </w:r>
      <w:r w:rsidRPr="00412BD0">
        <w:rPr>
          <w:rFonts w:cs="Times New Roman"/>
          <w:lang w:val="en-US"/>
        </w:rPr>
        <w:t xml:space="preserve"> </w:t>
      </w:r>
      <w:r w:rsidRPr="00412BD0">
        <w:rPr>
          <w:rFonts w:cs="Times New Roman"/>
        </w:rPr>
        <w:t>22, no. 1</w:t>
      </w:r>
      <w:r w:rsidRPr="00412BD0">
        <w:rPr>
          <w:rFonts w:cs="Times New Roman"/>
          <w:lang w:val="en-US"/>
        </w:rPr>
        <w:t xml:space="preserve"> (2006)</w:t>
      </w:r>
      <w:r w:rsidRPr="00412BD0">
        <w:rPr>
          <w:rFonts w:cs="Times New Roman"/>
        </w:rPr>
        <w:t>: 28</w:t>
      </w:r>
      <w:r w:rsidRPr="00412BD0">
        <w:rPr>
          <w:rFonts w:cs="Times New Roman"/>
          <w:lang w:val="en-US"/>
        </w:rPr>
        <w:t>.</w:t>
      </w:r>
    </w:p>
  </w:footnote>
  <w:footnote w:id="5">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proofErr w:type="spellStart"/>
      <w:proofErr w:type="gramStart"/>
      <w:r w:rsidRPr="00412BD0">
        <w:rPr>
          <w:rFonts w:cs="Times New Roman"/>
          <w:i/>
          <w:lang w:val="en-US" w:eastAsia="en-GB"/>
        </w:rPr>
        <w:t>Saluka</w:t>
      </w:r>
      <w:proofErr w:type="spellEnd"/>
      <w:r w:rsidRPr="00412BD0">
        <w:rPr>
          <w:rFonts w:cs="Times New Roman"/>
          <w:i/>
          <w:lang w:val="en-US" w:eastAsia="en-GB"/>
        </w:rPr>
        <w:t xml:space="preserve"> Investments BV v.</w:t>
      </w:r>
      <w:proofErr w:type="gramEnd"/>
      <w:r w:rsidRPr="00412BD0">
        <w:rPr>
          <w:rFonts w:cs="Times New Roman"/>
          <w:i/>
          <w:lang w:val="en-US" w:eastAsia="en-GB"/>
        </w:rPr>
        <w:t xml:space="preserve"> </w:t>
      </w:r>
      <w:proofErr w:type="gramStart"/>
      <w:r w:rsidRPr="00412BD0">
        <w:rPr>
          <w:rFonts w:cs="Times New Roman"/>
          <w:i/>
          <w:lang w:val="en-US" w:eastAsia="en-GB"/>
        </w:rPr>
        <w:t>The Czech Republic</w:t>
      </w:r>
      <w:r w:rsidRPr="00412BD0">
        <w:rPr>
          <w:rFonts w:cs="Times New Roman"/>
          <w:lang w:val="en-US" w:eastAsia="en-GB"/>
        </w:rPr>
        <w:t>, PCA—UNCITRAL</w:t>
      </w:r>
      <w:r w:rsidR="0014779D" w:rsidRPr="00412BD0">
        <w:rPr>
          <w:rFonts w:cs="Times New Roman"/>
          <w:lang w:val="en-US" w:eastAsia="en-GB"/>
        </w:rPr>
        <w:fldChar w:fldCharType="begin"/>
      </w:r>
      <w:r w:rsidRPr="00412BD0">
        <w:instrText xml:space="preserve"> XE "</w:instrText>
      </w:r>
      <w:r w:rsidRPr="00412BD0">
        <w:rPr>
          <w:lang w:val="en-US"/>
        </w:rPr>
        <w:instrText>UNCITRAL</w:instrText>
      </w:r>
      <w:r w:rsidRPr="00412BD0">
        <w:instrText xml:space="preserve">" </w:instrText>
      </w:r>
      <w:r w:rsidR="0014779D" w:rsidRPr="00412BD0">
        <w:rPr>
          <w:rFonts w:cs="Times New Roman"/>
          <w:lang w:val="en-US" w:eastAsia="en-GB"/>
        </w:rPr>
        <w:fldChar w:fldCharType="end"/>
      </w:r>
      <w:r w:rsidRPr="00412BD0">
        <w:rPr>
          <w:rFonts w:cs="Times New Roman"/>
          <w:lang w:val="en-US" w:eastAsia="en-GB"/>
        </w:rPr>
        <w:t xml:space="preserve"> Arbitration Rules, Partial Award, ¶ 293 (Mar.17, 2006).</w:t>
      </w:r>
      <w:proofErr w:type="gramEnd"/>
    </w:p>
  </w:footnote>
  <w:footnote w:id="6">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See </w:t>
      </w:r>
      <w:r w:rsidRPr="00412BD0">
        <w:rPr>
          <w:rFonts w:cs="Times New Roman"/>
          <w:i/>
          <w:lang w:val="en-US"/>
        </w:rPr>
        <w:t>e.g.</w:t>
      </w:r>
      <w:r w:rsidRPr="00412BD0">
        <w:rPr>
          <w:rFonts w:cs="Times New Roman"/>
          <w:lang w:val="en-US"/>
        </w:rPr>
        <w:t xml:space="preserve"> </w:t>
      </w:r>
      <w:r w:rsidRPr="00412BD0">
        <w:rPr>
          <w:rFonts w:cs="Times New Roman"/>
          <w:lang w:val="en-US" w:eastAsia="en-GB"/>
        </w:rPr>
        <w:t>art II(7) of the Treaty Between the United States</w:t>
      </w:r>
      <w:r w:rsidR="0014779D" w:rsidRPr="00412BD0">
        <w:rPr>
          <w:rFonts w:cs="Times New Roman"/>
          <w:lang w:val="en-US" w:eastAsia="en-GB"/>
        </w:rPr>
        <w:fldChar w:fldCharType="begin"/>
      </w:r>
      <w:r w:rsidRPr="00412BD0">
        <w:instrText xml:space="preserve"> XE "</w:instrText>
      </w:r>
      <w:r w:rsidRPr="00412BD0">
        <w:rPr>
          <w:rFonts w:cs="Times New Roman"/>
          <w:lang w:val="en-US"/>
        </w:rPr>
        <w:instrText>United States</w:instrText>
      </w:r>
      <w:r w:rsidRPr="00412BD0">
        <w:instrText xml:space="preserve">" </w:instrText>
      </w:r>
      <w:r w:rsidR="0014779D" w:rsidRPr="00412BD0">
        <w:rPr>
          <w:rFonts w:cs="Times New Roman"/>
          <w:lang w:val="en-US" w:eastAsia="en-GB"/>
        </w:rPr>
        <w:fldChar w:fldCharType="end"/>
      </w:r>
      <w:r w:rsidRPr="00412BD0">
        <w:rPr>
          <w:rFonts w:cs="Times New Roman"/>
          <w:lang w:val="en-US" w:eastAsia="en-GB"/>
        </w:rPr>
        <w:t xml:space="preserve"> of America and the Republic of Ecuador</w:t>
      </w:r>
      <w:r w:rsidR="0014779D" w:rsidRPr="00412BD0">
        <w:rPr>
          <w:rFonts w:cs="Times New Roman"/>
          <w:lang w:val="en-US" w:eastAsia="en-GB"/>
        </w:rPr>
        <w:fldChar w:fldCharType="begin"/>
      </w:r>
      <w:r w:rsidRPr="00412BD0">
        <w:instrText xml:space="preserve"> XE "</w:instrText>
      </w:r>
      <w:r w:rsidRPr="00412BD0">
        <w:rPr>
          <w:i/>
        </w:rPr>
        <w:instrText>Ecuador</w:instrText>
      </w:r>
      <w:r w:rsidRPr="00412BD0">
        <w:instrText xml:space="preserve">" </w:instrText>
      </w:r>
      <w:r w:rsidR="0014779D" w:rsidRPr="00412BD0">
        <w:rPr>
          <w:rFonts w:cs="Times New Roman"/>
          <w:lang w:val="en-US" w:eastAsia="en-GB"/>
        </w:rPr>
        <w:fldChar w:fldCharType="end"/>
      </w:r>
      <w:r w:rsidRPr="00412BD0">
        <w:rPr>
          <w:rFonts w:cs="Times New Roman"/>
          <w:lang w:val="en-US" w:eastAsia="en-GB"/>
        </w:rPr>
        <w:t xml:space="preserve"> Concerning the Encouragement and Reciprocal Protection of Investment, Aug. 27, 1993, U.S.-Ecuador, accessed January 29, 2014, http://unctad.org/sections/dite/iia/docs/bits/us_ecuador.pdf; also art 10(12) of the Energy Charter Treaty</w:t>
      </w:r>
      <w:r w:rsidR="0014779D" w:rsidRPr="00412BD0">
        <w:rPr>
          <w:rFonts w:cs="Times New Roman"/>
          <w:lang w:val="en-US" w:eastAsia="en-GB"/>
        </w:rPr>
        <w:fldChar w:fldCharType="begin"/>
      </w:r>
      <w:r w:rsidRPr="00412BD0">
        <w:instrText xml:space="preserve"> XE "</w:instrText>
      </w:r>
      <w:r w:rsidRPr="00412BD0">
        <w:rPr>
          <w:lang w:val="en-US" w:eastAsia="it-IT"/>
        </w:rPr>
        <w:instrText>Energy Charter Treaty</w:instrText>
      </w:r>
      <w:r w:rsidRPr="00412BD0">
        <w:instrText xml:space="preserve">" </w:instrText>
      </w:r>
      <w:r w:rsidR="0014779D" w:rsidRPr="00412BD0">
        <w:rPr>
          <w:rFonts w:cs="Times New Roman"/>
          <w:lang w:val="en-US" w:eastAsia="en-GB"/>
        </w:rPr>
        <w:fldChar w:fldCharType="end"/>
      </w:r>
      <w:r w:rsidRPr="00412BD0">
        <w:rPr>
          <w:rFonts w:cs="Times New Roman"/>
          <w:lang w:val="en-US" w:eastAsia="en-GB"/>
        </w:rPr>
        <w:t>, Dec. 17, 1994, 2080 UNTS 100.</w:t>
      </w:r>
    </w:p>
  </w:footnote>
  <w:footnote w:id="7">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Limited Liability Company </w:t>
      </w:r>
      <w:r w:rsidRPr="00412BD0">
        <w:rPr>
          <w:rFonts w:cs="Times New Roman"/>
          <w:i/>
          <w:lang w:val="en-US" w:eastAsia="en-GB"/>
        </w:rPr>
        <w:t>AMTO v Ukraine</w:t>
      </w:r>
      <w:r w:rsidRPr="00412BD0">
        <w:rPr>
          <w:rFonts w:cs="Times New Roman"/>
          <w:lang w:eastAsia="en-GB"/>
        </w:rPr>
        <w:t xml:space="preserve">, </w:t>
      </w:r>
      <w:r w:rsidRPr="00412BD0">
        <w:rPr>
          <w:rFonts w:cs="Times New Roman"/>
          <w:lang w:val="en-US" w:eastAsia="en-GB"/>
        </w:rPr>
        <w:t>SCC Case No 080/2005, Final Award, ¶¶ 75, 85 (Mar. 26, 2008)</w:t>
      </w:r>
      <w:r w:rsidRPr="00412BD0">
        <w:rPr>
          <w:rFonts w:cs="Times New Roman"/>
          <w:lang w:eastAsia="en-GB"/>
        </w:rPr>
        <w:t>.</w:t>
      </w:r>
    </w:p>
  </w:footnote>
  <w:footnote w:id="8">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See Article 2 (4) of the Italy</w:t>
      </w:r>
      <w:r w:rsidR="0014779D" w:rsidRPr="00412BD0">
        <w:rPr>
          <w:rFonts w:cs="Times New Roman"/>
          <w:lang w:val="en-US"/>
        </w:rPr>
        <w:fldChar w:fldCharType="begin"/>
      </w:r>
      <w:r w:rsidRPr="00412BD0">
        <w:instrText xml:space="preserve"> XE "</w:instrText>
      </w:r>
      <w:r w:rsidRPr="00412BD0">
        <w:rPr>
          <w:i/>
          <w:lang w:val="en-US"/>
        </w:rPr>
        <w:instrText>Italy</w:instrText>
      </w:r>
      <w:r w:rsidRPr="00412BD0">
        <w:instrText xml:space="preserve">" </w:instrText>
      </w:r>
      <w:r w:rsidR="0014779D" w:rsidRPr="00412BD0">
        <w:rPr>
          <w:rFonts w:cs="Times New Roman"/>
          <w:lang w:val="en-US"/>
        </w:rPr>
        <w:fldChar w:fldCharType="end"/>
      </w:r>
      <w:r w:rsidRPr="00412BD0">
        <w:rPr>
          <w:rFonts w:cs="Times New Roman"/>
          <w:lang w:val="en-US"/>
        </w:rPr>
        <w:t>–Jordan BIT</w:t>
      </w:r>
      <w:r w:rsidR="0014779D" w:rsidRPr="00412BD0">
        <w:rPr>
          <w:rFonts w:cs="Times New Roman"/>
          <w:lang w:val="en-US"/>
        </w:rPr>
        <w:fldChar w:fldCharType="begin"/>
      </w:r>
      <w:r w:rsidRPr="00412BD0">
        <w:instrText xml:space="preserve"> XE "</w:instrText>
      </w:r>
      <w:r w:rsidRPr="00412BD0">
        <w:rPr>
          <w:lang w:val="en-US" w:eastAsia="zh-TW"/>
        </w:rPr>
        <w:instrText>BIT</w:instrText>
      </w:r>
      <w:r w:rsidRPr="00412BD0">
        <w:instrText xml:space="preserve">" </w:instrText>
      </w:r>
      <w:r w:rsidR="0014779D" w:rsidRPr="00412BD0">
        <w:rPr>
          <w:rFonts w:cs="Times New Roman"/>
          <w:lang w:val="en-US"/>
        </w:rPr>
        <w:fldChar w:fldCharType="end"/>
      </w:r>
      <w:r w:rsidRPr="00412BD0">
        <w:rPr>
          <w:rFonts w:cs="Times New Roman"/>
          <w:lang w:val="en-US"/>
        </w:rPr>
        <w:t xml:space="preserve">, discussed in </w:t>
      </w:r>
      <w:proofErr w:type="spellStart"/>
      <w:r w:rsidRPr="00412BD0">
        <w:rPr>
          <w:rFonts w:cs="Times New Roman"/>
          <w:bCs/>
          <w:i/>
          <w:lang w:val="en-US"/>
        </w:rPr>
        <w:t>Salini</w:t>
      </w:r>
      <w:proofErr w:type="spellEnd"/>
      <w:r w:rsidRPr="00412BD0">
        <w:rPr>
          <w:rFonts w:cs="Times New Roman"/>
          <w:bCs/>
          <w:i/>
          <w:lang w:val="en-US"/>
        </w:rPr>
        <w:t xml:space="preserve"> </w:t>
      </w:r>
      <w:proofErr w:type="spellStart"/>
      <w:r w:rsidRPr="00412BD0">
        <w:rPr>
          <w:rFonts w:cs="Times New Roman"/>
          <w:bCs/>
          <w:i/>
          <w:lang w:val="en-US"/>
        </w:rPr>
        <w:t>Costruttori</w:t>
      </w:r>
      <w:proofErr w:type="spellEnd"/>
      <w:r w:rsidRPr="00412BD0">
        <w:rPr>
          <w:rFonts w:cs="Times New Roman"/>
          <w:bCs/>
          <w:i/>
          <w:lang w:val="en-US"/>
        </w:rPr>
        <w:t xml:space="preserve"> </w:t>
      </w:r>
      <w:proofErr w:type="spellStart"/>
      <w:r w:rsidRPr="00412BD0">
        <w:rPr>
          <w:rFonts w:cs="Times New Roman"/>
          <w:bCs/>
          <w:i/>
          <w:lang w:val="en-US"/>
        </w:rPr>
        <w:t>SpA</w:t>
      </w:r>
      <w:proofErr w:type="spellEnd"/>
      <w:r w:rsidRPr="00412BD0">
        <w:rPr>
          <w:rFonts w:cs="Times New Roman"/>
          <w:bCs/>
          <w:i/>
          <w:lang w:val="en-US"/>
        </w:rPr>
        <w:t xml:space="preserve"> and </w:t>
      </w:r>
      <w:proofErr w:type="spellStart"/>
      <w:r w:rsidRPr="00412BD0">
        <w:rPr>
          <w:rFonts w:cs="Times New Roman"/>
          <w:bCs/>
          <w:i/>
          <w:lang w:val="en-US"/>
        </w:rPr>
        <w:t>Italstrade</w:t>
      </w:r>
      <w:proofErr w:type="spellEnd"/>
      <w:r w:rsidRPr="00412BD0">
        <w:rPr>
          <w:rFonts w:cs="Times New Roman"/>
          <w:bCs/>
          <w:i/>
          <w:lang w:val="en-US"/>
        </w:rPr>
        <w:t xml:space="preserve"> </w:t>
      </w:r>
      <w:proofErr w:type="spellStart"/>
      <w:r w:rsidRPr="00412BD0">
        <w:rPr>
          <w:rFonts w:cs="Times New Roman"/>
          <w:bCs/>
          <w:i/>
          <w:lang w:val="en-US"/>
        </w:rPr>
        <w:t>SpA</w:t>
      </w:r>
      <w:proofErr w:type="spellEnd"/>
      <w:r w:rsidRPr="00412BD0">
        <w:rPr>
          <w:rFonts w:cs="Times New Roman"/>
          <w:bCs/>
          <w:i/>
          <w:lang w:val="en-US"/>
        </w:rPr>
        <w:t xml:space="preserve"> v Jordan, </w:t>
      </w:r>
      <w:r w:rsidRPr="00412BD0">
        <w:rPr>
          <w:rFonts w:cs="Times New Roman"/>
          <w:bCs/>
          <w:lang w:val="en-US"/>
        </w:rPr>
        <w:t>ICSID Case No ARB/02/13,</w:t>
      </w:r>
      <w:r w:rsidRPr="00412BD0">
        <w:rPr>
          <w:rFonts w:cs="Times New Roman"/>
          <w:bCs/>
        </w:rPr>
        <w:t xml:space="preserve"> </w:t>
      </w:r>
      <w:r w:rsidRPr="00412BD0">
        <w:rPr>
          <w:rFonts w:cs="Times New Roman"/>
          <w:bCs/>
          <w:lang w:val="en-US"/>
        </w:rPr>
        <w:t xml:space="preserve">Decision on Jurisdiction, ¶ 126 </w:t>
      </w:r>
      <w:r w:rsidRPr="00412BD0">
        <w:rPr>
          <w:rFonts w:cs="Times New Roman"/>
          <w:bCs/>
        </w:rPr>
        <w:t xml:space="preserve">(Nov. </w:t>
      </w:r>
      <w:r w:rsidRPr="00412BD0">
        <w:rPr>
          <w:rFonts w:cs="Times New Roman"/>
          <w:bCs/>
          <w:lang w:val="en-US"/>
        </w:rPr>
        <w:t xml:space="preserve">15, 2004) </w:t>
      </w:r>
      <w:r w:rsidRPr="00412BD0">
        <w:rPr>
          <w:rFonts w:cs="Times New Roman"/>
          <w:lang w:val="en-US"/>
        </w:rPr>
        <w:t>(2005) 44 ILM 563.</w:t>
      </w:r>
    </w:p>
  </w:footnote>
  <w:footnote w:id="9">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bookmarkStart w:id="2" w:name="content"/>
      <w:r w:rsidRPr="00412BD0">
        <w:rPr>
          <w:rFonts w:cs="Times New Roman"/>
          <w:i/>
          <w:lang w:val="en-US"/>
        </w:rPr>
        <w:t>El Paso Energy International Company v Argentina</w:t>
      </w:r>
      <w:r w:rsidR="0014779D" w:rsidRPr="00412BD0">
        <w:rPr>
          <w:rFonts w:cs="Times New Roman"/>
          <w:i/>
          <w:lang w:val="en-US"/>
        </w:rPr>
        <w:fldChar w:fldCharType="begin"/>
      </w:r>
      <w:r w:rsidRPr="00412BD0">
        <w:instrText xml:space="preserve"> XE "</w:instrText>
      </w:r>
      <w:r w:rsidRPr="00412BD0">
        <w:rPr>
          <w:i/>
          <w:iCs/>
          <w:lang w:val="en-US"/>
        </w:rPr>
        <w:instrText>Argentina</w:instrText>
      </w:r>
      <w:r w:rsidRPr="00412BD0">
        <w:instrText xml:space="preserve">" </w:instrText>
      </w:r>
      <w:r w:rsidR="0014779D" w:rsidRPr="00412BD0">
        <w:rPr>
          <w:rFonts w:cs="Times New Roman"/>
          <w:i/>
          <w:lang w:val="en-US"/>
        </w:rPr>
        <w:fldChar w:fldCharType="end"/>
      </w:r>
      <w:r w:rsidRPr="00412BD0">
        <w:rPr>
          <w:rFonts w:cs="Times New Roman"/>
          <w:lang w:val="en-US"/>
        </w:rPr>
        <w:t>, ICSID Case no ARB/03/15, Award, ¶ 342 (Oct. 31, 2011), IIC 519 (2011</w:t>
      </w:r>
      <w:bookmarkEnd w:id="2"/>
      <w:r w:rsidRPr="00412BD0">
        <w:rPr>
          <w:rFonts w:cs="Times New Roman"/>
          <w:lang w:val="en-US"/>
        </w:rPr>
        <w:t>).</w:t>
      </w:r>
    </w:p>
  </w:footnote>
  <w:footnote w:id="10">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Stephan </w:t>
      </w:r>
      <w:proofErr w:type="spellStart"/>
      <w:r w:rsidRPr="00412BD0">
        <w:rPr>
          <w:rFonts w:cs="Times New Roman"/>
          <w:lang w:val="en-US"/>
        </w:rPr>
        <w:t>Schill</w:t>
      </w:r>
      <w:proofErr w:type="spellEnd"/>
      <w:r w:rsidRPr="00412BD0">
        <w:rPr>
          <w:rFonts w:cs="Times New Roman"/>
        </w:rPr>
        <w:t>,</w:t>
      </w:r>
      <w:r w:rsidRPr="00412BD0">
        <w:rPr>
          <w:rFonts w:cs="Times New Roman"/>
          <w:lang w:val="en-US"/>
        </w:rPr>
        <w:t xml:space="preserve"> </w:t>
      </w:r>
      <w:proofErr w:type="gramStart"/>
      <w:r w:rsidRPr="00412BD0">
        <w:rPr>
          <w:rFonts w:cs="Times New Roman"/>
          <w:i/>
          <w:lang w:val="en-US"/>
        </w:rPr>
        <w:t>The</w:t>
      </w:r>
      <w:proofErr w:type="gramEnd"/>
      <w:r w:rsidRPr="00412BD0">
        <w:rPr>
          <w:rFonts w:cs="Times New Roman"/>
          <w:i/>
          <w:lang w:val="en-US"/>
        </w:rPr>
        <w:t xml:space="preserve"> Multilateralization of International Investment Law</w:t>
      </w:r>
      <w:r w:rsidRPr="00412BD0">
        <w:rPr>
          <w:rFonts w:cs="Times New Roman"/>
          <w:lang w:val="en-US"/>
        </w:rPr>
        <w:t xml:space="preserve"> (</w:t>
      </w:r>
      <w:r w:rsidRPr="00412BD0">
        <w:rPr>
          <w:rFonts w:cs="Times New Roman"/>
        </w:rPr>
        <w:t xml:space="preserve">Cambridge: </w:t>
      </w:r>
      <w:r w:rsidRPr="00412BD0">
        <w:rPr>
          <w:rFonts w:cs="Times New Roman"/>
          <w:lang w:val="en-US"/>
        </w:rPr>
        <w:t>Cambridge University Press, 2009)</w:t>
      </w:r>
      <w:r w:rsidRPr="00412BD0">
        <w:rPr>
          <w:rFonts w:cs="Times New Roman"/>
        </w:rPr>
        <w:t>,</w:t>
      </w:r>
      <w:r w:rsidRPr="00412BD0">
        <w:rPr>
          <w:rFonts w:cs="Times New Roman"/>
          <w:lang w:val="en-US"/>
        </w:rPr>
        <w:t xml:space="preserve"> 377.</w:t>
      </w:r>
    </w:p>
  </w:footnote>
  <w:footnote w:id="11">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r w:rsidRPr="00412BD0">
        <w:rPr>
          <w:rFonts w:cs="Times New Roman"/>
        </w:rPr>
        <w:t>Peter</w:t>
      </w:r>
      <w:r w:rsidRPr="00412BD0">
        <w:rPr>
          <w:rFonts w:cs="Times New Roman"/>
          <w:lang w:val="en-US"/>
        </w:rPr>
        <w:t xml:space="preserve"> </w:t>
      </w:r>
      <w:proofErr w:type="spellStart"/>
      <w:r w:rsidRPr="00412BD0">
        <w:rPr>
          <w:rFonts w:cs="Times New Roman"/>
          <w:lang w:val="en-US"/>
        </w:rPr>
        <w:t>Muchlinski</w:t>
      </w:r>
      <w:proofErr w:type="spellEnd"/>
      <w:r w:rsidRPr="00412BD0">
        <w:rPr>
          <w:rFonts w:cs="Times New Roman"/>
          <w:lang w:val="en-US"/>
        </w:rPr>
        <w:t>, F</w:t>
      </w:r>
      <w:proofErr w:type="spellStart"/>
      <w:r w:rsidRPr="00412BD0">
        <w:rPr>
          <w:rFonts w:cs="Times New Roman"/>
        </w:rPr>
        <w:t>ederico</w:t>
      </w:r>
      <w:proofErr w:type="spellEnd"/>
      <w:r w:rsidRPr="00412BD0">
        <w:rPr>
          <w:rFonts w:cs="Times New Roman"/>
          <w:lang w:val="en-US"/>
        </w:rPr>
        <w:t xml:space="preserve"> </w:t>
      </w:r>
      <w:proofErr w:type="spellStart"/>
      <w:r w:rsidRPr="00412BD0">
        <w:rPr>
          <w:rFonts w:cs="Times New Roman"/>
          <w:lang w:val="en-US"/>
        </w:rPr>
        <w:t>Ortino</w:t>
      </w:r>
      <w:proofErr w:type="spellEnd"/>
      <w:r w:rsidRPr="00412BD0">
        <w:rPr>
          <w:rFonts w:cs="Times New Roman"/>
          <w:lang w:val="en-US"/>
        </w:rPr>
        <w:t xml:space="preserve"> and C</w:t>
      </w:r>
      <w:proofErr w:type="spellStart"/>
      <w:r w:rsidRPr="00412BD0">
        <w:rPr>
          <w:rFonts w:cs="Times New Roman"/>
        </w:rPr>
        <w:t>hristoph</w:t>
      </w:r>
      <w:proofErr w:type="spellEnd"/>
      <w:r w:rsidRPr="00412BD0">
        <w:rPr>
          <w:rFonts w:cs="Times New Roman"/>
          <w:lang w:val="en-US"/>
        </w:rPr>
        <w:t xml:space="preserve"> </w:t>
      </w:r>
      <w:proofErr w:type="spellStart"/>
      <w:r w:rsidRPr="00412BD0">
        <w:rPr>
          <w:rFonts w:cs="Times New Roman"/>
          <w:lang w:val="en-US"/>
        </w:rPr>
        <w:t>Schreuer</w:t>
      </w:r>
      <w:proofErr w:type="spellEnd"/>
      <w:r w:rsidRPr="00412BD0">
        <w:rPr>
          <w:rFonts w:cs="Times New Roman"/>
        </w:rPr>
        <w:t>, “Preface”</w:t>
      </w:r>
      <w:r w:rsidRPr="00412BD0">
        <w:rPr>
          <w:rFonts w:cs="Times New Roman"/>
          <w:lang w:val="en-US"/>
        </w:rPr>
        <w:t xml:space="preserve">, in </w:t>
      </w:r>
      <w:r w:rsidRPr="00412BD0">
        <w:rPr>
          <w:rFonts w:cs="Times New Roman"/>
          <w:i/>
          <w:lang w:val="en-US"/>
        </w:rPr>
        <w:t xml:space="preserve">The Oxford Handbook of International Investment Law, </w:t>
      </w:r>
      <w:r w:rsidRPr="00412BD0">
        <w:rPr>
          <w:rFonts w:cs="Times New Roman"/>
          <w:lang w:val="en-US"/>
        </w:rPr>
        <w:t>eds.</w:t>
      </w:r>
      <w:r w:rsidRPr="00412BD0">
        <w:rPr>
          <w:rFonts w:cs="Times New Roman"/>
          <w:i/>
          <w:lang w:val="en-US"/>
        </w:rPr>
        <w:t xml:space="preserve"> </w:t>
      </w:r>
      <w:r w:rsidRPr="00412BD0">
        <w:rPr>
          <w:rFonts w:cs="Times New Roman"/>
        </w:rPr>
        <w:t>Peter</w:t>
      </w:r>
      <w:r w:rsidRPr="00412BD0">
        <w:rPr>
          <w:rFonts w:cs="Times New Roman"/>
          <w:lang w:val="en-US"/>
        </w:rPr>
        <w:t xml:space="preserve"> </w:t>
      </w:r>
      <w:proofErr w:type="spellStart"/>
      <w:r w:rsidRPr="00412BD0">
        <w:rPr>
          <w:rFonts w:cs="Times New Roman"/>
          <w:lang w:val="en-US"/>
        </w:rPr>
        <w:t>Muchlinski</w:t>
      </w:r>
      <w:proofErr w:type="spellEnd"/>
      <w:r w:rsidRPr="00412BD0">
        <w:rPr>
          <w:rFonts w:cs="Times New Roman"/>
          <w:lang w:val="en-US"/>
        </w:rPr>
        <w:t>, F</w:t>
      </w:r>
      <w:proofErr w:type="spellStart"/>
      <w:r w:rsidRPr="00412BD0">
        <w:rPr>
          <w:rFonts w:cs="Times New Roman"/>
        </w:rPr>
        <w:t>ederico</w:t>
      </w:r>
      <w:proofErr w:type="spellEnd"/>
      <w:r w:rsidRPr="00412BD0">
        <w:rPr>
          <w:rFonts w:cs="Times New Roman"/>
          <w:lang w:val="en-US"/>
        </w:rPr>
        <w:t xml:space="preserve"> </w:t>
      </w:r>
      <w:proofErr w:type="spellStart"/>
      <w:r w:rsidRPr="00412BD0">
        <w:rPr>
          <w:rFonts w:cs="Times New Roman"/>
          <w:lang w:val="en-US"/>
        </w:rPr>
        <w:t>Ortino</w:t>
      </w:r>
      <w:proofErr w:type="spellEnd"/>
      <w:r w:rsidRPr="00412BD0">
        <w:rPr>
          <w:rFonts w:cs="Times New Roman"/>
          <w:lang w:val="en-US"/>
        </w:rPr>
        <w:t xml:space="preserve"> and C</w:t>
      </w:r>
      <w:proofErr w:type="spellStart"/>
      <w:r w:rsidRPr="00412BD0">
        <w:rPr>
          <w:rFonts w:cs="Times New Roman"/>
        </w:rPr>
        <w:t>hristoph</w:t>
      </w:r>
      <w:proofErr w:type="spellEnd"/>
      <w:r w:rsidRPr="00412BD0">
        <w:rPr>
          <w:rFonts w:cs="Times New Roman"/>
          <w:lang w:val="en-US"/>
        </w:rPr>
        <w:t xml:space="preserve"> </w:t>
      </w:r>
      <w:proofErr w:type="spellStart"/>
      <w:r w:rsidRPr="00412BD0">
        <w:rPr>
          <w:rFonts w:cs="Times New Roman"/>
          <w:lang w:val="en-US"/>
        </w:rPr>
        <w:t>Schreuer</w:t>
      </w:r>
      <w:proofErr w:type="spellEnd"/>
      <w:r w:rsidRPr="00412BD0">
        <w:rPr>
          <w:rFonts w:cs="Times New Roman"/>
          <w:i/>
          <w:lang w:val="en-US"/>
        </w:rPr>
        <w:t xml:space="preserve"> </w:t>
      </w:r>
      <w:r w:rsidRPr="00412BD0">
        <w:rPr>
          <w:rFonts w:cs="Times New Roman"/>
          <w:lang w:val="en-US"/>
        </w:rPr>
        <w:t>(Oxford</w:t>
      </w:r>
      <w:r w:rsidRPr="00412BD0">
        <w:rPr>
          <w:rFonts w:cs="Times New Roman"/>
        </w:rPr>
        <w:t>:</w:t>
      </w:r>
      <w:r w:rsidRPr="00412BD0">
        <w:rPr>
          <w:rFonts w:cs="Times New Roman"/>
          <w:lang w:val="en-US"/>
        </w:rPr>
        <w:t xml:space="preserve"> Oxford University Press, 2008)</w:t>
      </w:r>
      <w:r w:rsidRPr="00412BD0">
        <w:rPr>
          <w:rFonts w:cs="Times New Roman"/>
        </w:rPr>
        <w:t xml:space="preserve">, </w:t>
      </w:r>
      <w:r w:rsidRPr="00412BD0">
        <w:rPr>
          <w:rFonts w:cs="Times New Roman"/>
          <w:lang w:val="en-US"/>
        </w:rPr>
        <w:t>vi.</w:t>
      </w:r>
    </w:p>
  </w:footnote>
  <w:footnote w:id="12">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Rudolf </w:t>
      </w:r>
      <w:proofErr w:type="spellStart"/>
      <w:r w:rsidRPr="00412BD0">
        <w:rPr>
          <w:rFonts w:cs="Times New Roman"/>
          <w:lang w:val="en-US"/>
        </w:rPr>
        <w:t>Dolzer</w:t>
      </w:r>
      <w:proofErr w:type="spellEnd"/>
      <w:r w:rsidRPr="00412BD0">
        <w:rPr>
          <w:rFonts w:cs="Times New Roman"/>
          <w:lang w:val="en-US"/>
        </w:rPr>
        <w:t xml:space="preserve">, “The Impact of International Investment Treaties on Domestic Administrative Law”, </w:t>
      </w:r>
      <w:r w:rsidRPr="00412BD0">
        <w:rPr>
          <w:rFonts w:cs="Times New Roman"/>
          <w:i/>
          <w:lang w:val="en-US"/>
        </w:rPr>
        <w:t>New York University Journal of International Law and Policy</w:t>
      </w:r>
      <w:r w:rsidRPr="00412BD0">
        <w:rPr>
          <w:rFonts w:cs="Times New Roman"/>
          <w:lang w:val="en-US"/>
        </w:rPr>
        <w:t xml:space="preserve"> 37, no. 4 (2005): 972.</w:t>
      </w:r>
    </w:p>
  </w:footnote>
  <w:footnote w:id="13">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Kenneth J. </w:t>
      </w:r>
      <w:proofErr w:type="spellStart"/>
      <w:r w:rsidRPr="00412BD0">
        <w:rPr>
          <w:rFonts w:cs="Times New Roman"/>
          <w:lang w:val="en-US"/>
        </w:rPr>
        <w:t>Vandevelde</w:t>
      </w:r>
      <w:proofErr w:type="spellEnd"/>
      <w:r w:rsidRPr="00412BD0">
        <w:rPr>
          <w:rFonts w:cs="Times New Roman"/>
          <w:lang w:val="en-US"/>
        </w:rPr>
        <w:t>, “</w:t>
      </w:r>
      <w:r w:rsidRPr="00412BD0">
        <w:rPr>
          <w:rFonts w:cs="Times New Roman"/>
          <w:lang w:val="en-US" w:eastAsia="en-GB"/>
        </w:rPr>
        <w:t xml:space="preserve">Model Bilateral Investment Treaties: The Way Forward”, </w:t>
      </w:r>
      <w:r w:rsidRPr="00412BD0">
        <w:rPr>
          <w:rFonts w:cs="Times New Roman"/>
          <w:i/>
          <w:lang w:val="en-US"/>
        </w:rPr>
        <w:t>Southwestern Journal International Law</w:t>
      </w:r>
      <w:r w:rsidRPr="00412BD0">
        <w:rPr>
          <w:rFonts w:cs="Times New Roman"/>
          <w:lang w:val="en-US"/>
        </w:rPr>
        <w:t xml:space="preserve"> 18, no. 1 </w:t>
      </w:r>
      <w:r w:rsidRPr="00412BD0">
        <w:rPr>
          <w:rFonts w:cs="Times New Roman"/>
          <w:lang w:val="en-US" w:eastAsia="en-GB"/>
        </w:rPr>
        <w:t>(2012)</w:t>
      </w:r>
      <w:r w:rsidRPr="00412BD0">
        <w:rPr>
          <w:rFonts w:cs="Times New Roman"/>
          <w:lang w:val="en-US"/>
        </w:rPr>
        <w:t>: 313.</w:t>
      </w:r>
    </w:p>
  </w:footnote>
  <w:footnote w:id="14">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David </w:t>
      </w:r>
      <w:proofErr w:type="spellStart"/>
      <w:r w:rsidRPr="00412BD0">
        <w:rPr>
          <w:rFonts w:cs="Times New Roman"/>
          <w:lang w:val="en-US"/>
        </w:rPr>
        <w:t>Gaukrodger</w:t>
      </w:r>
      <w:proofErr w:type="spellEnd"/>
      <w:r w:rsidRPr="00412BD0">
        <w:rPr>
          <w:rFonts w:cs="Times New Roman"/>
          <w:lang w:val="en-US"/>
        </w:rPr>
        <w:t xml:space="preserve"> and Kathryn Gordon</w:t>
      </w:r>
      <w:r w:rsidRPr="00412BD0">
        <w:rPr>
          <w:rFonts w:cs="Times New Roman"/>
        </w:rPr>
        <w:t xml:space="preserve">, </w:t>
      </w:r>
      <w:r w:rsidRPr="00412BD0">
        <w:rPr>
          <w:rFonts w:cs="Times New Roman"/>
          <w:lang w:val="en-US"/>
        </w:rPr>
        <w:t>“Investor-state dispute settlement: A scoping paper for the investment policy community"</w:t>
      </w:r>
      <w:r w:rsidRPr="00412BD0">
        <w:rPr>
          <w:rFonts w:cs="Times New Roman"/>
        </w:rPr>
        <w:t xml:space="preserve"> (</w:t>
      </w:r>
      <w:r w:rsidRPr="00412BD0">
        <w:rPr>
          <w:rFonts w:cs="Times New Roman"/>
          <w:lang w:val="en-US"/>
        </w:rPr>
        <w:t>OECD</w:t>
      </w:r>
      <w:r w:rsidR="0014779D" w:rsidRPr="00412BD0">
        <w:rPr>
          <w:rFonts w:cs="Times New Roman"/>
          <w:lang w:val="en-US"/>
        </w:rPr>
        <w:fldChar w:fldCharType="begin"/>
      </w:r>
      <w:r w:rsidRPr="00412BD0">
        <w:instrText xml:space="preserve"> XE "</w:instrText>
      </w:r>
      <w:r w:rsidRPr="00412BD0">
        <w:rPr>
          <w:lang w:val="en-US"/>
        </w:rPr>
        <w:instrText>OECD</w:instrText>
      </w:r>
      <w:r w:rsidRPr="00412BD0">
        <w:instrText xml:space="preserve">" </w:instrText>
      </w:r>
      <w:r w:rsidR="0014779D" w:rsidRPr="00412BD0">
        <w:rPr>
          <w:rFonts w:cs="Times New Roman"/>
          <w:lang w:val="en-US"/>
        </w:rPr>
        <w:fldChar w:fldCharType="end"/>
      </w:r>
      <w:r w:rsidRPr="00412BD0">
        <w:rPr>
          <w:rFonts w:cs="Times New Roman"/>
          <w:lang w:val="en-US"/>
        </w:rPr>
        <w:t xml:space="preserve"> Working Papers on International Investment, No. 2012/3, OECD Investment Division</w:t>
      </w:r>
      <w:r w:rsidRPr="00412BD0">
        <w:rPr>
          <w:rFonts w:cs="Times New Roman"/>
        </w:rPr>
        <w:t>):13,</w:t>
      </w:r>
      <w:r w:rsidRPr="00412BD0">
        <w:rPr>
          <w:rFonts w:cs="Times New Roman"/>
          <w:lang w:val="en-US"/>
        </w:rPr>
        <w:t xml:space="preserve"> </w:t>
      </w:r>
      <w:r w:rsidRPr="00412BD0">
        <w:rPr>
          <w:rFonts w:cs="Times New Roman"/>
        </w:rPr>
        <w:t xml:space="preserve">accessed January 29, 2014, </w:t>
      </w:r>
      <w:hyperlink r:id="rId3" w:history="1">
        <w:r w:rsidRPr="00412BD0">
          <w:rPr>
            <w:rStyle w:val="Hyperlink"/>
            <w:lang w:val="en-US"/>
          </w:rPr>
          <w:t>www.oecd.org/daf/investment/workingpapers</w:t>
        </w:r>
      </w:hyperlink>
      <w:r w:rsidRPr="00412BD0">
        <w:rPr>
          <w:rFonts w:cs="Times New Roman"/>
        </w:rPr>
        <w:t xml:space="preserve">. </w:t>
      </w:r>
    </w:p>
  </w:footnote>
  <w:footnote w:id="15">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Convention on the Settlement of Investment Disputes between States and Nationals of Other States, Mar. 18, 1965, 575 UNTS 159 (‘ICSID Convention</w:t>
      </w:r>
      <w:r w:rsidR="0014779D" w:rsidRPr="00412BD0">
        <w:rPr>
          <w:rFonts w:cs="Times New Roman"/>
          <w:lang w:val="en-US"/>
        </w:rPr>
        <w:fldChar w:fldCharType="begin"/>
      </w:r>
      <w:r w:rsidRPr="00412BD0">
        <w:instrText xml:space="preserve"> XE "</w:instrText>
      </w:r>
      <w:r w:rsidRPr="00412BD0">
        <w:rPr>
          <w:lang w:val="en-US" w:eastAsia="zh-TW"/>
        </w:rPr>
        <w:instrText>ICSID Convention</w:instrText>
      </w:r>
      <w:r w:rsidRPr="00412BD0">
        <w:instrText xml:space="preserve">" </w:instrText>
      </w:r>
      <w:r w:rsidR="0014779D" w:rsidRPr="00412BD0">
        <w:rPr>
          <w:rFonts w:cs="Times New Roman"/>
          <w:lang w:val="en-US"/>
        </w:rPr>
        <w:fldChar w:fldCharType="end"/>
      </w:r>
      <w:r w:rsidRPr="00412BD0">
        <w:rPr>
          <w:rFonts w:cs="Times New Roman"/>
          <w:lang w:val="en-US"/>
        </w:rPr>
        <w:t>’)</w:t>
      </w:r>
      <w:r w:rsidRPr="00412BD0">
        <w:rPr>
          <w:rFonts w:cs="Times New Roman"/>
        </w:rPr>
        <w:t>.</w:t>
      </w:r>
    </w:p>
  </w:footnote>
  <w:footnote w:id="16">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Commentary on the ICSID</w:t>
      </w:r>
      <w:r w:rsidRPr="00412BD0">
        <w:rPr>
          <w:rFonts w:cs="Times New Roman"/>
        </w:rPr>
        <w:t xml:space="preserve"> Convention</w:t>
      </w:r>
      <w:r w:rsidR="0014779D" w:rsidRPr="00412BD0">
        <w:rPr>
          <w:rFonts w:cs="Times New Roman"/>
        </w:rPr>
        <w:fldChar w:fldCharType="begin"/>
      </w:r>
      <w:r w:rsidRPr="00412BD0">
        <w:instrText xml:space="preserve"> XE "</w:instrText>
      </w:r>
      <w:r w:rsidRPr="00412BD0">
        <w:rPr>
          <w:lang w:val="en-US" w:eastAsia="zh-TW"/>
        </w:rPr>
        <w:instrText>ICSID Convention</w:instrText>
      </w:r>
      <w:r w:rsidRPr="00412BD0">
        <w:instrText xml:space="preserve">" </w:instrText>
      </w:r>
      <w:r w:rsidR="0014779D" w:rsidRPr="00412BD0">
        <w:rPr>
          <w:rFonts w:cs="Times New Roman"/>
        </w:rPr>
        <w:fldChar w:fldCharType="end"/>
      </w:r>
      <w:r w:rsidRPr="00412BD0">
        <w:rPr>
          <w:rFonts w:cs="Times New Roman"/>
        </w:rPr>
        <w:t xml:space="preserve"> has</w:t>
      </w:r>
      <w:r w:rsidRPr="00412BD0">
        <w:rPr>
          <w:rFonts w:cs="Times New Roman"/>
          <w:lang w:val="en-US"/>
        </w:rPr>
        <w:t xml:space="preserve"> almost invariably stressed its role in </w:t>
      </w:r>
      <w:r w:rsidRPr="00412BD0">
        <w:rPr>
          <w:rFonts w:cs="Times New Roman"/>
        </w:rPr>
        <w:t xml:space="preserve">the </w:t>
      </w:r>
      <w:proofErr w:type="spellStart"/>
      <w:r w:rsidRPr="00412BD0">
        <w:rPr>
          <w:rFonts w:cs="Times New Roman"/>
          <w:lang w:val="en-US"/>
        </w:rPr>
        <w:t>depoliticization</w:t>
      </w:r>
      <w:proofErr w:type="spellEnd"/>
      <w:r w:rsidRPr="00412BD0">
        <w:rPr>
          <w:rFonts w:cs="Times New Roman"/>
          <w:lang w:val="en-US"/>
        </w:rPr>
        <w:t xml:space="preserve"> of investor-State dispute settlement by offering moving matters from the control of domestic institutions to independent third-party panels. Finally, an overview of primary texts on </w:t>
      </w:r>
      <w:r w:rsidRPr="00412BD0">
        <w:rPr>
          <w:rFonts w:cs="Times New Roman"/>
        </w:rPr>
        <w:t>international investment law</w:t>
      </w:r>
      <w:r w:rsidRPr="00412BD0">
        <w:rPr>
          <w:rFonts w:cs="Times New Roman"/>
          <w:lang w:val="en-US"/>
        </w:rPr>
        <w:t xml:space="preserve"> shows that most authors are in agreement as to the intention behind the creation of International Investment Law (IIL) and its remedial mechanism, such intention being mostly to offer an alternative to domestic structures.</w:t>
      </w:r>
      <w:r w:rsidRPr="00412BD0">
        <w:rPr>
          <w:rFonts w:cs="Times New Roman"/>
        </w:rPr>
        <w:t xml:space="preserve"> See, for instance, </w:t>
      </w:r>
      <w:proofErr w:type="spellStart"/>
      <w:r w:rsidRPr="00412BD0">
        <w:rPr>
          <w:rFonts w:cs="Times New Roman"/>
        </w:rPr>
        <w:t>Christoph</w:t>
      </w:r>
      <w:proofErr w:type="spellEnd"/>
      <w:r w:rsidRPr="00412BD0">
        <w:rPr>
          <w:rFonts w:cs="Times New Roman"/>
        </w:rPr>
        <w:t xml:space="preserve"> </w:t>
      </w:r>
      <w:proofErr w:type="spellStart"/>
      <w:r w:rsidRPr="00412BD0">
        <w:rPr>
          <w:rFonts w:cs="Times New Roman"/>
        </w:rPr>
        <w:t>Scheurer</w:t>
      </w:r>
      <w:proofErr w:type="spellEnd"/>
      <w:r w:rsidRPr="00412BD0">
        <w:rPr>
          <w:rFonts w:cs="Times New Roman"/>
        </w:rPr>
        <w:t xml:space="preserve"> et al, </w:t>
      </w:r>
      <w:r w:rsidRPr="00412BD0">
        <w:rPr>
          <w:rFonts w:cs="Times New Roman"/>
          <w:i/>
        </w:rPr>
        <w:t>The ICSID Convention: A Commentary</w:t>
      </w:r>
      <w:r w:rsidRPr="00412BD0">
        <w:rPr>
          <w:rFonts w:cs="Times New Roman"/>
        </w:rPr>
        <w:t xml:space="preserve"> (Cambridge: Cambridge University Press, 2009), 352; Campbell</w:t>
      </w:r>
      <w:r w:rsidRPr="00412BD0">
        <w:rPr>
          <w:rFonts w:cs="Times New Roman"/>
          <w:lang w:val="en-US"/>
        </w:rPr>
        <w:t xml:space="preserve"> McLachlan, </w:t>
      </w:r>
      <w:r w:rsidRPr="00412BD0">
        <w:rPr>
          <w:rFonts w:cs="Times New Roman"/>
        </w:rPr>
        <w:t>Laurence</w:t>
      </w:r>
      <w:r w:rsidRPr="00412BD0">
        <w:rPr>
          <w:rFonts w:cs="Times New Roman"/>
          <w:lang w:val="en-US"/>
        </w:rPr>
        <w:t xml:space="preserve"> Shore and </w:t>
      </w:r>
      <w:r w:rsidRPr="00412BD0">
        <w:rPr>
          <w:rFonts w:cs="Times New Roman"/>
        </w:rPr>
        <w:t>Matthew</w:t>
      </w:r>
      <w:r w:rsidRPr="00412BD0">
        <w:rPr>
          <w:rFonts w:cs="Times New Roman"/>
          <w:lang w:val="en-US"/>
        </w:rPr>
        <w:t xml:space="preserve"> </w:t>
      </w:r>
      <w:proofErr w:type="spellStart"/>
      <w:r w:rsidRPr="00412BD0">
        <w:rPr>
          <w:rFonts w:cs="Times New Roman"/>
          <w:lang w:val="en-US"/>
        </w:rPr>
        <w:t>Weiniger</w:t>
      </w:r>
      <w:proofErr w:type="spellEnd"/>
      <w:r w:rsidRPr="00412BD0">
        <w:rPr>
          <w:rFonts w:cs="Times New Roman"/>
          <w:lang w:val="en-US"/>
        </w:rPr>
        <w:t>,</w:t>
      </w:r>
      <w:r w:rsidRPr="00412BD0">
        <w:rPr>
          <w:rFonts w:cs="Times New Roman"/>
        </w:rPr>
        <w:t xml:space="preserve"> </w:t>
      </w:r>
      <w:r w:rsidRPr="00412BD0">
        <w:rPr>
          <w:rFonts w:cs="Times New Roman"/>
          <w:i/>
        </w:rPr>
        <w:t>International Investment Arbitration: Substantive Principles</w:t>
      </w:r>
      <w:r w:rsidRPr="00412BD0">
        <w:rPr>
          <w:rFonts w:cs="Times New Roman"/>
        </w:rPr>
        <w:t xml:space="preserve"> (Oxford: Oxford University Press, 2007), 128.</w:t>
      </w:r>
    </w:p>
  </w:footnote>
  <w:footnote w:id="17">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 xml:space="preserve">See </w:t>
      </w:r>
      <w:proofErr w:type="spellStart"/>
      <w:r w:rsidRPr="00412BD0">
        <w:rPr>
          <w:rFonts w:cs="Times New Roman"/>
          <w:lang w:val="en-US"/>
        </w:rPr>
        <w:t>Mavluda</w:t>
      </w:r>
      <w:proofErr w:type="spellEnd"/>
      <w:r w:rsidRPr="00412BD0">
        <w:rPr>
          <w:rFonts w:cs="Times New Roman"/>
          <w:lang w:val="en-US"/>
        </w:rPr>
        <w:t xml:space="preserve"> </w:t>
      </w:r>
      <w:proofErr w:type="spellStart"/>
      <w:r w:rsidRPr="00412BD0">
        <w:rPr>
          <w:rFonts w:cs="Times New Roman"/>
          <w:lang w:val="en-US"/>
        </w:rPr>
        <w:t>Sattorova</w:t>
      </w:r>
      <w:proofErr w:type="spellEnd"/>
      <w:r w:rsidRPr="00412BD0">
        <w:rPr>
          <w:rFonts w:cs="Times New Roman"/>
          <w:lang w:val="en-US"/>
        </w:rPr>
        <w:t xml:space="preserve">, </w:t>
      </w:r>
      <w:r w:rsidRPr="00412BD0">
        <w:rPr>
          <w:rFonts w:cs="Times New Roman"/>
        </w:rPr>
        <w:t>“</w:t>
      </w:r>
      <w:r w:rsidRPr="00412BD0">
        <w:rPr>
          <w:rFonts w:cs="Times New Roman"/>
          <w:lang w:val="en-US"/>
        </w:rPr>
        <w:t>Return to the Local Remedies Rule in European BITs</w:t>
      </w:r>
      <w:proofErr w:type="gramStart"/>
      <w:r w:rsidRPr="00412BD0">
        <w:rPr>
          <w:rFonts w:cs="Times New Roman"/>
          <w:lang w:val="en-US"/>
        </w:rPr>
        <w:t>?:</w:t>
      </w:r>
      <w:proofErr w:type="gramEnd"/>
      <w:r w:rsidRPr="00412BD0">
        <w:rPr>
          <w:rFonts w:cs="Times New Roman"/>
          <w:lang w:val="en-US"/>
        </w:rPr>
        <w:t xml:space="preserve"> Power (Inequalities),Dispute Settlement, and Change in Investment Treaty Law</w:t>
      </w:r>
      <w:r w:rsidRPr="00412BD0">
        <w:rPr>
          <w:rFonts w:cs="Times New Roman"/>
        </w:rPr>
        <w:t>,”</w:t>
      </w:r>
      <w:r w:rsidRPr="00412BD0">
        <w:rPr>
          <w:rFonts w:cs="Times New Roman"/>
          <w:lang w:val="en-US"/>
        </w:rPr>
        <w:t xml:space="preserve"> </w:t>
      </w:r>
      <w:r w:rsidRPr="00412BD0">
        <w:rPr>
          <w:rFonts w:cs="Times New Roman"/>
          <w:i/>
          <w:lang w:val="en-US"/>
        </w:rPr>
        <w:t xml:space="preserve">Legal Issues of Economic Integration </w:t>
      </w:r>
      <w:r w:rsidRPr="00412BD0">
        <w:rPr>
          <w:rFonts w:cs="Times New Roman"/>
          <w:lang w:val="en-US"/>
        </w:rPr>
        <w:t>39, no. 2 (2012): 223–248</w:t>
      </w:r>
      <w:r w:rsidRPr="00412BD0">
        <w:rPr>
          <w:rFonts w:cs="Times New Roman"/>
        </w:rPr>
        <w:t>.</w:t>
      </w:r>
    </w:p>
  </w:footnote>
  <w:footnote w:id="18">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rPr>
        <w:t xml:space="preserve"> </w:t>
      </w:r>
      <w:r w:rsidRPr="00412BD0">
        <w:rPr>
          <w:rFonts w:cs="Times New Roman"/>
          <w:lang w:val="en-US"/>
        </w:rPr>
        <w:t xml:space="preserve">Aron </w:t>
      </w:r>
      <w:proofErr w:type="spellStart"/>
      <w:r w:rsidRPr="00412BD0">
        <w:rPr>
          <w:rFonts w:cs="Times New Roman"/>
          <w:lang w:val="en-US"/>
        </w:rPr>
        <w:t>Broches</w:t>
      </w:r>
      <w:proofErr w:type="spellEnd"/>
      <w:r w:rsidRPr="00412BD0">
        <w:rPr>
          <w:rFonts w:cs="Times New Roman"/>
          <w:lang w:val="en-US"/>
        </w:rPr>
        <w:t>, “The Convention on the Settlement of Investment Disputes between States and</w:t>
      </w:r>
      <w:r w:rsidRPr="00412BD0">
        <w:rPr>
          <w:rFonts w:cs="Times New Roman"/>
        </w:rPr>
        <w:t xml:space="preserve"> </w:t>
      </w:r>
      <w:r w:rsidRPr="00412BD0">
        <w:rPr>
          <w:rFonts w:cs="Times New Roman"/>
          <w:lang w:val="en-US"/>
        </w:rPr>
        <w:t xml:space="preserve">Nationals of Other States”, </w:t>
      </w:r>
      <w:proofErr w:type="spellStart"/>
      <w:r w:rsidRPr="00412BD0">
        <w:rPr>
          <w:rFonts w:cs="Times New Roman"/>
          <w:i/>
          <w:lang w:val="en-US"/>
        </w:rPr>
        <w:t>Recueil</w:t>
      </w:r>
      <w:proofErr w:type="spellEnd"/>
      <w:r w:rsidRPr="00412BD0">
        <w:rPr>
          <w:rFonts w:cs="Times New Roman"/>
          <w:i/>
          <w:lang w:val="en-US"/>
        </w:rPr>
        <w:t xml:space="preserve"> des </w:t>
      </w:r>
      <w:proofErr w:type="spellStart"/>
      <w:r w:rsidRPr="00412BD0">
        <w:rPr>
          <w:rFonts w:cs="Times New Roman"/>
          <w:i/>
          <w:lang w:val="en-US"/>
        </w:rPr>
        <w:t>Cours</w:t>
      </w:r>
      <w:proofErr w:type="spellEnd"/>
      <w:r w:rsidRPr="00412BD0">
        <w:rPr>
          <w:rFonts w:cs="Times New Roman"/>
          <w:i/>
          <w:lang w:val="en-US"/>
        </w:rPr>
        <w:t xml:space="preserve"> de </w:t>
      </w:r>
      <w:proofErr w:type="spellStart"/>
      <w:r w:rsidRPr="00412BD0">
        <w:rPr>
          <w:rFonts w:cs="Times New Roman"/>
          <w:i/>
          <w:lang w:val="en-US"/>
        </w:rPr>
        <w:t>l’Academie</w:t>
      </w:r>
      <w:proofErr w:type="spellEnd"/>
      <w:r w:rsidRPr="00412BD0">
        <w:rPr>
          <w:rFonts w:cs="Times New Roman"/>
          <w:i/>
          <w:lang w:val="en-US"/>
        </w:rPr>
        <w:t xml:space="preserve"> de Droit International</w:t>
      </w:r>
      <w:r w:rsidRPr="00412BD0">
        <w:rPr>
          <w:rFonts w:cs="Times New Roman"/>
          <w:lang w:val="en-US"/>
        </w:rPr>
        <w:t xml:space="preserve"> 136 (1972), 337, 343; </w:t>
      </w:r>
      <w:proofErr w:type="spellStart"/>
      <w:r w:rsidRPr="00412BD0">
        <w:rPr>
          <w:rFonts w:cs="Times New Roman"/>
          <w:lang w:eastAsia="en-GB"/>
        </w:rPr>
        <w:t>Jeswald</w:t>
      </w:r>
      <w:proofErr w:type="spellEnd"/>
      <w:r w:rsidRPr="00412BD0">
        <w:rPr>
          <w:rFonts w:cs="Times New Roman"/>
          <w:lang w:eastAsia="en-GB"/>
        </w:rPr>
        <w:t xml:space="preserve"> </w:t>
      </w:r>
      <w:r w:rsidRPr="00412BD0">
        <w:rPr>
          <w:rFonts w:cs="Times New Roman"/>
          <w:lang w:val="en-US" w:eastAsia="en-GB"/>
        </w:rPr>
        <w:t xml:space="preserve">W. </w:t>
      </w:r>
      <w:proofErr w:type="spellStart"/>
      <w:r w:rsidRPr="00412BD0">
        <w:rPr>
          <w:rFonts w:cs="Times New Roman"/>
          <w:lang w:val="en-US" w:eastAsia="en-GB"/>
        </w:rPr>
        <w:t>Salacuse</w:t>
      </w:r>
      <w:proofErr w:type="spellEnd"/>
      <w:r w:rsidRPr="00412BD0">
        <w:rPr>
          <w:rFonts w:cs="Times New Roman"/>
          <w:lang w:val="en-US" w:eastAsia="en-GB"/>
        </w:rPr>
        <w:t xml:space="preserve">, </w:t>
      </w:r>
      <w:r w:rsidRPr="00412BD0">
        <w:rPr>
          <w:rFonts w:cs="Times New Roman"/>
          <w:i/>
          <w:lang w:val="en-US" w:eastAsia="en-GB"/>
        </w:rPr>
        <w:t xml:space="preserve">The Law of Investment Treaties </w:t>
      </w:r>
      <w:r w:rsidRPr="00412BD0">
        <w:rPr>
          <w:rFonts w:cs="Times New Roman"/>
          <w:lang w:val="en-US" w:eastAsia="en-GB"/>
        </w:rPr>
        <w:t>(Oxford: Oxford University Press, 2010), 358</w:t>
      </w:r>
      <w:r w:rsidRPr="00412BD0">
        <w:rPr>
          <w:rFonts w:cs="Times New Roman"/>
          <w:lang w:eastAsia="en-GB"/>
        </w:rPr>
        <w:t>; Rudolf</w:t>
      </w:r>
      <w:r w:rsidRPr="00412BD0">
        <w:rPr>
          <w:rFonts w:cs="Times New Roman"/>
          <w:lang w:val="en-US" w:eastAsia="en-GB"/>
        </w:rPr>
        <w:t xml:space="preserve"> </w:t>
      </w:r>
      <w:proofErr w:type="spellStart"/>
      <w:r w:rsidRPr="00412BD0">
        <w:rPr>
          <w:rFonts w:cs="Times New Roman"/>
          <w:lang w:val="en-US" w:eastAsia="en-GB"/>
        </w:rPr>
        <w:t>Dolzer</w:t>
      </w:r>
      <w:proofErr w:type="spellEnd"/>
      <w:r w:rsidRPr="00412BD0">
        <w:rPr>
          <w:rFonts w:cs="Times New Roman"/>
          <w:lang w:val="en-US" w:eastAsia="en-GB"/>
        </w:rPr>
        <w:t xml:space="preserve"> &amp; </w:t>
      </w:r>
      <w:proofErr w:type="spellStart"/>
      <w:r w:rsidRPr="00412BD0">
        <w:rPr>
          <w:rFonts w:cs="Times New Roman"/>
          <w:lang w:eastAsia="en-GB"/>
        </w:rPr>
        <w:t>Christoph</w:t>
      </w:r>
      <w:proofErr w:type="spellEnd"/>
      <w:r w:rsidRPr="00412BD0">
        <w:rPr>
          <w:rFonts w:cs="Times New Roman"/>
          <w:lang w:val="en-US" w:eastAsia="en-GB"/>
        </w:rPr>
        <w:t xml:space="preserve"> </w:t>
      </w:r>
      <w:proofErr w:type="spellStart"/>
      <w:r w:rsidRPr="00412BD0">
        <w:rPr>
          <w:rFonts w:cs="Times New Roman"/>
          <w:lang w:val="en-US" w:eastAsia="en-GB"/>
        </w:rPr>
        <w:t>Schreuer</w:t>
      </w:r>
      <w:proofErr w:type="spellEnd"/>
      <w:r w:rsidRPr="00412BD0">
        <w:rPr>
          <w:rFonts w:cs="Times New Roman"/>
          <w:lang w:val="en-US" w:eastAsia="en-GB"/>
        </w:rPr>
        <w:t xml:space="preserve">, </w:t>
      </w:r>
      <w:r w:rsidRPr="00412BD0">
        <w:rPr>
          <w:rFonts w:cs="Times New Roman"/>
          <w:i/>
          <w:lang w:val="en-US" w:eastAsia="en-GB"/>
        </w:rPr>
        <w:t xml:space="preserve">Principles of International Investment Law </w:t>
      </w:r>
      <w:r w:rsidRPr="00412BD0">
        <w:rPr>
          <w:rFonts w:cs="Times New Roman"/>
          <w:lang w:val="en-US" w:eastAsia="en-GB"/>
        </w:rPr>
        <w:t>(Oxford: Oxford University Press, 2008),</w:t>
      </w:r>
      <w:r w:rsidRPr="00412BD0">
        <w:rPr>
          <w:rFonts w:cs="Times New Roman"/>
          <w:lang w:eastAsia="en-GB"/>
        </w:rPr>
        <w:t xml:space="preserve"> 214-5.</w:t>
      </w:r>
    </w:p>
  </w:footnote>
  <w:footnote w:id="19">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Roberto </w:t>
      </w:r>
      <w:proofErr w:type="spellStart"/>
      <w:r w:rsidRPr="00412BD0">
        <w:rPr>
          <w:rFonts w:cs="Times New Roman"/>
          <w:lang w:val="en-US"/>
        </w:rPr>
        <w:t>Echandi</w:t>
      </w:r>
      <w:proofErr w:type="spellEnd"/>
      <w:r w:rsidRPr="00412BD0">
        <w:rPr>
          <w:rFonts w:cs="Times New Roman"/>
          <w:lang w:val="en-US"/>
        </w:rPr>
        <w:t xml:space="preserve">, </w:t>
      </w:r>
      <w:r w:rsidRPr="00412BD0">
        <w:rPr>
          <w:rFonts w:cs="Times New Roman"/>
        </w:rPr>
        <w:t>“</w:t>
      </w:r>
      <w:r w:rsidRPr="00412BD0">
        <w:rPr>
          <w:rFonts w:cs="Times New Roman"/>
          <w:lang w:val="en-US"/>
        </w:rPr>
        <w:t>What Do Developing Countries Expect from the International Investment Regime?</w:t>
      </w:r>
      <w:r w:rsidRPr="00412BD0">
        <w:rPr>
          <w:rFonts w:cs="Times New Roman"/>
        </w:rPr>
        <w:t>”</w:t>
      </w:r>
      <w:r w:rsidRPr="00412BD0">
        <w:rPr>
          <w:rFonts w:cs="Times New Roman"/>
          <w:lang w:val="en-US"/>
        </w:rPr>
        <w:t xml:space="preserve"> </w:t>
      </w:r>
      <w:proofErr w:type="spellStart"/>
      <w:r w:rsidRPr="00412BD0">
        <w:rPr>
          <w:rFonts w:cs="Times New Roman"/>
        </w:rPr>
        <w:t>i</w:t>
      </w:r>
      <w:proofErr w:type="spellEnd"/>
      <w:r w:rsidRPr="00412BD0">
        <w:rPr>
          <w:rFonts w:cs="Times New Roman"/>
          <w:lang w:val="en-US"/>
        </w:rPr>
        <w:t xml:space="preserve">n </w:t>
      </w:r>
      <w:proofErr w:type="gramStart"/>
      <w:r w:rsidRPr="00412BD0">
        <w:rPr>
          <w:rFonts w:cs="Times New Roman"/>
          <w:i/>
          <w:lang w:val="en-US"/>
        </w:rPr>
        <w:t>The</w:t>
      </w:r>
      <w:proofErr w:type="gramEnd"/>
      <w:r w:rsidRPr="00412BD0">
        <w:rPr>
          <w:rFonts w:cs="Times New Roman"/>
          <w:i/>
          <w:lang w:val="en-US"/>
        </w:rPr>
        <w:t xml:space="preserve"> Evolving International Investment</w:t>
      </w:r>
      <w:r w:rsidRPr="00412BD0">
        <w:rPr>
          <w:rFonts w:cs="Times New Roman"/>
          <w:i/>
        </w:rPr>
        <w:t xml:space="preserve"> Regime</w:t>
      </w:r>
      <w:r w:rsidRPr="00412BD0">
        <w:rPr>
          <w:rFonts w:cs="Times New Roman"/>
          <w:i/>
          <w:lang w:val="en-US"/>
        </w:rPr>
        <w:t>: Expectations, Realities, Options</w:t>
      </w:r>
      <w:r w:rsidRPr="00412BD0">
        <w:rPr>
          <w:rFonts w:cs="Times New Roman"/>
          <w:i/>
        </w:rPr>
        <w:t xml:space="preserve">, </w:t>
      </w:r>
      <w:r w:rsidRPr="00412BD0">
        <w:rPr>
          <w:rFonts w:cs="Times New Roman"/>
        </w:rPr>
        <w:t>ed.</w:t>
      </w:r>
      <w:r w:rsidRPr="00412BD0">
        <w:rPr>
          <w:rFonts w:cs="Times New Roman"/>
          <w:lang w:val="en-US"/>
        </w:rPr>
        <w:t xml:space="preserve"> Jose</w:t>
      </w:r>
      <w:r w:rsidRPr="00412BD0">
        <w:rPr>
          <w:rFonts w:cs="Times New Roman"/>
        </w:rPr>
        <w:t xml:space="preserve"> E.</w:t>
      </w:r>
      <w:r w:rsidRPr="00412BD0">
        <w:rPr>
          <w:rFonts w:cs="Times New Roman"/>
          <w:lang w:val="en-US"/>
        </w:rPr>
        <w:t xml:space="preserve"> Alvarez</w:t>
      </w:r>
      <w:r w:rsidRPr="00412BD0">
        <w:rPr>
          <w:rFonts w:cs="Times New Roman"/>
        </w:rPr>
        <w:t xml:space="preserve"> et al. </w:t>
      </w:r>
      <w:r w:rsidRPr="00412BD0">
        <w:rPr>
          <w:rFonts w:cs="Times New Roman"/>
          <w:lang w:val="en-US"/>
        </w:rPr>
        <w:t>(</w:t>
      </w:r>
      <w:r w:rsidRPr="00412BD0">
        <w:rPr>
          <w:rFonts w:cs="Times New Roman"/>
        </w:rPr>
        <w:t xml:space="preserve">Oxford: </w:t>
      </w:r>
      <w:r w:rsidRPr="00412BD0">
        <w:rPr>
          <w:rFonts w:cs="Times New Roman"/>
          <w:lang w:val="en-US"/>
        </w:rPr>
        <w:t>Oxford University Press, 2011),</w:t>
      </w:r>
      <w:r w:rsidRPr="00412BD0">
        <w:rPr>
          <w:rFonts w:cs="Times New Roman"/>
        </w:rPr>
        <w:t xml:space="preserve"> 13.</w:t>
      </w:r>
    </w:p>
  </w:footnote>
  <w:footnote w:id="20">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proofErr w:type="gramStart"/>
      <w:r w:rsidRPr="00412BD0">
        <w:rPr>
          <w:rFonts w:cs="Times New Roman"/>
          <w:i/>
          <w:lang w:val="en-US"/>
        </w:rPr>
        <w:t>Ibid</w:t>
      </w:r>
      <w:r w:rsidRPr="00412BD0">
        <w:rPr>
          <w:rFonts w:cs="Times New Roman"/>
          <w:lang w:val="en-US"/>
        </w:rPr>
        <w:t>.,</w:t>
      </w:r>
      <w:proofErr w:type="gramEnd"/>
      <w:r w:rsidRPr="00412BD0">
        <w:rPr>
          <w:rFonts w:cs="Times New Roman"/>
          <w:lang w:val="en-US"/>
        </w:rPr>
        <w:t xml:space="preserve"> 14.</w:t>
      </w:r>
    </w:p>
  </w:footnote>
  <w:footnote w:id="21">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spellStart"/>
      <w:proofErr w:type="gramStart"/>
      <w:r w:rsidRPr="00412BD0">
        <w:rPr>
          <w:rFonts w:cs="Times New Roman"/>
        </w:rPr>
        <w:t>Gaukrodger</w:t>
      </w:r>
      <w:proofErr w:type="spellEnd"/>
      <w:r w:rsidRPr="00412BD0">
        <w:rPr>
          <w:rFonts w:cs="Times New Roman"/>
        </w:rPr>
        <w:t xml:space="preserve"> and Gordon, </w:t>
      </w:r>
      <w:r w:rsidRPr="00412BD0">
        <w:rPr>
          <w:rFonts w:cs="Times New Roman"/>
          <w:i/>
        </w:rPr>
        <w:t>Scoping Paper</w:t>
      </w:r>
      <w:r w:rsidRPr="00412BD0">
        <w:rPr>
          <w:rFonts w:cs="Times New Roman"/>
        </w:rPr>
        <w:t>, 13.</w:t>
      </w:r>
      <w:proofErr w:type="gramEnd"/>
    </w:p>
  </w:footnote>
  <w:footnote w:id="22">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See </w:t>
      </w:r>
      <w:r w:rsidRPr="00412BD0">
        <w:rPr>
          <w:rFonts w:cs="Times New Roman"/>
          <w:lang w:val="en-US" w:eastAsia="en-GB"/>
        </w:rPr>
        <w:t xml:space="preserve">Tom Ginsburg, “International Substitutes for Domestic Institutions: Bilateral Investment Treaties and Governance”, </w:t>
      </w:r>
      <w:r w:rsidRPr="00412BD0">
        <w:rPr>
          <w:rFonts w:cs="Times New Roman"/>
          <w:i/>
          <w:lang w:val="en-US" w:eastAsia="en-GB"/>
        </w:rPr>
        <w:t>International Review of Law and Economics,</w:t>
      </w:r>
      <w:r w:rsidRPr="00412BD0">
        <w:rPr>
          <w:rFonts w:cs="Times New Roman"/>
          <w:lang w:val="en-US" w:eastAsia="en-GB"/>
        </w:rPr>
        <w:t xml:space="preserve"> 25(2005): 107, 121.</w:t>
      </w:r>
      <w:r w:rsidRPr="00412BD0">
        <w:rPr>
          <w:rFonts w:cs="Times New Roman"/>
          <w:lang w:val="en-US"/>
        </w:rPr>
        <w:t xml:space="preserve"> By allowing foreign investors to exit domestic legal orders, IIL also creates the problems of reverse discrimination against domestic investors as well as regulatory chill. See also </w:t>
      </w:r>
      <w:r w:rsidRPr="00412BD0">
        <w:rPr>
          <w:rFonts w:cs="Times New Roman"/>
          <w:lang w:val="en-US" w:eastAsia="en-GB"/>
        </w:rPr>
        <w:t>UNCTAD Series on Issues in International Investment Agreements II:</w:t>
      </w:r>
      <w:r w:rsidRPr="00412BD0">
        <w:rPr>
          <w:rFonts w:cs="Times New Roman"/>
          <w:i/>
          <w:lang w:val="en-US" w:eastAsia="en-GB"/>
        </w:rPr>
        <w:t xml:space="preserve"> Fair and Equitable Treatment: A Sequel</w:t>
      </w:r>
      <w:r w:rsidRPr="00412BD0">
        <w:rPr>
          <w:rFonts w:cs="Times New Roman"/>
          <w:lang w:val="en-US" w:eastAsia="en-GB"/>
        </w:rPr>
        <w:t xml:space="preserve"> (United Nations</w:t>
      </w:r>
      <w:r w:rsidR="0014779D" w:rsidRPr="00412BD0">
        <w:rPr>
          <w:rFonts w:cs="Times New Roman"/>
          <w:lang w:val="en-US" w:eastAsia="en-GB"/>
        </w:rPr>
        <w:fldChar w:fldCharType="begin"/>
      </w:r>
      <w:r w:rsidRPr="00412BD0">
        <w:instrText xml:space="preserve"> XE "</w:instrText>
      </w:r>
      <w:r w:rsidRPr="00412BD0">
        <w:rPr>
          <w:lang w:val="en-US"/>
        </w:rPr>
        <w:instrText>United Nations</w:instrText>
      </w:r>
      <w:r w:rsidRPr="00412BD0">
        <w:instrText xml:space="preserve">" </w:instrText>
      </w:r>
      <w:r w:rsidR="0014779D" w:rsidRPr="00412BD0">
        <w:rPr>
          <w:rFonts w:cs="Times New Roman"/>
          <w:lang w:val="en-US" w:eastAsia="en-GB"/>
        </w:rPr>
        <w:fldChar w:fldCharType="end"/>
      </w:r>
      <w:r w:rsidRPr="00412BD0">
        <w:rPr>
          <w:rFonts w:cs="Times New Roman"/>
          <w:lang w:val="en-US" w:eastAsia="en-GB"/>
        </w:rPr>
        <w:t xml:space="preserve">, New York and Geneva, 2012), </w:t>
      </w:r>
      <w:r w:rsidRPr="00412BD0">
        <w:rPr>
          <w:rFonts w:cs="Times New Roman"/>
          <w:lang w:val="en-US"/>
        </w:rPr>
        <w:t xml:space="preserve">12. </w:t>
      </w:r>
    </w:p>
  </w:footnote>
  <w:footnote w:id="23">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gramStart"/>
      <w:r w:rsidRPr="00412BD0">
        <w:rPr>
          <w:rFonts w:cs="Times New Roman"/>
          <w:i/>
        </w:rPr>
        <w:t>Ibid</w:t>
      </w:r>
      <w:r w:rsidRPr="00412BD0">
        <w:rPr>
          <w:rFonts w:cs="Times New Roman"/>
        </w:rPr>
        <w:t>.,</w:t>
      </w:r>
      <w:proofErr w:type="gramEnd"/>
      <w:r w:rsidRPr="00412BD0">
        <w:rPr>
          <w:rFonts w:cs="Times New Roman"/>
        </w:rPr>
        <w:t xml:space="preserve"> see also </w:t>
      </w:r>
      <w:proofErr w:type="spellStart"/>
      <w:r w:rsidRPr="00412BD0">
        <w:rPr>
          <w:rFonts w:cs="Times New Roman"/>
        </w:rPr>
        <w:t>Gaukrodger</w:t>
      </w:r>
      <w:proofErr w:type="spellEnd"/>
      <w:r w:rsidRPr="00412BD0">
        <w:rPr>
          <w:rFonts w:cs="Times New Roman"/>
        </w:rPr>
        <w:t xml:space="preserve"> and Gordon, </w:t>
      </w:r>
      <w:r w:rsidRPr="00412BD0">
        <w:rPr>
          <w:rFonts w:cs="Times New Roman"/>
          <w:i/>
        </w:rPr>
        <w:t>Scoping</w:t>
      </w:r>
      <w:r w:rsidRPr="00412BD0">
        <w:rPr>
          <w:rFonts w:cs="Times New Roman"/>
        </w:rPr>
        <w:t xml:space="preserve"> Paper, 14.</w:t>
      </w:r>
    </w:p>
  </w:footnote>
  <w:footnote w:id="24">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r w:rsidRPr="00412BD0">
        <w:rPr>
          <w:rFonts w:cs="Times New Roman"/>
          <w:color w:val="000000"/>
          <w:lang w:val="en-US"/>
        </w:rPr>
        <w:t xml:space="preserve">One of the leading texts is </w:t>
      </w:r>
      <w:r w:rsidRPr="00412BD0">
        <w:rPr>
          <w:rFonts w:cs="Times New Roman"/>
          <w:bCs/>
          <w:color w:val="000000"/>
          <w:lang w:val="en-US"/>
        </w:rPr>
        <w:t xml:space="preserve">Karl P. </w:t>
      </w:r>
      <w:proofErr w:type="spellStart"/>
      <w:r w:rsidRPr="00412BD0">
        <w:rPr>
          <w:rFonts w:cs="Times New Roman"/>
          <w:bCs/>
          <w:color w:val="000000"/>
          <w:lang w:val="en-US"/>
        </w:rPr>
        <w:t>Sauvant</w:t>
      </w:r>
      <w:proofErr w:type="spellEnd"/>
      <w:r w:rsidRPr="00412BD0">
        <w:rPr>
          <w:rFonts w:cs="Times New Roman"/>
          <w:bCs/>
          <w:color w:val="000000"/>
          <w:lang w:val="en-US"/>
        </w:rPr>
        <w:t xml:space="preserve"> and Lisa E. Sachs</w:t>
      </w:r>
      <w:r w:rsidRPr="00412BD0">
        <w:rPr>
          <w:rFonts w:cs="Times New Roman"/>
          <w:color w:val="000000"/>
          <w:lang w:val="en-US"/>
        </w:rPr>
        <w:t xml:space="preserve">, </w:t>
      </w:r>
      <w:r w:rsidRPr="00412BD0">
        <w:rPr>
          <w:rFonts w:cs="Times New Roman"/>
          <w:bCs/>
          <w:i/>
          <w:color w:val="000000"/>
          <w:lang w:val="en-US"/>
        </w:rPr>
        <w:t>The Effect of Treaties on Foreign Direct Investment: Bilateral Investment Treaties, Double Taxation Treaties, and Investment Flows</w:t>
      </w:r>
      <w:r w:rsidRPr="00412BD0">
        <w:rPr>
          <w:rFonts w:cs="Times New Roman"/>
          <w:bCs/>
          <w:color w:val="000000"/>
          <w:lang w:val="en-US"/>
        </w:rPr>
        <w:t xml:space="preserve"> (New York: Oxford University Press, 2009). See also </w:t>
      </w:r>
      <w:r w:rsidRPr="00412BD0">
        <w:rPr>
          <w:rFonts w:cs="Times New Roman"/>
          <w:lang w:val="en-US" w:eastAsia="en-GB"/>
        </w:rPr>
        <w:t xml:space="preserve">Mary </w:t>
      </w:r>
      <w:proofErr w:type="spellStart"/>
      <w:r w:rsidRPr="00412BD0">
        <w:rPr>
          <w:rFonts w:cs="Times New Roman"/>
          <w:lang w:val="en-US" w:eastAsia="en-GB"/>
        </w:rPr>
        <w:t>Hallward-Driemeier</w:t>
      </w:r>
      <w:proofErr w:type="spellEnd"/>
      <w:r w:rsidRPr="00412BD0">
        <w:rPr>
          <w:rFonts w:cs="Times New Roman"/>
          <w:lang w:val="en-US" w:eastAsia="en-GB"/>
        </w:rPr>
        <w:t>, “Do Bilateral Investment Treaties Attract Foreign Direct Investment? Only a Bit . . . and They Could Bite,” World Bank</w:t>
      </w:r>
      <w:r w:rsidR="0014779D" w:rsidRPr="00412BD0">
        <w:rPr>
          <w:rFonts w:cs="Times New Roman"/>
          <w:lang w:val="en-US" w:eastAsia="en-GB"/>
        </w:rPr>
        <w:fldChar w:fldCharType="begin"/>
      </w:r>
      <w:r w:rsidRPr="00412BD0">
        <w:instrText xml:space="preserve"> XE "</w:instrText>
      </w:r>
      <w:r w:rsidRPr="00412BD0">
        <w:rPr>
          <w:lang w:val="en-US"/>
        </w:rPr>
        <w:instrText>World Bank</w:instrText>
      </w:r>
      <w:r w:rsidRPr="00412BD0">
        <w:instrText xml:space="preserve">" </w:instrText>
      </w:r>
      <w:r w:rsidR="0014779D" w:rsidRPr="00412BD0">
        <w:rPr>
          <w:rFonts w:cs="Times New Roman"/>
          <w:lang w:val="en-US" w:eastAsia="en-GB"/>
        </w:rPr>
        <w:fldChar w:fldCharType="end"/>
      </w:r>
      <w:r w:rsidRPr="00412BD0">
        <w:rPr>
          <w:rFonts w:cs="Times New Roman"/>
          <w:lang w:val="en-US" w:eastAsia="en-GB"/>
        </w:rPr>
        <w:t xml:space="preserve"> Development Research Group Policy Research Working Paper 3121 (Washington, D.C., 2003); Jennifer Tobin and Susan Rose-Ackerman, “When BITs Have Some Bite: The Political-Economic Environment for Bilateral Investment Treaties,” </w:t>
      </w:r>
      <w:r w:rsidRPr="00412BD0">
        <w:rPr>
          <w:rFonts w:cs="Times New Roman"/>
          <w:i/>
          <w:lang w:val="en-US" w:eastAsia="en-GB"/>
        </w:rPr>
        <w:t xml:space="preserve">Review of International Organizations </w:t>
      </w:r>
      <w:r w:rsidRPr="00412BD0">
        <w:rPr>
          <w:rFonts w:cs="Times New Roman"/>
          <w:lang w:val="en-US" w:eastAsia="en-GB"/>
        </w:rPr>
        <w:t xml:space="preserve">6, no. 1 (2011): 1–32. However, compare </w:t>
      </w:r>
      <w:proofErr w:type="spellStart"/>
      <w:r w:rsidRPr="00412BD0">
        <w:rPr>
          <w:rFonts w:cs="Times New Roman"/>
          <w:lang w:val="en-US" w:eastAsia="en-GB"/>
        </w:rPr>
        <w:t>Jeswald</w:t>
      </w:r>
      <w:proofErr w:type="spellEnd"/>
      <w:r w:rsidRPr="00412BD0">
        <w:rPr>
          <w:rFonts w:cs="Times New Roman"/>
          <w:lang w:val="en-US" w:eastAsia="en-GB"/>
        </w:rPr>
        <w:t xml:space="preserve"> W. </w:t>
      </w:r>
      <w:proofErr w:type="spellStart"/>
      <w:r w:rsidRPr="00412BD0">
        <w:rPr>
          <w:rFonts w:cs="Times New Roman"/>
          <w:lang w:val="en-US" w:eastAsia="en-GB"/>
        </w:rPr>
        <w:t>Salacuse</w:t>
      </w:r>
      <w:proofErr w:type="spellEnd"/>
      <w:r w:rsidRPr="00412BD0">
        <w:rPr>
          <w:rFonts w:cs="Times New Roman"/>
          <w:lang w:val="en-US" w:eastAsia="en-GB"/>
        </w:rPr>
        <w:t xml:space="preserve"> and Nicholas P. Sullivan, “Do BITs Really Work? An Evaluation of Bilateral Investment Treaties and Their Grand Bargain,” </w:t>
      </w:r>
      <w:r w:rsidRPr="00412BD0">
        <w:rPr>
          <w:rFonts w:cs="Times New Roman"/>
          <w:i/>
          <w:lang w:val="en-US" w:eastAsia="en-GB"/>
        </w:rPr>
        <w:t xml:space="preserve">Harvard International Law Journal </w:t>
      </w:r>
      <w:r w:rsidRPr="00412BD0">
        <w:rPr>
          <w:rFonts w:cs="Times New Roman"/>
          <w:lang w:val="en-US" w:eastAsia="en-GB"/>
        </w:rPr>
        <w:t xml:space="preserve">46 (2005): 67–130; and Eric </w:t>
      </w:r>
      <w:proofErr w:type="spellStart"/>
      <w:r w:rsidRPr="00412BD0">
        <w:rPr>
          <w:rFonts w:cs="Times New Roman"/>
          <w:lang w:val="en-US" w:eastAsia="en-GB"/>
        </w:rPr>
        <w:t>Neumayer</w:t>
      </w:r>
      <w:proofErr w:type="spellEnd"/>
      <w:r w:rsidRPr="00412BD0">
        <w:rPr>
          <w:rFonts w:cs="Times New Roman"/>
          <w:lang w:val="en-US" w:eastAsia="en-GB"/>
        </w:rPr>
        <w:t xml:space="preserve"> and Laura </w:t>
      </w:r>
      <w:proofErr w:type="spellStart"/>
      <w:r w:rsidRPr="00412BD0">
        <w:rPr>
          <w:rFonts w:cs="Times New Roman"/>
          <w:lang w:val="en-US" w:eastAsia="en-GB"/>
        </w:rPr>
        <w:t>Spess</w:t>
      </w:r>
      <w:proofErr w:type="spellEnd"/>
      <w:r w:rsidRPr="00412BD0">
        <w:rPr>
          <w:rFonts w:cs="Times New Roman"/>
          <w:lang w:val="en-US" w:eastAsia="en-GB"/>
        </w:rPr>
        <w:t xml:space="preserve">, “Do Bilateral Investment Treaties Increase Foreign Direct Investment to Developing Countries?” </w:t>
      </w:r>
      <w:r w:rsidRPr="00412BD0">
        <w:rPr>
          <w:rFonts w:cs="Times New Roman"/>
          <w:i/>
          <w:lang w:val="en-US" w:eastAsia="en-GB"/>
        </w:rPr>
        <w:t xml:space="preserve">World Development </w:t>
      </w:r>
      <w:r w:rsidRPr="00412BD0">
        <w:rPr>
          <w:rFonts w:cs="Times New Roman"/>
          <w:lang w:val="en-US" w:eastAsia="en-GB"/>
        </w:rPr>
        <w:t>33, no. 10 (2005): 1567–85.</w:t>
      </w:r>
    </w:p>
  </w:footnote>
  <w:footnote w:id="25">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r w:rsidRPr="00412BD0">
        <w:rPr>
          <w:rFonts w:cs="Times New Roman"/>
        </w:rPr>
        <w:t xml:space="preserve">See, for instance, Jason W. </w:t>
      </w:r>
      <w:proofErr w:type="spellStart"/>
      <w:r w:rsidRPr="00412BD0">
        <w:rPr>
          <w:rFonts w:cs="Times New Roman"/>
        </w:rPr>
        <w:t>Yackee</w:t>
      </w:r>
      <w:proofErr w:type="spellEnd"/>
      <w:r w:rsidRPr="00412BD0">
        <w:rPr>
          <w:rFonts w:cs="Times New Roman"/>
        </w:rPr>
        <w:t>, “</w:t>
      </w:r>
      <w:r w:rsidRPr="00412BD0">
        <w:rPr>
          <w:rFonts w:cs="Times New Roman"/>
          <w:bCs/>
        </w:rPr>
        <w:t xml:space="preserve">Do BITs Really Work? Revisiting the Empirical Link between Investment Treaties and Foreign Direct Investment” in </w:t>
      </w:r>
      <w:r w:rsidRPr="00412BD0">
        <w:rPr>
          <w:rFonts w:cs="Times New Roman"/>
          <w:bCs/>
          <w:i/>
          <w:color w:val="000000"/>
          <w:lang w:val="en-US"/>
        </w:rPr>
        <w:t>The Effect of Treaties on Foreign Direct Investment: Bilateral Investment Treaties, Double Taxation Treaties, and Investment Flows</w:t>
      </w:r>
      <w:r w:rsidRPr="00412BD0">
        <w:rPr>
          <w:rFonts w:cs="Times New Roman"/>
          <w:bCs/>
          <w:i/>
          <w:color w:val="000000"/>
        </w:rPr>
        <w:t xml:space="preserve">, </w:t>
      </w:r>
      <w:r w:rsidRPr="00412BD0">
        <w:rPr>
          <w:rFonts w:cs="Times New Roman"/>
          <w:bCs/>
          <w:color w:val="000000"/>
        </w:rPr>
        <w:t>eds.</w:t>
      </w:r>
      <w:r w:rsidRPr="00412BD0">
        <w:rPr>
          <w:rFonts w:cs="Times New Roman"/>
          <w:bCs/>
          <w:i/>
          <w:color w:val="000000"/>
        </w:rPr>
        <w:t xml:space="preserve"> </w:t>
      </w:r>
      <w:r w:rsidRPr="00412BD0">
        <w:rPr>
          <w:rFonts w:cs="Times New Roman"/>
          <w:bCs/>
          <w:color w:val="000000"/>
          <w:lang w:val="en-US"/>
        </w:rPr>
        <w:t xml:space="preserve">Karl P. </w:t>
      </w:r>
      <w:proofErr w:type="spellStart"/>
      <w:r w:rsidRPr="00412BD0">
        <w:rPr>
          <w:rFonts w:cs="Times New Roman"/>
          <w:bCs/>
          <w:color w:val="000000"/>
          <w:lang w:val="en-US"/>
        </w:rPr>
        <w:t>Sauvant</w:t>
      </w:r>
      <w:proofErr w:type="spellEnd"/>
      <w:r w:rsidRPr="00412BD0">
        <w:rPr>
          <w:rFonts w:cs="Times New Roman"/>
          <w:bCs/>
          <w:color w:val="000000"/>
          <w:lang w:val="en-US"/>
        </w:rPr>
        <w:t xml:space="preserve"> and Lisa E. Sachs</w:t>
      </w:r>
      <w:r w:rsidRPr="00412BD0">
        <w:rPr>
          <w:rFonts w:cs="Times New Roman"/>
          <w:bCs/>
          <w:color w:val="000000"/>
        </w:rPr>
        <w:t xml:space="preserve"> </w:t>
      </w:r>
      <w:r w:rsidRPr="00412BD0">
        <w:rPr>
          <w:rFonts w:cs="Times New Roman"/>
          <w:bCs/>
          <w:color w:val="000000"/>
          <w:lang w:val="en-US"/>
        </w:rPr>
        <w:t>(New York</w:t>
      </w:r>
      <w:r w:rsidRPr="00412BD0">
        <w:rPr>
          <w:rFonts w:cs="Times New Roman"/>
          <w:bCs/>
          <w:color w:val="000000"/>
        </w:rPr>
        <w:t xml:space="preserve">: </w:t>
      </w:r>
      <w:proofErr w:type="spellStart"/>
      <w:r w:rsidRPr="00412BD0">
        <w:rPr>
          <w:rFonts w:cs="Times New Roman"/>
          <w:bCs/>
          <w:color w:val="000000"/>
          <w:lang w:val="en-US"/>
        </w:rPr>
        <w:t>Oyford</w:t>
      </w:r>
      <w:proofErr w:type="spellEnd"/>
      <w:r w:rsidRPr="00412BD0">
        <w:rPr>
          <w:rFonts w:cs="Times New Roman"/>
          <w:bCs/>
          <w:color w:val="000000"/>
          <w:lang w:val="en-US"/>
        </w:rPr>
        <w:t xml:space="preserve"> University Press, 2009)</w:t>
      </w:r>
      <w:r w:rsidRPr="00412BD0">
        <w:rPr>
          <w:rFonts w:cs="Times New Roman"/>
          <w:bCs/>
          <w:color w:val="000000"/>
        </w:rPr>
        <w:t xml:space="preserve">, 1-23; also Olivier De </w:t>
      </w:r>
      <w:proofErr w:type="spellStart"/>
      <w:r w:rsidRPr="00412BD0">
        <w:rPr>
          <w:rFonts w:cs="Times New Roman"/>
          <w:bCs/>
          <w:color w:val="000000"/>
        </w:rPr>
        <w:t>Schutter</w:t>
      </w:r>
      <w:proofErr w:type="spellEnd"/>
      <w:r w:rsidRPr="00412BD0">
        <w:rPr>
          <w:rFonts w:cs="Times New Roman"/>
          <w:bCs/>
          <w:color w:val="000000"/>
        </w:rPr>
        <w:t xml:space="preserve">, Johan F. </w:t>
      </w:r>
      <w:proofErr w:type="spellStart"/>
      <w:r w:rsidRPr="00412BD0">
        <w:rPr>
          <w:rFonts w:cs="Times New Roman"/>
          <w:bCs/>
          <w:color w:val="000000"/>
        </w:rPr>
        <w:t>Swinnen</w:t>
      </w:r>
      <w:proofErr w:type="spellEnd"/>
      <w:r w:rsidRPr="00412BD0">
        <w:rPr>
          <w:rFonts w:cs="Times New Roman"/>
          <w:bCs/>
          <w:color w:val="000000"/>
        </w:rPr>
        <w:t xml:space="preserve"> and Jan </w:t>
      </w:r>
      <w:proofErr w:type="spellStart"/>
      <w:r w:rsidRPr="00412BD0">
        <w:rPr>
          <w:rFonts w:cs="Times New Roman"/>
          <w:bCs/>
          <w:color w:val="000000"/>
        </w:rPr>
        <w:t>Wouters</w:t>
      </w:r>
      <w:proofErr w:type="spellEnd"/>
      <w:r w:rsidRPr="00412BD0">
        <w:rPr>
          <w:rFonts w:cs="Times New Roman"/>
          <w:bCs/>
          <w:color w:val="000000"/>
        </w:rPr>
        <w:t>, eds.</w:t>
      </w:r>
      <w:r w:rsidRPr="00412BD0">
        <w:rPr>
          <w:rFonts w:cs="Times New Roman"/>
          <w:bCs/>
          <w:i/>
          <w:color w:val="000000"/>
        </w:rPr>
        <w:t xml:space="preserve"> Foreign Direct Investment and Human Development: The Law and Economics of International Investment Agreements</w:t>
      </w:r>
      <w:r w:rsidRPr="00412BD0">
        <w:rPr>
          <w:rFonts w:cs="Times New Roman"/>
          <w:bCs/>
          <w:color w:val="000000"/>
        </w:rPr>
        <w:t xml:space="preserve"> (Abingdon: Routledge, 2013).</w:t>
      </w:r>
    </w:p>
  </w:footnote>
  <w:footnote w:id="26">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While many tribunals interpreted a contribution to the economic development as one of the key criteria in identifying the existence of a protected investment, a number of arbitral panels dismissed the criterion. See, </w:t>
      </w:r>
      <w:r w:rsidRPr="00412BD0">
        <w:rPr>
          <w:rFonts w:cs="Times New Roman"/>
          <w:i/>
          <w:lang w:val="en-US"/>
        </w:rPr>
        <w:t>e.g.</w:t>
      </w:r>
      <w:r w:rsidRPr="00412BD0">
        <w:rPr>
          <w:rFonts w:cs="Times New Roman"/>
          <w:lang w:val="en-US"/>
        </w:rPr>
        <w:t xml:space="preserve"> </w:t>
      </w:r>
      <w:r w:rsidRPr="00412BD0">
        <w:rPr>
          <w:rFonts w:cs="Times New Roman"/>
          <w:i/>
          <w:lang w:val="en-US"/>
        </w:rPr>
        <w:t xml:space="preserve">Saba </w:t>
      </w:r>
      <w:r w:rsidRPr="00412BD0">
        <w:rPr>
          <w:rFonts w:cs="Times New Roman"/>
          <w:i/>
          <w:lang w:val="en-US" w:eastAsia="en-GB"/>
        </w:rPr>
        <w:t>Fakes v. Republic of Turkey</w:t>
      </w:r>
      <w:r w:rsidRPr="00412BD0">
        <w:rPr>
          <w:rFonts w:cs="Times New Roman"/>
          <w:lang w:val="en-US" w:eastAsia="en-GB"/>
        </w:rPr>
        <w:t xml:space="preserve">, ICSID Case No. ARB/07/20, Award ¶ 111 (Jul. 12, 2010); and </w:t>
      </w:r>
      <w:r w:rsidRPr="00412BD0">
        <w:rPr>
          <w:rFonts w:cs="Times New Roman"/>
          <w:bCs/>
          <w:i/>
          <w:lang w:val="en-US"/>
        </w:rPr>
        <w:t>Mr. Patrick Mitchell v the Democratic Republic of the Congo</w:t>
      </w:r>
      <w:r w:rsidRPr="00412BD0">
        <w:rPr>
          <w:rFonts w:cs="Times New Roman"/>
          <w:bCs/>
          <w:lang w:val="en-US"/>
        </w:rPr>
        <w:t>, ICSID Case No ARB/99/7, Decision on the Application for Annulment of the Award, ¶ 39 (Oct. 27, 2006)</w:t>
      </w:r>
      <w:r w:rsidRPr="00412BD0">
        <w:rPr>
          <w:rFonts w:cs="Times New Roman"/>
          <w:lang w:val="en-US"/>
        </w:rPr>
        <w:t>.</w:t>
      </w:r>
    </w:p>
  </w:footnote>
  <w:footnote w:id="27">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proofErr w:type="gramStart"/>
      <w:r w:rsidRPr="00412BD0">
        <w:rPr>
          <w:rFonts w:cs="Times New Roman"/>
          <w:lang w:val="en-US" w:eastAsia="en-GB"/>
        </w:rPr>
        <w:t xml:space="preserve">UNCTAD, </w:t>
      </w:r>
      <w:r w:rsidRPr="00412BD0">
        <w:rPr>
          <w:rFonts w:cs="Times New Roman"/>
          <w:i/>
          <w:lang w:val="en-US" w:eastAsia="en-GB"/>
        </w:rPr>
        <w:t>Fair and Equitable Treatment</w:t>
      </w:r>
      <w:r w:rsidRPr="00412BD0">
        <w:rPr>
          <w:rFonts w:cs="Times New Roman"/>
          <w:lang w:val="en-US" w:eastAsia="en-GB"/>
        </w:rPr>
        <w:t>, 12.</w:t>
      </w:r>
      <w:proofErr w:type="gramEnd"/>
    </w:p>
  </w:footnote>
  <w:footnote w:id="28">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i/>
        </w:rPr>
        <w:t>Ibid</w:t>
      </w:r>
      <w:r w:rsidRPr="00412BD0">
        <w:rPr>
          <w:rFonts w:cs="Times New Roman"/>
        </w:rPr>
        <w:t>.</w:t>
      </w:r>
    </w:p>
  </w:footnote>
  <w:footnote w:id="29">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Alan O. Sykes, </w:t>
      </w:r>
      <w:bookmarkStart w:id="3" w:name="citation"/>
      <w:r w:rsidRPr="00412BD0">
        <w:rPr>
          <w:rFonts w:cs="Times New Roman"/>
          <w:lang w:val="en-US"/>
        </w:rPr>
        <w:t xml:space="preserve">“The </w:t>
      </w:r>
      <w:r w:rsidRPr="00412BD0">
        <w:rPr>
          <w:rStyle w:val="Strong"/>
          <w:rFonts w:cs="Times New Roman"/>
          <w:lang w:val="en-US"/>
        </w:rPr>
        <w:t>Inaugural</w:t>
      </w:r>
      <w:r w:rsidRPr="00412BD0">
        <w:rPr>
          <w:rFonts w:cs="Times New Roman"/>
          <w:lang w:val="en-US"/>
        </w:rPr>
        <w:t xml:space="preserve"> </w:t>
      </w:r>
      <w:r w:rsidRPr="00412BD0">
        <w:rPr>
          <w:rStyle w:val="Strong"/>
          <w:rFonts w:cs="Times New Roman"/>
          <w:lang w:val="en-US"/>
        </w:rPr>
        <w:t>Robert</w:t>
      </w:r>
      <w:r w:rsidRPr="00412BD0">
        <w:rPr>
          <w:rFonts w:cs="Times New Roman"/>
          <w:lang w:val="en-US"/>
        </w:rPr>
        <w:t xml:space="preserve"> A. </w:t>
      </w:r>
      <w:r w:rsidRPr="00412BD0">
        <w:rPr>
          <w:rStyle w:val="Strong"/>
          <w:rFonts w:cs="Times New Roman"/>
          <w:lang w:val="en-US"/>
        </w:rPr>
        <w:t>Kindler</w:t>
      </w:r>
      <w:r w:rsidRPr="00412BD0">
        <w:rPr>
          <w:rFonts w:cs="Times New Roman"/>
          <w:lang w:val="en-US"/>
        </w:rPr>
        <w:t xml:space="preserve"> </w:t>
      </w:r>
      <w:r w:rsidRPr="00412BD0">
        <w:rPr>
          <w:rStyle w:val="Strong"/>
          <w:rFonts w:cs="Times New Roman"/>
          <w:lang w:val="en-US"/>
        </w:rPr>
        <w:t>Professorship</w:t>
      </w:r>
      <w:r w:rsidRPr="00412BD0">
        <w:rPr>
          <w:rFonts w:cs="Times New Roman"/>
          <w:lang w:val="en-US"/>
        </w:rPr>
        <w:t xml:space="preserve"> of </w:t>
      </w:r>
      <w:r w:rsidRPr="00412BD0">
        <w:rPr>
          <w:rStyle w:val="Strong"/>
          <w:rFonts w:cs="Times New Roman"/>
          <w:lang w:val="en-US"/>
        </w:rPr>
        <w:t>Law</w:t>
      </w:r>
      <w:r w:rsidRPr="00412BD0">
        <w:rPr>
          <w:rFonts w:cs="Times New Roman"/>
          <w:lang w:val="en-US"/>
        </w:rPr>
        <w:t xml:space="preserve"> </w:t>
      </w:r>
      <w:r w:rsidRPr="00412BD0">
        <w:rPr>
          <w:rStyle w:val="Strong"/>
          <w:rFonts w:cs="Times New Roman"/>
          <w:lang w:val="en-US"/>
        </w:rPr>
        <w:t>Lecture</w:t>
      </w:r>
      <w:bookmarkEnd w:id="3"/>
      <w:r w:rsidRPr="00412BD0">
        <w:rPr>
          <w:rStyle w:val="Strong"/>
          <w:rFonts w:cs="Times New Roman"/>
          <w:lang w:val="en-US"/>
        </w:rPr>
        <w:t>: When is International Law Useful</w:t>
      </w:r>
      <w:proofErr w:type="gramStart"/>
      <w:r w:rsidRPr="00412BD0">
        <w:rPr>
          <w:rStyle w:val="Strong"/>
          <w:rFonts w:cs="Times New Roman"/>
          <w:lang w:val="en-US"/>
        </w:rPr>
        <w:t>?,</w:t>
      </w:r>
      <w:proofErr w:type="gramEnd"/>
      <w:r w:rsidRPr="00412BD0">
        <w:rPr>
          <w:rStyle w:val="Strong"/>
          <w:rFonts w:cs="Times New Roman"/>
          <w:lang w:val="en-US"/>
        </w:rPr>
        <w:t xml:space="preserve">” </w:t>
      </w:r>
      <w:r w:rsidRPr="00412BD0">
        <w:rPr>
          <w:rFonts w:cs="Times New Roman"/>
          <w:i/>
          <w:color w:val="000000"/>
          <w:lang w:val="en-US"/>
        </w:rPr>
        <w:t xml:space="preserve">New York University Journal of International Law &amp; Politics </w:t>
      </w:r>
      <w:r w:rsidRPr="00412BD0">
        <w:rPr>
          <w:rFonts w:cs="Times New Roman"/>
          <w:color w:val="000000"/>
          <w:lang w:val="en-US"/>
        </w:rPr>
        <w:t xml:space="preserve">45, no. 3 (2013): </w:t>
      </w:r>
      <w:r w:rsidRPr="00412BD0">
        <w:rPr>
          <w:rStyle w:val="Strong"/>
          <w:rFonts w:cs="Times New Roman"/>
          <w:lang w:val="en-US"/>
        </w:rPr>
        <w:t xml:space="preserve"> 793.</w:t>
      </w:r>
    </w:p>
  </w:footnote>
  <w:footnote w:id="30">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 xml:space="preserve">See </w:t>
      </w:r>
      <w:r w:rsidRPr="00412BD0">
        <w:rPr>
          <w:rFonts w:cs="Times New Roman"/>
          <w:lang w:val="en-US"/>
        </w:rPr>
        <w:t xml:space="preserve">Sacha </w:t>
      </w:r>
      <w:proofErr w:type="spellStart"/>
      <w:r w:rsidRPr="00412BD0">
        <w:rPr>
          <w:rStyle w:val="Strong"/>
          <w:rFonts w:cs="Times New Roman"/>
          <w:lang w:val="en-US"/>
        </w:rPr>
        <w:t>Prechal</w:t>
      </w:r>
      <w:proofErr w:type="spellEnd"/>
      <w:r w:rsidRPr="00412BD0">
        <w:rPr>
          <w:rFonts w:cs="Times New Roman"/>
          <w:lang w:val="en-US"/>
        </w:rPr>
        <w:t xml:space="preserve">, </w:t>
      </w:r>
      <w:r w:rsidRPr="00412BD0">
        <w:rPr>
          <w:rFonts w:cs="Times New Roman"/>
        </w:rPr>
        <w:t>“</w:t>
      </w:r>
      <w:r w:rsidRPr="00412BD0">
        <w:rPr>
          <w:rFonts w:cs="Times New Roman"/>
          <w:lang w:val="en-US"/>
        </w:rPr>
        <w:t>Does Direct Effect Still Matter</w:t>
      </w:r>
      <w:proofErr w:type="gramStart"/>
      <w:r w:rsidRPr="00412BD0">
        <w:rPr>
          <w:rFonts w:cs="Times New Roman"/>
          <w:lang w:val="en-US"/>
        </w:rPr>
        <w:t>?</w:t>
      </w:r>
      <w:r w:rsidRPr="00412BD0">
        <w:rPr>
          <w:rFonts w:cs="Times New Roman"/>
        </w:rPr>
        <w:t>,</w:t>
      </w:r>
      <w:proofErr w:type="gramEnd"/>
      <w:r w:rsidRPr="00412BD0">
        <w:rPr>
          <w:rFonts w:cs="Times New Roman"/>
        </w:rPr>
        <w:t xml:space="preserve">” </w:t>
      </w:r>
      <w:r w:rsidRPr="00412BD0">
        <w:rPr>
          <w:rFonts w:cs="Times New Roman"/>
          <w:i/>
          <w:lang w:val="en-US"/>
        </w:rPr>
        <w:t>Common Market Law Review</w:t>
      </w:r>
      <w:r w:rsidRPr="00412BD0">
        <w:rPr>
          <w:rFonts w:cs="Times New Roman"/>
        </w:rPr>
        <w:t xml:space="preserve"> 37, no. 5 (2000): </w:t>
      </w:r>
      <w:r w:rsidRPr="00412BD0">
        <w:rPr>
          <w:rFonts w:cs="Times New Roman"/>
          <w:lang w:val="en-US"/>
        </w:rPr>
        <w:t>1047–1069</w:t>
      </w:r>
      <w:r w:rsidRPr="00412BD0">
        <w:rPr>
          <w:rFonts w:cs="Times New Roman"/>
        </w:rPr>
        <w:t>.</w:t>
      </w:r>
    </w:p>
  </w:footnote>
  <w:footnote w:id="31">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spellStart"/>
      <w:r w:rsidRPr="00412BD0">
        <w:rPr>
          <w:rFonts w:cs="Times New Roman"/>
        </w:rPr>
        <w:t>Montt</w:t>
      </w:r>
      <w:proofErr w:type="spellEnd"/>
      <w:r w:rsidRPr="00412BD0">
        <w:rPr>
          <w:rFonts w:cs="Times New Roman"/>
        </w:rPr>
        <w:t xml:space="preserve">, </w:t>
      </w:r>
      <w:r w:rsidRPr="00412BD0">
        <w:rPr>
          <w:rFonts w:cs="Times New Roman"/>
          <w:i/>
        </w:rPr>
        <w:t>State Liability</w:t>
      </w:r>
      <w:r w:rsidRPr="00412BD0">
        <w:rPr>
          <w:rFonts w:cs="Times New Roman"/>
        </w:rPr>
        <w:t>, 309.</w:t>
      </w:r>
    </w:p>
  </w:footnote>
  <w:footnote w:id="32">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See Preamble to the Chile</w:t>
      </w:r>
      <w:r w:rsidR="0014779D" w:rsidRPr="00412BD0">
        <w:rPr>
          <w:rFonts w:cs="Times New Roman"/>
        </w:rPr>
        <w:fldChar w:fldCharType="begin"/>
      </w:r>
      <w:r w:rsidRPr="00412BD0">
        <w:instrText xml:space="preserve"> XE "</w:instrText>
      </w:r>
      <w:r w:rsidRPr="00412BD0">
        <w:rPr>
          <w:lang w:val="en-US" w:eastAsia="it-IT"/>
        </w:rPr>
        <w:instrText>Chile</w:instrText>
      </w:r>
      <w:r w:rsidRPr="00412BD0">
        <w:instrText xml:space="preserve">" </w:instrText>
      </w:r>
      <w:r w:rsidR="0014779D" w:rsidRPr="00412BD0">
        <w:rPr>
          <w:rFonts w:cs="Times New Roman"/>
        </w:rPr>
        <w:fldChar w:fldCharType="end"/>
      </w:r>
      <w:r w:rsidRPr="00412BD0">
        <w:rPr>
          <w:rFonts w:cs="Times New Roman"/>
        </w:rPr>
        <w:t>—Malaysia BIT</w:t>
      </w:r>
      <w:r w:rsidR="0014779D" w:rsidRPr="00412BD0">
        <w:rPr>
          <w:rFonts w:cs="Times New Roman"/>
        </w:rPr>
        <w:fldChar w:fldCharType="begin"/>
      </w:r>
      <w:r w:rsidRPr="00412BD0">
        <w:instrText xml:space="preserve"> XE "</w:instrText>
      </w:r>
      <w:r w:rsidRPr="00412BD0">
        <w:rPr>
          <w:lang w:val="en-US" w:eastAsia="zh-TW"/>
        </w:rPr>
        <w:instrText>BIT</w:instrText>
      </w:r>
      <w:r w:rsidRPr="00412BD0">
        <w:instrText xml:space="preserve">" </w:instrText>
      </w:r>
      <w:r w:rsidR="0014779D" w:rsidRPr="00412BD0">
        <w:rPr>
          <w:rFonts w:cs="Times New Roman"/>
        </w:rPr>
        <w:fldChar w:fldCharType="end"/>
      </w:r>
      <w:r w:rsidRPr="00412BD0">
        <w:rPr>
          <w:rFonts w:cs="Times New Roman"/>
        </w:rPr>
        <w:t xml:space="preserve">, Agreement between the Government of Malaysia and the Republic of Chile on the Promotion and Protection of Investments, Nov. 11, </w:t>
      </w:r>
      <w:r w:rsidRPr="00412BD0">
        <w:rPr>
          <w:rFonts w:cs="Times New Roman"/>
          <w:lang w:val="en-US" w:eastAsia="en-GB"/>
        </w:rPr>
        <w:t xml:space="preserve">1992, Chile-Malay., accessed January 29, 2014, </w:t>
      </w:r>
      <w:hyperlink r:id="rId4" w:history="1">
        <w:r w:rsidRPr="00412BD0">
          <w:rPr>
            <w:rStyle w:val="Hyperlink"/>
          </w:rPr>
          <w:t>http://unctad.org/sections/dite/iia/docs/bits/chile_malasia_sp.pdf</w:t>
        </w:r>
      </w:hyperlink>
      <w:r w:rsidRPr="00412BD0">
        <w:rPr>
          <w:rFonts w:cs="Times New Roman"/>
        </w:rPr>
        <w:t xml:space="preserve">. </w:t>
      </w:r>
    </w:p>
  </w:footnote>
  <w:footnote w:id="33">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See Article 2(4) the Italy</w:t>
      </w:r>
      <w:r w:rsidR="0014779D" w:rsidRPr="00412BD0">
        <w:rPr>
          <w:rFonts w:cs="Times New Roman"/>
        </w:rPr>
        <w:fldChar w:fldCharType="begin"/>
      </w:r>
      <w:r w:rsidRPr="00412BD0">
        <w:instrText xml:space="preserve"> XE "</w:instrText>
      </w:r>
      <w:r w:rsidRPr="00412BD0">
        <w:rPr>
          <w:i/>
          <w:lang w:val="en-US"/>
        </w:rPr>
        <w:instrText>Italy</w:instrText>
      </w:r>
      <w:r w:rsidRPr="00412BD0">
        <w:instrText xml:space="preserve">" </w:instrText>
      </w:r>
      <w:r w:rsidR="0014779D" w:rsidRPr="00412BD0">
        <w:rPr>
          <w:rFonts w:cs="Times New Roman"/>
        </w:rPr>
        <w:fldChar w:fldCharType="end"/>
      </w:r>
      <w:r w:rsidRPr="00412BD0">
        <w:rPr>
          <w:rFonts w:cs="Times New Roman"/>
        </w:rPr>
        <w:t>-Jordan BIT</w:t>
      </w:r>
      <w:r w:rsidR="0014779D" w:rsidRPr="00412BD0">
        <w:rPr>
          <w:rFonts w:cs="Times New Roman"/>
        </w:rPr>
        <w:fldChar w:fldCharType="begin"/>
      </w:r>
      <w:r w:rsidRPr="00412BD0">
        <w:instrText xml:space="preserve"> XE "</w:instrText>
      </w:r>
      <w:r w:rsidRPr="00412BD0">
        <w:rPr>
          <w:lang w:val="en-US" w:eastAsia="zh-TW"/>
        </w:rPr>
        <w:instrText>BIT</w:instrText>
      </w:r>
      <w:r w:rsidRPr="00412BD0">
        <w:instrText xml:space="preserve">" </w:instrText>
      </w:r>
      <w:r w:rsidR="0014779D" w:rsidRPr="00412BD0">
        <w:rPr>
          <w:rFonts w:cs="Times New Roman"/>
        </w:rPr>
        <w:fldChar w:fldCharType="end"/>
      </w:r>
      <w:r w:rsidRPr="00412BD0">
        <w:rPr>
          <w:rFonts w:cs="Times New Roman"/>
        </w:rPr>
        <w:t xml:space="preserve"> (Agreement between the Government of the Hashemite Kingdom of Jordan and the Government of the Italian Republic on the Promotion and Protection of Investments,</w:t>
      </w:r>
      <w:r w:rsidRPr="00412BD0">
        <w:rPr>
          <w:rFonts w:cs="Times New Roman"/>
          <w:lang w:val="en-US" w:eastAsia="en-GB"/>
        </w:rPr>
        <w:t xml:space="preserve"> Jul. 21, 1996, Jordan-Italy, accessed January 29, 2014, </w:t>
      </w:r>
      <w:hyperlink r:id="rId5" w:history="1">
        <w:r w:rsidRPr="00412BD0">
          <w:rPr>
            <w:rStyle w:val="Hyperlink"/>
            <w:lang w:val="en-US" w:eastAsia="en-GB"/>
          </w:rPr>
          <w:t>http://unctad.org/sections/dite/iia/docs/bits/italy_jordan.pdf</w:t>
        </w:r>
      </w:hyperlink>
      <w:r w:rsidRPr="00412BD0">
        <w:rPr>
          <w:rFonts w:cs="Times New Roman"/>
          <w:lang w:val="en-US" w:eastAsia="en-GB"/>
        </w:rPr>
        <w:t xml:space="preserve"> </w:t>
      </w:r>
      <w:r w:rsidRPr="00412BD0">
        <w:rPr>
          <w:rFonts w:cs="Times New Roman"/>
        </w:rPr>
        <w:t>) and Article II(1) of the Canada</w:t>
      </w:r>
      <w:r w:rsidR="0014779D" w:rsidRPr="00412BD0">
        <w:rPr>
          <w:rFonts w:cs="Times New Roman"/>
        </w:rPr>
        <w:fldChar w:fldCharType="begin"/>
      </w:r>
      <w:r w:rsidRPr="00412BD0">
        <w:instrText xml:space="preserve"> XE "</w:instrText>
      </w:r>
      <w:r w:rsidRPr="00412BD0">
        <w:rPr>
          <w:lang w:val="en-US"/>
        </w:rPr>
        <w:instrText>Canada</w:instrText>
      </w:r>
      <w:r w:rsidRPr="00412BD0">
        <w:instrText xml:space="preserve">" </w:instrText>
      </w:r>
      <w:r w:rsidR="0014779D" w:rsidRPr="00412BD0">
        <w:rPr>
          <w:rFonts w:cs="Times New Roman"/>
        </w:rPr>
        <w:fldChar w:fldCharType="end"/>
      </w:r>
      <w:r w:rsidRPr="00412BD0">
        <w:rPr>
          <w:rFonts w:cs="Times New Roman"/>
        </w:rPr>
        <w:t xml:space="preserve"> – Ecuador</w:t>
      </w:r>
      <w:r w:rsidR="0014779D" w:rsidRPr="00412BD0">
        <w:rPr>
          <w:rFonts w:cs="Times New Roman"/>
        </w:rPr>
        <w:fldChar w:fldCharType="begin"/>
      </w:r>
      <w:r w:rsidRPr="00412BD0">
        <w:instrText xml:space="preserve"> XE "</w:instrText>
      </w:r>
      <w:r w:rsidRPr="00412BD0">
        <w:rPr>
          <w:i/>
        </w:rPr>
        <w:instrText>Ecuador</w:instrText>
      </w:r>
      <w:r w:rsidRPr="00412BD0">
        <w:instrText xml:space="preserve">" </w:instrText>
      </w:r>
      <w:r w:rsidR="0014779D" w:rsidRPr="00412BD0">
        <w:rPr>
          <w:rFonts w:cs="Times New Roman"/>
        </w:rPr>
        <w:fldChar w:fldCharType="end"/>
      </w:r>
      <w:r w:rsidRPr="00412BD0">
        <w:rPr>
          <w:rFonts w:cs="Times New Roman"/>
        </w:rPr>
        <w:t xml:space="preserve"> BIT</w:t>
      </w:r>
      <w:r w:rsidRPr="00412BD0">
        <w:t xml:space="preserve"> (</w:t>
      </w:r>
      <w:r w:rsidRPr="00412BD0">
        <w:rPr>
          <w:rFonts w:cs="Times New Roman"/>
        </w:rPr>
        <w:t xml:space="preserve">Agreement between the Government of Canada and the Government of the Republic of Ecuador for the Promotion and Reciprocal Protection of Investments, Apr. 29, 1996, Can.-Ecuador, accessed January 29, 2014, </w:t>
      </w:r>
      <w:hyperlink r:id="rId6" w:history="1">
        <w:r w:rsidRPr="00412BD0">
          <w:rPr>
            <w:rStyle w:val="Hyperlink"/>
          </w:rPr>
          <w:t>http://unctad.org/sections/dite/iia/docs/bits/canada_ecuador.pdf</w:t>
        </w:r>
      </w:hyperlink>
      <w:r w:rsidRPr="00412BD0">
        <w:rPr>
          <w:rFonts w:cs="Times New Roman"/>
        </w:rPr>
        <w:t xml:space="preserve">). </w:t>
      </w:r>
    </w:p>
  </w:footnote>
  <w:footnote w:id="34">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Benedict Kingsbury, </w:t>
      </w:r>
      <w:proofErr w:type="spellStart"/>
      <w:r w:rsidRPr="00412BD0">
        <w:rPr>
          <w:rFonts w:cs="Times New Roman"/>
          <w:lang w:val="en-US"/>
        </w:rPr>
        <w:t>Nico</w:t>
      </w:r>
      <w:proofErr w:type="spellEnd"/>
      <w:r w:rsidRPr="00412BD0">
        <w:rPr>
          <w:rFonts w:cs="Times New Roman"/>
          <w:lang w:val="en-US"/>
        </w:rPr>
        <w:t xml:space="preserve"> </w:t>
      </w:r>
      <w:proofErr w:type="spellStart"/>
      <w:r w:rsidRPr="00412BD0">
        <w:rPr>
          <w:rFonts w:cs="Times New Roman"/>
          <w:lang w:val="en-US"/>
        </w:rPr>
        <w:t>Krisch</w:t>
      </w:r>
      <w:proofErr w:type="spellEnd"/>
      <w:r w:rsidRPr="00412BD0">
        <w:rPr>
          <w:rFonts w:cs="Times New Roman"/>
          <w:lang w:val="en-US"/>
        </w:rPr>
        <w:t xml:space="preserve"> and Richard Stewart, </w:t>
      </w:r>
      <w:r w:rsidRPr="00412BD0">
        <w:rPr>
          <w:rFonts w:cs="Times New Roman"/>
        </w:rPr>
        <w:t>“</w:t>
      </w:r>
      <w:r w:rsidRPr="00412BD0">
        <w:rPr>
          <w:rFonts w:cs="Times New Roman"/>
          <w:lang w:val="en-US"/>
        </w:rPr>
        <w:t>The Emergence of Global Administrative Law</w:t>
      </w:r>
      <w:r w:rsidRPr="00412BD0">
        <w:rPr>
          <w:rFonts w:cs="Times New Roman"/>
        </w:rPr>
        <w:t xml:space="preserve">,” </w:t>
      </w:r>
      <w:r w:rsidRPr="00412BD0">
        <w:rPr>
          <w:rFonts w:cs="Times New Roman"/>
          <w:i/>
          <w:lang w:val="en-US"/>
        </w:rPr>
        <w:t xml:space="preserve">Law &amp; Contemporary Problems </w:t>
      </w:r>
      <w:r w:rsidRPr="00412BD0">
        <w:rPr>
          <w:rFonts w:cs="Times New Roman"/>
          <w:lang w:val="en-US"/>
        </w:rPr>
        <w:t>68, no. 3-4 (2005): 15, 36.</w:t>
      </w:r>
    </w:p>
  </w:footnote>
  <w:footnote w:id="35">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 xml:space="preserve">Moshe </w:t>
      </w:r>
      <w:r w:rsidRPr="00412BD0">
        <w:rPr>
          <w:rFonts w:cs="Times New Roman"/>
          <w:lang w:val="en-US"/>
        </w:rPr>
        <w:t xml:space="preserve">Hirsch, </w:t>
      </w:r>
      <w:r w:rsidRPr="00412BD0">
        <w:rPr>
          <w:rFonts w:cs="Times New Roman"/>
        </w:rPr>
        <w:t>“</w:t>
      </w:r>
      <w:r w:rsidRPr="00412BD0">
        <w:rPr>
          <w:rFonts w:cs="Times New Roman"/>
          <w:lang w:val="en-US"/>
        </w:rPr>
        <w:t>The Sociology of International Investment Law</w:t>
      </w:r>
      <w:r w:rsidRPr="00412BD0">
        <w:rPr>
          <w:rFonts w:cs="Times New Roman"/>
        </w:rPr>
        <w:t xml:space="preserve">” in </w:t>
      </w:r>
      <w:r w:rsidRPr="00412BD0">
        <w:rPr>
          <w:rFonts w:cs="Times New Roman"/>
          <w:i/>
          <w:lang w:val="en-US"/>
        </w:rPr>
        <w:t>The Foundations of International Investment Law: Bringing Theory into Practice</w:t>
      </w:r>
      <w:r w:rsidRPr="00412BD0">
        <w:rPr>
          <w:rFonts w:cs="Times New Roman"/>
          <w:i/>
        </w:rPr>
        <w:t xml:space="preserve">, </w:t>
      </w:r>
      <w:r w:rsidRPr="00412BD0">
        <w:rPr>
          <w:rFonts w:cs="Times New Roman"/>
        </w:rPr>
        <w:t>ed. Zachary</w:t>
      </w:r>
      <w:r w:rsidRPr="00412BD0">
        <w:rPr>
          <w:rFonts w:cs="Times New Roman"/>
          <w:lang w:val="en-US"/>
        </w:rPr>
        <w:t xml:space="preserve"> Douglas, </w:t>
      </w:r>
      <w:proofErr w:type="spellStart"/>
      <w:r w:rsidRPr="00412BD0">
        <w:rPr>
          <w:rFonts w:cs="Times New Roman"/>
        </w:rPr>
        <w:t>Joost</w:t>
      </w:r>
      <w:proofErr w:type="spellEnd"/>
      <w:r w:rsidRPr="00412BD0">
        <w:rPr>
          <w:rFonts w:cs="Times New Roman"/>
          <w:lang w:val="en-US"/>
        </w:rPr>
        <w:t xml:space="preserve"> </w:t>
      </w:r>
      <w:proofErr w:type="spellStart"/>
      <w:r w:rsidRPr="00412BD0">
        <w:rPr>
          <w:rFonts w:cs="Times New Roman"/>
          <w:lang w:val="en-US"/>
        </w:rPr>
        <w:t>Pauwelyn</w:t>
      </w:r>
      <w:proofErr w:type="spellEnd"/>
      <w:r w:rsidRPr="00412BD0">
        <w:rPr>
          <w:rFonts w:cs="Times New Roman"/>
          <w:lang w:val="en-US"/>
        </w:rPr>
        <w:t xml:space="preserve">, and </w:t>
      </w:r>
      <w:r w:rsidRPr="00412BD0">
        <w:rPr>
          <w:rFonts w:cs="Times New Roman"/>
        </w:rPr>
        <w:t xml:space="preserve">Jorge </w:t>
      </w:r>
      <w:r w:rsidRPr="00412BD0">
        <w:rPr>
          <w:rFonts w:cs="Times New Roman"/>
          <w:lang w:val="en-US"/>
        </w:rPr>
        <w:t xml:space="preserve">E. </w:t>
      </w:r>
      <w:proofErr w:type="spellStart"/>
      <w:r w:rsidRPr="00412BD0">
        <w:rPr>
          <w:rFonts w:cs="Times New Roman"/>
          <w:lang w:val="en-US"/>
        </w:rPr>
        <w:t>Viñuales</w:t>
      </w:r>
      <w:proofErr w:type="spellEnd"/>
      <w:r w:rsidRPr="00412BD0">
        <w:rPr>
          <w:rFonts w:cs="Times New Roman"/>
          <w:i/>
        </w:rPr>
        <w:t xml:space="preserve"> (</w:t>
      </w:r>
      <w:r w:rsidRPr="00412BD0">
        <w:rPr>
          <w:rFonts w:cs="Times New Roman"/>
          <w:lang w:val="en-US"/>
        </w:rPr>
        <w:t>Oxford</w:t>
      </w:r>
      <w:r w:rsidRPr="00412BD0">
        <w:rPr>
          <w:rFonts w:cs="Times New Roman"/>
        </w:rPr>
        <w:t>: Oxford</w:t>
      </w:r>
      <w:r w:rsidRPr="00412BD0">
        <w:rPr>
          <w:rFonts w:cs="Times New Roman"/>
          <w:lang w:val="en-US"/>
        </w:rPr>
        <w:t xml:space="preserve"> University Press, 2014, forthcoming), 4-5</w:t>
      </w:r>
      <w:r w:rsidRPr="00412BD0">
        <w:rPr>
          <w:rFonts w:cs="Times New Roman"/>
        </w:rPr>
        <w:t>.</w:t>
      </w:r>
    </w:p>
  </w:footnote>
  <w:footnote w:id="36">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 xml:space="preserve">Andrew B. </w:t>
      </w:r>
      <w:r w:rsidRPr="00412BD0">
        <w:rPr>
          <w:rFonts w:cs="Times New Roman"/>
          <w:lang w:val="en-US"/>
        </w:rPr>
        <w:t>Spalding, “The Irony of International Business Law: U.S. Progressivism, China</w:t>
      </w:r>
      <w:r w:rsidR="0014779D" w:rsidRPr="00412BD0">
        <w:rPr>
          <w:rFonts w:cs="Times New Roman"/>
          <w:lang w:val="en-US"/>
        </w:rPr>
        <w:fldChar w:fldCharType="begin"/>
      </w:r>
      <w:r w:rsidRPr="00412BD0">
        <w:instrText xml:space="preserve"> XE "</w:instrText>
      </w:r>
      <w:r w:rsidRPr="00412BD0">
        <w:rPr>
          <w:rFonts w:cs="Times New Roman"/>
          <w:lang w:val="en-US"/>
        </w:rPr>
        <w:instrText>China</w:instrText>
      </w:r>
      <w:r w:rsidRPr="00412BD0">
        <w:instrText xml:space="preserve">" </w:instrText>
      </w:r>
      <w:r w:rsidR="0014779D" w:rsidRPr="00412BD0">
        <w:rPr>
          <w:rFonts w:cs="Times New Roman"/>
          <w:lang w:val="en-US"/>
        </w:rPr>
        <w:fldChar w:fldCharType="end"/>
      </w:r>
      <w:r w:rsidRPr="00412BD0">
        <w:rPr>
          <w:rFonts w:cs="Times New Roman"/>
          <w:lang w:val="en-US"/>
        </w:rPr>
        <w:t>’s New Laissez Faire, And Their Impact in the Developing World</w:t>
      </w:r>
      <w:r w:rsidRPr="00412BD0">
        <w:rPr>
          <w:rFonts w:cs="Times New Roman"/>
        </w:rPr>
        <w:t xml:space="preserve">,” </w:t>
      </w:r>
      <w:r w:rsidRPr="00412BD0">
        <w:rPr>
          <w:rFonts w:cs="Times New Roman"/>
          <w:i/>
        </w:rPr>
        <w:t>UCLA Law Review</w:t>
      </w:r>
      <w:r w:rsidRPr="00412BD0">
        <w:rPr>
          <w:rFonts w:cs="Times New Roman"/>
        </w:rPr>
        <w:t xml:space="preserve"> 59 (2011): 354.</w:t>
      </w:r>
    </w:p>
  </w:footnote>
  <w:footnote w:id="37">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See </w:t>
      </w:r>
      <w:r w:rsidRPr="00412BD0">
        <w:rPr>
          <w:rFonts w:cs="Times New Roman"/>
          <w:i/>
          <w:lang w:val="en-US"/>
        </w:rPr>
        <w:t xml:space="preserve">World Duty </w:t>
      </w:r>
      <w:r w:rsidRPr="00412BD0">
        <w:rPr>
          <w:rFonts w:cs="Times New Roman"/>
          <w:i/>
          <w:lang w:val="en-US" w:eastAsia="en-GB"/>
        </w:rPr>
        <w:t>Free Company Limited v Republic of Kenya</w:t>
      </w:r>
      <w:r w:rsidRPr="00412BD0">
        <w:rPr>
          <w:rFonts w:cs="Times New Roman"/>
          <w:lang w:val="en-US" w:eastAsia="en-GB"/>
        </w:rPr>
        <w:t xml:space="preserve">, ICSID Case No ARB/00/7, Award (Oct. 4, 2006); </w:t>
      </w:r>
      <w:proofErr w:type="spellStart"/>
      <w:r w:rsidRPr="00412BD0">
        <w:rPr>
          <w:rFonts w:cs="Times New Roman"/>
          <w:i/>
          <w:lang w:val="en-US" w:eastAsia="en-GB"/>
        </w:rPr>
        <w:t>Fraport</w:t>
      </w:r>
      <w:proofErr w:type="spellEnd"/>
      <w:r w:rsidRPr="00412BD0">
        <w:rPr>
          <w:rFonts w:cs="Times New Roman"/>
          <w:i/>
          <w:lang w:val="en-US" w:eastAsia="en-GB"/>
        </w:rPr>
        <w:t xml:space="preserve"> AG Frankfurt Airport Services Worldwide v Republic of the Philippines</w:t>
      </w:r>
      <w:r w:rsidRPr="00412BD0">
        <w:rPr>
          <w:rFonts w:cs="Times New Roman"/>
          <w:lang w:val="en-US" w:eastAsia="en-GB"/>
        </w:rPr>
        <w:t>, ICSID Case No ARB/03/25, Award (Aug. 16, 2007).</w:t>
      </w:r>
    </w:p>
  </w:footnote>
  <w:footnote w:id="38">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Hirsch</w:t>
      </w:r>
      <w:r w:rsidRPr="00412BD0">
        <w:rPr>
          <w:rFonts w:cs="Times New Roman"/>
        </w:rPr>
        <w:t xml:space="preserve">, </w:t>
      </w:r>
      <w:r w:rsidRPr="00412BD0">
        <w:rPr>
          <w:rFonts w:cs="Times New Roman"/>
          <w:i/>
        </w:rPr>
        <w:t>Sociology</w:t>
      </w:r>
      <w:r w:rsidRPr="00412BD0">
        <w:rPr>
          <w:rFonts w:cs="Times New Roman"/>
        </w:rPr>
        <w:t>,</w:t>
      </w:r>
      <w:r w:rsidRPr="00412BD0">
        <w:rPr>
          <w:rFonts w:cs="Times New Roman"/>
          <w:lang w:val="en-US"/>
        </w:rPr>
        <w:t xml:space="preserve"> 4</w:t>
      </w:r>
      <w:r w:rsidRPr="00412BD0">
        <w:rPr>
          <w:rFonts w:cs="Times New Roman"/>
        </w:rPr>
        <w:t>.</w:t>
      </w:r>
    </w:p>
  </w:footnote>
  <w:footnote w:id="39">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proofErr w:type="spellStart"/>
      <w:proofErr w:type="gramStart"/>
      <w:r w:rsidRPr="00412BD0">
        <w:rPr>
          <w:rFonts w:cs="Times New Roman"/>
          <w:lang w:val="en-US"/>
        </w:rPr>
        <w:t>Echandi</w:t>
      </w:r>
      <w:proofErr w:type="spellEnd"/>
      <w:r w:rsidRPr="00412BD0">
        <w:rPr>
          <w:rFonts w:cs="Times New Roman"/>
          <w:lang w:val="en-US"/>
        </w:rPr>
        <w:t xml:space="preserve">, </w:t>
      </w:r>
      <w:r w:rsidRPr="00412BD0">
        <w:rPr>
          <w:rFonts w:cs="Times New Roman"/>
          <w:i/>
          <w:lang w:val="en-US"/>
        </w:rPr>
        <w:t>What Do Developing Countries Expect</w:t>
      </w:r>
      <w:r w:rsidRPr="00412BD0">
        <w:rPr>
          <w:rFonts w:cs="Times New Roman"/>
        </w:rPr>
        <w:t>,</w:t>
      </w:r>
      <w:r w:rsidRPr="00412BD0">
        <w:rPr>
          <w:rFonts w:cs="Times New Roman"/>
          <w:lang w:val="en-US"/>
        </w:rPr>
        <w:t xml:space="preserve"> 13.</w:t>
      </w:r>
      <w:proofErr w:type="gramEnd"/>
    </w:p>
  </w:footnote>
  <w:footnote w:id="40">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proofErr w:type="spellStart"/>
      <w:r w:rsidRPr="00412BD0">
        <w:rPr>
          <w:rFonts w:cs="Times New Roman"/>
          <w:lang w:val="en-US"/>
        </w:rPr>
        <w:t>Schill</w:t>
      </w:r>
      <w:proofErr w:type="spellEnd"/>
      <w:r w:rsidRPr="00412BD0">
        <w:rPr>
          <w:rFonts w:cs="Times New Roman"/>
        </w:rPr>
        <w:t xml:space="preserve">, </w:t>
      </w:r>
      <w:r w:rsidRPr="00412BD0">
        <w:rPr>
          <w:rFonts w:cs="Times New Roman"/>
          <w:i/>
        </w:rPr>
        <w:t>Multilateralization</w:t>
      </w:r>
      <w:r w:rsidRPr="00412BD0">
        <w:rPr>
          <w:rFonts w:cs="Times New Roman"/>
        </w:rPr>
        <w:t xml:space="preserve">, </w:t>
      </w:r>
      <w:r w:rsidRPr="00412BD0">
        <w:rPr>
          <w:rFonts w:cs="Times New Roman"/>
          <w:lang w:val="en-US"/>
        </w:rPr>
        <w:t>373.</w:t>
      </w:r>
    </w:p>
  </w:footnote>
  <w:footnote w:id="41">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r w:rsidRPr="00412BD0">
        <w:rPr>
          <w:rFonts w:cs="Times New Roman"/>
        </w:rPr>
        <w:t xml:space="preserve">Anne </w:t>
      </w:r>
      <w:r w:rsidRPr="00412BD0">
        <w:rPr>
          <w:rFonts w:cs="Times New Roman"/>
          <w:lang w:val="en-US"/>
        </w:rPr>
        <w:t xml:space="preserve">van </w:t>
      </w:r>
      <w:proofErr w:type="spellStart"/>
      <w:r w:rsidRPr="00412BD0">
        <w:rPr>
          <w:rFonts w:cs="Times New Roman"/>
          <w:lang w:val="en-US"/>
        </w:rPr>
        <w:t>Aaken</w:t>
      </w:r>
      <w:proofErr w:type="spellEnd"/>
      <w:r w:rsidRPr="00412BD0">
        <w:rPr>
          <w:rFonts w:cs="Times New Roman"/>
          <w:lang w:val="en-US"/>
        </w:rPr>
        <w:t xml:space="preserve">, </w:t>
      </w:r>
      <w:r w:rsidRPr="00412BD0">
        <w:rPr>
          <w:rFonts w:cs="Times New Roman"/>
        </w:rPr>
        <w:t>“</w:t>
      </w:r>
      <w:r w:rsidRPr="00412BD0">
        <w:rPr>
          <w:rFonts w:cs="Times New Roman"/>
          <w:lang w:val="en-US"/>
        </w:rPr>
        <w:t>Towards Behavioral International Law and Economics</w:t>
      </w:r>
      <w:r w:rsidRPr="00412BD0">
        <w:rPr>
          <w:rFonts w:cs="Times New Roman"/>
        </w:rPr>
        <w:t>,”</w:t>
      </w:r>
      <w:r w:rsidRPr="00412BD0">
        <w:rPr>
          <w:rFonts w:cs="Times New Roman"/>
          <w:lang w:val="en-US"/>
        </w:rPr>
        <w:t xml:space="preserve"> </w:t>
      </w:r>
      <w:proofErr w:type="spellStart"/>
      <w:r w:rsidRPr="00412BD0">
        <w:rPr>
          <w:rFonts w:cs="Times New Roman"/>
          <w:i/>
          <w:lang w:val="en-US"/>
        </w:rPr>
        <w:t>Univ</w:t>
      </w:r>
      <w:r w:rsidRPr="00412BD0">
        <w:rPr>
          <w:rFonts w:cs="Times New Roman"/>
          <w:i/>
        </w:rPr>
        <w:t>ersity</w:t>
      </w:r>
      <w:proofErr w:type="spellEnd"/>
      <w:r w:rsidRPr="00412BD0">
        <w:rPr>
          <w:rFonts w:cs="Times New Roman"/>
          <w:i/>
        </w:rPr>
        <w:t xml:space="preserve"> of</w:t>
      </w:r>
      <w:r w:rsidRPr="00412BD0">
        <w:rPr>
          <w:rFonts w:cs="Times New Roman"/>
          <w:i/>
          <w:lang w:val="en-US"/>
        </w:rPr>
        <w:t xml:space="preserve"> Illinois L</w:t>
      </w:r>
      <w:r w:rsidRPr="00412BD0">
        <w:rPr>
          <w:rFonts w:cs="Times New Roman"/>
          <w:i/>
        </w:rPr>
        <w:t>aw</w:t>
      </w:r>
      <w:r w:rsidRPr="00412BD0">
        <w:rPr>
          <w:rFonts w:cs="Times New Roman"/>
          <w:i/>
          <w:lang w:val="en-US"/>
        </w:rPr>
        <w:t xml:space="preserve"> Rev</w:t>
      </w:r>
      <w:proofErr w:type="spellStart"/>
      <w:r w:rsidRPr="00412BD0">
        <w:rPr>
          <w:rFonts w:cs="Times New Roman"/>
          <w:i/>
        </w:rPr>
        <w:t>iew</w:t>
      </w:r>
      <w:proofErr w:type="spellEnd"/>
      <w:r w:rsidRPr="00412BD0">
        <w:rPr>
          <w:rFonts w:cs="Times New Roman"/>
          <w:lang w:val="en-US"/>
        </w:rPr>
        <w:t xml:space="preserve"> 1 (2008): 47, 51.</w:t>
      </w:r>
    </w:p>
  </w:footnote>
  <w:footnote w:id="42">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gramStart"/>
      <w:r w:rsidRPr="00412BD0">
        <w:rPr>
          <w:rFonts w:cs="Times New Roman"/>
        </w:rPr>
        <w:t>Ibid.</w:t>
      </w:r>
      <w:r w:rsidRPr="00412BD0">
        <w:rPr>
          <w:rFonts w:cs="Times New Roman"/>
          <w:lang w:val="en-US"/>
        </w:rPr>
        <w:t>,</w:t>
      </w:r>
      <w:proofErr w:type="gramEnd"/>
      <w:r w:rsidRPr="00412BD0">
        <w:rPr>
          <w:rFonts w:cs="Times New Roman"/>
          <w:lang w:val="en-US"/>
        </w:rPr>
        <w:t xml:space="preserve"> 51</w:t>
      </w:r>
      <w:r w:rsidRPr="00412BD0">
        <w:rPr>
          <w:rFonts w:cs="Times New Roman"/>
        </w:rPr>
        <w:t>.</w:t>
      </w:r>
    </w:p>
  </w:footnote>
  <w:footnote w:id="43">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 xml:space="preserve">Except for a burgeoning body of research, including recent studies authored by Jonathan </w:t>
      </w:r>
      <w:proofErr w:type="spellStart"/>
      <w:r w:rsidRPr="00412BD0">
        <w:rPr>
          <w:rFonts w:cs="Times New Roman"/>
        </w:rPr>
        <w:t>Bonnitcha</w:t>
      </w:r>
      <w:proofErr w:type="spellEnd"/>
      <w:r w:rsidRPr="00412BD0">
        <w:rPr>
          <w:rFonts w:cs="Times New Roman"/>
        </w:rPr>
        <w:t xml:space="preserve">, Emma </w:t>
      </w:r>
      <w:proofErr w:type="spellStart"/>
      <w:r w:rsidRPr="00412BD0">
        <w:rPr>
          <w:rFonts w:cs="Times New Roman"/>
        </w:rPr>
        <w:t>Aisbett</w:t>
      </w:r>
      <w:proofErr w:type="spellEnd"/>
      <w:r w:rsidRPr="00412BD0">
        <w:rPr>
          <w:rFonts w:cs="Times New Roman"/>
        </w:rPr>
        <w:t xml:space="preserve">, </w:t>
      </w:r>
      <w:proofErr w:type="spellStart"/>
      <w:r w:rsidRPr="00412BD0">
        <w:rPr>
          <w:rFonts w:cs="Times New Roman"/>
        </w:rPr>
        <w:t>Lauge</w:t>
      </w:r>
      <w:proofErr w:type="spellEnd"/>
      <w:r w:rsidRPr="00412BD0">
        <w:rPr>
          <w:rFonts w:cs="Times New Roman"/>
        </w:rPr>
        <w:t xml:space="preserve"> </w:t>
      </w:r>
      <w:proofErr w:type="spellStart"/>
      <w:r w:rsidRPr="00412BD0">
        <w:rPr>
          <w:rFonts w:cs="Times New Roman"/>
        </w:rPr>
        <w:t>Poulsen</w:t>
      </w:r>
      <w:proofErr w:type="spellEnd"/>
      <w:r w:rsidRPr="00412BD0">
        <w:rPr>
          <w:rFonts w:cs="Times New Roman"/>
        </w:rPr>
        <w:t xml:space="preserve">, Jason </w:t>
      </w:r>
      <w:proofErr w:type="spellStart"/>
      <w:r w:rsidRPr="00412BD0">
        <w:rPr>
          <w:rFonts w:cs="Times New Roman"/>
        </w:rPr>
        <w:t>Yackee</w:t>
      </w:r>
      <w:proofErr w:type="spellEnd"/>
      <w:r w:rsidRPr="00412BD0">
        <w:rPr>
          <w:rFonts w:cs="Times New Roman"/>
        </w:rPr>
        <w:t xml:space="preserve"> and Susan Franck. Although </w:t>
      </w:r>
      <w:proofErr w:type="spellStart"/>
      <w:r w:rsidRPr="00412BD0">
        <w:rPr>
          <w:rFonts w:cs="Times New Roman"/>
        </w:rPr>
        <w:t>Bonnitcha</w:t>
      </w:r>
      <w:proofErr w:type="spellEnd"/>
      <w:r w:rsidRPr="00412BD0">
        <w:rPr>
          <w:rFonts w:cs="Times New Roman"/>
        </w:rPr>
        <w:t xml:space="preserve"> has examined the impact of investment treaty law on government decision-making, the focus, thrust and methodology of his research are different from that which we use in this project. See respectively Jonathan</w:t>
      </w:r>
      <w:r w:rsidRPr="00412BD0">
        <w:rPr>
          <w:rFonts w:cs="Times New Roman"/>
          <w:lang w:val="en-US"/>
        </w:rPr>
        <w:t xml:space="preserve"> </w:t>
      </w:r>
      <w:proofErr w:type="spellStart"/>
      <w:r w:rsidRPr="00412BD0">
        <w:rPr>
          <w:rFonts w:cs="Times New Roman"/>
          <w:lang w:val="en-US"/>
        </w:rPr>
        <w:t>Bonnitcha</w:t>
      </w:r>
      <w:proofErr w:type="spellEnd"/>
      <w:r w:rsidRPr="00412BD0">
        <w:rPr>
          <w:rFonts w:cs="Times New Roman"/>
          <w:lang w:val="en-US"/>
        </w:rPr>
        <w:t xml:space="preserve"> and </w:t>
      </w:r>
      <w:r w:rsidRPr="00412BD0">
        <w:rPr>
          <w:rFonts w:cs="Times New Roman"/>
        </w:rPr>
        <w:t>Emma</w:t>
      </w:r>
      <w:r w:rsidRPr="00412BD0">
        <w:rPr>
          <w:rFonts w:cs="Times New Roman"/>
          <w:lang w:val="en-US"/>
        </w:rPr>
        <w:t xml:space="preserve"> </w:t>
      </w:r>
      <w:proofErr w:type="spellStart"/>
      <w:r w:rsidRPr="00412BD0">
        <w:rPr>
          <w:rFonts w:cs="Times New Roman"/>
          <w:lang w:val="en-US"/>
        </w:rPr>
        <w:t>Aisbett</w:t>
      </w:r>
      <w:proofErr w:type="spellEnd"/>
      <w:r w:rsidRPr="00412BD0">
        <w:rPr>
          <w:rFonts w:cs="Times New Roman"/>
          <w:lang w:val="en-US"/>
        </w:rPr>
        <w:t xml:space="preserve">, </w:t>
      </w:r>
      <w:r w:rsidRPr="00412BD0">
        <w:rPr>
          <w:rFonts w:cs="Times New Roman"/>
        </w:rPr>
        <w:t>“</w:t>
      </w:r>
      <w:r w:rsidRPr="00412BD0">
        <w:rPr>
          <w:rFonts w:cs="Times New Roman"/>
          <w:lang w:val="en-US"/>
        </w:rPr>
        <w:t>An Economic Analysis of the Substantive Protections Provided by Investment Treaties</w:t>
      </w:r>
      <w:r w:rsidRPr="00412BD0">
        <w:rPr>
          <w:rFonts w:cs="Times New Roman"/>
        </w:rPr>
        <w:t xml:space="preserve">,” in </w:t>
      </w:r>
      <w:r w:rsidRPr="00412BD0">
        <w:rPr>
          <w:rFonts w:cs="Times New Roman"/>
          <w:i/>
          <w:lang w:val="en-US"/>
        </w:rPr>
        <w:t>Yearbook on International Investment Law &amp; Policy 2011-2012</w:t>
      </w:r>
      <w:r w:rsidRPr="00412BD0">
        <w:rPr>
          <w:rFonts w:cs="Times New Roman"/>
        </w:rPr>
        <w:t xml:space="preserve">, ed. Karl </w:t>
      </w:r>
      <w:proofErr w:type="spellStart"/>
      <w:r w:rsidRPr="00412BD0">
        <w:rPr>
          <w:rFonts w:cs="Times New Roman"/>
          <w:lang w:val="en-US"/>
        </w:rPr>
        <w:t>Sauvant</w:t>
      </w:r>
      <w:proofErr w:type="spellEnd"/>
      <w:r w:rsidRPr="00412BD0">
        <w:rPr>
          <w:rFonts w:cs="Times New Roman"/>
        </w:rPr>
        <w:t xml:space="preserve"> et al (New York: </w:t>
      </w:r>
      <w:r w:rsidRPr="00412BD0">
        <w:rPr>
          <w:rFonts w:cs="Times New Roman"/>
          <w:lang w:val="en-US"/>
        </w:rPr>
        <w:t>Oxford University Press</w:t>
      </w:r>
      <w:r w:rsidRPr="00412BD0">
        <w:rPr>
          <w:rFonts w:cs="Times New Roman"/>
        </w:rPr>
        <w:t xml:space="preserve">, 2013), 681-204; </w:t>
      </w:r>
      <w:proofErr w:type="spellStart"/>
      <w:r w:rsidRPr="00412BD0">
        <w:rPr>
          <w:rFonts w:cs="Times New Roman"/>
        </w:rPr>
        <w:t>Lauge</w:t>
      </w:r>
      <w:proofErr w:type="spellEnd"/>
      <w:r w:rsidRPr="00412BD0">
        <w:rPr>
          <w:rFonts w:cs="Times New Roman"/>
        </w:rPr>
        <w:t xml:space="preserve"> N. </w:t>
      </w:r>
      <w:proofErr w:type="spellStart"/>
      <w:r w:rsidRPr="00412BD0">
        <w:rPr>
          <w:rFonts w:cs="Times New Roman"/>
        </w:rPr>
        <w:t>Skovgaard</w:t>
      </w:r>
      <w:proofErr w:type="spellEnd"/>
      <w:r w:rsidRPr="00412BD0">
        <w:rPr>
          <w:rFonts w:cs="Times New Roman"/>
        </w:rPr>
        <w:t xml:space="preserve"> </w:t>
      </w:r>
      <w:proofErr w:type="spellStart"/>
      <w:r w:rsidRPr="00412BD0">
        <w:rPr>
          <w:rFonts w:cs="Times New Roman"/>
        </w:rPr>
        <w:t>Poulsen</w:t>
      </w:r>
      <w:proofErr w:type="spellEnd"/>
      <w:r w:rsidRPr="00412BD0">
        <w:rPr>
          <w:rFonts w:cs="Times New Roman"/>
        </w:rPr>
        <w:t xml:space="preserve"> and Emma </w:t>
      </w:r>
      <w:proofErr w:type="spellStart"/>
      <w:r w:rsidRPr="00412BD0">
        <w:rPr>
          <w:rFonts w:cs="Times New Roman"/>
        </w:rPr>
        <w:t>Aisbett</w:t>
      </w:r>
      <w:proofErr w:type="spellEnd"/>
      <w:r w:rsidRPr="00412BD0">
        <w:rPr>
          <w:rFonts w:cs="Times New Roman"/>
        </w:rPr>
        <w:t xml:space="preserve">, “When the Claims Hit: Bilateral Investment Treaties and Bounded Rational Learning”, </w:t>
      </w:r>
      <w:r w:rsidRPr="00412BD0">
        <w:rPr>
          <w:rFonts w:cs="Times New Roman"/>
          <w:i/>
        </w:rPr>
        <w:t>World Politics</w:t>
      </w:r>
      <w:r w:rsidRPr="00412BD0">
        <w:rPr>
          <w:rFonts w:cs="Times New Roman"/>
        </w:rPr>
        <w:t xml:space="preserve"> 65, no. 2 (2013) 273-313; </w:t>
      </w:r>
      <w:r w:rsidRPr="00412BD0">
        <w:rPr>
          <w:rFonts w:cs="Times New Roman"/>
          <w:color w:val="000000"/>
          <w:lang w:val="en-US"/>
        </w:rPr>
        <w:t xml:space="preserve">Jason Webb </w:t>
      </w:r>
      <w:proofErr w:type="spellStart"/>
      <w:r w:rsidRPr="00412BD0">
        <w:rPr>
          <w:rFonts w:cs="Times New Roman"/>
          <w:color w:val="000000"/>
          <w:lang w:val="en-US"/>
        </w:rPr>
        <w:t>Yackee</w:t>
      </w:r>
      <w:proofErr w:type="spellEnd"/>
      <w:r w:rsidRPr="00412BD0">
        <w:rPr>
          <w:rFonts w:cs="Times New Roman"/>
          <w:color w:val="000000"/>
          <w:lang w:val="en-US"/>
        </w:rPr>
        <w:t xml:space="preserve">, </w:t>
      </w:r>
      <w:r w:rsidRPr="00412BD0">
        <w:rPr>
          <w:rFonts w:cs="Times New Roman"/>
          <w:color w:val="000000"/>
        </w:rPr>
        <w:t>“</w:t>
      </w:r>
      <w:r w:rsidRPr="00412BD0">
        <w:rPr>
          <w:rFonts w:cs="Times New Roman"/>
          <w:color w:val="000000"/>
          <w:lang w:val="en-US"/>
        </w:rPr>
        <w:t>Do Bilateral Investment Treaties Promote Foreign Direct Investment? Some Hints from Alternative Evidence</w:t>
      </w:r>
      <w:r w:rsidRPr="00412BD0">
        <w:rPr>
          <w:rFonts w:cs="Times New Roman"/>
          <w:color w:val="000000"/>
        </w:rPr>
        <w:t xml:space="preserve">,” </w:t>
      </w:r>
      <w:r w:rsidRPr="00412BD0">
        <w:rPr>
          <w:rFonts w:cs="Times New Roman"/>
          <w:i/>
          <w:color w:val="000000"/>
          <w:lang w:val="en-US"/>
        </w:rPr>
        <w:t>V</w:t>
      </w:r>
      <w:proofErr w:type="spellStart"/>
      <w:r w:rsidRPr="00412BD0">
        <w:rPr>
          <w:rFonts w:cs="Times New Roman"/>
          <w:i/>
          <w:color w:val="000000"/>
        </w:rPr>
        <w:t>irginia</w:t>
      </w:r>
      <w:proofErr w:type="spellEnd"/>
      <w:r w:rsidRPr="00412BD0">
        <w:rPr>
          <w:rFonts w:cs="Times New Roman"/>
          <w:i/>
          <w:color w:val="000000"/>
          <w:lang w:val="en-US"/>
        </w:rPr>
        <w:t xml:space="preserve"> J</w:t>
      </w:r>
      <w:proofErr w:type="spellStart"/>
      <w:r w:rsidRPr="00412BD0">
        <w:rPr>
          <w:rFonts w:cs="Times New Roman"/>
          <w:i/>
          <w:color w:val="000000"/>
        </w:rPr>
        <w:t>ournal</w:t>
      </w:r>
      <w:proofErr w:type="spellEnd"/>
      <w:r w:rsidRPr="00412BD0">
        <w:rPr>
          <w:rFonts w:cs="Times New Roman"/>
          <w:i/>
          <w:color w:val="000000"/>
          <w:lang w:val="en-US"/>
        </w:rPr>
        <w:t xml:space="preserve"> </w:t>
      </w:r>
      <w:r w:rsidRPr="00412BD0">
        <w:rPr>
          <w:rFonts w:cs="Times New Roman"/>
          <w:i/>
          <w:color w:val="000000"/>
        </w:rPr>
        <w:t xml:space="preserve">of </w:t>
      </w:r>
      <w:proofErr w:type="spellStart"/>
      <w:r w:rsidRPr="00412BD0">
        <w:rPr>
          <w:rFonts w:cs="Times New Roman"/>
          <w:i/>
          <w:color w:val="000000"/>
          <w:lang w:val="en-US"/>
        </w:rPr>
        <w:t>Int</w:t>
      </w:r>
      <w:r w:rsidRPr="00412BD0">
        <w:rPr>
          <w:rFonts w:cs="Times New Roman"/>
          <w:i/>
          <w:color w:val="000000"/>
        </w:rPr>
        <w:t>ernationa</w:t>
      </w:r>
      <w:proofErr w:type="spellEnd"/>
      <w:r w:rsidRPr="00412BD0">
        <w:rPr>
          <w:rFonts w:cs="Times New Roman"/>
          <w:i/>
          <w:color w:val="000000"/>
          <w:lang w:val="en-US"/>
        </w:rPr>
        <w:t xml:space="preserve">l </w:t>
      </w:r>
      <w:proofErr w:type="spellStart"/>
      <w:r w:rsidRPr="00412BD0">
        <w:rPr>
          <w:rFonts w:cs="Times New Roman"/>
          <w:i/>
          <w:color w:val="000000"/>
          <w:lang w:val="en-US"/>
        </w:rPr>
        <w:t>L</w:t>
      </w:r>
      <w:proofErr w:type="spellEnd"/>
      <w:r w:rsidRPr="00412BD0">
        <w:rPr>
          <w:rFonts w:cs="Times New Roman"/>
          <w:i/>
          <w:color w:val="000000"/>
        </w:rPr>
        <w:t>aw</w:t>
      </w:r>
      <w:r w:rsidRPr="00412BD0">
        <w:rPr>
          <w:rFonts w:cs="Times New Roman"/>
          <w:color w:val="000000"/>
          <w:lang w:val="en-US"/>
        </w:rPr>
        <w:t xml:space="preserve"> </w:t>
      </w:r>
      <w:r w:rsidRPr="00412BD0">
        <w:rPr>
          <w:rFonts w:cs="Times New Roman"/>
          <w:color w:val="000000"/>
        </w:rPr>
        <w:t xml:space="preserve">51, no. 2 </w:t>
      </w:r>
      <w:r w:rsidRPr="00412BD0">
        <w:rPr>
          <w:rFonts w:cs="Times New Roman"/>
          <w:color w:val="000000"/>
          <w:lang w:val="en-US"/>
        </w:rPr>
        <w:t>(2010-2011) 397-441</w:t>
      </w:r>
      <w:r w:rsidRPr="00412BD0">
        <w:rPr>
          <w:rFonts w:cs="Times New Roman"/>
          <w:color w:val="000000"/>
        </w:rPr>
        <w:t xml:space="preserve">; Susan D. Franck, “Development and Outcomes of Investment Treaty Arbitration,” </w:t>
      </w:r>
      <w:r w:rsidRPr="00412BD0">
        <w:rPr>
          <w:rFonts w:cs="Times New Roman"/>
          <w:i/>
          <w:color w:val="000000"/>
        </w:rPr>
        <w:t>Harvard Journal of International Law</w:t>
      </w:r>
      <w:r w:rsidRPr="00412BD0">
        <w:rPr>
          <w:rFonts w:cs="Times New Roman"/>
          <w:color w:val="000000"/>
        </w:rPr>
        <w:t xml:space="preserve"> 50, no. 2 (2009): 435-489. </w:t>
      </w:r>
    </w:p>
  </w:footnote>
  <w:footnote w:id="44">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001774D7" w:rsidRPr="00412BD0">
        <w:rPr>
          <w:rFonts w:cs="Times New Roman"/>
          <w:lang w:val="en-US"/>
        </w:rPr>
        <w:t xml:space="preserve">By the time of </w:t>
      </w:r>
      <w:proofErr w:type="spellStart"/>
      <w:r w:rsidR="001774D7" w:rsidRPr="00412BD0">
        <w:rPr>
          <w:rFonts w:cs="Times New Roman"/>
          <w:lang w:val="en-US"/>
        </w:rPr>
        <w:t>finalising</w:t>
      </w:r>
      <w:proofErr w:type="spellEnd"/>
      <w:r w:rsidR="001774D7" w:rsidRPr="00412BD0">
        <w:rPr>
          <w:rFonts w:cs="Times New Roman"/>
          <w:lang w:val="en-US"/>
        </w:rPr>
        <w:t xml:space="preserve"> this chapter, the author </w:t>
      </w:r>
      <w:proofErr w:type="gramStart"/>
      <w:r w:rsidR="001774D7" w:rsidRPr="00412BD0">
        <w:rPr>
          <w:rFonts w:cs="Times New Roman"/>
          <w:lang w:val="en-US"/>
        </w:rPr>
        <w:t xml:space="preserve">completed </w:t>
      </w:r>
      <w:r w:rsidRPr="00412BD0">
        <w:rPr>
          <w:rFonts w:cs="Times New Roman"/>
        </w:rPr>
        <w:t xml:space="preserve"> small</w:t>
      </w:r>
      <w:proofErr w:type="gramEnd"/>
      <w:r w:rsidRPr="00412BD0">
        <w:rPr>
          <w:rFonts w:cs="Times New Roman"/>
        </w:rPr>
        <w:t xml:space="preserve"> scale interviews in 4 developing countries which had exposure to investment treaty claims.</w:t>
      </w:r>
    </w:p>
  </w:footnote>
  <w:footnote w:id="45">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r w:rsidRPr="00412BD0">
        <w:rPr>
          <w:rFonts w:cs="Times New Roman"/>
        </w:rPr>
        <w:t xml:space="preserve">So far, the majority of scholarly works positing a transformative effect of investment treaties on domestic governance contain no reference to empirical or other evidence to support the existence of such an effect. See </w:t>
      </w:r>
      <w:proofErr w:type="spellStart"/>
      <w:r w:rsidRPr="00412BD0">
        <w:rPr>
          <w:rFonts w:cs="Times New Roman"/>
          <w:lang w:val="en-US"/>
        </w:rPr>
        <w:t>Schill</w:t>
      </w:r>
      <w:proofErr w:type="spellEnd"/>
      <w:r w:rsidRPr="00412BD0">
        <w:rPr>
          <w:rFonts w:cs="Times New Roman"/>
        </w:rPr>
        <w:t>,</w:t>
      </w:r>
      <w:r w:rsidRPr="00412BD0">
        <w:rPr>
          <w:rFonts w:cs="Times New Roman"/>
          <w:lang w:val="en-US"/>
        </w:rPr>
        <w:t xml:space="preserve"> </w:t>
      </w:r>
      <w:r w:rsidRPr="00412BD0">
        <w:rPr>
          <w:rFonts w:cs="Times New Roman"/>
          <w:i/>
          <w:lang w:val="en-US"/>
        </w:rPr>
        <w:t xml:space="preserve">The Multilateralization of International Investment Law, </w:t>
      </w:r>
      <w:r w:rsidRPr="00412BD0">
        <w:rPr>
          <w:rFonts w:cs="Times New Roman"/>
          <w:lang w:val="en-US"/>
        </w:rPr>
        <w:t xml:space="preserve">377; </w:t>
      </w:r>
      <w:r w:rsidRPr="00412BD0">
        <w:rPr>
          <w:rStyle w:val="FootnoteReference"/>
          <w:rFonts w:cs="Times New Roman"/>
        </w:rPr>
        <w:t xml:space="preserve"> </w:t>
      </w:r>
      <w:proofErr w:type="spellStart"/>
      <w:r w:rsidRPr="00412BD0">
        <w:rPr>
          <w:rFonts w:cs="Times New Roman"/>
          <w:lang w:val="en-US"/>
        </w:rPr>
        <w:t>Muchlinski</w:t>
      </w:r>
      <w:proofErr w:type="spellEnd"/>
      <w:r w:rsidRPr="00412BD0">
        <w:rPr>
          <w:rFonts w:cs="Times New Roman"/>
          <w:lang w:val="en-US"/>
        </w:rPr>
        <w:t xml:space="preserve">, </w:t>
      </w:r>
      <w:proofErr w:type="spellStart"/>
      <w:r w:rsidRPr="00412BD0">
        <w:rPr>
          <w:rFonts w:cs="Times New Roman"/>
          <w:lang w:val="en-US"/>
        </w:rPr>
        <w:t>Ortino</w:t>
      </w:r>
      <w:proofErr w:type="spellEnd"/>
      <w:r w:rsidRPr="00412BD0">
        <w:rPr>
          <w:rFonts w:cs="Times New Roman"/>
          <w:lang w:val="en-US"/>
        </w:rPr>
        <w:t xml:space="preserve"> and C</w:t>
      </w:r>
      <w:proofErr w:type="spellStart"/>
      <w:r w:rsidRPr="00412BD0">
        <w:rPr>
          <w:rFonts w:cs="Times New Roman"/>
        </w:rPr>
        <w:t>hristoph</w:t>
      </w:r>
      <w:proofErr w:type="spellEnd"/>
      <w:r w:rsidRPr="00412BD0">
        <w:rPr>
          <w:rFonts w:cs="Times New Roman"/>
          <w:lang w:val="en-US"/>
        </w:rPr>
        <w:t xml:space="preserve"> </w:t>
      </w:r>
      <w:proofErr w:type="spellStart"/>
      <w:r w:rsidRPr="00412BD0">
        <w:rPr>
          <w:rFonts w:cs="Times New Roman"/>
          <w:lang w:val="en-US"/>
        </w:rPr>
        <w:t>Schreuer</w:t>
      </w:r>
      <w:proofErr w:type="spellEnd"/>
      <w:r w:rsidRPr="00412BD0">
        <w:rPr>
          <w:rFonts w:cs="Times New Roman"/>
        </w:rPr>
        <w:t>,</w:t>
      </w:r>
      <w:r w:rsidRPr="00412BD0">
        <w:rPr>
          <w:rFonts w:cs="Times New Roman"/>
          <w:lang w:val="en-US"/>
        </w:rPr>
        <w:t xml:space="preserve"> </w:t>
      </w:r>
      <w:r w:rsidRPr="00412BD0">
        <w:rPr>
          <w:rFonts w:cs="Times New Roman"/>
          <w:i/>
          <w:lang w:val="en-US"/>
        </w:rPr>
        <w:t>Preface</w:t>
      </w:r>
      <w:r w:rsidRPr="00412BD0">
        <w:rPr>
          <w:rFonts w:cs="Times New Roman"/>
        </w:rPr>
        <w:t xml:space="preserve">, </w:t>
      </w:r>
      <w:r w:rsidRPr="00412BD0">
        <w:rPr>
          <w:rFonts w:cs="Times New Roman"/>
          <w:lang w:val="en-US"/>
        </w:rPr>
        <w:t xml:space="preserve">vi; </w:t>
      </w:r>
      <w:proofErr w:type="spellStart"/>
      <w:r w:rsidRPr="00412BD0">
        <w:rPr>
          <w:rFonts w:cs="Times New Roman"/>
          <w:lang w:val="en-US"/>
        </w:rPr>
        <w:t>Dolzer</w:t>
      </w:r>
      <w:proofErr w:type="spellEnd"/>
      <w:r w:rsidRPr="00412BD0">
        <w:rPr>
          <w:rFonts w:cs="Times New Roman"/>
          <w:lang w:val="en-US"/>
        </w:rPr>
        <w:t xml:space="preserve">, </w:t>
      </w:r>
      <w:r w:rsidRPr="00412BD0">
        <w:rPr>
          <w:rFonts w:cs="Times New Roman"/>
          <w:i/>
          <w:lang w:val="en-US"/>
        </w:rPr>
        <w:t>The Impact of International Investment Treaties,</w:t>
      </w:r>
      <w:r w:rsidRPr="00412BD0">
        <w:rPr>
          <w:rFonts w:cs="Times New Roman"/>
          <w:lang w:val="en-US"/>
        </w:rPr>
        <w:t xml:space="preserve"> 972; </w:t>
      </w:r>
      <w:proofErr w:type="spellStart"/>
      <w:r w:rsidRPr="00412BD0">
        <w:rPr>
          <w:rFonts w:cs="Times New Roman"/>
          <w:lang w:val="en-US"/>
        </w:rPr>
        <w:t>Vandevelde</w:t>
      </w:r>
      <w:proofErr w:type="spellEnd"/>
      <w:r w:rsidRPr="00412BD0">
        <w:rPr>
          <w:rFonts w:cs="Times New Roman"/>
          <w:lang w:val="en-US"/>
        </w:rPr>
        <w:t xml:space="preserve">, </w:t>
      </w:r>
      <w:r w:rsidRPr="00412BD0">
        <w:rPr>
          <w:rFonts w:cs="Times New Roman"/>
          <w:i/>
          <w:lang w:val="en-US" w:eastAsia="en-GB"/>
        </w:rPr>
        <w:t>Model Bilateral Investment Treaties,</w:t>
      </w:r>
      <w:r w:rsidRPr="00412BD0">
        <w:rPr>
          <w:rFonts w:cs="Times New Roman"/>
          <w:lang w:val="en-US" w:eastAsia="en-GB"/>
        </w:rPr>
        <w:t xml:space="preserve"> </w:t>
      </w:r>
      <w:r w:rsidRPr="00412BD0">
        <w:rPr>
          <w:rFonts w:cs="Times New Roman"/>
          <w:lang w:val="en-US"/>
        </w:rPr>
        <w:t xml:space="preserve">313; and </w:t>
      </w:r>
      <w:proofErr w:type="spellStart"/>
      <w:r w:rsidRPr="00412BD0">
        <w:rPr>
          <w:rFonts w:cs="Times New Roman"/>
          <w:lang w:val="en-US"/>
        </w:rPr>
        <w:t>Echandi</w:t>
      </w:r>
      <w:proofErr w:type="spellEnd"/>
      <w:r w:rsidRPr="00412BD0">
        <w:rPr>
          <w:rFonts w:cs="Times New Roman"/>
          <w:lang w:val="en-US"/>
        </w:rPr>
        <w:t xml:space="preserve">, </w:t>
      </w:r>
      <w:r w:rsidRPr="00412BD0">
        <w:rPr>
          <w:rFonts w:cs="Times New Roman"/>
          <w:i/>
          <w:lang w:val="en-US"/>
        </w:rPr>
        <w:t xml:space="preserve">What Do Developing Countries Expect, </w:t>
      </w:r>
      <w:r w:rsidRPr="00412BD0">
        <w:rPr>
          <w:rFonts w:cs="Times New Roman"/>
        </w:rPr>
        <w:t>13.</w:t>
      </w:r>
    </w:p>
  </w:footnote>
  <w:footnote w:id="46">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 xml:space="preserve">See </w:t>
      </w:r>
      <w:proofErr w:type="spellStart"/>
      <w:r w:rsidRPr="00412BD0">
        <w:rPr>
          <w:rFonts w:cs="Times New Roman"/>
          <w:lang w:val="en-US"/>
        </w:rPr>
        <w:t>Bonnitcha</w:t>
      </w:r>
      <w:proofErr w:type="spellEnd"/>
      <w:r w:rsidRPr="00412BD0">
        <w:rPr>
          <w:rFonts w:cs="Times New Roman"/>
          <w:lang w:val="en-US"/>
        </w:rPr>
        <w:t xml:space="preserve"> and </w:t>
      </w:r>
      <w:proofErr w:type="spellStart"/>
      <w:r w:rsidRPr="00412BD0">
        <w:rPr>
          <w:rFonts w:cs="Times New Roman"/>
          <w:lang w:val="en-US"/>
        </w:rPr>
        <w:t>Aisbett</w:t>
      </w:r>
      <w:proofErr w:type="spellEnd"/>
      <w:r w:rsidRPr="00412BD0">
        <w:rPr>
          <w:rFonts w:cs="Times New Roman"/>
          <w:lang w:val="en-US"/>
        </w:rPr>
        <w:t xml:space="preserve">, </w:t>
      </w:r>
      <w:r w:rsidRPr="00412BD0">
        <w:rPr>
          <w:rFonts w:cs="Times New Roman"/>
          <w:i/>
          <w:lang w:val="en-US"/>
        </w:rPr>
        <w:t>An Economic Analysis of the Substantive Protections</w:t>
      </w:r>
      <w:r w:rsidRPr="00412BD0">
        <w:rPr>
          <w:rFonts w:cs="Times New Roman"/>
          <w:lang w:val="en-US"/>
        </w:rPr>
        <w:t xml:space="preserve">, </w:t>
      </w:r>
      <w:r w:rsidRPr="00412BD0">
        <w:rPr>
          <w:rFonts w:cs="Times New Roman"/>
        </w:rPr>
        <w:t xml:space="preserve">681-204; </w:t>
      </w:r>
      <w:proofErr w:type="spellStart"/>
      <w:r w:rsidRPr="00412BD0">
        <w:rPr>
          <w:rFonts w:cs="Times New Roman"/>
        </w:rPr>
        <w:t>Poulsen</w:t>
      </w:r>
      <w:proofErr w:type="spellEnd"/>
      <w:r w:rsidRPr="00412BD0">
        <w:rPr>
          <w:rFonts w:cs="Times New Roman"/>
        </w:rPr>
        <w:t xml:space="preserve"> and </w:t>
      </w:r>
      <w:proofErr w:type="spellStart"/>
      <w:r w:rsidRPr="00412BD0">
        <w:rPr>
          <w:rFonts w:cs="Times New Roman"/>
        </w:rPr>
        <w:t>Aisbett</w:t>
      </w:r>
      <w:proofErr w:type="spellEnd"/>
      <w:r w:rsidRPr="00412BD0">
        <w:rPr>
          <w:rFonts w:cs="Times New Roman"/>
        </w:rPr>
        <w:t xml:space="preserve">, </w:t>
      </w:r>
      <w:r w:rsidRPr="00412BD0">
        <w:rPr>
          <w:rFonts w:cs="Times New Roman"/>
          <w:i/>
        </w:rPr>
        <w:t xml:space="preserve">When the Claims Hit, </w:t>
      </w:r>
      <w:r w:rsidRPr="00412BD0">
        <w:rPr>
          <w:rFonts w:cs="Times New Roman"/>
        </w:rPr>
        <w:t xml:space="preserve">273-313; </w:t>
      </w:r>
      <w:proofErr w:type="spellStart"/>
      <w:r w:rsidRPr="00412BD0">
        <w:rPr>
          <w:rFonts w:cs="Times New Roman"/>
          <w:color w:val="000000"/>
          <w:lang w:val="en-US"/>
        </w:rPr>
        <w:t>Yackee</w:t>
      </w:r>
      <w:proofErr w:type="spellEnd"/>
      <w:r w:rsidRPr="00412BD0">
        <w:rPr>
          <w:rFonts w:cs="Times New Roman"/>
          <w:color w:val="000000"/>
          <w:lang w:val="en-US"/>
        </w:rPr>
        <w:t xml:space="preserve">, </w:t>
      </w:r>
      <w:r w:rsidRPr="00412BD0">
        <w:rPr>
          <w:rFonts w:cs="Times New Roman"/>
          <w:i/>
          <w:color w:val="000000"/>
          <w:lang w:val="en-US"/>
        </w:rPr>
        <w:t xml:space="preserve">Do Bilateral Investment Treaties Promote Foreign Direct Investment?, </w:t>
      </w:r>
      <w:r w:rsidRPr="00412BD0">
        <w:rPr>
          <w:rFonts w:cs="Times New Roman"/>
          <w:color w:val="000000"/>
          <w:lang w:val="en-US"/>
        </w:rPr>
        <w:t>397-441</w:t>
      </w:r>
      <w:r w:rsidRPr="00412BD0">
        <w:rPr>
          <w:rFonts w:cs="Times New Roman"/>
          <w:color w:val="000000"/>
        </w:rPr>
        <w:t xml:space="preserve">; and Franck, </w:t>
      </w:r>
      <w:r w:rsidRPr="00412BD0">
        <w:rPr>
          <w:rFonts w:cs="Times New Roman"/>
          <w:i/>
          <w:color w:val="000000"/>
        </w:rPr>
        <w:t>Development and Outcomes of Investment Treaty Arbitration</w:t>
      </w:r>
      <w:r w:rsidRPr="00412BD0">
        <w:rPr>
          <w:rFonts w:cs="Times New Roman"/>
          <w:color w:val="000000"/>
        </w:rPr>
        <w:t>, 435-489.</w:t>
      </w:r>
    </w:p>
  </w:footnote>
  <w:footnote w:id="47">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spellStart"/>
      <w:proofErr w:type="gramStart"/>
      <w:r w:rsidRPr="00412BD0">
        <w:rPr>
          <w:rFonts w:cs="Times New Roman"/>
        </w:rPr>
        <w:t>Poulsen</w:t>
      </w:r>
      <w:proofErr w:type="spellEnd"/>
      <w:r w:rsidRPr="00412BD0">
        <w:rPr>
          <w:rFonts w:cs="Times New Roman"/>
        </w:rPr>
        <w:t xml:space="preserve"> and </w:t>
      </w:r>
      <w:proofErr w:type="spellStart"/>
      <w:r w:rsidRPr="00412BD0">
        <w:rPr>
          <w:rFonts w:cs="Times New Roman"/>
        </w:rPr>
        <w:t>Aisbett</w:t>
      </w:r>
      <w:proofErr w:type="spellEnd"/>
      <w:r w:rsidRPr="00412BD0">
        <w:rPr>
          <w:rFonts w:cs="Times New Roman"/>
        </w:rPr>
        <w:t xml:space="preserve">, </w:t>
      </w:r>
      <w:r w:rsidRPr="00412BD0">
        <w:rPr>
          <w:rFonts w:cs="Times New Roman"/>
          <w:i/>
        </w:rPr>
        <w:t>When the Claims Hit</w:t>
      </w:r>
      <w:r w:rsidRPr="00412BD0">
        <w:rPr>
          <w:rFonts w:cs="Times New Roman"/>
        </w:rPr>
        <w:t>, 301.</w:t>
      </w:r>
      <w:proofErr w:type="gramEnd"/>
    </w:p>
  </w:footnote>
  <w:footnote w:id="48">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Hirsch, </w:t>
      </w:r>
      <w:r w:rsidRPr="00412BD0">
        <w:rPr>
          <w:rFonts w:cs="Times New Roman"/>
          <w:i/>
        </w:rPr>
        <w:t>Sociology</w:t>
      </w:r>
      <w:r w:rsidRPr="00412BD0">
        <w:rPr>
          <w:rFonts w:cs="Times New Roman"/>
        </w:rPr>
        <w:t xml:space="preserve">, </w:t>
      </w:r>
      <w:r w:rsidRPr="00412BD0">
        <w:rPr>
          <w:rFonts w:cs="Times New Roman"/>
          <w:lang w:val="en-US"/>
        </w:rPr>
        <w:t>3.</w:t>
      </w:r>
    </w:p>
  </w:footnote>
  <w:footnote w:id="49">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spellStart"/>
      <w:r w:rsidRPr="00412BD0">
        <w:rPr>
          <w:rFonts w:cs="Times New Roman"/>
        </w:rPr>
        <w:t>Tomer</w:t>
      </w:r>
      <w:proofErr w:type="spellEnd"/>
      <w:r w:rsidRPr="00412BD0">
        <w:rPr>
          <w:rFonts w:cs="Times New Roman"/>
        </w:rPr>
        <w:t xml:space="preserve"> </w:t>
      </w:r>
      <w:proofErr w:type="spellStart"/>
      <w:r w:rsidRPr="00412BD0">
        <w:rPr>
          <w:rFonts w:cs="Times New Roman"/>
          <w:lang w:val="en-US"/>
        </w:rPr>
        <w:t>Broude</w:t>
      </w:r>
      <w:proofErr w:type="spellEnd"/>
      <w:r w:rsidRPr="00412BD0">
        <w:rPr>
          <w:rFonts w:cs="Times New Roman"/>
          <w:lang w:val="en-US"/>
        </w:rPr>
        <w:t xml:space="preserve">, </w:t>
      </w:r>
      <w:r w:rsidRPr="00412BD0">
        <w:rPr>
          <w:rFonts w:cs="Times New Roman"/>
        </w:rPr>
        <w:t>“</w:t>
      </w:r>
      <w:proofErr w:type="spellStart"/>
      <w:r w:rsidRPr="00412BD0">
        <w:rPr>
          <w:rFonts w:cs="Times New Roman"/>
          <w:lang w:val="en-US"/>
        </w:rPr>
        <w:t>Behavioural</w:t>
      </w:r>
      <w:proofErr w:type="spellEnd"/>
      <w:r w:rsidRPr="00412BD0">
        <w:rPr>
          <w:rFonts w:cs="Times New Roman"/>
          <w:lang w:val="en-US"/>
        </w:rPr>
        <w:t xml:space="preserve"> International Law</w:t>
      </w:r>
      <w:r w:rsidRPr="00412BD0">
        <w:rPr>
          <w:rFonts w:cs="Times New Roman"/>
        </w:rPr>
        <w:t xml:space="preserve">” </w:t>
      </w:r>
      <w:r w:rsidRPr="00412BD0">
        <w:rPr>
          <w:rFonts w:cs="Times New Roman"/>
          <w:i/>
          <w:lang w:val="en-US"/>
        </w:rPr>
        <w:t>Hebrew University of Jerusalem International Law Forum Research Paper No. 12-13</w:t>
      </w:r>
      <w:r w:rsidRPr="00412BD0">
        <w:rPr>
          <w:rFonts w:cs="Times New Roman"/>
          <w:lang w:val="en-US"/>
        </w:rPr>
        <w:t xml:space="preserve"> </w:t>
      </w:r>
      <w:r w:rsidRPr="00412BD0">
        <w:rPr>
          <w:rFonts w:cs="Times New Roman"/>
        </w:rPr>
        <w:t xml:space="preserve">(2013), 20-21, accessed January 30, 2014,  </w:t>
      </w:r>
      <w:hyperlink r:id="rId7" w:history="1">
        <w:r w:rsidRPr="00412BD0">
          <w:rPr>
            <w:rStyle w:val="Hyperlink"/>
          </w:rPr>
          <w:t>http://papers.ssrn.com/sol3/papers.cfm?abstract_id=2320375</w:t>
        </w:r>
      </w:hyperlink>
      <w:r w:rsidRPr="00412BD0">
        <w:rPr>
          <w:rFonts w:cs="Times New Roman"/>
        </w:rPr>
        <w:t xml:space="preserve">, </w:t>
      </w:r>
      <w:r w:rsidRPr="00412BD0">
        <w:rPr>
          <w:rFonts w:cs="Times New Roman"/>
          <w:lang w:val="en-US"/>
        </w:rPr>
        <w:t xml:space="preserve">citing </w:t>
      </w:r>
      <w:r w:rsidRPr="00412BD0">
        <w:rPr>
          <w:rFonts w:cs="Times New Roman"/>
        </w:rPr>
        <w:t>Francesco</w:t>
      </w:r>
      <w:r w:rsidRPr="00412BD0">
        <w:rPr>
          <w:rFonts w:cs="Times New Roman"/>
          <w:lang w:val="en-US"/>
        </w:rPr>
        <w:t xml:space="preserve"> </w:t>
      </w:r>
      <w:proofErr w:type="spellStart"/>
      <w:r w:rsidRPr="00412BD0">
        <w:rPr>
          <w:rFonts w:cs="Times New Roman"/>
          <w:lang w:val="en-US"/>
        </w:rPr>
        <w:t>Parisi</w:t>
      </w:r>
      <w:proofErr w:type="spellEnd"/>
      <w:r w:rsidRPr="00412BD0">
        <w:rPr>
          <w:rFonts w:cs="Times New Roman"/>
          <w:lang w:val="en-US"/>
        </w:rPr>
        <w:t xml:space="preserve"> and V</w:t>
      </w:r>
      <w:proofErr w:type="spellStart"/>
      <w:r w:rsidRPr="00412BD0">
        <w:rPr>
          <w:rFonts w:cs="Times New Roman"/>
        </w:rPr>
        <w:t>ernon</w:t>
      </w:r>
      <w:proofErr w:type="spellEnd"/>
      <w:r w:rsidRPr="00412BD0">
        <w:rPr>
          <w:rFonts w:cs="Times New Roman"/>
          <w:lang w:val="en-US"/>
        </w:rPr>
        <w:t xml:space="preserve"> Smith, </w:t>
      </w:r>
      <w:r w:rsidRPr="00412BD0">
        <w:rPr>
          <w:rFonts w:cs="Times New Roman"/>
        </w:rPr>
        <w:t>“</w:t>
      </w:r>
      <w:r w:rsidRPr="00412BD0">
        <w:t xml:space="preserve">The Law and Economics of Irrational </w:t>
      </w:r>
      <w:proofErr w:type="spellStart"/>
      <w:r w:rsidRPr="00412BD0">
        <w:t>Behavior</w:t>
      </w:r>
      <w:proofErr w:type="spellEnd"/>
      <w:r w:rsidRPr="00412BD0">
        <w:t>: An Introduction”, in</w:t>
      </w:r>
      <w:r w:rsidRPr="00412BD0">
        <w:rPr>
          <w:rFonts w:cs="Times New Roman"/>
          <w:i/>
          <w:lang w:val="en-US"/>
        </w:rPr>
        <w:t xml:space="preserve"> The Law and Economics of Irrational </w:t>
      </w:r>
      <w:proofErr w:type="spellStart"/>
      <w:r w:rsidRPr="00412BD0">
        <w:rPr>
          <w:rFonts w:cs="Times New Roman"/>
          <w:i/>
          <w:lang w:val="en-US"/>
        </w:rPr>
        <w:t>Behaviour</w:t>
      </w:r>
      <w:proofErr w:type="spellEnd"/>
      <w:r w:rsidRPr="00412BD0">
        <w:rPr>
          <w:rFonts w:cs="Times New Roman"/>
          <w:i/>
        </w:rPr>
        <w:t>,</w:t>
      </w:r>
      <w:r w:rsidRPr="00412BD0">
        <w:t xml:space="preserve"> (Stanford University Press, 2005), </w:t>
      </w:r>
      <w:r w:rsidRPr="00412BD0">
        <w:rPr>
          <w:rFonts w:cs="Times New Roman"/>
          <w:lang w:val="en-US"/>
        </w:rPr>
        <w:t>1.</w:t>
      </w:r>
    </w:p>
  </w:footnote>
  <w:footnote w:id="50">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gramStart"/>
      <w:r w:rsidRPr="00412BD0">
        <w:rPr>
          <w:rFonts w:cs="Times New Roman"/>
          <w:i/>
          <w:lang w:val="en-US"/>
        </w:rPr>
        <w:t>Ibid</w:t>
      </w:r>
      <w:r w:rsidRPr="00412BD0">
        <w:rPr>
          <w:rFonts w:cs="Times New Roman"/>
        </w:rPr>
        <w:t>,</w:t>
      </w:r>
      <w:r w:rsidRPr="00412BD0">
        <w:rPr>
          <w:rFonts w:cs="Times New Roman"/>
          <w:lang w:val="en-US"/>
        </w:rPr>
        <w:t xml:space="preserve"> 40</w:t>
      </w:r>
      <w:r w:rsidRPr="00412BD0">
        <w:rPr>
          <w:rFonts w:cs="Times New Roman"/>
        </w:rPr>
        <w:t>.</w:t>
      </w:r>
      <w:proofErr w:type="gramEnd"/>
    </w:p>
  </w:footnote>
  <w:footnote w:id="51">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gramStart"/>
      <w:r w:rsidRPr="00412BD0">
        <w:rPr>
          <w:rFonts w:cs="Times New Roman"/>
          <w:i/>
        </w:rPr>
        <w:t>Ibid</w:t>
      </w:r>
      <w:r w:rsidRPr="00412BD0">
        <w:rPr>
          <w:rFonts w:cs="Times New Roman"/>
        </w:rPr>
        <w:t>,</w:t>
      </w:r>
      <w:r w:rsidRPr="00412BD0">
        <w:rPr>
          <w:rFonts w:cs="Times New Roman"/>
          <w:lang w:val="en-US"/>
        </w:rPr>
        <w:t xml:space="preserve"> 44</w:t>
      </w:r>
      <w:r w:rsidRPr="00412BD0">
        <w:rPr>
          <w:rFonts w:cs="Times New Roman"/>
        </w:rPr>
        <w:t>.</w:t>
      </w:r>
      <w:proofErr w:type="gramEnd"/>
    </w:p>
  </w:footnote>
  <w:footnote w:id="52">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D</w:t>
      </w:r>
      <w:r w:rsidRPr="00412BD0">
        <w:rPr>
          <w:rFonts w:cs="Times New Roman"/>
        </w:rPr>
        <w:t>avid</w:t>
      </w:r>
      <w:r w:rsidRPr="00412BD0">
        <w:rPr>
          <w:rFonts w:cs="Times New Roman"/>
          <w:lang w:val="en-US"/>
        </w:rPr>
        <w:t xml:space="preserve"> Cohen, </w:t>
      </w:r>
      <w:r w:rsidRPr="00412BD0">
        <w:rPr>
          <w:rFonts w:cs="Times New Roman"/>
        </w:rPr>
        <w:t>“</w:t>
      </w:r>
      <w:r w:rsidRPr="00412BD0">
        <w:rPr>
          <w:rFonts w:cs="Times New Roman"/>
          <w:lang w:val="en-US"/>
        </w:rPr>
        <w:t>Regulating Regulators: The Legal Environment of the State</w:t>
      </w:r>
      <w:r w:rsidRPr="00412BD0">
        <w:rPr>
          <w:rFonts w:cs="Times New Roman"/>
        </w:rPr>
        <w:t>,”</w:t>
      </w:r>
      <w:r w:rsidRPr="00412BD0">
        <w:rPr>
          <w:rFonts w:cs="Times New Roman"/>
          <w:lang w:val="en-US"/>
        </w:rPr>
        <w:t xml:space="preserve"> </w:t>
      </w:r>
      <w:r w:rsidRPr="00412BD0">
        <w:rPr>
          <w:rFonts w:cs="Times New Roman"/>
          <w:i/>
          <w:lang w:val="en-US"/>
        </w:rPr>
        <w:t>U</w:t>
      </w:r>
      <w:proofErr w:type="spellStart"/>
      <w:r w:rsidRPr="00412BD0">
        <w:rPr>
          <w:rFonts w:cs="Times New Roman"/>
          <w:i/>
        </w:rPr>
        <w:t>niversity</w:t>
      </w:r>
      <w:proofErr w:type="spellEnd"/>
      <w:r w:rsidRPr="00412BD0">
        <w:rPr>
          <w:rFonts w:cs="Times New Roman"/>
          <w:i/>
        </w:rPr>
        <w:t xml:space="preserve"> of</w:t>
      </w:r>
      <w:r w:rsidRPr="00412BD0">
        <w:rPr>
          <w:rFonts w:cs="Times New Roman"/>
          <w:i/>
          <w:lang w:val="en-US"/>
        </w:rPr>
        <w:t xml:space="preserve"> Toronto L</w:t>
      </w:r>
      <w:r w:rsidRPr="00412BD0">
        <w:rPr>
          <w:rFonts w:cs="Times New Roman"/>
          <w:i/>
        </w:rPr>
        <w:t>aw</w:t>
      </w:r>
      <w:r w:rsidRPr="00412BD0">
        <w:rPr>
          <w:rFonts w:cs="Times New Roman"/>
          <w:i/>
          <w:lang w:val="en-US"/>
        </w:rPr>
        <w:t xml:space="preserve"> </w:t>
      </w:r>
      <w:proofErr w:type="gramStart"/>
      <w:r w:rsidRPr="00412BD0">
        <w:rPr>
          <w:rFonts w:cs="Times New Roman"/>
          <w:i/>
          <w:lang w:val="en-US"/>
        </w:rPr>
        <w:t>J</w:t>
      </w:r>
      <w:proofErr w:type="spellStart"/>
      <w:r w:rsidRPr="00412BD0">
        <w:rPr>
          <w:rFonts w:cs="Times New Roman"/>
          <w:i/>
        </w:rPr>
        <w:t>ournal</w:t>
      </w:r>
      <w:proofErr w:type="spellEnd"/>
      <w:r w:rsidRPr="00412BD0">
        <w:rPr>
          <w:rFonts w:cs="Times New Roman"/>
          <w:lang w:val="en-US"/>
        </w:rPr>
        <w:t xml:space="preserve"> </w:t>
      </w:r>
      <w:r w:rsidRPr="00412BD0">
        <w:rPr>
          <w:rFonts w:cs="Times New Roman"/>
        </w:rPr>
        <w:t xml:space="preserve"> 40</w:t>
      </w:r>
      <w:proofErr w:type="gramEnd"/>
      <w:r w:rsidRPr="00412BD0">
        <w:rPr>
          <w:rFonts w:cs="Times New Roman"/>
        </w:rPr>
        <w:t xml:space="preserve"> </w:t>
      </w:r>
      <w:r w:rsidRPr="00412BD0">
        <w:rPr>
          <w:rFonts w:cs="Times New Roman"/>
          <w:lang w:val="en-US"/>
        </w:rPr>
        <w:t>(1990)</w:t>
      </w:r>
      <w:r w:rsidRPr="00412BD0">
        <w:rPr>
          <w:rFonts w:cs="Times New Roman"/>
        </w:rPr>
        <w:t>:</w:t>
      </w:r>
      <w:r w:rsidRPr="00412BD0">
        <w:rPr>
          <w:rFonts w:cs="Times New Roman"/>
          <w:lang w:val="en-US"/>
        </w:rPr>
        <w:t xml:space="preserve"> 245</w:t>
      </w:r>
      <w:r w:rsidRPr="00412BD0">
        <w:rPr>
          <w:rFonts w:cs="Times New Roman"/>
        </w:rPr>
        <w:t>.</w:t>
      </w:r>
    </w:p>
  </w:footnote>
  <w:footnote w:id="53">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gramStart"/>
      <w:r w:rsidRPr="00412BD0">
        <w:rPr>
          <w:rFonts w:cs="Times New Roman"/>
          <w:i/>
        </w:rPr>
        <w:t>Ibid</w:t>
      </w:r>
      <w:r w:rsidRPr="00412BD0">
        <w:rPr>
          <w:rFonts w:cs="Times New Roman"/>
        </w:rPr>
        <w:t>, 246.</w:t>
      </w:r>
      <w:proofErr w:type="gramEnd"/>
    </w:p>
  </w:footnote>
  <w:footnote w:id="54">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 xml:space="preserve">Eric A. </w:t>
      </w:r>
      <w:r w:rsidRPr="00412BD0">
        <w:rPr>
          <w:rFonts w:cs="Times New Roman"/>
          <w:lang w:val="en-US"/>
        </w:rPr>
        <w:t xml:space="preserve">Posner and </w:t>
      </w:r>
      <w:r w:rsidRPr="00412BD0">
        <w:rPr>
          <w:rFonts w:cs="Times New Roman"/>
        </w:rPr>
        <w:t xml:space="preserve">Alan O. </w:t>
      </w:r>
      <w:r w:rsidRPr="00412BD0">
        <w:rPr>
          <w:rFonts w:cs="Times New Roman"/>
          <w:lang w:val="en-US"/>
        </w:rPr>
        <w:t>Sykes</w:t>
      </w:r>
      <w:r w:rsidRPr="00412BD0">
        <w:rPr>
          <w:rFonts w:cs="Times New Roman"/>
        </w:rPr>
        <w:t xml:space="preserve">, </w:t>
      </w:r>
      <w:r w:rsidRPr="00412BD0">
        <w:rPr>
          <w:rFonts w:cs="Times New Roman"/>
          <w:bCs/>
          <w:i/>
        </w:rPr>
        <w:t xml:space="preserve">Economic Foundations of International Law </w:t>
      </w:r>
      <w:r w:rsidRPr="00412BD0">
        <w:rPr>
          <w:rFonts w:cs="Times New Roman"/>
          <w:bCs/>
        </w:rPr>
        <w:t xml:space="preserve">(Cambridge, Mass.: Harvard University Press, 2013), </w:t>
      </w:r>
      <w:r w:rsidRPr="00412BD0">
        <w:rPr>
          <w:rFonts w:cs="Times New Roman"/>
          <w:lang w:val="en-US"/>
        </w:rPr>
        <w:t>115</w:t>
      </w:r>
      <w:r w:rsidRPr="00412BD0">
        <w:rPr>
          <w:rFonts w:cs="Times New Roman"/>
        </w:rPr>
        <w:t>.</w:t>
      </w:r>
    </w:p>
  </w:footnote>
  <w:footnote w:id="55">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proofErr w:type="gramStart"/>
      <w:r w:rsidRPr="00412BD0">
        <w:rPr>
          <w:rFonts w:cs="Times New Roman"/>
          <w:i/>
          <w:lang w:val="en-US"/>
        </w:rPr>
        <w:t>Ibid</w:t>
      </w:r>
      <w:r w:rsidRPr="00412BD0">
        <w:rPr>
          <w:rFonts w:cs="Times New Roman"/>
        </w:rPr>
        <w:t>,</w:t>
      </w:r>
      <w:r w:rsidRPr="00412BD0">
        <w:rPr>
          <w:rFonts w:cs="Times New Roman"/>
          <w:lang w:val="en-US"/>
        </w:rPr>
        <w:t xml:space="preserve"> 115.</w:t>
      </w:r>
      <w:proofErr w:type="gramEnd"/>
    </w:p>
  </w:footnote>
  <w:footnote w:id="56">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proofErr w:type="gramStart"/>
      <w:r w:rsidRPr="00412BD0">
        <w:rPr>
          <w:rFonts w:cs="Times New Roman"/>
          <w:lang w:val="en-US"/>
        </w:rPr>
        <w:t xml:space="preserve">Cohen, </w:t>
      </w:r>
      <w:r w:rsidRPr="00412BD0">
        <w:rPr>
          <w:rFonts w:cs="Times New Roman"/>
          <w:i/>
          <w:lang w:val="en-US"/>
        </w:rPr>
        <w:t>Regulating Regulators</w:t>
      </w:r>
      <w:r w:rsidRPr="00412BD0">
        <w:rPr>
          <w:rFonts w:cs="Times New Roman"/>
        </w:rPr>
        <w:t>,</w:t>
      </w:r>
      <w:r w:rsidRPr="00412BD0">
        <w:rPr>
          <w:rFonts w:cs="Times New Roman"/>
          <w:lang w:val="en-US"/>
        </w:rPr>
        <w:t xml:space="preserve"> 213.</w:t>
      </w:r>
      <w:proofErr w:type="gramEnd"/>
    </w:p>
  </w:footnote>
  <w:footnote w:id="57">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 xml:space="preserve">On file with the author; these preliminary studies looked into the legislation in a developing country, two developed States and two emerging economies. </w:t>
      </w:r>
    </w:p>
  </w:footnote>
  <w:footnote w:id="58">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 xml:space="preserve">A somewhat similar conclusion has been made by </w:t>
      </w:r>
      <w:proofErr w:type="spellStart"/>
      <w:r w:rsidRPr="00412BD0">
        <w:rPr>
          <w:rFonts w:cs="Times New Roman"/>
        </w:rPr>
        <w:t>Aisbett</w:t>
      </w:r>
      <w:proofErr w:type="spellEnd"/>
      <w:r w:rsidRPr="00412BD0">
        <w:rPr>
          <w:rFonts w:cs="Times New Roman"/>
        </w:rPr>
        <w:t xml:space="preserve"> and </w:t>
      </w:r>
      <w:proofErr w:type="spellStart"/>
      <w:r w:rsidRPr="00412BD0">
        <w:rPr>
          <w:rFonts w:cs="Times New Roman"/>
        </w:rPr>
        <w:t>Poulsen</w:t>
      </w:r>
      <w:proofErr w:type="spellEnd"/>
      <w:r w:rsidRPr="00412BD0">
        <w:rPr>
          <w:rFonts w:cs="Times New Roman"/>
        </w:rPr>
        <w:t xml:space="preserve">, who suggest that developing country governments may be “more prone to biased processing of information about the implications of BITs than developed country counterparts with higher levels of administrative capacity.” </w:t>
      </w:r>
      <w:proofErr w:type="gramStart"/>
      <w:r w:rsidRPr="00412BD0">
        <w:rPr>
          <w:rFonts w:cs="Times New Roman"/>
        </w:rPr>
        <w:t xml:space="preserve">See </w:t>
      </w:r>
      <w:proofErr w:type="spellStart"/>
      <w:r w:rsidRPr="00412BD0">
        <w:rPr>
          <w:rFonts w:cs="Times New Roman"/>
        </w:rPr>
        <w:t>Poulsen</w:t>
      </w:r>
      <w:proofErr w:type="spellEnd"/>
      <w:r w:rsidRPr="00412BD0">
        <w:rPr>
          <w:rFonts w:cs="Times New Roman"/>
        </w:rPr>
        <w:t xml:space="preserve"> and </w:t>
      </w:r>
      <w:proofErr w:type="spellStart"/>
      <w:r w:rsidRPr="00412BD0">
        <w:rPr>
          <w:rFonts w:cs="Times New Roman"/>
        </w:rPr>
        <w:t>Aisbett</w:t>
      </w:r>
      <w:proofErr w:type="spellEnd"/>
      <w:r w:rsidRPr="00412BD0">
        <w:rPr>
          <w:rFonts w:cs="Times New Roman"/>
        </w:rPr>
        <w:t xml:space="preserve">, </w:t>
      </w:r>
      <w:r w:rsidRPr="00412BD0">
        <w:rPr>
          <w:rFonts w:cs="Times New Roman"/>
          <w:i/>
        </w:rPr>
        <w:t>When the Claims Hit</w:t>
      </w:r>
      <w:r w:rsidRPr="00412BD0">
        <w:rPr>
          <w:rFonts w:cs="Times New Roman"/>
        </w:rPr>
        <w:t>, 302.</w:t>
      </w:r>
      <w:proofErr w:type="gramEnd"/>
      <w:r w:rsidRPr="00412BD0">
        <w:rPr>
          <w:rFonts w:cs="Times New Roman"/>
        </w:rPr>
        <w:t xml:space="preserve"> </w:t>
      </w:r>
    </w:p>
  </w:footnote>
  <w:footnote w:id="59">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Stephan </w:t>
      </w:r>
      <w:proofErr w:type="spellStart"/>
      <w:r w:rsidRPr="00412BD0">
        <w:rPr>
          <w:rFonts w:cs="Times New Roman"/>
          <w:lang w:val="en-US"/>
        </w:rPr>
        <w:t>Schill</w:t>
      </w:r>
      <w:proofErr w:type="spellEnd"/>
      <w:r w:rsidRPr="00412BD0">
        <w:rPr>
          <w:rFonts w:cs="Times New Roman"/>
          <w:lang w:val="en-US"/>
        </w:rPr>
        <w:t xml:space="preserve">, “Do </w:t>
      </w:r>
      <w:r w:rsidRPr="00412BD0">
        <w:rPr>
          <w:rFonts w:cs="Times New Roman"/>
        </w:rPr>
        <w:t>I</w:t>
      </w:r>
      <w:proofErr w:type="spellStart"/>
      <w:r w:rsidRPr="00412BD0">
        <w:rPr>
          <w:rFonts w:cs="Times New Roman"/>
          <w:lang w:val="en-US"/>
        </w:rPr>
        <w:t>nvestment</w:t>
      </w:r>
      <w:proofErr w:type="spellEnd"/>
      <w:r w:rsidRPr="00412BD0">
        <w:rPr>
          <w:rFonts w:cs="Times New Roman"/>
          <w:lang w:val="en-US"/>
        </w:rPr>
        <w:t xml:space="preserve"> </w:t>
      </w:r>
      <w:r w:rsidRPr="00412BD0">
        <w:rPr>
          <w:rFonts w:cs="Times New Roman"/>
        </w:rPr>
        <w:t>T</w:t>
      </w:r>
      <w:proofErr w:type="spellStart"/>
      <w:r w:rsidRPr="00412BD0">
        <w:rPr>
          <w:rFonts w:cs="Times New Roman"/>
          <w:lang w:val="en-US"/>
        </w:rPr>
        <w:t>reaties</w:t>
      </w:r>
      <w:proofErr w:type="spellEnd"/>
      <w:r w:rsidRPr="00412BD0">
        <w:rPr>
          <w:rFonts w:cs="Times New Roman"/>
          <w:lang w:val="en-US"/>
        </w:rPr>
        <w:t xml:space="preserve"> </w:t>
      </w:r>
      <w:r w:rsidRPr="00412BD0">
        <w:rPr>
          <w:rFonts w:cs="Times New Roman"/>
        </w:rPr>
        <w:t>C</w:t>
      </w:r>
      <w:r w:rsidRPr="00412BD0">
        <w:rPr>
          <w:rFonts w:cs="Times New Roman"/>
          <w:lang w:val="en-US"/>
        </w:rPr>
        <w:t xml:space="preserve">hill </w:t>
      </w:r>
      <w:r w:rsidRPr="00412BD0">
        <w:rPr>
          <w:rFonts w:cs="Times New Roman"/>
        </w:rPr>
        <w:t>U</w:t>
      </w:r>
      <w:proofErr w:type="spellStart"/>
      <w:r w:rsidRPr="00412BD0">
        <w:rPr>
          <w:rFonts w:cs="Times New Roman"/>
          <w:lang w:val="en-US"/>
        </w:rPr>
        <w:t>nilateral</w:t>
      </w:r>
      <w:proofErr w:type="spellEnd"/>
      <w:r w:rsidRPr="00412BD0">
        <w:rPr>
          <w:rFonts w:cs="Times New Roman"/>
          <w:lang w:val="en-US"/>
        </w:rPr>
        <w:t xml:space="preserve"> </w:t>
      </w:r>
      <w:r w:rsidRPr="00412BD0">
        <w:rPr>
          <w:rFonts w:cs="Times New Roman"/>
        </w:rPr>
        <w:t>S</w:t>
      </w:r>
      <w:proofErr w:type="spellStart"/>
      <w:r w:rsidRPr="00412BD0">
        <w:rPr>
          <w:rFonts w:cs="Times New Roman"/>
          <w:lang w:val="en-US"/>
        </w:rPr>
        <w:t>tate</w:t>
      </w:r>
      <w:proofErr w:type="spellEnd"/>
      <w:r w:rsidRPr="00412BD0">
        <w:rPr>
          <w:rFonts w:cs="Times New Roman"/>
          <w:lang w:val="en-US"/>
        </w:rPr>
        <w:t xml:space="preserve"> </w:t>
      </w:r>
      <w:r w:rsidRPr="00412BD0">
        <w:rPr>
          <w:rFonts w:cs="Times New Roman"/>
        </w:rPr>
        <w:t>R</w:t>
      </w:r>
      <w:proofErr w:type="spellStart"/>
      <w:r w:rsidRPr="00412BD0">
        <w:rPr>
          <w:rFonts w:cs="Times New Roman"/>
          <w:lang w:val="en-US"/>
        </w:rPr>
        <w:t>egulation</w:t>
      </w:r>
      <w:proofErr w:type="spellEnd"/>
      <w:r w:rsidRPr="00412BD0">
        <w:rPr>
          <w:rFonts w:cs="Times New Roman"/>
          <w:lang w:val="en-US"/>
        </w:rPr>
        <w:t xml:space="preserve"> to </w:t>
      </w:r>
      <w:r w:rsidRPr="00412BD0">
        <w:rPr>
          <w:rFonts w:cs="Times New Roman"/>
        </w:rPr>
        <w:t>M</w:t>
      </w:r>
      <w:proofErr w:type="spellStart"/>
      <w:r w:rsidRPr="00412BD0">
        <w:rPr>
          <w:rFonts w:cs="Times New Roman"/>
          <w:lang w:val="en-US"/>
        </w:rPr>
        <w:t>itigate</w:t>
      </w:r>
      <w:proofErr w:type="spellEnd"/>
      <w:r w:rsidRPr="00412BD0">
        <w:rPr>
          <w:rFonts w:cs="Times New Roman"/>
          <w:lang w:val="en-US"/>
        </w:rPr>
        <w:t xml:space="preserve"> </w:t>
      </w:r>
      <w:r w:rsidRPr="00412BD0">
        <w:rPr>
          <w:rFonts w:cs="Times New Roman"/>
        </w:rPr>
        <w:t>C</w:t>
      </w:r>
      <w:proofErr w:type="spellStart"/>
      <w:r w:rsidRPr="00412BD0">
        <w:rPr>
          <w:rFonts w:cs="Times New Roman"/>
          <w:lang w:val="en-US"/>
        </w:rPr>
        <w:t>limate</w:t>
      </w:r>
      <w:proofErr w:type="spellEnd"/>
      <w:r w:rsidRPr="00412BD0">
        <w:rPr>
          <w:rFonts w:cs="Times New Roman"/>
          <w:lang w:val="en-US"/>
        </w:rPr>
        <w:t xml:space="preserve"> </w:t>
      </w:r>
      <w:r w:rsidRPr="00412BD0">
        <w:rPr>
          <w:rFonts w:cs="Times New Roman"/>
        </w:rPr>
        <w:t>C</w:t>
      </w:r>
      <w:proofErr w:type="spellStart"/>
      <w:r w:rsidRPr="00412BD0">
        <w:rPr>
          <w:rFonts w:cs="Times New Roman"/>
          <w:lang w:val="en-US"/>
        </w:rPr>
        <w:t>hange</w:t>
      </w:r>
      <w:proofErr w:type="spellEnd"/>
      <w:proofErr w:type="gramStart"/>
      <w:r w:rsidRPr="00412BD0">
        <w:rPr>
          <w:rFonts w:cs="Times New Roman"/>
          <w:lang w:val="en-US"/>
        </w:rPr>
        <w:t>?,</w:t>
      </w:r>
      <w:proofErr w:type="gramEnd"/>
      <w:r w:rsidRPr="00412BD0">
        <w:rPr>
          <w:rFonts w:cs="Times New Roman"/>
          <w:lang w:val="en-US"/>
        </w:rPr>
        <w:t xml:space="preserve">” </w:t>
      </w:r>
      <w:r w:rsidRPr="00412BD0">
        <w:rPr>
          <w:rFonts w:cs="Times New Roman"/>
          <w:i/>
          <w:lang w:val="en-US"/>
        </w:rPr>
        <w:t xml:space="preserve">Journal of International Arbitration </w:t>
      </w:r>
      <w:r w:rsidRPr="00412BD0">
        <w:rPr>
          <w:rFonts w:cs="Times New Roman"/>
          <w:lang w:val="en-US"/>
        </w:rPr>
        <w:t>24, no. 5 (2007)</w:t>
      </w:r>
      <w:r w:rsidRPr="00412BD0">
        <w:rPr>
          <w:rFonts w:cs="Times New Roman"/>
        </w:rPr>
        <w:t xml:space="preserve">: </w:t>
      </w:r>
      <w:r w:rsidRPr="00412BD0">
        <w:rPr>
          <w:rFonts w:cs="Times New Roman"/>
          <w:lang w:val="en-US"/>
        </w:rPr>
        <w:t>469</w:t>
      </w:r>
      <w:r w:rsidRPr="00412BD0">
        <w:rPr>
          <w:rFonts w:cs="Times New Roman"/>
        </w:rPr>
        <w:t>.</w:t>
      </w:r>
      <w:r w:rsidRPr="00412BD0">
        <w:rPr>
          <w:rFonts w:cs="Times New Roman"/>
          <w:lang w:val="en-US"/>
        </w:rPr>
        <w:t xml:space="preserve"> </w:t>
      </w:r>
    </w:p>
  </w:footnote>
  <w:footnote w:id="60">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See e.g. E</w:t>
      </w:r>
      <w:proofErr w:type="spellStart"/>
      <w:r w:rsidRPr="00412BD0">
        <w:rPr>
          <w:rFonts w:cs="Times New Roman"/>
        </w:rPr>
        <w:t>mily</w:t>
      </w:r>
      <w:proofErr w:type="spellEnd"/>
      <w:r w:rsidRPr="00412BD0">
        <w:rPr>
          <w:rFonts w:cs="Times New Roman"/>
          <w:lang w:val="en-US"/>
        </w:rPr>
        <w:t xml:space="preserve"> Barrett Lydgate, “Biofuels, Sustainability, and Trade-related </w:t>
      </w:r>
      <w:r w:rsidRPr="00412BD0">
        <w:rPr>
          <w:rFonts w:cs="Times New Roman"/>
        </w:rPr>
        <w:t>R</w:t>
      </w:r>
      <w:proofErr w:type="spellStart"/>
      <w:r w:rsidRPr="00412BD0">
        <w:rPr>
          <w:rFonts w:cs="Times New Roman"/>
          <w:lang w:val="en-US"/>
        </w:rPr>
        <w:t>egulatory</w:t>
      </w:r>
      <w:proofErr w:type="spellEnd"/>
      <w:r w:rsidRPr="00412BD0">
        <w:rPr>
          <w:rFonts w:cs="Times New Roman"/>
          <w:lang w:val="en-US"/>
        </w:rPr>
        <w:t xml:space="preserve"> </w:t>
      </w:r>
      <w:r w:rsidRPr="00412BD0">
        <w:rPr>
          <w:rFonts w:cs="Times New Roman"/>
        </w:rPr>
        <w:t>C</w:t>
      </w:r>
      <w:r w:rsidRPr="00412BD0">
        <w:rPr>
          <w:rFonts w:cs="Times New Roman"/>
          <w:lang w:val="en-US"/>
        </w:rPr>
        <w:t>hill</w:t>
      </w:r>
      <w:r w:rsidRPr="00412BD0">
        <w:rPr>
          <w:rFonts w:cs="Times New Roman"/>
        </w:rPr>
        <w:t>,</w:t>
      </w:r>
      <w:r w:rsidRPr="00412BD0">
        <w:rPr>
          <w:rFonts w:cs="Times New Roman"/>
          <w:lang w:val="en-US"/>
        </w:rPr>
        <w:t xml:space="preserve">” </w:t>
      </w:r>
      <w:r w:rsidRPr="00412BD0">
        <w:rPr>
          <w:rFonts w:cs="Times New Roman"/>
          <w:i/>
          <w:lang w:val="en-US"/>
        </w:rPr>
        <w:t>Journal of International Economic Law</w:t>
      </w:r>
      <w:r w:rsidRPr="00412BD0">
        <w:rPr>
          <w:rFonts w:cs="Times New Roman"/>
          <w:i/>
        </w:rPr>
        <w:t xml:space="preserve"> </w:t>
      </w:r>
      <w:r w:rsidRPr="00412BD0">
        <w:rPr>
          <w:rFonts w:cs="Times New Roman"/>
          <w:lang w:val="en-US"/>
        </w:rPr>
        <w:t>15, no. 1 (2012)</w:t>
      </w:r>
      <w:r w:rsidRPr="00412BD0">
        <w:rPr>
          <w:rFonts w:cs="Times New Roman"/>
        </w:rPr>
        <w:t xml:space="preserve">: </w:t>
      </w:r>
      <w:r w:rsidRPr="00412BD0">
        <w:rPr>
          <w:rFonts w:cs="Times New Roman"/>
          <w:lang w:val="en-US"/>
        </w:rPr>
        <w:t xml:space="preserve">157; Kyla </w:t>
      </w:r>
      <w:proofErr w:type="spellStart"/>
      <w:r w:rsidRPr="00412BD0">
        <w:rPr>
          <w:rFonts w:cs="Times New Roman"/>
          <w:lang w:val="en-US"/>
        </w:rPr>
        <w:t>Tienhaara</w:t>
      </w:r>
      <w:proofErr w:type="spellEnd"/>
      <w:r w:rsidRPr="00412BD0">
        <w:rPr>
          <w:rFonts w:cs="Times New Roman"/>
          <w:lang w:val="en-US"/>
        </w:rPr>
        <w:t>, “</w:t>
      </w:r>
      <w:r w:rsidRPr="00412BD0">
        <w:rPr>
          <w:rFonts w:cs="Times New Roman"/>
          <w:bCs/>
          <w:lang w:val="en-US"/>
        </w:rPr>
        <w:t xml:space="preserve">Regulatory </w:t>
      </w:r>
      <w:r w:rsidRPr="00412BD0">
        <w:rPr>
          <w:rFonts w:cs="Times New Roman"/>
          <w:bCs/>
        </w:rPr>
        <w:t>C</w:t>
      </w:r>
      <w:r w:rsidRPr="00412BD0">
        <w:rPr>
          <w:rFonts w:cs="Times New Roman"/>
          <w:bCs/>
          <w:lang w:val="en-US"/>
        </w:rPr>
        <w:t xml:space="preserve">hill and the Threat of Arbitration: A View </w:t>
      </w:r>
      <w:proofErr w:type="gramStart"/>
      <w:r w:rsidRPr="00412BD0">
        <w:rPr>
          <w:rFonts w:cs="Times New Roman"/>
          <w:bCs/>
        </w:rPr>
        <w:t>F</w:t>
      </w:r>
      <w:r w:rsidRPr="00412BD0">
        <w:rPr>
          <w:rFonts w:cs="Times New Roman"/>
          <w:bCs/>
          <w:lang w:val="en-US"/>
        </w:rPr>
        <w:t>rom</w:t>
      </w:r>
      <w:proofErr w:type="gramEnd"/>
      <w:r w:rsidRPr="00412BD0">
        <w:rPr>
          <w:rFonts w:cs="Times New Roman"/>
          <w:bCs/>
          <w:lang w:val="en-US"/>
        </w:rPr>
        <w:t xml:space="preserve"> Political Science,” in </w:t>
      </w:r>
      <w:r w:rsidRPr="00412BD0">
        <w:rPr>
          <w:rFonts w:cs="Times New Roman"/>
          <w:bCs/>
          <w:i/>
          <w:lang w:val="en-US"/>
        </w:rPr>
        <w:t>Evolution in Investment Treaty Law and Arbitration</w:t>
      </w:r>
      <w:r w:rsidRPr="00412BD0">
        <w:rPr>
          <w:rFonts w:cs="Times New Roman"/>
          <w:bCs/>
          <w:i/>
        </w:rPr>
        <w:t xml:space="preserve">, </w:t>
      </w:r>
      <w:r w:rsidRPr="00412BD0">
        <w:rPr>
          <w:rFonts w:cs="Times New Roman"/>
          <w:bCs/>
        </w:rPr>
        <w:t>ed.</w:t>
      </w:r>
      <w:r w:rsidRPr="00412BD0">
        <w:rPr>
          <w:rFonts w:cs="Times New Roman"/>
          <w:bCs/>
          <w:lang w:val="en-US"/>
        </w:rPr>
        <w:t xml:space="preserve"> </w:t>
      </w:r>
      <w:r w:rsidRPr="00412BD0">
        <w:rPr>
          <w:rFonts w:cs="Times New Roman"/>
          <w:bCs/>
        </w:rPr>
        <w:t xml:space="preserve">Chester </w:t>
      </w:r>
      <w:r w:rsidRPr="00412BD0">
        <w:rPr>
          <w:rFonts w:cs="Times New Roman"/>
          <w:bCs/>
          <w:lang w:val="en-US"/>
        </w:rPr>
        <w:t>Brown and K</w:t>
      </w:r>
      <w:r w:rsidRPr="00412BD0">
        <w:rPr>
          <w:rFonts w:cs="Times New Roman"/>
          <w:bCs/>
        </w:rPr>
        <w:t>ate</w:t>
      </w:r>
      <w:r w:rsidRPr="00412BD0">
        <w:rPr>
          <w:rFonts w:cs="Times New Roman"/>
          <w:bCs/>
          <w:lang w:val="en-US"/>
        </w:rPr>
        <w:t xml:space="preserve"> Miles</w:t>
      </w:r>
      <w:r w:rsidRPr="00412BD0">
        <w:rPr>
          <w:rFonts w:cs="Times New Roman"/>
          <w:bCs/>
        </w:rPr>
        <w:t xml:space="preserve"> (</w:t>
      </w:r>
      <w:r w:rsidRPr="00412BD0">
        <w:rPr>
          <w:rFonts w:cs="Times New Roman"/>
          <w:bCs/>
          <w:lang w:val="en-US"/>
        </w:rPr>
        <w:t>Cambridge: Cambridge University Press, 2011), 606-628.</w:t>
      </w:r>
    </w:p>
  </w:footnote>
  <w:footnote w:id="61">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 xml:space="preserve">It has been reported that </w:t>
      </w:r>
      <w:r w:rsidRPr="00412BD0">
        <w:rPr>
          <w:rFonts w:cs="Times New Roman"/>
          <w:lang w:val="en-US"/>
        </w:rPr>
        <w:t>suggestions for a stronger articulation of environmental and sustainability requirements in the EU Renewable Energy Directive failed to make way into the final version of the document since a compromise had to be made between the EU’s commitment to environment protection and sustainable development and its obligations under multilateral trade agreements</w:t>
      </w:r>
      <w:r w:rsidR="0014779D" w:rsidRPr="00412BD0">
        <w:rPr>
          <w:rFonts w:cs="Times New Roman"/>
          <w:lang w:val="en-US"/>
        </w:rPr>
        <w:fldChar w:fldCharType="begin"/>
      </w:r>
      <w:r w:rsidRPr="00412BD0">
        <w:instrText xml:space="preserve"> XE "</w:instrText>
      </w:r>
      <w:r w:rsidRPr="00412BD0">
        <w:rPr>
          <w:lang w:val="en-US"/>
        </w:rPr>
        <w:instrText>t</w:instrText>
      </w:r>
      <w:r w:rsidRPr="00412BD0">
        <w:rPr>
          <w:spacing w:val="-1"/>
          <w:lang w:val="en-US"/>
        </w:rPr>
        <w:instrText>ra</w:instrText>
      </w:r>
      <w:r w:rsidRPr="00412BD0">
        <w:rPr>
          <w:spacing w:val="2"/>
          <w:lang w:val="en-US"/>
        </w:rPr>
        <w:instrText>d</w:instrText>
      </w:r>
      <w:r w:rsidRPr="00412BD0">
        <w:rPr>
          <w:lang w:val="en-US"/>
        </w:rPr>
        <w:instrText>e</w:instrText>
      </w:r>
      <w:r w:rsidRPr="00412BD0">
        <w:rPr>
          <w:spacing w:val="-1"/>
          <w:lang w:val="en-US"/>
        </w:rPr>
        <w:instrText xml:space="preserve"> </w:instrText>
      </w:r>
      <w:r w:rsidRPr="00412BD0">
        <w:rPr>
          <w:spacing w:val="3"/>
          <w:lang w:val="en-US"/>
        </w:rPr>
        <w:instrText>a</w:instrText>
      </w:r>
      <w:r w:rsidRPr="00412BD0">
        <w:rPr>
          <w:spacing w:val="-3"/>
          <w:lang w:val="en-US"/>
        </w:rPr>
        <w:instrText>g</w:instrText>
      </w:r>
      <w:r w:rsidRPr="00412BD0">
        <w:rPr>
          <w:lang w:val="en-US"/>
        </w:rPr>
        <w:instrText>re</w:instrText>
      </w:r>
      <w:r w:rsidRPr="00412BD0">
        <w:rPr>
          <w:spacing w:val="-1"/>
          <w:lang w:val="en-US"/>
        </w:rPr>
        <w:instrText>e</w:instrText>
      </w:r>
      <w:r w:rsidRPr="00412BD0">
        <w:rPr>
          <w:lang w:val="en-US"/>
        </w:rPr>
        <w:instrText>ments</w:instrText>
      </w:r>
      <w:r w:rsidRPr="00412BD0">
        <w:instrText xml:space="preserve">" </w:instrText>
      </w:r>
      <w:r w:rsidR="0014779D" w:rsidRPr="00412BD0">
        <w:rPr>
          <w:rFonts w:cs="Times New Roman"/>
          <w:lang w:val="en-US"/>
        </w:rPr>
        <w:fldChar w:fldCharType="end"/>
      </w:r>
      <w:r w:rsidRPr="00412BD0">
        <w:rPr>
          <w:rFonts w:cs="Times New Roman"/>
          <w:lang w:val="en-US"/>
        </w:rPr>
        <w:t>.</w:t>
      </w:r>
      <w:r w:rsidRPr="00412BD0">
        <w:rPr>
          <w:rFonts w:cs="Times New Roman"/>
        </w:rPr>
        <w:t xml:space="preserve"> </w:t>
      </w:r>
      <w:r w:rsidRPr="00412BD0">
        <w:rPr>
          <w:rFonts w:cs="Times New Roman"/>
          <w:lang w:val="en-US"/>
        </w:rPr>
        <w:t>The European Commission</w:t>
      </w:r>
      <w:r w:rsidR="0014779D" w:rsidRPr="00412BD0">
        <w:rPr>
          <w:rFonts w:cs="Times New Roman"/>
          <w:lang w:val="en-US"/>
        </w:rPr>
        <w:fldChar w:fldCharType="begin"/>
      </w:r>
      <w:r w:rsidRPr="00412BD0">
        <w:instrText xml:space="preserve"> XE "</w:instrText>
      </w:r>
      <w:r w:rsidRPr="00412BD0">
        <w:rPr>
          <w:lang w:val="en-US"/>
        </w:rPr>
        <w:instrText>European Commission</w:instrText>
      </w:r>
      <w:r w:rsidRPr="00412BD0">
        <w:instrText xml:space="preserve">" </w:instrText>
      </w:r>
      <w:r w:rsidR="0014779D" w:rsidRPr="00412BD0">
        <w:rPr>
          <w:rFonts w:cs="Times New Roman"/>
          <w:lang w:val="en-US"/>
        </w:rPr>
        <w:fldChar w:fldCharType="end"/>
      </w:r>
      <w:r w:rsidRPr="00412BD0">
        <w:rPr>
          <w:rFonts w:cs="Times New Roman"/>
          <w:lang w:val="en-US"/>
        </w:rPr>
        <w:t xml:space="preserve"> has acknowledged that the desire to prevent claims under WTO</w:t>
      </w:r>
      <w:r w:rsidR="0014779D" w:rsidRPr="00412BD0">
        <w:rPr>
          <w:rFonts w:cs="Times New Roman"/>
          <w:lang w:val="en-US"/>
        </w:rPr>
        <w:fldChar w:fldCharType="begin"/>
      </w:r>
      <w:r w:rsidRPr="00412BD0">
        <w:instrText xml:space="preserve"> XE "</w:instrText>
      </w:r>
      <w:r w:rsidRPr="00412BD0">
        <w:rPr>
          <w:lang w:val="en-US"/>
        </w:rPr>
        <w:instrText>WTO</w:instrText>
      </w:r>
      <w:r w:rsidRPr="00412BD0">
        <w:instrText xml:space="preserve">" </w:instrText>
      </w:r>
      <w:r w:rsidR="0014779D" w:rsidRPr="00412BD0">
        <w:rPr>
          <w:rFonts w:cs="Times New Roman"/>
          <w:lang w:val="en-US"/>
        </w:rPr>
        <w:fldChar w:fldCharType="end"/>
      </w:r>
      <w:r w:rsidRPr="00412BD0">
        <w:rPr>
          <w:rFonts w:cs="Times New Roman"/>
          <w:lang w:val="en-US"/>
        </w:rPr>
        <w:t xml:space="preserve"> law was a motivating factor for not adopting stronger criteria.</w:t>
      </w:r>
      <w:r w:rsidRPr="00412BD0">
        <w:rPr>
          <w:rFonts w:cs="Times New Roman"/>
        </w:rPr>
        <w:t xml:space="preserve"> See Lydgate, </w:t>
      </w:r>
      <w:r w:rsidRPr="00412BD0">
        <w:rPr>
          <w:rFonts w:cs="Times New Roman"/>
          <w:i/>
        </w:rPr>
        <w:t>Biofuels</w:t>
      </w:r>
      <w:r w:rsidRPr="00412BD0">
        <w:rPr>
          <w:rFonts w:cs="Times New Roman"/>
        </w:rPr>
        <w:t>, 164.</w:t>
      </w:r>
    </w:p>
  </w:footnote>
  <w:footnote w:id="62">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proofErr w:type="spellStart"/>
      <w:proofErr w:type="gramStart"/>
      <w:r w:rsidRPr="00412BD0">
        <w:rPr>
          <w:rFonts w:cs="Times New Roman"/>
        </w:rPr>
        <w:t>Poulsen</w:t>
      </w:r>
      <w:proofErr w:type="spellEnd"/>
      <w:r w:rsidRPr="00412BD0">
        <w:rPr>
          <w:rFonts w:cs="Times New Roman"/>
        </w:rPr>
        <w:t xml:space="preserve"> and </w:t>
      </w:r>
      <w:proofErr w:type="spellStart"/>
      <w:r w:rsidRPr="00412BD0">
        <w:rPr>
          <w:rFonts w:cs="Times New Roman"/>
        </w:rPr>
        <w:t>Aisbett</w:t>
      </w:r>
      <w:proofErr w:type="spellEnd"/>
      <w:r w:rsidRPr="00412BD0">
        <w:rPr>
          <w:rFonts w:cs="Times New Roman"/>
        </w:rPr>
        <w:t xml:space="preserve">, </w:t>
      </w:r>
      <w:r w:rsidRPr="00412BD0">
        <w:rPr>
          <w:rFonts w:cs="Times New Roman"/>
          <w:i/>
        </w:rPr>
        <w:t>When the Claims Hit</w:t>
      </w:r>
      <w:r w:rsidRPr="00412BD0">
        <w:rPr>
          <w:rFonts w:cs="Times New Roman"/>
        </w:rPr>
        <w:t>, 302.</w:t>
      </w:r>
      <w:proofErr w:type="gramEnd"/>
    </w:p>
  </w:footnote>
  <w:footnote w:id="63">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gramStart"/>
      <w:r w:rsidRPr="00412BD0">
        <w:rPr>
          <w:rFonts w:cs="Times New Roman"/>
        </w:rPr>
        <w:t xml:space="preserve">UNCTAD, </w:t>
      </w:r>
      <w:r w:rsidRPr="00412BD0">
        <w:rPr>
          <w:rFonts w:cs="Times New Roman"/>
          <w:i/>
        </w:rPr>
        <w:t>Fair and Equitable Treatment</w:t>
      </w:r>
      <w:r w:rsidRPr="00412BD0">
        <w:rPr>
          <w:rFonts w:cs="Times New Roman"/>
        </w:rPr>
        <w:t>, 12.</w:t>
      </w:r>
      <w:proofErr w:type="gramEnd"/>
    </w:p>
  </w:footnote>
  <w:footnote w:id="64">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Jonathan </w:t>
      </w:r>
      <w:proofErr w:type="spellStart"/>
      <w:r w:rsidRPr="00412BD0">
        <w:rPr>
          <w:rFonts w:cs="Times New Roman"/>
          <w:lang w:val="en-US"/>
        </w:rPr>
        <w:t>Bonnitcha</w:t>
      </w:r>
      <w:proofErr w:type="spellEnd"/>
      <w:r w:rsidRPr="00412BD0">
        <w:rPr>
          <w:rFonts w:cs="Times New Roman"/>
          <w:lang w:val="en-US"/>
        </w:rPr>
        <w:t xml:space="preserve">, </w:t>
      </w:r>
      <w:r w:rsidRPr="00412BD0">
        <w:rPr>
          <w:rFonts w:cs="Times New Roman"/>
        </w:rPr>
        <w:t>“</w:t>
      </w:r>
      <w:r w:rsidRPr="00412BD0">
        <w:rPr>
          <w:rFonts w:cs="Times New Roman"/>
          <w:lang w:val="en-US" w:eastAsia="en-GB"/>
        </w:rPr>
        <w:t xml:space="preserve">Outline of a </w:t>
      </w:r>
      <w:r w:rsidRPr="00412BD0">
        <w:rPr>
          <w:rFonts w:cs="Times New Roman"/>
          <w:lang w:eastAsia="en-GB"/>
        </w:rPr>
        <w:t>Normative</w:t>
      </w:r>
      <w:r w:rsidRPr="00412BD0">
        <w:rPr>
          <w:rFonts w:cs="Times New Roman"/>
          <w:lang w:val="en-US" w:eastAsia="en-GB"/>
        </w:rPr>
        <w:t xml:space="preserve"> </w:t>
      </w:r>
      <w:r w:rsidRPr="00412BD0">
        <w:rPr>
          <w:rFonts w:cs="Times New Roman"/>
          <w:lang w:eastAsia="en-GB"/>
        </w:rPr>
        <w:t>Framework</w:t>
      </w:r>
      <w:r w:rsidRPr="00412BD0">
        <w:rPr>
          <w:rFonts w:cs="Times New Roman"/>
          <w:lang w:val="en-US" w:eastAsia="en-GB"/>
        </w:rPr>
        <w:t xml:space="preserve"> for </w:t>
      </w:r>
      <w:r w:rsidRPr="00412BD0">
        <w:rPr>
          <w:rFonts w:cs="Times New Roman"/>
          <w:lang w:eastAsia="en-GB"/>
        </w:rPr>
        <w:t>E</w:t>
      </w:r>
      <w:r w:rsidRPr="00412BD0">
        <w:rPr>
          <w:rFonts w:cs="Times New Roman"/>
          <w:lang w:val="en-US" w:eastAsia="en-GB"/>
        </w:rPr>
        <w:t xml:space="preserve">valuating </w:t>
      </w:r>
      <w:r w:rsidRPr="00412BD0">
        <w:rPr>
          <w:rFonts w:cs="Times New Roman"/>
          <w:lang w:eastAsia="en-GB"/>
        </w:rPr>
        <w:t>Interpretations</w:t>
      </w:r>
      <w:r w:rsidRPr="00412BD0">
        <w:rPr>
          <w:rFonts w:cs="Times New Roman"/>
          <w:lang w:val="en-US" w:eastAsia="en-GB"/>
        </w:rPr>
        <w:t xml:space="preserve"> of </w:t>
      </w:r>
      <w:r w:rsidRPr="00412BD0">
        <w:rPr>
          <w:rFonts w:cs="Times New Roman"/>
          <w:lang w:eastAsia="en-GB"/>
        </w:rPr>
        <w:t>Investment</w:t>
      </w:r>
      <w:r w:rsidRPr="00412BD0">
        <w:rPr>
          <w:rFonts w:cs="Times New Roman"/>
          <w:lang w:val="en-US" w:eastAsia="en-GB"/>
        </w:rPr>
        <w:t xml:space="preserve"> </w:t>
      </w:r>
      <w:r w:rsidRPr="00412BD0">
        <w:rPr>
          <w:rFonts w:cs="Times New Roman"/>
          <w:lang w:eastAsia="en-GB"/>
        </w:rPr>
        <w:t>Treaty</w:t>
      </w:r>
      <w:r w:rsidRPr="00412BD0">
        <w:rPr>
          <w:rFonts w:cs="Times New Roman"/>
          <w:lang w:val="en-US" w:eastAsia="en-GB"/>
        </w:rPr>
        <w:t xml:space="preserve"> </w:t>
      </w:r>
      <w:r w:rsidRPr="00412BD0">
        <w:rPr>
          <w:rFonts w:cs="Times New Roman"/>
          <w:lang w:eastAsia="en-GB"/>
        </w:rPr>
        <w:t>Protections”</w:t>
      </w:r>
      <w:r w:rsidRPr="00412BD0">
        <w:rPr>
          <w:rFonts w:cs="Times New Roman"/>
          <w:lang w:val="en-US" w:eastAsia="en-GB"/>
        </w:rPr>
        <w:t xml:space="preserve"> in </w:t>
      </w:r>
      <w:r w:rsidRPr="00412BD0">
        <w:rPr>
          <w:rFonts w:cs="Times New Roman"/>
          <w:bCs/>
          <w:i/>
          <w:lang w:val="en-US"/>
        </w:rPr>
        <w:t>Evolution in Investment Treaty Law and Arbitration</w:t>
      </w:r>
      <w:r w:rsidRPr="00412BD0">
        <w:rPr>
          <w:rFonts w:cs="Times New Roman"/>
          <w:bCs/>
          <w:i/>
        </w:rPr>
        <w:t xml:space="preserve">, </w:t>
      </w:r>
      <w:r w:rsidRPr="00412BD0">
        <w:rPr>
          <w:rFonts w:cs="Times New Roman"/>
          <w:bCs/>
        </w:rPr>
        <w:t>ed.</w:t>
      </w:r>
      <w:r w:rsidRPr="00412BD0">
        <w:rPr>
          <w:rFonts w:cs="Times New Roman"/>
          <w:bCs/>
          <w:lang w:val="en-US"/>
        </w:rPr>
        <w:t xml:space="preserve"> </w:t>
      </w:r>
      <w:r w:rsidRPr="00412BD0">
        <w:rPr>
          <w:rFonts w:cs="Times New Roman"/>
          <w:bCs/>
        </w:rPr>
        <w:t xml:space="preserve">Chester </w:t>
      </w:r>
      <w:r w:rsidRPr="00412BD0">
        <w:rPr>
          <w:rFonts w:cs="Times New Roman"/>
          <w:bCs/>
          <w:lang w:val="en-US"/>
        </w:rPr>
        <w:t>Brown and K</w:t>
      </w:r>
      <w:r w:rsidRPr="00412BD0">
        <w:rPr>
          <w:rFonts w:cs="Times New Roman"/>
          <w:bCs/>
        </w:rPr>
        <w:t>ate</w:t>
      </w:r>
      <w:r w:rsidRPr="00412BD0">
        <w:rPr>
          <w:rFonts w:cs="Times New Roman"/>
          <w:bCs/>
          <w:lang w:val="en-US"/>
        </w:rPr>
        <w:t xml:space="preserve"> Miles (Cambridge: Cambridge University Press, 2011), </w:t>
      </w:r>
      <w:r w:rsidRPr="00412BD0">
        <w:rPr>
          <w:rFonts w:cs="Times New Roman"/>
          <w:lang w:val="en-US"/>
        </w:rPr>
        <w:t>128</w:t>
      </w:r>
      <w:r w:rsidRPr="00412BD0">
        <w:rPr>
          <w:rFonts w:cs="Times New Roman"/>
          <w:bCs/>
        </w:rPr>
        <w:t>.</w:t>
      </w:r>
    </w:p>
  </w:footnote>
  <w:footnote w:id="65">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gramStart"/>
      <w:r w:rsidRPr="00412BD0">
        <w:rPr>
          <w:rFonts w:cs="Times New Roman"/>
        </w:rPr>
        <w:t xml:space="preserve">Ginsburg, </w:t>
      </w:r>
      <w:r w:rsidRPr="00412BD0">
        <w:rPr>
          <w:rFonts w:cs="Times New Roman"/>
          <w:i/>
        </w:rPr>
        <w:t>International Substitutes for Domestic Institutions</w:t>
      </w:r>
      <w:r w:rsidRPr="00412BD0">
        <w:rPr>
          <w:rFonts w:cs="Times New Roman"/>
        </w:rPr>
        <w:t>, 121.</w:t>
      </w:r>
      <w:proofErr w:type="gramEnd"/>
    </w:p>
  </w:footnote>
  <w:footnote w:id="66">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See </w:t>
      </w:r>
      <w:r w:rsidRPr="00412BD0">
        <w:rPr>
          <w:rFonts w:cs="Times New Roman"/>
          <w:lang w:val="en-US" w:eastAsia="en-GB"/>
        </w:rPr>
        <w:t xml:space="preserve">Michael </w:t>
      </w:r>
      <w:proofErr w:type="spellStart"/>
      <w:r w:rsidRPr="00412BD0">
        <w:rPr>
          <w:rFonts w:cs="Times New Roman"/>
          <w:lang w:val="en-US" w:eastAsia="en-GB"/>
        </w:rPr>
        <w:t>Waibel</w:t>
      </w:r>
      <w:proofErr w:type="spellEnd"/>
      <w:r w:rsidRPr="00412BD0">
        <w:rPr>
          <w:rFonts w:cs="Times New Roman"/>
          <w:lang w:val="en-US" w:eastAsia="en-GB"/>
        </w:rPr>
        <w:t xml:space="preserve"> et al, ed., </w:t>
      </w:r>
      <w:r w:rsidRPr="00412BD0">
        <w:rPr>
          <w:rFonts w:cs="Times New Roman"/>
          <w:i/>
          <w:lang w:val="en-US" w:eastAsia="en-GB"/>
        </w:rPr>
        <w:t xml:space="preserve">The Backlash against Investment Arbitration </w:t>
      </w:r>
      <w:r w:rsidRPr="00412BD0">
        <w:rPr>
          <w:rFonts w:cs="Times New Roman"/>
          <w:lang w:val="en-US" w:eastAsia="en-GB"/>
        </w:rPr>
        <w:t xml:space="preserve">(Alphen </w:t>
      </w:r>
      <w:proofErr w:type="spellStart"/>
      <w:r w:rsidRPr="00412BD0">
        <w:rPr>
          <w:rFonts w:cs="Times New Roman"/>
          <w:lang w:val="en-US" w:eastAsia="en-GB"/>
        </w:rPr>
        <w:t>aan</w:t>
      </w:r>
      <w:proofErr w:type="spellEnd"/>
      <w:r w:rsidRPr="00412BD0">
        <w:rPr>
          <w:rFonts w:cs="Times New Roman"/>
          <w:lang w:val="en-US" w:eastAsia="en-GB"/>
        </w:rPr>
        <w:t xml:space="preserve"> den Rijn: Kluwer Law International, 2010)</w:t>
      </w:r>
      <w:r w:rsidRPr="00412BD0">
        <w:rPr>
          <w:rFonts w:cs="Times New Roman"/>
          <w:lang w:eastAsia="en-GB"/>
        </w:rPr>
        <w:t>.</w:t>
      </w:r>
    </w:p>
  </w:footnote>
  <w:footnote w:id="67">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r w:rsidRPr="00412BD0">
        <w:rPr>
          <w:rFonts w:cs="Times New Roman"/>
        </w:rPr>
        <w:t>Celine</w:t>
      </w:r>
      <w:r w:rsidRPr="00412BD0">
        <w:rPr>
          <w:rFonts w:cs="Times New Roman"/>
          <w:lang w:val="en-US"/>
        </w:rPr>
        <w:t xml:space="preserve"> Tan</w:t>
      </w:r>
      <w:r w:rsidRPr="00412BD0">
        <w:rPr>
          <w:rFonts w:cs="Times New Roman"/>
        </w:rPr>
        <w:t xml:space="preserve">, “The New Disciplinary Framework: Conditionality, New Aid Architecture and Global Economic Governance” in </w:t>
      </w:r>
      <w:r w:rsidRPr="00412BD0">
        <w:rPr>
          <w:rFonts w:cs="Times New Roman"/>
          <w:bCs/>
          <w:i/>
        </w:rPr>
        <w:t>International economic law, globalization and developing countries</w:t>
      </w:r>
      <w:r w:rsidRPr="00412BD0">
        <w:rPr>
          <w:rFonts w:cs="Times New Roman"/>
          <w:bCs/>
        </w:rPr>
        <w:t xml:space="preserve">, ed. Celine Tan and Julio </w:t>
      </w:r>
      <w:proofErr w:type="spellStart"/>
      <w:r w:rsidRPr="00412BD0">
        <w:rPr>
          <w:rFonts w:cs="Times New Roman"/>
          <w:bCs/>
        </w:rPr>
        <w:t>Faundez</w:t>
      </w:r>
      <w:proofErr w:type="spellEnd"/>
      <w:r w:rsidRPr="00412BD0">
        <w:rPr>
          <w:rFonts w:cs="Times New Roman"/>
          <w:bCs/>
        </w:rPr>
        <w:t xml:space="preserve"> (</w:t>
      </w:r>
      <w:r w:rsidRPr="00412BD0">
        <w:rPr>
          <w:rFonts w:cs="Times New Roman"/>
        </w:rPr>
        <w:t>Cheltenham: Edward Elgar, 2010), 122.</w:t>
      </w:r>
    </w:p>
  </w:footnote>
  <w:footnote w:id="68">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 xml:space="preserve">Kingsbury, </w:t>
      </w:r>
      <w:proofErr w:type="spellStart"/>
      <w:r w:rsidRPr="00412BD0">
        <w:rPr>
          <w:rFonts w:cs="Times New Roman"/>
        </w:rPr>
        <w:t>Krisch</w:t>
      </w:r>
      <w:proofErr w:type="spellEnd"/>
      <w:r w:rsidRPr="00412BD0">
        <w:rPr>
          <w:rFonts w:cs="Times New Roman"/>
        </w:rPr>
        <w:t xml:space="preserve"> and Stewart, </w:t>
      </w:r>
      <w:proofErr w:type="gramStart"/>
      <w:r w:rsidRPr="00412BD0">
        <w:rPr>
          <w:rFonts w:cs="Times New Roman"/>
          <w:i/>
        </w:rPr>
        <w:t>The</w:t>
      </w:r>
      <w:proofErr w:type="gramEnd"/>
      <w:r w:rsidRPr="00412BD0">
        <w:rPr>
          <w:rFonts w:cs="Times New Roman"/>
          <w:i/>
        </w:rPr>
        <w:t xml:space="preserve"> Emergence of Global Administrative Law</w:t>
      </w:r>
      <w:r w:rsidRPr="00412BD0">
        <w:rPr>
          <w:rFonts w:cs="Times New Roman"/>
        </w:rPr>
        <w:t>, 37.</w:t>
      </w:r>
    </w:p>
  </w:footnote>
  <w:footnote w:id="69">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Frank </w:t>
      </w:r>
      <w:proofErr w:type="spellStart"/>
      <w:r w:rsidRPr="00412BD0">
        <w:rPr>
          <w:rFonts w:cs="Times New Roman"/>
          <w:lang w:val="en-US"/>
        </w:rPr>
        <w:t>Schimmelfennig</w:t>
      </w:r>
      <w:proofErr w:type="spellEnd"/>
      <w:r w:rsidRPr="00412BD0">
        <w:rPr>
          <w:rFonts w:cs="Times New Roman"/>
          <w:lang w:val="en-US"/>
        </w:rPr>
        <w:t xml:space="preserve"> and Ulrich </w:t>
      </w:r>
      <w:proofErr w:type="spellStart"/>
      <w:r w:rsidRPr="00412BD0">
        <w:rPr>
          <w:rFonts w:cs="Times New Roman"/>
          <w:lang w:val="en-US"/>
        </w:rPr>
        <w:t>Sedelmayer</w:t>
      </w:r>
      <w:proofErr w:type="spellEnd"/>
      <w:r w:rsidRPr="00412BD0">
        <w:rPr>
          <w:rFonts w:cs="Times New Roman"/>
          <w:lang w:val="en-US"/>
        </w:rPr>
        <w:t xml:space="preserve">, </w:t>
      </w:r>
      <w:r w:rsidRPr="00412BD0">
        <w:rPr>
          <w:rFonts w:cs="Times New Roman"/>
        </w:rPr>
        <w:t>“</w:t>
      </w:r>
      <w:r w:rsidRPr="00412BD0">
        <w:rPr>
          <w:rFonts w:cs="Times New Roman"/>
          <w:lang w:val="en-US"/>
        </w:rPr>
        <w:t>Governance by Conditionality: EU Rule Transfer to the Candidate Countries of Central and Eastern Europe</w:t>
      </w:r>
      <w:r w:rsidRPr="00412BD0">
        <w:rPr>
          <w:rFonts w:cs="Times New Roman"/>
        </w:rPr>
        <w:t>,”</w:t>
      </w:r>
      <w:r w:rsidRPr="00412BD0">
        <w:rPr>
          <w:rFonts w:cs="Times New Roman"/>
          <w:lang w:val="en-US"/>
        </w:rPr>
        <w:t xml:space="preserve"> </w:t>
      </w:r>
      <w:r w:rsidRPr="00412BD0">
        <w:rPr>
          <w:rFonts w:cs="Times New Roman"/>
          <w:i/>
          <w:lang w:val="en-US"/>
        </w:rPr>
        <w:t>Journal of European Public Policy</w:t>
      </w:r>
      <w:r w:rsidRPr="00412BD0">
        <w:rPr>
          <w:rFonts w:cs="Times New Roman"/>
          <w:lang w:val="en-US"/>
        </w:rPr>
        <w:t xml:space="preserve"> 11, no. 4</w:t>
      </w:r>
      <w:r w:rsidRPr="00412BD0">
        <w:rPr>
          <w:rFonts w:cs="Times New Roman"/>
        </w:rPr>
        <w:t xml:space="preserve"> (2004): </w:t>
      </w:r>
      <w:r w:rsidRPr="00412BD0">
        <w:rPr>
          <w:rFonts w:cs="Times New Roman"/>
          <w:lang w:val="en-US"/>
        </w:rPr>
        <w:t>66</w:t>
      </w:r>
      <w:r w:rsidRPr="00412BD0">
        <w:rPr>
          <w:rFonts w:cs="Times New Roman"/>
        </w:rPr>
        <w:t>2.</w:t>
      </w:r>
    </w:p>
  </w:footnote>
  <w:footnote w:id="70">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gramStart"/>
      <w:r w:rsidRPr="00412BD0">
        <w:rPr>
          <w:rFonts w:cs="Times New Roman"/>
          <w:i/>
        </w:rPr>
        <w:t>Ibid</w:t>
      </w:r>
      <w:r w:rsidRPr="00412BD0">
        <w:rPr>
          <w:rFonts w:cs="Times New Roman"/>
        </w:rPr>
        <w:t>.</w:t>
      </w:r>
      <w:proofErr w:type="gramEnd"/>
      <w:r w:rsidRPr="00412BD0">
        <w:rPr>
          <w:rFonts w:cs="Times New Roman"/>
        </w:rPr>
        <w:t xml:space="preserve"> </w:t>
      </w:r>
    </w:p>
  </w:footnote>
  <w:footnote w:id="71">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rPr>
        <w:t xml:space="preserve">See Article 3.7 of the </w:t>
      </w:r>
      <w:r w:rsidRPr="00412BD0">
        <w:rPr>
          <w:rFonts w:cs="Times New Roman"/>
          <w:lang w:val="en-US"/>
        </w:rPr>
        <w:t>Understanding on Rules and Procedures Governing the Settlement of Disputes</w:t>
      </w:r>
      <w:r w:rsidRPr="00412BD0">
        <w:rPr>
          <w:rFonts w:cs="Times New Roman"/>
        </w:rPr>
        <w:t xml:space="preserve">, Annex 2 of the Marrakesh Agreement Establishing the World Trade Organization, Apr. 15, 1994, </w:t>
      </w:r>
      <w:proofErr w:type="gramStart"/>
      <w:r w:rsidRPr="00412BD0">
        <w:rPr>
          <w:rFonts w:cs="Times New Roman"/>
        </w:rPr>
        <w:t>1867</w:t>
      </w:r>
      <w:proofErr w:type="gramEnd"/>
      <w:r w:rsidRPr="00412BD0">
        <w:rPr>
          <w:rFonts w:cs="Times New Roman"/>
        </w:rPr>
        <w:t xml:space="preserve"> U.N.T.S. 154.  See also, Peter van den </w:t>
      </w:r>
      <w:proofErr w:type="spellStart"/>
      <w:r w:rsidRPr="00412BD0">
        <w:rPr>
          <w:rFonts w:cs="Times New Roman"/>
        </w:rPr>
        <w:t>Bossche</w:t>
      </w:r>
      <w:proofErr w:type="spellEnd"/>
      <w:r w:rsidRPr="00412BD0">
        <w:rPr>
          <w:rFonts w:cs="Times New Roman"/>
        </w:rPr>
        <w:t xml:space="preserve">, </w:t>
      </w:r>
      <w:r w:rsidRPr="00412BD0">
        <w:rPr>
          <w:rFonts w:cs="Times New Roman"/>
          <w:i/>
        </w:rPr>
        <w:t>The Law and Policy of the World Trade Organization: Text, Cases and Materials</w:t>
      </w:r>
      <w:r w:rsidRPr="00412BD0">
        <w:rPr>
          <w:rFonts w:cs="Times New Roman"/>
        </w:rPr>
        <w:t>, 2</w:t>
      </w:r>
      <w:r w:rsidRPr="00412BD0">
        <w:rPr>
          <w:rFonts w:cs="Times New Roman"/>
          <w:vertAlign w:val="superscript"/>
        </w:rPr>
        <w:t>nd</w:t>
      </w:r>
      <w:r w:rsidRPr="00412BD0">
        <w:rPr>
          <w:rFonts w:cs="Times New Roman"/>
        </w:rPr>
        <w:t xml:space="preserve"> ed. (Cambridge: Cambridge University Press, 2008), 218-33.</w:t>
      </w:r>
    </w:p>
  </w:footnote>
  <w:footnote w:id="72">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w:t>
      </w:r>
      <w:proofErr w:type="spellStart"/>
      <w:r w:rsidRPr="00412BD0">
        <w:rPr>
          <w:rFonts w:cs="Times New Roman"/>
          <w:lang w:val="en-US"/>
        </w:rPr>
        <w:t>Joost</w:t>
      </w:r>
      <w:proofErr w:type="spellEnd"/>
      <w:r w:rsidRPr="00412BD0">
        <w:rPr>
          <w:rFonts w:cs="Times New Roman"/>
          <w:lang w:val="en-US"/>
        </w:rPr>
        <w:t xml:space="preserve"> </w:t>
      </w:r>
      <w:proofErr w:type="spellStart"/>
      <w:r w:rsidRPr="00412BD0">
        <w:rPr>
          <w:rFonts w:cs="Times New Roman"/>
          <w:lang w:val="en-US"/>
        </w:rPr>
        <w:t>Pauwelyn</w:t>
      </w:r>
      <w:proofErr w:type="spellEnd"/>
      <w:r w:rsidRPr="00412BD0">
        <w:rPr>
          <w:rFonts w:cs="Times New Roman"/>
          <w:lang w:val="en-US"/>
        </w:rPr>
        <w:t>, “The Calculation and Design of Trade Retaliation in Context: What is the Goal of Suspending WTO</w:t>
      </w:r>
      <w:r w:rsidR="0014779D" w:rsidRPr="00412BD0">
        <w:rPr>
          <w:rFonts w:cs="Times New Roman"/>
          <w:lang w:val="en-US"/>
        </w:rPr>
        <w:fldChar w:fldCharType="begin"/>
      </w:r>
      <w:r w:rsidRPr="00412BD0">
        <w:instrText xml:space="preserve"> XE "</w:instrText>
      </w:r>
      <w:r w:rsidRPr="00412BD0">
        <w:rPr>
          <w:lang w:val="en-US"/>
        </w:rPr>
        <w:instrText>WTO</w:instrText>
      </w:r>
      <w:r w:rsidRPr="00412BD0">
        <w:instrText xml:space="preserve">" </w:instrText>
      </w:r>
      <w:r w:rsidR="0014779D" w:rsidRPr="00412BD0">
        <w:rPr>
          <w:rFonts w:cs="Times New Roman"/>
          <w:lang w:val="en-US"/>
        </w:rPr>
        <w:fldChar w:fldCharType="end"/>
      </w:r>
      <w:r w:rsidRPr="00412BD0">
        <w:rPr>
          <w:rFonts w:cs="Times New Roman"/>
          <w:lang w:val="en-US"/>
        </w:rPr>
        <w:t xml:space="preserve"> obligations?”, in</w:t>
      </w:r>
      <w:r w:rsidRPr="00412BD0">
        <w:rPr>
          <w:rFonts w:cs="Times New Roman"/>
          <w:lang w:val="en-US" w:eastAsia="en-GB"/>
        </w:rPr>
        <w:t xml:space="preserve">, </w:t>
      </w:r>
      <w:r w:rsidRPr="00412BD0">
        <w:rPr>
          <w:rFonts w:cs="Times New Roman"/>
          <w:i/>
          <w:lang w:val="en-US" w:eastAsia="en-GB"/>
        </w:rPr>
        <w:t xml:space="preserve">The Law, Economics and Politics of Retaliation in WTO Dispute Settlement, </w:t>
      </w:r>
      <w:r w:rsidRPr="00412BD0">
        <w:rPr>
          <w:rFonts w:cs="Times New Roman"/>
          <w:lang w:val="en-US" w:eastAsia="en-GB"/>
        </w:rPr>
        <w:t xml:space="preserve">eds. Chad P. </w:t>
      </w:r>
      <w:proofErr w:type="spellStart"/>
      <w:r w:rsidRPr="00412BD0">
        <w:rPr>
          <w:rFonts w:cs="Times New Roman"/>
          <w:lang w:val="en-US" w:eastAsia="en-GB"/>
        </w:rPr>
        <w:t>Bown</w:t>
      </w:r>
      <w:proofErr w:type="spellEnd"/>
      <w:r w:rsidRPr="00412BD0">
        <w:rPr>
          <w:rFonts w:cs="Times New Roman"/>
          <w:lang w:val="en-US" w:eastAsia="en-GB"/>
        </w:rPr>
        <w:t xml:space="preserve"> and </w:t>
      </w:r>
      <w:proofErr w:type="spellStart"/>
      <w:r w:rsidRPr="00412BD0">
        <w:rPr>
          <w:rFonts w:cs="Times New Roman"/>
          <w:lang w:val="en-US" w:eastAsia="en-GB"/>
        </w:rPr>
        <w:t>Joost</w:t>
      </w:r>
      <w:proofErr w:type="spellEnd"/>
      <w:r w:rsidRPr="00412BD0">
        <w:rPr>
          <w:rFonts w:cs="Times New Roman"/>
          <w:lang w:val="en-US" w:eastAsia="en-GB"/>
        </w:rPr>
        <w:t xml:space="preserve"> </w:t>
      </w:r>
      <w:proofErr w:type="spellStart"/>
      <w:r w:rsidRPr="00412BD0">
        <w:rPr>
          <w:rFonts w:cs="Times New Roman"/>
          <w:lang w:val="en-US" w:eastAsia="en-GB"/>
        </w:rPr>
        <w:t>Pauwelyn</w:t>
      </w:r>
      <w:proofErr w:type="spellEnd"/>
      <w:r w:rsidRPr="00412BD0">
        <w:rPr>
          <w:rFonts w:cs="Times New Roman"/>
          <w:lang w:val="en-US" w:eastAsia="en-GB"/>
        </w:rPr>
        <w:t xml:space="preserve"> (Cambridge University Press, 2010) </w:t>
      </w:r>
      <w:r w:rsidRPr="00412BD0">
        <w:rPr>
          <w:rFonts w:cs="Times New Roman"/>
          <w:lang w:val="en-US"/>
        </w:rPr>
        <w:t>36.</w:t>
      </w:r>
    </w:p>
  </w:footnote>
  <w:footnote w:id="73">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i/>
          <w:lang w:val="en-US"/>
        </w:rPr>
        <w:t>Ibid</w:t>
      </w:r>
      <w:r w:rsidRPr="00412BD0">
        <w:rPr>
          <w:rFonts w:cs="Times New Roman"/>
        </w:rPr>
        <w:t>.</w:t>
      </w:r>
    </w:p>
  </w:footnote>
  <w:footnote w:id="74">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For an overview and discussion of primary and secondary remedies in investment treaty law, see OECD, “</w:t>
      </w:r>
      <w:r w:rsidRPr="00412BD0">
        <w:rPr>
          <w:rFonts w:cs="Times New Roman"/>
          <w:lang w:val="en-US" w:eastAsia="en-GB"/>
        </w:rPr>
        <w:t>Investor-State Dispute Settlement: Summary Reports by Experts at 16</w:t>
      </w:r>
      <w:r w:rsidRPr="00412BD0">
        <w:rPr>
          <w:rFonts w:cs="Times New Roman"/>
          <w:vertAlign w:val="superscript"/>
          <w:lang w:val="en-US" w:eastAsia="en-GB"/>
        </w:rPr>
        <w:t>th</w:t>
      </w:r>
      <w:r w:rsidRPr="00412BD0">
        <w:rPr>
          <w:rFonts w:cs="Times New Roman"/>
          <w:lang w:val="en-US" w:eastAsia="en-GB"/>
        </w:rPr>
        <w:t xml:space="preserve"> Freedom of Information Roundtable”, OECD</w:t>
      </w:r>
      <w:r w:rsidR="0014779D" w:rsidRPr="00412BD0">
        <w:rPr>
          <w:rFonts w:cs="Times New Roman"/>
          <w:lang w:val="en-US" w:eastAsia="en-GB"/>
        </w:rPr>
        <w:fldChar w:fldCharType="begin"/>
      </w:r>
      <w:r w:rsidRPr="00412BD0">
        <w:instrText xml:space="preserve"> XE "</w:instrText>
      </w:r>
      <w:r w:rsidRPr="00412BD0">
        <w:rPr>
          <w:lang w:val="en-US"/>
        </w:rPr>
        <w:instrText>OECD</w:instrText>
      </w:r>
      <w:r w:rsidRPr="00412BD0">
        <w:instrText xml:space="preserve">" </w:instrText>
      </w:r>
      <w:r w:rsidR="0014779D" w:rsidRPr="00412BD0">
        <w:rPr>
          <w:rFonts w:cs="Times New Roman"/>
          <w:lang w:val="en-US" w:eastAsia="en-GB"/>
        </w:rPr>
        <w:fldChar w:fldCharType="end"/>
      </w:r>
      <w:r w:rsidRPr="00412BD0">
        <w:rPr>
          <w:rFonts w:cs="Times New Roman"/>
          <w:lang w:val="en-US" w:eastAsia="en-GB"/>
        </w:rPr>
        <w:t xml:space="preserve">, Investment Division (Mar. 20, 2012), accessed January 30, 2014, </w:t>
      </w:r>
      <w:hyperlink r:id="rId8" w:history="1">
        <w:r w:rsidRPr="00412BD0">
          <w:rPr>
            <w:rStyle w:val="Hyperlink"/>
            <w:lang w:val="en-US" w:eastAsia="en-GB"/>
          </w:rPr>
          <w:t>http://www.oecd.org/daf/inv/investment-policy/50241347.pdf</w:t>
        </w:r>
      </w:hyperlink>
      <w:r w:rsidRPr="00412BD0">
        <w:rPr>
          <w:rFonts w:cs="Times New Roman"/>
          <w:lang w:val="en-US" w:eastAsia="en-GB"/>
        </w:rPr>
        <w:t>.</w:t>
      </w:r>
    </w:p>
  </w:footnote>
  <w:footnote w:id="75">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Rachel Brewster, </w:t>
      </w:r>
      <w:r w:rsidRPr="00412BD0">
        <w:rPr>
          <w:rFonts w:cs="Times New Roman"/>
        </w:rPr>
        <w:t>“</w:t>
      </w:r>
      <w:r w:rsidRPr="00412BD0">
        <w:rPr>
          <w:rFonts w:cs="Times New Roman"/>
          <w:lang w:val="en-US"/>
        </w:rPr>
        <w:t>Pricing Compliance: When Formal Remedies Displace Reputations Sanctions</w:t>
      </w:r>
      <w:r w:rsidRPr="00412BD0">
        <w:rPr>
          <w:rFonts w:cs="Times New Roman"/>
        </w:rPr>
        <w:t>,”</w:t>
      </w:r>
      <w:r w:rsidRPr="00412BD0">
        <w:rPr>
          <w:rFonts w:cs="Times New Roman"/>
          <w:lang w:val="en-US"/>
        </w:rPr>
        <w:t xml:space="preserve"> </w:t>
      </w:r>
      <w:r w:rsidRPr="00412BD0">
        <w:rPr>
          <w:rFonts w:cs="Times New Roman"/>
          <w:i/>
          <w:lang w:val="en-US"/>
        </w:rPr>
        <w:t>Harvard International Law Journal</w:t>
      </w:r>
      <w:r w:rsidRPr="00412BD0">
        <w:rPr>
          <w:rFonts w:cs="Times New Roman"/>
          <w:lang w:val="en-US"/>
        </w:rPr>
        <w:t xml:space="preserve"> 54, no. 2 (2013)</w:t>
      </w:r>
      <w:r w:rsidRPr="00412BD0">
        <w:rPr>
          <w:rFonts w:cs="Times New Roman"/>
        </w:rPr>
        <w:t>:</w:t>
      </w:r>
      <w:r w:rsidRPr="00412BD0">
        <w:rPr>
          <w:rFonts w:cs="Times New Roman"/>
          <w:lang w:val="en-US"/>
        </w:rPr>
        <w:t xml:space="preserve"> 259.</w:t>
      </w:r>
    </w:p>
  </w:footnote>
  <w:footnote w:id="76">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r w:rsidRPr="00412BD0">
        <w:rPr>
          <w:rFonts w:cs="Times New Roman"/>
          <w:i/>
          <w:lang w:val="en-US"/>
        </w:rPr>
        <w:t>Ibid</w:t>
      </w:r>
      <w:r w:rsidRPr="00412BD0">
        <w:rPr>
          <w:rFonts w:cs="Times New Roman"/>
        </w:rPr>
        <w:t xml:space="preserve">, </w:t>
      </w:r>
      <w:r w:rsidRPr="00412BD0">
        <w:rPr>
          <w:rFonts w:cs="Times New Roman"/>
          <w:lang w:val="en-US"/>
        </w:rPr>
        <w:t>271-272</w:t>
      </w:r>
      <w:r w:rsidRPr="00412BD0">
        <w:rPr>
          <w:rFonts w:cs="Times New Roman"/>
        </w:rPr>
        <w:t>.</w:t>
      </w:r>
    </w:p>
  </w:footnote>
  <w:footnote w:id="77">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gramStart"/>
      <w:r w:rsidRPr="00412BD0">
        <w:rPr>
          <w:rFonts w:cs="Times New Roman"/>
          <w:i/>
          <w:lang w:val="en-US"/>
        </w:rPr>
        <w:t>Ibid</w:t>
      </w:r>
      <w:r w:rsidRPr="00412BD0">
        <w:rPr>
          <w:rFonts w:cs="Times New Roman"/>
        </w:rPr>
        <w:t>,</w:t>
      </w:r>
      <w:r w:rsidRPr="00412BD0">
        <w:rPr>
          <w:rFonts w:cs="Times New Roman"/>
          <w:lang w:val="en-US"/>
        </w:rPr>
        <w:t xml:space="preserve"> 294</w:t>
      </w:r>
      <w:r w:rsidRPr="00412BD0">
        <w:rPr>
          <w:rFonts w:cs="Times New Roman"/>
        </w:rPr>
        <w:t>.</w:t>
      </w:r>
      <w:proofErr w:type="gramEnd"/>
    </w:p>
  </w:footnote>
  <w:footnote w:id="78">
    <w:p w:rsidR="00753AD4" w:rsidRPr="00412BD0" w:rsidRDefault="00753AD4" w:rsidP="005F6C2A">
      <w:pPr>
        <w:pStyle w:val="Rfrence"/>
        <w:rPr>
          <w:rFonts w:cs="Times New Roman"/>
        </w:rPr>
      </w:pPr>
      <w:r w:rsidRPr="00412BD0">
        <w:rPr>
          <w:rStyle w:val="FootnoteReference"/>
        </w:rPr>
        <w:footnoteRef/>
      </w:r>
      <w:r w:rsidRPr="00412BD0">
        <w:rPr>
          <w:rFonts w:cs="Times New Roman"/>
          <w:lang w:val="en-US"/>
        </w:rPr>
        <w:t xml:space="preserve"> </w:t>
      </w:r>
      <w:proofErr w:type="gramStart"/>
      <w:r w:rsidRPr="00412BD0">
        <w:rPr>
          <w:rFonts w:cs="Times New Roman"/>
          <w:i/>
          <w:lang w:val="en-US"/>
        </w:rPr>
        <w:t>Ibid</w:t>
      </w:r>
      <w:r w:rsidRPr="00412BD0">
        <w:rPr>
          <w:rFonts w:cs="Times New Roman"/>
        </w:rPr>
        <w:t>,</w:t>
      </w:r>
      <w:r w:rsidRPr="00412BD0">
        <w:rPr>
          <w:rFonts w:cs="Times New Roman"/>
          <w:lang w:val="en-US"/>
        </w:rPr>
        <w:t xml:space="preserve"> 279</w:t>
      </w:r>
      <w:r w:rsidRPr="00412BD0">
        <w:rPr>
          <w:rFonts w:cs="Times New Roman"/>
        </w:rPr>
        <w:t>.</w:t>
      </w:r>
      <w:proofErr w:type="gramEnd"/>
    </w:p>
  </w:footnote>
  <w:footnote w:id="79">
    <w:p w:rsidR="00753AD4" w:rsidRPr="00412BD0"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See, OECD</w:t>
      </w:r>
      <w:r w:rsidR="0014779D" w:rsidRPr="00412BD0">
        <w:rPr>
          <w:rFonts w:cs="Times New Roman"/>
          <w:lang w:val="en-US"/>
        </w:rPr>
        <w:fldChar w:fldCharType="begin"/>
      </w:r>
      <w:r w:rsidRPr="00412BD0">
        <w:instrText xml:space="preserve"> XE "</w:instrText>
      </w:r>
      <w:r w:rsidRPr="00412BD0">
        <w:rPr>
          <w:lang w:val="en-US"/>
        </w:rPr>
        <w:instrText>OECD</w:instrText>
      </w:r>
      <w:r w:rsidRPr="00412BD0">
        <w:instrText xml:space="preserve">" </w:instrText>
      </w:r>
      <w:r w:rsidR="0014779D" w:rsidRPr="00412BD0">
        <w:rPr>
          <w:rFonts w:cs="Times New Roman"/>
          <w:lang w:val="en-US"/>
        </w:rPr>
        <w:fldChar w:fldCharType="end"/>
      </w:r>
      <w:r w:rsidRPr="00412BD0">
        <w:rPr>
          <w:rFonts w:cs="Times New Roman"/>
          <w:lang w:val="en-US"/>
        </w:rPr>
        <w:t xml:space="preserve">, </w:t>
      </w:r>
      <w:r w:rsidRPr="00412BD0">
        <w:rPr>
          <w:rFonts w:cs="Times New Roman"/>
          <w:i/>
          <w:color w:val="000000"/>
          <w:lang w:val="en-US"/>
        </w:rPr>
        <w:t>16</w:t>
      </w:r>
      <w:r w:rsidRPr="00412BD0">
        <w:rPr>
          <w:rFonts w:cs="Times New Roman"/>
          <w:i/>
          <w:color w:val="000000"/>
          <w:vertAlign w:val="superscript"/>
          <w:lang w:val="en-US"/>
        </w:rPr>
        <w:t>th</w:t>
      </w:r>
      <w:r w:rsidRPr="00412BD0">
        <w:rPr>
          <w:rFonts w:cs="Times New Roman"/>
          <w:i/>
          <w:color w:val="000000"/>
          <w:lang w:val="en-US"/>
        </w:rPr>
        <w:t xml:space="preserve"> Freedom of Information Roundtable</w:t>
      </w:r>
      <w:r w:rsidRPr="00412BD0">
        <w:rPr>
          <w:rFonts w:cs="Times New Roman"/>
          <w:color w:val="000000"/>
          <w:lang w:val="en-US"/>
        </w:rPr>
        <w:t>.</w:t>
      </w:r>
    </w:p>
  </w:footnote>
  <w:footnote w:id="80">
    <w:p w:rsidR="00753AD4" w:rsidRPr="00412BD0" w:rsidRDefault="00753AD4" w:rsidP="005F6C2A">
      <w:pPr>
        <w:pStyle w:val="Rfrence"/>
        <w:rPr>
          <w:rFonts w:cs="Times New Roman"/>
        </w:rPr>
      </w:pPr>
      <w:r w:rsidRPr="00412BD0">
        <w:rPr>
          <w:rStyle w:val="FootnoteReference"/>
        </w:rPr>
        <w:footnoteRef/>
      </w:r>
      <w:r w:rsidRPr="00412BD0">
        <w:rPr>
          <w:rFonts w:cs="Times New Roman"/>
        </w:rPr>
        <w:t xml:space="preserve"> </w:t>
      </w:r>
      <w:proofErr w:type="spellStart"/>
      <w:r w:rsidRPr="00412BD0">
        <w:rPr>
          <w:rFonts w:cs="Times New Roman"/>
        </w:rPr>
        <w:t>Christoph</w:t>
      </w:r>
      <w:proofErr w:type="spellEnd"/>
      <w:r w:rsidRPr="00412BD0">
        <w:rPr>
          <w:rFonts w:cs="Times New Roman"/>
        </w:rPr>
        <w:t xml:space="preserve"> </w:t>
      </w:r>
      <w:proofErr w:type="spellStart"/>
      <w:r w:rsidRPr="00412BD0">
        <w:rPr>
          <w:rFonts w:cs="Times New Roman"/>
        </w:rPr>
        <w:t>Schreuer</w:t>
      </w:r>
      <w:proofErr w:type="spellEnd"/>
      <w:r w:rsidRPr="00412BD0">
        <w:rPr>
          <w:rFonts w:cs="Times New Roman"/>
        </w:rPr>
        <w:t xml:space="preserve">, “Non-pecuniary Remedies in ICSID Arbitration” </w:t>
      </w:r>
      <w:r w:rsidRPr="00412BD0">
        <w:rPr>
          <w:rFonts w:cs="Times New Roman"/>
          <w:i/>
        </w:rPr>
        <w:t>Arbitration International</w:t>
      </w:r>
      <w:r w:rsidRPr="00412BD0">
        <w:rPr>
          <w:rFonts w:cs="Times New Roman"/>
        </w:rPr>
        <w:t xml:space="preserve"> 20, no. 4 (2004): 325.</w:t>
      </w:r>
    </w:p>
  </w:footnote>
  <w:footnote w:id="81">
    <w:p w:rsidR="00753AD4" w:rsidRPr="00357D12" w:rsidRDefault="00753AD4" w:rsidP="005F6C2A">
      <w:pPr>
        <w:pStyle w:val="Rfrence"/>
        <w:rPr>
          <w:rFonts w:cs="Times New Roman"/>
          <w:lang w:val="en-US"/>
        </w:rPr>
      </w:pPr>
      <w:r w:rsidRPr="00412BD0">
        <w:rPr>
          <w:rStyle w:val="FootnoteReference"/>
        </w:rPr>
        <w:footnoteRef/>
      </w:r>
      <w:r w:rsidRPr="00412BD0">
        <w:rPr>
          <w:rFonts w:cs="Times New Roman"/>
          <w:lang w:val="en-US"/>
        </w:rPr>
        <w:t xml:space="preserve"> Of more recent cases, see e.g. </w:t>
      </w:r>
      <w:r w:rsidRPr="00412BD0">
        <w:rPr>
          <w:rFonts w:cs="Times New Roman"/>
          <w:i/>
          <w:lang w:val="en-US"/>
        </w:rPr>
        <w:t xml:space="preserve">ATA Construction, Industrial and Trading Company v. </w:t>
      </w:r>
      <w:proofErr w:type="gramStart"/>
      <w:r w:rsidRPr="00412BD0">
        <w:rPr>
          <w:rFonts w:cs="Times New Roman"/>
          <w:i/>
          <w:lang w:val="en-US"/>
        </w:rPr>
        <w:t>The Hashemite Kingdom of Jordan</w:t>
      </w:r>
      <w:r w:rsidRPr="00412BD0">
        <w:rPr>
          <w:rFonts w:cs="Times New Roman"/>
          <w:lang w:val="en-US"/>
        </w:rPr>
        <w:t>, ICSID Case No.</w:t>
      </w:r>
      <w:proofErr w:type="gramEnd"/>
      <w:r w:rsidRPr="00412BD0">
        <w:rPr>
          <w:rFonts w:cs="Times New Roman"/>
          <w:lang w:val="en-US"/>
        </w:rPr>
        <w:t xml:space="preserve"> ARB/08/2, Award (May 12, 2010).</w:t>
      </w:r>
      <w:r w:rsidRPr="00357D12">
        <w:rPr>
          <w:rFonts w:cs="Times New Roman"/>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4570A3"/>
    <w:multiLevelType w:val="hybridMultilevel"/>
    <w:tmpl w:val="2460DB56"/>
    <w:lvl w:ilvl="0" w:tplc="1A72FFDA">
      <w:start w:val="1"/>
      <w:numFmt w:val="lowerLetter"/>
      <w:lvlText w:val="%1)"/>
      <w:lvlJc w:val="left"/>
      <w:pPr>
        <w:ind w:left="1814" w:hanging="396"/>
      </w:pPr>
      <w:rPr>
        <w:rFonts w:hint="default"/>
        <w:b/>
        <w:i/>
        <w:sz w:val="22"/>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
    <w:nsid w:val="015667EB"/>
    <w:multiLevelType w:val="hybridMultilevel"/>
    <w:tmpl w:val="3E743812"/>
    <w:lvl w:ilvl="0" w:tplc="5D9A5204">
      <w:start w:val="1"/>
      <w:numFmt w:val="lowerLetter"/>
      <w:lvlText w:val="%1)"/>
      <w:lvlJc w:val="left"/>
      <w:pPr>
        <w:ind w:left="2130" w:hanging="360"/>
      </w:pPr>
      <w:rPr>
        <w:rFonts w:hint="default"/>
        <w:b/>
        <w:i/>
        <w:sz w:val="22"/>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3">
    <w:nsid w:val="1069432E"/>
    <w:multiLevelType w:val="hybridMultilevel"/>
    <w:tmpl w:val="1A9AD378"/>
    <w:lvl w:ilvl="0" w:tplc="61D4845E">
      <w:start w:val="1"/>
      <w:numFmt w:val="lowerLetter"/>
      <w:lvlText w:val="%1)"/>
      <w:lvlJc w:val="left"/>
      <w:pPr>
        <w:ind w:left="1814" w:hanging="396"/>
      </w:pPr>
      <w:rPr>
        <w:rFonts w:hint="default"/>
        <w:b/>
        <w:i/>
        <w:sz w:val="22"/>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
    <w:nsid w:val="122C5242"/>
    <w:multiLevelType w:val="hybridMultilevel"/>
    <w:tmpl w:val="F60012C6"/>
    <w:lvl w:ilvl="0" w:tplc="392E23B4">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5">
    <w:nsid w:val="1A78287F"/>
    <w:multiLevelType w:val="hybridMultilevel"/>
    <w:tmpl w:val="415CB0EE"/>
    <w:lvl w:ilvl="0" w:tplc="7F520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17426E"/>
    <w:multiLevelType w:val="hybridMultilevel"/>
    <w:tmpl w:val="8CDE9E0A"/>
    <w:lvl w:ilvl="0" w:tplc="58D8D20E">
      <w:start w:val="1"/>
      <w:numFmt w:val="lowerLetter"/>
      <w:lvlText w:val="%1)"/>
      <w:lvlJc w:val="left"/>
      <w:pPr>
        <w:ind w:left="1770" w:hanging="360"/>
      </w:pPr>
      <w:rPr>
        <w:rFonts w:hint="default"/>
        <w:b/>
        <w:i/>
        <w:sz w:val="22"/>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7">
    <w:nsid w:val="1E0E3355"/>
    <w:multiLevelType w:val="hybridMultilevel"/>
    <w:tmpl w:val="A4C0E514"/>
    <w:lvl w:ilvl="0" w:tplc="3676A3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1C006B9"/>
    <w:multiLevelType w:val="hybridMultilevel"/>
    <w:tmpl w:val="C674F0BE"/>
    <w:lvl w:ilvl="0" w:tplc="6744342A">
      <w:start w:val="1"/>
      <w:numFmt w:val="lowerLetter"/>
      <w:lvlText w:val="%1)"/>
      <w:lvlJc w:val="left"/>
      <w:pPr>
        <w:ind w:left="1778" w:hanging="360"/>
      </w:pPr>
      <w:rPr>
        <w:rFonts w:hint="default"/>
        <w:b w:val="0"/>
        <w:i w:val="0"/>
        <w:sz w:val="22"/>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9">
    <w:nsid w:val="25CA66E6"/>
    <w:multiLevelType w:val="hybridMultilevel"/>
    <w:tmpl w:val="F29CCF32"/>
    <w:lvl w:ilvl="0" w:tplc="39DAF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67214B"/>
    <w:multiLevelType w:val="hybridMultilevel"/>
    <w:tmpl w:val="A4C0E514"/>
    <w:lvl w:ilvl="0" w:tplc="3676A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12">
    <w:nsid w:val="2B3A0804"/>
    <w:multiLevelType w:val="hybridMultilevel"/>
    <w:tmpl w:val="96B04A0E"/>
    <w:lvl w:ilvl="0" w:tplc="4CD87A24">
      <w:start w:val="1"/>
      <w:numFmt w:val="lowerLetter"/>
      <w:lvlText w:val="%1)"/>
      <w:lvlJc w:val="left"/>
      <w:pPr>
        <w:ind w:left="1814" w:hanging="396"/>
      </w:pPr>
      <w:rPr>
        <w:rFonts w:hint="default"/>
        <w:b/>
        <w:i/>
        <w:sz w:val="22"/>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3">
    <w:nsid w:val="2CD94D92"/>
    <w:multiLevelType w:val="hybridMultilevel"/>
    <w:tmpl w:val="2224065A"/>
    <w:lvl w:ilvl="0" w:tplc="7780EF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3255A7"/>
    <w:multiLevelType w:val="hybridMultilevel"/>
    <w:tmpl w:val="AD9CD23A"/>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nsid w:val="2F760809"/>
    <w:multiLevelType w:val="hybridMultilevel"/>
    <w:tmpl w:val="FAB81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5861B3"/>
    <w:multiLevelType w:val="hybridMultilevel"/>
    <w:tmpl w:val="94203198"/>
    <w:lvl w:ilvl="0" w:tplc="1DF6C5D0">
      <w:start w:val="1"/>
      <w:numFmt w:val="lowerLetter"/>
      <w:lvlText w:val="%1)"/>
      <w:lvlJc w:val="left"/>
      <w:pPr>
        <w:ind w:left="1770" w:hanging="360"/>
      </w:pPr>
      <w:rPr>
        <w:rFonts w:hint="default"/>
        <w:b/>
        <w:i/>
        <w:sz w:val="22"/>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7">
    <w:nsid w:val="350D67C2"/>
    <w:multiLevelType w:val="hybridMultilevel"/>
    <w:tmpl w:val="C3842A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450A93"/>
    <w:multiLevelType w:val="hybridMultilevel"/>
    <w:tmpl w:val="A5A2A668"/>
    <w:lvl w:ilvl="0" w:tplc="654CA0F2">
      <w:start w:val="1"/>
      <w:numFmt w:val="bullet"/>
      <w:lvlText w:val="•"/>
      <w:lvlJc w:val="left"/>
      <w:pPr>
        <w:tabs>
          <w:tab w:val="num" w:pos="720"/>
        </w:tabs>
        <w:ind w:left="720" w:hanging="360"/>
      </w:pPr>
      <w:rPr>
        <w:rFonts w:ascii="Times" w:hAnsi="Times" w:hint="default"/>
      </w:rPr>
    </w:lvl>
    <w:lvl w:ilvl="1" w:tplc="0E4006C8" w:tentative="1">
      <w:start w:val="1"/>
      <w:numFmt w:val="bullet"/>
      <w:lvlText w:val="•"/>
      <w:lvlJc w:val="left"/>
      <w:pPr>
        <w:tabs>
          <w:tab w:val="num" w:pos="1440"/>
        </w:tabs>
        <w:ind w:left="1440" w:hanging="360"/>
      </w:pPr>
      <w:rPr>
        <w:rFonts w:ascii="Times" w:hAnsi="Times" w:hint="default"/>
      </w:rPr>
    </w:lvl>
    <w:lvl w:ilvl="2" w:tplc="6316B8E4" w:tentative="1">
      <w:start w:val="1"/>
      <w:numFmt w:val="bullet"/>
      <w:lvlText w:val="•"/>
      <w:lvlJc w:val="left"/>
      <w:pPr>
        <w:tabs>
          <w:tab w:val="num" w:pos="2160"/>
        </w:tabs>
        <w:ind w:left="2160" w:hanging="360"/>
      </w:pPr>
      <w:rPr>
        <w:rFonts w:ascii="Times" w:hAnsi="Times" w:hint="default"/>
      </w:rPr>
    </w:lvl>
    <w:lvl w:ilvl="3" w:tplc="ABBA856C" w:tentative="1">
      <w:start w:val="1"/>
      <w:numFmt w:val="bullet"/>
      <w:lvlText w:val="•"/>
      <w:lvlJc w:val="left"/>
      <w:pPr>
        <w:tabs>
          <w:tab w:val="num" w:pos="2880"/>
        </w:tabs>
        <w:ind w:left="2880" w:hanging="360"/>
      </w:pPr>
      <w:rPr>
        <w:rFonts w:ascii="Times" w:hAnsi="Times" w:hint="default"/>
      </w:rPr>
    </w:lvl>
    <w:lvl w:ilvl="4" w:tplc="0E427C96" w:tentative="1">
      <w:start w:val="1"/>
      <w:numFmt w:val="bullet"/>
      <w:lvlText w:val="•"/>
      <w:lvlJc w:val="left"/>
      <w:pPr>
        <w:tabs>
          <w:tab w:val="num" w:pos="3600"/>
        </w:tabs>
        <w:ind w:left="3600" w:hanging="360"/>
      </w:pPr>
      <w:rPr>
        <w:rFonts w:ascii="Times" w:hAnsi="Times" w:hint="default"/>
      </w:rPr>
    </w:lvl>
    <w:lvl w:ilvl="5" w:tplc="292E2604" w:tentative="1">
      <w:start w:val="1"/>
      <w:numFmt w:val="bullet"/>
      <w:lvlText w:val="•"/>
      <w:lvlJc w:val="left"/>
      <w:pPr>
        <w:tabs>
          <w:tab w:val="num" w:pos="4320"/>
        </w:tabs>
        <w:ind w:left="4320" w:hanging="360"/>
      </w:pPr>
      <w:rPr>
        <w:rFonts w:ascii="Times" w:hAnsi="Times" w:hint="default"/>
      </w:rPr>
    </w:lvl>
    <w:lvl w:ilvl="6" w:tplc="D8966F00" w:tentative="1">
      <w:start w:val="1"/>
      <w:numFmt w:val="bullet"/>
      <w:lvlText w:val="•"/>
      <w:lvlJc w:val="left"/>
      <w:pPr>
        <w:tabs>
          <w:tab w:val="num" w:pos="5040"/>
        </w:tabs>
        <w:ind w:left="5040" w:hanging="360"/>
      </w:pPr>
      <w:rPr>
        <w:rFonts w:ascii="Times" w:hAnsi="Times" w:hint="default"/>
      </w:rPr>
    </w:lvl>
    <w:lvl w:ilvl="7" w:tplc="C53298FE" w:tentative="1">
      <w:start w:val="1"/>
      <w:numFmt w:val="bullet"/>
      <w:lvlText w:val="•"/>
      <w:lvlJc w:val="left"/>
      <w:pPr>
        <w:tabs>
          <w:tab w:val="num" w:pos="5760"/>
        </w:tabs>
        <w:ind w:left="5760" w:hanging="360"/>
      </w:pPr>
      <w:rPr>
        <w:rFonts w:ascii="Times" w:hAnsi="Times" w:hint="default"/>
      </w:rPr>
    </w:lvl>
    <w:lvl w:ilvl="8" w:tplc="E7BA6A3C" w:tentative="1">
      <w:start w:val="1"/>
      <w:numFmt w:val="bullet"/>
      <w:lvlText w:val="•"/>
      <w:lvlJc w:val="left"/>
      <w:pPr>
        <w:tabs>
          <w:tab w:val="num" w:pos="6480"/>
        </w:tabs>
        <w:ind w:left="6480" w:hanging="360"/>
      </w:pPr>
      <w:rPr>
        <w:rFonts w:ascii="Times" w:hAnsi="Times" w:hint="default"/>
      </w:rPr>
    </w:lvl>
  </w:abstractNum>
  <w:abstractNum w:abstractNumId="19">
    <w:nsid w:val="3DBD331F"/>
    <w:multiLevelType w:val="hybridMultilevel"/>
    <w:tmpl w:val="13784E8A"/>
    <w:lvl w:ilvl="0" w:tplc="BCFE07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220B53"/>
    <w:multiLevelType w:val="hybridMultilevel"/>
    <w:tmpl w:val="415E00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2091C73"/>
    <w:multiLevelType w:val="hybridMultilevel"/>
    <w:tmpl w:val="D4CE6608"/>
    <w:lvl w:ilvl="0" w:tplc="0F5455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075959"/>
    <w:multiLevelType w:val="hybridMultilevel"/>
    <w:tmpl w:val="C414CA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291A79"/>
    <w:multiLevelType w:val="hybridMultilevel"/>
    <w:tmpl w:val="9C7000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9C23FD"/>
    <w:multiLevelType w:val="hybridMultilevel"/>
    <w:tmpl w:val="95101856"/>
    <w:lvl w:ilvl="0" w:tplc="254051C4">
      <w:start w:val="1"/>
      <w:numFmt w:val="bullet"/>
      <w:lvlText w:val="•"/>
      <w:lvlJc w:val="left"/>
      <w:pPr>
        <w:tabs>
          <w:tab w:val="num" w:pos="720"/>
        </w:tabs>
        <w:ind w:left="720" w:hanging="360"/>
      </w:pPr>
      <w:rPr>
        <w:rFonts w:ascii="Times" w:hAnsi="Times" w:hint="default"/>
      </w:rPr>
    </w:lvl>
    <w:lvl w:ilvl="1" w:tplc="61268540" w:tentative="1">
      <w:start w:val="1"/>
      <w:numFmt w:val="bullet"/>
      <w:lvlText w:val="•"/>
      <w:lvlJc w:val="left"/>
      <w:pPr>
        <w:tabs>
          <w:tab w:val="num" w:pos="1440"/>
        </w:tabs>
        <w:ind w:left="1440" w:hanging="360"/>
      </w:pPr>
      <w:rPr>
        <w:rFonts w:ascii="Times" w:hAnsi="Times" w:hint="default"/>
      </w:rPr>
    </w:lvl>
    <w:lvl w:ilvl="2" w:tplc="6082CCCE" w:tentative="1">
      <w:start w:val="1"/>
      <w:numFmt w:val="bullet"/>
      <w:lvlText w:val="•"/>
      <w:lvlJc w:val="left"/>
      <w:pPr>
        <w:tabs>
          <w:tab w:val="num" w:pos="2160"/>
        </w:tabs>
        <w:ind w:left="2160" w:hanging="360"/>
      </w:pPr>
      <w:rPr>
        <w:rFonts w:ascii="Times" w:hAnsi="Times" w:hint="default"/>
      </w:rPr>
    </w:lvl>
    <w:lvl w:ilvl="3" w:tplc="94667C8A" w:tentative="1">
      <w:start w:val="1"/>
      <w:numFmt w:val="bullet"/>
      <w:lvlText w:val="•"/>
      <w:lvlJc w:val="left"/>
      <w:pPr>
        <w:tabs>
          <w:tab w:val="num" w:pos="2880"/>
        </w:tabs>
        <w:ind w:left="2880" w:hanging="360"/>
      </w:pPr>
      <w:rPr>
        <w:rFonts w:ascii="Times" w:hAnsi="Times" w:hint="default"/>
      </w:rPr>
    </w:lvl>
    <w:lvl w:ilvl="4" w:tplc="4A6A5C50" w:tentative="1">
      <w:start w:val="1"/>
      <w:numFmt w:val="bullet"/>
      <w:lvlText w:val="•"/>
      <w:lvlJc w:val="left"/>
      <w:pPr>
        <w:tabs>
          <w:tab w:val="num" w:pos="3600"/>
        </w:tabs>
        <w:ind w:left="3600" w:hanging="360"/>
      </w:pPr>
      <w:rPr>
        <w:rFonts w:ascii="Times" w:hAnsi="Times" w:hint="default"/>
      </w:rPr>
    </w:lvl>
    <w:lvl w:ilvl="5" w:tplc="C598F408" w:tentative="1">
      <w:start w:val="1"/>
      <w:numFmt w:val="bullet"/>
      <w:lvlText w:val="•"/>
      <w:lvlJc w:val="left"/>
      <w:pPr>
        <w:tabs>
          <w:tab w:val="num" w:pos="4320"/>
        </w:tabs>
        <w:ind w:left="4320" w:hanging="360"/>
      </w:pPr>
      <w:rPr>
        <w:rFonts w:ascii="Times" w:hAnsi="Times" w:hint="default"/>
      </w:rPr>
    </w:lvl>
    <w:lvl w:ilvl="6" w:tplc="6586232E" w:tentative="1">
      <w:start w:val="1"/>
      <w:numFmt w:val="bullet"/>
      <w:lvlText w:val="•"/>
      <w:lvlJc w:val="left"/>
      <w:pPr>
        <w:tabs>
          <w:tab w:val="num" w:pos="5040"/>
        </w:tabs>
        <w:ind w:left="5040" w:hanging="360"/>
      </w:pPr>
      <w:rPr>
        <w:rFonts w:ascii="Times" w:hAnsi="Times" w:hint="default"/>
      </w:rPr>
    </w:lvl>
    <w:lvl w:ilvl="7" w:tplc="1AAE0A46" w:tentative="1">
      <w:start w:val="1"/>
      <w:numFmt w:val="bullet"/>
      <w:lvlText w:val="•"/>
      <w:lvlJc w:val="left"/>
      <w:pPr>
        <w:tabs>
          <w:tab w:val="num" w:pos="5760"/>
        </w:tabs>
        <w:ind w:left="5760" w:hanging="360"/>
      </w:pPr>
      <w:rPr>
        <w:rFonts w:ascii="Times" w:hAnsi="Times" w:hint="default"/>
      </w:rPr>
    </w:lvl>
    <w:lvl w:ilvl="8" w:tplc="70A04938" w:tentative="1">
      <w:start w:val="1"/>
      <w:numFmt w:val="bullet"/>
      <w:lvlText w:val="•"/>
      <w:lvlJc w:val="left"/>
      <w:pPr>
        <w:tabs>
          <w:tab w:val="num" w:pos="6480"/>
        </w:tabs>
        <w:ind w:left="6480" w:hanging="360"/>
      </w:pPr>
      <w:rPr>
        <w:rFonts w:ascii="Times" w:hAnsi="Times" w:hint="default"/>
      </w:rPr>
    </w:lvl>
  </w:abstractNum>
  <w:abstractNum w:abstractNumId="25">
    <w:nsid w:val="560C4663"/>
    <w:multiLevelType w:val="multilevel"/>
    <w:tmpl w:val="915CFE54"/>
    <w:lvl w:ilvl="0">
      <w:start w:val="1"/>
      <w:numFmt w:val="decimal"/>
      <w:lvlText w:val="%1."/>
      <w:lvlJc w:val="left"/>
      <w:pPr>
        <w:ind w:left="360" w:hanging="360"/>
      </w:pPr>
      <w:rPr>
        <w:rFonts w:hint="default"/>
        <w:b/>
        <w:color w:val="000000" w:themeColor="text1"/>
      </w:rPr>
    </w:lvl>
    <w:lvl w:ilvl="1">
      <w:start w:val="1"/>
      <w:numFmt w:val="decimal"/>
      <w:lvlText w:val="%1.%2."/>
      <w:lvlJc w:val="left"/>
      <w:pPr>
        <w:ind w:left="432" w:hanging="432"/>
      </w:pPr>
      <w:rPr>
        <w:b/>
        <w:color w:val="000000" w:themeColor="text1"/>
        <w:lang w:val="sv-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4E51E5"/>
    <w:multiLevelType w:val="hybridMultilevel"/>
    <w:tmpl w:val="9474B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D67034"/>
    <w:multiLevelType w:val="hybridMultilevel"/>
    <w:tmpl w:val="0F86FDF6"/>
    <w:lvl w:ilvl="0" w:tplc="70A4BA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67294FB5"/>
    <w:multiLevelType w:val="hybridMultilevel"/>
    <w:tmpl w:val="DE7A6CE8"/>
    <w:lvl w:ilvl="0" w:tplc="60E6ED4E">
      <w:start w:val="1"/>
      <w:numFmt w:val="lowerLetter"/>
      <w:lvlText w:val="%1)"/>
      <w:lvlJc w:val="left"/>
      <w:pPr>
        <w:ind w:left="1814" w:hanging="396"/>
      </w:pPr>
      <w:rPr>
        <w:rFonts w:hint="default"/>
        <w:b/>
        <w:i/>
        <w:sz w:val="22"/>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9">
    <w:nsid w:val="6AB5726B"/>
    <w:multiLevelType w:val="hybridMultilevel"/>
    <w:tmpl w:val="A90CB032"/>
    <w:lvl w:ilvl="0" w:tplc="5E9AC4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391942"/>
    <w:multiLevelType w:val="hybridMultilevel"/>
    <w:tmpl w:val="16FC0380"/>
    <w:lvl w:ilvl="0" w:tplc="90129DB4">
      <w:start w:val="1"/>
      <w:numFmt w:val="lowerLetter"/>
      <w:lvlText w:val="%1)"/>
      <w:lvlJc w:val="left"/>
      <w:pPr>
        <w:ind w:left="1770" w:hanging="360"/>
      </w:pPr>
      <w:rPr>
        <w:rFonts w:hint="default"/>
        <w:b/>
        <w:i/>
        <w:sz w:val="22"/>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1">
    <w:nsid w:val="6EA5119F"/>
    <w:multiLevelType w:val="hybridMultilevel"/>
    <w:tmpl w:val="5986E3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046C69"/>
    <w:multiLevelType w:val="hybridMultilevel"/>
    <w:tmpl w:val="0F86FDF6"/>
    <w:lvl w:ilvl="0" w:tplc="70A4BA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1"/>
  </w:num>
  <w:num w:numId="2">
    <w:abstractNumId w:val="28"/>
  </w:num>
  <w:num w:numId="3">
    <w:abstractNumId w:val="6"/>
  </w:num>
  <w:num w:numId="4">
    <w:abstractNumId w:val="12"/>
  </w:num>
  <w:num w:numId="5">
    <w:abstractNumId w:val="3"/>
  </w:num>
  <w:num w:numId="6">
    <w:abstractNumId w:val="1"/>
  </w:num>
  <w:num w:numId="7">
    <w:abstractNumId w:val="2"/>
  </w:num>
  <w:num w:numId="8">
    <w:abstractNumId w:val="30"/>
  </w:num>
  <w:num w:numId="9">
    <w:abstractNumId w:val="8"/>
  </w:num>
  <w:num w:numId="10">
    <w:abstractNumId w:val="16"/>
  </w:num>
  <w:num w:numId="11">
    <w:abstractNumId w:val="2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4"/>
  </w:num>
  <w:num w:numId="15">
    <w:abstractNumId w:val="10"/>
  </w:num>
  <w:num w:numId="16">
    <w:abstractNumId w:val="27"/>
  </w:num>
  <w:num w:numId="17">
    <w:abstractNumId w:val="26"/>
  </w:num>
  <w:num w:numId="18">
    <w:abstractNumId w:val="32"/>
  </w:num>
  <w:num w:numId="19">
    <w:abstractNumId w:val="21"/>
  </w:num>
  <w:num w:numId="20">
    <w:abstractNumId w:val="13"/>
  </w:num>
  <w:num w:numId="21">
    <w:abstractNumId w:val="9"/>
  </w:num>
  <w:num w:numId="22">
    <w:abstractNumId w:val="20"/>
  </w:num>
  <w:num w:numId="23">
    <w:abstractNumId w:val="17"/>
  </w:num>
  <w:num w:numId="24">
    <w:abstractNumId w:val="7"/>
  </w:num>
  <w:num w:numId="25">
    <w:abstractNumId w:val="23"/>
  </w:num>
  <w:num w:numId="26">
    <w:abstractNumId w:val="31"/>
  </w:num>
  <w:num w:numId="27">
    <w:abstractNumId w:val="15"/>
  </w:num>
  <w:num w:numId="28">
    <w:abstractNumId w:val="22"/>
  </w:num>
  <w:num w:numId="29">
    <w:abstractNumId w:val="0"/>
  </w:num>
  <w:num w:numId="30">
    <w:abstractNumId w:val="19"/>
  </w:num>
  <w:num w:numId="31">
    <w:abstractNumId w:val="29"/>
  </w:num>
  <w:num w:numId="32">
    <w:abstractNumId w:val="2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AD4"/>
    <w:rsid w:val="00055C4E"/>
    <w:rsid w:val="00076313"/>
    <w:rsid w:val="00112A7F"/>
    <w:rsid w:val="0014779D"/>
    <w:rsid w:val="001774D7"/>
    <w:rsid w:val="003962A5"/>
    <w:rsid w:val="00412BD0"/>
    <w:rsid w:val="004B5F40"/>
    <w:rsid w:val="0057765C"/>
    <w:rsid w:val="005C6B6C"/>
    <w:rsid w:val="00753AD4"/>
    <w:rsid w:val="00907A7A"/>
    <w:rsid w:val="00977EDA"/>
    <w:rsid w:val="00981399"/>
    <w:rsid w:val="00B75904"/>
    <w:rsid w:val="00B84D7B"/>
    <w:rsid w:val="00BE2199"/>
    <w:rsid w:val="00C65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1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753AD4"/>
    <w:pPr>
      <w:keepNext/>
      <w:spacing w:before="120" w:after="0" w:line="240" w:lineRule="auto"/>
      <w:outlineLvl w:val="0"/>
    </w:pPr>
    <w:rPr>
      <w:rFonts w:ascii="Times New Roman" w:eastAsiaTheme="majorEastAsia" w:hAnsi="Times New Roman" w:cstheme="majorBidi"/>
      <w:b/>
      <w:bCs/>
      <w:sz w:val="24"/>
      <w:szCs w:val="28"/>
      <w:lang w:val="en-GB" w:eastAsia="it-IT"/>
    </w:rPr>
  </w:style>
  <w:style w:type="paragraph" w:styleId="Heading2">
    <w:name w:val="heading 2"/>
    <w:basedOn w:val="Normal"/>
    <w:next w:val="Normal"/>
    <w:link w:val="Heading2Char"/>
    <w:uiPriority w:val="9"/>
    <w:unhideWhenUsed/>
    <w:qFormat/>
    <w:rsid w:val="00753AD4"/>
    <w:pPr>
      <w:keepNext/>
      <w:keepLines/>
      <w:spacing w:before="120" w:after="120" w:line="240" w:lineRule="auto"/>
      <w:jc w:val="both"/>
      <w:outlineLvl w:val="1"/>
    </w:pPr>
    <w:rPr>
      <w:rFonts w:ascii="Times New Roman" w:eastAsiaTheme="majorEastAsia" w:hAnsi="Times New Roman" w:cstheme="majorBidi"/>
      <w:b/>
      <w:bCs/>
      <w:i/>
      <w:sz w:val="24"/>
      <w:szCs w:val="26"/>
      <w:lang w:eastAsia="en-US"/>
    </w:rPr>
  </w:style>
  <w:style w:type="paragraph" w:styleId="Heading3">
    <w:name w:val="heading 3"/>
    <w:basedOn w:val="Normal"/>
    <w:next w:val="Normal"/>
    <w:link w:val="Heading3Char"/>
    <w:uiPriority w:val="9"/>
    <w:unhideWhenUsed/>
    <w:qFormat/>
    <w:rsid w:val="00753AD4"/>
    <w:pPr>
      <w:keepNext/>
      <w:keepLines/>
      <w:spacing w:before="120" w:after="120" w:line="240" w:lineRule="auto"/>
      <w:ind w:left="708"/>
      <w:jc w:val="both"/>
      <w:outlineLvl w:val="2"/>
    </w:pPr>
    <w:rPr>
      <w:rFonts w:ascii="Times New Roman" w:eastAsiaTheme="majorEastAsia" w:hAnsi="Times New Roman" w:cstheme="majorBidi"/>
      <w:b/>
      <w:bCs/>
      <w:lang w:eastAsia="en-US"/>
    </w:rPr>
  </w:style>
  <w:style w:type="paragraph" w:styleId="Heading4">
    <w:name w:val="heading 4"/>
    <w:basedOn w:val="Normal"/>
    <w:next w:val="Normal"/>
    <w:link w:val="Heading4Char"/>
    <w:uiPriority w:val="9"/>
    <w:unhideWhenUsed/>
    <w:qFormat/>
    <w:rsid w:val="00753AD4"/>
    <w:pPr>
      <w:keepNext/>
      <w:keepLines/>
      <w:spacing w:before="200" w:after="0" w:line="240" w:lineRule="auto"/>
      <w:ind w:firstLine="709"/>
      <w:jc w:val="both"/>
      <w:outlineLvl w:val="3"/>
    </w:pPr>
    <w:rPr>
      <w:rFonts w:ascii="Times New Roman" w:eastAsiaTheme="majorEastAsia" w:hAnsi="Times New Roman" w:cstheme="majorBidi"/>
      <w:bCs/>
      <w:iCs/>
      <w:lang w:eastAsia="en-US"/>
    </w:rPr>
  </w:style>
  <w:style w:type="paragraph" w:styleId="Heading5">
    <w:name w:val="heading 5"/>
    <w:basedOn w:val="Normal"/>
    <w:next w:val="Normal"/>
    <w:link w:val="Heading5Char"/>
    <w:autoRedefine/>
    <w:uiPriority w:val="9"/>
    <w:unhideWhenUsed/>
    <w:qFormat/>
    <w:rsid w:val="00753AD4"/>
    <w:pPr>
      <w:keepNext/>
      <w:keepLines/>
      <w:spacing w:before="100" w:beforeAutospacing="1" w:after="100" w:afterAutospacing="1" w:line="240" w:lineRule="auto"/>
      <w:ind w:firstLineChars="200" w:firstLine="440"/>
      <w:jc w:val="both"/>
      <w:outlineLvl w:val="4"/>
    </w:pPr>
    <w:rPr>
      <w:rFonts w:ascii="Times New Roman" w:eastAsiaTheme="majorEastAsia" w:hAnsi="Times New Roman" w:cs="Times New Roman"/>
      <w:lang w:val="en-GB" w:eastAsia="zh-TW"/>
    </w:rPr>
  </w:style>
  <w:style w:type="paragraph" w:styleId="Heading6">
    <w:name w:val="heading 6"/>
    <w:basedOn w:val="Normal"/>
    <w:next w:val="Normal"/>
    <w:link w:val="Heading6Char"/>
    <w:uiPriority w:val="9"/>
    <w:unhideWhenUsed/>
    <w:qFormat/>
    <w:rsid w:val="00753AD4"/>
    <w:pPr>
      <w:keepNext/>
      <w:keepLines/>
      <w:spacing w:before="200" w:after="0" w:line="240" w:lineRule="auto"/>
      <w:jc w:val="both"/>
      <w:outlineLvl w:val="5"/>
    </w:pPr>
    <w:rPr>
      <w:rFonts w:asciiTheme="majorHAnsi" w:eastAsiaTheme="majorEastAsia" w:hAnsiTheme="majorHAnsi" w:cstheme="majorBidi"/>
      <w:i/>
      <w:iCs/>
      <w:lang w:eastAsia="en-US"/>
    </w:rPr>
  </w:style>
  <w:style w:type="paragraph" w:styleId="Heading7">
    <w:name w:val="heading 7"/>
    <w:basedOn w:val="Normal"/>
    <w:next w:val="Normal"/>
    <w:link w:val="Heading7Char"/>
    <w:autoRedefine/>
    <w:uiPriority w:val="9"/>
    <w:unhideWhenUsed/>
    <w:qFormat/>
    <w:rsid w:val="00753AD4"/>
    <w:pPr>
      <w:keepNext/>
      <w:keepLines/>
      <w:spacing w:before="200" w:after="0" w:line="240" w:lineRule="auto"/>
      <w:jc w:val="both"/>
      <w:outlineLvl w:val="6"/>
    </w:pPr>
    <w:rPr>
      <w:rFonts w:asciiTheme="majorHAnsi" w:eastAsiaTheme="majorEastAsia" w:hAnsiTheme="majorHAnsi" w:cstheme="majorBidi"/>
      <w:i/>
      <w:iCs/>
      <w:color w:val="404040" w:themeColor="text1" w:themeTint="BF"/>
      <w:lang w:eastAsia="en-US"/>
    </w:rPr>
  </w:style>
  <w:style w:type="paragraph" w:styleId="Heading9">
    <w:name w:val="heading 9"/>
    <w:basedOn w:val="Normal"/>
    <w:next w:val="Normal"/>
    <w:link w:val="Heading9Char"/>
    <w:uiPriority w:val="9"/>
    <w:semiHidden/>
    <w:unhideWhenUsed/>
    <w:qFormat/>
    <w:rsid w:val="00753AD4"/>
    <w:pPr>
      <w:keepNext/>
      <w:keepLines/>
      <w:spacing w:before="200" w:after="0" w:line="240" w:lineRule="auto"/>
      <w:ind w:firstLine="709"/>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AD4"/>
    <w:rPr>
      <w:rFonts w:ascii="Times New Roman" w:eastAsiaTheme="majorEastAsia" w:hAnsi="Times New Roman" w:cstheme="majorBidi"/>
      <w:b/>
      <w:bCs/>
      <w:sz w:val="24"/>
      <w:szCs w:val="28"/>
      <w:lang w:val="en-GB" w:eastAsia="it-IT"/>
    </w:rPr>
  </w:style>
  <w:style w:type="character" w:customStyle="1" w:styleId="Heading2Char">
    <w:name w:val="Heading 2 Char"/>
    <w:basedOn w:val="DefaultParagraphFont"/>
    <w:link w:val="Heading2"/>
    <w:uiPriority w:val="9"/>
    <w:rsid w:val="00753AD4"/>
    <w:rPr>
      <w:rFonts w:ascii="Times New Roman" w:eastAsiaTheme="majorEastAsia" w:hAnsi="Times New Roman" w:cstheme="majorBidi"/>
      <w:b/>
      <w:bCs/>
      <w:i/>
      <w:sz w:val="24"/>
      <w:szCs w:val="26"/>
      <w:lang w:eastAsia="en-US"/>
    </w:rPr>
  </w:style>
  <w:style w:type="character" w:customStyle="1" w:styleId="Heading3Char">
    <w:name w:val="Heading 3 Char"/>
    <w:basedOn w:val="DefaultParagraphFont"/>
    <w:link w:val="Heading3"/>
    <w:uiPriority w:val="9"/>
    <w:rsid w:val="00753AD4"/>
    <w:rPr>
      <w:rFonts w:ascii="Times New Roman" w:eastAsiaTheme="majorEastAsia" w:hAnsi="Times New Roman" w:cstheme="majorBidi"/>
      <w:b/>
      <w:bCs/>
      <w:lang w:eastAsia="en-US"/>
    </w:rPr>
  </w:style>
  <w:style w:type="character" w:customStyle="1" w:styleId="Heading4Char">
    <w:name w:val="Heading 4 Char"/>
    <w:basedOn w:val="DefaultParagraphFont"/>
    <w:link w:val="Heading4"/>
    <w:uiPriority w:val="9"/>
    <w:rsid w:val="00753AD4"/>
    <w:rPr>
      <w:rFonts w:ascii="Times New Roman" w:eastAsiaTheme="majorEastAsia" w:hAnsi="Times New Roman" w:cstheme="majorBidi"/>
      <w:bCs/>
      <w:iCs/>
      <w:lang w:eastAsia="en-US"/>
    </w:rPr>
  </w:style>
  <w:style w:type="character" w:customStyle="1" w:styleId="Heading5Char">
    <w:name w:val="Heading 5 Char"/>
    <w:basedOn w:val="DefaultParagraphFont"/>
    <w:link w:val="Heading5"/>
    <w:uiPriority w:val="9"/>
    <w:rsid w:val="00753AD4"/>
    <w:rPr>
      <w:rFonts w:ascii="Times New Roman" w:eastAsiaTheme="majorEastAsia" w:hAnsi="Times New Roman" w:cs="Times New Roman"/>
      <w:lang w:val="en-GB" w:eastAsia="zh-TW"/>
    </w:rPr>
  </w:style>
  <w:style w:type="character" w:customStyle="1" w:styleId="Heading6Char">
    <w:name w:val="Heading 6 Char"/>
    <w:basedOn w:val="DefaultParagraphFont"/>
    <w:link w:val="Heading6"/>
    <w:uiPriority w:val="9"/>
    <w:rsid w:val="00753AD4"/>
    <w:rPr>
      <w:rFonts w:asciiTheme="majorHAnsi" w:eastAsiaTheme="majorEastAsia" w:hAnsiTheme="majorHAnsi" w:cstheme="majorBidi"/>
      <w:i/>
      <w:iCs/>
      <w:lang w:eastAsia="en-US"/>
    </w:rPr>
  </w:style>
  <w:style w:type="character" w:customStyle="1" w:styleId="Heading7Char">
    <w:name w:val="Heading 7 Char"/>
    <w:basedOn w:val="DefaultParagraphFont"/>
    <w:link w:val="Heading7"/>
    <w:uiPriority w:val="9"/>
    <w:rsid w:val="00753AD4"/>
    <w:rPr>
      <w:rFonts w:asciiTheme="majorHAnsi" w:eastAsiaTheme="majorEastAsia" w:hAnsiTheme="majorHAnsi" w:cstheme="majorBidi"/>
      <w:i/>
      <w:iCs/>
      <w:color w:val="404040" w:themeColor="text1" w:themeTint="BF"/>
      <w:lang w:eastAsia="en-US"/>
    </w:rPr>
  </w:style>
  <w:style w:type="character" w:customStyle="1" w:styleId="Heading9Char">
    <w:name w:val="Heading 9 Char"/>
    <w:basedOn w:val="DefaultParagraphFont"/>
    <w:link w:val="Heading9"/>
    <w:uiPriority w:val="9"/>
    <w:semiHidden/>
    <w:rsid w:val="00753AD4"/>
    <w:rPr>
      <w:rFonts w:asciiTheme="majorHAnsi" w:eastAsiaTheme="majorEastAsia" w:hAnsiTheme="majorHAnsi" w:cstheme="majorBidi"/>
      <w:i/>
      <w:iCs/>
      <w:color w:val="404040" w:themeColor="text1" w:themeTint="BF"/>
      <w:sz w:val="20"/>
      <w:szCs w:val="20"/>
      <w:lang w:eastAsia="en-US"/>
    </w:rPr>
  </w:style>
  <w:style w:type="paragraph" w:styleId="Title">
    <w:name w:val="Title"/>
    <w:basedOn w:val="Normal"/>
    <w:next w:val="Normal"/>
    <w:link w:val="TitleChar"/>
    <w:uiPriority w:val="10"/>
    <w:qFormat/>
    <w:rsid w:val="00753AD4"/>
    <w:pPr>
      <w:pBdr>
        <w:bottom w:val="single" w:sz="8" w:space="4" w:color="auto"/>
      </w:pBdr>
      <w:spacing w:before="120" w:after="300" w:line="240" w:lineRule="auto"/>
      <w:contextualSpacing/>
    </w:pPr>
    <w:rPr>
      <w:rFonts w:ascii="Times New Roman" w:eastAsiaTheme="majorEastAsia" w:hAnsi="Times New Roman" w:cstheme="majorBidi"/>
      <w:b/>
      <w:spacing w:val="5"/>
      <w:kern w:val="28"/>
      <w:sz w:val="28"/>
      <w:szCs w:val="52"/>
      <w:lang w:eastAsia="en-US"/>
    </w:rPr>
  </w:style>
  <w:style w:type="character" w:customStyle="1" w:styleId="TitleChar">
    <w:name w:val="Title Char"/>
    <w:basedOn w:val="DefaultParagraphFont"/>
    <w:link w:val="Title"/>
    <w:uiPriority w:val="10"/>
    <w:rsid w:val="00753AD4"/>
    <w:rPr>
      <w:rFonts w:ascii="Times New Roman" w:eastAsiaTheme="majorEastAsia" w:hAnsi="Times New Roman" w:cstheme="majorBidi"/>
      <w:b/>
      <w:spacing w:val="5"/>
      <w:kern w:val="28"/>
      <w:sz w:val="28"/>
      <w:szCs w:val="52"/>
      <w:lang w:eastAsia="en-US"/>
    </w:rPr>
  </w:style>
  <w:style w:type="paragraph" w:styleId="Subtitle">
    <w:name w:val="Subtitle"/>
    <w:basedOn w:val="Normal"/>
    <w:next w:val="Normal"/>
    <w:link w:val="SubtitleChar"/>
    <w:autoRedefine/>
    <w:uiPriority w:val="11"/>
    <w:qFormat/>
    <w:rsid w:val="00753AD4"/>
    <w:pPr>
      <w:numPr>
        <w:ilvl w:val="1"/>
      </w:numPr>
      <w:spacing w:before="120" w:after="120" w:line="240" w:lineRule="auto"/>
      <w:ind w:firstLine="709"/>
      <w:jc w:val="both"/>
    </w:pPr>
    <w:rPr>
      <w:rFonts w:ascii="Times New Roman" w:eastAsiaTheme="majorEastAsia" w:hAnsi="Times New Roman" w:cstheme="majorBidi"/>
      <w:i/>
      <w:iCs/>
      <w:spacing w:val="15"/>
      <w:szCs w:val="24"/>
      <w:lang w:eastAsia="en-US"/>
    </w:rPr>
  </w:style>
  <w:style w:type="character" w:customStyle="1" w:styleId="SubtitleChar">
    <w:name w:val="Subtitle Char"/>
    <w:basedOn w:val="DefaultParagraphFont"/>
    <w:link w:val="Subtitle"/>
    <w:uiPriority w:val="11"/>
    <w:rsid w:val="00753AD4"/>
    <w:rPr>
      <w:rFonts w:ascii="Times New Roman" w:eastAsiaTheme="majorEastAsia" w:hAnsi="Times New Roman" w:cstheme="majorBidi"/>
      <w:i/>
      <w:iCs/>
      <w:spacing w:val="15"/>
      <w:szCs w:val="24"/>
      <w:lang w:eastAsia="en-US"/>
    </w:rPr>
  </w:style>
  <w:style w:type="paragraph" w:styleId="FootnoteText">
    <w:name w:val="footnote text"/>
    <w:aliases w:val="fn,Footnotes,Footnote ak,ft,fn cafc,Footnote Text Char1,fn Char Char,footnote text Char Char,Footnotes Char Char,Footnote ak Char Char,Footnote Text Char2,Footnote Text Char1 Char1,Footnote Text Char Char Char,FA,Char Char,fn Char1,f"/>
    <w:basedOn w:val="Normal"/>
    <w:link w:val="FootnoteTextChar"/>
    <w:uiPriority w:val="99"/>
    <w:unhideWhenUsed/>
    <w:qFormat/>
    <w:rsid w:val="00753AD4"/>
    <w:pPr>
      <w:spacing w:before="120" w:after="0" w:line="240" w:lineRule="auto"/>
      <w:ind w:firstLine="709"/>
      <w:jc w:val="both"/>
    </w:pPr>
    <w:rPr>
      <w:rFonts w:ascii="Times New Roman" w:eastAsiaTheme="minorHAnsi" w:hAnsi="Times New Roman"/>
      <w:sz w:val="20"/>
      <w:szCs w:val="20"/>
      <w:lang w:eastAsia="en-US"/>
    </w:rPr>
  </w:style>
  <w:style w:type="character" w:customStyle="1" w:styleId="FootnoteTextChar">
    <w:name w:val="Footnote Text Char"/>
    <w:aliases w:val="fn Char,Footnotes Char,Footnote ak Char,ft Char,fn cafc Char,Footnote Text Char1 Char,fn Char Char Char,footnote text Char Char Char,Footnotes Char Char Char,Footnote ak Char Char Char,Footnote Text Char2 Char,FA Char,Char Char Char"/>
    <w:basedOn w:val="DefaultParagraphFont"/>
    <w:link w:val="FootnoteText"/>
    <w:uiPriority w:val="99"/>
    <w:rsid w:val="00753AD4"/>
    <w:rPr>
      <w:rFonts w:ascii="Times New Roman" w:eastAsiaTheme="minorHAnsi" w:hAnsi="Times New Roman"/>
      <w:sz w:val="20"/>
      <w:szCs w:val="20"/>
      <w:lang w:eastAsia="en-US"/>
    </w:rPr>
  </w:style>
  <w:style w:type="character" w:styleId="FootnoteReference">
    <w:name w:val="footnote reference"/>
    <w:aliases w:val="Ref,de nota al pie,FZ,ftref,Footnotes refss,註腳內容,de nota al pie + (Asian) MS Mincho,11 pt,Referencia nota al pie,Fago Fußnotenzeichen,Footnote Ref,16 Point,Superscript 6 Point,Style 21,Style 29,Style 11,Footnote Reference1,Ref1"/>
    <w:basedOn w:val="DefaultParagraphFont"/>
    <w:uiPriority w:val="99"/>
    <w:unhideWhenUsed/>
    <w:rsid w:val="00753AD4"/>
    <w:rPr>
      <w:vertAlign w:val="superscript"/>
    </w:rPr>
  </w:style>
  <w:style w:type="character" w:customStyle="1" w:styleId="personname">
    <w:name w:val="person_name"/>
    <w:basedOn w:val="DefaultParagraphFont"/>
    <w:rsid w:val="00753AD4"/>
  </w:style>
  <w:style w:type="paragraph" w:styleId="BalloonText">
    <w:name w:val="Balloon Text"/>
    <w:basedOn w:val="Normal"/>
    <w:link w:val="BalloonTextChar"/>
    <w:uiPriority w:val="99"/>
    <w:unhideWhenUsed/>
    <w:rsid w:val="00753AD4"/>
    <w:pPr>
      <w:spacing w:before="120" w:after="0" w:line="240" w:lineRule="auto"/>
      <w:ind w:firstLine="709"/>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753AD4"/>
    <w:rPr>
      <w:rFonts w:ascii="Tahoma" w:eastAsiaTheme="minorHAnsi" w:hAnsi="Tahoma" w:cs="Tahoma"/>
      <w:sz w:val="16"/>
      <w:szCs w:val="16"/>
      <w:lang w:eastAsia="en-US"/>
    </w:rPr>
  </w:style>
  <w:style w:type="paragraph" w:styleId="Header">
    <w:name w:val="header"/>
    <w:basedOn w:val="Normal"/>
    <w:link w:val="HeaderChar"/>
    <w:uiPriority w:val="99"/>
    <w:unhideWhenUsed/>
    <w:rsid w:val="00753AD4"/>
    <w:pPr>
      <w:tabs>
        <w:tab w:val="center" w:pos="4536"/>
        <w:tab w:val="right" w:pos="9072"/>
      </w:tabs>
      <w:spacing w:before="120" w:after="0" w:line="240" w:lineRule="auto"/>
      <w:ind w:firstLine="709"/>
      <w:jc w:val="both"/>
    </w:pPr>
    <w:rPr>
      <w:rFonts w:ascii="Times New Roman" w:eastAsiaTheme="minorHAnsi" w:hAnsi="Times New Roman"/>
      <w:lang w:eastAsia="en-US"/>
    </w:rPr>
  </w:style>
  <w:style w:type="character" w:customStyle="1" w:styleId="HeaderChar">
    <w:name w:val="Header Char"/>
    <w:basedOn w:val="DefaultParagraphFont"/>
    <w:link w:val="Header"/>
    <w:uiPriority w:val="99"/>
    <w:rsid w:val="00753AD4"/>
    <w:rPr>
      <w:rFonts w:ascii="Times New Roman" w:eastAsiaTheme="minorHAnsi" w:hAnsi="Times New Roman"/>
      <w:lang w:eastAsia="en-US"/>
    </w:rPr>
  </w:style>
  <w:style w:type="paragraph" w:styleId="Footer">
    <w:name w:val="footer"/>
    <w:basedOn w:val="Normal"/>
    <w:link w:val="FooterChar"/>
    <w:unhideWhenUsed/>
    <w:rsid w:val="00753AD4"/>
    <w:pPr>
      <w:tabs>
        <w:tab w:val="center" w:pos="4536"/>
        <w:tab w:val="right" w:pos="9072"/>
      </w:tabs>
      <w:spacing w:before="120" w:after="0" w:line="240" w:lineRule="auto"/>
      <w:ind w:firstLine="709"/>
      <w:jc w:val="both"/>
    </w:pPr>
    <w:rPr>
      <w:rFonts w:ascii="Times New Roman" w:eastAsiaTheme="minorHAnsi" w:hAnsi="Times New Roman"/>
      <w:lang w:eastAsia="en-US"/>
    </w:rPr>
  </w:style>
  <w:style w:type="character" w:customStyle="1" w:styleId="FooterChar">
    <w:name w:val="Footer Char"/>
    <w:basedOn w:val="DefaultParagraphFont"/>
    <w:link w:val="Footer"/>
    <w:rsid w:val="00753AD4"/>
    <w:rPr>
      <w:rFonts w:ascii="Times New Roman" w:eastAsiaTheme="minorHAnsi" w:hAnsi="Times New Roman"/>
      <w:lang w:eastAsia="en-US"/>
    </w:rPr>
  </w:style>
  <w:style w:type="character" w:styleId="Hyperlink">
    <w:name w:val="Hyperlink"/>
    <w:basedOn w:val="DefaultParagraphFont"/>
    <w:uiPriority w:val="99"/>
    <w:rsid w:val="00753AD4"/>
    <w:rPr>
      <w:rFonts w:cs="Times New Roman"/>
      <w:color w:val="0000FF"/>
      <w:u w:val="single"/>
    </w:rPr>
  </w:style>
  <w:style w:type="paragraph" w:styleId="TOC1">
    <w:name w:val="toc 1"/>
    <w:basedOn w:val="Normal"/>
    <w:next w:val="Normal"/>
    <w:autoRedefine/>
    <w:uiPriority w:val="39"/>
    <w:qFormat/>
    <w:rsid w:val="00753AD4"/>
    <w:pPr>
      <w:tabs>
        <w:tab w:val="right" w:pos="9062"/>
      </w:tabs>
      <w:spacing w:before="360" w:after="0" w:line="240" w:lineRule="auto"/>
    </w:pPr>
    <w:rPr>
      <w:rFonts w:asciiTheme="majorHAnsi" w:eastAsiaTheme="minorHAnsi" w:hAnsiTheme="majorHAnsi"/>
      <w:b/>
      <w:bCs/>
      <w:caps/>
      <w:sz w:val="24"/>
      <w:szCs w:val="24"/>
      <w:lang w:eastAsia="en-US"/>
    </w:rPr>
  </w:style>
  <w:style w:type="character" w:styleId="Emphasis">
    <w:name w:val="Emphasis"/>
    <w:basedOn w:val="DefaultParagraphFont"/>
    <w:uiPriority w:val="20"/>
    <w:qFormat/>
    <w:rsid w:val="00753AD4"/>
    <w:rPr>
      <w:rFonts w:cs="Times New Roman"/>
      <w:i/>
      <w:iCs/>
    </w:rPr>
  </w:style>
  <w:style w:type="paragraph" w:styleId="TOCHeading">
    <w:name w:val="TOC Heading"/>
    <w:basedOn w:val="Heading1"/>
    <w:next w:val="Normal"/>
    <w:uiPriority w:val="39"/>
    <w:qFormat/>
    <w:rsid w:val="00753AD4"/>
    <w:pPr>
      <w:outlineLvl w:val="9"/>
    </w:pPr>
    <w:rPr>
      <w:rFonts w:ascii="Cambria" w:eastAsia="Times New Roman" w:hAnsi="Cambria" w:cs="Times New Roman"/>
      <w:color w:val="365F91"/>
      <w:sz w:val="28"/>
      <w:lang w:val="en-US"/>
    </w:rPr>
  </w:style>
  <w:style w:type="character" w:customStyle="1" w:styleId="caps1">
    <w:name w:val="caps1"/>
    <w:basedOn w:val="DefaultParagraphFont"/>
    <w:rsid w:val="00753AD4"/>
    <w:rPr>
      <w:sz w:val="22"/>
      <w:szCs w:val="22"/>
    </w:rPr>
  </w:style>
  <w:style w:type="paragraph" w:customStyle="1" w:styleId="Default">
    <w:name w:val="Default"/>
    <w:rsid w:val="00753AD4"/>
    <w:pPr>
      <w:autoSpaceDE w:val="0"/>
      <w:autoSpaceDN w:val="0"/>
      <w:adjustRightInd w:val="0"/>
      <w:spacing w:after="0" w:line="240" w:lineRule="auto"/>
    </w:pPr>
    <w:rPr>
      <w:rFonts w:ascii="Times New Roman" w:eastAsiaTheme="minorHAnsi" w:hAnsi="Times New Roman" w:cs="Times New Roman"/>
      <w:color w:val="000000"/>
      <w:sz w:val="24"/>
      <w:szCs w:val="24"/>
      <w:lang w:val="fr-CH" w:eastAsia="en-US"/>
    </w:rPr>
  </w:style>
  <w:style w:type="character" w:styleId="Strong">
    <w:name w:val="Strong"/>
    <w:basedOn w:val="DefaultParagraphFont"/>
    <w:uiPriority w:val="22"/>
    <w:qFormat/>
    <w:rsid w:val="00753AD4"/>
    <w:rPr>
      <w:b/>
      <w:bCs/>
    </w:rPr>
  </w:style>
  <w:style w:type="paragraph" w:customStyle="1" w:styleId="Rfrence">
    <w:name w:val="Référence"/>
    <w:basedOn w:val="FootnoteText"/>
    <w:link w:val="RfrenceCar"/>
    <w:autoRedefine/>
    <w:qFormat/>
    <w:rsid w:val="00753AD4"/>
    <w:pPr>
      <w:ind w:firstLine="0"/>
    </w:pPr>
    <w:rPr>
      <w:lang w:val="en-GB"/>
    </w:rPr>
  </w:style>
  <w:style w:type="character" w:customStyle="1" w:styleId="RfrenceCar">
    <w:name w:val="Référence Car"/>
    <w:basedOn w:val="FootnoteTextChar"/>
    <w:link w:val="Rfrence"/>
    <w:rsid w:val="00753AD4"/>
    <w:rPr>
      <w:rFonts w:ascii="Times New Roman" w:eastAsiaTheme="minorHAnsi" w:hAnsi="Times New Roman"/>
      <w:sz w:val="20"/>
      <w:szCs w:val="20"/>
      <w:lang w:val="en-GB" w:eastAsia="en-US"/>
    </w:rPr>
  </w:style>
  <w:style w:type="paragraph" w:styleId="Quote">
    <w:name w:val="Quote"/>
    <w:basedOn w:val="Normal"/>
    <w:next w:val="Normal"/>
    <w:link w:val="QuoteChar"/>
    <w:autoRedefine/>
    <w:uiPriority w:val="29"/>
    <w:qFormat/>
    <w:rsid w:val="00753AD4"/>
    <w:pPr>
      <w:spacing w:before="120" w:after="120" w:line="240" w:lineRule="auto"/>
      <w:ind w:left="708"/>
      <w:jc w:val="both"/>
    </w:pPr>
    <w:rPr>
      <w:rFonts w:ascii="Times New Roman" w:eastAsiaTheme="minorHAnsi" w:hAnsi="Times New Roman"/>
      <w:iCs/>
      <w:color w:val="000000" w:themeColor="text1"/>
      <w:shd w:val="clear" w:color="auto" w:fill="FFFFFF"/>
      <w:lang w:val="en-US" w:eastAsia="en-US"/>
    </w:rPr>
  </w:style>
  <w:style w:type="character" w:customStyle="1" w:styleId="QuoteChar">
    <w:name w:val="Quote Char"/>
    <w:basedOn w:val="DefaultParagraphFont"/>
    <w:link w:val="Quote"/>
    <w:uiPriority w:val="29"/>
    <w:rsid w:val="00753AD4"/>
    <w:rPr>
      <w:rFonts w:ascii="Times New Roman" w:eastAsiaTheme="minorHAnsi" w:hAnsi="Times New Roman"/>
      <w:iCs/>
      <w:color w:val="000000" w:themeColor="text1"/>
      <w:lang w:val="en-US" w:eastAsia="en-US"/>
    </w:rPr>
  </w:style>
  <w:style w:type="character" w:styleId="CommentReference">
    <w:name w:val="annotation reference"/>
    <w:basedOn w:val="DefaultParagraphFont"/>
    <w:uiPriority w:val="99"/>
    <w:unhideWhenUsed/>
    <w:rsid w:val="00753AD4"/>
    <w:rPr>
      <w:sz w:val="16"/>
      <w:szCs w:val="16"/>
    </w:rPr>
  </w:style>
  <w:style w:type="paragraph" w:styleId="CommentText">
    <w:name w:val="annotation text"/>
    <w:basedOn w:val="Normal"/>
    <w:link w:val="CommentTextChar"/>
    <w:uiPriority w:val="99"/>
    <w:unhideWhenUsed/>
    <w:rsid w:val="00753AD4"/>
    <w:pPr>
      <w:spacing w:before="120" w:after="120" w:line="240" w:lineRule="auto"/>
      <w:ind w:firstLine="709"/>
      <w:jc w:val="both"/>
    </w:pPr>
    <w:rPr>
      <w:rFonts w:ascii="Times New Roman" w:eastAsiaTheme="minorHAnsi" w:hAnsi="Times New Roman"/>
      <w:sz w:val="20"/>
      <w:szCs w:val="20"/>
      <w:lang w:eastAsia="en-US"/>
    </w:rPr>
  </w:style>
  <w:style w:type="character" w:customStyle="1" w:styleId="CommentTextChar">
    <w:name w:val="Comment Text Char"/>
    <w:basedOn w:val="DefaultParagraphFont"/>
    <w:link w:val="CommentText"/>
    <w:uiPriority w:val="99"/>
    <w:rsid w:val="00753AD4"/>
    <w:rPr>
      <w:rFonts w:ascii="Times New Roman" w:eastAsiaTheme="minorHAnsi" w:hAnsi="Times New Roman"/>
      <w:sz w:val="20"/>
      <w:szCs w:val="20"/>
      <w:lang w:eastAsia="en-US"/>
    </w:rPr>
  </w:style>
  <w:style w:type="paragraph" w:styleId="CommentSubject">
    <w:name w:val="annotation subject"/>
    <w:basedOn w:val="CommentText"/>
    <w:next w:val="CommentText"/>
    <w:link w:val="CommentSubjectChar"/>
    <w:uiPriority w:val="99"/>
    <w:unhideWhenUsed/>
    <w:rsid w:val="00753AD4"/>
    <w:rPr>
      <w:b/>
      <w:bCs/>
    </w:rPr>
  </w:style>
  <w:style w:type="character" w:customStyle="1" w:styleId="CommentSubjectChar">
    <w:name w:val="Comment Subject Char"/>
    <w:basedOn w:val="CommentTextChar"/>
    <w:link w:val="CommentSubject"/>
    <w:uiPriority w:val="99"/>
    <w:rsid w:val="00753AD4"/>
    <w:rPr>
      <w:rFonts w:ascii="Times New Roman" w:eastAsiaTheme="minorHAnsi" w:hAnsi="Times New Roman"/>
      <w:b/>
      <w:bCs/>
      <w:sz w:val="20"/>
      <w:szCs w:val="20"/>
      <w:lang w:eastAsia="en-US"/>
    </w:rPr>
  </w:style>
  <w:style w:type="paragraph" w:styleId="BodyText">
    <w:name w:val="Body Text"/>
    <w:basedOn w:val="Normal"/>
    <w:link w:val="BodyTextChar"/>
    <w:unhideWhenUsed/>
    <w:qFormat/>
    <w:rsid w:val="00753AD4"/>
    <w:pPr>
      <w:spacing w:before="120" w:after="120" w:line="240" w:lineRule="auto"/>
      <w:ind w:firstLine="709"/>
      <w:jc w:val="both"/>
    </w:pPr>
    <w:rPr>
      <w:rFonts w:ascii="Times New Roman" w:eastAsiaTheme="minorHAnsi" w:hAnsi="Times New Roman"/>
      <w:lang w:eastAsia="en-US"/>
    </w:rPr>
  </w:style>
  <w:style w:type="character" w:customStyle="1" w:styleId="BodyTextChar">
    <w:name w:val="Body Text Char"/>
    <w:basedOn w:val="DefaultParagraphFont"/>
    <w:link w:val="BodyText"/>
    <w:rsid w:val="00753AD4"/>
    <w:rPr>
      <w:rFonts w:ascii="Times New Roman" w:eastAsiaTheme="minorHAnsi" w:hAnsi="Times New Roman"/>
      <w:lang w:eastAsia="en-US"/>
    </w:rPr>
  </w:style>
  <w:style w:type="paragraph" w:styleId="BodyTextFirstIndent">
    <w:name w:val="Body Text First Indent"/>
    <w:basedOn w:val="Normal"/>
    <w:link w:val="BodyTextFirstIndentChar"/>
    <w:uiPriority w:val="19"/>
    <w:qFormat/>
    <w:rsid w:val="00753AD4"/>
    <w:pPr>
      <w:spacing w:before="120" w:after="0" w:line="480" w:lineRule="auto"/>
      <w:ind w:firstLine="720"/>
      <w:jc w:val="both"/>
    </w:pPr>
    <w:rPr>
      <w:rFonts w:ascii="Times New Roman" w:eastAsia="Times New Roman" w:hAnsi="Times New Roman" w:cs="Times New Roman"/>
      <w:sz w:val="24"/>
      <w:szCs w:val="24"/>
      <w:lang w:val="en-US" w:eastAsia="en-US"/>
    </w:rPr>
  </w:style>
  <w:style w:type="character" w:customStyle="1" w:styleId="BodyTextFirstIndentChar">
    <w:name w:val="Body Text First Indent Char"/>
    <w:basedOn w:val="BodyTextChar"/>
    <w:link w:val="BodyTextFirstIndent"/>
    <w:uiPriority w:val="19"/>
    <w:rsid w:val="00753AD4"/>
    <w:rPr>
      <w:rFonts w:ascii="Times New Roman" w:eastAsia="Times New Roman" w:hAnsi="Times New Roman" w:cs="Times New Roman"/>
      <w:sz w:val="24"/>
      <w:szCs w:val="24"/>
      <w:lang w:val="en-US" w:eastAsia="en-US"/>
    </w:rPr>
  </w:style>
  <w:style w:type="character" w:customStyle="1" w:styleId="fieldset-legend-prefix">
    <w:name w:val="fieldset-legend-prefix"/>
    <w:basedOn w:val="DefaultParagraphFont"/>
    <w:rsid w:val="00753AD4"/>
  </w:style>
  <w:style w:type="character" w:customStyle="1" w:styleId="apple-converted-space">
    <w:name w:val="apple-converted-space"/>
    <w:basedOn w:val="DefaultParagraphFont"/>
    <w:rsid w:val="00753AD4"/>
  </w:style>
  <w:style w:type="character" w:customStyle="1" w:styleId="apple-style-span">
    <w:name w:val="apple-style-span"/>
    <w:basedOn w:val="DefaultParagraphFont"/>
    <w:rsid w:val="00753AD4"/>
  </w:style>
  <w:style w:type="paragraph" w:styleId="ListParagraph">
    <w:name w:val="List Paragraph"/>
    <w:basedOn w:val="Normal"/>
    <w:uiPriority w:val="34"/>
    <w:qFormat/>
    <w:rsid w:val="00753AD4"/>
    <w:pPr>
      <w:spacing w:before="120" w:after="120" w:line="240" w:lineRule="auto"/>
      <w:ind w:left="720"/>
      <w:contextualSpacing/>
    </w:pPr>
    <w:rPr>
      <w:lang w:val="en-GB" w:eastAsia="zh-CN"/>
    </w:rPr>
  </w:style>
  <w:style w:type="character" w:customStyle="1" w:styleId="st">
    <w:name w:val="st"/>
    <w:basedOn w:val="DefaultParagraphFont"/>
    <w:rsid w:val="00753AD4"/>
  </w:style>
  <w:style w:type="paragraph" w:styleId="NoSpacing">
    <w:name w:val="No Spacing"/>
    <w:link w:val="NoSpacingChar"/>
    <w:uiPriority w:val="1"/>
    <w:qFormat/>
    <w:rsid w:val="00753AD4"/>
    <w:pPr>
      <w:spacing w:after="0" w:line="240" w:lineRule="auto"/>
    </w:pPr>
    <w:rPr>
      <w:lang w:val="en-US" w:eastAsia="en-US"/>
    </w:rPr>
  </w:style>
  <w:style w:type="character" w:customStyle="1" w:styleId="NoSpacingChar">
    <w:name w:val="No Spacing Char"/>
    <w:basedOn w:val="DefaultParagraphFont"/>
    <w:link w:val="NoSpacing"/>
    <w:uiPriority w:val="1"/>
    <w:rsid w:val="00753AD4"/>
    <w:rPr>
      <w:lang w:val="en-US" w:eastAsia="en-US"/>
    </w:rPr>
  </w:style>
  <w:style w:type="paragraph" w:customStyle="1" w:styleId="s32b251d">
    <w:name w:val="s32b251d"/>
    <w:basedOn w:val="Normal"/>
    <w:rsid w:val="00753A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7d2086b4">
    <w:name w:val="s7d2086b4"/>
    <w:basedOn w:val="DefaultParagraphFont"/>
    <w:rsid w:val="00753AD4"/>
  </w:style>
  <w:style w:type="character" w:customStyle="1" w:styleId="wordhighlighted">
    <w:name w:val="wordhighlighted"/>
    <w:basedOn w:val="DefaultParagraphFont"/>
    <w:rsid w:val="00753AD4"/>
  </w:style>
  <w:style w:type="character" w:customStyle="1" w:styleId="sb8d990e2">
    <w:name w:val="sb8d990e2"/>
    <w:basedOn w:val="DefaultParagraphFont"/>
    <w:rsid w:val="00753AD4"/>
  </w:style>
  <w:style w:type="character" w:customStyle="1" w:styleId="s6b621b36">
    <w:name w:val="s6b621b36"/>
    <w:basedOn w:val="DefaultParagraphFont"/>
    <w:rsid w:val="00753AD4"/>
  </w:style>
  <w:style w:type="character" w:customStyle="1" w:styleId="EndnoteTextChar">
    <w:name w:val="Endnote Text Char"/>
    <w:basedOn w:val="DefaultParagraphFont"/>
    <w:link w:val="EndnoteText"/>
    <w:uiPriority w:val="99"/>
    <w:semiHidden/>
    <w:rsid w:val="00753AD4"/>
    <w:rPr>
      <w:rFonts w:ascii="Times New Roman" w:hAnsi="Times New Roman"/>
      <w:kern w:val="2"/>
      <w:sz w:val="20"/>
      <w:szCs w:val="20"/>
      <w:lang w:val="en-US" w:eastAsia="ja-JP"/>
    </w:rPr>
  </w:style>
  <w:style w:type="paragraph" w:styleId="EndnoteText">
    <w:name w:val="endnote text"/>
    <w:basedOn w:val="Normal"/>
    <w:link w:val="EndnoteTextChar"/>
    <w:uiPriority w:val="99"/>
    <w:semiHidden/>
    <w:unhideWhenUsed/>
    <w:rsid w:val="00753AD4"/>
    <w:pPr>
      <w:widowControl w:val="0"/>
      <w:spacing w:after="0" w:line="240" w:lineRule="auto"/>
      <w:jc w:val="both"/>
    </w:pPr>
    <w:rPr>
      <w:rFonts w:ascii="Times New Roman" w:hAnsi="Times New Roman"/>
      <w:kern w:val="2"/>
      <w:sz w:val="20"/>
      <w:szCs w:val="20"/>
      <w:lang w:val="en-US" w:eastAsia="ja-JP"/>
    </w:rPr>
  </w:style>
  <w:style w:type="character" w:customStyle="1" w:styleId="EndnoteTextChar1">
    <w:name w:val="Endnote Text Char1"/>
    <w:basedOn w:val="DefaultParagraphFont"/>
    <w:uiPriority w:val="99"/>
    <w:semiHidden/>
    <w:rsid w:val="00753AD4"/>
    <w:rPr>
      <w:sz w:val="20"/>
      <w:szCs w:val="20"/>
    </w:rPr>
  </w:style>
  <w:style w:type="paragraph" w:customStyle="1" w:styleId="1">
    <w:name w:val="標準1"/>
    <w:basedOn w:val="Normal"/>
    <w:rsid w:val="00753AD4"/>
    <w:pPr>
      <w:spacing w:after="135" w:line="240" w:lineRule="auto"/>
    </w:pPr>
    <w:rPr>
      <w:rFonts w:ascii="MS PGothic" w:eastAsia="MS PGothic" w:hAnsi="MS PGothic" w:cs="MS PGothic"/>
      <w:sz w:val="24"/>
      <w:szCs w:val="24"/>
      <w:lang w:val="en-US" w:eastAsia="ja-JP"/>
    </w:rPr>
  </w:style>
  <w:style w:type="character" w:customStyle="1" w:styleId="normal--char">
    <w:name w:val="normal--char"/>
    <w:basedOn w:val="DefaultParagraphFont"/>
    <w:rsid w:val="00753AD4"/>
  </w:style>
  <w:style w:type="paragraph" w:customStyle="1" w:styleId="ju-005fpara">
    <w:name w:val="ju-005fpara"/>
    <w:basedOn w:val="Normal"/>
    <w:rsid w:val="00753AD4"/>
    <w:pPr>
      <w:spacing w:after="135" w:line="240" w:lineRule="auto"/>
    </w:pPr>
    <w:rPr>
      <w:rFonts w:ascii="MS PGothic" w:eastAsia="MS PGothic" w:hAnsi="MS PGothic" w:cs="MS PGothic"/>
      <w:sz w:val="24"/>
      <w:szCs w:val="24"/>
      <w:lang w:val="en-US" w:eastAsia="ja-JP"/>
    </w:rPr>
  </w:style>
  <w:style w:type="character" w:styleId="FollowedHyperlink">
    <w:name w:val="FollowedHyperlink"/>
    <w:basedOn w:val="DefaultParagraphFont"/>
    <w:uiPriority w:val="99"/>
    <w:semiHidden/>
    <w:unhideWhenUsed/>
    <w:rsid w:val="00753AD4"/>
    <w:rPr>
      <w:color w:val="800080" w:themeColor="followedHyperlink"/>
      <w:u w:val="single"/>
    </w:rPr>
  </w:style>
  <w:style w:type="paragraph" w:styleId="TOAHeading">
    <w:name w:val="toa heading"/>
    <w:basedOn w:val="Normal"/>
    <w:next w:val="Normal"/>
    <w:uiPriority w:val="99"/>
    <w:semiHidden/>
    <w:unhideWhenUsed/>
    <w:rsid w:val="00753AD4"/>
    <w:pPr>
      <w:spacing w:before="120" w:after="120" w:line="240" w:lineRule="auto"/>
      <w:ind w:firstLine="709"/>
      <w:jc w:val="both"/>
    </w:pPr>
    <w:rPr>
      <w:rFonts w:asciiTheme="majorHAnsi" w:eastAsiaTheme="majorEastAsia" w:hAnsiTheme="majorHAnsi" w:cstheme="majorBidi"/>
      <w:b/>
      <w:bCs/>
      <w:sz w:val="24"/>
      <w:szCs w:val="24"/>
      <w:lang w:eastAsia="en-US"/>
    </w:rPr>
  </w:style>
  <w:style w:type="paragraph" w:styleId="TableofAuthorities">
    <w:name w:val="table of authorities"/>
    <w:basedOn w:val="Normal"/>
    <w:next w:val="Normal"/>
    <w:uiPriority w:val="99"/>
    <w:semiHidden/>
    <w:unhideWhenUsed/>
    <w:rsid w:val="00753AD4"/>
    <w:pPr>
      <w:spacing w:before="120" w:after="0" w:line="240" w:lineRule="auto"/>
      <w:ind w:left="220" w:hanging="220"/>
      <w:jc w:val="both"/>
    </w:pPr>
    <w:rPr>
      <w:rFonts w:ascii="Times New Roman" w:eastAsiaTheme="minorHAnsi" w:hAnsi="Times New Roman"/>
      <w:lang w:eastAsia="en-US"/>
    </w:rPr>
  </w:style>
  <w:style w:type="paragraph" w:styleId="Revision">
    <w:name w:val="Revision"/>
    <w:hidden/>
    <w:uiPriority w:val="99"/>
    <w:semiHidden/>
    <w:rsid w:val="00753AD4"/>
    <w:pPr>
      <w:spacing w:after="0" w:line="240" w:lineRule="auto"/>
    </w:pPr>
    <w:rPr>
      <w:rFonts w:ascii="Times New Roman" w:eastAsiaTheme="minorHAnsi" w:hAnsi="Times New Roman"/>
      <w:lang w:eastAsia="en-US"/>
    </w:rPr>
  </w:style>
  <w:style w:type="paragraph" w:styleId="DocumentMap">
    <w:name w:val="Document Map"/>
    <w:basedOn w:val="Normal"/>
    <w:link w:val="DocumentMapChar"/>
    <w:uiPriority w:val="99"/>
    <w:semiHidden/>
    <w:unhideWhenUsed/>
    <w:rsid w:val="00753AD4"/>
    <w:pPr>
      <w:spacing w:after="0" w:line="240" w:lineRule="auto"/>
      <w:ind w:firstLine="709"/>
      <w:jc w:val="both"/>
    </w:pPr>
    <w:rPr>
      <w:rFonts w:ascii="Lucida Grande" w:eastAsiaTheme="minorHAnsi" w:hAnsi="Lucida Grande" w:cs="Lucida Grande"/>
      <w:sz w:val="24"/>
      <w:szCs w:val="24"/>
      <w:lang w:eastAsia="en-US"/>
    </w:rPr>
  </w:style>
  <w:style w:type="character" w:customStyle="1" w:styleId="DocumentMapChar">
    <w:name w:val="Document Map Char"/>
    <w:basedOn w:val="DefaultParagraphFont"/>
    <w:link w:val="DocumentMap"/>
    <w:uiPriority w:val="99"/>
    <w:semiHidden/>
    <w:rsid w:val="00753AD4"/>
    <w:rPr>
      <w:rFonts w:ascii="Lucida Grande" w:eastAsiaTheme="minorHAnsi" w:hAnsi="Lucida Grande" w:cs="Lucida Grande"/>
      <w:sz w:val="24"/>
      <w:szCs w:val="24"/>
      <w:lang w:eastAsia="en-US"/>
    </w:rPr>
  </w:style>
  <w:style w:type="character" w:customStyle="1" w:styleId="caps">
    <w:name w:val="caps"/>
    <w:basedOn w:val="DefaultParagraphFont"/>
    <w:rsid w:val="00753AD4"/>
  </w:style>
  <w:style w:type="paragraph" w:styleId="Bibliography">
    <w:name w:val="Bibliography"/>
    <w:basedOn w:val="Normal"/>
    <w:next w:val="Normal"/>
    <w:uiPriority w:val="37"/>
    <w:unhideWhenUsed/>
    <w:rsid w:val="00753AD4"/>
    <w:pPr>
      <w:spacing w:before="120" w:after="0" w:line="240" w:lineRule="auto"/>
      <w:ind w:left="720" w:hanging="720"/>
      <w:jc w:val="both"/>
    </w:pPr>
    <w:rPr>
      <w:rFonts w:ascii="Times New Roman" w:eastAsiaTheme="minorHAnsi" w:hAnsi="Times New Roman"/>
      <w:lang w:eastAsia="en-US"/>
    </w:rPr>
  </w:style>
  <w:style w:type="paragraph" w:customStyle="1" w:styleId="00Normaltext">
    <w:name w:val="(00) Normaltext"/>
    <w:next w:val="01NormaltextmitErstzeileneinzug"/>
    <w:link w:val="00NormaltextZchnZchn"/>
    <w:rsid w:val="00753AD4"/>
    <w:pPr>
      <w:spacing w:before="120" w:after="0" w:line="300" w:lineRule="exact"/>
    </w:pPr>
    <w:rPr>
      <w:rFonts w:ascii="Times New Roman" w:eastAsia="Times New Roman" w:hAnsi="Times New Roman" w:cs="Times New Roman"/>
      <w:sz w:val="24"/>
      <w:szCs w:val="27"/>
      <w:lang w:val="en-GB" w:eastAsia="de-DE"/>
    </w:rPr>
  </w:style>
  <w:style w:type="paragraph" w:customStyle="1" w:styleId="01NormaltextmitErstzeileneinzug">
    <w:name w:val="(01) Normaltext_mit Erstzeileneinzug"/>
    <w:basedOn w:val="00Normaltext"/>
    <w:link w:val="01NormaltextmitErstzeileneinzugZchnZchn"/>
    <w:rsid w:val="00753AD4"/>
    <w:pPr>
      <w:spacing w:before="0"/>
      <w:ind w:firstLine="288"/>
    </w:pPr>
    <w:rPr>
      <w:szCs w:val="24"/>
    </w:rPr>
  </w:style>
  <w:style w:type="character" w:customStyle="1" w:styleId="00NormaltextZchnZchn">
    <w:name w:val="(00) Normaltext Zchn Zchn"/>
    <w:link w:val="00Normaltext"/>
    <w:rsid w:val="00753AD4"/>
    <w:rPr>
      <w:rFonts w:ascii="Times New Roman" w:eastAsia="Times New Roman" w:hAnsi="Times New Roman" w:cs="Times New Roman"/>
      <w:sz w:val="24"/>
      <w:szCs w:val="27"/>
      <w:lang w:val="en-GB" w:eastAsia="de-DE"/>
    </w:rPr>
  </w:style>
  <w:style w:type="character" w:customStyle="1" w:styleId="01NormaltextmitErstzeileneinzugZchnZchn">
    <w:name w:val="(01) Normaltext_mit Erstzeileneinzug Zchn Zchn"/>
    <w:link w:val="01NormaltextmitErstzeileneinzug"/>
    <w:rsid w:val="00753AD4"/>
    <w:rPr>
      <w:rFonts w:ascii="Times New Roman" w:eastAsia="Times New Roman" w:hAnsi="Times New Roman" w:cs="Times New Roman"/>
      <w:sz w:val="24"/>
      <w:szCs w:val="24"/>
      <w:lang w:val="en-GB" w:eastAsia="de-DE"/>
    </w:rPr>
  </w:style>
  <w:style w:type="character" w:customStyle="1" w:styleId="FootnoteAnchor">
    <w:name w:val="Footnote Anchor"/>
    <w:rsid w:val="00753AD4"/>
    <w:rPr>
      <w:vertAlign w:val="superscript"/>
    </w:rPr>
  </w:style>
  <w:style w:type="paragraph" w:customStyle="1" w:styleId="Footnote">
    <w:name w:val="Footnote"/>
    <w:basedOn w:val="Normal"/>
    <w:rsid w:val="00753AD4"/>
    <w:pPr>
      <w:widowControl w:val="0"/>
      <w:suppressLineNumbers/>
      <w:suppressAutoHyphens/>
      <w:ind w:left="339" w:hanging="339"/>
    </w:pPr>
    <w:rPr>
      <w:rFonts w:ascii="Times New Roman" w:eastAsia="Segoe UI" w:hAnsi="Times New Roman" w:cs="Tahoma"/>
      <w:color w:val="000000"/>
      <w:sz w:val="20"/>
      <w:szCs w:val="20"/>
      <w:lang w:val="en-US" w:eastAsia="en-US" w:bidi="en-US"/>
    </w:rPr>
  </w:style>
  <w:style w:type="paragraph" w:customStyle="1" w:styleId="Normal0">
    <w:name w:val="[Normal]"/>
    <w:rsid w:val="00753AD4"/>
    <w:pPr>
      <w:widowControl w:val="0"/>
      <w:autoSpaceDE w:val="0"/>
      <w:autoSpaceDN w:val="0"/>
      <w:adjustRightInd w:val="0"/>
      <w:spacing w:after="0" w:line="240" w:lineRule="auto"/>
    </w:pPr>
    <w:rPr>
      <w:rFonts w:ascii="Arial" w:hAnsi="Arial" w:cs="Arial"/>
      <w:sz w:val="24"/>
      <w:szCs w:val="24"/>
      <w:lang w:val="en-GB" w:eastAsia="en-US"/>
    </w:rPr>
  </w:style>
  <w:style w:type="character" w:customStyle="1" w:styleId="A4">
    <w:name w:val="A4"/>
    <w:uiPriority w:val="99"/>
    <w:rsid w:val="00753AD4"/>
    <w:rPr>
      <w:color w:val="000000"/>
      <w:sz w:val="10"/>
    </w:rPr>
  </w:style>
  <w:style w:type="paragraph" w:customStyle="1" w:styleId="Pa3">
    <w:name w:val="Pa3"/>
    <w:basedOn w:val="Default"/>
    <w:next w:val="Default"/>
    <w:uiPriority w:val="99"/>
    <w:rsid w:val="00753AD4"/>
    <w:pPr>
      <w:spacing w:line="191" w:lineRule="atLeast"/>
    </w:pPr>
    <w:rPr>
      <w:rFonts w:ascii="Photina MT" w:eastAsia="Times New Roman" w:hAnsi="Photina MT" w:cs="Photina MT"/>
      <w:color w:val="auto"/>
      <w:lang w:val="en-GB"/>
    </w:rPr>
  </w:style>
  <w:style w:type="character" w:customStyle="1" w:styleId="BookTitle1">
    <w:name w:val="Book Title1"/>
    <w:uiPriority w:val="33"/>
    <w:qFormat/>
    <w:rsid w:val="00753AD4"/>
    <w:rPr>
      <w:rFonts w:cs="Times New Roman"/>
      <w:b/>
      <w:bCs/>
      <w:smallCaps/>
      <w:spacing w:val="5"/>
    </w:rPr>
  </w:style>
  <w:style w:type="character" w:customStyle="1" w:styleId="IntenseReference1">
    <w:name w:val="Intense Reference1"/>
    <w:uiPriority w:val="32"/>
    <w:qFormat/>
    <w:rsid w:val="00753AD4"/>
    <w:rPr>
      <w:rFonts w:cs="Times New Roman"/>
      <w:b/>
      <w:bCs/>
      <w:smallCaps/>
      <w:color w:val="C0504D"/>
      <w:spacing w:val="5"/>
      <w:u w:val="single"/>
    </w:rPr>
  </w:style>
  <w:style w:type="character" w:customStyle="1" w:styleId="CharChar10">
    <w:name w:val="Char Char10"/>
    <w:locked/>
    <w:rsid w:val="00753AD4"/>
    <w:rPr>
      <w:rFonts w:ascii="Times New Roman" w:hAnsi="Times New Roman" w:cs="Times New Roman"/>
      <w:sz w:val="20"/>
      <w:szCs w:val="20"/>
      <w:lang w:val="x-none" w:eastAsia="en-GB"/>
    </w:rPr>
  </w:style>
  <w:style w:type="character" w:customStyle="1" w:styleId="paralargecolourtext">
    <w:name w:val="paralargecolourtext"/>
    <w:basedOn w:val="DefaultParagraphFont"/>
    <w:rsid w:val="00753AD4"/>
  </w:style>
  <w:style w:type="paragraph" w:customStyle="1" w:styleId="TableParagraph">
    <w:name w:val="Table Paragraph"/>
    <w:basedOn w:val="Normal"/>
    <w:uiPriority w:val="1"/>
    <w:qFormat/>
    <w:rsid w:val="00753AD4"/>
    <w:pPr>
      <w:widowControl w:val="0"/>
      <w:spacing w:after="0" w:line="240" w:lineRule="auto"/>
    </w:pPr>
    <w:rPr>
      <w:rFonts w:eastAsiaTheme="minorHAnsi"/>
      <w:lang w:val="en-US" w:eastAsia="en-US"/>
    </w:rPr>
  </w:style>
  <w:style w:type="paragraph" w:styleId="NormalWeb">
    <w:name w:val="Normal (Web)"/>
    <w:basedOn w:val="Normal"/>
    <w:uiPriority w:val="99"/>
    <w:unhideWhenUsed/>
    <w:rsid w:val="00753AD4"/>
    <w:pPr>
      <w:spacing w:before="100" w:beforeAutospacing="1" w:after="100" w:afterAutospacing="1" w:line="240" w:lineRule="auto"/>
    </w:pPr>
    <w:rPr>
      <w:rFonts w:ascii="Times New Roman" w:hAnsi="Times New Roman" w:cs="Times New Roman"/>
      <w:sz w:val="24"/>
      <w:szCs w:val="24"/>
      <w:lang w:val="en-CA" w:eastAsia="en-CA"/>
    </w:rPr>
  </w:style>
  <w:style w:type="character" w:styleId="EndnoteReference">
    <w:name w:val="endnote reference"/>
    <w:basedOn w:val="DefaultParagraphFont"/>
    <w:uiPriority w:val="99"/>
    <w:semiHidden/>
    <w:unhideWhenUsed/>
    <w:rsid w:val="00753AD4"/>
    <w:rPr>
      <w:vertAlign w:val="superscript"/>
    </w:rPr>
  </w:style>
  <w:style w:type="paragraph" w:styleId="ListBullet2">
    <w:name w:val="List Bullet 2"/>
    <w:basedOn w:val="Normal"/>
    <w:rsid w:val="00753AD4"/>
    <w:pPr>
      <w:numPr>
        <w:numId w:val="1"/>
      </w:numPr>
      <w:spacing w:after="240" w:line="240" w:lineRule="auto"/>
      <w:jc w:val="both"/>
    </w:pPr>
    <w:rPr>
      <w:rFonts w:ascii="Times New Roman" w:eastAsia="Times New Roman" w:hAnsi="Times New Roman" w:cs="Times New Roman"/>
      <w:lang w:val="en-GB" w:eastAsia="zh-CN"/>
    </w:rPr>
  </w:style>
  <w:style w:type="character" w:styleId="PageNumber">
    <w:name w:val="page number"/>
    <w:basedOn w:val="DefaultParagraphFont"/>
    <w:uiPriority w:val="99"/>
    <w:semiHidden/>
    <w:unhideWhenUsed/>
    <w:rsid w:val="00753AD4"/>
  </w:style>
  <w:style w:type="table" w:styleId="TableGrid">
    <w:name w:val="Table Grid"/>
    <w:basedOn w:val="TableNormal"/>
    <w:uiPriority w:val="59"/>
    <w:rsid w:val="00753AD4"/>
    <w:pPr>
      <w:spacing w:after="0" w:line="240" w:lineRule="auto"/>
    </w:pPr>
    <w:rPr>
      <w:rFonts w:eastAsiaTheme="minorHAns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70">
    <w:name w:val="text70"/>
    <w:basedOn w:val="DefaultParagraphFont"/>
    <w:rsid w:val="00753AD4"/>
  </w:style>
  <w:style w:type="character" w:customStyle="1" w:styleId="slug-doi-wrapper">
    <w:name w:val="slug-doi-wrapper"/>
    <w:basedOn w:val="DefaultParagraphFont"/>
    <w:rsid w:val="00753AD4"/>
  </w:style>
  <w:style w:type="character" w:customStyle="1" w:styleId="slug-doi">
    <w:name w:val="slug-doi"/>
    <w:basedOn w:val="DefaultParagraphFont"/>
    <w:rsid w:val="00753AD4"/>
  </w:style>
  <w:style w:type="paragraph" w:styleId="TOC2">
    <w:name w:val="toc 2"/>
    <w:basedOn w:val="Normal"/>
    <w:next w:val="Normal"/>
    <w:autoRedefine/>
    <w:uiPriority w:val="39"/>
    <w:unhideWhenUsed/>
    <w:rsid w:val="00753AD4"/>
    <w:pPr>
      <w:spacing w:before="240" w:after="0" w:line="240" w:lineRule="auto"/>
      <w:ind w:firstLine="709"/>
    </w:pPr>
    <w:rPr>
      <w:rFonts w:eastAsiaTheme="minorHAnsi"/>
      <w:b/>
      <w:bCs/>
      <w:sz w:val="20"/>
      <w:szCs w:val="20"/>
      <w:lang w:eastAsia="en-US"/>
    </w:rPr>
  </w:style>
  <w:style w:type="paragraph" w:styleId="Caption">
    <w:name w:val="caption"/>
    <w:basedOn w:val="Normal"/>
    <w:next w:val="Normal"/>
    <w:uiPriority w:val="35"/>
    <w:unhideWhenUsed/>
    <w:qFormat/>
    <w:rsid w:val="00753AD4"/>
    <w:pPr>
      <w:spacing w:line="240" w:lineRule="auto"/>
    </w:pPr>
    <w:rPr>
      <w:b/>
      <w:bCs/>
      <w:color w:val="4F81BD" w:themeColor="accent1"/>
      <w:sz w:val="18"/>
      <w:szCs w:val="18"/>
      <w:lang w:val="en-US"/>
    </w:rPr>
  </w:style>
  <w:style w:type="paragraph" w:customStyle="1" w:styleId="byline">
    <w:name w:val="byline"/>
    <w:basedOn w:val="Normal"/>
    <w:rsid w:val="00753AD4"/>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lledutableau1">
    <w:name w:val="Grille du tableau1"/>
    <w:basedOn w:val="TableNormal"/>
    <w:next w:val="TableGrid"/>
    <w:uiPriority w:val="59"/>
    <w:rsid w:val="00753AD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920314018msonormal">
    <w:name w:val="yiv1920314018msonormal"/>
    <w:basedOn w:val="Normal"/>
    <w:rsid w:val="00753AD4"/>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styleId="TOC3">
    <w:name w:val="toc 3"/>
    <w:basedOn w:val="Normal"/>
    <w:next w:val="Normal"/>
    <w:autoRedefine/>
    <w:uiPriority w:val="39"/>
    <w:unhideWhenUsed/>
    <w:rsid w:val="00753AD4"/>
    <w:pPr>
      <w:spacing w:after="0" w:line="240" w:lineRule="auto"/>
      <w:ind w:left="220" w:firstLine="709"/>
    </w:pPr>
    <w:rPr>
      <w:rFonts w:eastAsiaTheme="minorHAnsi"/>
      <w:sz w:val="20"/>
      <w:szCs w:val="20"/>
      <w:lang w:eastAsia="en-US"/>
    </w:rPr>
  </w:style>
  <w:style w:type="paragraph" w:styleId="TOC4">
    <w:name w:val="toc 4"/>
    <w:basedOn w:val="Normal"/>
    <w:next w:val="Normal"/>
    <w:autoRedefine/>
    <w:uiPriority w:val="39"/>
    <w:unhideWhenUsed/>
    <w:rsid w:val="00753AD4"/>
    <w:pPr>
      <w:spacing w:after="0" w:line="240" w:lineRule="auto"/>
      <w:ind w:left="440" w:firstLine="709"/>
    </w:pPr>
    <w:rPr>
      <w:rFonts w:eastAsiaTheme="minorHAnsi"/>
      <w:sz w:val="20"/>
      <w:szCs w:val="20"/>
      <w:lang w:eastAsia="en-US"/>
    </w:rPr>
  </w:style>
  <w:style w:type="paragraph" w:customStyle="1" w:styleId="CM4">
    <w:name w:val="CM4"/>
    <w:basedOn w:val="Normal"/>
    <w:next w:val="Normal"/>
    <w:uiPriority w:val="99"/>
    <w:rsid w:val="00753AD4"/>
    <w:pPr>
      <w:widowControl w:val="0"/>
      <w:autoSpaceDE w:val="0"/>
      <w:autoSpaceDN w:val="0"/>
      <w:adjustRightInd w:val="0"/>
      <w:spacing w:after="0" w:line="240" w:lineRule="auto"/>
    </w:pPr>
    <w:rPr>
      <w:rFonts w:ascii="EUAlbertina" w:hAnsi="EUAlbertina" w:cs="Times New Roman"/>
      <w:sz w:val="24"/>
      <w:szCs w:val="24"/>
      <w:lang w:val="en-US" w:eastAsia="en-US"/>
    </w:rPr>
  </w:style>
  <w:style w:type="paragraph" w:styleId="TOC5">
    <w:name w:val="toc 5"/>
    <w:basedOn w:val="Normal"/>
    <w:next w:val="Normal"/>
    <w:autoRedefine/>
    <w:uiPriority w:val="39"/>
    <w:unhideWhenUsed/>
    <w:rsid w:val="00753AD4"/>
    <w:pPr>
      <w:spacing w:after="0" w:line="240" w:lineRule="auto"/>
      <w:ind w:left="660" w:firstLine="709"/>
    </w:pPr>
    <w:rPr>
      <w:rFonts w:eastAsiaTheme="minorHAnsi"/>
      <w:sz w:val="20"/>
      <w:szCs w:val="20"/>
      <w:lang w:eastAsia="en-US"/>
    </w:rPr>
  </w:style>
  <w:style w:type="character" w:customStyle="1" w:styleId="il">
    <w:name w:val="il"/>
    <w:basedOn w:val="DefaultParagraphFont"/>
    <w:rsid w:val="00753AD4"/>
  </w:style>
  <w:style w:type="paragraph" w:customStyle="1" w:styleId="CM1">
    <w:name w:val="CM1"/>
    <w:basedOn w:val="Default"/>
    <w:next w:val="Default"/>
    <w:uiPriority w:val="99"/>
    <w:rsid w:val="00753AD4"/>
    <w:pPr>
      <w:widowControl w:val="0"/>
    </w:pPr>
    <w:rPr>
      <w:rFonts w:ascii="EUAlbertina" w:eastAsia="EUAlbertina" w:hAnsiTheme="minorHAnsi" w:cstheme="minorBidi"/>
      <w:color w:val="auto"/>
      <w:lang w:val="en-US"/>
    </w:rPr>
  </w:style>
  <w:style w:type="paragraph" w:customStyle="1" w:styleId="CM3">
    <w:name w:val="CM3"/>
    <w:basedOn w:val="Default"/>
    <w:next w:val="Default"/>
    <w:uiPriority w:val="99"/>
    <w:rsid w:val="00753AD4"/>
    <w:pPr>
      <w:widowControl w:val="0"/>
    </w:pPr>
    <w:rPr>
      <w:rFonts w:ascii="EUAlbertina" w:eastAsia="EUAlbertina" w:hAnsiTheme="minorHAnsi" w:cstheme="minorBidi"/>
      <w:color w:val="auto"/>
      <w:lang w:val="en-US"/>
    </w:rPr>
  </w:style>
  <w:style w:type="paragraph" w:customStyle="1" w:styleId="a">
    <w:name w:val="首行縮排"/>
    <w:basedOn w:val="Normal"/>
    <w:autoRedefine/>
    <w:qFormat/>
    <w:rsid w:val="00753AD4"/>
    <w:pPr>
      <w:widowControl w:val="0"/>
      <w:spacing w:before="100" w:beforeAutospacing="1" w:after="100" w:afterAutospacing="1" w:line="240" w:lineRule="auto"/>
      <w:ind w:firstLine="425"/>
      <w:jc w:val="both"/>
    </w:pPr>
    <w:rPr>
      <w:rFonts w:ascii="Times New Roman" w:hAnsi="Times New Roman" w:cs="Times New Roman"/>
      <w:bCs/>
      <w:sz w:val="24"/>
      <w:szCs w:val="24"/>
      <w:lang w:val="en-US" w:eastAsia="zh-TW"/>
    </w:rPr>
  </w:style>
  <w:style w:type="paragraph" w:styleId="TOC6">
    <w:name w:val="toc 6"/>
    <w:basedOn w:val="Normal"/>
    <w:next w:val="Normal"/>
    <w:autoRedefine/>
    <w:uiPriority w:val="39"/>
    <w:unhideWhenUsed/>
    <w:rsid w:val="00753AD4"/>
    <w:pPr>
      <w:spacing w:after="0" w:line="240" w:lineRule="auto"/>
      <w:ind w:left="880" w:firstLine="709"/>
    </w:pPr>
    <w:rPr>
      <w:rFonts w:eastAsiaTheme="minorHAnsi"/>
      <w:sz w:val="20"/>
      <w:szCs w:val="20"/>
      <w:lang w:eastAsia="en-US"/>
    </w:rPr>
  </w:style>
  <w:style w:type="paragraph" w:styleId="TOC7">
    <w:name w:val="toc 7"/>
    <w:basedOn w:val="Normal"/>
    <w:next w:val="Normal"/>
    <w:autoRedefine/>
    <w:uiPriority w:val="39"/>
    <w:unhideWhenUsed/>
    <w:rsid w:val="00753AD4"/>
    <w:pPr>
      <w:spacing w:after="0" w:line="240" w:lineRule="auto"/>
      <w:ind w:left="1100" w:firstLine="709"/>
    </w:pPr>
    <w:rPr>
      <w:rFonts w:eastAsiaTheme="minorHAnsi"/>
      <w:sz w:val="20"/>
      <w:szCs w:val="20"/>
      <w:lang w:eastAsia="en-US"/>
    </w:rPr>
  </w:style>
  <w:style w:type="paragraph" w:styleId="TOC8">
    <w:name w:val="toc 8"/>
    <w:basedOn w:val="Normal"/>
    <w:next w:val="Normal"/>
    <w:autoRedefine/>
    <w:uiPriority w:val="39"/>
    <w:unhideWhenUsed/>
    <w:rsid w:val="00753AD4"/>
    <w:pPr>
      <w:spacing w:after="0" w:line="240" w:lineRule="auto"/>
      <w:ind w:left="1320" w:firstLine="709"/>
    </w:pPr>
    <w:rPr>
      <w:rFonts w:eastAsiaTheme="minorHAnsi"/>
      <w:sz w:val="20"/>
      <w:szCs w:val="20"/>
      <w:lang w:eastAsia="en-US"/>
    </w:rPr>
  </w:style>
  <w:style w:type="paragraph" w:styleId="TOC9">
    <w:name w:val="toc 9"/>
    <w:basedOn w:val="Normal"/>
    <w:next w:val="Normal"/>
    <w:autoRedefine/>
    <w:uiPriority w:val="39"/>
    <w:unhideWhenUsed/>
    <w:rsid w:val="00753AD4"/>
    <w:pPr>
      <w:spacing w:after="0" w:line="240" w:lineRule="auto"/>
      <w:ind w:left="1540" w:firstLine="709"/>
    </w:pPr>
    <w:rPr>
      <w:rFonts w:eastAsiaTheme="minorHAnsi"/>
      <w:sz w:val="20"/>
      <w:szCs w:val="20"/>
      <w:lang w:eastAsia="en-US"/>
    </w:rPr>
  </w:style>
  <w:style w:type="paragraph" w:styleId="Index1">
    <w:name w:val="index 1"/>
    <w:basedOn w:val="Normal"/>
    <w:next w:val="Normal"/>
    <w:autoRedefine/>
    <w:uiPriority w:val="99"/>
    <w:semiHidden/>
    <w:unhideWhenUsed/>
    <w:rsid w:val="00753AD4"/>
    <w:pPr>
      <w:spacing w:after="0" w:line="240" w:lineRule="auto"/>
      <w:ind w:left="220" w:hanging="220"/>
      <w:jc w:val="both"/>
    </w:pPr>
    <w:rPr>
      <w:rFonts w:ascii="Times New Roman" w:eastAsiaTheme="minorHAnsi"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1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753AD4"/>
    <w:pPr>
      <w:keepNext/>
      <w:spacing w:before="120" w:after="0" w:line="240" w:lineRule="auto"/>
      <w:outlineLvl w:val="0"/>
    </w:pPr>
    <w:rPr>
      <w:rFonts w:ascii="Times New Roman" w:eastAsiaTheme="majorEastAsia" w:hAnsi="Times New Roman" w:cstheme="majorBidi"/>
      <w:b/>
      <w:bCs/>
      <w:sz w:val="24"/>
      <w:szCs w:val="28"/>
      <w:lang w:val="en-GB" w:eastAsia="it-IT"/>
    </w:rPr>
  </w:style>
  <w:style w:type="paragraph" w:styleId="Heading2">
    <w:name w:val="heading 2"/>
    <w:basedOn w:val="Normal"/>
    <w:next w:val="Normal"/>
    <w:link w:val="Heading2Char"/>
    <w:uiPriority w:val="9"/>
    <w:unhideWhenUsed/>
    <w:qFormat/>
    <w:rsid w:val="00753AD4"/>
    <w:pPr>
      <w:keepNext/>
      <w:keepLines/>
      <w:spacing w:before="120" w:after="120" w:line="240" w:lineRule="auto"/>
      <w:jc w:val="both"/>
      <w:outlineLvl w:val="1"/>
    </w:pPr>
    <w:rPr>
      <w:rFonts w:ascii="Times New Roman" w:eastAsiaTheme="majorEastAsia" w:hAnsi="Times New Roman" w:cstheme="majorBidi"/>
      <w:b/>
      <w:bCs/>
      <w:i/>
      <w:sz w:val="24"/>
      <w:szCs w:val="26"/>
      <w:lang w:eastAsia="en-US"/>
    </w:rPr>
  </w:style>
  <w:style w:type="paragraph" w:styleId="Heading3">
    <w:name w:val="heading 3"/>
    <w:basedOn w:val="Normal"/>
    <w:next w:val="Normal"/>
    <w:link w:val="Heading3Char"/>
    <w:uiPriority w:val="9"/>
    <w:unhideWhenUsed/>
    <w:qFormat/>
    <w:rsid w:val="00753AD4"/>
    <w:pPr>
      <w:keepNext/>
      <w:keepLines/>
      <w:spacing w:before="120" w:after="120" w:line="240" w:lineRule="auto"/>
      <w:ind w:left="708"/>
      <w:jc w:val="both"/>
      <w:outlineLvl w:val="2"/>
    </w:pPr>
    <w:rPr>
      <w:rFonts w:ascii="Times New Roman" w:eastAsiaTheme="majorEastAsia" w:hAnsi="Times New Roman" w:cstheme="majorBidi"/>
      <w:b/>
      <w:bCs/>
      <w:lang w:eastAsia="en-US"/>
    </w:rPr>
  </w:style>
  <w:style w:type="paragraph" w:styleId="Heading4">
    <w:name w:val="heading 4"/>
    <w:basedOn w:val="Normal"/>
    <w:next w:val="Normal"/>
    <w:link w:val="Heading4Char"/>
    <w:uiPriority w:val="9"/>
    <w:unhideWhenUsed/>
    <w:qFormat/>
    <w:rsid w:val="00753AD4"/>
    <w:pPr>
      <w:keepNext/>
      <w:keepLines/>
      <w:spacing w:before="200" w:after="0" w:line="240" w:lineRule="auto"/>
      <w:ind w:firstLine="709"/>
      <w:jc w:val="both"/>
      <w:outlineLvl w:val="3"/>
    </w:pPr>
    <w:rPr>
      <w:rFonts w:ascii="Times New Roman" w:eastAsiaTheme="majorEastAsia" w:hAnsi="Times New Roman" w:cstheme="majorBidi"/>
      <w:bCs/>
      <w:iCs/>
      <w:lang w:eastAsia="en-US"/>
    </w:rPr>
  </w:style>
  <w:style w:type="paragraph" w:styleId="Heading5">
    <w:name w:val="heading 5"/>
    <w:basedOn w:val="Normal"/>
    <w:next w:val="Normal"/>
    <w:link w:val="Heading5Char"/>
    <w:autoRedefine/>
    <w:uiPriority w:val="9"/>
    <w:unhideWhenUsed/>
    <w:qFormat/>
    <w:rsid w:val="00753AD4"/>
    <w:pPr>
      <w:keepNext/>
      <w:keepLines/>
      <w:spacing w:before="100" w:beforeAutospacing="1" w:after="100" w:afterAutospacing="1" w:line="240" w:lineRule="auto"/>
      <w:ind w:firstLineChars="200" w:firstLine="440"/>
      <w:jc w:val="both"/>
      <w:outlineLvl w:val="4"/>
    </w:pPr>
    <w:rPr>
      <w:rFonts w:ascii="Times New Roman" w:eastAsiaTheme="majorEastAsia" w:hAnsi="Times New Roman" w:cs="Times New Roman"/>
      <w:lang w:val="en-GB" w:eastAsia="zh-TW"/>
    </w:rPr>
  </w:style>
  <w:style w:type="paragraph" w:styleId="Heading6">
    <w:name w:val="heading 6"/>
    <w:basedOn w:val="Normal"/>
    <w:next w:val="Normal"/>
    <w:link w:val="Heading6Char"/>
    <w:uiPriority w:val="9"/>
    <w:unhideWhenUsed/>
    <w:qFormat/>
    <w:rsid w:val="00753AD4"/>
    <w:pPr>
      <w:keepNext/>
      <w:keepLines/>
      <w:spacing w:before="200" w:after="0" w:line="240" w:lineRule="auto"/>
      <w:jc w:val="both"/>
      <w:outlineLvl w:val="5"/>
    </w:pPr>
    <w:rPr>
      <w:rFonts w:asciiTheme="majorHAnsi" w:eastAsiaTheme="majorEastAsia" w:hAnsiTheme="majorHAnsi" w:cstheme="majorBidi"/>
      <w:i/>
      <w:iCs/>
      <w:lang w:eastAsia="en-US"/>
    </w:rPr>
  </w:style>
  <w:style w:type="paragraph" w:styleId="Heading7">
    <w:name w:val="heading 7"/>
    <w:basedOn w:val="Normal"/>
    <w:next w:val="Normal"/>
    <w:link w:val="Heading7Char"/>
    <w:autoRedefine/>
    <w:uiPriority w:val="9"/>
    <w:unhideWhenUsed/>
    <w:qFormat/>
    <w:rsid w:val="00753AD4"/>
    <w:pPr>
      <w:keepNext/>
      <w:keepLines/>
      <w:spacing w:before="200" w:after="0" w:line="240" w:lineRule="auto"/>
      <w:jc w:val="both"/>
      <w:outlineLvl w:val="6"/>
    </w:pPr>
    <w:rPr>
      <w:rFonts w:asciiTheme="majorHAnsi" w:eastAsiaTheme="majorEastAsia" w:hAnsiTheme="majorHAnsi" w:cstheme="majorBidi"/>
      <w:i/>
      <w:iCs/>
      <w:color w:val="404040" w:themeColor="text1" w:themeTint="BF"/>
      <w:lang w:eastAsia="en-US"/>
    </w:rPr>
  </w:style>
  <w:style w:type="paragraph" w:styleId="Heading9">
    <w:name w:val="heading 9"/>
    <w:basedOn w:val="Normal"/>
    <w:next w:val="Normal"/>
    <w:link w:val="Heading9Char"/>
    <w:uiPriority w:val="9"/>
    <w:semiHidden/>
    <w:unhideWhenUsed/>
    <w:qFormat/>
    <w:rsid w:val="00753AD4"/>
    <w:pPr>
      <w:keepNext/>
      <w:keepLines/>
      <w:spacing w:before="200" w:after="0" w:line="240" w:lineRule="auto"/>
      <w:ind w:firstLine="709"/>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AD4"/>
    <w:rPr>
      <w:rFonts w:ascii="Times New Roman" w:eastAsiaTheme="majorEastAsia" w:hAnsi="Times New Roman" w:cstheme="majorBidi"/>
      <w:b/>
      <w:bCs/>
      <w:sz w:val="24"/>
      <w:szCs w:val="28"/>
      <w:lang w:val="en-GB" w:eastAsia="it-IT"/>
    </w:rPr>
  </w:style>
  <w:style w:type="character" w:customStyle="1" w:styleId="Heading2Char">
    <w:name w:val="Heading 2 Char"/>
    <w:basedOn w:val="DefaultParagraphFont"/>
    <w:link w:val="Heading2"/>
    <w:uiPriority w:val="9"/>
    <w:rsid w:val="00753AD4"/>
    <w:rPr>
      <w:rFonts w:ascii="Times New Roman" w:eastAsiaTheme="majorEastAsia" w:hAnsi="Times New Roman" w:cstheme="majorBidi"/>
      <w:b/>
      <w:bCs/>
      <w:i/>
      <w:sz w:val="24"/>
      <w:szCs w:val="26"/>
      <w:lang w:eastAsia="en-US"/>
    </w:rPr>
  </w:style>
  <w:style w:type="character" w:customStyle="1" w:styleId="Heading3Char">
    <w:name w:val="Heading 3 Char"/>
    <w:basedOn w:val="DefaultParagraphFont"/>
    <w:link w:val="Heading3"/>
    <w:uiPriority w:val="9"/>
    <w:rsid w:val="00753AD4"/>
    <w:rPr>
      <w:rFonts w:ascii="Times New Roman" w:eastAsiaTheme="majorEastAsia" w:hAnsi="Times New Roman" w:cstheme="majorBidi"/>
      <w:b/>
      <w:bCs/>
      <w:lang w:eastAsia="en-US"/>
    </w:rPr>
  </w:style>
  <w:style w:type="character" w:customStyle="1" w:styleId="Heading4Char">
    <w:name w:val="Heading 4 Char"/>
    <w:basedOn w:val="DefaultParagraphFont"/>
    <w:link w:val="Heading4"/>
    <w:uiPriority w:val="9"/>
    <w:rsid w:val="00753AD4"/>
    <w:rPr>
      <w:rFonts w:ascii="Times New Roman" w:eastAsiaTheme="majorEastAsia" w:hAnsi="Times New Roman" w:cstheme="majorBidi"/>
      <w:bCs/>
      <w:iCs/>
      <w:lang w:eastAsia="en-US"/>
    </w:rPr>
  </w:style>
  <w:style w:type="character" w:customStyle="1" w:styleId="Heading5Char">
    <w:name w:val="Heading 5 Char"/>
    <w:basedOn w:val="DefaultParagraphFont"/>
    <w:link w:val="Heading5"/>
    <w:uiPriority w:val="9"/>
    <w:rsid w:val="00753AD4"/>
    <w:rPr>
      <w:rFonts w:ascii="Times New Roman" w:eastAsiaTheme="majorEastAsia" w:hAnsi="Times New Roman" w:cs="Times New Roman"/>
      <w:lang w:val="en-GB" w:eastAsia="zh-TW"/>
    </w:rPr>
  </w:style>
  <w:style w:type="character" w:customStyle="1" w:styleId="Heading6Char">
    <w:name w:val="Heading 6 Char"/>
    <w:basedOn w:val="DefaultParagraphFont"/>
    <w:link w:val="Heading6"/>
    <w:uiPriority w:val="9"/>
    <w:rsid w:val="00753AD4"/>
    <w:rPr>
      <w:rFonts w:asciiTheme="majorHAnsi" w:eastAsiaTheme="majorEastAsia" w:hAnsiTheme="majorHAnsi" w:cstheme="majorBidi"/>
      <w:i/>
      <w:iCs/>
      <w:lang w:eastAsia="en-US"/>
    </w:rPr>
  </w:style>
  <w:style w:type="character" w:customStyle="1" w:styleId="Heading7Char">
    <w:name w:val="Heading 7 Char"/>
    <w:basedOn w:val="DefaultParagraphFont"/>
    <w:link w:val="Heading7"/>
    <w:uiPriority w:val="9"/>
    <w:rsid w:val="00753AD4"/>
    <w:rPr>
      <w:rFonts w:asciiTheme="majorHAnsi" w:eastAsiaTheme="majorEastAsia" w:hAnsiTheme="majorHAnsi" w:cstheme="majorBidi"/>
      <w:i/>
      <w:iCs/>
      <w:color w:val="404040" w:themeColor="text1" w:themeTint="BF"/>
      <w:lang w:eastAsia="en-US"/>
    </w:rPr>
  </w:style>
  <w:style w:type="character" w:customStyle="1" w:styleId="Heading9Char">
    <w:name w:val="Heading 9 Char"/>
    <w:basedOn w:val="DefaultParagraphFont"/>
    <w:link w:val="Heading9"/>
    <w:uiPriority w:val="9"/>
    <w:semiHidden/>
    <w:rsid w:val="00753AD4"/>
    <w:rPr>
      <w:rFonts w:asciiTheme="majorHAnsi" w:eastAsiaTheme="majorEastAsia" w:hAnsiTheme="majorHAnsi" w:cstheme="majorBidi"/>
      <w:i/>
      <w:iCs/>
      <w:color w:val="404040" w:themeColor="text1" w:themeTint="BF"/>
      <w:sz w:val="20"/>
      <w:szCs w:val="20"/>
      <w:lang w:eastAsia="en-US"/>
    </w:rPr>
  </w:style>
  <w:style w:type="paragraph" w:styleId="Title">
    <w:name w:val="Title"/>
    <w:basedOn w:val="Normal"/>
    <w:next w:val="Normal"/>
    <w:link w:val="TitleChar"/>
    <w:uiPriority w:val="10"/>
    <w:qFormat/>
    <w:rsid w:val="00753AD4"/>
    <w:pPr>
      <w:pBdr>
        <w:bottom w:val="single" w:sz="8" w:space="4" w:color="auto"/>
      </w:pBdr>
      <w:spacing w:before="120" w:after="300" w:line="240" w:lineRule="auto"/>
      <w:contextualSpacing/>
    </w:pPr>
    <w:rPr>
      <w:rFonts w:ascii="Times New Roman" w:eastAsiaTheme="majorEastAsia" w:hAnsi="Times New Roman" w:cstheme="majorBidi"/>
      <w:b/>
      <w:spacing w:val="5"/>
      <w:kern w:val="28"/>
      <w:sz w:val="28"/>
      <w:szCs w:val="52"/>
      <w:lang w:eastAsia="en-US"/>
    </w:rPr>
  </w:style>
  <w:style w:type="character" w:customStyle="1" w:styleId="TitleChar">
    <w:name w:val="Title Char"/>
    <w:basedOn w:val="DefaultParagraphFont"/>
    <w:link w:val="Title"/>
    <w:uiPriority w:val="10"/>
    <w:rsid w:val="00753AD4"/>
    <w:rPr>
      <w:rFonts w:ascii="Times New Roman" w:eastAsiaTheme="majorEastAsia" w:hAnsi="Times New Roman" w:cstheme="majorBidi"/>
      <w:b/>
      <w:spacing w:val="5"/>
      <w:kern w:val="28"/>
      <w:sz w:val="28"/>
      <w:szCs w:val="52"/>
      <w:lang w:eastAsia="en-US"/>
    </w:rPr>
  </w:style>
  <w:style w:type="paragraph" w:styleId="Subtitle">
    <w:name w:val="Subtitle"/>
    <w:basedOn w:val="Normal"/>
    <w:next w:val="Normal"/>
    <w:link w:val="SubtitleChar"/>
    <w:autoRedefine/>
    <w:uiPriority w:val="11"/>
    <w:qFormat/>
    <w:rsid w:val="00753AD4"/>
    <w:pPr>
      <w:numPr>
        <w:ilvl w:val="1"/>
      </w:numPr>
      <w:spacing w:before="120" w:after="120" w:line="240" w:lineRule="auto"/>
      <w:ind w:firstLine="709"/>
      <w:jc w:val="both"/>
    </w:pPr>
    <w:rPr>
      <w:rFonts w:ascii="Times New Roman" w:eastAsiaTheme="majorEastAsia" w:hAnsi="Times New Roman" w:cstheme="majorBidi"/>
      <w:i/>
      <w:iCs/>
      <w:spacing w:val="15"/>
      <w:szCs w:val="24"/>
      <w:lang w:eastAsia="en-US"/>
    </w:rPr>
  </w:style>
  <w:style w:type="character" w:customStyle="1" w:styleId="SubtitleChar">
    <w:name w:val="Subtitle Char"/>
    <w:basedOn w:val="DefaultParagraphFont"/>
    <w:link w:val="Subtitle"/>
    <w:uiPriority w:val="11"/>
    <w:rsid w:val="00753AD4"/>
    <w:rPr>
      <w:rFonts w:ascii="Times New Roman" w:eastAsiaTheme="majorEastAsia" w:hAnsi="Times New Roman" w:cstheme="majorBidi"/>
      <w:i/>
      <w:iCs/>
      <w:spacing w:val="15"/>
      <w:szCs w:val="24"/>
      <w:lang w:eastAsia="en-US"/>
    </w:rPr>
  </w:style>
  <w:style w:type="paragraph" w:styleId="FootnoteText">
    <w:name w:val="footnote text"/>
    <w:aliases w:val="fn,Footnotes,Footnote ak,ft,fn cafc,Footnote Text Char1,fn Char Char,footnote text Char Char,Footnotes Char Char,Footnote ak Char Char,Footnote Text Char2,Footnote Text Char1 Char1,Footnote Text Char Char Char,FA,Char Char,fn Char1,f"/>
    <w:basedOn w:val="Normal"/>
    <w:link w:val="FootnoteTextChar"/>
    <w:uiPriority w:val="99"/>
    <w:unhideWhenUsed/>
    <w:qFormat/>
    <w:rsid w:val="00753AD4"/>
    <w:pPr>
      <w:spacing w:before="120" w:after="0" w:line="240" w:lineRule="auto"/>
      <w:ind w:firstLine="709"/>
      <w:jc w:val="both"/>
    </w:pPr>
    <w:rPr>
      <w:rFonts w:ascii="Times New Roman" w:eastAsiaTheme="minorHAnsi" w:hAnsi="Times New Roman"/>
      <w:sz w:val="20"/>
      <w:szCs w:val="20"/>
      <w:lang w:eastAsia="en-US"/>
    </w:rPr>
  </w:style>
  <w:style w:type="character" w:customStyle="1" w:styleId="FootnoteTextChar">
    <w:name w:val="Footnote Text Char"/>
    <w:aliases w:val="fn Char,Footnotes Char,Footnote ak Char,ft Char,fn cafc Char,Footnote Text Char1 Char,fn Char Char Char,footnote text Char Char Char,Footnotes Char Char Char,Footnote ak Char Char Char,Footnote Text Char2 Char,FA Char,Char Char Char"/>
    <w:basedOn w:val="DefaultParagraphFont"/>
    <w:link w:val="FootnoteText"/>
    <w:uiPriority w:val="99"/>
    <w:rsid w:val="00753AD4"/>
    <w:rPr>
      <w:rFonts w:ascii="Times New Roman" w:eastAsiaTheme="minorHAnsi" w:hAnsi="Times New Roman"/>
      <w:sz w:val="20"/>
      <w:szCs w:val="20"/>
      <w:lang w:eastAsia="en-US"/>
    </w:rPr>
  </w:style>
  <w:style w:type="character" w:styleId="FootnoteReference">
    <w:name w:val="footnote reference"/>
    <w:aliases w:val="Ref,de nota al pie,FZ,ftref,Footnotes refss,註腳內容,de nota al pie + (Asian) MS Mincho,11 pt,Referencia nota al pie,Fago Fußnotenzeichen,Footnote Ref,16 Point,Superscript 6 Point,Style 21,Style 29,Style 11,Footnote Reference1,Ref1"/>
    <w:basedOn w:val="DefaultParagraphFont"/>
    <w:uiPriority w:val="99"/>
    <w:unhideWhenUsed/>
    <w:rsid w:val="00753AD4"/>
    <w:rPr>
      <w:vertAlign w:val="superscript"/>
    </w:rPr>
  </w:style>
  <w:style w:type="character" w:customStyle="1" w:styleId="personname">
    <w:name w:val="person_name"/>
    <w:basedOn w:val="DefaultParagraphFont"/>
    <w:rsid w:val="00753AD4"/>
  </w:style>
  <w:style w:type="paragraph" w:styleId="BalloonText">
    <w:name w:val="Balloon Text"/>
    <w:basedOn w:val="Normal"/>
    <w:link w:val="BalloonTextChar"/>
    <w:uiPriority w:val="99"/>
    <w:unhideWhenUsed/>
    <w:rsid w:val="00753AD4"/>
    <w:pPr>
      <w:spacing w:before="120" w:after="0" w:line="240" w:lineRule="auto"/>
      <w:ind w:firstLine="709"/>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753AD4"/>
    <w:rPr>
      <w:rFonts w:ascii="Tahoma" w:eastAsiaTheme="minorHAnsi" w:hAnsi="Tahoma" w:cs="Tahoma"/>
      <w:sz w:val="16"/>
      <w:szCs w:val="16"/>
      <w:lang w:eastAsia="en-US"/>
    </w:rPr>
  </w:style>
  <w:style w:type="paragraph" w:styleId="Header">
    <w:name w:val="header"/>
    <w:basedOn w:val="Normal"/>
    <w:link w:val="HeaderChar"/>
    <w:uiPriority w:val="99"/>
    <w:unhideWhenUsed/>
    <w:rsid w:val="00753AD4"/>
    <w:pPr>
      <w:tabs>
        <w:tab w:val="center" w:pos="4536"/>
        <w:tab w:val="right" w:pos="9072"/>
      </w:tabs>
      <w:spacing w:before="120" w:after="0" w:line="240" w:lineRule="auto"/>
      <w:ind w:firstLine="709"/>
      <w:jc w:val="both"/>
    </w:pPr>
    <w:rPr>
      <w:rFonts w:ascii="Times New Roman" w:eastAsiaTheme="minorHAnsi" w:hAnsi="Times New Roman"/>
      <w:lang w:eastAsia="en-US"/>
    </w:rPr>
  </w:style>
  <w:style w:type="character" w:customStyle="1" w:styleId="HeaderChar">
    <w:name w:val="Header Char"/>
    <w:basedOn w:val="DefaultParagraphFont"/>
    <w:link w:val="Header"/>
    <w:uiPriority w:val="99"/>
    <w:rsid w:val="00753AD4"/>
    <w:rPr>
      <w:rFonts w:ascii="Times New Roman" w:eastAsiaTheme="minorHAnsi" w:hAnsi="Times New Roman"/>
      <w:lang w:eastAsia="en-US"/>
    </w:rPr>
  </w:style>
  <w:style w:type="paragraph" w:styleId="Footer">
    <w:name w:val="footer"/>
    <w:basedOn w:val="Normal"/>
    <w:link w:val="FooterChar"/>
    <w:unhideWhenUsed/>
    <w:rsid w:val="00753AD4"/>
    <w:pPr>
      <w:tabs>
        <w:tab w:val="center" w:pos="4536"/>
        <w:tab w:val="right" w:pos="9072"/>
      </w:tabs>
      <w:spacing w:before="120" w:after="0" w:line="240" w:lineRule="auto"/>
      <w:ind w:firstLine="709"/>
      <w:jc w:val="both"/>
    </w:pPr>
    <w:rPr>
      <w:rFonts w:ascii="Times New Roman" w:eastAsiaTheme="minorHAnsi" w:hAnsi="Times New Roman"/>
      <w:lang w:eastAsia="en-US"/>
    </w:rPr>
  </w:style>
  <w:style w:type="character" w:customStyle="1" w:styleId="FooterChar">
    <w:name w:val="Footer Char"/>
    <w:basedOn w:val="DefaultParagraphFont"/>
    <w:link w:val="Footer"/>
    <w:rsid w:val="00753AD4"/>
    <w:rPr>
      <w:rFonts w:ascii="Times New Roman" w:eastAsiaTheme="minorHAnsi" w:hAnsi="Times New Roman"/>
      <w:lang w:eastAsia="en-US"/>
    </w:rPr>
  </w:style>
  <w:style w:type="character" w:styleId="Hyperlink">
    <w:name w:val="Hyperlink"/>
    <w:basedOn w:val="DefaultParagraphFont"/>
    <w:uiPriority w:val="99"/>
    <w:rsid w:val="00753AD4"/>
    <w:rPr>
      <w:rFonts w:cs="Times New Roman"/>
      <w:color w:val="0000FF"/>
      <w:u w:val="single"/>
    </w:rPr>
  </w:style>
  <w:style w:type="paragraph" w:styleId="TOC1">
    <w:name w:val="toc 1"/>
    <w:basedOn w:val="Normal"/>
    <w:next w:val="Normal"/>
    <w:autoRedefine/>
    <w:uiPriority w:val="39"/>
    <w:qFormat/>
    <w:rsid w:val="00753AD4"/>
    <w:pPr>
      <w:tabs>
        <w:tab w:val="right" w:pos="9062"/>
      </w:tabs>
      <w:spacing w:before="360" w:after="0" w:line="240" w:lineRule="auto"/>
    </w:pPr>
    <w:rPr>
      <w:rFonts w:asciiTheme="majorHAnsi" w:eastAsiaTheme="minorHAnsi" w:hAnsiTheme="majorHAnsi"/>
      <w:b/>
      <w:bCs/>
      <w:caps/>
      <w:sz w:val="24"/>
      <w:szCs w:val="24"/>
      <w:lang w:eastAsia="en-US"/>
    </w:rPr>
  </w:style>
  <w:style w:type="character" w:styleId="Emphasis">
    <w:name w:val="Emphasis"/>
    <w:basedOn w:val="DefaultParagraphFont"/>
    <w:uiPriority w:val="20"/>
    <w:qFormat/>
    <w:rsid w:val="00753AD4"/>
    <w:rPr>
      <w:rFonts w:cs="Times New Roman"/>
      <w:i/>
      <w:iCs/>
    </w:rPr>
  </w:style>
  <w:style w:type="paragraph" w:styleId="TOCHeading">
    <w:name w:val="TOC Heading"/>
    <w:basedOn w:val="Heading1"/>
    <w:next w:val="Normal"/>
    <w:uiPriority w:val="39"/>
    <w:qFormat/>
    <w:rsid w:val="00753AD4"/>
    <w:pPr>
      <w:outlineLvl w:val="9"/>
    </w:pPr>
    <w:rPr>
      <w:rFonts w:ascii="Cambria" w:eastAsia="Times New Roman" w:hAnsi="Cambria" w:cs="Times New Roman"/>
      <w:color w:val="365F91"/>
      <w:sz w:val="28"/>
      <w:lang w:val="en-US"/>
    </w:rPr>
  </w:style>
  <w:style w:type="character" w:customStyle="1" w:styleId="caps1">
    <w:name w:val="caps1"/>
    <w:basedOn w:val="DefaultParagraphFont"/>
    <w:rsid w:val="00753AD4"/>
    <w:rPr>
      <w:sz w:val="22"/>
      <w:szCs w:val="22"/>
    </w:rPr>
  </w:style>
  <w:style w:type="paragraph" w:customStyle="1" w:styleId="Default">
    <w:name w:val="Default"/>
    <w:rsid w:val="00753AD4"/>
    <w:pPr>
      <w:autoSpaceDE w:val="0"/>
      <w:autoSpaceDN w:val="0"/>
      <w:adjustRightInd w:val="0"/>
      <w:spacing w:after="0" w:line="240" w:lineRule="auto"/>
    </w:pPr>
    <w:rPr>
      <w:rFonts w:ascii="Times New Roman" w:eastAsiaTheme="minorHAnsi" w:hAnsi="Times New Roman" w:cs="Times New Roman"/>
      <w:color w:val="000000"/>
      <w:sz w:val="24"/>
      <w:szCs w:val="24"/>
      <w:lang w:val="fr-CH" w:eastAsia="en-US"/>
    </w:rPr>
  </w:style>
  <w:style w:type="character" w:styleId="Strong">
    <w:name w:val="Strong"/>
    <w:basedOn w:val="DefaultParagraphFont"/>
    <w:uiPriority w:val="22"/>
    <w:qFormat/>
    <w:rsid w:val="00753AD4"/>
    <w:rPr>
      <w:b/>
      <w:bCs/>
    </w:rPr>
  </w:style>
  <w:style w:type="paragraph" w:customStyle="1" w:styleId="Rfrence">
    <w:name w:val="Référence"/>
    <w:basedOn w:val="FootnoteText"/>
    <w:link w:val="RfrenceCar"/>
    <w:autoRedefine/>
    <w:qFormat/>
    <w:rsid w:val="00753AD4"/>
    <w:pPr>
      <w:ind w:firstLine="0"/>
    </w:pPr>
    <w:rPr>
      <w:lang w:val="en-GB"/>
    </w:rPr>
  </w:style>
  <w:style w:type="character" w:customStyle="1" w:styleId="RfrenceCar">
    <w:name w:val="Référence Car"/>
    <w:basedOn w:val="FootnoteTextChar"/>
    <w:link w:val="Rfrence"/>
    <w:rsid w:val="00753AD4"/>
    <w:rPr>
      <w:rFonts w:ascii="Times New Roman" w:eastAsiaTheme="minorHAnsi" w:hAnsi="Times New Roman"/>
      <w:sz w:val="20"/>
      <w:szCs w:val="20"/>
      <w:lang w:val="en-GB" w:eastAsia="en-US"/>
    </w:rPr>
  </w:style>
  <w:style w:type="paragraph" w:styleId="Quote">
    <w:name w:val="Quote"/>
    <w:basedOn w:val="Normal"/>
    <w:next w:val="Normal"/>
    <w:link w:val="QuoteChar"/>
    <w:autoRedefine/>
    <w:uiPriority w:val="29"/>
    <w:qFormat/>
    <w:rsid w:val="00753AD4"/>
    <w:pPr>
      <w:spacing w:before="120" w:after="120" w:line="240" w:lineRule="auto"/>
      <w:ind w:left="708"/>
      <w:jc w:val="both"/>
    </w:pPr>
    <w:rPr>
      <w:rFonts w:ascii="Times New Roman" w:eastAsiaTheme="minorHAnsi" w:hAnsi="Times New Roman"/>
      <w:iCs/>
      <w:color w:val="000000" w:themeColor="text1"/>
      <w:shd w:val="clear" w:color="auto" w:fill="FFFFFF"/>
      <w:lang w:val="en-US" w:eastAsia="en-US"/>
    </w:rPr>
  </w:style>
  <w:style w:type="character" w:customStyle="1" w:styleId="QuoteChar">
    <w:name w:val="Quote Char"/>
    <w:basedOn w:val="DefaultParagraphFont"/>
    <w:link w:val="Quote"/>
    <w:uiPriority w:val="29"/>
    <w:rsid w:val="00753AD4"/>
    <w:rPr>
      <w:rFonts w:ascii="Times New Roman" w:eastAsiaTheme="minorHAnsi" w:hAnsi="Times New Roman"/>
      <w:iCs/>
      <w:color w:val="000000" w:themeColor="text1"/>
      <w:lang w:val="en-US" w:eastAsia="en-US"/>
    </w:rPr>
  </w:style>
  <w:style w:type="character" w:styleId="CommentReference">
    <w:name w:val="annotation reference"/>
    <w:basedOn w:val="DefaultParagraphFont"/>
    <w:uiPriority w:val="99"/>
    <w:unhideWhenUsed/>
    <w:rsid w:val="00753AD4"/>
    <w:rPr>
      <w:sz w:val="16"/>
      <w:szCs w:val="16"/>
    </w:rPr>
  </w:style>
  <w:style w:type="paragraph" w:styleId="CommentText">
    <w:name w:val="annotation text"/>
    <w:basedOn w:val="Normal"/>
    <w:link w:val="CommentTextChar"/>
    <w:uiPriority w:val="99"/>
    <w:unhideWhenUsed/>
    <w:rsid w:val="00753AD4"/>
    <w:pPr>
      <w:spacing w:before="120" w:after="120" w:line="240" w:lineRule="auto"/>
      <w:ind w:firstLine="709"/>
      <w:jc w:val="both"/>
    </w:pPr>
    <w:rPr>
      <w:rFonts w:ascii="Times New Roman" w:eastAsiaTheme="minorHAnsi" w:hAnsi="Times New Roman"/>
      <w:sz w:val="20"/>
      <w:szCs w:val="20"/>
      <w:lang w:eastAsia="en-US"/>
    </w:rPr>
  </w:style>
  <w:style w:type="character" w:customStyle="1" w:styleId="CommentTextChar">
    <w:name w:val="Comment Text Char"/>
    <w:basedOn w:val="DefaultParagraphFont"/>
    <w:link w:val="CommentText"/>
    <w:uiPriority w:val="99"/>
    <w:rsid w:val="00753AD4"/>
    <w:rPr>
      <w:rFonts w:ascii="Times New Roman" w:eastAsiaTheme="minorHAnsi" w:hAnsi="Times New Roman"/>
      <w:sz w:val="20"/>
      <w:szCs w:val="20"/>
      <w:lang w:eastAsia="en-US"/>
    </w:rPr>
  </w:style>
  <w:style w:type="paragraph" w:styleId="CommentSubject">
    <w:name w:val="annotation subject"/>
    <w:basedOn w:val="CommentText"/>
    <w:next w:val="CommentText"/>
    <w:link w:val="CommentSubjectChar"/>
    <w:uiPriority w:val="99"/>
    <w:unhideWhenUsed/>
    <w:rsid w:val="00753AD4"/>
    <w:rPr>
      <w:b/>
      <w:bCs/>
    </w:rPr>
  </w:style>
  <w:style w:type="character" w:customStyle="1" w:styleId="CommentSubjectChar">
    <w:name w:val="Comment Subject Char"/>
    <w:basedOn w:val="CommentTextChar"/>
    <w:link w:val="CommentSubject"/>
    <w:uiPriority w:val="99"/>
    <w:rsid w:val="00753AD4"/>
    <w:rPr>
      <w:rFonts w:ascii="Times New Roman" w:eastAsiaTheme="minorHAnsi" w:hAnsi="Times New Roman"/>
      <w:b/>
      <w:bCs/>
      <w:sz w:val="20"/>
      <w:szCs w:val="20"/>
      <w:lang w:eastAsia="en-US"/>
    </w:rPr>
  </w:style>
  <w:style w:type="paragraph" w:styleId="BodyText">
    <w:name w:val="Body Text"/>
    <w:basedOn w:val="Normal"/>
    <w:link w:val="BodyTextChar"/>
    <w:unhideWhenUsed/>
    <w:qFormat/>
    <w:rsid w:val="00753AD4"/>
    <w:pPr>
      <w:spacing w:before="120" w:after="120" w:line="240" w:lineRule="auto"/>
      <w:ind w:firstLine="709"/>
      <w:jc w:val="both"/>
    </w:pPr>
    <w:rPr>
      <w:rFonts w:ascii="Times New Roman" w:eastAsiaTheme="minorHAnsi" w:hAnsi="Times New Roman"/>
      <w:lang w:eastAsia="en-US"/>
    </w:rPr>
  </w:style>
  <w:style w:type="character" w:customStyle="1" w:styleId="BodyTextChar">
    <w:name w:val="Body Text Char"/>
    <w:basedOn w:val="DefaultParagraphFont"/>
    <w:link w:val="BodyText"/>
    <w:rsid w:val="00753AD4"/>
    <w:rPr>
      <w:rFonts w:ascii="Times New Roman" w:eastAsiaTheme="minorHAnsi" w:hAnsi="Times New Roman"/>
      <w:lang w:eastAsia="en-US"/>
    </w:rPr>
  </w:style>
  <w:style w:type="paragraph" w:styleId="BodyTextFirstIndent">
    <w:name w:val="Body Text First Indent"/>
    <w:basedOn w:val="Normal"/>
    <w:link w:val="BodyTextFirstIndentChar"/>
    <w:uiPriority w:val="19"/>
    <w:qFormat/>
    <w:rsid w:val="00753AD4"/>
    <w:pPr>
      <w:spacing w:before="120" w:after="0" w:line="480" w:lineRule="auto"/>
      <w:ind w:firstLine="720"/>
      <w:jc w:val="both"/>
    </w:pPr>
    <w:rPr>
      <w:rFonts w:ascii="Times New Roman" w:eastAsia="Times New Roman" w:hAnsi="Times New Roman" w:cs="Times New Roman"/>
      <w:sz w:val="24"/>
      <w:szCs w:val="24"/>
      <w:lang w:val="en-US" w:eastAsia="en-US"/>
    </w:rPr>
  </w:style>
  <w:style w:type="character" w:customStyle="1" w:styleId="BodyTextFirstIndentChar">
    <w:name w:val="Body Text First Indent Char"/>
    <w:basedOn w:val="BodyTextChar"/>
    <w:link w:val="BodyTextFirstIndent"/>
    <w:uiPriority w:val="19"/>
    <w:rsid w:val="00753AD4"/>
    <w:rPr>
      <w:rFonts w:ascii="Times New Roman" w:eastAsia="Times New Roman" w:hAnsi="Times New Roman" w:cs="Times New Roman"/>
      <w:sz w:val="24"/>
      <w:szCs w:val="24"/>
      <w:lang w:val="en-US" w:eastAsia="en-US"/>
    </w:rPr>
  </w:style>
  <w:style w:type="character" w:customStyle="1" w:styleId="fieldset-legend-prefix">
    <w:name w:val="fieldset-legend-prefix"/>
    <w:basedOn w:val="DefaultParagraphFont"/>
    <w:rsid w:val="00753AD4"/>
  </w:style>
  <w:style w:type="character" w:customStyle="1" w:styleId="apple-converted-space">
    <w:name w:val="apple-converted-space"/>
    <w:basedOn w:val="DefaultParagraphFont"/>
    <w:rsid w:val="00753AD4"/>
  </w:style>
  <w:style w:type="character" w:customStyle="1" w:styleId="apple-style-span">
    <w:name w:val="apple-style-span"/>
    <w:basedOn w:val="DefaultParagraphFont"/>
    <w:rsid w:val="00753AD4"/>
  </w:style>
  <w:style w:type="paragraph" w:styleId="ListParagraph">
    <w:name w:val="List Paragraph"/>
    <w:basedOn w:val="Normal"/>
    <w:uiPriority w:val="34"/>
    <w:qFormat/>
    <w:rsid w:val="00753AD4"/>
    <w:pPr>
      <w:spacing w:before="120" w:after="120" w:line="240" w:lineRule="auto"/>
      <w:ind w:left="720"/>
      <w:contextualSpacing/>
    </w:pPr>
    <w:rPr>
      <w:lang w:val="en-GB" w:eastAsia="zh-CN"/>
    </w:rPr>
  </w:style>
  <w:style w:type="character" w:customStyle="1" w:styleId="st">
    <w:name w:val="st"/>
    <w:basedOn w:val="DefaultParagraphFont"/>
    <w:rsid w:val="00753AD4"/>
  </w:style>
  <w:style w:type="paragraph" w:styleId="NoSpacing">
    <w:name w:val="No Spacing"/>
    <w:link w:val="NoSpacingChar"/>
    <w:uiPriority w:val="1"/>
    <w:qFormat/>
    <w:rsid w:val="00753AD4"/>
    <w:pPr>
      <w:spacing w:after="0" w:line="240" w:lineRule="auto"/>
    </w:pPr>
    <w:rPr>
      <w:lang w:val="en-US" w:eastAsia="en-US"/>
    </w:rPr>
  </w:style>
  <w:style w:type="character" w:customStyle="1" w:styleId="NoSpacingChar">
    <w:name w:val="No Spacing Char"/>
    <w:basedOn w:val="DefaultParagraphFont"/>
    <w:link w:val="NoSpacing"/>
    <w:uiPriority w:val="1"/>
    <w:rsid w:val="00753AD4"/>
    <w:rPr>
      <w:lang w:val="en-US" w:eastAsia="en-US"/>
    </w:rPr>
  </w:style>
  <w:style w:type="paragraph" w:customStyle="1" w:styleId="s32b251d">
    <w:name w:val="s32b251d"/>
    <w:basedOn w:val="Normal"/>
    <w:rsid w:val="00753A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7d2086b4">
    <w:name w:val="s7d2086b4"/>
    <w:basedOn w:val="DefaultParagraphFont"/>
    <w:rsid w:val="00753AD4"/>
  </w:style>
  <w:style w:type="character" w:customStyle="1" w:styleId="wordhighlighted">
    <w:name w:val="wordhighlighted"/>
    <w:basedOn w:val="DefaultParagraphFont"/>
    <w:rsid w:val="00753AD4"/>
  </w:style>
  <w:style w:type="character" w:customStyle="1" w:styleId="sb8d990e2">
    <w:name w:val="sb8d990e2"/>
    <w:basedOn w:val="DefaultParagraphFont"/>
    <w:rsid w:val="00753AD4"/>
  </w:style>
  <w:style w:type="character" w:customStyle="1" w:styleId="s6b621b36">
    <w:name w:val="s6b621b36"/>
    <w:basedOn w:val="DefaultParagraphFont"/>
    <w:rsid w:val="00753AD4"/>
  </w:style>
  <w:style w:type="character" w:customStyle="1" w:styleId="EndnoteTextChar">
    <w:name w:val="Endnote Text Char"/>
    <w:basedOn w:val="DefaultParagraphFont"/>
    <w:link w:val="EndnoteText"/>
    <w:uiPriority w:val="99"/>
    <w:semiHidden/>
    <w:rsid w:val="00753AD4"/>
    <w:rPr>
      <w:rFonts w:ascii="Times New Roman" w:hAnsi="Times New Roman"/>
      <w:kern w:val="2"/>
      <w:sz w:val="20"/>
      <w:szCs w:val="20"/>
      <w:lang w:val="en-US" w:eastAsia="ja-JP"/>
    </w:rPr>
  </w:style>
  <w:style w:type="paragraph" w:styleId="EndnoteText">
    <w:name w:val="endnote text"/>
    <w:basedOn w:val="Normal"/>
    <w:link w:val="EndnoteTextChar"/>
    <w:uiPriority w:val="99"/>
    <w:semiHidden/>
    <w:unhideWhenUsed/>
    <w:rsid w:val="00753AD4"/>
    <w:pPr>
      <w:widowControl w:val="0"/>
      <w:spacing w:after="0" w:line="240" w:lineRule="auto"/>
      <w:jc w:val="both"/>
    </w:pPr>
    <w:rPr>
      <w:rFonts w:ascii="Times New Roman" w:hAnsi="Times New Roman"/>
      <w:kern w:val="2"/>
      <w:sz w:val="20"/>
      <w:szCs w:val="20"/>
      <w:lang w:val="en-US" w:eastAsia="ja-JP"/>
    </w:rPr>
  </w:style>
  <w:style w:type="character" w:customStyle="1" w:styleId="EndnoteTextChar1">
    <w:name w:val="Endnote Text Char1"/>
    <w:basedOn w:val="DefaultParagraphFont"/>
    <w:uiPriority w:val="99"/>
    <w:semiHidden/>
    <w:rsid w:val="00753AD4"/>
    <w:rPr>
      <w:sz w:val="20"/>
      <w:szCs w:val="20"/>
    </w:rPr>
  </w:style>
  <w:style w:type="paragraph" w:customStyle="1" w:styleId="1">
    <w:name w:val="標準1"/>
    <w:basedOn w:val="Normal"/>
    <w:rsid w:val="00753AD4"/>
    <w:pPr>
      <w:spacing w:after="135" w:line="240" w:lineRule="auto"/>
    </w:pPr>
    <w:rPr>
      <w:rFonts w:ascii="MS PGothic" w:eastAsia="MS PGothic" w:hAnsi="MS PGothic" w:cs="MS PGothic"/>
      <w:sz w:val="24"/>
      <w:szCs w:val="24"/>
      <w:lang w:val="en-US" w:eastAsia="ja-JP"/>
    </w:rPr>
  </w:style>
  <w:style w:type="character" w:customStyle="1" w:styleId="normal--char">
    <w:name w:val="normal--char"/>
    <w:basedOn w:val="DefaultParagraphFont"/>
    <w:rsid w:val="00753AD4"/>
  </w:style>
  <w:style w:type="paragraph" w:customStyle="1" w:styleId="ju-005fpara">
    <w:name w:val="ju-005fpara"/>
    <w:basedOn w:val="Normal"/>
    <w:rsid w:val="00753AD4"/>
    <w:pPr>
      <w:spacing w:after="135" w:line="240" w:lineRule="auto"/>
    </w:pPr>
    <w:rPr>
      <w:rFonts w:ascii="MS PGothic" w:eastAsia="MS PGothic" w:hAnsi="MS PGothic" w:cs="MS PGothic"/>
      <w:sz w:val="24"/>
      <w:szCs w:val="24"/>
      <w:lang w:val="en-US" w:eastAsia="ja-JP"/>
    </w:rPr>
  </w:style>
  <w:style w:type="character" w:styleId="FollowedHyperlink">
    <w:name w:val="FollowedHyperlink"/>
    <w:basedOn w:val="DefaultParagraphFont"/>
    <w:uiPriority w:val="99"/>
    <w:semiHidden/>
    <w:unhideWhenUsed/>
    <w:rsid w:val="00753AD4"/>
    <w:rPr>
      <w:color w:val="800080" w:themeColor="followedHyperlink"/>
      <w:u w:val="single"/>
    </w:rPr>
  </w:style>
  <w:style w:type="paragraph" w:styleId="TOAHeading">
    <w:name w:val="toa heading"/>
    <w:basedOn w:val="Normal"/>
    <w:next w:val="Normal"/>
    <w:uiPriority w:val="99"/>
    <w:semiHidden/>
    <w:unhideWhenUsed/>
    <w:rsid w:val="00753AD4"/>
    <w:pPr>
      <w:spacing w:before="120" w:after="120" w:line="240" w:lineRule="auto"/>
      <w:ind w:firstLine="709"/>
      <w:jc w:val="both"/>
    </w:pPr>
    <w:rPr>
      <w:rFonts w:asciiTheme="majorHAnsi" w:eastAsiaTheme="majorEastAsia" w:hAnsiTheme="majorHAnsi" w:cstheme="majorBidi"/>
      <w:b/>
      <w:bCs/>
      <w:sz w:val="24"/>
      <w:szCs w:val="24"/>
      <w:lang w:eastAsia="en-US"/>
    </w:rPr>
  </w:style>
  <w:style w:type="paragraph" w:styleId="TableofAuthorities">
    <w:name w:val="table of authorities"/>
    <w:basedOn w:val="Normal"/>
    <w:next w:val="Normal"/>
    <w:uiPriority w:val="99"/>
    <w:semiHidden/>
    <w:unhideWhenUsed/>
    <w:rsid w:val="00753AD4"/>
    <w:pPr>
      <w:spacing w:before="120" w:after="0" w:line="240" w:lineRule="auto"/>
      <w:ind w:left="220" w:hanging="220"/>
      <w:jc w:val="both"/>
    </w:pPr>
    <w:rPr>
      <w:rFonts w:ascii="Times New Roman" w:eastAsiaTheme="minorHAnsi" w:hAnsi="Times New Roman"/>
      <w:lang w:eastAsia="en-US"/>
    </w:rPr>
  </w:style>
  <w:style w:type="paragraph" w:styleId="Revision">
    <w:name w:val="Revision"/>
    <w:hidden/>
    <w:uiPriority w:val="99"/>
    <w:semiHidden/>
    <w:rsid w:val="00753AD4"/>
    <w:pPr>
      <w:spacing w:after="0" w:line="240" w:lineRule="auto"/>
    </w:pPr>
    <w:rPr>
      <w:rFonts w:ascii="Times New Roman" w:eastAsiaTheme="minorHAnsi" w:hAnsi="Times New Roman"/>
      <w:lang w:eastAsia="en-US"/>
    </w:rPr>
  </w:style>
  <w:style w:type="paragraph" w:styleId="DocumentMap">
    <w:name w:val="Document Map"/>
    <w:basedOn w:val="Normal"/>
    <w:link w:val="DocumentMapChar"/>
    <w:uiPriority w:val="99"/>
    <w:semiHidden/>
    <w:unhideWhenUsed/>
    <w:rsid w:val="00753AD4"/>
    <w:pPr>
      <w:spacing w:after="0" w:line="240" w:lineRule="auto"/>
      <w:ind w:firstLine="709"/>
      <w:jc w:val="both"/>
    </w:pPr>
    <w:rPr>
      <w:rFonts w:ascii="Lucida Grande" w:eastAsiaTheme="minorHAnsi" w:hAnsi="Lucida Grande" w:cs="Lucida Grande"/>
      <w:sz w:val="24"/>
      <w:szCs w:val="24"/>
      <w:lang w:eastAsia="en-US"/>
    </w:rPr>
  </w:style>
  <w:style w:type="character" w:customStyle="1" w:styleId="DocumentMapChar">
    <w:name w:val="Document Map Char"/>
    <w:basedOn w:val="DefaultParagraphFont"/>
    <w:link w:val="DocumentMap"/>
    <w:uiPriority w:val="99"/>
    <w:semiHidden/>
    <w:rsid w:val="00753AD4"/>
    <w:rPr>
      <w:rFonts w:ascii="Lucida Grande" w:eastAsiaTheme="minorHAnsi" w:hAnsi="Lucida Grande" w:cs="Lucida Grande"/>
      <w:sz w:val="24"/>
      <w:szCs w:val="24"/>
      <w:lang w:eastAsia="en-US"/>
    </w:rPr>
  </w:style>
  <w:style w:type="character" w:customStyle="1" w:styleId="caps">
    <w:name w:val="caps"/>
    <w:basedOn w:val="DefaultParagraphFont"/>
    <w:rsid w:val="00753AD4"/>
  </w:style>
  <w:style w:type="paragraph" w:styleId="Bibliography">
    <w:name w:val="Bibliography"/>
    <w:basedOn w:val="Normal"/>
    <w:next w:val="Normal"/>
    <w:uiPriority w:val="37"/>
    <w:unhideWhenUsed/>
    <w:rsid w:val="00753AD4"/>
    <w:pPr>
      <w:spacing w:before="120" w:after="0" w:line="240" w:lineRule="auto"/>
      <w:ind w:left="720" w:hanging="720"/>
      <w:jc w:val="both"/>
    </w:pPr>
    <w:rPr>
      <w:rFonts w:ascii="Times New Roman" w:eastAsiaTheme="minorHAnsi" w:hAnsi="Times New Roman"/>
      <w:lang w:eastAsia="en-US"/>
    </w:rPr>
  </w:style>
  <w:style w:type="paragraph" w:customStyle="1" w:styleId="00Normaltext">
    <w:name w:val="(00) Normaltext"/>
    <w:next w:val="01NormaltextmitErstzeileneinzug"/>
    <w:link w:val="00NormaltextZchnZchn"/>
    <w:rsid w:val="00753AD4"/>
    <w:pPr>
      <w:spacing w:before="120" w:after="0" w:line="300" w:lineRule="exact"/>
    </w:pPr>
    <w:rPr>
      <w:rFonts w:ascii="Times New Roman" w:eastAsia="Times New Roman" w:hAnsi="Times New Roman" w:cs="Times New Roman"/>
      <w:sz w:val="24"/>
      <w:szCs w:val="27"/>
      <w:lang w:val="en-GB" w:eastAsia="de-DE"/>
    </w:rPr>
  </w:style>
  <w:style w:type="paragraph" w:customStyle="1" w:styleId="01NormaltextmitErstzeileneinzug">
    <w:name w:val="(01) Normaltext_mit Erstzeileneinzug"/>
    <w:basedOn w:val="00Normaltext"/>
    <w:link w:val="01NormaltextmitErstzeileneinzugZchnZchn"/>
    <w:rsid w:val="00753AD4"/>
    <w:pPr>
      <w:spacing w:before="0"/>
      <w:ind w:firstLine="288"/>
    </w:pPr>
    <w:rPr>
      <w:szCs w:val="24"/>
    </w:rPr>
  </w:style>
  <w:style w:type="character" w:customStyle="1" w:styleId="00NormaltextZchnZchn">
    <w:name w:val="(00) Normaltext Zchn Zchn"/>
    <w:link w:val="00Normaltext"/>
    <w:rsid w:val="00753AD4"/>
    <w:rPr>
      <w:rFonts w:ascii="Times New Roman" w:eastAsia="Times New Roman" w:hAnsi="Times New Roman" w:cs="Times New Roman"/>
      <w:sz w:val="24"/>
      <w:szCs w:val="27"/>
      <w:lang w:val="en-GB" w:eastAsia="de-DE"/>
    </w:rPr>
  </w:style>
  <w:style w:type="character" w:customStyle="1" w:styleId="01NormaltextmitErstzeileneinzugZchnZchn">
    <w:name w:val="(01) Normaltext_mit Erstzeileneinzug Zchn Zchn"/>
    <w:link w:val="01NormaltextmitErstzeileneinzug"/>
    <w:rsid w:val="00753AD4"/>
    <w:rPr>
      <w:rFonts w:ascii="Times New Roman" w:eastAsia="Times New Roman" w:hAnsi="Times New Roman" w:cs="Times New Roman"/>
      <w:sz w:val="24"/>
      <w:szCs w:val="24"/>
      <w:lang w:val="en-GB" w:eastAsia="de-DE"/>
    </w:rPr>
  </w:style>
  <w:style w:type="character" w:customStyle="1" w:styleId="FootnoteAnchor">
    <w:name w:val="Footnote Anchor"/>
    <w:rsid w:val="00753AD4"/>
    <w:rPr>
      <w:vertAlign w:val="superscript"/>
    </w:rPr>
  </w:style>
  <w:style w:type="paragraph" w:customStyle="1" w:styleId="Footnote">
    <w:name w:val="Footnote"/>
    <w:basedOn w:val="Normal"/>
    <w:rsid w:val="00753AD4"/>
    <w:pPr>
      <w:widowControl w:val="0"/>
      <w:suppressLineNumbers/>
      <w:suppressAutoHyphens/>
      <w:ind w:left="339" w:hanging="339"/>
    </w:pPr>
    <w:rPr>
      <w:rFonts w:ascii="Times New Roman" w:eastAsia="Segoe UI" w:hAnsi="Times New Roman" w:cs="Tahoma"/>
      <w:color w:val="000000"/>
      <w:sz w:val="20"/>
      <w:szCs w:val="20"/>
      <w:lang w:val="en-US" w:eastAsia="en-US" w:bidi="en-US"/>
    </w:rPr>
  </w:style>
  <w:style w:type="paragraph" w:customStyle="1" w:styleId="Normal0">
    <w:name w:val="[Normal]"/>
    <w:rsid w:val="00753AD4"/>
    <w:pPr>
      <w:widowControl w:val="0"/>
      <w:autoSpaceDE w:val="0"/>
      <w:autoSpaceDN w:val="0"/>
      <w:adjustRightInd w:val="0"/>
      <w:spacing w:after="0" w:line="240" w:lineRule="auto"/>
    </w:pPr>
    <w:rPr>
      <w:rFonts w:ascii="Arial" w:hAnsi="Arial" w:cs="Arial"/>
      <w:sz w:val="24"/>
      <w:szCs w:val="24"/>
      <w:lang w:val="en-GB" w:eastAsia="en-US"/>
    </w:rPr>
  </w:style>
  <w:style w:type="character" w:customStyle="1" w:styleId="A4">
    <w:name w:val="A4"/>
    <w:uiPriority w:val="99"/>
    <w:rsid w:val="00753AD4"/>
    <w:rPr>
      <w:color w:val="000000"/>
      <w:sz w:val="10"/>
    </w:rPr>
  </w:style>
  <w:style w:type="paragraph" w:customStyle="1" w:styleId="Pa3">
    <w:name w:val="Pa3"/>
    <w:basedOn w:val="Default"/>
    <w:next w:val="Default"/>
    <w:uiPriority w:val="99"/>
    <w:rsid w:val="00753AD4"/>
    <w:pPr>
      <w:spacing w:line="191" w:lineRule="atLeast"/>
    </w:pPr>
    <w:rPr>
      <w:rFonts w:ascii="Photina MT" w:eastAsia="Times New Roman" w:hAnsi="Photina MT" w:cs="Photina MT"/>
      <w:color w:val="auto"/>
      <w:lang w:val="en-GB"/>
    </w:rPr>
  </w:style>
  <w:style w:type="character" w:customStyle="1" w:styleId="BookTitle1">
    <w:name w:val="Book Title1"/>
    <w:uiPriority w:val="33"/>
    <w:qFormat/>
    <w:rsid w:val="00753AD4"/>
    <w:rPr>
      <w:rFonts w:cs="Times New Roman"/>
      <w:b/>
      <w:bCs/>
      <w:smallCaps/>
      <w:spacing w:val="5"/>
    </w:rPr>
  </w:style>
  <w:style w:type="character" w:customStyle="1" w:styleId="IntenseReference1">
    <w:name w:val="Intense Reference1"/>
    <w:uiPriority w:val="32"/>
    <w:qFormat/>
    <w:rsid w:val="00753AD4"/>
    <w:rPr>
      <w:rFonts w:cs="Times New Roman"/>
      <w:b/>
      <w:bCs/>
      <w:smallCaps/>
      <w:color w:val="C0504D"/>
      <w:spacing w:val="5"/>
      <w:u w:val="single"/>
    </w:rPr>
  </w:style>
  <w:style w:type="character" w:customStyle="1" w:styleId="CharChar10">
    <w:name w:val="Char Char10"/>
    <w:locked/>
    <w:rsid w:val="00753AD4"/>
    <w:rPr>
      <w:rFonts w:ascii="Times New Roman" w:hAnsi="Times New Roman" w:cs="Times New Roman"/>
      <w:sz w:val="20"/>
      <w:szCs w:val="20"/>
      <w:lang w:val="x-none" w:eastAsia="en-GB"/>
    </w:rPr>
  </w:style>
  <w:style w:type="character" w:customStyle="1" w:styleId="paralargecolourtext">
    <w:name w:val="paralargecolourtext"/>
    <w:basedOn w:val="DefaultParagraphFont"/>
    <w:rsid w:val="00753AD4"/>
  </w:style>
  <w:style w:type="paragraph" w:customStyle="1" w:styleId="TableParagraph">
    <w:name w:val="Table Paragraph"/>
    <w:basedOn w:val="Normal"/>
    <w:uiPriority w:val="1"/>
    <w:qFormat/>
    <w:rsid w:val="00753AD4"/>
    <w:pPr>
      <w:widowControl w:val="0"/>
      <w:spacing w:after="0" w:line="240" w:lineRule="auto"/>
    </w:pPr>
    <w:rPr>
      <w:rFonts w:eastAsiaTheme="minorHAnsi"/>
      <w:lang w:val="en-US" w:eastAsia="en-US"/>
    </w:rPr>
  </w:style>
  <w:style w:type="paragraph" w:styleId="NormalWeb">
    <w:name w:val="Normal (Web)"/>
    <w:basedOn w:val="Normal"/>
    <w:uiPriority w:val="99"/>
    <w:unhideWhenUsed/>
    <w:rsid w:val="00753AD4"/>
    <w:pPr>
      <w:spacing w:before="100" w:beforeAutospacing="1" w:after="100" w:afterAutospacing="1" w:line="240" w:lineRule="auto"/>
    </w:pPr>
    <w:rPr>
      <w:rFonts w:ascii="Times New Roman" w:hAnsi="Times New Roman" w:cs="Times New Roman"/>
      <w:sz w:val="24"/>
      <w:szCs w:val="24"/>
      <w:lang w:val="en-CA" w:eastAsia="en-CA"/>
    </w:rPr>
  </w:style>
  <w:style w:type="character" w:styleId="EndnoteReference">
    <w:name w:val="endnote reference"/>
    <w:basedOn w:val="DefaultParagraphFont"/>
    <w:uiPriority w:val="99"/>
    <w:semiHidden/>
    <w:unhideWhenUsed/>
    <w:rsid w:val="00753AD4"/>
    <w:rPr>
      <w:vertAlign w:val="superscript"/>
    </w:rPr>
  </w:style>
  <w:style w:type="paragraph" w:styleId="ListBullet2">
    <w:name w:val="List Bullet 2"/>
    <w:basedOn w:val="Normal"/>
    <w:rsid w:val="00753AD4"/>
    <w:pPr>
      <w:numPr>
        <w:numId w:val="1"/>
      </w:numPr>
      <w:spacing w:after="240" w:line="240" w:lineRule="auto"/>
      <w:jc w:val="both"/>
    </w:pPr>
    <w:rPr>
      <w:rFonts w:ascii="Times New Roman" w:eastAsia="Times New Roman" w:hAnsi="Times New Roman" w:cs="Times New Roman"/>
      <w:lang w:val="en-GB" w:eastAsia="zh-CN"/>
    </w:rPr>
  </w:style>
  <w:style w:type="character" w:styleId="PageNumber">
    <w:name w:val="page number"/>
    <w:basedOn w:val="DefaultParagraphFont"/>
    <w:uiPriority w:val="99"/>
    <w:semiHidden/>
    <w:unhideWhenUsed/>
    <w:rsid w:val="00753AD4"/>
  </w:style>
  <w:style w:type="table" w:styleId="TableGrid">
    <w:name w:val="Table Grid"/>
    <w:basedOn w:val="TableNormal"/>
    <w:uiPriority w:val="59"/>
    <w:rsid w:val="00753AD4"/>
    <w:pPr>
      <w:spacing w:after="0" w:line="240" w:lineRule="auto"/>
    </w:pPr>
    <w:rPr>
      <w:rFonts w:eastAsiaTheme="minorHAns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70">
    <w:name w:val="text70"/>
    <w:basedOn w:val="DefaultParagraphFont"/>
    <w:rsid w:val="00753AD4"/>
  </w:style>
  <w:style w:type="character" w:customStyle="1" w:styleId="slug-doi-wrapper">
    <w:name w:val="slug-doi-wrapper"/>
    <w:basedOn w:val="DefaultParagraphFont"/>
    <w:rsid w:val="00753AD4"/>
  </w:style>
  <w:style w:type="character" w:customStyle="1" w:styleId="slug-doi">
    <w:name w:val="slug-doi"/>
    <w:basedOn w:val="DefaultParagraphFont"/>
    <w:rsid w:val="00753AD4"/>
  </w:style>
  <w:style w:type="paragraph" w:styleId="TOC2">
    <w:name w:val="toc 2"/>
    <w:basedOn w:val="Normal"/>
    <w:next w:val="Normal"/>
    <w:autoRedefine/>
    <w:uiPriority w:val="39"/>
    <w:unhideWhenUsed/>
    <w:rsid w:val="00753AD4"/>
    <w:pPr>
      <w:spacing w:before="240" w:after="0" w:line="240" w:lineRule="auto"/>
      <w:ind w:firstLine="709"/>
    </w:pPr>
    <w:rPr>
      <w:rFonts w:eastAsiaTheme="minorHAnsi"/>
      <w:b/>
      <w:bCs/>
      <w:sz w:val="20"/>
      <w:szCs w:val="20"/>
      <w:lang w:eastAsia="en-US"/>
    </w:rPr>
  </w:style>
  <w:style w:type="paragraph" w:styleId="Caption">
    <w:name w:val="caption"/>
    <w:basedOn w:val="Normal"/>
    <w:next w:val="Normal"/>
    <w:uiPriority w:val="35"/>
    <w:unhideWhenUsed/>
    <w:qFormat/>
    <w:rsid w:val="00753AD4"/>
    <w:pPr>
      <w:spacing w:line="240" w:lineRule="auto"/>
    </w:pPr>
    <w:rPr>
      <w:b/>
      <w:bCs/>
      <w:color w:val="4F81BD" w:themeColor="accent1"/>
      <w:sz w:val="18"/>
      <w:szCs w:val="18"/>
      <w:lang w:val="en-US"/>
    </w:rPr>
  </w:style>
  <w:style w:type="paragraph" w:customStyle="1" w:styleId="byline">
    <w:name w:val="byline"/>
    <w:basedOn w:val="Normal"/>
    <w:rsid w:val="00753AD4"/>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lledutableau1">
    <w:name w:val="Grille du tableau1"/>
    <w:basedOn w:val="TableNormal"/>
    <w:next w:val="TableGrid"/>
    <w:uiPriority w:val="59"/>
    <w:rsid w:val="00753AD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920314018msonormal">
    <w:name w:val="yiv1920314018msonormal"/>
    <w:basedOn w:val="Normal"/>
    <w:rsid w:val="00753AD4"/>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styleId="TOC3">
    <w:name w:val="toc 3"/>
    <w:basedOn w:val="Normal"/>
    <w:next w:val="Normal"/>
    <w:autoRedefine/>
    <w:uiPriority w:val="39"/>
    <w:unhideWhenUsed/>
    <w:rsid w:val="00753AD4"/>
    <w:pPr>
      <w:spacing w:after="0" w:line="240" w:lineRule="auto"/>
      <w:ind w:left="220" w:firstLine="709"/>
    </w:pPr>
    <w:rPr>
      <w:rFonts w:eastAsiaTheme="minorHAnsi"/>
      <w:sz w:val="20"/>
      <w:szCs w:val="20"/>
      <w:lang w:eastAsia="en-US"/>
    </w:rPr>
  </w:style>
  <w:style w:type="paragraph" w:styleId="TOC4">
    <w:name w:val="toc 4"/>
    <w:basedOn w:val="Normal"/>
    <w:next w:val="Normal"/>
    <w:autoRedefine/>
    <w:uiPriority w:val="39"/>
    <w:unhideWhenUsed/>
    <w:rsid w:val="00753AD4"/>
    <w:pPr>
      <w:spacing w:after="0" w:line="240" w:lineRule="auto"/>
      <w:ind w:left="440" w:firstLine="709"/>
    </w:pPr>
    <w:rPr>
      <w:rFonts w:eastAsiaTheme="minorHAnsi"/>
      <w:sz w:val="20"/>
      <w:szCs w:val="20"/>
      <w:lang w:eastAsia="en-US"/>
    </w:rPr>
  </w:style>
  <w:style w:type="paragraph" w:customStyle="1" w:styleId="CM4">
    <w:name w:val="CM4"/>
    <w:basedOn w:val="Normal"/>
    <w:next w:val="Normal"/>
    <w:uiPriority w:val="99"/>
    <w:rsid w:val="00753AD4"/>
    <w:pPr>
      <w:widowControl w:val="0"/>
      <w:autoSpaceDE w:val="0"/>
      <w:autoSpaceDN w:val="0"/>
      <w:adjustRightInd w:val="0"/>
      <w:spacing w:after="0" w:line="240" w:lineRule="auto"/>
    </w:pPr>
    <w:rPr>
      <w:rFonts w:ascii="EUAlbertina" w:hAnsi="EUAlbertina" w:cs="Times New Roman"/>
      <w:sz w:val="24"/>
      <w:szCs w:val="24"/>
      <w:lang w:val="en-US" w:eastAsia="en-US"/>
    </w:rPr>
  </w:style>
  <w:style w:type="paragraph" w:styleId="TOC5">
    <w:name w:val="toc 5"/>
    <w:basedOn w:val="Normal"/>
    <w:next w:val="Normal"/>
    <w:autoRedefine/>
    <w:uiPriority w:val="39"/>
    <w:unhideWhenUsed/>
    <w:rsid w:val="00753AD4"/>
    <w:pPr>
      <w:spacing w:after="0" w:line="240" w:lineRule="auto"/>
      <w:ind w:left="660" w:firstLine="709"/>
    </w:pPr>
    <w:rPr>
      <w:rFonts w:eastAsiaTheme="minorHAnsi"/>
      <w:sz w:val="20"/>
      <w:szCs w:val="20"/>
      <w:lang w:eastAsia="en-US"/>
    </w:rPr>
  </w:style>
  <w:style w:type="character" w:customStyle="1" w:styleId="il">
    <w:name w:val="il"/>
    <w:basedOn w:val="DefaultParagraphFont"/>
    <w:rsid w:val="00753AD4"/>
  </w:style>
  <w:style w:type="paragraph" w:customStyle="1" w:styleId="CM1">
    <w:name w:val="CM1"/>
    <w:basedOn w:val="Default"/>
    <w:next w:val="Default"/>
    <w:uiPriority w:val="99"/>
    <w:rsid w:val="00753AD4"/>
    <w:pPr>
      <w:widowControl w:val="0"/>
    </w:pPr>
    <w:rPr>
      <w:rFonts w:ascii="EUAlbertina" w:eastAsia="EUAlbertina" w:hAnsiTheme="minorHAnsi" w:cstheme="minorBidi"/>
      <w:color w:val="auto"/>
      <w:lang w:val="en-US"/>
    </w:rPr>
  </w:style>
  <w:style w:type="paragraph" w:customStyle="1" w:styleId="CM3">
    <w:name w:val="CM3"/>
    <w:basedOn w:val="Default"/>
    <w:next w:val="Default"/>
    <w:uiPriority w:val="99"/>
    <w:rsid w:val="00753AD4"/>
    <w:pPr>
      <w:widowControl w:val="0"/>
    </w:pPr>
    <w:rPr>
      <w:rFonts w:ascii="EUAlbertina" w:eastAsia="EUAlbertina" w:hAnsiTheme="minorHAnsi" w:cstheme="minorBidi"/>
      <w:color w:val="auto"/>
      <w:lang w:val="en-US"/>
    </w:rPr>
  </w:style>
  <w:style w:type="paragraph" w:customStyle="1" w:styleId="a">
    <w:name w:val="首行縮排"/>
    <w:basedOn w:val="Normal"/>
    <w:autoRedefine/>
    <w:qFormat/>
    <w:rsid w:val="00753AD4"/>
    <w:pPr>
      <w:widowControl w:val="0"/>
      <w:spacing w:before="100" w:beforeAutospacing="1" w:after="100" w:afterAutospacing="1" w:line="240" w:lineRule="auto"/>
      <w:ind w:firstLine="425"/>
      <w:jc w:val="both"/>
    </w:pPr>
    <w:rPr>
      <w:rFonts w:ascii="Times New Roman" w:hAnsi="Times New Roman" w:cs="Times New Roman"/>
      <w:bCs/>
      <w:sz w:val="24"/>
      <w:szCs w:val="24"/>
      <w:lang w:val="en-US" w:eastAsia="zh-TW"/>
    </w:rPr>
  </w:style>
  <w:style w:type="paragraph" w:styleId="TOC6">
    <w:name w:val="toc 6"/>
    <w:basedOn w:val="Normal"/>
    <w:next w:val="Normal"/>
    <w:autoRedefine/>
    <w:uiPriority w:val="39"/>
    <w:unhideWhenUsed/>
    <w:rsid w:val="00753AD4"/>
    <w:pPr>
      <w:spacing w:after="0" w:line="240" w:lineRule="auto"/>
      <w:ind w:left="880" w:firstLine="709"/>
    </w:pPr>
    <w:rPr>
      <w:rFonts w:eastAsiaTheme="minorHAnsi"/>
      <w:sz w:val="20"/>
      <w:szCs w:val="20"/>
      <w:lang w:eastAsia="en-US"/>
    </w:rPr>
  </w:style>
  <w:style w:type="paragraph" w:styleId="TOC7">
    <w:name w:val="toc 7"/>
    <w:basedOn w:val="Normal"/>
    <w:next w:val="Normal"/>
    <w:autoRedefine/>
    <w:uiPriority w:val="39"/>
    <w:unhideWhenUsed/>
    <w:rsid w:val="00753AD4"/>
    <w:pPr>
      <w:spacing w:after="0" w:line="240" w:lineRule="auto"/>
      <w:ind w:left="1100" w:firstLine="709"/>
    </w:pPr>
    <w:rPr>
      <w:rFonts w:eastAsiaTheme="minorHAnsi"/>
      <w:sz w:val="20"/>
      <w:szCs w:val="20"/>
      <w:lang w:eastAsia="en-US"/>
    </w:rPr>
  </w:style>
  <w:style w:type="paragraph" w:styleId="TOC8">
    <w:name w:val="toc 8"/>
    <w:basedOn w:val="Normal"/>
    <w:next w:val="Normal"/>
    <w:autoRedefine/>
    <w:uiPriority w:val="39"/>
    <w:unhideWhenUsed/>
    <w:rsid w:val="00753AD4"/>
    <w:pPr>
      <w:spacing w:after="0" w:line="240" w:lineRule="auto"/>
      <w:ind w:left="1320" w:firstLine="709"/>
    </w:pPr>
    <w:rPr>
      <w:rFonts w:eastAsiaTheme="minorHAnsi"/>
      <w:sz w:val="20"/>
      <w:szCs w:val="20"/>
      <w:lang w:eastAsia="en-US"/>
    </w:rPr>
  </w:style>
  <w:style w:type="paragraph" w:styleId="TOC9">
    <w:name w:val="toc 9"/>
    <w:basedOn w:val="Normal"/>
    <w:next w:val="Normal"/>
    <w:autoRedefine/>
    <w:uiPriority w:val="39"/>
    <w:unhideWhenUsed/>
    <w:rsid w:val="00753AD4"/>
    <w:pPr>
      <w:spacing w:after="0" w:line="240" w:lineRule="auto"/>
      <w:ind w:left="1540" w:firstLine="709"/>
    </w:pPr>
    <w:rPr>
      <w:rFonts w:eastAsiaTheme="minorHAnsi"/>
      <w:sz w:val="20"/>
      <w:szCs w:val="20"/>
      <w:lang w:eastAsia="en-US"/>
    </w:rPr>
  </w:style>
  <w:style w:type="paragraph" w:styleId="Index1">
    <w:name w:val="index 1"/>
    <w:basedOn w:val="Normal"/>
    <w:next w:val="Normal"/>
    <w:autoRedefine/>
    <w:uiPriority w:val="99"/>
    <w:semiHidden/>
    <w:unhideWhenUsed/>
    <w:rsid w:val="00753AD4"/>
    <w:pPr>
      <w:spacing w:after="0" w:line="240" w:lineRule="auto"/>
      <w:ind w:left="220" w:hanging="220"/>
      <w:jc w:val="both"/>
    </w:pPr>
    <w:rPr>
      <w:rFonts w:ascii="Times New Roman" w:eastAsiaTheme="minorHAnsi"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oecd.org/daf/inv/investment-policy/50241347.pdf" TargetMode="External"/><Relationship Id="rId3" Type="http://schemas.openxmlformats.org/officeDocument/2006/relationships/hyperlink" Target="http://www.oecd.org/daf/investment/workingpapers" TargetMode="External"/><Relationship Id="rId7" Type="http://schemas.openxmlformats.org/officeDocument/2006/relationships/hyperlink" Target="http://papers.ssrn.com/sol3/papers.cfm?abstract_id=2320375" TargetMode="External"/><Relationship Id="rId2" Type="http://schemas.openxmlformats.org/officeDocument/2006/relationships/hyperlink" Target="http://italaw.com" TargetMode="External"/><Relationship Id="rId1" Type="http://schemas.openxmlformats.org/officeDocument/2006/relationships/hyperlink" Target="mailto:m.sattorova@liverpool.ac.uk" TargetMode="External"/><Relationship Id="rId6" Type="http://schemas.openxmlformats.org/officeDocument/2006/relationships/hyperlink" Target="http://unctad.org/sections/dite/iia/docs/bits/canada_ecuador.pdf" TargetMode="External"/><Relationship Id="rId5" Type="http://schemas.openxmlformats.org/officeDocument/2006/relationships/hyperlink" Target="http://unctad.org/sections/dite/iia/docs/bits/italy_jordan.pdf" TargetMode="External"/><Relationship Id="rId4" Type="http://schemas.openxmlformats.org/officeDocument/2006/relationships/hyperlink" Target="http://unctad.org/sections/dite/iia/docs/bits/chile_malasia_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8128</Words>
  <Characters>46333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rw.unibe.ch</Company>
  <LinksUpToDate>false</LinksUpToDate>
  <CharactersWithSpaces>54353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Polanco</dc:creator>
  <cp:lastModifiedBy>Toshiba</cp:lastModifiedBy>
  <cp:revision>2</cp:revision>
  <dcterms:created xsi:type="dcterms:W3CDTF">2014-12-10T11:39:00Z</dcterms:created>
  <dcterms:modified xsi:type="dcterms:W3CDTF">2014-12-10T11:39:00Z</dcterms:modified>
</cp:coreProperties>
</file>