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5F69" w14:textId="77777777" w:rsidR="00C91185" w:rsidRDefault="00C91185">
      <w:pPr>
        <w:spacing w:after="0"/>
      </w:pPr>
      <w:r>
        <w:t>RUNNING HEAD: DEVELOPMENT OF THE SDES</w:t>
      </w:r>
    </w:p>
    <w:p w14:paraId="7C01F8C3" w14:textId="77777777" w:rsidR="00C91185" w:rsidRDefault="00C91185">
      <w:pPr>
        <w:spacing w:after="0"/>
      </w:pPr>
    </w:p>
    <w:p w14:paraId="72B144D4" w14:textId="77777777" w:rsidR="00C91185" w:rsidRDefault="00C91185">
      <w:pPr>
        <w:spacing w:after="0"/>
      </w:pPr>
    </w:p>
    <w:p w14:paraId="15AA654A" w14:textId="77777777" w:rsidR="00C91185" w:rsidRDefault="00C91185">
      <w:pPr>
        <w:spacing w:after="0"/>
      </w:pPr>
    </w:p>
    <w:p w14:paraId="44FC8D7E" w14:textId="77777777" w:rsidR="00C91185" w:rsidRDefault="00C91185">
      <w:pPr>
        <w:spacing w:after="0"/>
      </w:pPr>
    </w:p>
    <w:p w14:paraId="27CCEACC" w14:textId="77777777" w:rsidR="00C91185" w:rsidRDefault="00C91185">
      <w:pPr>
        <w:spacing w:after="0"/>
      </w:pPr>
    </w:p>
    <w:p w14:paraId="7B586DA5" w14:textId="77777777" w:rsidR="00C91185" w:rsidRDefault="00C91185">
      <w:pPr>
        <w:spacing w:after="0"/>
      </w:pPr>
    </w:p>
    <w:p w14:paraId="0A735578" w14:textId="77777777" w:rsidR="00C91185" w:rsidRDefault="00C91185">
      <w:pPr>
        <w:spacing w:after="0"/>
      </w:pPr>
    </w:p>
    <w:p w14:paraId="05A2A042" w14:textId="77777777" w:rsidR="00C91185" w:rsidRDefault="00C91185" w:rsidP="00A7056A">
      <w:pPr>
        <w:spacing w:after="0" w:line="480" w:lineRule="auto"/>
        <w:jc w:val="center"/>
      </w:pPr>
    </w:p>
    <w:p w14:paraId="4AEAB847" w14:textId="77777777" w:rsidR="00C91185" w:rsidRDefault="00C91185" w:rsidP="00A7056A">
      <w:pPr>
        <w:spacing w:after="0" w:line="480" w:lineRule="auto"/>
        <w:jc w:val="center"/>
      </w:pPr>
    </w:p>
    <w:p w14:paraId="29AC4D64" w14:textId="77777777" w:rsidR="00C91185" w:rsidRDefault="00C91185" w:rsidP="00A7056A">
      <w:pPr>
        <w:spacing w:after="0" w:line="480" w:lineRule="auto"/>
        <w:jc w:val="center"/>
      </w:pPr>
    </w:p>
    <w:p w14:paraId="5221C7C0" w14:textId="77777777" w:rsidR="00C91185" w:rsidRDefault="00C91185" w:rsidP="00A7056A">
      <w:pPr>
        <w:spacing w:after="0" w:line="480" w:lineRule="auto"/>
        <w:jc w:val="center"/>
      </w:pPr>
      <w:r>
        <w:t>The Development of the Short Defeat and Entrapment Scale (SDES).</w:t>
      </w:r>
    </w:p>
    <w:p w14:paraId="74F8E318" w14:textId="77777777" w:rsidR="00C91185" w:rsidRPr="00D64B6F" w:rsidRDefault="00C91185" w:rsidP="00D64B6F">
      <w:pPr>
        <w:spacing w:after="0"/>
        <w:jc w:val="center"/>
        <w:rPr>
          <w:vertAlign w:val="superscript"/>
        </w:rPr>
      </w:pPr>
      <w:r>
        <w:t>Alys W. Griffiths</w:t>
      </w:r>
      <w:r>
        <w:rPr>
          <w:vertAlign w:val="superscript"/>
        </w:rPr>
        <w:t>a</w:t>
      </w:r>
      <w:r>
        <w:t>*, Alex M. Wood</w:t>
      </w:r>
      <w:r>
        <w:rPr>
          <w:vertAlign w:val="superscript"/>
        </w:rPr>
        <w:t>ab</w:t>
      </w:r>
      <w:r>
        <w:t>, John Maltby</w:t>
      </w:r>
      <w:r>
        <w:rPr>
          <w:vertAlign w:val="superscript"/>
        </w:rPr>
        <w:t>c</w:t>
      </w:r>
      <w:r>
        <w:t>, Peter J. Taylor</w:t>
      </w:r>
      <w:r>
        <w:rPr>
          <w:vertAlign w:val="superscript"/>
        </w:rPr>
        <w:t>d</w:t>
      </w:r>
      <w:r>
        <w:t>, Maria Panagioti</w:t>
      </w:r>
      <w:r>
        <w:rPr>
          <w:vertAlign w:val="superscript"/>
        </w:rPr>
        <w:t>a</w:t>
      </w:r>
      <w:r>
        <w:t xml:space="preserve"> &amp;</w:t>
      </w:r>
      <w:r w:rsidRPr="009777C1">
        <w:t xml:space="preserve"> </w:t>
      </w:r>
      <w:r>
        <w:t>Sara Tai</w:t>
      </w:r>
      <w:r>
        <w:rPr>
          <w:vertAlign w:val="superscript"/>
        </w:rPr>
        <w:t>a</w:t>
      </w:r>
      <w:r>
        <w:t>.</w:t>
      </w:r>
      <w:r w:rsidRPr="00672616">
        <w:rPr>
          <w:rStyle w:val="FootnoteReference"/>
          <w:color w:val="FFFFFF" w:themeColor="background1"/>
        </w:rPr>
        <w:footnoteReference w:id="1"/>
      </w:r>
    </w:p>
    <w:p w14:paraId="0456404A" w14:textId="77777777" w:rsidR="00C91185" w:rsidRDefault="00C91185">
      <w:pPr>
        <w:spacing w:after="0"/>
      </w:pPr>
      <w:r>
        <w:br w:type="page"/>
      </w:r>
    </w:p>
    <w:p w14:paraId="11920D64" w14:textId="7C5C848E" w:rsidR="0028735A" w:rsidRDefault="0028735A" w:rsidP="00225800">
      <w:pPr>
        <w:spacing w:line="480" w:lineRule="auto"/>
        <w:ind w:left="-709"/>
        <w:jc w:val="center"/>
      </w:pPr>
      <w:r>
        <w:lastRenderedPageBreak/>
        <w:t>Abstract</w:t>
      </w:r>
    </w:p>
    <w:p w14:paraId="511B5C81" w14:textId="2E68ABF6" w:rsidR="004F4F94" w:rsidRDefault="000D4D03" w:rsidP="00225800">
      <w:pPr>
        <w:spacing w:line="480" w:lineRule="auto"/>
        <w:ind w:left="-709"/>
      </w:pPr>
      <w:r w:rsidRPr="00667FB9">
        <w:t xml:space="preserve">Previous research has suggested that defeat (conceptualized as a failed social struggle) and </w:t>
      </w:r>
      <w:r w:rsidRPr="009133BE">
        <w:t>entrapment (conceptualized as a perceived inability to escape from aversive situations) form a</w:t>
      </w:r>
      <w:r w:rsidRPr="00667FB9">
        <w:t xml:space="preserve"> single construct that r</w:t>
      </w:r>
      <w:r>
        <w:t>eliably predicts psychopathological outcomes</w:t>
      </w:r>
      <w:r w:rsidRPr="00667FB9">
        <w:t xml:space="preserve"> in clinical and community settings. However, scales designed to </w:t>
      </w:r>
      <w:r w:rsidR="00A36333">
        <w:t>assess</w:t>
      </w:r>
      <w:r w:rsidRPr="00667FB9">
        <w:t xml:space="preserve"> defeat and entrapment measure the constructs separately, whereas recent evidence suggests a single scale would be appropriate. Existing scales may also be too lengthy to have clinical utility. The present study developed and evaluated a short scale that measured both defeat and entrapment. Exploratory and confirmatory factor analysis demonstrated that defeat and entrapment were best defined by a single factor and eight items were selected that best represented this construct t</w:t>
      </w:r>
      <w:r w:rsidR="00222559">
        <w:t xml:space="preserve">o form the </w:t>
      </w:r>
      <w:r w:rsidR="00A36333">
        <w:t xml:space="preserve">short </w:t>
      </w:r>
      <w:r w:rsidR="00222559">
        <w:t xml:space="preserve">scale. The scale had </w:t>
      </w:r>
      <w:r w:rsidRPr="00667FB9">
        <w:t>high internal con</w:t>
      </w:r>
      <w:r w:rsidR="00222559">
        <w:t xml:space="preserve">sistency (α = .88 - .94), showed </w:t>
      </w:r>
      <w:r w:rsidRPr="00667FB9">
        <w:t>criterion validity with hopelessness (</w:t>
      </w:r>
      <w:r w:rsidRPr="00667FB9">
        <w:rPr>
          <w:i/>
        </w:rPr>
        <w:t>r</w:t>
      </w:r>
      <w:r w:rsidR="00222559">
        <w:t xml:space="preserve"> = .45 - .93) and </w:t>
      </w:r>
      <w:r w:rsidRPr="00667FB9">
        <w:t>incremental validity for caregiver burden when controlling for depression and positive symptoms of psychosis when controlling for hopelessness (</w:t>
      </w:r>
      <w:r w:rsidRPr="00667FB9">
        <w:rPr>
          <w:i/>
        </w:rPr>
        <w:t>β</w:t>
      </w:r>
      <w:r w:rsidRPr="00667FB9">
        <w:t xml:space="preserve"> = .45 - .60)</w:t>
      </w:r>
      <w:r w:rsidR="00222559">
        <w:t>. Additionally, the scale had</w:t>
      </w:r>
      <w:r w:rsidRPr="00667FB9">
        <w:t xml:space="preserve"> </w:t>
      </w:r>
      <w:r>
        <w:t xml:space="preserve">excellent test-retest reliability using </w:t>
      </w:r>
      <w:r w:rsidRPr="003E5AA9">
        <w:t>single measures absolute agreement</w:t>
      </w:r>
      <w:r>
        <w:t xml:space="preserve"> Intra-Class Coefficients across 12 months (</w:t>
      </w:r>
      <w:r w:rsidRPr="004A35E3">
        <w:rPr>
          <w:i/>
        </w:rPr>
        <w:t>r</w:t>
      </w:r>
      <w:r w:rsidRPr="004A35E3">
        <w:rPr>
          <w:vertAlign w:val="subscript"/>
        </w:rPr>
        <w:t>icc</w:t>
      </w:r>
      <w:r>
        <w:t xml:space="preserve"> = .88 - .92) </w:t>
      </w:r>
      <w:r w:rsidRPr="00667FB9">
        <w:t xml:space="preserve">within four </w:t>
      </w:r>
      <w:r w:rsidR="00222559" w:rsidRPr="00667FB9">
        <w:t>samples;</w:t>
      </w:r>
      <w:r w:rsidRPr="00667FB9">
        <w:t xml:space="preserve"> people with posttraumatic stress disorder, p</w:t>
      </w:r>
      <w:r>
        <w:t>eople with psychosis, care home employees</w:t>
      </w:r>
      <w:r w:rsidRPr="00667FB9">
        <w:t xml:space="preserve"> and people from a community sample. The scale demonstrated known group validity through discrimination between clinical and non-clinical groups of participants. This scale could be implemented within therapeutic settings to help clinicians identify patients experiencing defeat and entrapment and incorporate these factors into their clinical assessment and case formulations for treatment.</w:t>
      </w:r>
      <w:r>
        <w:br/>
      </w:r>
      <w:bookmarkStart w:id="0" w:name="_GoBack"/>
      <w:r w:rsidR="00773206">
        <w:br/>
      </w:r>
      <w:r w:rsidR="004F4F94">
        <w:t>KEY WORDS: defeat; entrapment; psychopathology</w:t>
      </w:r>
      <w:r w:rsidR="00287265">
        <w:t xml:space="preserve">; </w:t>
      </w:r>
      <w:r w:rsidR="00BA1493">
        <w:t>depression; PTSD</w:t>
      </w:r>
    </w:p>
    <w:bookmarkEnd w:id="0"/>
    <w:p w14:paraId="6545384E" w14:textId="77777777" w:rsidR="0028735A" w:rsidRDefault="0028735A" w:rsidP="00225800">
      <w:pPr>
        <w:spacing w:after="0"/>
        <w:ind w:left="-709"/>
        <w:rPr>
          <w:rFonts w:eastAsia="MS ??"/>
        </w:rPr>
      </w:pPr>
    </w:p>
    <w:p w14:paraId="2B8DEB65" w14:textId="63AB40B5" w:rsidR="0028735A" w:rsidRDefault="0028735A" w:rsidP="00225800">
      <w:pPr>
        <w:spacing w:after="0"/>
        <w:ind w:left="-709"/>
        <w:rPr>
          <w:rFonts w:eastAsia="MS ??"/>
        </w:rPr>
      </w:pPr>
    </w:p>
    <w:p w14:paraId="1CF74492" w14:textId="77777777" w:rsidR="0069565D" w:rsidRDefault="0069565D" w:rsidP="00225800">
      <w:pPr>
        <w:spacing w:after="0"/>
        <w:ind w:left="-709"/>
        <w:rPr>
          <w:rFonts w:eastAsia="MS ??"/>
        </w:rPr>
      </w:pPr>
      <w:r>
        <w:br w:type="page"/>
      </w:r>
    </w:p>
    <w:p w14:paraId="6264C523" w14:textId="4A5794E0" w:rsidR="00E31ECA" w:rsidRPr="0068161F" w:rsidRDefault="00E31ECA" w:rsidP="00225800">
      <w:pPr>
        <w:pStyle w:val="ListParagraph"/>
        <w:spacing w:line="480" w:lineRule="auto"/>
        <w:ind w:left="-709"/>
        <w:jc w:val="center"/>
        <w:rPr>
          <w:b/>
        </w:rPr>
      </w:pPr>
      <w:r w:rsidRPr="0068161F">
        <w:rPr>
          <w:b/>
        </w:rPr>
        <w:lastRenderedPageBreak/>
        <w:t>The Development of the Short Defeat and Entrapment Scale (SDES)</w:t>
      </w:r>
    </w:p>
    <w:p w14:paraId="614AC2BF" w14:textId="77777777" w:rsidR="007C5618" w:rsidRDefault="007C5618" w:rsidP="00225800">
      <w:pPr>
        <w:pStyle w:val="ListParagraph"/>
        <w:spacing w:line="480" w:lineRule="auto"/>
        <w:ind w:left="-709"/>
      </w:pPr>
    </w:p>
    <w:p w14:paraId="7E8C3A1C" w14:textId="10993110" w:rsidR="00126257" w:rsidRPr="009D7CCC" w:rsidRDefault="00126257" w:rsidP="00225800">
      <w:pPr>
        <w:pStyle w:val="ListParagraph"/>
        <w:spacing w:line="480" w:lineRule="auto"/>
        <w:ind w:left="-709"/>
      </w:pPr>
      <w:r w:rsidRPr="009D7CCC">
        <w:tab/>
        <w:t xml:space="preserve">The concepts of defeat, </w:t>
      </w:r>
      <w:r w:rsidR="00E07CC4">
        <w:t>representing</w:t>
      </w:r>
      <w:r w:rsidR="009B7422">
        <w:t xml:space="preserve"> a failed social struggle,</w:t>
      </w:r>
      <w:r w:rsidRPr="009D7CCC">
        <w:t xml:space="preserve"> and entrapment, representing a blocked motivation to escape from aversive situations (Gilbert &amp; Allan, 1998), have been implicated in the development and maintenance of </w:t>
      </w:r>
      <w:r w:rsidR="00C17B7F">
        <w:t>menta</w:t>
      </w:r>
      <w:r w:rsidR="006D3F0C">
        <w:t xml:space="preserve">l </w:t>
      </w:r>
      <w:r w:rsidR="00CD0505">
        <w:t>health problems amongst</w:t>
      </w:r>
      <w:r w:rsidR="00D26035">
        <w:t xml:space="preserve"> clinical and non-clinical populations</w:t>
      </w:r>
      <w:r w:rsidR="00AB3517">
        <w:t xml:space="preserve"> (Taylor et al., 2011</w:t>
      </w:r>
      <w:r w:rsidR="0060235F">
        <w:t>a</w:t>
      </w:r>
      <w:r w:rsidR="00AB3517">
        <w:t>)</w:t>
      </w:r>
      <w:r w:rsidRPr="009D7CCC">
        <w:t xml:space="preserve">. </w:t>
      </w:r>
      <w:r w:rsidR="00AB3517">
        <w:t>Although initially viewed as separate concepts, most recent theory and research has conceptualized defeat and entrapment as a single construct</w:t>
      </w:r>
      <w:r w:rsidRPr="009D7CCC">
        <w:t xml:space="preserve"> encompass</w:t>
      </w:r>
      <w:r w:rsidR="009D0C8B">
        <w:t xml:space="preserve">ing </w:t>
      </w:r>
      <w:r w:rsidRPr="009D7CCC">
        <w:t>feelings of failure w</w:t>
      </w:r>
      <w:r w:rsidR="006A2508">
        <w:t xml:space="preserve">ithout any </w:t>
      </w:r>
      <w:r w:rsidRPr="009D7CCC">
        <w:t>escape routes</w:t>
      </w:r>
      <w:r w:rsidR="00E56441">
        <w:t xml:space="preserve"> (e.g. Taylor et al., 2009)</w:t>
      </w:r>
      <w:r w:rsidR="00DA7415">
        <w:t xml:space="preserve"> or as sub-facets within a </w:t>
      </w:r>
      <w:r w:rsidR="007F2B93">
        <w:t>higher order construct</w:t>
      </w:r>
      <w:r w:rsidR="007922A5">
        <w:t xml:space="preserve"> commonly</w:t>
      </w:r>
      <w:r w:rsidR="00DA7415">
        <w:t xml:space="preserve"> termed ‘involuntary subordination’ (Sturman, 2011)</w:t>
      </w:r>
      <w:r w:rsidR="006A2508">
        <w:t xml:space="preserve">. </w:t>
      </w:r>
      <w:r w:rsidR="00123E20">
        <w:rPr>
          <w:iCs/>
        </w:rPr>
        <w:t xml:space="preserve">Within </w:t>
      </w:r>
      <w:r w:rsidR="007F2B93">
        <w:rPr>
          <w:iCs/>
        </w:rPr>
        <w:t>this construct</w:t>
      </w:r>
      <w:r w:rsidR="00123E20">
        <w:rPr>
          <w:iCs/>
        </w:rPr>
        <w:t>, it has been theorized that the acceptance of defeating and entrapping situations is crucial in</w:t>
      </w:r>
      <w:r w:rsidR="00123E20" w:rsidRPr="003A4961">
        <w:rPr>
          <w:iCs/>
        </w:rPr>
        <w:t xml:space="preserve"> whether involuntary subordination becomes prolonged and manifests in depr</w:t>
      </w:r>
      <w:r w:rsidR="00123E20">
        <w:rPr>
          <w:iCs/>
        </w:rPr>
        <w:t>essive symptoms (Sturman et al.</w:t>
      </w:r>
      <w:r w:rsidR="00123E20" w:rsidRPr="003A4961">
        <w:rPr>
          <w:iCs/>
        </w:rPr>
        <w:t>, in press).</w:t>
      </w:r>
      <w:r w:rsidR="00123E20">
        <w:t xml:space="preserve"> </w:t>
      </w:r>
      <w:r w:rsidR="006A2508">
        <w:t xml:space="preserve">Taylor </w:t>
      </w:r>
      <w:r w:rsidR="00E04DC9">
        <w:t>and colleagues</w:t>
      </w:r>
      <w:r w:rsidR="006A2508">
        <w:t xml:space="preserve"> (20</w:t>
      </w:r>
      <w:r w:rsidR="00082183">
        <w:t>11</w:t>
      </w:r>
      <w:r w:rsidR="0060235F">
        <w:t>a</w:t>
      </w:r>
      <w:r w:rsidR="006A2508">
        <w:t>) suggested that f</w:t>
      </w:r>
      <w:r w:rsidR="00CB4897">
        <w:t>ollowing</w:t>
      </w:r>
      <w:r w:rsidRPr="009D7CCC">
        <w:t xml:space="preserve"> an aversive event, defeat and entrapment form a self-reinforcing </w:t>
      </w:r>
      <w:r w:rsidR="00C17B7F">
        <w:t xml:space="preserve">mechanism </w:t>
      </w:r>
      <w:r w:rsidRPr="009D7CCC">
        <w:t xml:space="preserve">whereby the experience of one influences the other continuously, leading </w:t>
      </w:r>
      <w:r w:rsidR="00B44890">
        <w:t>them to</w:t>
      </w:r>
      <w:r w:rsidRPr="009D7CCC">
        <w:t xml:space="preserve"> co-</w:t>
      </w:r>
      <w:r w:rsidR="00B44890">
        <w:t>occur</w:t>
      </w:r>
      <w:r w:rsidRPr="009D7CCC">
        <w:t xml:space="preserve"> to such an extent that they cannot be separated. </w:t>
      </w:r>
      <w:r w:rsidR="00CD0505">
        <w:t xml:space="preserve">Additionally, </w:t>
      </w:r>
      <w:r w:rsidR="00AB3517">
        <w:t>Johnson, Gooding, and Tarrier’s (2008)</w:t>
      </w:r>
      <w:r w:rsidRPr="009D7CCC">
        <w:t xml:space="preserve"> model suggest</w:t>
      </w:r>
      <w:r w:rsidR="00C17B7F">
        <w:t>ed</w:t>
      </w:r>
      <w:r w:rsidRPr="009D7CCC">
        <w:t xml:space="preserve"> that defeat and entrapment involve identical themes representing a biased app</w:t>
      </w:r>
      <w:r w:rsidR="0006133D">
        <w:t>raisal of an aversive situation</w:t>
      </w:r>
      <w:r w:rsidRPr="009D7CCC">
        <w:t xml:space="preserve"> and a lack of</w:t>
      </w:r>
      <w:r w:rsidR="00151990">
        <w:t xml:space="preserve"> </w:t>
      </w:r>
      <w:r w:rsidRPr="009D7CCC">
        <w:t xml:space="preserve">escape </w:t>
      </w:r>
      <w:r w:rsidR="00151990">
        <w:t>options</w:t>
      </w:r>
      <w:r w:rsidR="006D0328">
        <w:t xml:space="preserve"> available to the </w:t>
      </w:r>
      <w:r w:rsidR="00AB3517">
        <w:t>individual,</w:t>
      </w:r>
      <w:r w:rsidR="00B44890">
        <w:t xml:space="preserve"> which </w:t>
      </w:r>
      <w:r w:rsidR="00C97BE9">
        <w:t>precede</w:t>
      </w:r>
      <w:r w:rsidR="00F82FF7">
        <w:t>s the experience of</w:t>
      </w:r>
      <w:r w:rsidR="00C97BE9">
        <w:t xml:space="preserve"> </w:t>
      </w:r>
      <w:r w:rsidR="00F82FF7">
        <w:t>mental health problems.</w:t>
      </w:r>
      <w:r w:rsidRPr="009D7CCC">
        <w:t xml:space="preserve"> </w:t>
      </w:r>
      <w:r w:rsidR="00305C39">
        <w:t xml:space="preserve">Furthermore, Sturman </w:t>
      </w:r>
      <w:r w:rsidR="00774017">
        <w:t>(2011</w:t>
      </w:r>
      <w:r w:rsidR="00305C39">
        <w:t>) proposed that</w:t>
      </w:r>
      <w:r w:rsidR="002900AD">
        <w:t xml:space="preserve"> the experiences of</w:t>
      </w:r>
      <w:r w:rsidR="00305C39">
        <w:t xml:space="preserve"> defeat and entrapment</w:t>
      </w:r>
      <w:r w:rsidR="002900AD">
        <w:t xml:space="preserve"> </w:t>
      </w:r>
      <w:r w:rsidR="00D87BFF">
        <w:t>are overlapping sub-facets of the</w:t>
      </w:r>
      <w:r w:rsidR="00774017">
        <w:t xml:space="preserve"> perception of</w:t>
      </w:r>
      <w:r w:rsidR="00305C39">
        <w:t xml:space="preserve"> involuntary subordination</w:t>
      </w:r>
      <w:r w:rsidR="002900AD">
        <w:t xml:space="preserve">, </w:t>
      </w:r>
      <w:r w:rsidR="00774017">
        <w:t xml:space="preserve">which </w:t>
      </w:r>
      <w:r w:rsidR="001A4350">
        <w:t>plays a role in</w:t>
      </w:r>
      <w:r w:rsidR="00C17B7F">
        <w:t xml:space="preserve"> the development of mental health problems</w:t>
      </w:r>
      <w:r w:rsidR="002900AD">
        <w:t>.</w:t>
      </w:r>
      <w:r w:rsidR="00DA7415">
        <w:t xml:space="preserve"> </w:t>
      </w:r>
      <w:r w:rsidR="00AB3517">
        <w:t>Each of these models view defeat and entrapment as a single construct</w:t>
      </w:r>
      <w:r w:rsidR="00F82FF7">
        <w:t>, or a sub-facet of a single higher order construct,</w:t>
      </w:r>
      <w:r w:rsidR="00AB3517">
        <w:t xml:space="preserve"> that plays a transdiagnostic role in the development and maintenance of psychopathological disorders.</w:t>
      </w:r>
    </w:p>
    <w:p w14:paraId="71730679" w14:textId="321676FA" w:rsidR="000D4D03" w:rsidRPr="00667FB9" w:rsidRDefault="007934C9" w:rsidP="007934C9">
      <w:pPr>
        <w:pStyle w:val="ListParagraph"/>
        <w:tabs>
          <w:tab w:val="left" w:pos="284"/>
        </w:tabs>
        <w:spacing w:line="480" w:lineRule="auto"/>
        <w:ind w:left="-709"/>
      </w:pPr>
      <w:r>
        <w:t xml:space="preserve"> </w:t>
      </w:r>
      <w:r>
        <w:tab/>
      </w:r>
      <w:r w:rsidR="000D4D03" w:rsidRPr="00667FB9">
        <w:t xml:space="preserve">Most previous research investigating the link between defeat, entrapment and </w:t>
      </w:r>
      <w:r w:rsidR="000D4D03">
        <w:t>mental health problems</w:t>
      </w:r>
      <w:r w:rsidR="000D4D03" w:rsidRPr="00667FB9">
        <w:t xml:space="preserve"> has used the 16-item </w:t>
      </w:r>
      <w:r w:rsidR="000D4D03" w:rsidRPr="00667FB9">
        <w:rPr>
          <w:i/>
        </w:rPr>
        <w:t>Defeat Scale</w:t>
      </w:r>
      <w:r w:rsidR="000D4D03" w:rsidRPr="00667FB9">
        <w:t xml:space="preserve"> and the 16-item </w:t>
      </w:r>
      <w:r w:rsidR="000D4D03" w:rsidRPr="00667FB9">
        <w:rPr>
          <w:i/>
        </w:rPr>
        <w:t>Entrapment Scale</w:t>
      </w:r>
      <w:r w:rsidR="000D4D03" w:rsidRPr="00667FB9">
        <w:t>, which were developed separately to measure</w:t>
      </w:r>
      <w:r>
        <w:t xml:space="preserve"> defeat and entrapment as</w:t>
      </w:r>
      <w:r w:rsidR="000D4D03" w:rsidRPr="00667FB9">
        <w:t xml:space="preserve"> discrete constructs (Gilbert &amp; </w:t>
      </w:r>
      <w:r w:rsidR="000D4D03" w:rsidRPr="00667FB9">
        <w:lastRenderedPageBreak/>
        <w:t>Allan, 1998). A review of studies investigating defeat, entrapment and psychopathological distress by Taylor et al. (2011a), and a further literature search using key words of “defeat” and “entrapment” in psychINFO for studies published between 2011 and 2013, found that 62% of studies used these scales</w:t>
      </w:r>
      <w:r w:rsidR="000D4D03">
        <w:t xml:space="preserve"> to measure defeat and entrapment</w:t>
      </w:r>
      <w:r w:rsidR="000D4D03" w:rsidRPr="00667FB9">
        <w:t>. Whilst the scales show very good reliability and validity, they correlate wit</w:t>
      </w:r>
      <w:r w:rsidR="000D4D03">
        <w:t>h each other very highly (e.g.,</w:t>
      </w:r>
      <w:r w:rsidR="000D4D03" w:rsidRPr="00667FB9">
        <w:t xml:space="preserve"> </w:t>
      </w:r>
      <w:r w:rsidR="000D4D03" w:rsidRPr="00667FB9">
        <w:rPr>
          <w:i/>
        </w:rPr>
        <w:t xml:space="preserve">r </w:t>
      </w:r>
      <w:r w:rsidR="000D4D03" w:rsidRPr="00667FB9">
        <w:t xml:space="preserve">= .74, O’Connor et al., 2013, </w:t>
      </w:r>
      <w:r w:rsidR="000D4D03" w:rsidRPr="00667FB9">
        <w:rPr>
          <w:i/>
        </w:rPr>
        <w:t xml:space="preserve">r </w:t>
      </w:r>
      <w:r w:rsidR="000D4D03" w:rsidRPr="00667FB9">
        <w:t xml:space="preserve">= .83, Panagioti et al., 2012; </w:t>
      </w:r>
      <w:r w:rsidR="000D4D03" w:rsidRPr="00667FB9">
        <w:rPr>
          <w:i/>
        </w:rPr>
        <w:t>r</w:t>
      </w:r>
      <w:r w:rsidR="000D4D03" w:rsidRPr="00667FB9">
        <w:t xml:space="preserve"> = .85, Taylor et al., 2010)</w:t>
      </w:r>
      <w:r w:rsidR="000D4D03">
        <w:t>, suggesting that they are measuring a single construct</w:t>
      </w:r>
      <w:r w:rsidR="000D4D03" w:rsidRPr="00667FB9">
        <w:t xml:space="preserve">. Several factor analyses have also been conducted using the items </w:t>
      </w:r>
      <w:r w:rsidR="000D4D03">
        <w:t>from both scales</w:t>
      </w:r>
      <w:r w:rsidR="000D4D03" w:rsidRPr="00667FB9">
        <w:t xml:space="preserve"> and have shown that a clear single factor </w:t>
      </w:r>
      <w:r w:rsidR="000D4D03">
        <w:t xml:space="preserve">emerges, which </w:t>
      </w:r>
      <w:r w:rsidR="000D4D03" w:rsidRPr="00667FB9">
        <w:t xml:space="preserve">represents both the defeat and entrapment items (Griffiths et al., </w:t>
      </w:r>
      <w:r w:rsidR="000D4D03">
        <w:t>2014</w:t>
      </w:r>
      <w:r w:rsidR="000D4D03" w:rsidRPr="00667FB9">
        <w:t>; Sturman, 2011; Taylor et al., 2009). Correlations of this magnitude and results from factor analyses suggest that a single combined defeat and entrapment score should be formed</w:t>
      </w:r>
      <w:r w:rsidR="000D4D03">
        <w:t xml:space="preserve"> when these factors are measured</w:t>
      </w:r>
      <w:r w:rsidR="000D4D03" w:rsidRPr="00667FB9">
        <w:t>, as the two scales measure the same latent construct, and because it would be statistically inappropriate to conduct regression, or other analyses, on two predictors that are correlated this highly. Indeed, some recent studies have used a combined defeat and entrapment score (e.g. Panagioti et al., 2012),</w:t>
      </w:r>
      <w:r w:rsidR="000D4D03" w:rsidRPr="00667FB9">
        <w:rPr>
          <w:color w:val="FF0000"/>
        </w:rPr>
        <w:t xml:space="preserve"> </w:t>
      </w:r>
      <w:r w:rsidR="000D4D03" w:rsidRPr="00667FB9">
        <w:t>although the reliability and validity of this composite variable has not</w:t>
      </w:r>
      <w:r w:rsidR="00385FF6">
        <w:t xml:space="preserve"> yet</w:t>
      </w:r>
      <w:r w:rsidR="000D4D03" w:rsidRPr="00667FB9">
        <w:t xml:space="preserve"> been fully explored.</w:t>
      </w:r>
    </w:p>
    <w:p w14:paraId="2F3A0A7A" w14:textId="78E87E48" w:rsidR="001022FD" w:rsidRPr="00EC5A96" w:rsidRDefault="005E6578" w:rsidP="00C707F7">
      <w:pPr>
        <w:pStyle w:val="ListParagraph"/>
        <w:tabs>
          <w:tab w:val="left" w:pos="142"/>
          <w:tab w:val="left" w:pos="851"/>
        </w:tabs>
        <w:spacing w:line="480" w:lineRule="auto"/>
        <w:ind w:left="-851"/>
      </w:pPr>
      <w:r>
        <w:t xml:space="preserve"> </w:t>
      </w:r>
      <w:r>
        <w:tab/>
        <w:t xml:space="preserve">Nevertheless, the </w:t>
      </w:r>
      <w:r w:rsidR="008B550F">
        <w:rPr>
          <w:i/>
        </w:rPr>
        <w:t xml:space="preserve">Defeat Scale </w:t>
      </w:r>
      <w:r w:rsidR="008B550F">
        <w:t xml:space="preserve">and </w:t>
      </w:r>
      <w:r w:rsidR="008B550F">
        <w:rPr>
          <w:i/>
        </w:rPr>
        <w:t>Entrapment Scale</w:t>
      </w:r>
      <w:r>
        <w:t xml:space="preserve"> – either </w:t>
      </w:r>
      <w:r w:rsidR="007541FC">
        <w:t>as single or joint predictors</w:t>
      </w:r>
      <w:r>
        <w:t xml:space="preserve"> – have shown strong cross-sectional </w:t>
      </w:r>
      <w:r w:rsidR="00CD6404">
        <w:t>and longitudinal relationships with outcome measures of mental health</w:t>
      </w:r>
      <w:r w:rsidR="00BD0469">
        <w:t xml:space="preserve"> problems</w:t>
      </w:r>
      <w:r w:rsidR="00CD6404">
        <w:t xml:space="preserve"> in clinical and non-clinical settings. </w:t>
      </w:r>
      <w:r w:rsidR="00D62892">
        <w:t xml:space="preserve">On the basis of these results, a recent systematic review has suggested that defeat and entrapment </w:t>
      </w:r>
      <w:r w:rsidR="00D741C2">
        <w:t>form a</w:t>
      </w:r>
      <w:r w:rsidR="00D62892">
        <w:t xml:space="preserve"> funda</w:t>
      </w:r>
      <w:r w:rsidR="00D741C2">
        <w:t xml:space="preserve">mental </w:t>
      </w:r>
      <w:r w:rsidR="00BD0469">
        <w:t xml:space="preserve">single </w:t>
      </w:r>
      <w:r w:rsidR="00D741C2">
        <w:t>transdiagnostic process</w:t>
      </w:r>
      <w:r w:rsidR="00D62892">
        <w:t xml:space="preserve"> that strongly relate</w:t>
      </w:r>
      <w:r w:rsidR="00D741C2">
        <w:t>s</w:t>
      </w:r>
      <w:r w:rsidR="00D62892">
        <w:t xml:space="preserve"> to various aspects of </w:t>
      </w:r>
      <w:r w:rsidR="00D741C2">
        <w:t>mental</w:t>
      </w:r>
      <w:r w:rsidR="00D62892">
        <w:t xml:space="preserve"> distress amongst different populations (Taylor et al., 2011</w:t>
      </w:r>
      <w:r w:rsidR="0060235F">
        <w:t>a</w:t>
      </w:r>
      <w:r w:rsidR="00D62892">
        <w:t>). Defeat and</w:t>
      </w:r>
      <w:r>
        <w:t xml:space="preserve"> entrapment </w:t>
      </w:r>
      <w:r w:rsidR="00C42CD9">
        <w:t>ha</w:t>
      </w:r>
      <w:r w:rsidR="00F806B4">
        <w:t>ve</w:t>
      </w:r>
      <w:r w:rsidR="00C42CD9">
        <w:t xml:space="preserve"> </w:t>
      </w:r>
      <w:r w:rsidR="003954FA">
        <w:t>been shown to correlate</w:t>
      </w:r>
      <w:r w:rsidR="00636900" w:rsidRPr="009D7CCC">
        <w:t xml:space="preserve"> with depression</w:t>
      </w:r>
      <w:r w:rsidR="00B97A9F">
        <w:t xml:space="preserve"> as measured by</w:t>
      </w:r>
      <w:r w:rsidR="00D741C2">
        <w:t xml:space="preserve"> the </w:t>
      </w:r>
      <w:r w:rsidR="00D741C2" w:rsidRPr="00D741C2">
        <w:rPr>
          <w:i/>
        </w:rPr>
        <w:t>Center for Epidemiologic Studies Depression Scale</w:t>
      </w:r>
      <w:r w:rsidR="00A072FB" w:rsidRPr="00D741C2">
        <w:rPr>
          <w:i/>
        </w:rPr>
        <w:t xml:space="preserve"> </w:t>
      </w:r>
      <w:r w:rsidR="00D741C2">
        <w:t>(</w:t>
      </w:r>
      <w:r w:rsidR="00A072FB" w:rsidRPr="00D741C2">
        <w:t>CES-D</w:t>
      </w:r>
      <w:r w:rsidR="00D741C2">
        <w:t>; Radloff, 1977)</w:t>
      </w:r>
      <w:r w:rsidR="00636900" w:rsidRPr="009D7CCC">
        <w:t xml:space="preserve"> </w:t>
      </w:r>
      <w:r w:rsidR="00B97A9F">
        <w:t xml:space="preserve">scores </w:t>
      </w:r>
      <w:r w:rsidR="00636900" w:rsidRPr="009D7CCC">
        <w:t xml:space="preserve">in </w:t>
      </w:r>
      <w:r w:rsidR="005B354B">
        <w:t>student</w:t>
      </w:r>
      <w:r w:rsidR="00636900" w:rsidRPr="009D7CCC">
        <w:t xml:space="preserve"> populations (</w:t>
      </w:r>
      <w:r w:rsidR="008E2DAE">
        <w:rPr>
          <w:i/>
        </w:rPr>
        <w:t xml:space="preserve">r </w:t>
      </w:r>
      <w:r w:rsidR="00F3469A">
        <w:t>= .58, Allan &amp; Gilbert, 2002;</w:t>
      </w:r>
      <w:r w:rsidR="008E2DAE">
        <w:t xml:space="preserve"> </w:t>
      </w:r>
      <w:r w:rsidR="00A072FB" w:rsidRPr="00A072FB">
        <w:rPr>
          <w:i/>
        </w:rPr>
        <w:t>r</w:t>
      </w:r>
      <w:r w:rsidR="00B97A9F">
        <w:t xml:space="preserve"> = .64</w:t>
      </w:r>
      <w:r w:rsidR="00D62892">
        <w:t xml:space="preserve"> </w:t>
      </w:r>
      <w:r w:rsidR="00B97A9F">
        <w:t>-</w:t>
      </w:r>
      <w:r w:rsidR="00D62892">
        <w:t xml:space="preserve"> </w:t>
      </w:r>
      <w:r w:rsidR="00B97A9F">
        <w:t xml:space="preserve">.73, </w:t>
      </w:r>
      <w:r w:rsidR="003954FA">
        <w:t>Gilbert &amp; Allan, 1998</w:t>
      </w:r>
      <w:r w:rsidR="00B97A9F">
        <w:t xml:space="preserve">; </w:t>
      </w:r>
      <w:r w:rsidR="00B97A9F">
        <w:rPr>
          <w:i/>
        </w:rPr>
        <w:t>r</w:t>
      </w:r>
      <w:r w:rsidR="00B97A9F">
        <w:t xml:space="preserve"> = .65</w:t>
      </w:r>
      <w:r w:rsidR="00D62892">
        <w:t xml:space="preserve"> </w:t>
      </w:r>
      <w:r w:rsidR="00B97A9F">
        <w:t>-</w:t>
      </w:r>
      <w:r w:rsidR="00D62892">
        <w:t xml:space="preserve"> </w:t>
      </w:r>
      <w:r w:rsidR="00B97A9F">
        <w:t xml:space="preserve">.68; Gilbert et al., 2005; </w:t>
      </w:r>
      <w:r w:rsidR="00B97A9F">
        <w:rPr>
          <w:i/>
        </w:rPr>
        <w:t>r</w:t>
      </w:r>
      <w:r w:rsidR="00B97A9F">
        <w:t xml:space="preserve"> = .72, Wyatt &amp; Gilbert, 1998)</w:t>
      </w:r>
      <w:r w:rsidR="00886EEF">
        <w:t xml:space="preserve"> and a population of </w:t>
      </w:r>
      <w:r w:rsidR="00FC61D8">
        <w:t xml:space="preserve">informal </w:t>
      </w:r>
      <w:r w:rsidR="00886EEF">
        <w:t>caregivers (</w:t>
      </w:r>
      <w:r w:rsidR="00886EEF">
        <w:rPr>
          <w:i/>
        </w:rPr>
        <w:t xml:space="preserve">r </w:t>
      </w:r>
      <w:r w:rsidR="00886EEF">
        <w:t>= .63, Stommel et al., 1990)</w:t>
      </w:r>
      <w:r w:rsidR="00B97A9F">
        <w:t xml:space="preserve">. Defeat and entrapment also </w:t>
      </w:r>
      <w:r w:rsidR="00B97A9F">
        <w:lastRenderedPageBreak/>
        <w:t>correlated with depression as measured by</w:t>
      </w:r>
      <w:r w:rsidR="00D741C2">
        <w:t xml:space="preserve"> scores on the </w:t>
      </w:r>
      <w:r w:rsidR="00D741C2" w:rsidRPr="00D741C2">
        <w:rPr>
          <w:i/>
        </w:rPr>
        <w:t>Beck Depression Scale</w:t>
      </w:r>
      <w:r w:rsidR="00A072FB">
        <w:t xml:space="preserve"> </w:t>
      </w:r>
      <w:r w:rsidR="00D741C2">
        <w:t>(</w:t>
      </w:r>
      <w:r w:rsidR="00A072FB" w:rsidRPr="00D741C2">
        <w:t>BDI</w:t>
      </w:r>
      <w:r w:rsidR="00D741C2">
        <w:t>; Beck, Ward, Mendelson, Mock, &amp; Erbaugh, 1961)</w:t>
      </w:r>
      <w:r w:rsidR="003954FA">
        <w:t xml:space="preserve"> in </w:t>
      </w:r>
      <w:r w:rsidR="00480CF8">
        <w:t>sample</w:t>
      </w:r>
      <w:r w:rsidR="007B7C31">
        <w:t>s</w:t>
      </w:r>
      <w:r w:rsidR="00480CF8">
        <w:t xml:space="preserve"> </w:t>
      </w:r>
      <w:r w:rsidR="007B7C31">
        <w:t>recruited from clinical settings</w:t>
      </w:r>
      <w:r w:rsidR="00A072FB">
        <w:t xml:space="preserve"> </w:t>
      </w:r>
      <w:r w:rsidR="003954FA">
        <w:t>(</w:t>
      </w:r>
      <w:r w:rsidR="007B7C31">
        <w:rPr>
          <w:i/>
        </w:rPr>
        <w:t xml:space="preserve">r </w:t>
      </w:r>
      <w:r w:rsidR="007B7C31">
        <w:t xml:space="preserve">= .84, Clare &amp; Singh, 1994; </w:t>
      </w:r>
      <w:r w:rsidR="003954FA" w:rsidRPr="00A072FB">
        <w:rPr>
          <w:i/>
        </w:rPr>
        <w:t>r</w:t>
      </w:r>
      <w:r w:rsidR="00480CF8">
        <w:t xml:space="preserve"> = .54</w:t>
      </w:r>
      <w:r w:rsidR="00D62892">
        <w:t xml:space="preserve"> </w:t>
      </w:r>
      <w:r w:rsidR="00480CF8">
        <w:t>-</w:t>
      </w:r>
      <w:r w:rsidR="00D62892">
        <w:t xml:space="preserve"> </w:t>
      </w:r>
      <w:r w:rsidR="00480CF8">
        <w:t xml:space="preserve">.77, </w:t>
      </w:r>
      <w:r w:rsidR="003954FA">
        <w:t>Gilbert &amp; Allan, 1998</w:t>
      </w:r>
      <w:r w:rsidR="00DD0A82">
        <w:t xml:space="preserve">; </w:t>
      </w:r>
      <w:r w:rsidR="00DD0A82">
        <w:rPr>
          <w:i/>
        </w:rPr>
        <w:t xml:space="preserve">r </w:t>
      </w:r>
      <w:r w:rsidR="00DD0A82">
        <w:t>= .81</w:t>
      </w:r>
      <w:r w:rsidR="00D62892">
        <w:t xml:space="preserve"> </w:t>
      </w:r>
      <w:r w:rsidR="00DD0A82">
        <w:t>-</w:t>
      </w:r>
      <w:r w:rsidR="00D62892">
        <w:t xml:space="preserve"> </w:t>
      </w:r>
      <w:r w:rsidR="00DD0A82">
        <w:t xml:space="preserve">.86, </w:t>
      </w:r>
      <w:r w:rsidR="00DD0A82" w:rsidRPr="009D7CCC">
        <w:t>Panagioti et al., 2012</w:t>
      </w:r>
      <w:r w:rsidR="003954FA">
        <w:t>)</w:t>
      </w:r>
      <w:r w:rsidR="00DC7C3B">
        <w:t xml:space="preserve"> and non-clinical settings </w:t>
      </w:r>
      <w:r w:rsidR="00B97A9F">
        <w:t>(</w:t>
      </w:r>
      <w:r w:rsidR="00D93A06">
        <w:rPr>
          <w:i/>
        </w:rPr>
        <w:t xml:space="preserve">r </w:t>
      </w:r>
      <w:r w:rsidR="00D93A06">
        <w:t>= .70</w:t>
      </w:r>
      <w:r w:rsidR="00D62892">
        <w:t xml:space="preserve"> </w:t>
      </w:r>
      <w:r w:rsidR="00D93A06">
        <w:t>-</w:t>
      </w:r>
      <w:r w:rsidR="00D62892">
        <w:t xml:space="preserve"> </w:t>
      </w:r>
      <w:r w:rsidR="00D93A06">
        <w:t>.74, Goldstein &amp; Willner, 2002;</w:t>
      </w:r>
      <w:r w:rsidR="00DC7C3B">
        <w:t xml:space="preserve"> </w:t>
      </w:r>
      <w:r w:rsidR="00B97A9F">
        <w:rPr>
          <w:i/>
        </w:rPr>
        <w:t xml:space="preserve">r </w:t>
      </w:r>
      <w:r w:rsidR="00B97A9F">
        <w:t>= .64</w:t>
      </w:r>
      <w:r w:rsidR="00D62892">
        <w:t xml:space="preserve"> </w:t>
      </w:r>
      <w:r w:rsidR="00B97A9F">
        <w:t>-</w:t>
      </w:r>
      <w:r w:rsidR="00D62892">
        <w:t xml:space="preserve"> </w:t>
      </w:r>
      <w:r w:rsidR="00B97A9F">
        <w:t>.81, Troop &amp; Baker, 2008</w:t>
      </w:r>
      <w:r w:rsidR="00DC7C3B">
        <w:t>;</w:t>
      </w:r>
      <w:r w:rsidR="00DC7C3B" w:rsidRPr="00DC7C3B">
        <w:rPr>
          <w:i/>
        </w:rPr>
        <w:t xml:space="preserve"> </w:t>
      </w:r>
      <w:r w:rsidR="00DC7C3B">
        <w:rPr>
          <w:i/>
        </w:rPr>
        <w:t>r</w:t>
      </w:r>
      <w:r w:rsidR="00DC7C3B">
        <w:t xml:space="preserve"> = .71</w:t>
      </w:r>
      <w:r w:rsidR="00D62892">
        <w:t xml:space="preserve"> </w:t>
      </w:r>
      <w:r w:rsidR="00DC7C3B">
        <w:t>-</w:t>
      </w:r>
      <w:r w:rsidR="00D62892">
        <w:t xml:space="preserve"> </w:t>
      </w:r>
      <w:r w:rsidR="00DC7C3B">
        <w:t>.77, Willner &amp; Goldstein, 2001</w:t>
      </w:r>
      <w:r w:rsidR="00B97A9F">
        <w:t>)</w:t>
      </w:r>
      <w:r w:rsidR="00ED2014">
        <w:t>.</w:t>
      </w:r>
      <w:r w:rsidR="00523107">
        <w:t xml:space="preserve"> </w:t>
      </w:r>
      <w:r w:rsidR="001C4B18">
        <w:t>Defeat and entrapment have</w:t>
      </w:r>
      <w:r w:rsidR="00C42CD9">
        <w:t xml:space="preserve"> been </w:t>
      </w:r>
      <w:r w:rsidR="00636900" w:rsidRPr="009D7CCC">
        <w:t>associated with suicidal ideation in clinical populations (</w:t>
      </w:r>
      <w:r w:rsidR="00523107" w:rsidRPr="00523107">
        <w:rPr>
          <w:i/>
        </w:rPr>
        <w:t>r</w:t>
      </w:r>
      <w:r w:rsidR="00523107">
        <w:t xml:space="preserve"> = .57</w:t>
      </w:r>
      <w:r w:rsidR="00D62892">
        <w:t xml:space="preserve"> </w:t>
      </w:r>
      <w:r w:rsidR="00523107">
        <w:t>-</w:t>
      </w:r>
      <w:r w:rsidR="00D62892">
        <w:t xml:space="preserve"> </w:t>
      </w:r>
      <w:r w:rsidR="00523107">
        <w:t xml:space="preserve">.71, </w:t>
      </w:r>
      <w:r w:rsidR="00636900" w:rsidRPr="009D7CCC">
        <w:t xml:space="preserve">Rasmussen et al., 2010; </w:t>
      </w:r>
      <w:r w:rsidR="00523107" w:rsidRPr="00523107">
        <w:rPr>
          <w:i/>
        </w:rPr>
        <w:t>r</w:t>
      </w:r>
      <w:r w:rsidR="00523107">
        <w:t xml:space="preserve"> = .52</w:t>
      </w:r>
      <w:r w:rsidR="00D62892">
        <w:t xml:space="preserve"> </w:t>
      </w:r>
      <w:r w:rsidR="00523107">
        <w:t>-</w:t>
      </w:r>
      <w:r w:rsidR="00D62892">
        <w:t xml:space="preserve"> </w:t>
      </w:r>
      <w:r w:rsidR="00523107">
        <w:t xml:space="preserve">.56, </w:t>
      </w:r>
      <w:r w:rsidR="00636900" w:rsidRPr="009D7CCC">
        <w:t>Taylor et al., 2010a) and non-clinical populations (</w:t>
      </w:r>
      <w:r w:rsidR="00523107" w:rsidRPr="00523107">
        <w:rPr>
          <w:i/>
        </w:rPr>
        <w:t>r</w:t>
      </w:r>
      <w:r w:rsidR="00523107">
        <w:t xml:space="preserve"> = .45</w:t>
      </w:r>
      <w:r w:rsidR="00D62892">
        <w:t xml:space="preserve"> </w:t>
      </w:r>
      <w:r w:rsidR="00523107">
        <w:t>-</w:t>
      </w:r>
      <w:r w:rsidR="00D62892">
        <w:t xml:space="preserve"> </w:t>
      </w:r>
      <w:r w:rsidR="00523107">
        <w:t xml:space="preserve">.49, </w:t>
      </w:r>
      <w:r w:rsidR="00636900" w:rsidRPr="009D7CCC">
        <w:t xml:space="preserve">Taylor et al., 2010b; </w:t>
      </w:r>
      <w:r w:rsidR="00523107">
        <w:rPr>
          <w:i/>
        </w:rPr>
        <w:t xml:space="preserve">r </w:t>
      </w:r>
      <w:r w:rsidR="00523107">
        <w:t xml:space="preserve">= .60, </w:t>
      </w:r>
      <w:r w:rsidR="00636900" w:rsidRPr="009D7CCC">
        <w:t>Taylor et al., 2011b)</w:t>
      </w:r>
      <w:r w:rsidR="001C4B18">
        <w:t xml:space="preserve"> and defeat also predicted the onset of</w:t>
      </w:r>
      <w:r w:rsidR="001C4B18" w:rsidRPr="009D7CCC">
        <w:t xml:space="preserve"> psychosis in </w:t>
      </w:r>
      <w:r w:rsidR="001C4B18">
        <w:t>high-risk individuals</w:t>
      </w:r>
      <w:r w:rsidR="001C4B18" w:rsidRPr="009D7CCC">
        <w:t xml:space="preserve"> (</w:t>
      </w:r>
      <w:r w:rsidR="00E04DC9">
        <w:rPr>
          <w:i/>
        </w:rPr>
        <w:t xml:space="preserve">r </w:t>
      </w:r>
      <w:r w:rsidR="00E04DC9">
        <w:t>=</w:t>
      </w:r>
      <w:r w:rsidR="001C4B18">
        <w:t>.45, Stowkowy &amp; Addington, 2012).</w:t>
      </w:r>
      <w:r w:rsidR="008D54EF">
        <w:t xml:space="preserve"> Furthermore, </w:t>
      </w:r>
      <w:r w:rsidR="00D62892">
        <w:t xml:space="preserve">combined </w:t>
      </w:r>
      <w:r w:rsidR="008D54EF">
        <w:t>defeat and entrapment</w:t>
      </w:r>
      <w:r w:rsidR="00D62892">
        <w:t xml:space="preserve"> scores</w:t>
      </w:r>
      <w:r w:rsidR="008D54EF">
        <w:t xml:space="preserve"> have been associated with suicidal behaviour within a population of individuals with PTSD as a single predictor</w:t>
      </w:r>
      <w:r w:rsidR="00636900" w:rsidRPr="009D7CCC">
        <w:t xml:space="preserve"> </w:t>
      </w:r>
      <w:r w:rsidR="008D54EF">
        <w:t>(</w:t>
      </w:r>
      <w:r w:rsidR="008D54EF">
        <w:rPr>
          <w:i/>
        </w:rPr>
        <w:t xml:space="preserve">r </w:t>
      </w:r>
      <w:r w:rsidR="008D54EF">
        <w:t xml:space="preserve">= .75, </w:t>
      </w:r>
      <w:r w:rsidR="008D54EF" w:rsidRPr="009D7CCC">
        <w:t>Panagioti et al., 2012</w:t>
      </w:r>
      <w:r w:rsidR="008D54EF">
        <w:t xml:space="preserve">). </w:t>
      </w:r>
      <w:r w:rsidR="00F806B4">
        <w:t xml:space="preserve">Entrapment has been associated with </w:t>
      </w:r>
      <w:r w:rsidR="00636900" w:rsidRPr="009D7CCC">
        <w:t>anxiety</w:t>
      </w:r>
      <w:r w:rsidR="00E424EE">
        <w:t xml:space="preserve"> in non-clinical populations</w:t>
      </w:r>
      <w:r w:rsidR="00636900" w:rsidRPr="009D7CCC">
        <w:t xml:space="preserve"> (</w:t>
      </w:r>
      <w:r w:rsidR="00523107">
        <w:rPr>
          <w:i/>
        </w:rPr>
        <w:t xml:space="preserve">r </w:t>
      </w:r>
      <w:r w:rsidR="00523107">
        <w:t>= .39</w:t>
      </w:r>
      <w:r w:rsidR="00D62892">
        <w:t xml:space="preserve"> </w:t>
      </w:r>
      <w:r w:rsidR="00523107">
        <w:t>-</w:t>
      </w:r>
      <w:r w:rsidR="00D62892">
        <w:t xml:space="preserve"> </w:t>
      </w:r>
      <w:r w:rsidR="00523107">
        <w:t xml:space="preserve">.59, </w:t>
      </w:r>
      <w:r w:rsidR="00636900" w:rsidRPr="009D7CCC">
        <w:t>Gilbert et al, 2002;</w:t>
      </w:r>
      <w:r w:rsidR="003954FA">
        <w:t xml:space="preserve"> </w:t>
      </w:r>
      <w:r w:rsidR="003954FA" w:rsidRPr="005B354B">
        <w:rPr>
          <w:i/>
        </w:rPr>
        <w:t>r</w:t>
      </w:r>
      <w:r w:rsidR="003954FA">
        <w:t xml:space="preserve"> = .71,</w:t>
      </w:r>
      <w:r w:rsidR="00636900" w:rsidRPr="009D7CCC">
        <w:t xml:space="preserve"> Sturman &amp; Mongrain, 20</w:t>
      </w:r>
      <w:r w:rsidR="00273310">
        <w:t xml:space="preserve">05) </w:t>
      </w:r>
      <w:r w:rsidR="00636900" w:rsidRPr="009D7CCC">
        <w:t xml:space="preserve">and </w:t>
      </w:r>
      <w:r w:rsidR="0006133D">
        <w:t>also</w:t>
      </w:r>
      <w:r w:rsidR="00636900" w:rsidRPr="009D7CCC">
        <w:t xml:space="preserve"> predict</w:t>
      </w:r>
      <w:r w:rsidR="00C42CD9">
        <w:t>ed</w:t>
      </w:r>
      <w:r w:rsidR="00636900" w:rsidRPr="009D7CCC">
        <w:t xml:space="preserve"> depression </w:t>
      </w:r>
      <w:r w:rsidR="00C42CD9">
        <w:t>in</w:t>
      </w:r>
      <w:r w:rsidR="00636900" w:rsidRPr="009D7CCC">
        <w:t xml:space="preserve"> formerly depressed students</w:t>
      </w:r>
      <w:r w:rsidR="00C42CD9">
        <w:t xml:space="preserve"> after 16 months</w:t>
      </w:r>
      <w:r w:rsidR="00636900" w:rsidRPr="009D7CCC">
        <w:t xml:space="preserve"> (</w:t>
      </w:r>
      <w:r w:rsidR="003954FA" w:rsidRPr="003954FA">
        <w:rPr>
          <w:i/>
        </w:rPr>
        <w:t>r</w:t>
      </w:r>
      <w:r w:rsidR="003954FA">
        <w:t xml:space="preserve"> = .21; </w:t>
      </w:r>
      <w:r w:rsidR="00636900" w:rsidRPr="009D7CCC">
        <w:t>Sturman &amp; Mongrain, 2008</w:t>
      </w:r>
      <w:r w:rsidR="002606ED">
        <w:t>a</w:t>
      </w:r>
      <w:r w:rsidR="00636900" w:rsidRPr="009D7CCC">
        <w:t>).</w:t>
      </w:r>
      <w:r w:rsidR="00350362" w:rsidRPr="00350362">
        <w:t xml:space="preserve"> </w:t>
      </w:r>
      <w:r w:rsidR="00350362">
        <w:t>Scores of hopelessness, as measured by the</w:t>
      </w:r>
      <w:r w:rsidR="00A114DD">
        <w:t xml:space="preserve"> </w:t>
      </w:r>
      <w:r w:rsidR="00A114DD" w:rsidRPr="00A114DD">
        <w:rPr>
          <w:i/>
        </w:rPr>
        <w:t>Beck Hopelessness Scale</w:t>
      </w:r>
      <w:r w:rsidR="00350362" w:rsidRPr="00A114DD">
        <w:rPr>
          <w:i/>
        </w:rPr>
        <w:t xml:space="preserve"> </w:t>
      </w:r>
      <w:r w:rsidR="00A114DD">
        <w:t>(</w:t>
      </w:r>
      <w:r w:rsidR="00350362" w:rsidRPr="00A114DD">
        <w:t>BHS</w:t>
      </w:r>
      <w:r w:rsidR="00A114DD">
        <w:t>; Beck</w:t>
      </w:r>
      <w:r w:rsidR="0000587E">
        <w:t>, Weissman, Lester, &amp; Trexler, 1974</w:t>
      </w:r>
      <w:r w:rsidR="00A114DD">
        <w:t>)</w:t>
      </w:r>
      <w:r w:rsidR="00350362" w:rsidRPr="00A114DD">
        <w:t>,</w:t>
      </w:r>
      <w:r w:rsidR="00350362">
        <w:t xml:space="preserve"> have been shown to correlate with defeat and entrapment in </w:t>
      </w:r>
      <w:r w:rsidR="00CF50CE">
        <w:t>individuals</w:t>
      </w:r>
      <w:r w:rsidR="00350362">
        <w:t xml:space="preserve"> with schizophrenia spectrum disorders (</w:t>
      </w:r>
      <w:r w:rsidR="00350362">
        <w:rPr>
          <w:i/>
        </w:rPr>
        <w:t xml:space="preserve">r </w:t>
      </w:r>
      <w:r w:rsidR="00350362" w:rsidRPr="00523107">
        <w:t>= .70</w:t>
      </w:r>
      <w:r w:rsidR="00D62892">
        <w:t xml:space="preserve"> </w:t>
      </w:r>
      <w:r w:rsidR="00350362">
        <w:rPr>
          <w:i/>
        </w:rPr>
        <w:t>-</w:t>
      </w:r>
      <w:r w:rsidR="00D62892">
        <w:rPr>
          <w:i/>
        </w:rPr>
        <w:t xml:space="preserve"> </w:t>
      </w:r>
      <w:r w:rsidR="00350362">
        <w:rPr>
          <w:i/>
        </w:rPr>
        <w:t>.</w:t>
      </w:r>
      <w:r w:rsidR="00350362">
        <w:t xml:space="preserve">71, Taylor et al., 2010), </w:t>
      </w:r>
      <w:r w:rsidR="00CF50CE">
        <w:t>individuals</w:t>
      </w:r>
      <w:r w:rsidR="00350362">
        <w:t xml:space="preserve"> with depression (</w:t>
      </w:r>
      <w:r w:rsidR="00350362">
        <w:rPr>
          <w:i/>
        </w:rPr>
        <w:t xml:space="preserve">r </w:t>
      </w:r>
      <w:r w:rsidR="00350362" w:rsidRPr="00523107">
        <w:t>= .61-</w:t>
      </w:r>
      <w:r w:rsidR="00350362">
        <w:rPr>
          <w:i/>
        </w:rPr>
        <w:t xml:space="preserve"> .</w:t>
      </w:r>
      <w:r w:rsidR="00350362">
        <w:t xml:space="preserve">65, Gilbert &amp; Allan, 1998) and </w:t>
      </w:r>
      <w:r w:rsidR="00CF50CE">
        <w:t xml:space="preserve">individuals </w:t>
      </w:r>
      <w:r w:rsidR="00350362">
        <w:t>with PTSD (</w:t>
      </w:r>
      <w:r w:rsidR="00350362">
        <w:rPr>
          <w:i/>
        </w:rPr>
        <w:t xml:space="preserve">r </w:t>
      </w:r>
      <w:r w:rsidR="00350362">
        <w:t>= .82</w:t>
      </w:r>
      <w:r w:rsidR="00D62892">
        <w:t xml:space="preserve"> </w:t>
      </w:r>
      <w:r w:rsidR="00350362">
        <w:t>-</w:t>
      </w:r>
      <w:r w:rsidR="00D62892">
        <w:t xml:space="preserve"> </w:t>
      </w:r>
      <w:r w:rsidR="00350362">
        <w:t xml:space="preserve">.84, </w:t>
      </w:r>
      <w:r w:rsidR="00350362" w:rsidRPr="009D7CCC">
        <w:t>Panagioti et al., 2012</w:t>
      </w:r>
      <w:r w:rsidR="00350362">
        <w:t xml:space="preserve">). </w:t>
      </w:r>
      <w:r w:rsidR="000029D1">
        <w:br/>
        <w:t xml:space="preserve"> </w:t>
      </w:r>
      <w:r w:rsidR="000029D1">
        <w:tab/>
      </w:r>
      <w:r w:rsidR="00047039">
        <w:t>In summary,</w:t>
      </w:r>
      <w:r w:rsidR="000029D1">
        <w:t xml:space="preserve"> </w:t>
      </w:r>
      <w:r w:rsidR="00F4187A">
        <w:t>defeat and entrapment have been</w:t>
      </w:r>
      <w:r w:rsidR="00047039">
        <w:t xml:space="preserve"> widely</w:t>
      </w:r>
      <w:r w:rsidR="00F4187A">
        <w:t xml:space="preserve"> </w:t>
      </w:r>
      <w:r w:rsidR="00636900" w:rsidRPr="009D7CCC">
        <w:t>measured in psychopatholog</w:t>
      </w:r>
      <w:r w:rsidR="002E6D71">
        <w:t>ical</w:t>
      </w:r>
      <w:r w:rsidR="003A769F">
        <w:t xml:space="preserve"> research</w:t>
      </w:r>
      <w:r w:rsidR="00636900" w:rsidRPr="009D7CCC">
        <w:t>,</w:t>
      </w:r>
      <w:r w:rsidR="000029D1">
        <w:t xml:space="preserve"> although there are suggestions that it would be preferable to measure both as a single construct</w:t>
      </w:r>
      <w:r w:rsidR="0039767C">
        <w:t xml:space="preserve"> (e.g. Taylor et al., 2009; Sturman, 2011)</w:t>
      </w:r>
      <w:r w:rsidR="00F910A3">
        <w:t xml:space="preserve"> and therefore measure defeat and entrapment within a single scale</w:t>
      </w:r>
      <w:r w:rsidR="000029D1">
        <w:t>.</w:t>
      </w:r>
      <w:r w:rsidR="00636900" w:rsidRPr="009D7CCC">
        <w:t xml:space="preserve"> </w:t>
      </w:r>
      <w:r w:rsidR="000029D1">
        <w:t>Further, there are suggestions that the</w:t>
      </w:r>
      <w:r w:rsidR="003A769F">
        <w:t xml:space="preserve"> lack of</w:t>
      </w:r>
      <w:r w:rsidR="00636900" w:rsidRPr="009D7CCC">
        <w:t xml:space="preserve"> </w:t>
      </w:r>
      <w:r w:rsidR="00AC3AB1">
        <w:t xml:space="preserve">a </w:t>
      </w:r>
      <w:r w:rsidR="00636900" w:rsidRPr="009D7CCC">
        <w:t>short measurement tool</w:t>
      </w:r>
      <w:r w:rsidR="000029D1">
        <w:t xml:space="preserve"> is restricting </w:t>
      </w:r>
      <w:r w:rsidR="000C321B">
        <w:t xml:space="preserve">clinical </w:t>
      </w:r>
      <w:r w:rsidR="000029D1">
        <w:t xml:space="preserve">research in the area as </w:t>
      </w:r>
      <w:r w:rsidR="008624E6">
        <w:t>well as preventing the repeated and</w:t>
      </w:r>
      <w:r w:rsidR="000029D1">
        <w:t xml:space="preserve"> routine use of </w:t>
      </w:r>
      <w:r w:rsidR="000C321B">
        <w:t>the measurement of defeat and entrapment</w:t>
      </w:r>
      <w:r w:rsidR="00636900" w:rsidRPr="009D7CCC">
        <w:t xml:space="preserve"> </w:t>
      </w:r>
      <w:r w:rsidR="00047039">
        <w:t>with</w:t>
      </w:r>
      <w:r w:rsidR="00636900" w:rsidRPr="009D7CCC">
        <w:t xml:space="preserve">in clinical settings, </w:t>
      </w:r>
      <w:r w:rsidR="000029D1">
        <w:t>for initial case formulation or to measure the progress of therapeutic interventions</w:t>
      </w:r>
      <w:r w:rsidR="000C321B">
        <w:t xml:space="preserve"> over time</w:t>
      </w:r>
      <w:r w:rsidR="000029D1">
        <w:t>.</w:t>
      </w:r>
      <w:r w:rsidR="0069565D">
        <w:br/>
        <w:t xml:space="preserve"> </w:t>
      </w:r>
      <w:r w:rsidR="0069565D">
        <w:tab/>
      </w:r>
      <w:r w:rsidR="00CB0B9C" w:rsidRPr="002F1B11">
        <w:t>As outlined</w:t>
      </w:r>
      <w:r w:rsidR="00CB0B9C">
        <w:t xml:space="preserve"> above, the majority of research measuring defeat and entrapment has </w:t>
      </w:r>
      <w:r w:rsidR="00CB0B9C">
        <w:lastRenderedPageBreak/>
        <w:t xml:space="preserve">measured these using the </w:t>
      </w:r>
      <w:r w:rsidR="00CB0B9C">
        <w:rPr>
          <w:i/>
        </w:rPr>
        <w:t xml:space="preserve">Defeat Scale </w:t>
      </w:r>
      <w:r w:rsidR="00CB0B9C">
        <w:t xml:space="preserve">and </w:t>
      </w:r>
      <w:r w:rsidR="00CB0B9C">
        <w:rPr>
          <w:i/>
        </w:rPr>
        <w:t xml:space="preserve">Entrapment Scale </w:t>
      </w:r>
      <w:r w:rsidR="00CB0B9C">
        <w:t>(Gilbert &amp;</w:t>
      </w:r>
      <w:r w:rsidR="00A36333">
        <w:t xml:space="preserve"> Allan, 1998). However,</w:t>
      </w:r>
      <w:r w:rsidR="00CB0B9C">
        <w:t xml:space="preserve"> in</w:t>
      </w:r>
      <w:r w:rsidR="00CB0B9C" w:rsidRPr="002F1B11">
        <w:t xml:space="preserve"> response </w:t>
      </w:r>
      <w:r w:rsidR="004B0DA9">
        <w:t>to</w:t>
      </w:r>
      <w:r w:rsidR="00A36333">
        <w:t xml:space="preserve"> recent</w:t>
      </w:r>
      <w:r w:rsidR="004B0DA9">
        <w:t xml:space="preserve"> suggestions </w:t>
      </w:r>
      <w:r w:rsidR="007E5A15">
        <w:t>that defeat and entrapment should be measured</w:t>
      </w:r>
      <w:r w:rsidR="004B0DA9">
        <w:t xml:space="preserve"> as a single construct, </w:t>
      </w:r>
      <w:r w:rsidR="00D741C2">
        <w:t>Sturman (2011)</w:t>
      </w:r>
      <w:r w:rsidR="00824902">
        <w:t xml:space="preserve"> developed an </w:t>
      </w:r>
      <w:r w:rsidR="00824902">
        <w:rPr>
          <w:i/>
        </w:rPr>
        <w:t xml:space="preserve">Involuntary Subordination Questionnaire </w:t>
      </w:r>
      <w:r w:rsidR="00824902">
        <w:t xml:space="preserve">(ISQ), </w:t>
      </w:r>
      <w:r w:rsidR="001E1100">
        <w:t>derived</w:t>
      </w:r>
      <w:r w:rsidR="00330510">
        <w:t xml:space="preserve"> of items from the </w:t>
      </w:r>
      <w:r w:rsidR="00330510">
        <w:rPr>
          <w:i/>
        </w:rPr>
        <w:t>Defeat Scale, Entrapment Scale, S</w:t>
      </w:r>
      <w:r w:rsidR="006E2F90">
        <w:rPr>
          <w:i/>
        </w:rPr>
        <w:t xml:space="preserve">ocial Comparison </w:t>
      </w:r>
      <w:r w:rsidR="00330510">
        <w:rPr>
          <w:i/>
        </w:rPr>
        <w:t>S</w:t>
      </w:r>
      <w:r w:rsidR="006E2F90">
        <w:rPr>
          <w:i/>
        </w:rPr>
        <w:t>cale</w:t>
      </w:r>
      <w:r w:rsidR="00330510">
        <w:rPr>
          <w:i/>
        </w:rPr>
        <w:t xml:space="preserve"> </w:t>
      </w:r>
      <w:r w:rsidR="00330510" w:rsidRPr="00330510">
        <w:t>and</w:t>
      </w:r>
      <w:r w:rsidR="00330510">
        <w:rPr>
          <w:i/>
        </w:rPr>
        <w:t xml:space="preserve"> Submissive Behaviour Scale </w:t>
      </w:r>
      <w:r w:rsidR="00330510">
        <w:t xml:space="preserve">(Gilbert &amp; Allan 1998; Allan &amp; Gilbert, 1995; Gilbert &amp; Allan, 1995). Although </w:t>
      </w:r>
      <w:r w:rsidR="00824902">
        <w:t xml:space="preserve">this </w:t>
      </w:r>
      <w:r w:rsidR="00330510">
        <w:t>scale provides a broade</w:t>
      </w:r>
      <w:r w:rsidR="00EC128D">
        <w:t xml:space="preserve">r overview of how individuals perceive </w:t>
      </w:r>
      <w:r w:rsidR="0065697D">
        <w:t>their feelings</w:t>
      </w:r>
      <w:r w:rsidR="00330510">
        <w:t xml:space="preserve"> in comparison to</w:t>
      </w:r>
      <w:r w:rsidR="0065697D">
        <w:t xml:space="preserve"> their perceptions</w:t>
      </w:r>
      <w:r w:rsidR="00330510">
        <w:t xml:space="preserve"> </w:t>
      </w:r>
      <w:r w:rsidR="001E1100">
        <w:t xml:space="preserve">of </w:t>
      </w:r>
      <w:r w:rsidR="00330510">
        <w:t xml:space="preserve">others, </w:t>
      </w:r>
      <w:r w:rsidR="002C4C40">
        <w:t>there remains a need for a briefer scale</w:t>
      </w:r>
      <w:r w:rsidR="005657AE">
        <w:t>, as this scale also consists of 32 items</w:t>
      </w:r>
      <w:r w:rsidR="00824902">
        <w:t>.</w:t>
      </w:r>
      <w:r w:rsidR="00FF352F">
        <w:t xml:space="preserve"> </w:t>
      </w:r>
      <w:r w:rsidR="001022FD" w:rsidRPr="002F1B11">
        <w:t xml:space="preserve">Underlying the need for a short validated scale, several researchers have used shorter measures of defeat and entrapment </w:t>
      </w:r>
      <w:r w:rsidR="001022FD">
        <w:t xml:space="preserve">that have not been validated, </w:t>
      </w:r>
      <w:r w:rsidR="001022FD" w:rsidRPr="002F1B11">
        <w:t>or</w:t>
      </w:r>
      <w:r w:rsidR="001022FD">
        <w:t xml:space="preserve"> capturing perceptions of defeat and entrapment through</w:t>
      </w:r>
      <w:r w:rsidR="001022FD" w:rsidRPr="002F1B11">
        <w:t xml:space="preserve"> semi-structured interviews (e.g.</w:t>
      </w:r>
      <w:r w:rsidR="001022FD">
        <w:t xml:space="preserve"> O’Connor, 2003; Gilbert, Gilbert, &amp; Sanghera,</w:t>
      </w:r>
      <w:r w:rsidR="001022FD" w:rsidRPr="002F1B11">
        <w:t xml:space="preserve"> 2004</w:t>
      </w:r>
      <w:r w:rsidR="001022FD">
        <w:t>b</w:t>
      </w:r>
      <w:r w:rsidR="001022FD" w:rsidRPr="002F1B11">
        <w:t xml:space="preserve">; Leblanc et al., 2004), possibly due to the participant burden of administering </w:t>
      </w:r>
      <w:r w:rsidR="009C7529">
        <w:t>the</w:t>
      </w:r>
      <w:r w:rsidR="005E4D91">
        <w:t xml:space="preserve"> </w:t>
      </w:r>
      <w:r w:rsidR="009C7529">
        <w:rPr>
          <w:i/>
        </w:rPr>
        <w:t xml:space="preserve">Defeat Scale </w:t>
      </w:r>
      <w:r w:rsidR="009C7529">
        <w:t xml:space="preserve">and </w:t>
      </w:r>
      <w:r w:rsidR="009C7529">
        <w:rPr>
          <w:i/>
        </w:rPr>
        <w:t>Entrapment Scale</w:t>
      </w:r>
      <w:r w:rsidR="009C7529">
        <w:t xml:space="preserve"> (32 items; Gilbert &amp; Allan, 1998)</w:t>
      </w:r>
      <w:r w:rsidR="001022FD" w:rsidRPr="002F1B11">
        <w:t>. The increasing proliferation of multiple unvalidated short scales is problematic as each scale developed measures outcomes slightly differently, and without validation within several populations, it cannot be established which scale provides the most accurate representation of the construct (Streiner &amp; Norman, 2008). Furthermore, despite the popularity Gilbert and Allan’s (1998) scales, the use of separat</w:t>
      </w:r>
      <w:r w:rsidR="001022FD">
        <w:t>e scales may not be appropriate</w:t>
      </w:r>
      <w:r w:rsidR="001022FD" w:rsidRPr="002F1B11">
        <w:t xml:space="preserve"> in light of research demonstrating that defeat and entrapment should be considered as one factor. As the existing short unvalidated scales for defeat and entrapment </w:t>
      </w:r>
      <w:r w:rsidR="001022FD">
        <w:t>measure the constructs separately</w:t>
      </w:r>
      <w:r w:rsidR="001022FD" w:rsidRPr="002F1B11">
        <w:t xml:space="preserve">, we chose to develop a short single factor scale based on a combination of items from the </w:t>
      </w:r>
      <w:r w:rsidR="001022FD" w:rsidRPr="002F1B11">
        <w:rPr>
          <w:i/>
        </w:rPr>
        <w:t xml:space="preserve">Defeat Scale </w:t>
      </w:r>
      <w:r w:rsidR="001022FD" w:rsidRPr="002F1B11">
        <w:t xml:space="preserve">and </w:t>
      </w:r>
      <w:r w:rsidR="001022FD" w:rsidRPr="002F1B11">
        <w:rPr>
          <w:i/>
        </w:rPr>
        <w:t>Entrapment Scale</w:t>
      </w:r>
      <w:r w:rsidR="005657AE">
        <w:rPr>
          <w:i/>
        </w:rPr>
        <w:t xml:space="preserve"> </w:t>
      </w:r>
      <w:r w:rsidR="005657AE">
        <w:t>(Gilbert &amp; Allan, 1998)</w:t>
      </w:r>
      <w:r w:rsidR="001022FD" w:rsidRPr="002F1B11">
        <w:rPr>
          <w:i/>
        </w:rPr>
        <w:t>;</w:t>
      </w:r>
      <w:r w:rsidR="001022FD" w:rsidRPr="002F1B11">
        <w:t xml:space="preserve"> the most widely used and well validated of the measures currently available.</w:t>
      </w:r>
      <w:r w:rsidR="00636900" w:rsidRPr="009D7CCC">
        <w:t xml:space="preserve"> </w:t>
      </w:r>
      <w:r w:rsidR="00126257" w:rsidRPr="009D7CCC">
        <w:t xml:space="preserve"> </w:t>
      </w:r>
      <w:r w:rsidR="00937B74">
        <w:br/>
        <w:t xml:space="preserve"> </w:t>
      </w:r>
      <w:r w:rsidR="00126257" w:rsidRPr="009D7CCC">
        <w:tab/>
      </w:r>
      <w:r w:rsidR="000B5118">
        <w:t>During recent years, demand for economy of measurement within clinical research has increased</w:t>
      </w:r>
      <w:r w:rsidR="0058727A">
        <w:t>, as demonstrated by the increasing number of short psychological assessments being developed</w:t>
      </w:r>
      <w:r w:rsidR="000B5118">
        <w:t xml:space="preserve"> (</w:t>
      </w:r>
      <w:r w:rsidR="0058727A">
        <w:t>Mühlan et al., 2008).</w:t>
      </w:r>
      <w:r w:rsidR="000B5118">
        <w:t xml:space="preserve"> </w:t>
      </w:r>
      <w:r w:rsidR="00F73373">
        <w:t xml:space="preserve">As the </w:t>
      </w:r>
      <w:r w:rsidR="00436519">
        <w:t>priority within</w:t>
      </w:r>
      <w:r w:rsidR="00F73373">
        <w:t xml:space="preserve"> clinical settings is </w:t>
      </w:r>
      <w:r w:rsidR="00FA0E55">
        <w:t xml:space="preserve">delivering effective </w:t>
      </w:r>
      <w:r w:rsidR="00F73373">
        <w:t>therapeutic intervention</w:t>
      </w:r>
      <w:r w:rsidR="00FA0E55">
        <w:t>s</w:t>
      </w:r>
      <w:r w:rsidR="00F73373">
        <w:t xml:space="preserve"> </w:t>
      </w:r>
      <w:r w:rsidR="00436519">
        <w:t>rather than</w:t>
      </w:r>
      <w:r w:rsidR="00601A22">
        <w:t xml:space="preserve"> conducting</w:t>
      </w:r>
      <w:r w:rsidR="00F73373">
        <w:t xml:space="preserve"> research,</w:t>
      </w:r>
      <w:r w:rsidR="00316433">
        <w:t xml:space="preserve"> </w:t>
      </w:r>
      <w:r w:rsidR="00F73373">
        <w:t xml:space="preserve">shorter measures are </w:t>
      </w:r>
      <w:r w:rsidR="00436519">
        <w:t>particularly</w:t>
      </w:r>
      <w:r w:rsidR="00F73373">
        <w:t xml:space="preserve"> </w:t>
      </w:r>
      <w:r w:rsidR="00F73373">
        <w:lastRenderedPageBreak/>
        <w:t xml:space="preserve">relevant </w:t>
      </w:r>
      <w:r w:rsidR="00D57704">
        <w:t xml:space="preserve">to </w:t>
      </w:r>
      <w:r w:rsidR="00B7648C">
        <w:t>increasing the utility of health measures</w:t>
      </w:r>
      <w:r w:rsidR="00436519">
        <w:t xml:space="preserve"> in these settings (Joyce et al., 2011). A</w:t>
      </w:r>
      <w:r w:rsidR="00601A22">
        <w:t xml:space="preserve"> </w:t>
      </w:r>
      <w:r w:rsidR="00316433">
        <w:t xml:space="preserve">shorter </w:t>
      </w:r>
      <w:r w:rsidR="00B7648C">
        <w:t>scale</w:t>
      </w:r>
      <w:r w:rsidR="00DB69AD">
        <w:t xml:space="preserve"> </w:t>
      </w:r>
      <w:r w:rsidR="00B7648C">
        <w:t>measuring</w:t>
      </w:r>
      <w:r w:rsidR="00436519">
        <w:t xml:space="preserve"> defeat and entrapment </w:t>
      </w:r>
      <w:r w:rsidR="000A6C3D">
        <w:t xml:space="preserve">could be used in </w:t>
      </w:r>
      <w:r w:rsidR="00DB69AD">
        <w:t xml:space="preserve">therapeutic settings as a measure of progress during therapeutic treatment for </w:t>
      </w:r>
      <w:r w:rsidR="000701C8">
        <w:t>mental health problems</w:t>
      </w:r>
      <w:r w:rsidR="00CA6576">
        <w:t>, to distinguish changes on a session-by-session basis</w:t>
      </w:r>
      <w:r w:rsidR="00DB69AD">
        <w:t>.</w:t>
      </w:r>
      <w:r w:rsidR="00BE1CB3">
        <w:t xml:space="preserve"> Such a use is indicated by the strong correlations between defeat, entrapment and</w:t>
      </w:r>
      <w:r w:rsidR="005A0AE9">
        <w:t xml:space="preserve"> mental health problems</w:t>
      </w:r>
      <w:r w:rsidR="00BE1CB3">
        <w:t>, as well as theoretical positions that see the construct as a key transdiagnostic factor underlying several disorders (Taylor et al., 2009).</w:t>
      </w:r>
      <w:r w:rsidR="00F20021">
        <w:t xml:space="preserve"> </w:t>
      </w:r>
      <w:r w:rsidR="004F236B">
        <w:br/>
        <w:t xml:space="preserve"> </w:t>
      </w:r>
      <w:r w:rsidR="004F236B">
        <w:tab/>
      </w:r>
      <w:r w:rsidR="000E1EB3">
        <w:t>To develop a short scale that measures both defeat and entrapment</w:t>
      </w:r>
      <w:r w:rsidR="001022FD">
        <w:t>, participants</w:t>
      </w:r>
      <w:r w:rsidR="001022FD" w:rsidRPr="00EC5A96">
        <w:t xml:space="preserve"> were recruited from clinical and non-clinical settings. Although we expected all samples to include participants who were experiencing defeat and entrapment, based on previous work linking defeat and entrapment to mental health difficulties, we expected participants from both clinical groups to report higher levels of defeat and </w:t>
      </w:r>
      <w:r w:rsidR="001022FD">
        <w:t>entrapment, as measured by the newly developed scale</w:t>
      </w:r>
      <w:r w:rsidR="001022FD" w:rsidRPr="00EC5A96">
        <w:t>, than the non-clinical groups. These participants are more likely to experience problems with mental health and may feel entrapped by their distress, as well as defeated as a result of trying to cope with their symptoms. We predicted that participants experiencing psychosis would have the highest average scores on the scale, based on clinical severity and the percentage of participants with clinical diagnoses, as well as the high amount of stigma attached to having a diagnosis of a psychotic disorder, which may act as a barrie</w:t>
      </w:r>
      <w:r w:rsidR="001022FD">
        <w:t>r to recovery (Link, Struening, Nesse-Todd, Asmussen, &amp; Phelan,</w:t>
      </w:r>
      <w:r w:rsidR="001022FD" w:rsidRPr="00EC5A96">
        <w:t xml:space="preserve"> 2001). Furthermore, defeat and entrapment related appraisals are specifically related to negative outcomes such as depression in those with schizophrenia-spectrum disorders (Birchwood et al., 1993) We expected the sample of individuals with PTSD to have the second highest average scores on the </w:t>
      </w:r>
      <w:r w:rsidR="0028315C">
        <w:t>scale</w:t>
      </w:r>
      <w:r w:rsidR="001022FD" w:rsidRPr="00EC5A96">
        <w:t xml:space="preserve"> based on the high comorbidity between PTSD and depression (Kessler</w:t>
      </w:r>
      <w:r w:rsidR="001022FD">
        <w:t>, Chiu, Demler, &amp; Walters, 2005</w:t>
      </w:r>
      <w:r w:rsidR="001022FD" w:rsidRPr="00EC5A96">
        <w:t>), which has been consistently linked to defeat and entrapment. We expected the non-clinical samples to have lower scores of defeat and entrapment</w:t>
      </w:r>
      <w:r w:rsidR="0028315C">
        <w:t xml:space="preserve"> on the scale</w:t>
      </w:r>
      <w:r w:rsidR="001022FD">
        <w:t xml:space="preserve"> and this</w:t>
      </w:r>
      <w:r w:rsidR="001022FD" w:rsidRPr="00EC5A96">
        <w:t xml:space="preserve"> was tested </w:t>
      </w:r>
      <w:r w:rsidR="001022FD">
        <w:t xml:space="preserve">within the study </w:t>
      </w:r>
      <w:r w:rsidR="001022FD" w:rsidRPr="00EC5A96">
        <w:t xml:space="preserve">by comparing scores on the </w:t>
      </w:r>
      <w:r w:rsidR="001022FD">
        <w:t>newly developed scale</w:t>
      </w:r>
      <w:r w:rsidR="001022FD" w:rsidRPr="00EC5A96">
        <w:t xml:space="preserve"> across </w:t>
      </w:r>
      <w:r w:rsidR="0028315C">
        <w:t xml:space="preserve">the different </w:t>
      </w:r>
      <w:r w:rsidR="001022FD" w:rsidRPr="00EC5A96">
        <w:t>samples.</w:t>
      </w:r>
      <w:r w:rsidR="001022FD" w:rsidRPr="00EC5A96">
        <w:br/>
      </w:r>
      <w:r w:rsidR="000F473E">
        <w:t xml:space="preserve"> </w:t>
      </w:r>
      <w:r w:rsidR="000F473E">
        <w:tab/>
        <w:t xml:space="preserve">Within the current study, it was expected that caregiver burden, defined as the </w:t>
      </w:r>
      <w:r w:rsidR="000F473E" w:rsidRPr="00BF6F6D">
        <w:rPr>
          <w:rFonts w:eastAsia="Times New Roman"/>
          <w:shd w:val="clear" w:color="auto" w:fill="FFFFFF"/>
          <w:lang w:val="en-GB" w:eastAsia="en-US"/>
        </w:rPr>
        <w:t>poor</w:t>
      </w:r>
      <w:r w:rsidR="000F473E" w:rsidRPr="00BF6F6D">
        <w:rPr>
          <w:iCs/>
          <w:color w:val="000000"/>
          <w:lang w:eastAsia="en-GB"/>
        </w:rPr>
        <w:t xml:space="preserve"> </w:t>
      </w:r>
      <w:r w:rsidR="000F473E" w:rsidRPr="00BF6F6D">
        <w:rPr>
          <w:iCs/>
          <w:color w:val="000000"/>
          <w:lang w:eastAsia="en-GB"/>
        </w:rPr>
        <w:lastRenderedPageBreak/>
        <w:t>physical and emotional health that results from excessive caregiving demands (Given et al., 1992)</w:t>
      </w:r>
      <w:r w:rsidR="000F473E">
        <w:rPr>
          <w:iCs/>
          <w:color w:val="000000"/>
          <w:lang w:eastAsia="en-GB"/>
        </w:rPr>
        <w:t xml:space="preserve"> and a known</w:t>
      </w:r>
      <w:r w:rsidR="000F473E">
        <w:t xml:space="preserve"> occupational hazard of formal caregiving (Miyamoto, Tachimori, &amp; Ito, 2010), would be predicted by the </w:t>
      </w:r>
      <w:r w:rsidR="003E3FA8">
        <w:t>newly developed scale</w:t>
      </w:r>
      <w:r w:rsidR="000F473E">
        <w:t xml:space="preserve"> above and beyond depression. It was also expected that following Taylor et al. (2010a), the </w:t>
      </w:r>
      <w:r w:rsidR="003E3FA8">
        <w:t xml:space="preserve">newly developed scale </w:t>
      </w:r>
      <w:r w:rsidR="000F473E">
        <w:t xml:space="preserve">would predict the positive symptoms of psychosis (e.g. paranoia, hallucinations, delusions) above and beyond depression and hopelessness. </w:t>
      </w:r>
      <w:r w:rsidR="000F473E">
        <w:rPr>
          <w:lang w:val="en-GB"/>
        </w:rPr>
        <w:t>This relationship was expected as p</w:t>
      </w:r>
      <w:r w:rsidR="000F473E" w:rsidRPr="00155CD1">
        <w:rPr>
          <w:lang w:val="en-GB"/>
        </w:rPr>
        <w:t>sychotic symptoms are reported at elevated levels in people with anxiety and depression (Van Os, Verdoux, Maurice-Tison, Gay, Liraud, Salamon, &amp; Bourgeois, 1999) and have been found to predict depression over time in samples identified as high risk for psychosis (Verdoux, Van Os, Maurice-Tison, Gay, Salamon, &amp; Bourgeois, 1999).</w:t>
      </w:r>
      <w:r w:rsidR="00F86589">
        <w:br/>
        <w:t xml:space="preserve"> </w:t>
      </w:r>
      <w:r w:rsidR="001022FD" w:rsidRPr="00EC5A96">
        <w:t xml:space="preserve"> </w:t>
      </w:r>
      <w:r w:rsidR="001022FD" w:rsidRPr="00EC5A96">
        <w:tab/>
        <w:t>The current study sought to develop and evaluate a short scale that measures both defeat and entrapment, named the Short Defeat and Entrapment Scale (SDES)</w:t>
      </w:r>
      <w:r w:rsidR="001022FD">
        <w:t xml:space="preserve"> following the guidelines of Keszei et al. (2010)</w:t>
      </w:r>
      <w:r w:rsidR="001022FD" w:rsidRPr="00EC5A96">
        <w:t xml:space="preserve">. We expected that defeat and entrapment would form a single factor when measured using the </w:t>
      </w:r>
      <w:r w:rsidR="001022FD" w:rsidRPr="00EC5A96">
        <w:rPr>
          <w:i/>
        </w:rPr>
        <w:t>Defeat Scale</w:t>
      </w:r>
      <w:r w:rsidR="001022FD" w:rsidRPr="00EC5A96">
        <w:t xml:space="preserve"> and </w:t>
      </w:r>
      <w:r w:rsidR="001022FD" w:rsidRPr="00EC5A96">
        <w:rPr>
          <w:i/>
        </w:rPr>
        <w:t>Entrapment Scale</w:t>
      </w:r>
      <w:r w:rsidR="001022FD" w:rsidRPr="00EC5A96">
        <w:t>, analy</w:t>
      </w:r>
      <w:r w:rsidR="001022FD">
        <w:t>s</w:t>
      </w:r>
      <w:r w:rsidR="001022FD" w:rsidRPr="00EC5A96">
        <w:t>ed using Exploratory Factor Analysis, and that this structure would be confirmed using Confirmatory Factor Analysis. The internal consistency of scales of different length</w:t>
      </w:r>
      <w:r w:rsidR="003E3FA8">
        <w:t>s</w:t>
      </w:r>
      <w:r w:rsidR="001022FD" w:rsidRPr="00EC5A96">
        <w:t xml:space="preserve"> would then be explored to determi</w:t>
      </w:r>
      <w:r w:rsidR="003E3FA8">
        <w:t>ne the optimal number of items for the scale</w:t>
      </w:r>
      <w:r w:rsidR="001022FD" w:rsidRPr="00EC5A96">
        <w:t xml:space="preserve">. We expected that the SDES would show high test-retest reliability across 12 months and would correlate with measures of depression, anxiety and hopelessness, based on evidence from </w:t>
      </w:r>
      <w:r w:rsidR="003E3FA8">
        <w:t xml:space="preserve">studies that measured defeat and entrapment using </w:t>
      </w:r>
      <w:r w:rsidR="001022FD" w:rsidRPr="00EC5A96">
        <w:t>the original scales</w:t>
      </w:r>
      <w:r w:rsidR="003E3FA8">
        <w:t xml:space="preserve"> (Gilbert &amp; Allan, 1998)</w:t>
      </w:r>
      <w:r w:rsidR="001022FD" w:rsidRPr="00EC5A96">
        <w:t>. Finally, we expected that the SDES would predict the experience of caregiver burden above and beyond the level</w:t>
      </w:r>
      <w:r w:rsidR="003E3FA8">
        <w:t xml:space="preserve"> that </w:t>
      </w:r>
      <w:r w:rsidR="00D3641C">
        <w:t>can</w:t>
      </w:r>
      <w:r w:rsidR="003E3FA8">
        <w:t xml:space="preserve"> be</w:t>
      </w:r>
      <w:r w:rsidR="001022FD" w:rsidRPr="00EC5A96">
        <w:t xml:space="preserve"> predicted by depression and the presence of the positive symptoms of psychosis above and beyond the level </w:t>
      </w:r>
      <w:r w:rsidR="003E3FA8">
        <w:t xml:space="preserve">that </w:t>
      </w:r>
      <w:r w:rsidR="00D3641C">
        <w:t>can</w:t>
      </w:r>
      <w:r w:rsidR="003E3FA8">
        <w:t xml:space="preserve"> be </w:t>
      </w:r>
      <w:r w:rsidR="001022FD" w:rsidRPr="00EC5A96">
        <w:t xml:space="preserve">predicted by depression and hopelessness. </w:t>
      </w:r>
    </w:p>
    <w:p w14:paraId="22596EBF" w14:textId="6EEDAE06" w:rsidR="00DE7D68" w:rsidRPr="0068161F" w:rsidRDefault="00DE7D68" w:rsidP="00225800">
      <w:pPr>
        <w:spacing w:line="480" w:lineRule="auto"/>
        <w:ind w:left="-851"/>
        <w:jc w:val="center"/>
        <w:rPr>
          <w:b/>
          <w:sz w:val="20"/>
          <w:szCs w:val="20"/>
        </w:rPr>
      </w:pPr>
      <w:r w:rsidRPr="0068161F">
        <w:rPr>
          <w:b/>
        </w:rPr>
        <w:t>Method</w:t>
      </w:r>
    </w:p>
    <w:p w14:paraId="1C499705" w14:textId="77777777" w:rsidR="008F665C" w:rsidRPr="0068161F" w:rsidRDefault="00DE7D68" w:rsidP="00225800">
      <w:pPr>
        <w:spacing w:line="480" w:lineRule="auto"/>
        <w:ind w:left="-851"/>
        <w:rPr>
          <w:b/>
        </w:rPr>
      </w:pPr>
      <w:r w:rsidRPr="0068161F">
        <w:rPr>
          <w:b/>
        </w:rPr>
        <w:t>Participants</w:t>
      </w:r>
    </w:p>
    <w:p w14:paraId="74CA53F3" w14:textId="0D75C561" w:rsidR="001022FD" w:rsidRPr="001D5FEE" w:rsidRDefault="00225800" w:rsidP="001D5FEE">
      <w:pPr>
        <w:spacing w:line="480" w:lineRule="auto"/>
        <w:ind w:left="-851"/>
        <w:rPr>
          <w:b/>
        </w:rPr>
      </w:pPr>
      <w:r>
        <w:lastRenderedPageBreak/>
        <w:t xml:space="preserve"> </w:t>
      </w:r>
      <w:r>
        <w:tab/>
      </w:r>
      <w:r>
        <w:tab/>
      </w:r>
      <w:r w:rsidR="001022FD" w:rsidRPr="00EC5A96">
        <w:t xml:space="preserve">Participants in the current study </w:t>
      </w:r>
      <w:r w:rsidR="001022FD">
        <w:t>were recruited within</w:t>
      </w:r>
      <w:r w:rsidR="001022FD" w:rsidRPr="00EC5A96">
        <w:t xml:space="preserve"> four samples; a community sample, an occupational sample and two </w:t>
      </w:r>
      <w:r w:rsidR="001022FD">
        <w:t>samples from clinical settings</w:t>
      </w:r>
      <w:r w:rsidR="001022FD" w:rsidRPr="00EC5A96">
        <w:t xml:space="preserve">. These samples were selected to </w:t>
      </w:r>
      <w:r w:rsidR="00C707F7">
        <w:t xml:space="preserve">develop and </w:t>
      </w:r>
      <w:r w:rsidR="001022FD" w:rsidRPr="00EC5A96">
        <w:t xml:space="preserve">validate the scale within clinical and non-clinical populations. The inclusion of a community sample was based upon previous work viewing defeat and entrapment to exist on a continuum, upon which people from the general population would be expected to fall on the lower end (Griffiths et al., 2014). The inclusion of samples of individuals with psychosis and posttraumatic stress disorder was based on </w:t>
      </w:r>
      <w:r w:rsidR="00C707F7">
        <w:t>evidence that has demonstrated</w:t>
      </w:r>
      <w:r w:rsidR="001022FD" w:rsidRPr="00EC5A96">
        <w:t xml:space="preserve"> that defeat and entrapment are key constructs within these mental health problems (e.g. Taylor et al., 2010a; Panagioti et al., 2012). The occupational sample was selected as formal caregivers have </w:t>
      </w:r>
      <w:r w:rsidR="00C707F7">
        <w:t xml:space="preserve">specifically </w:t>
      </w:r>
      <w:r w:rsidR="001022FD" w:rsidRPr="00EC5A96">
        <w:t xml:space="preserve">been outlined as a group particularly vulnerable to the experience of burnout and poor psychological health </w:t>
      </w:r>
      <w:r w:rsidR="00C707F7">
        <w:t xml:space="preserve">(Moniz-Cook et al., 1997) </w:t>
      </w:r>
      <w:r w:rsidR="001022FD" w:rsidRPr="00EC5A96">
        <w:t>and who frequently experience high levels of enduring psychological stress</w:t>
      </w:r>
      <w:r w:rsidR="00C707F7">
        <w:t xml:space="preserve"> related to their occupation</w:t>
      </w:r>
      <w:r w:rsidR="001022FD" w:rsidRPr="00EC5A96">
        <w:t xml:space="preserve"> (von Dras et al., 2009), both of which are linked to the experience of defeat and entrapment among individuals caring for others (Willner &amp; Goldstein, 2001).</w:t>
      </w:r>
      <w:r w:rsidR="001022FD" w:rsidRPr="00EC5A96">
        <w:br/>
      </w:r>
      <w:r w:rsidR="001022FD" w:rsidRPr="00EC5A96">
        <w:rPr>
          <w:i/>
        </w:rPr>
        <w:tab/>
      </w:r>
      <w:r>
        <w:rPr>
          <w:i/>
        </w:rPr>
        <w:tab/>
      </w:r>
      <w:r w:rsidR="001022FD" w:rsidRPr="0068161F">
        <w:rPr>
          <w:b/>
        </w:rPr>
        <w:t>Sample 1 (community sample).</w:t>
      </w:r>
      <w:r w:rsidR="001022FD" w:rsidRPr="00EC5A96">
        <w:rPr>
          <w:i/>
        </w:rPr>
        <w:t xml:space="preserve"> </w:t>
      </w:r>
      <w:r w:rsidR="001022FD" w:rsidRPr="00EC5A96">
        <w:t>A sample of</w:t>
      </w:r>
      <w:r w:rsidR="001022FD" w:rsidRPr="00EC5A96">
        <w:rPr>
          <w:i/>
        </w:rPr>
        <w:t xml:space="preserve"> </w:t>
      </w:r>
      <w:r w:rsidR="001022FD" w:rsidRPr="00EC5A96">
        <w:t xml:space="preserve">262 participants (age range 18-85 years; </w:t>
      </w:r>
      <w:r w:rsidR="001022FD" w:rsidRPr="00EC5A96">
        <w:rPr>
          <w:i/>
        </w:rPr>
        <w:t xml:space="preserve">M </w:t>
      </w:r>
      <w:r w:rsidR="001022FD" w:rsidRPr="00EC5A96">
        <w:t>=</w:t>
      </w:r>
      <w:r w:rsidR="00C707F7">
        <w:t xml:space="preserve"> </w:t>
      </w:r>
      <w:r w:rsidR="001022FD" w:rsidRPr="00EC5A96">
        <w:t xml:space="preserve">26.86 years, </w:t>
      </w:r>
      <w:r w:rsidR="001022FD" w:rsidRPr="00EC5A96">
        <w:rPr>
          <w:i/>
        </w:rPr>
        <w:t xml:space="preserve">SD </w:t>
      </w:r>
      <w:r w:rsidR="001022FD" w:rsidRPr="00EC5A96">
        <w:t>=</w:t>
      </w:r>
      <w:r w:rsidR="00C707F7">
        <w:t xml:space="preserve"> </w:t>
      </w:r>
      <w:r w:rsidR="001022FD" w:rsidRPr="00EC5A96">
        <w:t>10.49; 26% male) was recruited on an opportunistic basis from Facebook, an online social networking site (</w:t>
      </w:r>
      <w:r w:rsidR="001022FD" w:rsidRPr="00EC5A96">
        <w:rPr>
          <w:i/>
        </w:rPr>
        <w:t xml:space="preserve">n </w:t>
      </w:r>
      <w:r w:rsidR="001022FD" w:rsidRPr="00EC5A96">
        <w:t>=</w:t>
      </w:r>
      <w:r w:rsidR="00F7490A">
        <w:t xml:space="preserve"> </w:t>
      </w:r>
      <w:r w:rsidR="001022FD" w:rsidRPr="00EC5A96">
        <w:t>159), and various community settings (people visiting the University and people in public areas around the city) in Manchester, England (</w:t>
      </w:r>
      <w:r w:rsidR="001022FD" w:rsidRPr="00EC5A96">
        <w:rPr>
          <w:i/>
        </w:rPr>
        <w:t xml:space="preserve">n </w:t>
      </w:r>
      <w:r w:rsidR="001022FD" w:rsidRPr="00EC5A96">
        <w:t xml:space="preserve">= 103). </w:t>
      </w:r>
      <w:r w:rsidR="00721B02" w:rsidRPr="00721B02">
        <w:t>There were no significant differences based on age [</w:t>
      </w:r>
      <w:r w:rsidR="00721B02" w:rsidRPr="00721B02">
        <w:rPr>
          <w:i/>
        </w:rPr>
        <w:t>t</w:t>
      </w:r>
      <w:r w:rsidR="000C7041">
        <w:t xml:space="preserve"> </w:t>
      </w:r>
      <w:r w:rsidR="00721B02" w:rsidRPr="00721B02">
        <w:t xml:space="preserve">(598) = 1.23, </w:t>
      </w:r>
      <w:r w:rsidR="00721B02" w:rsidRPr="00721B02">
        <w:rPr>
          <w:i/>
        </w:rPr>
        <w:t>p</w:t>
      </w:r>
      <w:r w:rsidR="00721B02" w:rsidRPr="00721B02">
        <w:t xml:space="preserve"> = .11] or differences between males and females [</w:t>
      </w:r>
      <w:r w:rsidR="00721B02" w:rsidRPr="00721B02">
        <w:rPr>
          <w:i/>
        </w:rPr>
        <w:t>t</w:t>
      </w:r>
      <w:r w:rsidR="00721B02" w:rsidRPr="00721B02">
        <w:t xml:space="preserve"> = (598) = .493, </w:t>
      </w:r>
      <w:r w:rsidR="00721B02" w:rsidRPr="00721B02">
        <w:rPr>
          <w:i/>
        </w:rPr>
        <w:t>p</w:t>
      </w:r>
      <w:r w:rsidR="00721B02" w:rsidRPr="00721B02">
        <w:t xml:space="preserve"> = .31] on scores for defeat and entrapment, although participants recruited from community settings had significantly lower defeat and entrapment scores [</w:t>
      </w:r>
      <w:r w:rsidR="00721B02" w:rsidRPr="00721B02">
        <w:rPr>
          <w:i/>
        </w:rPr>
        <w:t xml:space="preserve">t </w:t>
      </w:r>
      <w:r w:rsidR="00721B02" w:rsidRPr="00721B02">
        <w:t>(598) =</w:t>
      </w:r>
      <w:r w:rsidR="00721B02">
        <w:t xml:space="preserve"> </w:t>
      </w:r>
      <w:r w:rsidR="00721B02" w:rsidRPr="00721B02">
        <w:t xml:space="preserve">3.47, </w:t>
      </w:r>
      <w:r w:rsidR="00721B02" w:rsidRPr="00721B02">
        <w:rPr>
          <w:i/>
        </w:rPr>
        <w:t>p</w:t>
      </w:r>
      <w:r w:rsidR="00721B02" w:rsidRPr="00721B02">
        <w:t xml:space="preserve"> &lt;.001].</w:t>
      </w:r>
      <w:r w:rsidR="001022FD" w:rsidRPr="00EC5A96">
        <w:br/>
        <w:t xml:space="preserve"> </w:t>
      </w:r>
      <w:r w:rsidR="001022FD" w:rsidRPr="00EC5A96">
        <w:tab/>
      </w:r>
      <w:r>
        <w:tab/>
      </w:r>
      <w:r w:rsidR="001022FD" w:rsidRPr="0068161F">
        <w:rPr>
          <w:b/>
        </w:rPr>
        <w:t>Sample 2 (formal caregiver sample).</w:t>
      </w:r>
      <w:r w:rsidR="001022FD" w:rsidRPr="00EC5A96">
        <w:rPr>
          <w:i/>
        </w:rPr>
        <w:t xml:space="preserve"> </w:t>
      </w:r>
      <w:r w:rsidR="001022FD" w:rsidRPr="00EC5A96">
        <w:t>A sample of 163 formal caregivers (Care Practitioners, Nurses</w:t>
      </w:r>
      <w:r w:rsidR="001022FD">
        <w:t>, Activities Coordinators</w:t>
      </w:r>
      <w:r w:rsidR="001022FD" w:rsidRPr="00EC5A96">
        <w:t xml:space="preserve"> and Care Support Workers) was recruited from adverts placed in a care organization in North Wales </w:t>
      </w:r>
      <w:r w:rsidR="00B862BA">
        <w:t>that</w:t>
      </w:r>
      <w:r w:rsidR="001022FD" w:rsidRPr="00EC5A96">
        <w:t xml:space="preserve"> consists of seven care homes for young adults with neurological problems, adults with dementia and older adults requiring residential or </w:t>
      </w:r>
      <w:r w:rsidR="001022FD" w:rsidRPr="00EC5A96">
        <w:lastRenderedPageBreak/>
        <w:t>nursing care. The majority of participants were female (84%), consistent with the demographics</w:t>
      </w:r>
      <w:r w:rsidR="001022FD">
        <w:t xml:space="preserve"> of the health care sector (Yar, Dix, &amp; Madhavi, </w:t>
      </w:r>
      <w:r w:rsidR="001022FD" w:rsidRPr="00EC5A96">
        <w:t>2006). Participants’ ages ranged from 18 to 66 years (</w:t>
      </w:r>
      <w:r w:rsidR="001022FD" w:rsidRPr="00EC5A96">
        <w:rPr>
          <w:i/>
        </w:rPr>
        <w:t>M</w:t>
      </w:r>
      <w:r w:rsidR="00F7490A">
        <w:rPr>
          <w:i/>
        </w:rPr>
        <w:t xml:space="preserve"> </w:t>
      </w:r>
      <w:r w:rsidR="001022FD" w:rsidRPr="00EC5A96">
        <w:t xml:space="preserve">= 38.23 years, </w:t>
      </w:r>
      <w:r w:rsidR="001022FD" w:rsidRPr="00EC5A96">
        <w:rPr>
          <w:i/>
        </w:rPr>
        <w:t>SD</w:t>
      </w:r>
      <w:r w:rsidR="00F7490A">
        <w:rPr>
          <w:i/>
        </w:rPr>
        <w:t xml:space="preserve"> </w:t>
      </w:r>
      <w:r w:rsidR="001022FD" w:rsidRPr="00EC5A96">
        <w:t>= 12.24) and participants had been employed as formal caregivers for between 6 months and 40 years (</w:t>
      </w:r>
      <w:r w:rsidR="001022FD" w:rsidRPr="00EC5A96">
        <w:rPr>
          <w:i/>
        </w:rPr>
        <w:t>M</w:t>
      </w:r>
      <w:r w:rsidR="00F7490A">
        <w:rPr>
          <w:i/>
        </w:rPr>
        <w:t xml:space="preserve"> </w:t>
      </w:r>
      <w:r w:rsidR="001022FD" w:rsidRPr="00EC5A96">
        <w:t xml:space="preserve">= 8.63 years, </w:t>
      </w:r>
      <w:r w:rsidR="001022FD" w:rsidRPr="00EC5A96">
        <w:rPr>
          <w:i/>
        </w:rPr>
        <w:t>SD</w:t>
      </w:r>
      <w:r w:rsidR="00F7490A">
        <w:rPr>
          <w:i/>
        </w:rPr>
        <w:t xml:space="preserve"> </w:t>
      </w:r>
      <w:r w:rsidR="001022FD" w:rsidRPr="00EC5A96">
        <w:t xml:space="preserve">= 8.98). </w:t>
      </w:r>
      <w:r w:rsidR="001022FD" w:rsidRPr="00EC5A96">
        <w:br/>
      </w:r>
      <w:r w:rsidR="001022FD" w:rsidRPr="00EC5A96">
        <w:rPr>
          <w:i/>
          <w:color w:val="000000"/>
        </w:rPr>
        <w:t xml:space="preserve"> </w:t>
      </w:r>
      <w:r w:rsidR="001022FD" w:rsidRPr="00EC5A96">
        <w:rPr>
          <w:i/>
          <w:color w:val="000000"/>
        </w:rPr>
        <w:tab/>
      </w:r>
      <w:r>
        <w:rPr>
          <w:i/>
          <w:color w:val="000000"/>
        </w:rPr>
        <w:tab/>
      </w:r>
      <w:r w:rsidR="001022FD" w:rsidRPr="0068161F">
        <w:rPr>
          <w:b/>
          <w:color w:val="000000"/>
        </w:rPr>
        <w:t>Sample 3 (sample of mental health service users with psychosis).</w:t>
      </w:r>
      <w:r w:rsidR="001022FD" w:rsidRPr="00EC5A96">
        <w:rPr>
          <w:i/>
          <w:color w:val="000000"/>
        </w:rPr>
        <w:t xml:space="preserve"> </w:t>
      </w:r>
      <w:r w:rsidR="001022FD" w:rsidRPr="00EC5A96">
        <w:t>Seventy-eight participants experiencing symptoms of psychosis were recruited through advertisements sent to outpatient services including community mental health teams, early intervention services, assertive outreach services and voluntary organizations across North West England. Service users were eligible to participate if they had a chart diagnosis of a schizophrenic spectrum disorder, diagnosed using the ICD-10 criteria (World Health Organisation, 1992)</w:t>
      </w:r>
      <w:r w:rsidR="00F21C6E">
        <w:t>.</w:t>
      </w:r>
      <w:r w:rsidR="001022FD" w:rsidRPr="00EC5A96">
        <w:t xml:space="preserve"> </w:t>
      </w:r>
      <w:r w:rsidR="00F21C6E">
        <w:t xml:space="preserve">Participants </w:t>
      </w:r>
      <w:r w:rsidR="001022FD" w:rsidRPr="00EC5A96">
        <w:t>were attending an outpatient service</w:t>
      </w:r>
      <w:r w:rsidR="001022FD">
        <w:t>, therefore were not acutely ill</w:t>
      </w:r>
      <w:r w:rsidR="00F21C6E">
        <w:t xml:space="preserve"> at the time of participation</w:t>
      </w:r>
      <w:r w:rsidR="001022FD" w:rsidRPr="00EC5A96">
        <w:t>. Participants were diagnosed with schizophrenia (91%), schizoaffective disorder (5%), atypical psychosis (1%) or psychosis not otherwise specified (3%). Potential participants were identified through their clinicians and key workers before being contacted to confirm whether they wished to participate in the research</w:t>
      </w:r>
      <w:r w:rsidR="00BC20D2">
        <w:t>.</w:t>
      </w:r>
      <w:r w:rsidR="001022FD" w:rsidRPr="00EC5A96">
        <w:t xml:space="preserve"> </w:t>
      </w:r>
      <w:r w:rsidR="00BC20D2">
        <w:t>A researcher</w:t>
      </w:r>
      <w:r w:rsidR="001022FD" w:rsidRPr="00EC5A96">
        <w:t xml:space="preserve"> was present whilst participants completed measures. </w:t>
      </w:r>
      <w:r w:rsidR="00396CDD" w:rsidRPr="00396CDD">
        <w:t>As we recruited exclusively from outpatient settings and no participants appeared to have difficulties completing the measures as a result of psychotic symptoms, we do not believe that any participants had problems with completing measures as a result of psychotic symptoms (Taylor et al., 2010c).</w:t>
      </w:r>
      <w:r w:rsidR="001022FD">
        <w:rPr>
          <w:b/>
        </w:rPr>
        <w:t xml:space="preserve"> </w:t>
      </w:r>
      <w:r w:rsidR="001022FD" w:rsidRPr="00EC5A96">
        <w:t>Participants were aged between 19 and 73 years (</w:t>
      </w:r>
      <w:r w:rsidR="001022FD" w:rsidRPr="00EC5A96">
        <w:rPr>
          <w:i/>
        </w:rPr>
        <w:t>M</w:t>
      </w:r>
      <w:r w:rsidR="00BC20D2">
        <w:rPr>
          <w:i/>
        </w:rPr>
        <w:t xml:space="preserve"> </w:t>
      </w:r>
      <w:r w:rsidR="001022FD" w:rsidRPr="00EC5A96">
        <w:t xml:space="preserve">= 42.4 years, </w:t>
      </w:r>
      <w:r w:rsidR="001022FD" w:rsidRPr="00EC5A96">
        <w:rPr>
          <w:i/>
        </w:rPr>
        <w:t>SD</w:t>
      </w:r>
      <w:r w:rsidR="00F7490A">
        <w:rPr>
          <w:i/>
        </w:rPr>
        <w:t xml:space="preserve"> </w:t>
      </w:r>
      <w:r w:rsidR="001022FD" w:rsidRPr="00EC5A96">
        <w:t>= 11.7) and the majority were male (72%). This sample was selected as defeat and entrapment have been shown to be particularly high in this group and are linked to the disorders etiology (Taylor et al.,</w:t>
      </w:r>
      <w:r w:rsidR="004C0D63">
        <w:t xml:space="preserve"> 2010a; Taylor et al.,</w:t>
      </w:r>
      <w:r w:rsidR="001022FD" w:rsidRPr="00EC5A96">
        <w:t xml:space="preserve"> 20</w:t>
      </w:r>
      <w:r w:rsidR="004C0D63">
        <w:t>11a</w:t>
      </w:r>
      <w:r w:rsidR="001022FD" w:rsidRPr="00EC5A96">
        <w:t xml:space="preserve">). </w:t>
      </w:r>
      <w:r w:rsidR="001022FD" w:rsidRPr="00EC5A96">
        <w:br/>
      </w:r>
      <w:r w:rsidR="001022FD" w:rsidRPr="00EC5A96">
        <w:rPr>
          <w:i/>
        </w:rPr>
        <w:t xml:space="preserve"> </w:t>
      </w:r>
      <w:r w:rsidR="001022FD" w:rsidRPr="00EC5A96">
        <w:rPr>
          <w:i/>
        </w:rPr>
        <w:tab/>
      </w:r>
      <w:r>
        <w:rPr>
          <w:i/>
        </w:rPr>
        <w:tab/>
      </w:r>
      <w:r w:rsidR="001022FD" w:rsidRPr="0068161F">
        <w:rPr>
          <w:b/>
        </w:rPr>
        <w:t>Sample 4 (sample of people diagnosed with PTSD).</w:t>
      </w:r>
      <w:r w:rsidR="001022FD" w:rsidRPr="00EC5A96">
        <w:rPr>
          <w:i/>
        </w:rPr>
        <w:t xml:space="preserve"> </w:t>
      </w:r>
      <w:r w:rsidR="001022FD" w:rsidRPr="00EC5A96">
        <w:t xml:space="preserve">Ninety-six people </w:t>
      </w:r>
      <w:r w:rsidR="00BC20D2" w:rsidRPr="00EC5A96">
        <w:t xml:space="preserve">who were identified as having previously experienced a traumatic experience </w:t>
      </w:r>
      <w:r w:rsidR="001022FD" w:rsidRPr="00EC5A96">
        <w:t xml:space="preserve">(age range 18-55 years, </w:t>
      </w:r>
      <w:r w:rsidR="001022FD" w:rsidRPr="00EC5A96">
        <w:rPr>
          <w:i/>
        </w:rPr>
        <w:t>M</w:t>
      </w:r>
      <w:r w:rsidR="00F7490A">
        <w:rPr>
          <w:i/>
        </w:rPr>
        <w:t xml:space="preserve"> </w:t>
      </w:r>
      <w:r w:rsidR="001022FD" w:rsidRPr="00EC5A96">
        <w:t xml:space="preserve">= 28.7 years, </w:t>
      </w:r>
      <w:r w:rsidR="001022FD" w:rsidRPr="00EC5A96">
        <w:rPr>
          <w:i/>
        </w:rPr>
        <w:t>SD</w:t>
      </w:r>
      <w:r w:rsidR="00F7490A">
        <w:rPr>
          <w:i/>
        </w:rPr>
        <w:t xml:space="preserve"> </w:t>
      </w:r>
      <w:r w:rsidR="001022FD" w:rsidRPr="00EC5A96">
        <w:t>= 10.4) were rec</w:t>
      </w:r>
      <w:r w:rsidR="00BC20D2">
        <w:t>ruited from Manchester, England.</w:t>
      </w:r>
      <w:r w:rsidR="001022FD" w:rsidRPr="00EC5A96">
        <w:t xml:space="preserve"> Participants were recruited from advertisements placed in mental health services, newspapers, within the University of </w:t>
      </w:r>
      <w:r w:rsidR="001022FD" w:rsidRPr="00EC5A96">
        <w:lastRenderedPageBreak/>
        <w:t xml:space="preserve">Manchester and </w:t>
      </w:r>
      <w:r w:rsidR="00BC20D2">
        <w:t xml:space="preserve">on </w:t>
      </w:r>
      <w:r w:rsidR="001022FD" w:rsidRPr="00EC5A96">
        <w:t>online advertising sites. Participants were screened for</w:t>
      </w:r>
      <w:r w:rsidR="00FB6423">
        <w:t xml:space="preserve"> posttraumatic stress disorder</w:t>
      </w:r>
      <w:r w:rsidR="001022FD" w:rsidRPr="00EC5A96">
        <w:t xml:space="preserve"> </w:t>
      </w:r>
      <w:r w:rsidR="00FB6423">
        <w:t>(</w:t>
      </w:r>
      <w:r w:rsidR="001022FD" w:rsidRPr="00EC5A96">
        <w:t>PTSD</w:t>
      </w:r>
      <w:r w:rsidR="00FB6423">
        <w:t>)</w:t>
      </w:r>
      <w:r w:rsidR="001022FD" w:rsidRPr="00EC5A96">
        <w:t xml:space="preserve"> diagnosis using the Clinician Administered PTSD Scale (CAPS; Blake et al., 1995), a 30-item structured interview that was conducted by a trained doctoral student. Participants were assessed as either having a current diagnosis of </w:t>
      </w:r>
      <w:r w:rsidR="00FB6423">
        <w:t>PSTD (</w:t>
      </w:r>
      <w:r w:rsidR="001022FD" w:rsidRPr="00EC5A96">
        <w:rPr>
          <w:i/>
        </w:rPr>
        <w:t xml:space="preserve">n </w:t>
      </w:r>
      <w:r w:rsidR="001022FD" w:rsidRPr="00EC5A96">
        <w:t>= 53), a lifetime diagnosis of PTSD (</w:t>
      </w:r>
      <w:r w:rsidR="001022FD" w:rsidRPr="00EC5A96">
        <w:rPr>
          <w:i/>
        </w:rPr>
        <w:t xml:space="preserve">n </w:t>
      </w:r>
      <w:r w:rsidR="001022FD" w:rsidRPr="00EC5A96">
        <w:t>= 27) or not fulfilling the criteria for PTSD (</w:t>
      </w:r>
      <w:r w:rsidR="001022FD" w:rsidRPr="00EC5A96">
        <w:rPr>
          <w:i/>
        </w:rPr>
        <w:t>n</w:t>
      </w:r>
      <w:r w:rsidR="001022FD" w:rsidRPr="00EC5A96">
        <w:t xml:space="preserve"> = 16). The majority of participants were female (73%). Fifty-five participants from this sample who met the criteria for current or lifetime PTSD diagnosis and had the highest scores on the CAPS were selected to complete the measures at a second time point. As with psychosis, defeat and entrapment are particularly high in this group and are theoretically linked to the etiology of the disorder (Panagioti et al., 2012</w:t>
      </w:r>
      <w:r w:rsidR="001022FD">
        <w:t>)</w:t>
      </w:r>
      <w:r w:rsidR="00FB6423">
        <w:t>, which underpinned the recruitment of this sample for the current study</w:t>
      </w:r>
      <w:r w:rsidR="001022FD">
        <w:t>.</w:t>
      </w:r>
      <w:r w:rsidR="001022FD" w:rsidRPr="00EC5A96">
        <w:t xml:space="preserve"> </w:t>
      </w:r>
    </w:p>
    <w:p w14:paraId="44909D5E" w14:textId="231881ED" w:rsidR="0046071B" w:rsidRPr="001022FD" w:rsidRDefault="00DE7D68" w:rsidP="00514D6E">
      <w:pPr>
        <w:pStyle w:val="BodyText"/>
        <w:spacing w:line="480" w:lineRule="auto"/>
        <w:ind w:left="-851"/>
        <w:rPr>
          <w:rFonts w:cs="Times New Roman"/>
        </w:rPr>
      </w:pPr>
      <w:r w:rsidRPr="0068161F">
        <w:rPr>
          <w:b/>
        </w:rPr>
        <w:t>Measures</w:t>
      </w:r>
      <w:r w:rsidR="00796CD9">
        <w:br/>
      </w:r>
      <w:r w:rsidR="006A5964">
        <w:t xml:space="preserve"> </w:t>
      </w:r>
      <w:r w:rsidR="001022FD" w:rsidRPr="003E5AA9">
        <w:rPr>
          <w:rFonts w:cs="Times New Roman"/>
        </w:rPr>
        <w:tab/>
      </w:r>
      <w:r w:rsidR="00225800">
        <w:rPr>
          <w:rFonts w:cs="Times New Roman"/>
        </w:rPr>
        <w:tab/>
      </w:r>
      <w:r w:rsidR="001022FD" w:rsidRPr="003E5AA9">
        <w:rPr>
          <w:rFonts w:cs="Times New Roman"/>
        </w:rPr>
        <w:t xml:space="preserve">All participants completed the </w:t>
      </w:r>
      <w:r w:rsidR="001022FD" w:rsidRPr="003E5AA9">
        <w:rPr>
          <w:rFonts w:cs="Times New Roman"/>
          <w:i/>
        </w:rPr>
        <w:t>Defeat Scale</w:t>
      </w:r>
      <w:r w:rsidR="001022FD" w:rsidRPr="003E5AA9">
        <w:rPr>
          <w:rFonts w:cs="Times New Roman"/>
        </w:rPr>
        <w:t xml:space="preserve"> and </w:t>
      </w:r>
      <w:r w:rsidR="001022FD" w:rsidRPr="003E5AA9">
        <w:rPr>
          <w:rFonts w:cs="Times New Roman"/>
          <w:i/>
        </w:rPr>
        <w:t xml:space="preserve">Entrapment Scale </w:t>
      </w:r>
      <w:r w:rsidR="001022FD" w:rsidRPr="003E5AA9">
        <w:rPr>
          <w:rFonts w:cs="Times New Roman"/>
        </w:rPr>
        <w:t xml:space="preserve">(Gilbert &amp; Allan, 1998), which were administered together. Each scale consists of 16 items and assesses </w:t>
      </w:r>
      <w:r w:rsidR="001022FD" w:rsidRPr="003E5AA9">
        <w:rPr>
          <w:rFonts w:cs="Times New Roman"/>
          <w:color w:val="000000"/>
        </w:rPr>
        <w:t>individuals’ perceptions of losing rank position and failed struggle during the past seven days</w:t>
      </w:r>
      <w:r w:rsidR="00763BC9">
        <w:rPr>
          <w:rFonts w:cs="Times New Roman"/>
          <w:color w:val="000000"/>
        </w:rPr>
        <w:t xml:space="preserve"> (e.g.</w:t>
      </w:r>
      <w:r w:rsidR="00763BC9" w:rsidRPr="00763BC9">
        <w:t xml:space="preserve"> </w:t>
      </w:r>
      <w:r w:rsidR="00763BC9">
        <w:t>“</w:t>
      </w:r>
      <w:r w:rsidR="00763BC9" w:rsidRPr="00ED116C">
        <w:t>I feel defeated by life</w:t>
      </w:r>
      <w:r w:rsidR="00763BC9">
        <w:t>”)</w:t>
      </w:r>
      <w:r w:rsidR="00763BC9">
        <w:rPr>
          <w:rFonts w:cs="Times New Roman"/>
          <w:color w:val="000000"/>
        </w:rPr>
        <w:t xml:space="preserve"> </w:t>
      </w:r>
      <w:r w:rsidR="001022FD" w:rsidRPr="003E5AA9">
        <w:rPr>
          <w:rFonts w:cs="Times New Roman"/>
          <w:color w:val="000000"/>
        </w:rPr>
        <w:t>, and their motivation to escape</w:t>
      </w:r>
      <w:r w:rsidR="00A73E04">
        <w:rPr>
          <w:rFonts w:cs="Times New Roman"/>
          <w:color w:val="000000"/>
        </w:rPr>
        <w:t xml:space="preserve"> from such situations</w:t>
      </w:r>
      <w:r w:rsidR="00763BC9">
        <w:rPr>
          <w:rFonts w:cs="Times New Roman"/>
          <w:color w:val="000000"/>
        </w:rPr>
        <w:t xml:space="preserve"> (e.g. “I can see no way out of my current situation”)</w:t>
      </w:r>
      <w:r w:rsidR="001022FD" w:rsidRPr="003E5AA9">
        <w:rPr>
          <w:rFonts w:cs="Times New Roman"/>
          <w:color w:val="000000"/>
        </w:rPr>
        <w:t>.</w:t>
      </w:r>
      <w:r w:rsidR="00763BC9">
        <w:rPr>
          <w:rFonts w:cs="Times New Roman"/>
          <w:color w:val="000000"/>
        </w:rPr>
        <w:t xml:space="preserve"> Items are rated on a Likert scale ranging from </w:t>
      </w:r>
      <w:r w:rsidR="000436CA">
        <w:rPr>
          <w:rFonts w:cs="Times New Roman"/>
          <w:color w:val="000000"/>
        </w:rPr>
        <w:t>“0 – not at all like me” to “4 – extremely like me”.</w:t>
      </w:r>
      <w:r w:rsidR="001022FD" w:rsidRPr="003E5AA9">
        <w:rPr>
          <w:rFonts w:cs="Times New Roman"/>
          <w:color w:val="000000"/>
        </w:rPr>
        <w:t xml:space="preserve"> The scales have been shown to have high internal consistency of between </w:t>
      </w:r>
      <w:r w:rsidR="001022FD" w:rsidRPr="003E5AA9">
        <w:rPr>
          <w:rFonts w:cs="Times New Roman"/>
          <w:i/>
        </w:rPr>
        <w:t>α</w:t>
      </w:r>
      <w:r w:rsidR="001022FD" w:rsidRPr="003E5AA9">
        <w:rPr>
          <w:rFonts w:cs="Times New Roman"/>
        </w:rPr>
        <w:t xml:space="preserve"> = .88 and</w:t>
      </w:r>
      <w:r w:rsidR="001022FD" w:rsidRPr="003E5AA9">
        <w:rPr>
          <w:rFonts w:cs="Times New Roman"/>
          <w:i/>
        </w:rPr>
        <w:t xml:space="preserve"> α</w:t>
      </w:r>
      <w:r w:rsidR="001022FD" w:rsidRPr="003E5AA9">
        <w:rPr>
          <w:rFonts w:cs="Times New Roman"/>
        </w:rPr>
        <w:t xml:space="preserve"> = .93 for the </w:t>
      </w:r>
      <w:r w:rsidR="001022FD" w:rsidRPr="003E5AA9">
        <w:rPr>
          <w:rFonts w:cs="Times New Roman"/>
          <w:i/>
        </w:rPr>
        <w:t>Entrapment Scale,</w:t>
      </w:r>
      <w:r w:rsidR="001022FD" w:rsidRPr="003E5AA9">
        <w:rPr>
          <w:rFonts w:cs="Times New Roman"/>
        </w:rPr>
        <w:t xml:space="preserve"> and between </w:t>
      </w:r>
      <w:r w:rsidR="001022FD" w:rsidRPr="003E5AA9">
        <w:rPr>
          <w:rFonts w:cs="Times New Roman"/>
          <w:i/>
        </w:rPr>
        <w:t>α</w:t>
      </w:r>
      <w:r w:rsidR="001022FD" w:rsidRPr="003E5AA9">
        <w:rPr>
          <w:rFonts w:cs="Times New Roman"/>
        </w:rPr>
        <w:t xml:space="preserve"> = .93 and </w:t>
      </w:r>
      <w:r w:rsidR="001022FD" w:rsidRPr="003E5AA9">
        <w:rPr>
          <w:rFonts w:cs="Times New Roman"/>
          <w:i/>
        </w:rPr>
        <w:t>α</w:t>
      </w:r>
      <w:r w:rsidR="001022FD" w:rsidRPr="003E5AA9">
        <w:rPr>
          <w:rFonts w:cs="Times New Roman"/>
        </w:rPr>
        <w:t xml:space="preserve"> = .94 for the </w:t>
      </w:r>
      <w:r w:rsidR="001022FD" w:rsidRPr="003E5AA9">
        <w:rPr>
          <w:rFonts w:cs="Times New Roman"/>
          <w:i/>
        </w:rPr>
        <w:t xml:space="preserve">Defeat Scale </w:t>
      </w:r>
      <w:r w:rsidR="001022FD" w:rsidRPr="003E5AA9">
        <w:rPr>
          <w:rFonts w:cs="Times New Roman"/>
          <w:color w:val="000000"/>
        </w:rPr>
        <w:t xml:space="preserve">(Gilbert &amp; Allan, 1998) with groups of students and individuals with depression. </w:t>
      </w:r>
      <w:r w:rsidR="005D0F09" w:rsidRPr="005D0F09">
        <w:t xml:space="preserve">Amongst the four samples recruited in the current study, the </w:t>
      </w:r>
      <w:r w:rsidR="005D0F09" w:rsidRPr="005D0F09">
        <w:rPr>
          <w:i/>
        </w:rPr>
        <w:t>Entrapment Scale</w:t>
      </w:r>
      <w:r w:rsidR="005D0F09" w:rsidRPr="005D0F09">
        <w:t xml:space="preserve"> showed high internal consistency (</w:t>
      </w:r>
      <w:r w:rsidR="005D0F09" w:rsidRPr="005D0F09">
        <w:rPr>
          <w:i/>
        </w:rPr>
        <w:t>α</w:t>
      </w:r>
      <w:r w:rsidR="005D0F09" w:rsidRPr="005D0F09">
        <w:t xml:space="preserve"> = .96, Sample 1; </w:t>
      </w:r>
      <w:r w:rsidR="005D0F09" w:rsidRPr="005D0F09">
        <w:rPr>
          <w:i/>
        </w:rPr>
        <w:t>α</w:t>
      </w:r>
      <w:r w:rsidR="005D0F09" w:rsidRPr="005D0F09">
        <w:t xml:space="preserve"> = .95, Sample 2; </w:t>
      </w:r>
      <w:r w:rsidR="005D0F09" w:rsidRPr="005D0F09">
        <w:rPr>
          <w:i/>
        </w:rPr>
        <w:t>α</w:t>
      </w:r>
      <w:r w:rsidR="005D0F09" w:rsidRPr="005D0F09">
        <w:t xml:space="preserve"> = .95, Sample 3; </w:t>
      </w:r>
      <w:r w:rsidR="005D0F09" w:rsidRPr="005D0F09">
        <w:rPr>
          <w:i/>
        </w:rPr>
        <w:t>α</w:t>
      </w:r>
      <w:r w:rsidR="005D0F09" w:rsidRPr="005D0F09">
        <w:t xml:space="preserve"> = .96, Sample 4) and the </w:t>
      </w:r>
      <w:r w:rsidR="005D0F09" w:rsidRPr="005D0F09">
        <w:rPr>
          <w:i/>
        </w:rPr>
        <w:t xml:space="preserve">Defeat Scale </w:t>
      </w:r>
      <w:r w:rsidR="005D0F09" w:rsidRPr="005D0F09">
        <w:t>showed similarly high internal consistency (</w:t>
      </w:r>
      <w:r w:rsidR="005D0F09" w:rsidRPr="005D0F09">
        <w:rPr>
          <w:i/>
        </w:rPr>
        <w:t>α</w:t>
      </w:r>
      <w:r w:rsidR="005D0F09" w:rsidRPr="005D0F09">
        <w:t xml:space="preserve"> = .95, Sample 1; </w:t>
      </w:r>
      <w:r w:rsidR="005D0F09" w:rsidRPr="005D0F09">
        <w:rPr>
          <w:i/>
        </w:rPr>
        <w:t>α</w:t>
      </w:r>
      <w:r w:rsidR="005D0F09" w:rsidRPr="005D0F09">
        <w:t xml:space="preserve"> = .80, Sample 2; </w:t>
      </w:r>
      <w:r w:rsidR="005D0F09" w:rsidRPr="005D0F09">
        <w:rPr>
          <w:i/>
        </w:rPr>
        <w:t>α</w:t>
      </w:r>
      <w:r w:rsidR="005D0F09" w:rsidRPr="005D0F09">
        <w:t xml:space="preserve"> = .86, Sample 3; </w:t>
      </w:r>
      <w:r w:rsidR="005D0F09" w:rsidRPr="005D0F09">
        <w:rPr>
          <w:i/>
        </w:rPr>
        <w:t>α</w:t>
      </w:r>
      <w:r w:rsidR="005D0F09" w:rsidRPr="005D0F09">
        <w:t xml:space="preserve"> = .96, Sample 4). </w:t>
      </w:r>
      <w:r w:rsidR="001022FD" w:rsidRPr="003E5AA9">
        <w:rPr>
          <w:rFonts w:cs="Times New Roman"/>
          <w:color w:val="000000"/>
        </w:rPr>
        <w:t xml:space="preserve">Both of these scales have demonstrated concurrent validity with hopelessness when controlling for depression, </w:t>
      </w:r>
      <w:r w:rsidR="001022FD" w:rsidRPr="003E5AA9">
        <w:rPr>
          <w:rFonts w:cs="Times New Roman"/>
          <w:i/>
          <w:color w:val="000000"/>
        </w:rPr>
        <w:t xml:space="preserve">r </w:t>
      </w:r>
      <w:r w:rsidR="001022FD" w:rsidRPr="003E5AA9">
        <w:rPr>
          <w:rFonts w:cs="Times New Roman"/>
          <w:color w:val="000000"/>
        </w:rPr>
        <w:t xml:space="preserve">= .35 (defeat), </w:t>
      </w:r>
      <w:r w:rsidR="001022FD" w:rsidRPr="003E5AA9">
        <w:rPr>
          <w:rFonts w:cs="Times New Roman"/>
          <w:i/>
          <w:color w:val="000000"/>
        </w:rPr>
        <w:t xml:space="preserve">r </w:t>
      </w:r>
      <w:r w:rsidR="001022FD" w:rsidRPr="003E5AA9">
        <w:rPr>
          <w:rFonts w:cs="Times New Roman"/>
          <w:color w:val="000000"/>
        </w:rPr>
        <w:t>= .38 - .46 (in</w:t>
      </w:r>
      <w:r w:rsidR="000436CA">
        <w:rPr>
          <w:rFonts w:cs="Times New Roman"/>
          <w:color w:val="000000"/>
        </w:rPr>
        <w:t xml:space="preserve">ternal and external entrapment; </w:t>
      </w:r>
      <w:r w:rsidR="001022FD" w:rsidRPr="003E5AA9">
        <w:rPr>
          <w:rFonts w:cs="Times New Roman"/>
          <w:color w:val="000000"/>
        </w:rPr>
        <w:t>Gilbert and Allan, 1998).</w:t>
      </w:r>
      <w:r w:rsidR="000436CA">
        <w:rPr>
          <w:rFonts w:cs="Times New Roman"/>
          <w:color w:val="000000"/>
        </w:rPr>
        <w:t xml:space="preserve"> Additionally, the scales have demonstrated discriminant validity from</w:t>
      </w:r>
      <w:r w:rsidR="00A7071A">
        <w:rPr>
          <w:rFonts w:cs="Times New Roman"/>
          <w:color w:val="000000"/>
        </w:rPr>
        <w:t xml:space="preserve"> the presence of social support,</w:t>
      </w:r>
      <w:r w:rsidR="00A7071A" w:rsidRPr="003E5AA9">
        <w:rPr>
          <w:rFonts w:cs="Times New Roman"/>
          <w:color w:val="000000"/>
        </w:rPr>
        <w:t xml:space="preserve"> </w:t>
      </w:r>
      <w:r w:rsidR="00A7071A" w:rsidRPr="003E5AA9">
        <w:rPr>
          <w:rFonts w:cs="Times New Roman"/>
          <w:i/>
          <w:color w:val="000000"/>
        </w:rPr>
        <w:t xml:space="preserve">r </w:t>
      </w:r>
      <w:r w:rsidR="00A7071A">
        <w:rPr>
          <w:rFonts w:cs="Times New Roman"/>
          <w:color w:val="000000"/>
        </w:rPr>
        <w:t>= -.41</w:t>
      </w:r>
      <w:r w:rsidR="00A7071A" w:rsidRPr="003E5AA9">
        <w:rPr>
          <w:rFonts w:cs="Times New Roman"/>
          <w:color w:val="000000"/>
        </w:rPr>
        <w:t xml:space="preserve"> </w:t>
      </w:r>
      <w:r w:rsidR="00A7071A" w:rsidRPr="003E5AA9">
        <w:rPr>
          <w:rFonts w:cs="Times New Roman"/>
          <w:color w:val="000000"/>
        </w:rPr>
        <w:lastRenderedPageBreak/>
        <w:t xml:space="preserve">(defeat), </w:t>
      </w:r>
      <w:r w:rsidR="00A7071A" w:rsidRPr="003E5AA9">
        <w:rPr>
          <w:rFonts w:cs="Times New Roman"/>
          <w:i/>
          <w:color w:val="000000"/>
        </w:rPr>
        <w:t xml:space="preserve">r </w:t>
      </w:r>
      <w:r w:rsidR="00A7071A" w:rsidRPr="003E5AA9">
        <w:rPr>
          <w:rFonts w:cs="Times New Roman"/>
          <w:color w:val="000000"/>
        </w:rPr>
        <w:t>= .</w:t>
      </w:r>
      <w:r w:rsidR="00A7071A">
        <w:rPr>
          <w:rFonts w:cs="Times New Roman"/>
          <w:color w:val="000000"/>
        </w:rPr>
        <w:t>40</w:t>
      </w:r>
      <w:r w:rsidR="00A7071A" w:rsidRPr="003E5AA9">
        <w:rPr>
          <w:rFonts w:cs="Times New Roman"/>
          <w:color w:val="000000"/>
        </w:rPr>
        <w:t xml:space="preserve"> (in</w:t>
      </w:r>
      <w:r w:rsidR="00A7071A">
        <w:rPr>
          <w:rFonts w:cs="Times New Roman"/>
          <w:color w:val="000000"/>
        </w:rPr>
        <w:t>ternal and external entrapment; Rasmussen et al., 2010</w:t>
      </w:r>
      <w:r w:rsidR="00A7071A" w:rsidRPr="003E5AA9">
        <w:rPr>
          <w:rFonts w:cs="Times New Roman"/>
          <w:color w:val="000000"/>
        </w:rPr>
        <w:t>).</w:t>
      </w:r>
      <w:r w:rsidR="00A7071A">
        <w:rPr>
          <w:rFonts w:cs="Times New Roman"/>
          <w:color w:val="000000"/>
        </w:rPr>
        <w:t xml:space="preserve">  </w:t>
      </w:r>
      <w:r w:rsidR="000436CA">
        <w:rPr>
          <w:rFonts w:cs="Times New Roman"/>
          <w:color w:val="000000"/>
        </w:rPr>
        <w:t>(</w:t>
      </w:r>
      <w:r w:rsidR="001022FD" w:rsidRPr="003E5AA9">
        <w:rPr>
          <w:rFonts w:cs="Times New Roman"/>
          <w:color w:val="000000"/>
        </w:rPr>
        <w:t xml:space="preserve"> </w:t>
      </w:r>
      <w:r w:rsidR="001022FD" w:rsidRPr="003E5AA9">
        <w:rPr>
          <w:rFonts w:cs="Times New Roman"/>
        </w:rPr>
        <w:t xml:space="preserve">Test-retest reliability of the scales across 12 months has demonstrated single measures absolute agreement Intra-Class Coefficients (ICC) of </w:t>
      </w:r>
      <w:r w:rsidR="001022FD" w:rsidRPr="003E5AA9">
        <w:rPr>
          <w:rFonts w:cs="Times New Roman"/>
          <w:i/>
        </w:rPr>
        <w:t>r</w:t>
      </w:r>
      <w:r w:rsidR="001022FD" w:rsidRPr="003E5AA9">
        <w:rPr>
          <w:rFonts w:cs="Times New Roman"/>
          <w:i/>
          <w:vertAlign w:val="subscript"/>
        </w:rPr>
        <w:t xml:space="preserve">icc </w:t>
      </w:r>
      <w:r w:rsidR="001022FD" w:rsidRPr="003E5AA9">
        <w:rPr>
          <w:rFonts w:cs="Times New Roman"/>
        </w:rPr>
        <w:t xml:space="preserve"> = .88 for the Defeat Scale and </w:t>
      </w:r>
      <w:r w:rsidR="001022FD" w:rsidRPr="003E5AA9">
        <w:rPr>
          <w:rFonts w:cs="Times New Roman"/>
          <w:i/>
        </w:rPr>
        <w:t>r</w:t>
      </w:r>
      <w:r w:rsidR="001022FD" w:rsidRPr="003E5AA9">
        <w:rPr>
          <w:rFonts w:cs="Times New Roman"/>
          <w:i/>
          <w:vertAlign w:val="subscript"/>
        </w:rPr>
        <w:t>icc</w:t>
      </w:r>
      <w:r w:rsidR="001022FD" w:rsidRPr="003E5AA9">
        <w:rPr>
          <w:rFonts w:cs="Times New Roman"/>
        </w:rPr>
        <w:t xml:space="preserve"> = .90 for the Entrapment Scale (Griffiths et al., 2014).</w:t>
      </w:r>
      <w:r w:rsidR="001022FD" w:rsidRPr="003E5AA9">
        <w:rPr>
          <w:rFonts w:cs="Times New Roman"/>
        </w:rPr>
        <w:br/>
      </w:r>
      <w:r w:rsidR="001022FD" w:rsidRPr="003E5AA9">
        <w:rPr>
          <w:rFonts w:cs="Times New Roman"/>
        </w:rPr>
        <w:tab/>
      </w:r>
      <w:r w:rsidR="00225800">
        <w:rPr>
          <w:rFonts w:cs="Times New Roman"/>
        </w:rPr>
        <w:tab/>
      </w:r>
      <w:r w:rsidR="001022FD" w:rsidRPr="003E5AA9">
        <w:rPr>
          <w:rFonts w:cs="Times New Roman"/>
        </w:rPr>
        <w:t xml:space="preserve">Participants from three samples completed one of two measures of depression. The </w:t>
      </w:r>
      <w:r w:rsidR="001022FD" w:rsidRPr="003E5AA9">
        <w:rPr>
          <w:rFonts w:cs="Times New Roman"/>
          <w:i/>
        </w:rPr>
        <w:t xml:space="preserve">Beck Depression Inventory </w:t>
      </w:r>
      <w:r w:rsidR="001022FD" w:rsidRPr="003E5AA9">
        <w:rPr>
          <w:rFonts w:cs="Times New Roman"/>
        </w:rPr>
        <w:t xml:space="preserve">(BDI; Beck, 1961) was completed by clinical samples and the </w:t>
      </w:r>
      <w:r w:rsidR="001022FD" w:rsidRPr="003E5AA9">
        <w:rPr>
          <w:rFonts w:cs="Times New Roman"/>
          <w:i/>
        </w:rPr>
        <w:t xml:space="preserve">Center for Epidemiologic Services Depression Scale </w:t>
      </w:r>
      <w:r w:rsidR="001022FD" w:rsidRPr="003E5AA9">
        <w:rPr>
          <w:rFonts w:cs="Times New Roman"/>
        </w:rPr>
        <w:t xml:space="preserve">(CES-D; Radloff, 1977) was completed by non-clinical samples. This combination of scales was preferred as the BDI assesses the more severe aspects of depression, making it appropriate for use with clinical populations, whereas the CES-D assesses the full range of depression as a continuum, making it particularly appropriate for community samples (Joseph &amp; Wood, 2010; Wood &amp; Joseph, 2010). The BDI assesses depression through 21 items that measure how participants have felt during the past week on a four-point scale, for example “0 – I do not feel like a failure” to “3 – I feel I am a complete failure as a person”. The BDI has shown high sensitivity (85%) and specificity (86%) to a clinical diagnosis of depression, using a cutoff score of 10 (Oliver &amp; Simmons, 1984). The scale has been shown to have internal consistency of </w:t>
      </w:r>
      <w:r w:rsidR="001022FD" w:rsidRPr="003E5AA9">
        <w:rPr>
          <w:rFonts w:cs="Times New Roman"/>
          <w:i/>
        </w:rPr>
        <w:t>α</w:t>
      </w:r>
      <w:r w:rsidR="001022FD" w:rsidRPr="003E5AA9">
        <w:rPr>
          <w:rFonts w:cs="Times New Roman"/>
        </w:rPr>
        <w:t xml:space="preserve"> = .89 for a sample of outpatients with mood and anxiety disorders (Beck, Steer, Ball, &amp;, Ranieri, 1996)</w:t>
      </w:r>
      <w:r w:rsidR="00F855FF">
        <w:rPr>
          <w:rFonts w:cs="Times New Roman"/>
        </w:rPr>
        <w:t xml:space="preserve"> and within the present study, the measure also showed similar internal consistency</w:t>
      </w:r>
      <w:r w:rsidR="00A15499">
        <w:rPr>
          <w:rFonts w:cs="Times New Roman"/>
        </w:rPr>
        <w:t xml:space="preserve"> amongst a sample of individuals experiencing symptoms associated with psychosis</w:t>
      </w:r>
      <w:r w:rsidR="00F855FF">
        <w:rPr>
          <w:rFonts w:cs="Times New Roman"/>
        </w:rPr>
        <w:t xml:space="preserve"> (</w:t>
      </w:r>
      <w:r w:rsidR="00F855FF" w:rsidRPr="003E5AA9">
        <w:rPr>
          <w:rFonts w:cs="Times New Roman"/>
          <w:i/>
        </w:rPr>
        <w:t>α</w:t>
      </w:r>
      <w:r w:rsidR="00F855FF">
        <w:rPr>
          <w:rFonts w:cs="Times New Roman"/>
        </w:rPr>
        <w:t xml:space="preserve"> = .84)</w:t>
      </w:r>
      <w:r w:rsidR="001022FD" w:rsidRPr="003E5AA9">
        <w:rPr>
          <w:rFonts w:cs="Times New Roman"/>
        </w:rPr>
        <w:t xml:space="preserve">. </w:t>
      </w:r>
      <w:r w:rsidR="00CC660E" w:rsidRPr="00E72365">
        <w:t xml:space="preserve">Although the wording of the BDI-I is less recent than the (proprietary) BDI II, the two correlate at </w:t>
      </w:r>
      <w:r w:rsidR="00CC660E" w:rsidRPr="00E72365">
        <w:rPr>
          <w:i/>
        </w:rPr>
        <w:t xml:space="preserve">r </w:t>
      </w:r>
      <w:r w:rsidR="00CC660E" w:rsidRPr="00E72365">
        <w:t>= .93 (Beck et al., 1996), demonstrating that it is still suitable for use in research settings, and we have previously used it successfully with these populations</w:t>
      </w:r>
      <w:r w:rsidR="00CC660E">
        <w:t>.</w:t>
      </w:r>
      <w:r w:rsidR="000C12DB">
        <w:t xml:space="preserve"> The BDI has been shown to have convergent validity </w:t>
      </w:r>
      <w:r w:rsidR="00EE5ACD">
        <w:t>with the depression and dysphoria subscales of the IDAS (</w:t>
      </w:r>
      <w:r w:rsidR="008171A1">
        <w:rPr>
          <w:i/>
        </w:rPr>
        <w:t xml:space="preserve">r </w:t>
      </w:r>
      <w:r w:rsidR="008171A1">
        <w:t>= .81 - .83, Watson et al., 2007)</w:t>
      </w:r>
      <w:r w:rsidR="00EE5ACD">
        <w:t xml:space="preserve"> and discriminant validity with symptoms of anxiety, as measured by the Beck Anxiety Inventory (</w:t>
      </w:r>
      <w:r w:rsidR="008171A1">
        <w:rPr>
          <w:i/>
        </w:rPr>
        <w:t>r</w:t>
      </w:r>
      <w:r w:rsidR="008171A1">
        <w:t xml:space="preserve"> = .48, Beck, Epstein, Brown, &amp; Steer, 1988)</w:t>
      </w:r>
      <w:r w:rsidR="000C12DB">
        <w:t>.</w:t>
      </w:r>
      <w:r w:rsidR="00CC660E">
        <w:t xml:space="preserve"> </w:t>
      </w:r>
      <w:r w:rsidR="001022FD" w:rsidRPr="003E5AA9">
        <w:rPr>
          <w:rFonts w:cs="Times New Roman"/>
        </w:rPr>
        <w:t xml:space="preserve">The </w:t>
      </w:r>
      <w:r w:rsidR="00695C5A">
        <w:rPr>
          <w:rFonts w:cs="Times New Roman"/>
        </w:rPr>
        <w:t xml:space="preserve">second questionnaire used to measure depression, the </w:t>
      </w:r>
      <w:r w:rsidR="001022FD" w:rsidRPr="003E5AA9">
        <w:rPr>
          <w:rFonts w:cs="Times New Roman"/>
        </w:rPr>
        <w:t>CES-D</w:t>
      </w:r>
      <w:r w:rsidR="00695C5A">
        <w:rPr>
          <w:rFonts w:cs="Times New Roman"/>
        </w:rPr>
        <w:t>,</w:t>
      </w:r>
      <w:r w:rsidR="001022FD" w:rsidRPr="003E5AA9">
        <w:rPr>
          <w:rFonts w:cs="Times New Roman"/>
        </w:rPr>
        <w:t xml:space="preserve"> consists of 20 items that measure depressive symptoms within the general population based on </w:t>
      </w:r>
      <w:r w:rsidR="001022FD" w:rsidRPr="003E5AA9">
        <w:rPr>
          <w:rFonts w:cs="Times New Roman"/>
        </w:rPr>
        <w:lastRenderedPageBreak/>
        <w:t>how participants have felt during the past week (e.g., “I felt lonely”)</w:t>
      </w:r>
      <w:r w:rsidR="006D5D61">
        <w:rPr>
          <w:rFonts w:cs="Times New Roman"/>
        </w:rPr>
        <w:t xml:space="preserve"> on a scale from “0 – rarely or none of the time” to “3 – most or all of the time”</w:t>
      </w:r>
      <w:r w:rsidR="001022FD" w:rsidRPr="003E5AA9">
        <w:rPr>
          <w:rFonts w:cs="Times New Roman"/>
        </w:rPr>
        <w:t xml:space="preserve">. The scale has been shown to have internal consistency of </w:t>
      </w:r>
      <w:r w:rsidR="001022FD" w:rsidRPr="003E5AA9">
        <w:rPr>
          <w:rFonts w:cs="Times New Roman"/>
          <w:i/>
        </w:rPr>
        <w:t>α</w:t>
      </w:r>
      <w:r w:rsidR="001022FD" w:rsidRPr="003E5AA9">
        <w:rPr>
          <w:rFonts w:cs="Times New Roman"/>
        </w:rPr>
        <w:t xml:space="preserve"> = .84 (Radloff, 1977) to </w:t>
      </w:r>
      <w:r w:rsidR="001022FD" w:rsidRPr="003E5AA9">
        <w:rPr>
          <w:rFonts w:cs="Times New Roman"/>
          <w:i/>
        </w:rPr>
        <w:t>α</w:t>
      </w:r>
      <w:r w:rsidR="001022FD" w:rsidRPr="003E5AA9">
        <w:rPr>
          <w:rFonts w:cs="Times New Roman"/>
        </w:rPr>
        <w:t xml:space="preserve"> = .91 (Gilbert &amp; Allan, 1998). A</w:t>
      </w:r>
      <w:r w:rsidR="001022FD" w:rsidRPr="003E5AA9">
        <w:rPr>
          <w:rFonts w:cs="Times New Roman"/>
          <w:color w:val="000000"/>
        </w:rPr>
        <w:t xml:space="preserve"> cut-off score of 16 on the CES-D has been shown to successfully detect diagnosable depressive disorders within a community sample of individuals with a diagnosis of a chronic pain condition, with specificity of </w:t>
      </w:r>
      <w:r w:rsidR="001022FD">
        <w:rPr>
          <w:rFonts w:cs="Times New Roman"/>
          <w:i/>
          <w:color w:val="000000"/>
        </w:rPr>
        <w:t xml:space="preserve">r </w:t>
      </w:r>
      <w:r w:rsidR="001022FD">
        <w:rPr>
          <w:rFonts w:cs="Times New Roman"/>
          <w:color w:val="000000"/>
        </w:rPr>
        <w:t xml:space="preserve">= </w:t>
      </w:r>
      <w:r w:rsidR="001022FD" w:rsidRPr="003E5AA9">
        <w:rPr>
          <w:rFonts w:cs="Times New Roman"/>
          <w:color w:val="000000"/>
        </w:rPr>
        <w:t>.95 and sensitivity of</w:t>
      </w:r>
      <w:r w:rsidR="001022FD" w:rsidRPr="00405D23">
        <w:rPr>
          <w:rFonts w:cs="Times New Roman"/>
          <w:i/>
          <w:color w:val="000000"/>
        </w:rPr>
        <w:t xml:space="preserve"> </w:t>
      </w:r>
      <w:r w:rsidR="001022FD">
        <w:rPr>
          <w:rFonts w:cs="Times New Roman"/>
          <w:i/>
          <w:color w:val="000000"/>
        </w:rPr>
        <w:t xml:space="preserve">r </w:t>
      </w:r>
      <w:r w:rsidR="001022FD">
        <w:rPr>
          <w:rFonts w:cs="Times New Roman"/>
          <w:color w:val="000000"/>
        </w:rPr>
        <w:t xml:space="preserve">= </w:t>
      </w:r>
      <w:r w:rsidR="001022FD" w:rsidRPr="003E5AA9">
        <w:rPr>
          <w:rFonts w:cs="Times New Roman"/>
          <w:color w:val="000000"/>
        </w:rPr>
        <w:t xml:space="preserve"> .72 to diagnosis of a mood disorder (Julian et al., 2011), using the Mini-International Neuropsychiatric Interview (MINI; Sheehan et al., 1998). The scale has test-retest reliability of </w:t>
      </w:r>
      <w:r w:rsidR="001022FD" w:rsidRPr="003E5AA9">
        <w:rPr>
          <w:rFonts w:cs="Times New Roman"/>
          <w:i/>
          <w:color w:val="000000"/>
        </w:rPr>
        <w:t xml:space="preserve">r </w:t>
      </w:r>
      <w:r w:rsidR="001022FD" w:rsidRPr="003E5AA9">
        <w:rPr>
          <w:rFonts w:cs="Times New Roman"/>
          <w:color w:val="000000"/>
        </w:rPr>
        <w:t>= .88 across twelve months within a sample of healthy participants recruited from the general population and negatively correlated with both satisfaction with life (</w:t>
      </w:r>
      <w:r w:rsidR="001022FD" w:rsidRPr="003E5AA9">
        <w:rPr>
          <w:rFonts w:cs="Times New Roman"/>
          <w:i/>
          <w:color w:val="000000"/>
        </w:rPr>
        <w:t xml:space="preserve">r </w:t>
      </w:r>
      <w:r w:rsidR="001022FD" w:rsidRPr="003E5AA9">
        <w:rPr>
          <w:rFonts w:cs="Times New Roman"/>
          <w:color w:val="000000"/>
        </w:rPr>
        <w:t>= -.45) and quality of life (</w:t>
      </w:r>
      <w:r w:rsidR="001022FD" w:rsidRPr="003E5AA9">
        <w:rPr>
          <w:rFonts w:cs="Times New Roman"/>
          <w:i/>
          <w:color w:val="000000"/>
        </w:rPr>
        <w:t xml:space="preserve">r </w:t>
      </w:r>
      <w:r w:rsidR="001022FD">
        <w:rPr>
          <w:rFonts w:cs="Times New Roman"/>
          <w:color w:val="000000"/>
        </w:rPr>
        <w:t xml:space="preserve">= -.43; Schroevers, Sanderman, van Sonderen, &amp; Ranchor, </w:t>
      </w:r>
      <w:r w:rsidR="001022FD" w:rsidRPr="003E5AA9">
        <w:rPr>
          <w:rFonts w:cs="Times New Roman"/>
          <w:color w:val="000000"/>
        </w:rPr>
        <w:t>2000).</w:t>
      </w:r>
      <w:r w:rsidR="001022FD" w:rsidRPr="003E5AA9">
        <w:rPr>
          <w:rFonts w:cs="Times New Roman"/>
        </w:rPr>
        <w:br/>
        <w:t xml:space="preserve"> </w:t>
      </w:r>
      <w:r w:rsidR="001022FD" w:rsidRPr="003E5AA9">
        <w:rPr>
          <w:rFonts w:cs="Times New Roman"/>
        </w:rPr>
        <w:tab/>
      </w:r>
      <w:r w:rsidR="00225800">
        <w:rPr>
          <w:rFonts w:cs="Times New Roman"/>
        </w:rPr>
        <w:tab/>
      </w:r>
      <w:r w:rsidR="001022FD" w:rsidRPr="003E5AA9">
        <w:rPr>
          <w:rFonts w:cs="Times New Roman"/>
        </w:rPr>
        <w:t xml:space="preserve">The </w:t>
      </w:r>
      <w:r w:rsidR="001022FD" w:rsidRPr="003E5AA9">
        <w:rPr>
          <w:rFonts w:cs="Times New Roman"/>
          <w:i/>
        </w:rPr>
        <w:t xml:space="preserve">Beck Hopelessness Scale </w:t>
      </w:r>
      <w:r w:rsidR="001022FD" w:rsidRPr="003E5AA9">
        <w:rPr>
          <w:rFonts w:cs="Times New Roman"/>
        </w:rPr>
        <w:t>(BHS; Beck et al., 1974), which consists of 10 items that measure participants’ motivations, expectations and attitudes towards the future (e.g. “my future seems dark to me”), was completed by two samples. The scale has been found to have high internal consistency in samples of individuals with depression (</w:t>
      </w:r>
      <w:r w:rsidR="001022FD" w:rsidRPr="003E5AA9">
        <w:rPr>
          <w:rFonts w:cs="Times New Roman"/>
          <w:i/>
        </w:rPr>
        <w:t>α</w:t>
      </w:r>
      <w:r w:rsidR="001022FD" w:rsidRPr="003E5AA9">
        <w:rPr>
          <w:rFonts w:cs="Times New Roman"/>
        </w:rPr>
        <w:t xml:space="preserve"> = .97</w:t>
      </w:r>
      <w:r w:rsidR="001022FD">
        <w:rPr>
          <w:rFonts w:cs="Times New Roman"/>
        </w:rPr>
        <w:t xml:space="preserve">; </w:t>
      </w:r>
      <w:r w:rsidR="001022FD" w:rsidRPr="003E5AA9">
        <w:rPr>
          <w:rFonts w:cs="Times New Roman"/>
        </w:rPr>
        <w:t>Bouvard, Charles, Guérin, Aimard, &amp; Cottraux, 1992) and healthy controls (</w:t>
      </w:r>
      <w:r w:rsidR="001022FD" w:rsidRPr="003E5AA9">
        <w:rPr>
          <w:rFonts w:cs="Times New Roman"/>
          <w:i/>
        </w:rPr>
        <w:t>α</w:t>
      </w:r>
      <w:r w:rsidR="001022FD" w:rsidRPr="003E5AA9">
        <w:rPr>
          <w:rFonts w:cs="Times New Roman"/>
        </w:rPr>
        <w:t xml:space="preserve"> = .79; Bouvard</w:t>
      </w:r>
      <w:r w:rsidR="001022FD">
        <w:rPr>
          <w:rFonts w:cs="Times New Roman"/>
        </w:rPr>
        <w:t xml:space="preserve"> et al., </w:t>
      </w:r>
      <w:r w:rsidR="001022FD" w:rsidRPr="003E5AA9">
        <w:rPr>
          <w:rFonts w:cs="Times New Roman"/>
        </w:rPr>
        <w:t xml:space="preserve">1992). </w:t>
      </w:r>
      <w:r w:rsidR="00E0444B">
        <w:rPr>
          <w:rFonts w:cs="Times New Roman"/>
        </w:rPr>
        <w:t>Within the present study, the scale was found to have high internal consistency amongst a sample of individuals with PTSD diagnoses (</w:t>
      </w:r>
      <w:r w:rsidR="00E0444B" w:rsidRPr="003E5AA9">
        <w:rPr>
          <w:rFonts w:cs="Times New Roman"/>
          <w:i/>
        </w:rPr>
        <w:t>α</w:t>
      </w:r>
      <w:r w:rsidR="00E0444B">
        <w:rPr>
          <w:rFonts w:cs="Times New Roman"/>
        </w:rPr>
        <w:t xml:space="preserve"> = .92). </w:t>
      </w:r>
      <w:r w:rsidR="001022FD" w:rsidRPr="003E5AA9">
        <w:rPr>
          <w:rFonts w:cs="Times New Roman"/>
        </w:rPr>
        <w:t>A meta-analysis found the BHS to have high sensitivity (74%-82%) and adequate specificity (38%-45%) to non-fatal self-harm and high sensitivity (68%-90%) and adequate specificity</w:t>
      </w:r>
      <w:r w:rsidR="001022FD">
        <w:rPr>
          <w:rFonts w:cs="Times New Roman"/>
        </w:rPr>
        <w:t xml:space="preserve"> (41%-44%) to suicide (McMillan, Gilbody, Beresford, &amp; Neilly, </w:t>
      </w:r>
      <w:r w:rsidR="001022FD" w:rsidRPr="003E5AA9">
        <w:rPr>
          <w:rFonts w:cs="Times New Roman"/>
        </w:rPr>
        <w:t xml:space="preserve">2007). </w:t>
      </w:r>
      <w:r w:rsidR="00514D6E">
        <w:rPr>
          <w:rFonts w:cs="Times New Roman"/>
        </w:rPr>
        <w:t>Additionally, the scale has been shown to converge</w:t>
      </w:r>
      <w:r w:rsidR="00514D6E" w:rsidRPr="00514D6E">
        <w:rPr>
          <w:rFonts w:cs="Times New Roman"/>
        </w:rPr>
        <w:t xml:space="preserve"> with</w:t>
      </w:r>
      <w:r w:rsidR="00514D6E">
        <w:rPr>
          <w:rFonts w:cs="Times New Roman"/>
        </w:rPr>
        <w:t xml:space="preserve"> </w:t>
      </w:r>
      <w:r w:rsidR="00514D6E" w:rsidRPr="00514D6E">
        <w:rPr>
          <w:rFonts w:cs="Times New Roman"/>
        </w:rPr>
        <w:t>clinician rat</w:t>
      </w:r>
      <w:r w:rsidR="00514D6E">
        <w:rPr>
          <w:rFonts w:cs="Times New Roman"/>
        </w:rPr>
        <w:t>ings of hopelessness (</w:t>
      </w:r>
      <w:r w:rsidR="00514D6E" w:rsidRPr="00514D6E">
        <w:rPr>
          <w:rFonts w:cs="Times New Roman"/>
          <w:i/>
        </w:rPr>
        <w:t xml:space="preserve">r </w:t>
      </w:r>
      <w:r w:rsidR="00514D6E">
        <w:rPr>
          <w:rFonts w:cs="Times New Roman"/>
        </w:rPr>
        <w:t>= .62 -</w:t>
      </w:r>
      <w:r w:rsidR="00514D6E" w:rsidRPr="00514D6E">
        <w:rPr>
          <w:rFonts w:cs="Times New Roman"/>
        </w:rPr>
        <w:t xml:space="preserve"> .74</w:t>
      </w:r>
      <w:r w:rsidR="00514D6E">
        <w:rPr>
          <w:rFonts w:cs="Times New Roman"/>
        </w:rPr>
        <w:t>, Taylor et al., 2010b).</w:t>
      </w:r>
      <w:r w:rsidR="001022FD" w:rsidRPr="003E5AA9">
        <w:rPr>
          <w:rFonts w:cs="Times New Roman"/>
        </w:rPr>
        <w:br/>
        <w:t xml:space="preserve"> </w:t>
      </w:r>
      <w:r w:rsidR="001022FD" w:rsidRPr="003E5AA9">
        <w:rPr>
          <w:rFonts w:cs="Times New Roman"/>
        </w:rPr>
        <w:tab/>
      </w:r>
      <w:r w:rsidR="00225800">
        <w:rPr>
          <w:rFonts w:cs="Times New Roman"/>
        </w:rPr>
        <w:tab/>
      </w:r>
      <w:r w:rsidR="001022FD" w:rsidRPr="003E5AA9">
        <w:rPr>
          <w:rFonts w:cs="Times New Roman"/>
        </w:rPr>
        <w:t xml:space="preserve">Participants from the sample of formal caregivers also completed the </w:t>
      </w:r>
      <w:r w:rsidR="001022FD" w:rsidRPr="003E5AA9">
        <w:rPr>
          <w:rFonts w:cs="Times New Roman"/>
          <w:i/>
        </w:rPr>
        <w:t xml:space="preserve">Zarit Burden Interview </w:t>
      </w:r>
      <w:r w:rsidR="001022FD">
        <w:rPr>
          <w:rFonts w:cs="Times New Roman"/>
        </w:rPr>
        <w:t xml:space="preserve">(ZBI; Zarit et al., </w:t>
      </w:r>
      <w:r w:rsidR="001022FD" w:rsidRPr="003E5AA9">
        <w:rPr>
          <w:rFonts w:cs="Times New Roman"/>
        </w:rPr>
        <w:t xml:space="preserve">1980) modified by the original authors to be suitable for healthcare staff. This modification replaces the word ‘relative’ with ‘resident’. This scale was designed to measure the personal strain experienced by caregivers of adults with dementia (e.g. “do you feel you could do a better job caring for your resident?”), although is now one of the most frequently </w:t>
      </w:r>
      <w:r w:rsidR="001022FD" w:rsidRPr="003E5AA9">
        <w:rPr>
          <w:rFonts w:cs="Times New Roman"/>
        </w:rPr>
        <w:lastRenderedPageBreak/>
        <w:t>used measures of caregiver burden for caregivers of patients with a wide spectrum of disorders and illnesses (O’Rourke &amp; Tuokko, 2003).</w:t>
      </w:r>
      <w:r w:rsidR="000C12DB">
        <w:rPr>
          <w:rFonts w:cs="Times New Roman"/>
        </w:rPr>
        <w:t xml:space="preserve"> Items are responded to using a Likert scale ranging from “0 – Never” to “4 – Always”.</w:t>
      </w:r>
      <w:r w:rsidR="001022FD" w:rsidRPr="003E5AA9">
        <w:rPr>
          <w:rFonts w:cs="Times New Roman"/>
        </w:rPr>
        <w:t xml:space="preserve"> Limited research has considered the reliability or validity of the scale within formal care settings, although the scale has acceptable internal consistency with healthcare staff (</w:t>
      </w:r>
      <w:r w:rsidR="001022FD" w:rsidRPr="003E5AA9">
        <w:rPr>
          <w:rFonts w:cs="Times New Roman"/>
          <w:i/>
          <w:color w:val="000000"/>
        </w:rPr>
        <w:t xml:space="preserve">r </w:t>
      </w:r>
      <w:r w:rsidR="001022FD" w:rsidRPr="003E5AA9">
        <w:rPr>
          <w:rFonts w:cs="Times New Roman"/>
          <w:color w:val="000000"/>
        </w:rPr>
        <w:t>= .74-.87) and assessed burden</w:t>
      </w:r>
      <w:r w:rsidR="001022FD">
        <w:rPr>
          <w:rFonts w:cs="Times New Roman"/>
          <w:color w:val="000000"/>
        </w:rPr>
        <w:t xml:space="preserve"> satisfactorily (Sourial, McCusker, Cole, &amp; Abrahamowicz,</w:t>
      </w:r>
      <w:r w:rsidR="001022FD" w:rsidRPr="003E5AA9">
        <w:rPr>
          <w:rFonts w:cs="Times New Roman"/>
          <w:color w:val="000000"/>
        </w:rPr>
        <w:t xml:space="preserve"> 2001).</w:t>
      </w:r>
      <w:r w:rsidR="00350C54" w:rsidRPr="00350C54">
        <w:rPr>
          <w:b/>
        </w:rPr>
        <w:t xml:space="preserve"> </w:t>
      </w:r>
      <w:r w:rsidR="00350C54" w:rsidRPr="00350C54">
        <w:t>Within the present study, the measure demonstrated higher internal consistency than existing literature</w:t>
      </w:r>
      <w:r w:rsidR="00A15499">
        <w:t xml:space="preserve"> amongst a sample of formal caregivers</w:t>
      </w:r>
      <w:r w:rsidR="00350C54" w:rsidRPr="00350C54">
        <w:t xml:space="preserve"> (</w:t>
      </w:r>
      <w:r w:rsidR="00350C54" w:rsidRPr="00350C54">
        <w:rPr>
          <w:i/>
        </w:rPr>
        <w:t>α</w:t>
      </w:r>
      <w:r w:rsidR="00350C54" w:rsidRPr="00350C54">
        <w:t xml:space="preserve"> = .84</w:t>
      </w:r>
      <w:r w:rsidR="00350C54">
        <w:t>).</w:t>
      </w:r>
      <w:r w:rsidR="001022FD" w:rsidRPr="003E5AA9">
        <w:rPr>
          <w:rFonts w:cs="Times New Roman"/>
        </w:rPr>
        <w:br/>
        <w:t xml:space="preserve"> </w:t>
      </w:r>
      <w:r w:rsidR="001022FD" w:rsidRPr="003E5AA9">
        <w:rPr>
          <w:rFonts w:cs="Times New Roman"/>
        </w:rPr>
        <w:tab/>
      </w:r>
      <w:r w:rsidR="00225800">
        <w:rPr>
          <w:rFonts w:cs="Times New Roman"/>
        </w:rPr>
        <w:tab/>
      </w:r>
      <w:r w:rsidR="001022FD" w:rsidRPr="003E5AA9">
        <w:rPr>
          <w:rFonts w:cs="Times New Roman"/>
        </w:rPr>
        <w:t xml:space="preserve">The </w:t>
      </w:r>
      <w:r w:rsidR="001022FD" w:rsidRPr="003E5AA9">
        <w:rPr>
          <w:rFonts w:cs="Times New Roman"/>
          <w:i/>
        </w:rPr>
        <w:t>Brief Psychiatric Rating Scale Expanded version</w:t>
      </w:r>
      <w:r w:rsidR="001022FD" w:rsidRPr="003E5AA9">
        <w:rPr>
          <w:rFonts w:cs="Times New Roman"/>
        </w:rPr>
        <w:t xml:space="preserve"> (BPRS-E; Ventura, Green, Shaner, &amp; Liberman, 1994) was administered by researchers to measure the presence of psychiatric symptoms in individuals in </w:t>
      </w:r>
      <w:r w:rsidR="001022FD" w:rsidRPr="003E5AA9">
        <w:rPr>
          <w:rFonts w:cs="Times New Roman"/>
          <w:i/>
        </w:rPr>
        <w:t>Sample 3</w:t>
      </w:r>
      <w:r w:rsidR="001022FD" w:rsidRPr="003E5AA9">
        <w:rPr>
          <w:rFonts w:cs="Times New Roman"/>
        </w:rPr>
        <w:t>. This is a 24-item assessment of common psychopathological symptoms including depression, hallucinations and suicidality</w:t>
      </w:r>
      <w:r w:rsidR="00505B3A">
        <w:rPr>
          <w:rFonts w:cs="Times New Roman"/>
        </w:rPr>
        <w:t xml:space="preserve"> (e.g. “Do you ever seem to hear your name being called?”)</w:t>
      </w:r>
      <w:r w:rsidR="001022FD" w:rsidRPr="003E5AA9">
        <w:rPr>
          <w:rFonts w:cs="Times New Roman"/>
        </w:rPr>
        <w:t>. Items are rated for frequency and severity by the interviewer and the interview lasts between 10 and 40 minutes. Each item is rated on a scale ranging from “1 - not present” to “5 - extremely severe”. The</w:t>
      </w:r>
      <w:r w:rsidR="00BF6AF5">
        <w:rPr>
          <w:rFonts w:cs="Times New Roman"/>
        </w:rPr>
        <w:t xml:space="preserve"> measure</w:t>
      </w:r>
      <w:r w:rsidR="001022FD" w:rsidRPr="003E5AA9">
        <w:rPr>
          <w:rFonts w:cs="Times New Roman"/>
        </w:rPr>
        <w:t xml:space="preserve"> has been shown to effectively distinguish between those with schizophrenic spectrum disorders and those with mood or anxiety disorders (Lykke, Hesse, A</w:t>
      </w:r>
      <w:r w:rsidR="00BF6AF5">
        <w:rPr>
          <w:rFonts w:cs="Times New Roman"/>
        </w:rPr>
        <w:t>ustin, &amp; Oestrich, 2008). The measure</w:t>
      </w:r>
      <w:r w:rsidR="001022FD" w:rsidRPr="003E5AA9">
        <w:rPr>
          <w:rFonts w:cs="Times New Roman"/>
        </w:rPr>
        <w:t xml:space="preserve"> has adequate internal consistency when administered to a sample of individuals with schizophrenia spectrum disorders, affective disorders and personality disorders (</w:t>
      </w:r>
      <w:r w:rsidR="001022FD" w:rsidRPr="003E5AA9">
        <w:rPr>
          <w:rFonts w:cs="Times New Roman"/>
          <w:i/>
        </w:rPr>
        <w:t>α</w:t>
      </w:r>
      <w:r w:rsidR="001022FD">
        <w:rPr>
          <w:rFonts w:cs="Times New Roman"/>
        </w:rPr>
        <w:t xml:space="preserve"> = .55 - .76; Dingesman,</w:t>
      </w:r>
      <w:r w:rsidR="001022FD" w:rsidRPr="003E5AA9">
        <w:rPr>
          <w:rFonts w:cs="Times New Roman"/>
        </w:rPr>
        <w:t xml:space="preserve"> </w:t>
      </w:r>
      <w:r w:rsidR="001022FD">
        <w:rPr>
          <w:rFonts w:cs="Times New Roman"/>
        </w:rPr>
        <w:t xml:space="preserve">Linszen, Lenior, &amp; Smeets, </w:t>
      </w:r>
      <w:r w:rsidR="001022FD" w:rsidRPr="003E5AA9">
        <w:rPr>
          <w:rFonts w:cs="Times New Roman"/>
        </w:rPr>
        <w:t>1995).</w:t>
      </w:r>
      <w:r w:rsidR="00B871CA">
        <w:rPr>
          <w:rFonts w:cs="Times New Roman"/>
        </w:rPr>
        <w:t xml:space="preserve"> The sub-scales of the measure have been shown to have discriminant validity from suicidal ideation (</w:t>
      </w:r>
      <w:r w:rsidR="00B871CA">
        <w:rPr>
          <w:rFonts w:cs="Times New Roman"/>
          <w:i/>
        </w:rPr>
        <w:t xml:space="preserve">r </w:t>
      </w:r>
      <w:r w:rsidR="00B871CA">
        <w:rPr>
          <w:rFonts w:cs="Times New Roman"/>
        </w:rPr>
        <w:t>= .11 - .42; Taylor et al., 2010a).</w:t>
      </w:r>
      <w:r w:rsidR="00B26371">
        <w:rPr>
          <w:rFonts w:cs="Times New Roman"/>
        </w:rPr>
        <w:t xml:space="preserve"> The sub-scales of the measure have also been shown to have convergent validity with the relevant sub-scales of t</w:t>
      </w:r>
      <w:r w:rsidR="003E1D5F">
        <w:rPr>
          <w:rFonts w:cs="Times New Roman"/>
        </w:rPr>
        <w:t>he Behaviour Observation System, an observational measure of psychopathological behaviours (Mogge, LePage, Del Ben, &amp; Murphy, 2002).</w:t>
      </w:r>
      <w:r w:rsidR="00F855FF">
        <w:rPr>
          <w:rFonts w:cs="Times New Roman"/>
        </w:rPr>
        <w:t xml:space="preserve"> Within the present study, the measure also demonstrated adequate internal consistency</w:t>
      </w:r>
      <w:r w:rsidR="00A15499" w:rsidRPr="00A15499">
        <w:rPr>
          <w:b/>
        </w:rPr>
        <w:t xml:space="preserve"> </w:t>
      </w:r>
      <w:r w:rsidR="00A15499" w:rsidRPr="00A15499">
        <w:t>amongst a sample of individuals who were experiencing symptoms of psychosis</w:t>
      </w:r>
      <w:r w:rsidR="00F855FF" w:rsidRPr="00A15499">
        <w:rPr>
          <w:rFonts w:cs="Times New Roman"/>
        </w:rPr>
        <w:t xml:space="preserve"> (</w:t>
      </w:r>
      <w:r w:rsidR="00F855FF" w:rsidRPr="00A15499">
        <w:rPr>
          <w:rFonts w:cs="Times New Roman"/>
          <w:i/>
        </w:rPr>
        <w:t>α</w:t>
      </w:r>
      <w:r w:rsidR="00F855FF" w:rsidRPr="00A15499">
        <w:rPr>
          <w:rFonts w:cs="Times New Roman"/>
        </w:rPr>
        <w:t xml:space="preserve"> = .72).</w:t>
      </w:r>
      <w:r w:rsidR="00FA06AA">
        <w:rPr>
          <w:rFonts w:cs="Times New Roman"/>
        </w:rPr>
        <w:t xml:space="preserve"> </w:t>
      </w:r>
    </w:p>
    <w:p w14:paraId="0908AEA9" w14:textId="6D405EAB" w:rsidR="00060236" w:rsidRPr="0068161F" w:rsidRDefault="00060236" w:rsidP="00225800">
      <w:pPr>
        <w:pStyle w:val="ListParagraph"/>
        <w:spacing w:line="480" w:lineRule="auto"/>
        <w:ind w:left="-851" w:right="220"/>
        <w:rPr>
          <w:b/>
        </w:rPr>
      </w:pPr>
      <w:r w:rsidRPr="0068161F">
        <w:rPr>
          <w:b/>
        </w:rPr>
        <w:t>Missing Data</w:t>
      </w:r>
    </w:p>
    <w:p w14:paraId="710FA251" w14:textId="3FADE139" w:rsidR="004B7A31" w:rsidRPr="004B7A31" w:rsidRDefault="00060236" w:rsidP="004B7A31">
      <w:pPr>
        <w:pStyle w:val="ListParagraph"/>
        <w:spacing w:line="480" w:lineRule="auto"/>
        <w:ind w:left="-851" w:right="220"/>
        <w:rPr>
          <w:rFonts w:eastAsiaTheme="minorEastAsia"/>
          <w:color w:val="000000"/>
        </w:rPr>
      </w:pPr>
      <w:r w:rsidRPr="00196604">
        <w:rPr>
          <w:rFonts w:eastAsiaTheme="minorEastAsia"/>
          <w:color w:val="000000"/>
        </w:rPr>
        <w:lastRenderedPageBreak/>
        <w:tab/>
      </w:r>
      <w:r w:rsidR="00225800">
        <w:rPr>
          <w:rFonts w:eastAsiaTheme="minorEastAsia"/>
          <w:color w:val="000000"/>
        </w:rPr>
        <w:tab/>
      </w:r>
      <w:r w:rsidRPr="00196604">
        <w:rPr>
          <w:rFonts w:eastAsiaTheme="minorEastAsia"/>
          <w:color w:val="000000"/>
        </w:rPr>
        <w:t>Missing value analysis was also conducted to establish if any patterns existed within missing data.</w:t>
      </w:r>
      <w:r w:rsidR="003C405B">
        <w:rPr>
          <w:rFonts w:eastAsiaTheme="minorEastAsia"/>
          <w:color w:val="000000"/>
        </w:rPr>
        <w:t xml:space="preserve"> Generally, as the majority of questionnaires were completed with a researcher present, there was </w:t>
      </w:r>
      <w:r w:rsidR="00230482">
        <w:rPr>
          <w:rFonts w:eastAsiaTheme="minorEastAsia"/>
          <w:color w:val="000000"/>
        </w:rPr>
        <w:t xml:space="preserve">a </w:t>
      </w:r>
      <w:r w:rsidR="003C405B">
        <w:rPr>
          <w:rFonts w:eastAsiaTheme="minorEastAsia"/>
          <w:color w:val="000000"/>
        </w:rPr>
        <w:t>very limited</w:t>
      </w:r>
      <w:r w:rsidR="00230482">
        <w:rPr>
          <w:rFonts w:eastAsiaTheme="minorEastAsia"/>
          <w:color w:val="000000"/>
        </w:rPr>
        <w:t xml:space="preserve"> amount of</w:t>
      </w:r>
      <w:r w:rsidR="003C405B">
        <w:rPr>
          <w:rFonts w:eastAsiaTheme="minorEastAsia"/>
          <w:color w:val="000000"/>
        </w:rPr>
        <w:t xml:space="preserve"> missing data</w:t>
      </w:r>
      <w:r w:rsidR="007E4191">
        <w:rPr>
          <w:rFonts w:eastAsiaTheme="minorEastAsia"/>
          <w:color w:val="000000"/>
        </w:rPr>
        <w:t xml:space="preserve"> and</w:t>
      </w:r>
      <w:r w:rsidR="006B389C">
        <w:rPr>
          <w:rFonts w:eastAsiaTheme="minorEastAsia"/>
          <w:color w:val="000000"/>
        </w:rPr>
        <w:t xml:space="preserve"> across all samples, it was not necessary for any cases</w:t>
      </w:r>
      <w:r w:rsidR="007E4191">
        <w:rPr>
          <w:rFonts w:eastAsiaTheme="minorEastAsia"/>
          <w:color w:val="000000"/>
        </w:rPr>
        <w:t xml:space="preserve"> </w:t>
      </w:r>
      <w:r w:rsidR="006B389C">
        <w:rPr>
          <w:rFonts w:eastAsiaTheme="minorEastAsia"/>
          <w:color w:val="000000"/>
        </w:rPr>
        <w:t>to be removed due to missing data on measures</w:t>
      </w:r>
      <w:r w:rsidR="003C405B">
        <w:rPr>
          <w:rFonts w:eastAsiaTheme="minorEastAsia"/>
          <w:color w:val="000000"/>
        </w:rPr>
        <w:t>.</w:t>
      </w:r>
      <w:r w:rsidRPr="00196604">
        <w:rPr>
          <w:rFonts w:eastAsiaTheme="minorEastAsia"/>
          <w:color w:val="000000"/>
        </w:rPr>
        <w:t xml:space="preserve"> To establish whether imputation of missing data was necessary, the Missing Completely At Random test was used</w:t>
      </w:r>
      <w:r>
        <w:rPr>
          <w:rFonts w:eastAsiaTheme="minorEastAsia"/>
          <w:color w:val="000000"/>
        </w:rPr>
        <w:t xml:space="preserve"> for each sample</w:t>
      </w:r>
      <w:r w:rsidRPr="00196604">
        <w:rPr>
          <w:rFonts w:eastAsiaTheme="minorEastAsia"/>
          <w:color w:val="000000"/>
        </w:rPr>
        <w:t xml:space="preserve"> (MCAR; Little, 1998). This test was non-significant; indicating that </w:t>
      </w:r>
      <w:r w:rsidR="00B04598">
        <w:rPr>
          <w:rFonts w:eastAsiaTheme="minorEastAsia"/>
          <w:color w:val="000000"/>
        </w:rPr>
        <w:t xml:space="preserve">any </w:t>
      </w:r>
      <w:r w:rsidRPr="00196604">
        <w:rPr>
          <w:rFonts w:eastAsiaTheme="minorEastAsia"/>
          <w:color w:val="000000"/>
        </w:rPr>
        <w:t>missing data was missing completely at random</w:t>
      </w:r>
      <w:r w:rsidRPr="004B7A31">
        <w:rPr>
          <w:rFonts w:eastAsiaTheme="minorEastAsia"/>
          <w:color w:val="000000"/>
        </w:rPr>
        <w:t>.</w:t>
      </w:r>
    </w:p>
    <w:p w14:paraId="7608FAEE" w14:textId="4A692067" w:rsidR="004B7A31" w:rsidRPr="004B7A31" w:rsidRDefault="004B7A31" w:rsidP="004B7A31">
      <w:pPr>
        <w:pStyle w:val="ListParagraph"/>
        <w:spacing w:line="480" w:lineRule="auto"/>
        <w:ind w:left="-851" w:right="220"/>
        <w:rPr>
          <w:rFonts w:eastAsiaTheme="minorEastAsia"/>
          <w:color w:val="000000"/>
        </w:rPr>
      </w:pPr>
      <w:r w:rsidRPr="004B7A31">
        <w:rPr>
          <w:rFonts w:eastAsiaTheme="minorEastAsia"/>
          <w:color w:val="000000"/>
        </w:rPr>
        <w:t xml:space="preserve"> </w:t>
      </w:r>
      <w:r w:rsidRPr="004B7A31">
        <w:rPr>
          <w:rFonts w:eastAsiaTheme="minorEastAsia"/>
          <w:color w:val="000000"/>
        </w:rPr>
        <w:tab/>
      </w:r>
      <w:r w:rsidRPr="004B7A31">
        <w:rPr>
          <w:rFonts w:eastAsiaTheme="minorEastAsia"/>
          <w:color w:val="000000"/>
        </w:rPr>
        <w:tab/>
      </w:r>
      <w:r w:rsidRPr="004B7A31">
        <w:rPr>
          <w:color w:val="000000" w:themeColor="text1"/>
        </w:rPr>
        <w:t>Within the current study, any missing data was dealt with using Multiple Imputation (MI; Rubin, 1987). This technique creates complete data sets by generating several possible values for any missing values. Analyses are then conducted across all</w:t>
      </w:r>
      <w:r w:rsidR="006D5D61">
        <w:rPr>
          <w:color w:val="000000" w:themeColor="text1"/>
        </w:rPr>
        <w:t xml:space="preserve"> of these</w:t>
      </w:r>
      <w:r w:rsidRPr="004B7A31">
        <w:rPr>
          <w:color w:val="000000" w:themeColor="text1"/>
        </w:rPr>
        <w:t xml:space="preserve"> datasets and outputs provide estimates for each dataset about the results that would have been expected if there had been no missing values in the original dataset (Allison, 2000).</w:t>
      </w:r>
    </w:p>
    <w:p w14:paraId="7069DA47" w14:textId="77777777" w:rsidR="00DE7D68" w:rsidRPr="0068161F" w:rsidRDefault="00DE7D68" w:rsidP="009133BE">
      <w:pPr>
        <w:spacing w:line="480" w:lineRule="auto"/>
        <w:jc w:val="center"/>
        <w:rPr>
          <w:b/>
        </w:rPr>
      </w:pPr>
      <w:r w:rsidRPr="0068161F">
        <w:rPr>
          <w:b/>
        </w:rPr>
        <w:t>Results</w:t>
      </w:r>
    </w:p>
    <w:p w14:paraId="49ED30DB" w14:textId="374A660D" w:rsidR="0028426B" w:rsidRPr="0068161F" w:rsidRDefault="0028426B" w:rsidP="00225800">
      <w:pPr>
        <w:spacing w:line="480" w:lineRule="auto"/>
        <w:ind w:left="-851"/>
        <w:rPr>
          <w:b/>
        </w:rPr>
      </w:pPr>
      <w:r w:rsidRPr="0068161F">
        <w:rPr>
          <w:b/>
        </w:rPr>
        <w:t>Structure</w:t>
      </w:r>
    </w:p>
    <w:p w14:paraId="27E7C464" w14:textId="7A984365" w:rsidR="00DE7D68" w:rsidRDefault="00DE7D68" w:rsidP="00225800">
      <w:pPr>
        <w:spacing w:line="480" w:lineRule="auto"/>
        <w:ind w:left="-851"/>
      </w:pPr>
      <w:r>
        <w:tab/>
      </w:r>
      <w:r w:rsidR="00225800">
        <w:tab/>
      </w:r>
      <w:r>
        <w:t>A principal-axis exploratory factor analysis (EFA) was conducted on the</w:t>
      </w:r>
      <w:r w:rsidR="00BF76BE">
        <w:t xml:space="preserve"> correlation matrix of the</w:t>
      </w:r>
      <w:r>
        <w:t xml:space="preserve"> 32 items from the </w:t>
      </w:r>
      <w:r w:rsidRPr="00830DD0">
        <w:rPr>
          <w:i/>
        </w:rPr>
        <w:t>Defeat Scale</w:t>
      </w:r>
      <w:r>
        <w:t xml:space="preserve"> and </w:t>
      </w:r>
      <w:r w:rsidRPr="00830DD0">
        <w:rPr>
          <w:i/>
        </w:rPr>
        <w:t>Entrapment Scale</w:t>
      </w:r>
      <w:r>
        <w:rPr>
          <w:i/>
        </w:rPr>
        <w:t xml:space="preserve"> </w:t>
      </w:r>
      <w:r>
        <w:t xml:space="preserve">(Gilbert &amp; Allan, 1998) completed by </w:t>
      </w:r>
      <w:r w:rsidRPr="00A664E3">
        <w:rPr>
          <w:i/>
        </w:rPr>
        <w:t>Sample 1</w:t>
      </w:r>
      <w:r w:rsidR="00C97C03">
        <w:t>,</w:t>
      </w:r>
      <w:r w:rsidR="00C97C03" w:rsidRPr="00C97C03">
        <w:t xml:space="preserve"> </w:t>
      </w:r>
      <w:r w:rsidR="00C97C03">
        <w:t>to establish the optimal factor structure of the data</w:t>
      </w:r>
      <w:r w:rsidR="0045168B">
        <w:t>.</w:t>
      </w:r>
      <w:r w:rsidR="00E157F5">
        <w:t xml:space="preserve"> This sample was selected as it was most represent</w:t>
      </w:r>
      <w:r w:rsidR="00FC6662">
        <w:t>ative of the general population</w:t>
      </w:r>
      <w:r w:rsidR="00E157F5">
        <w:t xml:space="preserve"> and therefore provided the greatest </w:t>
      </w:r>
      <w:r w:rsidR="00E464E0">
        <w:t>generalizability</w:t>
      </w:r>
      <w:r w:rsidR="00E157F5">
        <w:t>.</w:t>
      </w:r>
      <w:r w:rsidR="00800BFB">
        <w:t xml:space="preserve"> Bartlett's test confirmed that an EFA was appropriate for the sample </w:t>
      </w:r>
      <w:r w:rsidR="00800BFB" w:rsidRPr="00E608F9">
        <w:t>(</w:t>
      </w:r>
      <w:r w:rsidR="00800BFB" w:rsidRPr="00E608F9">
        <w:rPr>
          <w:i/>
        </w:rPr>
        <w:t>χ</w:t>
      </w:r>
      <w:r w:rsidR="00800BFB" w:rsidRPr="00E608F9">
        <w:rPr>
          <w:i/>
          <w:vertAlign w:val="superscript"/>
        </w:rPr>
        <w:t xml:space="preserve">2 </w:t>
      </w:r>
      <w:r w:rsidR="00800BFB" w:rsidRPr="00E608F9">
        <w:t xml:space="preserve">[496] = </w:t>
      </w:r>
      <w:r w:rsidR="00800BFB">
        <w:t>6878.41</w:t>
      </w:r>
      <w:r w:rsidR="00800BFB" w:rsidRPr="00E608F9">
        <w:t xml:space="preserve">, </w:t>
      </w:r>
      <w:r w:rsidR="00800BFB" w:rsidRPr="00E608F9">
        <w:rPr>
          <w:i/>
        </w:rPr>
        <w:t>p</w:t>
      </w:r>
      <w:r w:rsidR="00800BFB">
        <w:t xml:space="preserve"> &lt; .001) and a Keiser–Meyer–Olkin (KMO) test indicated an adequate participant:item ratio of 8:1 </w:t>
      </w:r>
      <w:r w:rsidR="009A4DC1">
        <w:t>(KMO = .96)</w:t>
      </w:r>
      <w:r>
        <w:t>.</w:t>
      </w:r>
      <w:r w:rsidR="009A4DC1" w:rsidRPr="009A4DC1">
        <w:t xml:space="preserve"> </w:t>
      </w:r>
      <w:r>
        <w:br/>
        <w:t xml:space="preserve"> </w:t>
      </w:r>
      <w:r>
        <w:tab/>
      </w:r>
      <w:r w:rsidR="00225800">
        <w:tab/>
      </w:r>
      <w:r>
        <w:t xml:space="preserve">Preliminary analyses </w:t>
      </w:r>
      <w:r w:rsidR="00357E3B">
        <w:t xml:space="preserve">of the items of the </w:t>
      </w:r>
      <w:r w:rsidR="00357E3B" w:rsidRPr="00357E3B">
        <w:rPr>
          <w:i/>
        </w:rPr>
        <w:t>Defeat Scale</w:t>
      </w:r>
      <w:r w:rsidR="00357E3B">
        <w:t xml:space="preserve"> and </w:t>
      </w:r>
      <w:r w:rsidR="00357E3B" w:rsidRPr="00357E3B">
        <w:rPr>
          <w:i/>
        </w:rPr>
        <w:t>Entrapment Scale</w:t>
      </w:r>
      <w:r w:rsidR="00357E3B">
        <w:t xml:space="preserve"> before conducting the EFA </w:t>
      </w:r>
      <w:r>
        <w:t>demonstrated that the data had positive skew (</w:t>
      </w:r>
      <w:r w:rsidRPr="003175AA">
        <w:rPr>
          <w:i/>
        </w:rPr>
        <w:t>M</w:t>
      </w:r>
      <w:r w:rsidR="0081113E">
        <w:rPr>
          <w:i/>
        </w:rPr>
        <w:t xml:space="preserve"> </w:t>
      </w:r>
      <w:r>
        <w:t>=</w:t>
      </w:r>
      <w:r w:rsidR="00C97C03">
        <w:t xml:space="preserve"> </w:t>
      </w:r>
      <w:r>
        <w:t>1.67) and kurtosis (</w:t>
      </w:r>
      <w:r w:rsidRPr="003175AA">
        <w:rPr>
          <w:i/>
        </w:rPr>
        <w:t>M</w:t>
      </w:r>
      <w:r w:rsidR="0081113E">
        <w:rPr>
          <w:i/>
        </w:rPr>
        <w:t xml:space="preserve"> </w:t>
      </w:r>
      <w:r>
        <w:t>=</w:t>
      </w:r>
      <w:r w:rsidR="00C97C03">
        <w:t xml:space="preserve"> </w:t>
      </w:r>
      <w:r w:rsidR="00DA7E6D">
        <w:t>3.25), which</w:t>
      </w:r>
      <w:r>
        <w:t xml:space="preserve"> was expected for a community </w:t>
      </w:r>
      <w:r w:rsidR="00DA7E6D">
        <w:t>sample,</w:t>
      </w:r>
      <w:r>
        <w:t xml:space="preserve"> </w:t>
      </w:r>
      <w:r w:rsidR="00DA7E6D">
        <w:t>as</w:t>
      </w:r>
      <w:r>
        <w:t xml:space="preserve"> the majority of participants would </w:t>
      </w:r>
      <w:r w:rsidR="00C97C03">
        <w:t>have low</w:t>
      </w:r>
      <w:r>
        <w:t xml:space="preserve"> levels of defeat and entrapment. Therefore a principal-axis EFA was conducted, as this </w:t>
      </w:r>
      <w:r>
        <w:lastRenderedPageBreak/>
        <w:t xml:space="preserve">makes no assumptions about </w:t>
      </w:r>
      <w:r w:rsidR="00004E79">
        <w:t>the distribution of the data</w:t>
      </w:r>
      <w:r>
        <w:t xml:space="preserve"> and </w:t>
      </w:r>
      <w:r w:rsidR="00004E79">
        <w:t xml:space="preserve">furthermore, </w:t>
      </w:r>
      <w:r>
        <w:t>no data transformation was required before analysis</w:t>
      </w:r>
      <w:r w:rsidR="0032173B">
        <w:t xml:space="preserve"> (Fabrigar, Wegener, MacCallum, </w:t>
      </w:r>
      <w:r w:rsidR="00D87BFF">
        <w:t>&amp;</w:t>
      </w:r>
      <w:r w:rsidR="0032173B">
        <w:t xml:space="preserve"> Strahan, 1999)</w:t>
      </w:r>
      <w:r>
        <w:t xml:space="preserve">. </w:t>
      </w:r>
      <w:r w:rsidRPr="00E608F9">
        <w:t xml:space="preserve">The first ten initial eigenvalues (and % of variance accounted for) extracted from the EFA were </w:t>
      </w:r>
      <w:r>
        <w:t xml:space="preserve">17.06 (53.32%), 1.88 (5.89%), 1.31 (4.09%), 1.08 (3.37%), 0.94 (2.95%), 0.81 (2.54%), 0.76 (2.38%), </w:t>
      </w:r>
      <w:r w:rsidR="00E562C3">
        <w:t xml:space="preserve">0.71 (2.26%), </w:t>
      </w:r>
      <w:r>
        <w:t>0.65 (2.04%) and 0.56 (1.</w:t>
      </w:r>
      <w:r w:rsidR="009A4DC1">
        <w:t>75%).</w:t>
      </w:r>
      <w:r w:rsidR="006D7FAD">
        <w:t xml:space="preserve"> All 32 items loaded above the .40 cut off considered a reasonable loading on a factor (Velicer, Peacock, &amp; Jackson, 1982) and 88% loaded above .60 (see Table 1).</w:t>
      </w:r>
      <w:r w:rsidR="009A4DC1">
        <w:br/>
        <w:t xml:space="preserve"> </w:t>
      </w:r>
      <w:r w:rsidR="00E86919" w:rsidRPr="007237AE">
        <w:t xml:space="preserve"> </w:t>
      </w:r>
      <w:r w:rsidR="00E86919" w:rsidRPr="007237AE">
        <w:tab/>
      </w:r>
      <w:r w:rsidR="00225800">
        <w:tab/>
      </w:r>
      <w:r w:rsidR="00E86919" w:rsidRPr="007237AE">
        <w:t xml:space="preserve">A parallel analysis was conducted to establish how many factors </w:t>
      </w:r>
      <w:r w:rsidR="00004E79">
        <w:t>should be extracted</w:t>
      </w:r>
      <w:r w:rsidR="00E86919" w:rsidRPr="007237AE">
        <w:t xml:space="preserve">. Parallel analysis creates datasets with the same number of cases and variables as the actual dataset, filled with random numbers. An EFA is then performed on each dataset and any factors within the actual dataset with eigenvalues that exceed those that emerge in 95% of the datasets of random numbers are defined as not having arisen due to chance variation within the data. A parallel analysis of 1000 datasets using the 95% cut-off (O’Connor, 2000) was conducted. The first five eigenvalues (and % of variance accounted for) extracted for 95% of the simulated datasets were equal to or less than </w:t>
      </w:r>
      <w:r w:rsidR="00E86919">
        <w:t>2.25</w:t>
      </w:r>
      <w:r w:rsidR="00E86919" w:rsidRPr="007237AE">
        <w:t xml:space="preserve"> (</w:t>
      </w:r>
      <w:r w:rsidR="00E86919">
        <w:t>2.43</w:t>
      </w:r>
      <w:r w:rsidR="00E86919" w:rsidRPr="007237AE">
        <w:t xml:space="preserve">%), </w:t>
      </w:r>
      <w:r w:rsidR="00E86919">
        <w:t>2.06 (2.20</w:t>
      </w:r>
      <w:r w:rsidR="00E86919" w:rsidRPr="007237AE">
        <w:t xml:space="preserve">%), </w:t>
      </w:r>
      <w:r w:rsidR="00E86919">
        <w:t>1.93</w:t>
      </w:r>
      <w:r w:rsidR="00E86919" w:rsidRPr="007237AE">
        <w:t xml:space="preserve"> (</w:t>
      </w:r>
      <w:r w:rsidR="00E86919">
        <w:t>2.04</w:t>
      </w:r>
      <w:r w:rsidR="00E86919" w:rsidRPr="007237AE">
        <w:t xml:space="preserve">%), </w:t>
      </w:r>
      <w:r w:rsidR="00E86919">
        <w:t>1.81</w:t>
      </w:r>
      <w:r w:rsidR="00E86919" w:rsidRPr="007237AE">
        <w:t xml:space="preserve"> (1</w:t>
      </w:r>
      <w:r w:rsidR="00E86919">
        <w:t>.91</w:t>
      </w:r>
      <w:r w:rsidR="00E86919" w:rsidRPr="007237AE">
        <w:t xml:space="preserve">%) </w:t>
      </w:r>
      <w:r w:rsidR="00E86919">
        <w:t>and 1.71 (1.80</w:t>
      </w:r>
      <w:r w:rsidR="00E86919" w:rsidRPr="007237AE">
        <w:t>%). In the actual data set, only the first eigenvalue of 17.06, which explained 53.32% of the variance, exceeded chance values, suggesting that one factor underlies the data.</w:t>
      </w:r>
      <w:r w:rsidR="00E86919">
        <w:br/>
      </w:r>
      <w:r>
        <w:t xml:space="preserve"> </w:t>
      </w:r>
      <w:r>
        <w:tab/>
      </w:r>
      <w:r w:rsidR="00225800">
        <w:tab/>
      </w:r>
      <w:r>
        <w:t>As a further test, a second EFA was conducted to force the extraction of two fa</w:t>
      </w:r>
      <w:r w:rsidR="00F92DEF">
        <w:t>ctors, using oblique rotation based on the assumption that</w:t>
      </w:r>
      <w:r>
        <w:t xml:space="preserve"> the two constructs </w:t>
      </w:r>
      <w:r w:rsidR="00004E79">
        <w:t>being measured we</w:t>
      </w:r>
      <w:r>
        <w:t xml:space="preserve">re related. </w:t>
      </w:r>
      <w:r w:rsidRPr="00E608F9">
        <w:t>No item from either scale</w:t>
      </w:r>
      <w:r>
        <w:t xml:space="preserve"> loaded on the second factor</w:t>
      </w:r>
      <w:r w:rsidRPr="00683720">
        <w:t xml:space="preserve"> </w:t>
      </w:r>
      <w:r w:rsidRPr="00E608F9">
        <w:t>above the .40 cut off considered a reasonable loading</w:t>
      </w:r>
      <w:r>
        <w:t xml:space="preserve"> </w:t>
      </w:r>
      <w:r w:rsidR="00F92DEF">
        <w:t>on</w:t>
      </w:r>
      <w:r>
        <w:t xml:space="preserve"> a factor</w:t>
      </w:r>
      <w:r w:rsidRPr="00E608F9">
        <w:t xml:space="preserve"> (Ve</w:t>
      </w:r>
      <w:r>
        <w:t>licer</w:t>
      </w:r>
      <w:r w:rsidR="006D7FAD">
        <w:t xml:space="preserve"> et al.</w:t>
      </w:r>
      <w:r>
        <w:t>, 1982)</w:t>
      </w:r>
      <w:r w:rsidRPr="00E608F9">
        <w:t xml:space="preserve">. </w:t>
      </w:r>
    </w:p>
    <w:p w14:paraId="0165E7B4" w14:textId="77777777" w:rsidR="00DE7D68" w:rsidRDefault="00DE7D68" w:rsidP="00225800">
      <w:pPr>
        <w:spacing w:line="480" w:lineRule="auto"/>
        <w:ind w:left="-851"/>
        <w:jc w:val="center"/>
      </w:pPr>
      <w:r>
        <w:t>INSERT TABLE 1</w:t>
      </w:r>
    </w:p>
    <w:p w14:paraId="1986659F" w14:textId="6184DCDD" w:rsidR="00970FD2" w:rsidRPr="0068161F" w:rsidRDefault="00F92DEF" w:rsidP="00225800">
      <w:pPr>
        <w:widowControl w:val="0"/>
        <w:autoSpaceDE w:val="0"/>
        <w:autoSpaceDN w:val="0"/>
        <w:adjustRightInd w:val="0"/>
        <w:spacing w:after="0" w:line="480" w:lineRule="auto"/>
        <w:ind w:left="-851"/>
        <w:rPr>
          <w:b/>
        </w:rPr>
      </w:pPr>
      <w:r>
        <w:t xml:space="preserve"> </w:t>
      </w:r>
      <w:r>
        <w:tab/>
      </w:r>
      <w:r w:rsidR="00225800">
        <w:tab/>
      </w:r>
      <w:r w:rsidR="00DE7D68">
        <w:t>The results of the PA combined with poor item loadings on a second factor</w:t>
      </w:r>
      <w:r w:rsidR="00354F67">
        <w:t xml:space="preserve"> within the EFA suggested</w:t>
      </w:r>
      <w:r w:rsidR="00DE7D68">
        <w:t xml:space="preserve"> that items from the </w:t>
      </w:r>
      <w:r w:rsidR="00DE7D68" w:rsidRPr="00683720">
        <w:rPr>
          <w:i/>
        </w:rPr>
        <w:t>Defeat Scale</w:t>
      </w:r>
      <w:r w:rsidR="00DE7D68">
        <w:t xml:space="preserve"> and </w:t>
      </w:r>
      <w:r w:rsidR="00DE7D68" w:rsidRPr="00683720">
        <w:rPr>
          <w:i/>
        </w:rPr>
        <w:t>Entrapment Scale</w:t>
      </w:r>
      <w:r w:rsidR="00DE7D68">
        <w:t xml:space="preserve"> are </w:t>
      </w:r>
      <w:r w:rsidR="009D066B">
        <w:t xml:space="preserve">best </w:t>
      </w:r>
      <w:r w:rsidR="00FC6662">
        <w:t>represented by a single factor</w:t>
      </w:r>
      <w:r w:rsidR="00DE7D68">
        <w:t xml:space="preserve"> and </w:t>
      </w:r>
      <w:r w:rsidR="00354F67">
        <w:t>also suggested that defeat and entrapment should</w:t>
      </w:r>
      <w:r w:rsidR="009F309A">
        <w:t xml:space="preserve"> be measured by a single scale.</w:t>
      </w:r>
      <w:r w:rsidR="00354F67">
        <w:br/>
      </w:r>
    </w:p>
    <w:p w14:paraId="3D76A0C9" w14:textId="1B3DD25D" w:rsidR="00DE7D68" w:rsidRDefault="0028426B" w:rsidP="00225800">
      <w:pPr>
        <w:widowControl w:val="0"/>
        <w:autoSpaceDE w:val="0"/>
        <w:autoSpaceDN w:val="0"/>
        <w:adjustRightInd w:val="0"/>
        <w:spacing w:after="0" w:line="480" w:lineRule="auto"/>
        <w:ind w:left="-851"/>
      </w:pPr>
      <w:r w:rsidRPr="0068161F">
        <w:rPr>
          <w:b/>
        </w:rPr>
        <w:lastRenderedPageBreak/>
        <w:t>Item Selection and Consistency</w:t>
      </w:r>
      <w:r w:rsidR="00F92DEF" w:rsidRPr="0068161F">
        <w:rPr>
          <w:b/>
        </w:rPr>
        <w:br/>
      </w:r>
      <w:r w:rsidR="00F92DEF">
        <w:t xml:space="preserve"> </w:t>
      </w:r>
      <w:r w:rsidR="00884752" w:rsidRPr="007237AE">
        <w:tab/>
      </w:r>
      <w:r w:rsidR="00225800">
        <w:tab/>
      </w:r>
      <w:r w:rsidR="00884752" w:rsidRPr="007237AE">
        <w:t xml:space="preserve">Based on the above analyses, eight items were chosen to form the SDES. To ensure full representation of the construct, the four highest loading items assessing defeat and the four highest loading items representing entrapment were selected for inclusion in the shortened scale. All selected items loaded on the factor between .77 and .81. As both the fourth and fifth highest loading items assessing entrapment identically loaded at .796, we selected the fifth item, which appeared to enable a broader coverage of the construct, due to greater </w:t>
      </w:r>
      <w:r w:rsidR="00884752">
        <w:t xml:space="preserve">theoretical </w:t>
      </w:r>
      <w:r w:rsidR="00884752" w:rsidRPr="007237AE">
        <w:t>distinctiveness from other items. Our preference for having four items representing defeat and</w:t>
      </w:r>
      <w:r w:rsidR="00884752">
        <w:t xml:space="preserve"> four items representing</w:t>
      </w:r>
      <w:r w:rsidR="00884752" w:rsidRPr="007237AE">
        <w:t xml:space="preserve"> entrapment was determined </w:t>
      </w:r>
      <w:r w:rsidR="00884752" w:rsidRPr="007237AE">
        <w:rPr>
          <w:i/>
        </w:rPr>
        <w:t xml:space="preserve">a priori </w:t>
      </w:r>
      <w:r w:rsidR="00884752" w:rsidRPr="007237AE">
        <w:t xml:space="preserve">to balance the need for a short scale against broad coverage of the construct. However, for each of the samples, we tested whether forming scales of different lengths significantly affected Cronbach’s alphas. Table </w:t>
      </w:r>
      <w:r w:rsidR="00207679">
        <w:t>2</w:t>
      </w:r>
      <w:r w:rsidR="00884752" w:rsidRPr="007237AE">
        <w:t xml:space="preserve"> shows the Cronbach’s alphas for scales consisting of four, six, eight and ten items within all four samples to establish the optimal number of items, with each scale formed of an equally balanced number of the highest loading items assessing defeat and assessing entrapment (respectively 2, 3, 4 and 5 items for each). This demonstrates that the eight-item scale exceeds the standard value suggesting optimal internal consistency with eight items in all samples (≥.90; Nunnally, 1978), whereas neither the four or six item scales reached this level. Additionally, the inclusion of ten items was felt to be unnecessary given the aim to develop a short scale. Furthermore the inclusion of more items and subsequent increased length of time that would be required to complete the measure cannot be justified. On this basis, we developed the SDES with eight items</w:t>
      </w:r>
      <w:r w:rsidR="00884752">
        <w:t>.</w:t>
      </w:r>
    </w:p>
    <w:p w14:paraId="0B0301EF" w14:textId="0BC7A344" w:rsidR="00DE7D68" w:rsidRDefault="00DE7D68" w:rsidP="00225800">
      <w:pPr>
        <w:spacing w:line="480" w:lineRule="auto"/>
        <w:ind w:left="-851"/>
        <w:jc w:val="center"/>
      </w:pPr>
      <w:r>
        <w:t>INSERT TABLE</w:t>
      </w:r>
      <w:r w:rsidR="00A664E3">
        <w:t xml:space="preserve"> 2</w:t>
      </w:r>
    </w:p>
    <w:p w14:paraId="1B9C0BDC" w14:textId="4C7FB1AA" w:rsidR="00A664E3" w:rsidRPr="0068161F" w:rsidRDefault="00A664E3" w:rsidP="00225800">
      <w:pPr>
        <w:spacing w:line="480" w:lineRule="auto"/>
        <w:ind w:left="-851"/>
        <w:rPr>
          <w:b/>
        </w:rPr>
      </w:pPr>
      <w:r w:rsidRPr="0068161F">
        <w:rPr>
          <w:b/>
        </w:rPr>
        <w:t>Confirmatory Factor Analysis</w:t>
      </w:r>
    </w:p>
    <w:p w14:paraId="097E415F" w14:textId="77777777" w:rsidR="007D33C8" w:rsidRDefault="002F050E" w:rsidP="007D33C8">
      <w:pPr>
        <w:widowControl w:val="0"/>
        <w:autoSpaceDE w:val="0"/>
        <w:autoSpaceDN w:val="0"/>
        <w:adjustRightInd w:val="0"/>
        <w:spacing w:after="0" w:line="480" w:lineRule="auto"/>
        <w:ind w:left="-851"/>
      </w:pPr>
      <w:r>
        <w:t xml:space="preserve"> </w:t>
      </w:r>
      <w:r>
        <w:tab/>
      </w:r>
      <w:r w:rsidR="00225800">
        <w:tab/>
      </w:r>
      <w:r w:rsidR="00A664E3">
        <w:t>As the EFA showed a one-factor solution was the best fit for the data, we tested this structure using a</w:t>
      </w:r>
      <w:r w:rsidR="008F4945">
        <w:t xml:space="preserve"> maximum likelihood</w:t>
      </w:r>
      <w:r w:rsidR="00A664E3">
        <w:t xml:space="preserve"> Confirmatory Factor Analysis (CFA)</w:t>
      </w:r>
      <w:r w:rsidR="000A1A8F">
        <w:t xml:space="preserve"> on the eight items of the SDES</w:t>
      </w:r>
      <w:r w:rsidR="00A664E3">
        <w:t xml:space="preserve">. This was conducted </w:t>
      </w:r>
      <w:r w:rsidR="000433DF">
        <w:t>using</w:t>
      </w:r>
      <w:r w:rsidR="000433DF" w:rsidRPr="004B72AA">
        <w:t xml:space="preserve"> </w:t>
      </w:r>
      <w:r w:rsidR="004B72AA" w:rsidRPr="004B72AA">
        <w:t>the lavaan package for use in R (Rosseel, 2014)</w:t>
      </w:r>
      <w:r w:rsidR="000433DF" w:rsidRPr="004B72AA">
        <w:t xml:space="preserve"> using the WLSMV estimation,</w:t>
      </w:r>
      <w:r w:rsidR="00A664E3" w:rsidRPr="004B72AA">
        <w:t xml:space="preserve"> </w:t>
      </w:r>
      <w:r w:rsidR="00A664E3">
        <w:t xml:space="preserve">to identify whether this structure provided the best fit of the data in </w:t>
      </w:r>
      <w:r w:rsidR="00A664E3" w:rsidRPr="00781FC8">
        <w:rPr>
          <w:i/>
        </w:rPr>
        <w:lastRenderedPageBreak/>
        <w:t>Samples 2-</w:t>
      </w:r>
      <w:r w:rsidR="000A1A8F">
        <w:rPr>
          <w:i/>
        </w:rPr>
        <w:t>4</w:t>
      </w:r>
      <w:r w:rsidR="00A664E3">
        <w:t xml:space="preserve"> (</w:t>
      </w:r>
      <w:r w:rsidR="00A664E3" w:rsidRPr="0081113E">
        <w:rPr>
          <w:i/>
        </w:rPr>
        <w:t>N</w:t>
      </w:r>
      <w:r w:rsidR="00A664E3">
        <w:rPr>
          <w:i/>
        </w:rPr>
        <w:t xml:space="preserve"> </w:t>
      </w:r>
      <w:r w:rsidR="00A664E3">
        <w:t xml:space="preserve">= </w:t>
      </w:r>
      <w:r w:rsidR="005A3D5C">
        <w:t>337</w:t>
      </w:r>
      <w:r w:rsidR="00A664E3">
        <w:t>)</w:t>
      </w:r>
      <w:r w:rsidR="004B72AA">
        <w:t>.</w:t>
      </w:r>
      <w:r w:rsidR="004B72AA">
        <w:rPr>
          <w:lang w:eastAsia="en-GB"/>
        </w:rPr>
        <w:t xml:space="preserve"> I</w:t>
      </w:r>
      <w:r w:rsidR="00BD49C9">
        <w:rPr>
          <w:lang w:eastAsia="en-GB"/>
        </w:rPr>
        <w:t>n accordance with recommendations there were five response options for items on the scale</w:t>
      </w:r>
      <w:r w:rsidR="004B72AA">
        <w:rPr>
          <w:lang w:eastAsia="en-GB"/>
        </w:rPr>
        <w:t xml:space="preserve"> when </w:t>
      </w:r>
      <w:r w:rsidR="00E47573">
        <w:rPr>
          <w:lang w:eastAsia="en-GB"/>
        </w:rPr>
        <w:t>participants completed them</w:t>
      </w:r>
      <w:r w:rsidR="00BD49C9">
        <w:rPr>
          <w:lang w:eastAsia="en-GB"/>
        </w:rPr>
        <w:t xml:space="preserve"> (Byrne, 2004)</w:t>
      </w:r>
      <w:r w:rsidR="00A664E3">
        <w:t>.</w:t>
      </w:r>
      <w:r w:rsidR="000678E4">
        <w:t xml:space="preserve"> </w:t>
      </w:r>
      <w:r w:rsidR="000841B9">
        <w:t>A</w:t>
      </w:r>
      <w:r w:rsidR="008F4945">
        <w:t xml:space="preserve"> </w:t>
      </w:r>
      <w:r w:rsidR="0027246B">
        <w:t>Kolmogorov-Smirnov test demonstrated that the data w</w:t>
      </w:r>
      <w:r w:rsidR="00FA0A3D">
        <w:t>as</w:t>
      </w:r>
      <w:r w:rsidR="005759AD">
        <w:t xml:space="preserve"> not</w:t>
      </w:r>
      <w:r w:rsidR="0027246B">
        <w:t xml:space="preserve"> normally distributed (</w:t>
      </w:r>
      <w:r w:rsidR="0027246B" w:rsidRPr="000433DF">
        <w:rPr>
          <w:i/>
        </w:rPr>
        <w:t>p</w:t>
      </w:r>
      <w:r w:rsidR="000433DF">
        <w:t xml:space="preserve"> </w:t>
      </w:r>
      <w:r w:rsidR="0027246B">
        <w:t>&lt;</w:t>
      </w:r>
      <w:r w:rsidR="000433DF">
        <w:t xml:space="preserve"> </w:t>
      </w:r>
      <w:r w:rsidR="0027246B">
        <w:t>.001</w:t>
      </w:r>
      <w:r w:rsidR="000841B9">
        <w:t>)</w:t>
      </w:r>
      <w:r w:rsidR="00D87BFF">
        <w:t xml:space="preserve">. </w:t>
      </w:r>
      <w:r w:rsidR="000678E4">
        <w:t>The fit of the model was determined by</w:t>
      </w:r>
      <w:r w:rsidR="00666072">
        <w:t xml:space="preserve"> the </w:t>
      </w:r>
      <w:r w:rsidR="00666072" w:rsidRPr="00D13EB4">
        <w:rPr>
          <w:i/>
        </w:rPr>
        <w:t>χ</w:t>
      </w:r>
      <w:r w:rsidR="00666072" w:rsidRPr="00D13EB4">
        <w:rPr>
          <w:i/>
          <w:vertAlign w:val="superscript"/>
        </w:rPr>
        <w:t>2</w:t>
      </w:r>
      <w:r w:rsidR="00666072">
        <w:rPr>
          <w:vertAlign w:val="superscript"/>
        </w:rPr>
        <w:t xml:space="preserve"> </w:t>
      </w:r>
      <w:r w:rsidR="00666072">
        <w:t>(chi-square)</w:t>
      </w:r>
      <w:r w:rsidR="00666072" w:rsidRPr="00D13EB4">
        <w:rPr>
          <w:i/>
        </w:rPr>
        <w:t xml:space="preserve"> </w:t>
      </w:r>
      <w:r w:rsidR="00666072">
        <w:t>test, where good fit of the model would be demonstr</w:t>
      </w:r>
      <w:r w:rsidR="005D35B5">
        <w:t>ated by a non-significant value. However this test is extremely sensitive to sample size, therefore other indices were considered. We also considered the</w:t>
      </w:r>
      <w:r w:rsidR="00A664E3">
        <w:t xml:space="preserve"> Comparative Fit Index (CFI; Bentler, 1990</w:t>
      </w:r>
      <w:r w:rsidR="000678E4">
        <w:t>)</w:t>
      </w:r>
      <w:r w:rsidR="007367CD">
        <w:t>, where conventionally a good</w:t>
      </w:r>
      <w:r w:rsidR="00290A47">
        <w:t xml:space="preserve"> fit is indicated by CFI &gt;.9</w:t>
      </w:r>
      <w:r w:rsidR="007367CD">
        <w:t>5</w:t>
      </w:r>
      <w:r w:rsidR="00290A47">
        <w:t>,</w:t>
      </w:r>
      <w:r w:rsidR="007367CD">
        <w:t xml:space="preserve"> </w:t>
      </w:r>
      <w:r w:rsidR="00217D5D" w:rsidRPr="00B6799A">
        <w:t>the Non-Normed Fit Index, where NNFI &gt;.</w:t>
      </w:r>
      <w:r w:rsidR="00B6799A" w:rsidRPr="00B6799A">
        <w:t>95 is indicative of good fit (Hu &amp; Bentler, 1999)</w:t>
      </w:r>
      <w:r w:rsidR="00217D5D" w:rsidRPr="00B6799A">
        <w:t xml:space="preserve">, </w:t>
      </w:r>
      <w:r w:rsidR="005759AD" w:rsidRPr="00B6799A">
        <w:t>and</w:t>
      </w:r>
      <w:r w:rsidR="00217D5D" w:rsidRPr="00B6799A">
        <w:t xml:space="preserve"> the</w:t>
      </w:r>
      <w:r w:rsidR="005759AD" w:rsidRPr="00B6799A">
        <w:t xml:space="preserve"> RMSEA</w:t>
      </w:r>
      <w:r w:rsidR="00217D5D" w:rsidRPr="00B6799A">
        <w:t>, where good fit is demonstrated by RMSEA &lt;.05 (</w:t>
      </w:r>
      <w:r w:rsidR="00217D5D" w:rsidRPr="00221BC1">
        <w:t>MacCallum, Browne &amp; Sugawara, 1996</w:t>
      </w:r>
      <w:r w:rsidR="00217D5D" w:rsidRPr="00B6799A">
        <w:t>).</w:t>
      </w:r>
      <w:r w:rsidR="000678E4" w:rsidRPr="005759AD">
        <w:rPr>
          <w:color w:val="FF0000"/>
        </w:rPr>
        <w:t xml:space="preserve"> </w:t>
      </w:r>
      <w:r w:rsidR="006026D2" w:rsidRPr="006026D2">
        <w:t>We initially conducted a one-factor CFA fit (</w:t>
      </w:r>
      <w:r w:rsidR="006026D2" w:rsidRPr="006026D2">
        <w:rPr>
          <w:i/>
        </w:rPr>
        <w:t>χ</w:t>
      </w:r>
      <w:r w:rsidR="006026D2" w:rsidRPr="006026D2">
        <w:rPr>
          <w:i/>
          <w:vertAlign w:val="superscript"/>
        </w:rPr>
        <w:t>2</w:t>
      </w:r>
      <w:r w:rsidR="006026D2" w:rsidRPr="006026D2">
        <w:rPr>
          <w:i/>
        </w:rPr>
        <w:t xml:space="preserve">= </w:t>
      </w:r>
      <w:r w:rsidR="006026D2" w:rsidRPr="006026D2">
        <w:t xml:space="preserve">73.16, </w:t>
      </w:r>
      <w:r w:rsidR="006026D2" w:rsidRPr="006026D2">
        <w:rPr>
          <w:i/>
        </w:rPr>
        <w:t xml:space="preserve">df </w:t>
      </w:r>
      <w:r w:rsidR="006026D2" w:rsidRPr="006026D2">
        <w:t xml:space="preserve">= 20, </w:t>
      </w:r>
      <w:r w:rsidR="006026D2" w:rsidRPr="006026D2">
        <w:rPr>
          <w:i/>
        </w:rPr>
        <w:t xml:space="preserve">p </w:t>
      </w:r>
      <w:r w:rsidR="006026D2" w:rsidRPr="006026D2">
        <w:t>&lt; .001), which indicated strong support for a one-factor solution (CFI = .99, NNFI = .99, RMSEA = .04).</w:t>
      </w:r>
      <w:r w:rsidR="00217D5D">
        <w:t xml:space="preserve"> </w:t>
      </w:r>
      <w:r w:rsidR="0027029B">
        <w:t>Additionally,</w:t>
      </w:r>
      <w:r w:rsidR="00E52A4A">
        <w:t xml:space="preserve"> we examined the individual loadings for each of the samples (see T</w:t>
      </w:r>
      <w:r w:rsidR="00E52A4A" w:rsidRPr="006722A8">
        <w:rPr>
          <w:lang w:eastAsia="en-GB"/>
        </w:rPr>
        <w:t xml:space="preserve">able </w:t>
      </w:r>
      <w:r w:rsidR="0027029B">
        <w:rPr>
          <w:lang w:eastAsia="en-GB"/>
        </w:rPr>
        <w:t>3) and</w:t>
      </w:r>
      <w:r w:rsidR="00E52A4A">
        <w:rPr>
          <w:lang w:eastAsia="en-GB"/>
        </w:rPr>
        <w:t xml:space="preserve"> whilst</w:t>
      </w:r>
      <w:r w:rsidR="00E52A4A" w:rsidRPr="006722A8">
        <w:rPr>
          <w:lang w:eastAsia="en-GB"/>
        </w:rPr>
        <w:t xml:space="preserve"> loadings </w:t>
      </w:r>
      <w:r w:rsidR="00E52A4A">
        <w:rPr>
          <w:lang w:eastAsia="en-GB"/>
        </w:rPr>
        <w:t>do vary between samples, all</w:t>
      </w:r>
      <w:r w:rsidR="00E52A4A" w:rsidRPr="006722A8">
        <w:rPr>
          <w:lang w:eastAsia="en-GB"/>
        </w:rPr>
        <w:t xml:space="preserve"> </w:t>
      </w:r>
      <w:r w:rsidR="00120074">
        <w:rPr>
          <w:lang w:eastAsia="en-GB"/>
        </w:rPr>
        <w:t>were</w:t>
      </w:r>
      <w:r w:rsidR="00E52A4A">
        <w:rPr>
          <w:lang w:eastAsia="en-GB"/>
        </w:rPr>
        <w:t xml:space="preserve"> </w:t>
      </w:r>
      <w:r w:rsidR="00E52A4A" w:rsidRPr="006722A8">
        <w:rPr>
          <w:lang w:eastAsia="en-GB"/>
        </w:rPr>
        <w:t>consistently above .40, considered a reasonable loading on a factor (Velicer et al., 1982).</w:t>
      </w:r>
      <w:r w:rsidR="00E52A4A" w:rsidRPr="00E52A4A">
        <w:rPr>
          <w:lang w:eastAsia="en-GB"/>
        </w:rPr>
        <w:t xml:space="preserve"> </w:t>
      </w:r>
      <w:r w:rsidR="007030DF">
        <w:t>Furthermore, all fi</w:t>
      </w:r>
      <w:r w:rsidR="00034DF6">
        <w:t>tted residuals within the</w:t>
      </w:r>
      <w:r w:rsidR="007B78EA">
        <w:t xml:space="preserve"> model were much lower than recommendations (</w:t>
      </w:r>
      <w:r w:rsidR="00034DF6">
        <w:t>Byrne, 2001</w:t>
      </w:r>
      <w:r w:rsidR="007B78EA">
        <w:t>; Kline, 2011</w:t>
      </w:r>
      <w:r w:rsidR="00034DF6">
        <w:t>).</w:t>
      </w:r>
      <w:r w:rsidR="007030DF">
        <w:t xml:space="preserve"> </w:t>
      </w:r>
      <w:r w:rsidR="00E52A4A">
        <w:t>Overall, we concluded that the model provided reasonable support for the structure of the scale, whilst highlighting the need to validate the scale separately within different populations</w:t>
      </w:r>
      <w:r w:rsidR="00F25AF4">
        <w:t xml:space="preserve"> and acknowledging the methodological </w:t>
      </w:r>
      <w:r w:rsidR="00E75FDF">
        <w:t>limitations within this analysis</w:t>
      </w:r>
      <w:r w:rsidR="007D33C8">
        <w:t>.</w:t>
      </w:r>
    </w:p>
    <w:p w14:paraId="5FCA2418" w14:textId="6B7B463E" w:rsidR="00A664E3" w:rsidRPr="0027029B" w:rsidRDefault="007D33C8" w:rsidP="007D33C8">
      <w:pPr>
        <w:widowControl w:val="0"/>
        <w:autoSpaceDE w:val="0"/>
        <w:autoSpaceDN w:val="0"/>
        <w:adjustRightInd w:val="0"/>
        <w:spacing w:after="0" w:line="480" w:lineRule="auto"/>
        <w:ind w:left="-851"/>
      </w:pPr>
      <w:r>
        <w:t xml:space="preserve"> </w:t>
      </w:r>
      <w:r>
        <w:tab/>
      </w:r>
      <w:r>
        <w:tab/>
      </w:r>
      <w:r w:rsidRPr="007D33C8">
        <w:t>A second CFA specifying the defeat and entrapment item loadings on separate factors was conducted (</w:t>
      </w:r>
      <w:r w:rsidRPr="007D33C8">
        <w:rPr>
          <w:i/>
        </w:rPr>
        <w:t>χ</w:t>
      </w:r>
      <w:r w:rsidRPr="007D33C8">
        <w:rPr>
          <w:i/>
          <w:vertAlign w:val="superscript"/>
        </w:rPr>
        <w:t>2</w:t>
      </w:r>
      <w:r w:rsidRPr="007D33C8">
        <w:rPr>
          <w:i/>
        </w:rPr>
        <w:t xml:space="preserve">= </w:t>
      </w:r>
      <w:r w:rsidRPr="007D33C8">
        <w:t xml:space="preserve">35.11, </w:t>
      </w:r>
      <w:r w:rsidRPr="007D33C8">
        <w:rPr>
          <w:i/>
        </w:rPr>
        <w:t xml:space="preserve">p </w:t>
      </w:r>
      <w:r w:rsidRPr="007D33C8">
        <w:t xml:space="preserve">= .01, </w:t>
      </w:r>
      <w:r w:rsidRPr="007D33C8">
        <w:rPr>
          <w:i/>
        </w:rPr>
        <w:t xml:space="preserve">df </w:t>
      </w:r>
      <w:r w:rsidRPr="007D33C8">
        <w:t>=19), which showed good fit for a two-factor solution (CFI = .99, NNFI = .99, RMSEA = .01).</w:t>
      </w:r>
      <w:r w:rsidRPr="007741D8">
        <w:rPr>
          <w:b/>
        </w:rPr>
        <w:t xml:space="preserve"> </w:t>
      </w:r>
      <w:r w:rsidR="00263980">
        <w:t>Furthermore,</w:t>
      </w:r>
      <w:r w:rsidR="0027029B">
        <w:t xml:space="preserve"> within this analysis,</w:t>
      </w:r>
      <w:r w:rsidR="0027029B" w:rsidRPr="0027029B">
        <w:t xml:space="preserve"> defeat and entrapment were shown to correlate at </w:t>
      </w:r>
      <w:r w:rsidR="0027029B" w:rsidRPr="00420AC9">
        <w:rPr>
          <w:i/>
        </w:rPr>
        <w:t xml:space="preserve">r </w:t>
      </w:r>
      <w:r w:rsidR="0027029B" w:rsidRPr="0027029B">
        <w:t>= .91,suggesting that the two factors are best represented by a single laten</w:t>
      </w:r>
      <w:r w:rsidR="00263980">
        <w:t xml:space="preserve">t factor, as multicollinearty &gt; </w:t>
      </w:r>
      <w:r w:rsidR="0027029B" w:rsidRPr="0027029B">
        <w:t>.6</w:t>
      </w:r>
      <w:r w:rsidR="00263980">
        <w:t>0</w:t>
      </w:r>
      <w:r w:rsidR="0027029B" w:rsidRPr="0027029B">
        <w:t xml:space="preserve"> can lead to substantial Type II error rates (Grewal et al., 2002), where separate scales are formed for each factor and entered simultaneously in future regression analyses.</w:t>
      </w:r>
      <w:r w:rsidR="00F44635">
        <w:t xml:space="preserve"> Additionally, no items were shown to load </w:t>
      </w:r>
      <w:r w:rsidR="00F44635">
        <w:rPr>
          <w:lang w:eastAsia="en-GB"/>
        </w:rPr>
        <w:t>above .40, which is considered a reasonable loading</w:t>
      </w:r>
      <w:r w:rsidR="00191DC9">
        <w:rPr>
          <w:lang w:eastAsia="en-GB"/>
        </w:rPr>
        <w:t xml:space="preserve"> of an item on a factor</w:t>
      </w:r>
      <w:r w:rsidR="00F44635">
        <w:rPr>
          <w:lang w:eastAsia="en-GB"/>
        </w:rPr>
        <w:t xml:space="preserve"> (</w:t>
      </w:r>
      <w:r w:rsidR="00F44635" w:rsidRPr="006722A8">
        <w:rPr>
          <w:lang w:eastAsia="en-GB"/>
        </w:rPr>
        <w:t>Velicer et al., 1982).</w:t>
      </w:r>
      <w:r w:rsidR="00F44635">
        <w:rPr>
          <w:lang w:eastAsia="en-GB"/>
        </w:rPr>
        <w:t xml:space="preserve"> </w:t>
      </w:r>
      <w:r w:rsidR="00191DC9">
        <w:rPr>
          <w:lang w:eastAsia="en-GB"/>
        </w:rPr>
        <w:t xml:space="preserve">This, therefore, </w:t>
      </w:r>
      <w:r w:rsidR="00F44635">
        <w:rPr>
          <w:lang w:eastAsia="en-GB"/>
        </w:rPr>
        <w:t xml:space="preserve">suggests that a </w:t>
      </w:r>
      <w:r w:rsidR="00F44635">
        <w:rPr>
          <w:lang w:eastAsia="en-GB"/>
        </w:rPr>
        <w:lastRenderedPageBreak/>
        <w:t>two-factor solution is not appropriate</w:t>
      </w:r>
      <w:r w:rsidR="00191DC9">
        <w:rPr>
          <w:lang w:eastAsia="en-GB"/>
        </w:rPr>
        <w:t xml:space="preserve"> for the measurement of defeat and entrapment</w:t>
      </w:r>
      <w:r w:rsidR="00F44635">
        <w:rPr>
          <w:lang w:eastAsia="en-GB"/>
        </w:rPr>
        <w:t>.</w:t>
      </w:r>
    </w:p>
    <w:p w14:paraId="1754F084" w14:textId="50985B30" w:rsidR="00A664E3" w:rsidRDefault="00A664E3" w:rsidP="00225800">
      <w:pPr>
        <w:widowControl w:val="0"/>
        <w:autoSpaceDE w:val="0"/>
        <w:autoSpaceDN w:val="0"/>
        <w:adjustRightInd w:val="0"/>
        <w:spacing w:after="0" w:line="480" w:lineRule="auto"/>
        <w:ind w:left="-851"/>
        <w:jc w:val="center"/>
      </w:pPr>
      <w:r>
        <w:t>INSERT TABLE 3</w:t>
      </w:r>
    </w:p>
    <w:p w14:paraId="27B55CA4" w14:textId="73AFB5F9" w:rsidR="00DE03BA" w:rsidRPr="0068161F" w:rsidRDefault="00DE03BA" w:rsidP="00225800">
      <w:pPr>
        <w:spacing w:line="480" w:lineRule="auto"/>
        <w:ind w:left="-851"/>
        <w:rPr>
          <w:b/>
        </w:rPr>
      </w:pPr>
      <w:r w:rsidRPr="0068161F">
        <w:rPr>
          <w:b/>
        </w:rPr>
        <w:t>Test-Retest Reliability</w:t>
      </w:r>
    </w:p>
    <w:p w14:paraId="0D6DF4A3" w14:textId="1F502913" w:rsidR="00DE7D68" w:rsidRDefault="00C6511B" w:rsidP="00225800">
      <w:pPr>
        <w:spacing w:line="480" w:lineRule="auto"/>
        <w:ind w:left="-851"/>
      </w:pPr>
      <w:r>
        <w:t xml:space="preserve"> </w:t>
      </w:r>
      <w:r>
        <w:tab/>
      </w:r>
      <w:r w:rsidR="00225800">
        <w:tab/>
      </w:r>
      <w:r w:rsidR="00DE7D68">
        <w:t>The test-retest reliability of the shortened scale was calculated based on repeated</w:t>
      </w:r>
      <w:r>
        <w:t xml:space="preserve"> completion</w:t>
      </w:r>
      <w:r w:rsidR="00DE7D68">
        <w:t xml:space="preserve"> of the </w:t>
      </w:r>
      <w:r w:rsidR="001768A4">
        <w:t>SDES</w:t>
      </w:r>
      <w:r w:rsidR="00DE7D68">
        <w:t xml:space="preserve"> </w:t>
      </w:r>
      <w:r w:rsidR="00A722F1">
        <w:t xml:space="preserve">approximately </w:t>
      </w:r>
      <w:r w:rsidR="00DE7D68">
        <w:t>12 months apart</w:t>
      </w:r>
      <w:r>
        <w:t xml:space="preserve"> by</w:t>
      </w:r>
      <w:r w:rsidR="00DE7D68">
        <w:t xml:space="preserve"> </w:t>
      </w:r>
      <w:r w:rsidR="00DE7D68" w:rsidRPr="00B62D4C">
        <w:rPr>
          <w:i/>
        </w:rPr>
        <w:t xml:space="preserve">Sample </w:t>
      </w:r>
      <w:r w:rsidR="00A664E3">
        <w:rPr>
          <w:i/>
        </w:rPr>
        <w:t>4</w:t>
      </w:r>
      <w:r w:rsidR="00DE7D68">
        <w:t>.</w:t>
      </w:r>
      <w:r w:rsidR="00462207">
        <w:t xml:space="preserve"> </w:t>
      </w:r>
      <w:r w:rsidR="00E8499D">
        <w:t xml:space="preserve">The 55 participants with the highest scores for PTSD were asked to complete measures at the second time point. All </w:t>
      </w:r>
      <w:r w:rsidR="001A6296">
        <w:t>of</w:t>
      </w:r>
      <w:r w:rsidR="00E8499D">
        <w:t xml:space="preserve"> </w:t>
      </w:r>
      <w:r w:rsidR="009F75C9">
        <w:t>the selected sub-sample</w:t>
      </w:r>
      <w:r w:rsidR="00E8499D">
        <w:t xml:space="preserve"> completed measures</w:t>
      </w:r>
      <w:r w:rsidR="009F75C9">
        <w:t xml:space="preserve"> at the second time point</w:t>
      </w:r>
      <w:r w:rsidR="00E8499D">
        <w:t xml:space="preserve">. </w:t>
      </w:r>
      <w:r w:rsidR="00462207">
        <w:t xml:space="preserve">This time scale was selected based on previous research that has </w:t>
      </w:r>
      <w:r w:rsidR="000E4556">
        <w:t>utilised a</w:t>
      </w:r>
      <w:r w:rsidR="00462207">
        <w:t xml:space="preserve"> </w:t>
      </w:r>
      <w:r w:rsidR="007F1915">
        <w:t>12-month</w:t>
      </w:r>
      <w:r w:rsidR="00462207">
        <w:t xml:space="preserve"> period</w:t>
      </w:r>
      <w:r w:rsidR="000E4556">
        <w:t xml:space="preserve"> for repeated measurement</w:t>
      </w:r>
      <w:r w:rsidR="00462207">
        <w:t xml:space="preserve"> with the original scales (Griffiths et al</w:t>
      </w:r>
      <w:r w:rsidR="000122E4">
        <w:t>., 2014</w:t>
      </w:r>
      <w:r w:rsidR="00462207">
        <w:t>; Taylor et al., 2011b).</w:t>
      </w:r>
      <w:r w:rsidR="006D569C">
        <w:t xml:space="preserve"> </w:t>
      </w:r>
      <w:r w:rsidR="00A664E3">
        <w:t>The mean</w:t>
      </w:r>
      <w:r w:rsidR="0099248A">
        <w:t xml:space="preserve"> Time 1 scores (</w:t>
      </w:r>
      <w:r w:rsidR="0099248A" w:rsidRPr="0081113E">
        <w:rPr>
          <w:i/>
        </w:rPr>
        <w:t>M</w:t>
      </w:r>
      <w:r w:rsidR="0099248A">
        <w:t xml:space="preserve"> = </w:t>
      </w:r>
      <w:r w:rsidR="0000481D">
        <w:t>8.04</w:t>
      </w:r>
      <w:r w:rsidR="0099248A">
        <w:t xml:space="preserve">, </w:t>
      </w:r>
      <w:r w:rsidR="0099248A" w:rsidRPr="0081113E">
        <w:rPr>
          <w:i/>
        </w:rPr>
        <w:t>SD</w:t>
      </w:r>
      <w:r w:rsidR="0099248A">
        <w:t xml:space="preserve"> = </w:t>
      </w:r>
      <w:r w:rsidR="0000481D">
        <w:t>8.39</w:t>
      </w:r>
      <w:r w:rsidR="00A664E3">
        <w:t>)</w:t>
      </w:r>
      <w:r w:rsidR="0099248A">
        <w:t xml:space="preserve"> did not significantly differ from Time 2 scores (</w:t>
      </w:r>
      <w:r w:rsidR="0099248A" w:rsidRPr="0081113E">
        <w:rPr>
          <w:i/>
        </w:rPr>
        <w:t>M</w:t>
      </w:r>
      <w:r w:rsidR="0099248A">
        <w:t xml:space="preserve"> = </w:t>
      </w:r>
      <w:r w:rsidR="0000481D">
        <w:t>7.84</w:t>
      </w:r>
      <w:r w:rsidR="0099248A">
        <w:t xml:space="preserve">, </w:t>
      </w:r>
      <w:r w:rsidR="0099248A" w:rsidRPr="0081113E">
        <w:rPr>
          <w:i/>
        </w:rPr>
        <w:t>SD</w:t>
      </w:r>
      <w:r w:rsidR="0099248A">
        <w:t xml:space="preserve"> = </w:t>
      </w:r>
      <w:r w:rsidR="00067013">
        <w:t>6.81;</w:t>
      </w:r>
      <w:r w:rsidR="0000481D">
        <w:t xml:space="preserve"> </w:t>
      </w:r>
      <w:r w:rsidR="0000481D" w:rsidRPr="0081113E">
        <w:rPr>
          <w:i/>
        </w:rPr>
        <w:t>t</w:t>
      </w:r>
      <w:r w:rsidR="0000481D">
        <w:t xml:space="preserve"> = .250, </w:t>
      </w:r>
      <w:r w:rsidR="0000481D" w:rsidRPr="0081113E">
        <w:rPr>
          <w:i/>
        </w:rPr>
        <w:t>p</w:t>
      </w:r>
      <w:r w:rsidR="0000481D">
        <w:t xml:space="preserve"> = .80</w:t>
      </w:r>
      <w:r w:rsidR="00067013">
        <w:t>)</w:t>
      </w:r>
      <w:r w:rsidR="0099248A">
        <w:t>.</w:t>
      </w:r>
      <w:r w:rsidR="00DE7D68">
        <w:t xml:space="preserve"> </w:t>
      </w:r>
      <w:r w:rsidR="00A664E3">
        <w:t>The</w:t>
      </w:r>
      <w:r w:rsidR="0065526A">
        <w:t xml:space="preserve"> two-way mixed</w:t>
      </w:r>
      <w:r w:rsidR="000C30C6">
        <w:t xml:space="preserve"> </w:t>
      </w:r>
      <w:r w:rsidR="00A664E3">
        <w:t>intra-class coefficient</w:t>
      </w:r>
      <w:r w:rsidR="00F24868">
        <w:t xml:space="preserve"> (ICC) w</w:t>
      </w:r>
      <w:r w:rsidR="00A664E3">
        <w:t xml:space="preserve">as </w:t>
      </w:r>
      <w:r w:rsidR="00F24868">
        <w:t>calculated to establish the consistency between scores at Time 1 and Time 2</w:t>
      </w:r>
      <w:r w:rsidR="00A664E3">
        <w:t xml:space="preserve">. This was calculated at </w:t>
      </w:r>
      <w:r w:rsidR="0099248A" w:rsidRPr="0099248A">
        <w:rPr>
          <w:i/>
        </w:rPr>
        <w:t>r</w:t>
      </w:r>
      <w:r w:rsidR="0099248A" w:rsidRPr="0099248A">
        <w:rPr>
          <w:i/>
          <w:vertAlign w:val="subscript"/>
        </w:rPr>
        <w:t xml:space="preserve">icc </w:t>
      </w:r>
      <w:r w:rsidR="0099248A" w:rsidRPr="0099248A">
        <w:t>=</w:t>
      </w:r>
      <w:r w:rsidR="0000481D">
        <w:t xml:space="preserve"> .88</w:t>
      </w:r>
      <w:r w:rsidR="00F24868">
        <w:t xml:space="preserve">. This demonstrated </w:t>
      </w:r>
      <w:r w:rsidR="0099248A">
        <w:t>excellent</w:t>
      </w:r>
      <w:r w:rsidR="00F24868">
        <w:t xml:space="preserve"> ICC of &gt;.80</w:t>
      </w:r>
      <w:r w:rsidR="008D1592">
        <w:t xml:space="preserve"> </w:t>
      </w:r>
      <w:r w:rsidR="00F24868">
        <w:t>(Bruton et al., 2000</w:t>
      </w:r>
      <w:r w:rsidR="0099248A">
        <w:t>), showing</w:t>
      </w:r>
      <w:r w:rsidR="00FF49D4">
        <w:t xml:space="preserve"> </w:t>
      </w:r>
      <w:r w:rsidR="0099248A">
        <w:t xml:space="preserve">both rank and mean </w:t>
      </w:r>
      <w:r w:rsidR="00FF49D4">
        <w:t xml:space="preserve">level stability </w:t>
      </w:r>
      <w:r w:rsidR="0099248A">
        <w:t>of the scale over twelve month periods</w:t>
      </w:r>
      <w:r w:rsidR="00A664E3">
        <w:t>.</w:t>
      </w:r>
    </w:p>
    <w:p w14:paraId="3B98EE90" w14:textId="7504DDC8" w:rsidR="00870AF9" w:rsidRPr="0068161F" w:rsidRDefault="00870AF9" w:rsidP="00225800">
      <w:pPr>
        <w:spacing w:line="480" w:lineRule="auto"/>
        <w:ind w:left="-851"/>
        <w:rPr>
          <w:b/>
        </w:rPr>
      </w:pPr>
      <w:r w:rsidRPr="0068161F">
        <w:rPr>
          <w:b/>
        </w:rPr>
        <w:t>Criterion Validity</w:t>
      </w:r>
    </w:p>
    <w:p w14:paraId="3CDA031F" w14:textId="5E79AC73" w:rsidR="00DE7D68" w:rsidRDefault="00DE7D68" w:rsidP="00225800">
      <w:pPr>
        <w:spacing w:line="480" w:lineRule="auto"/>
        <w:ind w:left="-851"/>
      </w:pPr>
      <w:r>
        <w:tab/>
      </w:r>
      <w:r w:rsidR="00225800">
        <w:tab/>
      </w:r>
      <w:r>
        <w:t xml:space="preserve">Criterion validity was tested by establishing whether the shortened scale correlated with </w:t>
      </w:r>
      <w:r w:rsidR="00796CD9">
        <w:t xml:space="preserve">measures </w:t>
      </w:r>
      <w:r>
        <w:t>of depression, anxiety and hopelessness which the</w:t>
      </w:r>
      <w:r w:rsidR="00A722F1">
        <w:t xml:space="preserve"> original</w:t>
      </w:r>
      <w:r>
        <w:t xml:space="preserve"> </w:t>
      </w:r>
      <w:r w:rsidRPr="005F3662">
        <w:rPr>
          <w:i/>
        </w:rPr>
        <w:t>Defeat Scale</w:t>
      </w:r>
      <w:r>
        <w:t xml:space="preserve"> and </w:t>
      </w:r>
      <w:r w:rsidRPr="005F3662">
        <w:rPr>
          <w:i/>
        </w:rPr>
        <w:t>Entrapment Scale</w:t>
      </w:r>
      <w:r>
        <w:t xml:space="preserve"> have </w:t>
      </w:r>
      <w:r w:rsidR="0060457D">
        <w:t xml:space="preserve">previously </w:t>
      </w:r>
      <w:r>
        <w:t xml:space="preserve">been shown to correlate </w:t>
      </w:r>
      <w:r w:rsidR="00C6511B">
        <w:t>with</w:t>
      </w:r>
      <w:r w:rsidR="00A722F1">
        <w:t>in the existing literature,</w:t>
      </w:r>
      <w:r w:rsidR="00C6511B">
        <w:t xml:space="preserve"> </w:t>
      </w:r>
      <w:r>
        <w:t>among</w:t>
      </w:r>
      <w:r w:rsidR="00A722F1">
        <w:t>st</w:t>
      </w:r>
      <w:r>
        <w:t xml:space="preserve"> </w:t>
      </w:r>
      <w:r w:rsidR="0060457D">
        <w:t>cli</w:t>
      </w:r>
      <w:r w:rsidR="00796CD9">
        <w:t xml:space="preserve">nical and non-clinical samples. </w:t>
      </w:r>
      <w:r>
        <w:t xml:space="preserve">The shortened scale significantly correlated with </w:t>
      </w:r>
      <w:r w:rsidR="00C325E7">
        <w:t>the depression, anxiety and hopelessness measures</w:t>
      </w:r>
      <w:r>
        <w:t xml:space="preserve"> </w:t>
      </w:r>
      <w:r w:rsidR="008F45F4">
        <w:t>at values comparable to previous research</w:t>
      </w:r>
      <w:r w:rsidR="00207B95">
        <w:t xml:space="preserve">, </w:t>
      </w:r>
      <w:r w:rsidR="009F4D58">
        <w:t>with the exception of</w:t>
      </w:r>
      <w:r w:rsidR="00207B95">
        <w:t xml:space="preserve"> the measure of depression within the sample of </w:t>
      </w:r>
      <w:r w:rsidR="00CF50CE">
        <w:t>individuals</w:t>
      </w:r>
      <w:r w:rsidR="00207B95">
        <w:t xml:space="preserve"> with psychosis</w:t>
      </w:r>
      <w:r w:rsidR="008F45F4">
        <w:t xml:space="preserve"> </w:t>
      </w:r>
      <w:r>
        <w:t>(see</w:t>
      </w:r>
      <w:r w:rsidR="00C6511B">
        <w:t xml:space="preserve"> Table </w:t>
      </w:r>
      <w:r w:rsidR="00870AF9">
        <w:t>4</w:t>
      </w:r>
      <w:r w:rsidR="00C6511B">
        <w:t xml:space="preserve">). </w:t>
      </w:r>
    </w:p>
    <w:p w14:paraId="7EBCD0ED" w14:textId="77777777" w:rsidR="00C83D1A" w:rsidRDefault="00DE7D68" w:rsidP="00225800">
      <w:pPr>
        <w:spacing w:line="480" w:lineRule="auto"/>
        <w:ind w:left="-851"/>
        <w:jc w:val="center"/>
      </w:pPr>
      <w:r>
        <w:t xml:space="preserve">INSERT TABLE </w:t>
      </w:r>
      <w:r w:rsidR="00870AF9">
        <w:t>4</w:t>
      </w:r>
    </w:p>
    <w:p w14:paraId="48E3D56B" w14:textId="59863109" w:rsidR="00C83D1A" w:rsidRDefault="00C83D1A" w:rsidP="00225800">
      <w:pPr>
        <w:spacing w:line="480" w:lineRule="auto"/>
        <w:ind w:left="-851"/>
      </w:pPr>
      <w:r>
        <w:lastRenderedPageBreak/>
        <w:t xml:space="preserve"> </w:t>
      </w:r>
      <w:r>
        <w:tab/>
      </w:r>
      <w:r w:rsidR="00225800">
        <w:tab/>
      </w:r>
      <w:r w:rsidR="00DD3A4A">
        <w:t>Additionally, i</w:t>
      </w:r>
      <w:r>
        <w:t xml:space="preserve">n order to determine whether there was </w:t>
      </w:r>
      <w:r w:rsidRPr="00FA4C2D">
        <w:t xml:space="preserve">potential loss of </w:t>
      </w:r>
      <w:r>
        <w:t xml:space="preserve">information through item rejection on the SDES, in comparison to the original </w:t>
      </w:r>
      <w:r w:rsidRPr="00AD24E6">
        <w:rPr>
          <w:i/>
        </w:rPr>
        <w:t>Defeat Scale</w:t>
      </w:r>
      <w:r>
        <w:t xml:space="preserve"> and </w:t>
      </w:r>
      <w:r w:rsidRPr="00AD24E6">
        <w:rPr>
          <w:i/>
        </w:rPr>
        <w:t>Entrapment Scale</w:t>
      </w:r>
      <w:r>
        <w:t>, the tests for criterion validity were repeated with the original scales (see Table 8). A short version of any scale should correlate with the same criterion variables as the full scale and these correlations should be to the same magnitude (Richins, 2004). For these analyses an overall score was calculated for combined defeat and entrapment. This demonstrated similar correlations for both the short and original scales at the same levels of significance</w:t>
      </w:r>
      <w:r w:rsidR="00D27D3C">
        <w:t xml:space="preserve"> and suggests that there is no significant loss of information as a result of item rejection</w:t>
      </w:r>
      <w:r>
        <w:t>.</w:t>
      </w:r>
    </w:p>
    <w:p w14:paraId="4DF7D0AF" w14:textId="07862758" w:rsidR="00C83D1A" w:rsidRDefault="00225800" w:rsidP="00225800">
      <w:pPr>
        <w:spacing w:line="480" w:lineRule="auto"/>
        <w:ind w:left="-851"/>
        <w:jc w:val="center"/>
      </w:pPr>
      <w:r>
        <w:t>INSERT TABLE 5</w:t>
      </w:r>
    </w:p>
    <w:p w14:paraId="2EAAD631" w14:textId="6AE7E1C7" w:rsidR="004331B2" w:rsidRPr="0068161F" w:rsidRDefault="004331B2" w:rsidP="00225800">
      <w:pPr>
        <w:spacing w:line="480" w:lineRule="auto"/>
        <w:ind w:left="-851"/>
        <w:rPr>
          <w:b/>
        </w:rPr>
      </w:pPr>
      <w:r w:rsidRPr="0068161F">
        <w:rPr>
          <w:b/>
        </w:rPr>
        <w:t>Incremental Validity</w:t>
      </w:r>
    </w:p>
    <w:p w14:paraId="04B4F73C" w14:textId="2ABC396A" w:rsidR="00F702F0" w:rsidRDefault="00334FDE" w:rsidP="00955421">
      <w:pPr>
        <w:widowControl w:val="0"/>
        <w:autoSpaceDE w:val="0"/>
        <w:autoSpaceDN w:val="0"/>
        <w:adjustRightInd w:val="0"/>
        <w:spacing w:after="0" w:line="480" w:lineRule="auto"/>
        <w:ind w:left="-851"/>
      </w:pPr>
      <w:r>
        <w:t xml:space="preserve"> </w:t>
      </w:r>
      <w:r>
        <w:tab/>
      </w:r>
      <w:r w:rsidR="00225800">
        <w:tab/>
      </w:r>
      <w:r>
        <w:t xml:space="preserve">In testing for incremental validity an outcome needs to be selected for which defeat and entrapment would be </w:t>
      </w:r>
      <w:r w:rsidR="00E54043">
        <w:t xml:space="preserve">expected to explain additional variance beyond </w:t>
      </w:r>
      <w:r w:rsidR="00B468B8">
        <w:t xml:space="preserve">that which </w:t>
      </w:r>
      <w:r w:rsidR="00E54043">
        <w:t>a third variable already accounts</w:t>
      </w:r>
      <w:r w:rsidR="000A0153">
        <w:t xml:space="preserve"> for. </w:t>
      </w:r>
      <w:r w:rsidR="00391264">
        <w:t>Two-step hierarchal regression analyses</w:t>
      </w:r>
      <w:r w:rsidR="001559CC">
        <w:t xml:space="preserve"> were conducted with participants from </w:t>
      </w:r>
      <w:r w:rsidR="001559CC" w:rsidRPr="00D34946">
        <w:rPr>
          <w:i/>
        </w:rPr>
        <w:t xml:space="preserve">Sample </w:t>
      </w:r>
      <w:r w:rsidR="00A664E3">
        <w:rPr>
          <w:i/>
        </w:rPr>
        <w:t>2</w:t>
      </w:r>
      <w:r w:rsidR="001559CC">
        <w:rPr>
          <w:i/>
        </w:rPr>
        <w:t xml:space="preserve"> </w:t>
      </w:r>
      <w:r w:rsidR="001559CC">
        <w:t>(non-clinical) using CES-D to measure depression and CBI to m</w:t>
      </w:r>
      <w:r w:rsidR="00FC6662">
        <w:t>easure caregiver burden</w:t>
      </w:r>
      <w:r w:rsidR="001559CC">
        <w:t xml:space="preserve"> and</w:t>
      </w:r>
      <w:r w:rsidR="00391264">
        <w:t xml:space="preserve"> participants from</w:t>
      </w:r>
      <w:r w:rsidR="001559CC">
        <w:t xml:space="preserve"> </w:t>
      </w:r>
      <w:r w:rsidR="001559CC" w:rsidRPr="00D34946">
        <w:rPr>
          <w:i/>
        </w:rPr>
        <w:t xml:space="preserve">Sample </w:t>
      </w:r>
      <w:r w:rsidR="001559CC">
        <w:rPr>
          <w:i/>
        </w:rPr>
        <w:t xml:space="preserve">3 </w:t>
      </w:r>
      <w:r w:rsidR="001559CC">
        <w:t xml:space="preserve">(clinical) using BPRS to measure positive symptoms associated with psychosis BDI to measure depression and also BHS to measure hopelessness. </w:t>
      </w:r>
      <w:r w:rsidR="001559CC">
        <w:br/>
      </w:r>
      <w:r w:rsidR="00EB240E">
        <w:tab/>
      </w:r>
      <w:r w:rsidR="00225800">
        <w:tab/>
      </w:r>
      <w:r w:rsidR="00301751">
        <w:t xml:space="preserve">In the first regression, we aimed to test whether the SDES was able to predict the experience of caregiver burden above and beyond depression as a predictor. </w:t>
      </w:r>
      <w:r>
        <w:t>In Step One of a hierarchal multiple regression,</w:t>
      </w:r>
      <w:r w:rsidR="00EB240E">
        <w:t xml:space="preserve"> depression was included as a predictor of caregiver burden (</w:t>
      </w:r>
      <w:r w:rsidR="00EB240E" w:rsidRPr="00AC2DB0">
        <w:rPr>
          <w:i/>
        </w:rPr>
        <w:t>β</w:t>
      </w:r>
      <w:r w:rsidR="009C01D4">
        <w:t xml:space="preserve"> = .13</w:t>
      </w:r>
      <w:r w:rsidR="00EB240E">
        <w:t xml:space="preserve">, </w:t>
      </w:r>
      <w:r w:rsidR="00EB240E" w:rsidRPr="00AC2DB0">
        <w:rPr>
          <w:i/>
        </w:rPr>
        <w:t>p</w:t>
      </w:r>
      <w:r w:rsidR="00EB240E">
        <w:rPr>
          <w:i/>
        </w:rPr>
        <w:t xml:space="preserve"> </w:t>
      </w:r>
      <w:r w:rsidR="00420AC9">
        <w:t>= .01</w:t>
      </w:r>
      <w:r w:rsidR="00EB240E">
        <w:t xml:space="preserve">). In </w:t>
      </w:r>
      <w:r w:rsidR="00A309A7">
        <w:t>Step Two</w:t>
      </w:r>
      <w:r w:rsidR="00EB240E">
        <w:t xml:space="preserve"> of the analysis, when </w:t>
      </w:r>
      <w:r>
        <w:t>the SDES score</w:t>
      </w:r>
      <w:r w:rsidR="00EB240E">
        <w:t xml:space="preserve"> was also included as a predictor, there was an R</w:t>
      </w:r>
      <w:r w:rsidR="00EB240E">
        <w:rPr>
          <w:vertAlign w:val="superscript"/>
        </w:rPr>
        <w:t xml:space="preserve">2 </w:t>
      </w:r>
      <w:r w:rsidR="00EB240E">
        <w:t>change of .10 (R</w:t>
      </w:r>
      <w:r w:rsidR="00EB240E">
        <w:rPr>
          <w:vertAlign w:val="superscript"/>
        </w:rPr>
        <w:t>2</w:t>
      </w:r>
      <w:r w:rsidR="00EB240E">
        <w:t xml:space="preserve"> = .</w:t>
      </w:r>
      <w:r w:rsidR="00E513A5">
        <w:t>39, F(2, 158</w:t>
      </w:r>
      <w:r w:rsidR="00EB240E">
        <w:t xml:space="preserve">) = </w:t>
      </w:r>
      <w:r w:rsidR="00E513A5">
        <w:t>19.21</w:t>
      </w:r>
      <w:r w:rsidR="00EB240E">
        <w:t xml:space="preserve">, </w:t>
      </w:r>
      <w:r w:rsidR="00EB240E" w:rsidRPr="00420AC9">
        <w:rPr>
          <w:i/>
        </w:rPr>
        <w:t>p</w:t>
      </w:r>
      <w:r w:rsidR="00420AC9">
        <w:rPr>
          <w:i/>
        </w:rPr>
        <w:t xml:space="preserve"> </w:t>
      </w:r>
      <w:r w:rsidR="00EB240E">
        <w:t>&lt;.001</w:t>
      </w:r>
      <w:r w:rsidR="00955421">
        <w:t xml:space="preserve">, </w:t>
      </w:r>
      <w:r w:rsidR="00955421" w:rsidRPr="009D3806">
        <w:rPr>
          <w:i/>
        </w:rPr>
        <w:t>η</w:t>
      </w:r>
      <w:r w:rsidR="00955421" w:rsidRPr="009D3806">
        <w:rPr>
          <w:i/>
          <w:vertAlign w:val="subscript"/>
        </w:rPr>
        <w:t>p</w:t>
      </w:r>
      <w:r w:rsidR="00955421" w:rsidRPr="009D3806">
        <w:rPr>
          <w:i/>
          <w:vertAlign w:val="superscript"/>
        </w:rPr>
        <w:t>2</w:t>
      </w:r>
      <w:r w:rsidR="00955421" w:rsidRPr="009D3806">
        <w:rPr>
          <w:i/>
        </w:rPr>
        <w:t xml:space="preserve"> </w:t>
      </w:r>
      <w:r w:rsidR="00955421">
        <w:t xml:space="preserve">= </w:t>
      </w:r>
      <w:r w:rsidR="009D3806">
        <w:t>.10</w:t>
      </w:r>
      <w:r w:rsidR="00EB240E">
        <w:t xml:space="preserve">) and the two predictors accounted for 44% of the variance. </w:t>
      </w:r>
      <w:r>
        <w:t>The SDES was</w:t>
      </w:r>
      <w:r w:rsidR="00EB240E">
        <w:t xml:space="preserve"> a significant predictor of caregiver burden (</w:t>
      </w:r>
      <w:r w:rsidR="00EB240E" w:rsidRPr="00AC2DB0">
        <w:rPr>
          <w:i/>
        </w:rPr>
        <w:t>β</w:t>
      </w:r>
      <w:r w:rsidR="009C01D4">
        <w:t xml:space="preserve"> = .49</w:t>
      </w:r>
      <w:r w:rsidR="00EB240E">
        <w:t xml:space="preserve">, </w:t>
      </w:r>
      <w:r w:rsidR="00EB240E" w:rsidRPr="00AC2DB0">
        <w:rPr>
          <w:i/>
        </w:rPr>
        <w:t>p</w:t>
      </w:r>
      <w:r w:rsidR="00EB240E">
        <w:rPr>
          <w:i/>
        </w:rPr>
        <w:t xml:space="preserve"> </w:t>
      </w:r>
      <w:r w:rsidR="00EB240E">
        <w:t>&lt;.001) and depression was no longer a significant predictor (</w:t>
      </w:r>
      <w:r w:rsidR="00EB240E" w:rsidRPr="00AC2DB0">
        <w:rPr>
          <w:i/>
        </w:rPr>
        <w:t>β</w:t>
      </w:r>
      <w:r w:rsidR="009C01D4">
        <w:t xml:space="preserve"> = -.07</w:t>
      </w:r>
      <w:r w:rsidR="00EB240E">
        <w:t xml:space="preserve">, </w:t>
      </w:r>
      <w:r w:rsidR="00EB240E" w:rsidRPr="00AC2DB0">
        <w:rPr>
          <w:i/>
        </w:rPr>
        <w:t>p</w:t>
      </w:r>
      <w:r w:rsidR="00EB240E">
        <w:t xml:space="preserve"> </w:t>
      </w:r>
      <w:r w:rsidR="00420AC9">
        <w:t>= .27).</w:t>
      </w:r>
      <w:r w:rsidR="00EB240E">
        <w:t xml:space="preserve"> These analyses demonstrated that the shortened scale had incremental predictive value in the measurement of caregiver burden beyond levels that could be predicted by depression.</w:t>
      </w:r>
      <w:r w:rsidR="00EB240E">
        <w:br/>
      </w:r>
      <w:r w:rsidR="001559CC">
        <w:lastRenderedPageBreak/>
        <w:t xml:space="preserve"> </w:t>
      </w:r>
      <w:r w:rsidR="001559CC">
        <w:tab/>
      </w:r>
      <w:r w:rsidR="00225800">
        <w:tab/>
      </w:r>
      <w:r w:rsidR="00301751">
        <w:t>In the second regression, we aimed to test whether the SDES was able to predict the experience of the positive symptoms of psychosis above and beyond the prediction of depression</w:t>
      </w:r>
      <w:r w:rsidR="007C4D89">
        <w:t xml:space="preserve"> and hopelessness</w:t>
      </w:r>
      <w:r w:rsidR="00301751">
        <w:t xml:space="preserve">. </w:t>
      </w:r>
      <w:r w:rsidR="0052506E">
        <w:t>In</w:t>
      </w:r>
      <w:r>
        <w:t xml:space="preserve"> Step One of a hierarchical multiple regression analysis depression and hopelessness were included as predictors of the positive symptoms associated with psychosis. This demonstrated that depression was a significant predictor of these symptoms (</w:t>
      </w:r>
      <w:r w:rsidRPr="00AC2DB0">
        <w:rPr>
          <w:i/>
        </w:rPr>
        <w:t>β</w:t>
      </w:r>
      <w:r>
        <w:t xml:space="preserve"> = .48, </w:t>
      </w:r>
      <w:r w:rsidRPr="00AC2DB0">
        <w:rPr>
          <w:i/>
        </w:rPr>
        <w:t>p</w:t>
      </w:r>
      <w:r>
        <w:t xml:space="preserve"> &lt;.001), whilst hopelessness was not a significant predictor (</w:t>
      </w:r>
      <w:r w:rsidRPr="00AC2DB0">
        <w:rPr>
          <w:i/>
        </w:rPr>
        <w:t>β</w:t>
      </w:r>
      <w:r>
        <w:t xml:space="preserve"> = -.14, </w:t>
      </w:r>
      <w:r w:rsidRPr="00AC2DB0">
        <w:rPr>
          <w:i/>
        </w:rPr>
        <w:t>p</w:t>
      </w:r>
      <w:r>
        <w:t xml:space="preserve"> </w:t>
      </w:r>
      <w:r w:rsidR="00420AC9">
        <w:t>= .27).</w:t>
      </w:r>
      <w:r>
        <w:t xml:space="preserve"> For </w:t>
      </w:r>
      <w:r w:rsidR="00695AC5">
        <w:t>Step T</w:t>
      </w:r>
      <w:r>
        <w:t>wo,</w:t>
      </w:r>
      <w:r w:rsidR="002769EF">
        <w:t xml:space="preserve"> when</w:t>
      </w:r>
      <w:r>
        <w:t xml:space="preserve"> the SDES was included as an additional predictor there was a </w:t>
      </w:r>
      <w:r w:rsidRPr="002827D1">
        <w:rPr>
          <w:i/>
        </w:rPr>
        <w:t>R</w:t>
      </w:r>
      <w:r w:rsidRPr="002827D1">
        <w:rPr>
          <w:i/>
          <w:vertAlign w:val="superscript"/>
        </w:rPr>
        <w:t>2</w:t>
      </w:r>
      <w:r>
        <w:rPr>
          <w:vertAlign w:val="superscript"/>
        </w:rPr>
        <w:t xml:space="preserve"> </w:t>
      </w:r>
      <w:r>
        <w:t xml:space="preserve">change of .10 </w:t>
      </w:r>
      <w:r w:rsidRPr="005158DE">
        <w:t>(</w:t>
      </w:r>
      <w:r w:rsidRPr="002827D1">
        <w:rPr>
          <w:i/>
        </w:rPr>
        <w:t>R</w:t>
      </w:r>
      <w:r w:rsidRPr="002827D1">
        <w:rPr>
          <w:i/>
          <w:vertAlign w:val="superscript"/>
        </w:rPr>
        <w:t>2</w:t>
      </w:r>
      <w:r w:rsidRPr="005158DE">
        <w:t xml:space="preserve"> = .19, F(2, 161) = 18.64, </w:t>
      </w:r>
      <w:r w:rsidRPr="00420AC9">
        <w:rPr>
          <w:i/>
        </w:rPr>
        <w:t>p</w:t>
      </w:r>
      <w:r w:rsidR="00420AC9">
        <w:rPr>
          <w:i/>
        </w:rPr>
        <w:t xml:space="preserve"> </w:t>
      </w:r>
      <w:r w:rsidRPr="005158DE">
        <w:t>&lt;.001</w:t>
      </w:r>
      <w:r w:rsidR="009D3806">
        <w:t xml:space="preserve">, </w:t>
      </w:r>
      <w:r w:rsidR="009D3806" w:rsidRPr="009D3806">
        <w:rPr>
          <w:i/>
        </w:rPr>
        <w:t>η</w:t>
      </w:r>
      <w:r w:rsidR="009D3806" w:rsidRPr="009D3806">
        <w:rPr>
          <w:i/>
          <w:vertAlign w:val="subscript"/>
        </w:rPr>
        <w:t>p</w:t>
      </w:r>
      <w:r w:rsidR="009D3806" w:rsidRPr="009D3806">
        <w:rPr>
          <w:i/>
          <w:vertAlign w:val="superscript"/>
        </w:rPr>
        <w:t>2</w:t>
      </w:r>
      <w:r w:rsidR="009D3806" w:rsidRPr="009D3806">
        <w:rPr>
          <w:i/>
        </w:rPr>
        <w:t xml:space="preserve"> </w:t>
      </w:r>
      <w:r w:rsidR="009D3806">
        <w:t>= .10</w:t>
      </w:r>
      <w:r w:rsidRPr="005158DE">
        <w:t>)</w:t>
      </w:r>
      <w:r>
        <w:t xml:space="preserve"> and together the predictors accounted for 43% of the variance</w:t>
      </w:r>
      <w:r w:rsidRPr="005158DE">
        <w:t>.</w:t>
      </w:r>
      <w:r w:rsidR="002769EF">
        <w:t xml:space="preserve"> Th</w:t>
      </w:r>
      <w:r>
        <w:t>e SDES was a significant predictor of symptoms (</w:t>
      </w:r>
      <w:r w:rsidRPr="00AC2DB0">
        <w:rPr>
          <w:i/>
        </w:rPr>
        <w:t>β</w:t>
      </w:r>
      <w:r>
        <w:t xml:space="preserve"> = .53, </w:t>
      </w:r>
      <w:r w:rsidRPr="00AC2DB0">
        <w:rPr>
          <w:i/>
        </w:rPr>
        <w:t>p</w:t>
      </w:r>
      <w:r>
        <w:t xml:space="preserve"> &lt;.001) and with the effect of defeat and entrapment controlled, neither depression (</w:t>
      </w:r>
      <w:r w:rsidRPr="00AC2DB0">
        <w:rPr>
          <w:i/>
        </w:rPr>
        <w:t>β</w:t>
      </w:r>
      <w:r>
        <w:t xml:space="preserve"> = .20, </w:t>
      </w:r>
      <w:r w:rsidRPr="00AC2DB0">
        <w:rPr>
          <w:i/>
        </w:rPr>
        <w:t>p</w:t>
      </w:r>
      <w:r>
        <w:t xml:space="preserve"> </w:t>
      </w:r>
      <w:r w:rsidR="00420AC9">
        <w:t>= .08</w:t>
      </w:r>
      <w:r>
        <w:t>) nor hopelessness (</w:t>
      </w:r>
      <w:r w:rsidRPr="00AC2DB0">
        <w:rPr>
          <w:i/>
        </w:rPr>
        <w:t>β</w:t>
      </w:r>
      <w:r>
        <w:t xml:space="preserve"> = .04, </w:t>
      </w:r>
      <w:r w:rsidRPr="00AC2DB0">
        <w:rPr>
          <w:i/>
        </w:rPr>
        <w:t>p</w:t>
      </w:r>
      <w:r>
        <w:t xml:space="preserve"> </w:t>
      </w:r>
      <w:r w:rsidR="00420AC9">
        <w:t>= .72</w:t>
      </w:r>
      <w:r>
        <w:t>) were significant predictors of positive symptoms</w:t>
      </w:r>
      <w:r w:rsidR="002C2ED6">
        <w:t>.</w:t>
      </w:r>
      <w:r w:rsidR="002C2ED6" w:rsidRPr="002C2ED6">
        <w:t xml:space="preserve"> </w:t>
      </w:r>
      <w:r w:rsidR="002C2ED6" w:rsidRPr="000F6A67">
        <w:t>This is consistent with previous work demonstrating that defeat and entrapment mediate the effect of other variables on psychopathology</w:t>
      </w:r>
      <w:r w:rsidR="002C2ED6">
        <w:t>, such as the symptoms of PTSD on subsequent suicidal be</w:t>
      </w:r>
      <w:r w:rsidR="00D20F27">
        <w:t>haviour (Panagioti et al., 2012</w:t>
      </w:r>
      <w:r w:rsidR="002C2ED6">
        <w:t>)</w:t>
      </w:r>
      <w:r w:rsidR="002C2ED6" w:rsidRPr="000F6A67">
        <w:t>. Taken together, the two tests, in different samples, showed that the SEDS is meaningfully different from both depression and hopelessness with which it is correlated.</w:t>
      </w:r>
      <w:r w:rsidR="00F21214">
        <w:br/>
      </w:r>
      <w:r w:rsidR="00F702F0" w:rsidRPr="0068161F">
        <w:rPr>
          <w:b/>
        </w:rPr>
        <w:br/>
      </w:r>
      <w:r w:rsidR="0000481D" w:rsidRPr="0068161F">
        <w:rPr>
          <w:b/>
        </w:rPr>
        <w:t>Known Group Validity</w:t>
      </w:r>
    </w:p>
    <w:p w14:paraId="75C3C9B0" w14:textId="389BFB4F" w:rsidR="00261596" w:rsidRDefault="00F702F0" w:rsidP="00225800">
      <w:pPr>
        <w:widowControl w:val="0"/>
        <w:autoSpaceDE w:val="0"/>
        <w:autoSpaceDN w:val="0"/>
        <w:adjustRightInd w:val="0"/>
        <w:spacing w:after="0" w:line="480" w:lineRule="auto"/>
        <w:ind w:left="-851"/>
      </w:pPr>
      <w:r>
        <w:t xml:space="preserve"> </w:t>
      </w:r>
      <w:r>
        <w:tab/>
      </w:r>
      <w:r w:rsidR="00225800">
        <w:tab/>
      </w:r>
      <w:r w:rsidR="00270984">
        <w:t>It was expected that within</w:t>
      </w:r>
      <w:r w:rsidR="00D62DEA">
        <w:t xml:space="preserve"> all samples </w:t>
      </w:r>
      <w:r w:rsidR="00270984">
        <w:t>there would be</w:t>
      </w:r>
      <w:r w:rsidR="00DE7D68">
        <w:t xml:space="preserve"> participants who were experiencing defeat and entrapment, </w:t>
      </w:r>
      <w:r w:rsidR="00270984">
        <w:t xml:space="preserve">although </w:t>
      </w:r>
      <w:r w:rsidR="00AC2DB0">
        <w:t xml:space="preserve">we expected participants from both clinical </w:t>
      </w:r>
      <w:r w:rsidR="00F165EE">
        <w:t>groups</w:t>
      </w:r>
      <w:r w:rsidR="00AC2DB0">
        <w:t xml:space="preserve"> to report higher levels than</w:t>
      </w:r>
      <w:r w:rsidR="004F236B">
        <w:t xml:space="preserve"> those from</w:t>
      </w:r>
      <w:r w:rsidR="00AC2DB0">
        <w:t xml:space="preserve"> the non-clin</w:t>
      </w:r>
      <w:r w:rsidR="00F165EE">
        <w:t>i</w:t>
      </w:r>
      <w:r w:rsidR="00AC2DB0">
        <w:t xml:space="preserve">cal </w:t>
      </w:r>
      <w:r w:rsidR="00F165EE">
        <w:t>group</w:t>
      </w:r>
      <w:r w:rsidR="00AC2DB0">
        <w:t xml:space="preserve">s. </w:t>
      </w:r>
      <w:r w:rsidR="006F6D4E">
        <w:t>The mean scores for the samples followed this hypothesis, as the psychosis group (</w:t>
      </w:r>
      <w:r w:rsidR="006F6D4E">
        <w:rPr>
          <w:i/>
        </w:rPr>
        <w:t xml:space="preserve">Sample 3; </w:t>
      </w:r>
      <w:r w:rsidR="006F6D4E" w:rsidRPr="009C0FB3">
        <w:rPr>
          <w:i/>
        </w:rPr>
        <w:t>M</w:t>
      </w:r>
      <w:r w:rsidR="006F6D4E">
        <w:t xml:space="preserve"> = </w:t>
      </w:r>
      <w:r w:rsidR="0052506E">
        <w:t>12.83,</w:t>
      </w:r>
      <w:r w:rsidR="006F6D4E">
        <w:t xml:space="preserve"> </w:t>
      </w:r>
      <w:r w:rsidR="006F6D4E" w:rsidRPr="009C0FB3">
        <w:rPr>
          <w:i/>
        </w:rPr>
        <w:t>SD</w:t>
      </w:r>
      <w:r w:rsidR="006F6D4E">
        <w:t xml:space="preserve"> = 9.09) scored higher than all other samples [Community Sample (</w:t>
      </w:r>
      <w:r w:rsidR="006F6D4E">
        <w:rPr>
          <w:i/>
        </w:rPr>
        <w:t xml:space="preserve">Sample 1; </w:t>
      </w:r>
      <w:r w:rsidR="006F6D4E" w:rsidRPr="009C0FB3">
        <w:rPr>
          <w:i/>
        </w:rPr>
        <w:t>M</w:t>
      </w:r>
      <w:r w:rsidR="006F6D4E">
        <w:t xml:space="preserve"> = </w:t>
      </w:r>
      <w:r w:rsidR="0052506E">
        <w:t>5.79,</w:t>
      </w:r>
      <w:r w:rsidR="006F6D4E">
        <w:t xml:space="preserve"> </w:t>
      </w:r>
      <w:r w:rsidR="006F6D4E" w:rsidRPr="009C0FB3">
        <w:rPr>
          <w:i/>
        </w:rPr>
        <w:t>SD</w:t>
      </w:r>
      <w:r w:rsidR="006F6D4E">
        <w:t xml:space="preserve"> = 6.12), Formal Caregivers (</w:t>
      </w:r>
      <w:r w:rsidR="006F6D4E">
        <w:rPr>
          <w:i/>
        </w:rPr>
        <w:t xml:space="preserve">Sample 2; </w:t>
      </w:r>
      <w:r w:rsidR="006F6D4E" w:rsidRPr="009C0FB3">
        <w:rPr>
          <w:i/>
        </w:rPr>
        <w:t>M</w:t>
      </w:r>
      <w:r w:rsidR="006F6D4E">
        <w:t xml:space="preserve"> = 3.72, </w:t>
      </w:r>
      <w:r w:rsidR="006F6D4E" w:rsidRPr="009C0FB3">
        <w:rPr>
          <w:i/>
        </w:rPr>
        <w:t>SD</w:t>
      </w:r>
      <w:r w:rsidR="006F6D4E">
        <w:t xml:space="preserve"> = 5.34) and </w:t>
      </w:r>
      <w:r w:rsidR="00CF50CE">
        <w:t xml:space="preserve">individuals </w:t>
      </w:r>
      <w:r w:rsidR="006F6D4E">
        <w:t>with PTSD (</w:t>
      </w:r>
      <w:r w:rsidR="006F6D4E">
        <w:rPr>
          <w:i/>
        </w:rPr>
        <w:t xml:space="preserve">Sample 4; </w:t>
      </w:r>
      <w:r w:rsidR="006F6D4E" w:rsidRPr="009C0FB3">
        <w:rPr>
          <w:i/>
        </w:rPr>
        <w:t>M</w:t>
      </w:r>
      <w:r w:rsidR="006F6D4E">
        <w:t xml:space="preserve"> = 8.04, </w:t>
      </w:r>
      <w:r w:rsidR="006F6D4E" w:rsidRPr="009C0FB3">
        <w:rPr>
          <w:i/>
        </w:rPr>
        <w:t>SD</w:t>
      </w:r>
      <w:r w:rsidR="00D33115">
        <w:t xml:space="preserve"> = 8.39)]</w:t>
      </w:r>
      <w:r w:rsidR="006F6D4E">
        <w:t xml:space="preserve">. As expected, the clinical groups had higher levels of defeat and entrapment than the non-clinical groups, which demonstrated that the shortened scale accurately captures differences between clinical and non-clinical populations. </w:t>
      </w:r>
      <w:r w:rsidR="00A763D7">
        <w:t xml:space="preserve">An </w:t>
      </w:r>
      <w:r w:rsidR="009E3CFB">
        <w:t xml:space="preserve">ANOVA demonstrated that there were significant </w:t>
      </w:r>
      <w:r w:rsidR="009E3CFB">
        <w:lastRenderedPageBreak/>
        <w:t>differences between the me</w:t>
      </w:r>
      <w:r w:rsidR="006F6D4E">
        <w:t>an scores on</w:t>
      </w:r>
      <w:r w:rsidR="00A60BB0">
        <w:t xml:space="preserve"> the SDES for the four samples [</w:t>
      </w:r>
      <w:r w:rsidR="006F6D4E">
        <w:t>F(3, 595</w:t>
      </w:r>
      <w:r w:rsidR="009E3CFB">
        <w:t xml:space="preserve">) = </w:t>
      </w:r>
      <w:r w:rsidR="006F6D4E">
        <w:t>33.17</w:t>
      </w:r>
      <w:r w:rsidR="009E3CFB">
        <w:t xml:space="preserve">, </w:t>
      </w:r>
      <w:r w:rsidR="009E3CFB" w:rsidRPr="00420AC9">
        <w:rPr>
          <w:i/>
        </w:rPr>
        <w:t>p</w:t>
      </w:r>
      <w:r w:rsidR="00420AC9">
        <w:rPr>
          <w:i/>
        </w:rPr>
        <w:t xml:space="preserve"> </w:t>
      </w:r>
      <w:r w:rsidR="009E3CFB">
        <w:t>&lt;.001</w:t>
      </w:r>
      <w:r w:rsidR="00340C88">
        <w:t>,</w:t>
      </w:r>
      <w:r w:rsidR="00675068">
        <w:t xml:space="preserve"> </w:t>
      </w:r>
      <w:r w:rsidR="009D3806" w:rsidRPr="009D3806">
        <w:rPr>
          <w:i/>
        </w:rPr>
        <w:t>η</w:t>
      </w:r>
      <w:r w:rsidR="009D3806" w:rsidRPr="009D3806">
        <w:rPr>
          <w:i/>
          <w:vertAlign w:val="subscript"/>
        </w:rPr>
        <w:t>p</w:t>
      </w:r>
      <w:r w:rsidR="00675068">
        <w:rPr>
          <w:i/>
          <w:vertAlign w:val="superscript"/>
        </w:rPr>
        <w:t>2</w:t>
      </w:r>
      <w:r w:rsidR="00675068">
        <w:rPr>
          <w:i/>
        </w:rPr>
        <w:t xml:space="preserve"> </w:t>
      </w:r>
      <w:r w:rsidR="00675068">
        <w:t>= .14</w:t>
      </w:r>
      <w:r w:rsidR="00A60BB0">
        <w:t>]</w:t>
      </w:r>
      <w:r w:rsidR="009E3CFB">
        <w:t xml:space="preserve">. </w:t>
      </w:r>
      <w:r w:rsidR="0039096A">
        <w:t>Bonferroni corrected p</w:t>
      </w:r>
      <w:r w:rsidR="00D316B6">
        <w:t xml:space="preserve">aired-samples t-tests demonstrated that the differences between all samples were significant; the </w:t>
      </w:r>
      <w:r w:rsidR="0068161F">
        <w:t>sample of individuals with psychosis</w:t>
      </w:r>
      <w:r w:rsidR="00D316B6">
        <w:t xml:space="preserve"> scored significantly hi</w:t>
      </w:r>
      <w:r w:rsidR="00277D49">
        <w:t>gher than the community sample (</w:t>
      </w:r>
      <w:r w:rsidR="00D316B6" w:rsidRPr="003C5699">
        <w:rPr>
          <w:i/>
        </w:rPr>
        <w:t>t</w:t>
      </w:r>
      <w:r w:rsidR="00D316B6">
        <w:t xml:space="preserve"> (3</w:t>
      </w:r>
      <w:r w:rsidR="009D4053">
        <w:t>, 77</w:t>
      </w:r>
      <w:r w:rsidR="00D316B6">
        <w:t xml:space="preserve">) = 7.04, </w:t>
      </w:r>
      <w:r w:rsidR="00D316B6" w:rsidRPr="003C5699">
        <w:rPr>
          <w:i/>
        </w:rPr>
        <w:t>p</w:t>
      </w:r>
      <w:r w:rsidR="00B439BD">
        <w:rPr>
          <w:i/>
        </w:rPr>
        <w:t xml:space="preserve"> </w:t>
      </w:r>
      <w:r w:rsidR="00277D49">
        <w:t>&lt;.001</w:t>
      </w:r>
      <w:r w:rsidR="009133BE">
        <w:t xml:space="preserve">, </w:t>
      </w:r>
      <w:r w:rsidR="009133BE">
        <w:rPr>
          <w:i/>
        </w:rPr>
        <w:t xml:space="preserve">d </w:t>
      </w:r>
      <w:r w:rsidR="009133BE">
        <w:t>= 1.</w:t>
      </w:r>
      <w:r w:rsidR="009D4053">
        <w:t>60</w:t>
      </w:r>
      <w:r w:rsidR="00277D49">
        <w:t>)</w:t>
      </w:r>
      <w:r w:rsidR="00D316B6">
        <w:t>, t</w:t>
      </w:r>
      <w:r w:rsidR="00277D49">
        <w:t>he sample of formal caregivers (</w:t>
      </w:r>
      <w:r w:rsidR="00D316B6" w:rsidRPr="003C5699">
        <w:rPr>
          <w:i/>
        </w:rPr>
        <w:t>t</w:t>
      </w:r>
      <w:r w:rsidR="00D316B6">
        <w:t xml:space="preserve"> (3</w:t>
      </w:r>
      <w:r w:rsidR="009D4053">
        <w:t>, 162</w:t>
      </w:r>
      <w:r w:rsidR="00D316B6">
        <w:t xml:space="preserve">) = 9.12, </w:t>
      </w:r>
      <w:r w:rsidR="00D316B6" w:rsidRPr="003C5699">
        <w:rPr>
          <w:i/>
        </w:rPr>
        <w:t>p</w:t>
      </w:r>
      <w:r w:rsidR="001377C9">
        <w:rPr>
          <w:i/>
        </w:rPr>
        <w:t xml:space="preserve"> </w:t>
      </w:r>
      <w:r w:rsidR="003C5699">
        <w:t>&lt;.001</w:t>
      </w:r>
      <w:r w:rsidR="009D4053">
        <w:t xml:space="preserve">, </w:t>
      </w:r>
      <w:r w:rsidR="009D4053">
        <w:rPr>
          <w:i/>
        </w:rPr>
        <w:t xml:space="preserve">d </w:t>
      </w:r>
      <w:r w:rsidR="009D4053">
        <w:t>= 1.43</w:t>
      </w:r>
      <w:r w:rsidR="00277D49">
        <w:t>)</w:t>
      </w:r>
      <w:r w:rsidR="00D316B6">
        <w:t xml:space="preserve"> and the sample of i</w:t>
      </w:r>
      <w:r w:rsidR="00277D49">
        <w:t>ndividuals with PTSD (</w:t>
      </w:r>
      <w:r w:rsidR="001A191A" w:rsidRPr="003C5699">
        <w:rPr>
          <w:i/>
        </w:rPr>
        <w:t>t</w:t>
      </w:r>
      <w:r w:rsidR="003C5699">
        <w:t xml:space="preserve"> (3</w:t>
      </w:r>
      <w:r w:rsidR="009D4053">
        <w:t>, 94</w:t>
      </w:r>
      <w:r w:rsidR="001A191A">
        <w:t xml:space="preserve">) = 4.79, </w:t>
      </w:r>
      <w:r w:rsidR="001A191A" w:rsidRPr="003C5699">
        <w:rPr>
          <w:i/>
        </w:rPr>
        <w:t>p</w:t>
      </w:r>
      <w:r w:rsidR="001377C9">
        <w:rPr>
          <w:i/>
        </w:rPr>
        <w:t xml:space="preserve"> </w:t>
      </w:r>
      <w:r w:rsidR="00277D49">
        <w:t>&lt;.001</w:t>
      </w:r>
      <w:r w:rsidR="009D4053">
        <w:t xml:space="preserve">, </w:t>
      </w:r>
      <w:r w:rsidR="009D4053">
        <w:rPr>
          <w:i/>
        </w:rPr>
        <w:t xml:space="preserve">d </w:t>
      </w:r>
      <w:r w:rsidR="009D4053">
        <w:t>= .98</w:t>
      </w:r>
      <w:r w:rsidR="00277D49">
        <w:t>)</w:t>
      </w:r>
      <w:r w:rsidR="001A191A">
        <w:t>.</w:t>
      </w:r>
      <w:r w:rsidR="00BF7FDF">
        <w:t xml:space="preserve"> </w:t>
      </w:r>
      <w:r w:rsidR="008A6898">
        <w:t>Individuals</w:t>
      </w:r>
      <w:r w:rsidR="00BF7FDF">
        <w:t xml:space="preserve"> with PTSD also scored significantly hi</w:t>
      </w:r>
      <w:r w:rsidR="00277D49">
        <w:t>gher than the community sample (</w:t>
      </w:r>
      <w:r w:rsidR="00BF7FDF" w:rsidRPr="003C5699">
        <w:rPr>
          <w:i/>
        </w:rPr>
        <w:t xml:space="preserve">t </w:t>
      </w:r>
      <w:r w:rsidR="00BF7FDF">
        <w:t>(3</w:t>
      </w:r>
      <w:r w:rsidR="009D4053">
        <w:t>, 94</w:t>
      </w:r>
      <w:r w:rsidR="00BF7FDF">
        <w:t xml:space="preserve">) = 2.25, </w:t>
      </w:r>
      <w:r w:rsidR="00BF7FDF" w:rsidRPr="003C5699">
        <w:rPr>
          <w:i/>
        </w:rPr>
        <w:t>p</w:t>
      </w:r>
      <w:r w:rsidR="00277D49">
        <w:t xml:space="preserve"> = .03</w:t>
      </w:r>
      <w:r w:rsidR="009D4053">
        <w:t xml:space="preserve">, </w:t>
      </w:r>
      <w:r w:rsidR="009D4053">
        <w:rPr>
          <w:i/>
        </w:rPr>
        <w:t xml:space="preserve">d </w:t>
      </w:r>
      <w:r w:rsidR="009D4053">
        <w:t>= .46</w:t>
      </w:r>
      <w:r w:rsidR="00277D49">
        <w:t>)</w:t>
      </w:r>
      <w:r w:rsidR="00BF7FDF">
        <w:t xml:space="preserve"> an</w:t>
      </w:r>
      <w:r w:rsidR="00277D49">
        <w:t>d the formal caregivers sample (</w:t>
      </w:r>
      <w:r w:rsidR="00BF7FDF" w:rsidRPr="003C5699">
        <w:rPr>
          <w:i/>
        </w:rPr>
        <w:t>t</w:t>
      </w:r>
      <w:r w:rsidR="00BF7FDF">
        <w:t xml:space="preserve"> (3</w:t>
      </w:r>
      <w:r w:rsidR="009D4053">
        <w:t>, 162</w:t>
      </w:r>
      <w:r w:rsidR="00BF7FDF">
        <w:t xml:space="preserve">) = 4.32, </w:t>
      </w:r>
      <w:r w:rsidR="00BF7FDF" w:rsidRPr="003C5699">
        <w:rPr>
          <w:i/>
        </w:rPr>
        <w:t>p</w:t>
      </w:r>
      <w:r w:rsidR="00B439BD">
        <w:rPr>
          <w:i/>
        </w:rPr>
        <w:t xml:space="preserve"> </w:t>
      </w:r>
      <w:r w:rsidR="00277D49">
        <w:t>&lt;.001</w:t>
      </w:r>
      <w:r w:rsidR="009D4053">
        <w:t xml:space="preserve">, </w:t>
      </w:r>
      <w:r w:rsidR="009D4053">
        <w:rPr>
          <w:i/>
        </w:rPr>
        <w:t xml:space="preserve">d </w:t>
      </w:r>
      <w:r w:rsidR="009D4053">
        <w:t>= .68</w:t>
      </w:r>
      <w:r w:rsidR="00277D49">
        <w:t>)</w:t>
      </w:r>
      <w:r w:rsidR="00BF7FDF">
        <w:t xml:space="preserve">. </w:t>
      </w:r>
    </w:p>
    <w:p w14:paraId="3F7F7565" w14:textId="2867B204" w:rsidR="00210390" w:rsidRPr="0068161F" w:rsidRDefault="00261596" w:rsidP="00C30C6E">
      <w:pPr>
        <w:widowControl w:val="0"/>
        <w:autoSpaceDE w:val="0"/>
        <w:autoSpaceDN w:val="0"/>
        <w:adjustRightInd w:val="0"/>
        <w:spacing w:after="0" w:line="480" w:lineRule="auto"/>
        <w:ind w:left="-851"/>
        <w:jc w:val="center"/>
        <w:rPr>
          <w:b/>
        </w:rPr>
      </w:pPr>
      <w:r w:rsidRPr="0068161F">
        <w:rPr>
          <w:b/>
        </w:rPr>
        <w:t>Discussion</w:t>
      </w:r>
    </w:p>
    <w:p w14:paraId="2F0CC147" w14:textId="04AE675B" w:rsidR="00DF0B0D" w:rsidRPr="009D7CCC" w:rsidRDefault="00DF0B0D" w:rsidP="00225800">
      <w:pPr>
        <w:pStyle w:val="ListParagraph"/>
        <w:spacing w:line="480" w:lineRule="auto"/>
        <w:ind w:left="-851"/>
      </w:pPr>
      <w:r w:rsidRPr="009D7CCC">
        <w:tab/>
      </w:r>
      <w:r w:rsidR="00225800">
        <w:tab/>
      </w:r>
      <w:r w:rsidRPr="009D7CCC">
        <w:t xml:space="preserve">The above </w:t>
      </w:r>
      <w:r>
        <w:t xml:space="preserve">analyses </w:t>
      </w:r>
      <w:r w:rsidRPr="009D7CCC">
        <w:t xml:space="preserve">report the development of an eight-item scale </w:t>
      </w:r>
      <w:r>
        <w:t>that</w:t>
      </w:r>
      <w:r w:rsidRPr="009D7CCC">
        <w:t xml:space="preserve"> measures </w:t>
      </w:r>
      <w:r>
        <w:t xml:space="preserve">defeat and entrapment. </w:t>
      </w:r>
      <w:r w:rsidRPr="009D7CCC">
        <w:t xml:space="preserve">An EFA demonstrated that a one-factor solution was most appropriate for defeat and entrapment, </w:t>
      </w:r>
      <w:r>
        <w:t>which</w:t>
      </w:r>
      <w:r w:rsidRPr="009D7CCC">
        <w:t xml:space="preserve"> was confirmed by a mul</w:t>
      </w:r>
      <w:r>
        <w:t xml:space="preserve">tigroup CFA. </w:t>
      </w:r>
      <w:r w:rsidRPr="009D7CCC">
        <w:t xml:space="preserve">This </w:t>
      </w:r>
      <w:r>
        <w:t xml:space="preserve">is consistent with theories that defeat and entrapment are best defined as a single construct (Johnson et al., 2008; Taylor et al., 2009; Taylor et al., 2011a) and on this basis should be measured by a single scale. </w:t>
      </w:r>
    </w:p>
    <w:p w14:paraId="6DFA7E14" w14:textId="28B35EB3" w:rsidR="00BD76D3" w:rsidRPr="009D7CCC" w:rsidRDefault="00261596" w:rsidP="00BD76D3">
      <w:pPr>
        <w:pStyle w:val="ListParagraph"/>
        <w:spacing w:line="480" w:lineRule="auto"/>
        <w:ind w:left="-851"/>
      </w:pPr>
      <w:r w:rsidRPr="009D7CCC">
        <w:t xml:space="preserve"> </w:t>
      </w:r>
      <w:r w:rsidRPr="009D7CCC">
        <w:tab/>
      </w:r>
      <w:r w:rsidR="00225800">
        <w:tab/>
      </w:r>
      <w:r w:rsidRPr="009D7CCC">
        <w:t xml:space="preserve">The </w:t>
      </w:r>
      <w:r w:rsidR="003E3233">
        <w:t>psychometric properties of the SDES were examined</w:t>
      </w:r>
      <w:r w:rsidRPr="009D7CCC">
        <w:t xml:space="preserve"> across f</w:t>
      </w:r>
      <w:r w:rsidR="00B1185A">
        <w:t>our</w:t>
      </w:r>
      <w:r w:rsidRPr="009D7CCC">
        <w:t xml:space="preserve"> samples. The scale </w:t>
      </w:r>
      <w:r w:rsidR="008A6898">
        <w:t>significantly correlated</w:t>
      </w:r>
      <w:r w:rsidRPr="009D7CCC">
        <w:t xml:space="preserve"> with outcome measures of depression and hopelessness </w:t>
      </w:r>
      <w:r w:rsidR="001C1E7C">
        <w:t>previously shown to correlate with the</w:t>
      </w:r>
      <w:r w:rsidRPr="009D7CCC">
        <w:t xml:space="preserve"> original defeat and entrapment scales (e.g. Gilbert &amp; Allan, 1998; Sturman &amp; Mongrain, 2008</w:t>
      </w:r>
      <w:r w:rsidR="002606ED">
        <w:t>b</w:t>
      </w:r>
      <w:r w:rsidRPr="009D7CCC">
        <w:t>; Panagioti et al., 2012</w:t>
      </w:r>
      <w:r w:rsidR="00277D49">
        <w:t>)</w:t>
      </w:r>
      <w:r w:rsidRPr="009D7CCC">
        <w:t xml:space="preserve">. </w:t>
      </w:r>
      <w:r w:rsidR="00FA0C14">
        <w:t xml:space="preserve">The </w:t>
      </w:r>
      <w:r w:rsidR="00D316A9">
        <w:t>SDES</w:t>
      </w:r>
      <w:r w:rsidR="00FA0C14">
        <w:t xml:space="preserve"> </w:t>
      </w:r>
      <w:r w:rsidR="004127B5">
        <w:t xml:space="preserve">effectively </w:t>
      </w:r>
      <w:r w:rsidRPr="009D7CCC">
        <w:t>distinguish</w:t>
      </w:r>
      <w:r w:rsidR="00FA0C14">
        <w:t>es</w:t>
      </w:r>
      <w:r w:rsidRPr="009D7CCC">
        <w:t xml:space="preserve"> between individuals </w:t>
      </w:r>
      <w:r w:rsidR="00297B6D">
        <w:t>who would be expected to experience</w:t>
      </w:r>
      <w:r w:rsidRPr="009D7CCC">
        <w:t xml:space="preserve"> </w:t>
      </w:r>
      <w:r w:rsidR="00297B6D">
        <w:t>different</w:t>
      </w:r>
      <w:r w:rsidR="00690FC1">
        <w:t xml:space="preserve"> </w:t>
      </w:r>
      <w:r w:rsidR="00FA0C14">
        <w:t xml:space="preserve">levels of </w:t>
      </w:r>
      <w:r w:rsidRPr="009D7CCC">
        <w:t xml:space="preserve">defeat and entrapment, as participants’ mean scores on the scale were significantly higher in samples recruited from clinical settings </w:t>
      </w:r>
      <w:r w:rsidR="001C127E">
        <w:t>than non-clinical settings</w:t>
      </w:r>
      <w:r w:rsidR="00904FB8">
        <w:t>. This</w:t>
      </w:r>
      <w:r w:rsidR="000F2224">
        <w:t xml:space="preserve"> was expected based on previous clinical work</w:t>
      </w:r>
      <w:r w:rsidR="00904FB8">
        <w:t xml:space="preserve"> and provided further support for</w:t>
      </w:r>
      <w:r w:rsidR="0005358C">
        <w:t xml:space="preserve"> the clinical utility of the scale</w:t>
      </w:r>
      <w:r w:rsidR="006850D0">
        <w:t>.</w:t>
      </w:r>
      <w:r w:rsidR="006850D0" w:rsidRPr="006850D0">
        <w:t xml:space="preserve"> </w:t>
      </w:r>
      <w:r w:rsidR="006850D0">
        <w:t>High</w:t>
      </w:r>
      <w:r w:rsidR="006850D0" w:rsidRPr="009D7CCC">
        <w:t xml:space="preserve"> test-retest </w:t>
      </w:r>
      <w:r w:rsidR="006850D0">
        <w:t xml:space="preserve">reliability across twelve months for the scale was also demonstrated </w:t>
      </w:r>
      <w:r w:rsidR="001C127E">
        <w:t>(</w:t>
      </w:r>
      <w:r w:rsidR="001C127E" w:rsidRPr="004A35E3">
        <w:rPr>
          <w:i/>
        </w:rPr>
        <w:t>r</w:t>
      </w:r>
      <w:r w:rsidR="001C127E" w:rsidRPr="004A35E3">
        <w:rPr>
          <w:vertAlign w:val="subscript"/>
        </w:rPr>
        <w:t>icc</w:t>
      </w:r>
      <w:r w:rsidR="001C127E">
        <w:rPr>
          <w:vertAlign w:val="subscript"/>
        </w:rPr>
        <w:t xml:space="preserve"> </w:t>
      </w:r>
      <w:r w:rsidR="00664617">
        <w:t>= .88</w:t>
      </w:r>
      <w:r w:rsidR="001C127E">
        <w:t>)</w:t>
      </w:r>
      <w:r w:rsidR="0052506E" w:rsidRPr="009D7CCC">
        <w:t>;</w:t>
      </w:r>
      <w:r w:rsidR="006850D0" w:rsidRPr="009D7CCC">
        <w:t xml:space="preserve"> suggesting that responses on the measure are sta</w:t>
      </w:r>
      <w:r w:rsidR="006850D0">
        <w:t>ble across time</w:t>
      </w:r>
      <w:r w:rsidR="00A30276">
        <w:t xml:space="preserve"> amongst individuals whose situation does not change</w:t>
      </w:r>
      <w:r w:rsidR="006850D0">
        <w:t>.</w:t>
      </w:r>
      <w:r w:rsidR="000F2224" w:rsidRPr="005D1B3F">
        <w:rPr>
          <w:color w:val="FFFFFF" w:themeColor="background1"/>
        </w:rPr>
        <w:t xml:space="preserve"> </w:t>
      </w:r>
      <w:r w:rsidR="00C368C3" w:rsidRPr="005D1B3F">
        <w:rPr>
          <w:color w:val="FFFFFF" w:themeColor="background1"/>
        </w:rPr>
        <w:br/>
      </w:r>
      <w:r w:rsidR="00DF0B0D">
        <w:t xml:space="preserve">  </w:t>
      </w:r>
      <w:r w:rsidR="00DF0B0D">
        <w:tab/>
      </w:r>
      <w:r w:rsidR="00225800">
        <w:tab/>
      </w:r>
      <w:r w:rsidR="00DF0B0D">
        <w:t>The scale has unique value in the prediction of sample specific</w:t>
      </w:r>
      <w:r w:rsidR="00DF0B0D" w:rsidRPr="009D7CCC">
        <w:t xml:space="preserve"> </w:t>
      </w:r>
      <w:r w:rsidR="00DF0B0D">
        <w:t xml:space="preserve">psychopathological </w:t>
      </w:r>
      <w:r w:rsidR="00DF0B0D" w:rsidRPr="009D7CCC">
        <w:lastRenderedPageBreak/>
        <w:t xml:space="preserve">outcomes when controlling for </w:t>
      </w:r>
      <w:r w:rsidR="00DF0B0D">
        <w:t>depression and hopelessness</w:t>
      </w:r>
      <w:r w:rsidR="00DF0B0D" w:rsidRPr="009D7CCC">
        <w:t xml:space="preserve">. </w:t>
      </w:r>
      <w:r w:rsidR="00DF0B0D">
        <w:t>We found the SDES to be a significant predictor of positive psychotic symptoms, when controlling for depression and hopelessness, and caregiver burden, when controlling for depression</w:t>
      </w:r>
      <w:r w:rsidR="00DF0B0D" w:rsidRPr="009D7CCC">
        <w:t xml:space="preserve">. </w:t>
      </w:r>
      <w:r w:rsidR="00DF0B0D">
        <w:t>This demonstrates that although defeat and entrapment have been shown to correlate with depression (e.g. Griffiths et al</w:t>
      </w:r>
      <w:r w:rsidR="00D20F27">
        <w:t>., 2014; Panagioti et al., 2012</w:t>
      </w:r>
      <w:r w:rsidR="00DF0B0D">
        <w:t>), the SDES measures a unique factor that cannot be captured through t</w:t>
      </w:r>
      <w:r w:rsidR="00065A6B">
        <w:t>he measurement of depression.</w:t>
      </w:r>
      <w:r w:rsidR="00BD76D3">
        <w:br/>
        <w:t xml:space="preserve"> </w:t>
      </w:r>
      <w:r w:rsidR="00BD76D3">
        <w:tab/>
      </w:r>
      <w:r w:rsidR="00BD76D3">
        <w:tab/>
        <w:t>Additionally, the currently study provided further evidence that defeat and entrapment are best defined as a single factor, supporting existing literature (e.g. Griffiths et al., 2014; Taylor et al., 2009).</w:t>
      </w:r>
      <w:r w:rsidR="005B5B9D">
        <w:t xml:space="preserve"> The development of the SDES allows defeat and entrapment to be measured using a single scale and also provides </w:t>
      </w:r>
      <w:r w:rsidR="00BD76D3">
        <w:t xml:space="preserve">greater clinical </w:t>
      </w:r>
      <w:r w:rsidR="00303537">
        <w:t>utility; however</w:t>
      </w:r>
      <w:r w:rsidR="00BD76D3">
        <w:t xml:space="preserve"> this can sometimes be at the expense of psychometric validity. Within the current study, we demonstrated that the SDES correlates with outcome measures at the same magnitudes as the original scales. Therefore, whilst the </w:t>
      </w:r>
      <w:r w:rsidR="00303537" w:rsidRPr="002053DE">
        <w:rPr>
          <w:i/>
        </w:rPr>
        <w:t>Defeat Scale</w:t>
      </w:r>
      <w:r w:rsidR="00303537">
        <w:t xml:space="preserve"> and </w:t>
      </w:r>
      <w:r w:rsidR="00303537" w:rsidRPr="002053DE">
        <w:rPr>
          <w:i/>
        </w:rPr>
        <w:t>Entrapment Scale</w:t>
      </w:r>
      <w:r w:rsidR="00BD76D3" w:rsidRPr="002053DE">
        <w:rPr>
          <w:i/>
        </w:rPr>
        <w:t xml:space="preserve"> </w:t>
      </w:r>
      <w:r w:rsidR="00BD76D3">
        <w:t xml:space="preserve">may not be seen as particularly lengthy, </w:t>
      </w:r>
      <w:r w:rsidR="00303537">
        <w:t xml:space="preserve">the increasing proliferation of unvalidated short scales </w:t>
      </w:r>
      <w:r w:rsidR="002053DE">
        <w:t xml:space="preserve">suggested that researchers were indeed finding the original scales too lengthy, whereas </w:t>
      </w:r>
      <w:r w:rsidR="00303537">
        <w:t xml:space="preserve">the use of the SDES allows for a quick assessment of perceptions of defeat and entrapment. It is hoped that the development of this scale provides both clinical and research utility for the measurement of defeat and entrapment. </w:t>
      </w:r>
    </w:p>
    <w:p w14:paraId="1B6CDE2D" w14:textId="03FEBFA6" w:rsidR="00261596" w:rsidRDefault="00261596" w:rsidP="00225800">
      <w:pPr>
        <w:pStyle w:val="ListParagraph"/>
        <w:spacing w:line="480" w:lineRule="auto"/>
        <w:ind w:left="-851"/>
      </w:pPr>
      <w:r w:rsidRPr="009D7CCC">
        <w:t xml:space="preserve"> </w:t>
      </w:r>
      <w:r w:rsidRPr="009D7CCC">
        <w:tab/>
      </w:r>
      <w:r w:rsidR="00225800">
        <w:tab/>
      </w:r>
      <w:r w:rsidRPr="009D7CCC">
        <w:t>Although defeat and entrapment have been</w:t>
      </w:r>
      <w:r w:rsidR="00100724">
        <w:t xml:space="preserve"> measured</w:t>
      </w:r>
      <w:r w:rsidR="00A1137C">
        <w:t xml:space="preserve"> as </w:t>
      </w:r>
      <w:r w:rsidR="008A6898">
        <w:t>predictors of mental health problems</w:t>
      </w:r>
      <w:r w:rsidR="008A6898" w:rsidRPr="009D7CCC">
        <w:t xml:space="preserve">, </w:t>
      </w:r>
      <w:r w:rsidR="008A6898">
        <w:t xml:space="preserve">their infrequent assessment within therapeutic </w:t>
      </w:r>
      <w:r w:rsidR="00541B86">
        <w:t>settings</w:t>
      </w:r>
      <w:r w:rsidRPr="009D7CCC">
        <w:t xml:space="preserve"> may be partly due to a lack of </w:t>
      </w:r>
      <w:r w:rsidR="008A6898">
        <w:t xml:space="preserve">a </w:t>
      </w:r>
      <w:r w:rsidRPr="009D7CCC">
        <w:t xml:space="preserve">valid short measure of both constructs that could be </w:t>
      </w:r>
      <w:r w:rsidR="00AC11B9">
        <w:t xml:space="preserve">regularly </w:t>
      </w:r>
      <w:r w:rsidRPr="009D7CCC">
        <w:t>administered</w:t>
      </w:r>
      <w:r w:rsidR="00AC11B9">
        <w:t xml:space="preserve"> to patients</w:t>
      </w:r>
      <w:r w:rsidR="00D66178">
        <w:t xml:space="preserve"> across </w:t>
      </w:r>
      <w:r w:rsidRPr="009D7CCC">
        <w:t>treatment</w:t>
      </w:r>
      <w:r w:rsidR="00D66178">
        <w:t xml:space="preserve"> programme</w:t>
      </w:r>
      <w:r w:rsidR="008A6898">
        <w:t>s</w:t>
      </w:r>
      <w:r w:rsidR="004D0394">
        <w:t xml:space="preserve"> to provide an indication of </w:t>
      </w:r>
      <w:r w:rsidR="00CC4020">
        <w:t xml:space="preserve">their </w:t>
      </w:r>
      <w:r w:rsidR="004D0394">
        <w:t>current status</w:t>
      </w:r>
      <w:r w:rsidRPr="009D7CCC">
        <w:t>.</w:t>
      </w:r>
      <w:r w:rsidR="00F03115">
        <w:t xml:space="preserve"> As defeat and entrapment have been shown to predict psychopathology, they may act as a barrier to progress in therapeutic settings</w:t>
      </w:r>
      <w:r w:rsidR="003D33A9">
        <w:t xml:space="preserve"> (Taylor et al., 2011</w:t>
      </w:r>
      <w:r w:rsidR="000F0950">
        <w:t>a</w:t>
      </w:r>
      <w:r w:rsidR="003D33A9">
        <w:t xml:space="preserve">). </w:t>
      </w:r>
      <w:r w:rsidR="00587FF6">
        <w:t>The scale developed in the current study</w:t>
      </w:r>
      <w:r w:rsidRPr="009D7CCC">
        <w:t xml:space="preserve"> contains eight items and therefore increases the feasibility of defeat and entrapment being measured on a session-by-session basis in therap</w:t>
      </w:r>
      <w:r w:rsidR="004D1C2B">
        <w:t>eutic</w:t>
      </w:r>
      <w:r w:rsidRPr="009D7CCC">
        <w:t xml:space="preserve"> settings</w:t>
      </w:r>
      <w:r w:rsidR="00D33115">
        <w:t xml:space="preserve">. </w:t>
      </w:r>
      <w:r w:rsidRPr="009D7CCC">
        <w:t>This would help therapists to identify patients exp</w:t>
      </w:r>
      <w:r w:rsidR="00FC6662">
        <w:t>eriencing defeat and entrapment</w:t>
      </w:r>
      <w:r w:rsidRPr="009D7CCC">
        <w:t xml:space="preserve"> and incorporate these factors into their clinical assessment and case </w:t>
      </w:r>
      <w:r w:rsidRPr="009D7CCC">
        <w:lastRenderedPageBreak/>
        <w:t xml:space="preserve">formulations for treatment (Tarrier, 2006). </w:t>
      </w:r>
      <w:r w:rsidR="00AC11B9">
        <w:t xml:space="preserve">For example, </w:t>
      </w:r>
      <w:r w:rsidR="00B4389B">
        <w:t>emphasizing</w:t>
      </w:r>
      <w:r w:rsidR="005636DD">
        <w:t xml:space="preserve"> to patients that their </w:t>
      </w:r>
      <w:r w:rsidR="00AC11B9">
        <w:t xml:space="preserve">mental health problems </w:t>
      </w:r>
      <w:r w:rsidR="005636DD">
        <w:t>can be</w:t>
      </w:r>
      <w:r w:rsidR="00AC11B9">
        <w:t xml:space="preserve"> </w:t>
      </w:r>
      <w:r w:rsidR="00B4389B">
        <w:t>conceptualized</w:t>
      </w:r>
      <w:r w:rsidR="00AC11B9">
        <w:t xml:space="preserve"> as a </w:t>
      </w:r>
      <w:r w:rsidR="00A94CCC">
        <w:t xml:space="preserve">reasonable </w:t>
      </w:r>
      <w:r w:rsidR="00AC11B9">
        <w:t>response to feelings of defeat and e</w:t>
      </w:r>
      <w:r w:rsidR="00FC6662">
        <w:t>ntrapment (Taylor et al., 2011</w:t>
      </w:r>
      <w:r w:rsidR="000F0950">
        <w:t>a</w:t>
      </w:r>
      <w:r w:rsidR="00FC6662">
        <w:t>)</w:t>
      </w:r>
      <w:r w:rsidR="00AC11B9">
        <w:t xml:space="preserve"> and using cognitive-</w:t>
      </w:r>
      <w:r w:rsidR="0052506E">
        <w:t>behavioral</w:t>
      </w:r>
      <w:r w:rsidR="00AC11B9">
        <w:t xml:space="preserve"> techniques</w:t>
      </w:r>
      <w:r w:rsidR="005636DD">
        <w:t xml:space="preserve"> to modify</w:t>
      </w:r>
      <w:r w:rsidR="00AC11B9">
        <w:t xml:space="preserve"> in</w:t>
      </w:r>
      <w:r w:rsidR="005636DD">
        <w:t>dividuals’ appraisals</w:t>
      </w:r>
      <w:r w:rsidR="00266AA3">
        <w:t xml:space="preserve"> of situations</w:t>
      </w:r>
      <w:r w:rsidR="005636DD">
        <w:t xml:space="preserve"> could</w:t>
      </w:r>
      <w:r w:rsidR="00AC11B9">
        <w:t xml:space="preserve"> reduce their sensitivity towards defeat signals (Johnson et al., 2008</w:t>
      </w:r>
      <w:r w:rsidR="00266AA3">
        <w:t>; Swallow, 2000</w:t>
      </w:r>
      <w:r w:rsidR="00AC11B9">
        <w:t>).</w:t>
      </w:r>
      <w:r w:rsidRPr="009D7CCC">
        <w:t xml:space="preserve"> Therefore increased </w:t>
      </w:r>
      <w:r w:rsidR="005636DD">
        <w:t>awareness of</w:t>
      </w:r>
      <w:r w:rsidRPr="009D7CCC">
        <w:t xml:space="preserve"> defeat and entrapment within therapy settings</w:t>
      </w:r>
      <w:r w:rsidR="00DF1972">
        <w:t xml:space="preserve"> and</w:t>
      </w:r>
      <w:r w:rsidR="00386A03">
        <w:t xml:space="preserve"> </w:t>
      </w:r>
      <w:r w:rsidR="00B4389B">
        <w:t>emphasizing</w:t>
      </w:r>
      <w:r w:rsidR="00386A03">
        <w:t xml:space="preserve"> to individuals the resilience they have </w:t>
      </w:r>
      <w:r w:rsidR="00DF1972">
        <w:t>shown through regular measurement of these factors, could improve client well-being</w:t>
      </w:r>
      <w:r w:rsidR="00386A03">
        <w:t xml:space="preserve"> (Taylor et al., 2011</w:t>
      </w:r>
      <w:r w:rsidR="000F0950">
        <w:t>a</w:t>
      </w:r>
      <w:r w:rsidR="00DF1972">
        <w:t>).</w:t>
      </w:r>
      <w:r w:rsidR="00065A6B">
        <w:br/>
        <w:t xml:space="preserve"> </w:t>
      </w:r>
      <w:r w:rsidR="00065A6B">
        <w:tab/>
      </w:r>
      <w:r w:rsidR="00225800">
        <w:tab/>
      </w:r>
      <w:r w:rsidR="00065A6B">
        <w:t xml:space="preserve">However, whilst the SDES could help to identify patients </w:t>
      </w:r>
      <w:r w:rsidR="00895D95">
        <w:t xml:space="preserve">who are experiencing perceptions of defeat and entrapment, and also measure how these change over time, there are certain situations where use of this scale may not be appropriate. </w:t>
      </w:r>
      <w:r w:rsidR="00895D95" w:rsidRPr="00895D95">
        <w:t xml:space="preserve">In situations where perceptions of defeat and entrapment </w:t>
      </w:r>
      <w:r w:rsidR="00895D95">
        <w:t xml:space="preserve">are particularly pertinent and are causing distress to the patient, we would advise use of the original scales in order to gain a </w:t>
      </w:r>
      <w:r w:rsidR="003419D0">
        <w:t xml:space="preserve">more </w:t>
      </w:r>
      <w:r w:rsidR="00895D95">
        <w:t>thorough understanding of the origin and maintenance of these perceptions</w:t>
      </w:r>
      <w:r w:rsidR="0061654C">
        <w:t>, to focus on these within therapeutic interventions</w:t>
      </w:r>
      <w:r w:rsidR="00895D95">
        <w:t>.</w:t>
      </w:r>
      <w:r w:rsidR="003419D0">
        <w:t xml:space="preserve"> </w:t>
      </w:r>
      <w:r w:rsidR="00355148">
        <w:br/>
        <w:t xml:space="preserve"> </w:t>
      </w:r>
      <w:r w:rsidR="00355148">
        <w:tab/>
      </w:r>
      <w:r w:rsidR="00225800">
        <w:tab/>
      </w:r>
      <w:r w:rsidR="00355148">
        <w:t xml:space="preserve">Additionally, existing literature suggests that there are some personality styles, </w:t>
      </w:r>
      <w:r w:rsidR="00431918">
        <w:t>(</w:t>
      </w:r>
      <w:r w:rsidR="00355148">
        <w:t xml:space="preserve">namely self-critical, perfectionistic, and neurotic) </w:t>
      </w:r>
      <w:r w:rsidR="00043C8B">
        <w:t xml:space="preserve">with </w:t>
      </w:r>
      <w:r w:rsidR="00BC1674">
        <w:t>which</w:t>
      </w:r>
      <w:r w:rsidR="00355148">
        <w:t xml:space="preserve"> </w:t>
      </w:r>
      <w:r w:rsidR="000338F7">
        <w:t>clients would</w:t>
      </w:r>
      <w:r w:rsidR="00905062">
        <w:t xml:space="preserve"> be expected to</w:t>
      </w:r>
      <w:r w:rsidR="000338F7">
        <w:t xml:space="preserve"> frequently present to</w:t>
      </w:r>
      <w:r w:rsidR="00682EEA">
        <w:t xml:space="preserve"> their therapists</w:t>
      </w:r>
      <w:r w:rsidR="00823C84">
        <w:t>. This is relevant for therapists for two reasons. Firstly, such personality styles have been associated with the experience of depression (e.g. Blatt, 2008) and secondly these personality styles</w:t>
      </w:r>
      <w:r w:rsidR="00FC4CD1">
        <w:t xml:space="preserve"> may leave such clients more vulnerable to experiencing</w:t>
      </w:r>
      <w:r w:rsidR="009A41B4">
        <w:t xml:space="preserve"> and generating</w:t>
      </w:r>
      <w:r w:rsidR="00FC4CD1">
        <w:t xml:space="preserve"> perceptions of defeat and entrapment</w:t>
      </w:r>
      <w:r w:rsidR="009A41B4">
        <w:t xml:space="preserve"> (Sturman, Rose, McKeighan, Burch, &amp; Evanico, in press)</w:t>
      </w:r>
      <w:r w:rsidR="00D41B86">
        <w:t>.</w:t>
      </w:r>
      <w:r w:rsidR="005D7D62">
        <w:t xml:space="preserve"> It has specifically been noted that self-criticism interacts with negative life events to predict depressive symptoms developing (Blatt &amp; Zuroff, 1992). Supporting this, </w:t>
      </w:r>
      <w:r w:rsidR="00991655">
        <w:t>research has demonstrated that involuntary subordination, of which combined defeat and entrapment is a component, mediates the relationship between self-criticism and depression (Sturman &amp; Mongrain, 2005)</w:t>
      </w:r>
      <w:r w:rsidR="00706B2F">
        <w:t>.</w:t>
      </w:r>
      <w:r w:rsidR="002F4F1D">
        <w:t xml:space="preserve"> Furthermore, </w:t>
      </w:r>
      <w:r w:rsidR="00E2652F">
        <w:t>self-criticism has been shown to predict a higher number of defeat related events</w:t>
      </w:r>
      <w:r w:rsidR="00462D47">
        <w:t xml:space="preserve"> and depressive symptoms</w:t>
      </w:r>
      <w:r w:rsidR="00E2652F">
        <w:t xml:space="preserve"> at a second time point seven weeks later (Sturman et al., in press), suggesting that self-criticism directly impacts on perceptions of defeat</w:t>
      </w:r>
      <w:r w:rsidR="00F4475B">
        <w:t xml:space="preserve"> </w:t>
      </w:r>
      <w:r w:rsidR="00F4475B">
        <w:lastRenderedPageBreak/>
        <w:t>and the experience of depression</w:t>
      </w:r>
      <w:r w:rsidR="00E2652F">
        <w:t>.</w:t>
      </w:r>
      <w:r w:rsidR="00431918">
        <w:t xml:space="preserve"> </w:t>
      </w:r>
      <w:r w:rsidR="00C27814">
        <w:t>Perfectionism</w:t>
      </w:r>
      <w:r w:rsidR="002F4F1D">
        <w:t xml:space="preserve"> is</w:t>
      </w:r>
      <w:r w:rsidR="00431918">
        <w:t xml:space="preserve"> also</w:t>
      </w:r>
      <w:r w:rsidR="002F4F1D">
        <w:t xml:space="preserve"> known to impact on individuals’ judgments of defeat and entrapment, and is implicated in the risk of suicidal behaviour (O’Connor et al., 2007). </w:t>
      </w:r>
      <w:r w:rsidR="0052616C">
        <w:t>Perfectionism has also been shown to mediate the relationship between</w:t>
      </w:r>
      <w:r w:rsidR="00E2652F">
        <w:t xml:space="preserve"> social rank status (including measures of defeat and entrapment) and anorexic symptoms, within a sample of individuals with eating disorders (Troop &amp; Baker, 2008).</w:t>
      </w:r>
      <w:r w:rsidR="00BC1674">
        <w:t xml:space="preserve"> </w:t>
      </w:r>
      <w:r w:rsidR="009D6909">
        <w:t xml:space="preserve">One potential implication of the influence of personality styles on perceptions of defeat and entrapment is that clinicians could focus on the way in which </w:t>
      </w:r>
      <w:r w:rsidR="00C45640">
        <w:t>these perceptions are generated and dealt with by clients (Sturman et al., 2014</w:t>
      </w:r>
      <w:r w:rsidR="00042E17">
        <w:t>). Regular measurement of perceptions of defeat and entrapment could help clinicians to identify which specific personality characteristics may be influencing clients’ perceptions and mental health.</w:t>
      </w:r>
    </w:p>
    <w:p w14:paraId="40F09220" w14:textId="43A7E2C9" w:rsidR="00BD76D3" w:rsidRDefault="007F63E5" w:rsidP="00BD76D3">
      <w:pPr>
        <w:pStyle w:val="ListParagraph"/>
        <w:spacing w:line="480" w:lineRule="auto"/>
        <w:ind w:left="-851"/>
      </w:pPr>
      <w:r>
        <w:tab/>
      </w:r>
      <w:r w:rsidR="00225800">
        <w:tab/>
      </w:r>
      <w:r w:rsidR="001401AA">
        <w:t>However there</w:t>
      </w:r>
      <w:r>
        <w:t xml:space="preserve"> are</w:t>
      </w:r>
      <w:r w:rsidR="001A362E">
        <w:t xml:space="preserve"> two important</w:t>
      </w:r>
      <w:r>
        <w:t xml:space="preserve"> limitations </w:t>
      </w:r>
      <w:r w:rsidR="001401AA">
        <w:t xml:space="preserve">associated with the development of this scale. Firstly, </w:t>
      </w:r>
      <w:r w:rsidR="00370450">
        <w:t xml:space="preserve">a CFA demonstrated that </w:t>
      </w:r>
      <w:r w:rsidR="00002319">
        <w:t>a single-factor solution was not a good fit for the model on all fit indices</w:t>
      </w:r>
      <w:r w:rsidR="00370450">
        <w:t xml:space="preserve">. Although, as the factor loadings </w:t>
      </w:r>
      <w:r w:rsidR="00370450">
        <w:rPr>
          <w:lang w:eastAsia="en-GB"/>
        </w:rPr>
        <w:t xml:space="preserve">were </w:t>
      </w:r>
      <w:r w:rsidR="00370450" w:rsidRPr="006722A8">
        <w:rPr>
          <w:lang w:eastAsia="en-GB"/>
        </w:rPr>
        <w:t>consistently above .40</w:t>
      </w:r>
      <w:r w:rsidR="00370450">
        <w:rPr>
          <w:lang w:eastAsia="en-GB"/>
        </w:rPr>
        <w:t xml:space="preserve">, representing a reasonable loading on a factor (Velicer et al., 1982) and the structure was supported across the samples, this highlights </w:t>
      </w:r>
      <w:r w:rsidR="00D525C3">
        <w:rPr>
          <w:lang w:eastAsia="en-GB"/>
        </w:rPr>
        <w:t>the need for the scale</w:t>
      </w:r>
      <w:r w:rsidR="009D07FB">
        <w:rPr>
          <w:lang w:eastAsia="en-GB"/>
        </w:rPr>
        <w:t xml:space="preserve"> to be validated within different populations</w:t>
      </w:r>
      <w:r w:rsidR="007C2676">
        <w:rPr>
          <w:lang w:eastAsia="en-GB"/>
        </w:rPr>
        <w:t xml:space="preserve">. </w:t>
      </w:r>
      <w:r w:rsidR="007241CE">
        <w:rPr>
          <w:lang w:eastAsia="en-GB"/>
        </w:rPr>
        <w:t xml:space="preserve">Secondly, although samples were selected to represent clinical and non-clinical populations, </w:t>
      </w:r>
      <w:r w:rsidR="00E424EE">
        <w:rPr>
          <w:lang w:eastAsia="en-GB"/>
        </w:rPr>
        <w:t xml:space="preserve">the scale needs further validation amongst </w:t>
      </w:r>
      <w:r w:rsidR="00265C4F">
        <w:rPr>
          <w:lang w:eastAsia="en-GB"/>
        </w:rPr>
        <w:t>individuals</w:t>
      </w:r>
      <w:r w:rsidR="00E424EE">
        <w:rPr>
          <w:lang w:eastAsia="en-GB"/>
        </w:rPr>
        <w:t xml:space="preserve"> experiencing symptoms and disorders that defeat and entrapment have specifically linked to, for example individuals with depression and anxiety (e.g. Gilbert &amp; Allan, 1998; Griffiths et al</w:t>
      </w:r>
      <w:r w:rsidR="000122E4">
        <w:rPr>
          <w:lang w:eastAsia="en-GB"/>
        </w:rPr>
        <w:t>., 2014</w:t>
      </w:r>
      <w:r w:rsidR="00E424EE">
        <w:rPr>
          <w:lang w:eastAsia="en-GB"/>
        </w:rPr>
        <w:t>).</w:t>
      </w:r>
      <w:r w:rsidR="00137DFF">
        <w:rPr>
          <w:lang w:eastAsia="en-GB"/>
        </w:rPr>
        <w:t xml:space="preserve"> </w:t>
      </w:r>
      <w:r w:rsidR="00F01459">
        <w:rPr>
          <w:lang w:eastAsia="en-GB"/>
        </w:rPr>
        <w:t>Additionally</w:t>
      </w:r>
      <w:r w:rsidR="00F01459" w:rsidRPr="00F45CCC">
        <w:rPr>
          <w:lang w:eastAsia="en-GB"/>
        </w:rPr>
        <w:t xml:space="preserve">, </w:t>
      </w:r>
      <w:r w:rsidR="00F45CCC">
        <w:rPr>
          <w:lang w:eastAsia="en-GB"/>
        </w:rPr>
        <w:t>w</w:t>
      </w:r>
      <w:r w:rsidR="00F45CCC" w:rsidRPr="00F45CCC">
        <w:rPr>
          <w:lang w:eastAsia="en-GB"/>
        </w:rPr>
        <w:t xml:space="preserve">ithin this study, we did not assess the presence of comorbid disorders. We acknowledge that this limits our ability to fully describe the samples, </w:t>
      </w:r>
      <w:r w:rsidR="00F45CCC" w:rsidRPr="00F45CCC">
        <w:t>however as we recruited individuals to these samples to represent participants commonly seen in clinical practice, where co-occurrence is the norm,</w:t>
      </w:r>
      <w:r w:rsidR="00F45CCC">
        <w:t xml:space="preserve"> </w:t>
      </w:r>
      <w:r w:rsidR="00F45CCC" w:rsidRPr="00F45CCC">
        <w:t>the presence of comorbid diagnoses would not affect the abilities of participants to be</w:t>
      </w:r>
      <w:r w:rsidR="00F45CCC">
        <w:t xml:space="preserve"> eligible for or</w:t>
      </w:r>
      <w:r w:rsidR="00F45CCC" w:rsidRPr="00F45CCC">
        <w:t xml:space="preserve"> included within the study.</w:t>
      </w:r>
      <w:r w:rsidR="00F45CCC">
        <w:t xml:space="preserve"> </w:t>
      </w:r>
      <w:r w:rsidR="00F01459" w:rsidRPr="00F45CCC">
        <w:rPr>
          <w:lang w:eastAsia="en-GB"/>
        </w:rPr>
        <w:t>Future research that aims to validate the</w:t>
      </w:r>
      <w:r w:rsidR="00F01459">
        <w:rPr>
          <w:lang w:eastAsia="en-GB"/>
        </w:rPr>
        <w:t xml:space="preserve"> SDES in different populations should ensure that comorbid disorders are appropriately identified.</w:t>
      </w:r>
    </w:p>
    <w:p w14:paraId="5C765DF7" w14:textId="425A5DC0" w:rsidR="00DF0B0D" w:rsidRDefault="002F5560" w:rsidP="00225800">
      <w:pPr>
        <w:pStyle w:val="ListParagraph"/>
        <w:spacing w:line="480" w:lineRule="auto"/>
        <w:ind w:left="-851"/>
        <w:sectPr w:rsidR="00DF0B0D" w:rsidSect="00225800">
          <w:headerReference w:type="even" r:id="rId8"/>
          <w:headerReference w:type="default" r:id="rId9"/>
          <w:footerReference w:type="default" r:id="rId10"/>
          <w:pgSz w:w="11906" w:h="16838" w:code="9"/>
          <w:pgMar w:top="1021" w:right="1133" w:bottom="1021" w:left="851" w:header="510" w:footer="510" w:gutter="1418"/>
          <w:cols w:space="708"/>
          <w:titlePg/>
          <w:docGrid w:linePitch="360"/>
        </w:sectPr>
      </w:pPr>
      <w:r>
        <w:rPr>
          <w:lang w:eastAsia="en-GB"/>
        </w:rPr>
        <w:lastRenderedPageBreak/>
        <w:t xml:space="preserve"> </w:t>
      </w:r>
      <w:r>
        <w:rPr>
          <w:lang w:eastAsia="en-GB"/>
        </w:rPr>
        <w:tab/>
      </w:r>
      <w:r>
        <w:rPr>
          <w:lang w:eastAsia="en-GB"/>
        </w:rPr>
        <w:tab/>
      </w:r>
      <w:r w:rsidR="003419D0">
        <w:rPr>
          <w:lang w:eastAsia="en-GB"/>
        </w:rPr>
        <w:t xml:space="preserve">Furthermore, </w:t>
      </w:r>
      <w:r w:rsidR="003419D0">
        <w:t>whilst</w:t>
      </w:r>
      <w:r w:rsidR="003419D0" w:rsidRPr="009E2EB6">
        <w:t xml:space="preserve"> </w:t>
      </w:r>
      <w:r w:rsidR="003419D0">
        <w:t>defeat and entrapment can be measured</w:t>
      </w:r>
      <w:r w:rsidR="003419D0" w:rsidRPr="009E2EB6">
        <w:t xml:space="preserve"> together</w:t>
      </w:r>
      <w:r w:rsidR="003419D0">
        <w:t>,</w:t>
      </w:r>
      <w:r w:rsidR="003419D0" w:rsidRPr="009E2EB6">
        <w:t xml:space="preserve"> </w:t>
      </w:r>
      <w:r w:rsidR="003419D0">
        <w:t>and evidence has shown that for depression, anxiety and PTSD</w:t>
      </w:r>
      <w:r w:rsidR="00F170D8">
        <w:t xml:space="preserve"> this is an effective form of measurement, there are many existing mental health problems that defeat and entrapment have not yet been examined in relation to. </w:t>
      </w:r>
      <w:r w:rsidR="00B118B3">
        <w:t xml:space="preserve">Further research is needed to establish </w:t>
      </w:r>
      <w:r w:rsidR="009B6CFE">
        <w:t xml:space="preserve">the relationship between defeat and entrapment and mental health problems such as bipolar disorder. Additionally, as there is a lack of current evidence of interventions that aim to specifically target defeat and entrapment, it is possible that they </w:t>
      </w:r>
      <w:r w:rsidR="009B6CFE" w:rsidRPr="009E2EB6">
        <w:t>may require different interventions</w:t>
      </w:r>
      <w:r w:rsidR="009B6CFE">
        <w:t xml:space="preserve"> for the treatment of mental health problems. The evaluation of the delivery of such interventions would help to establish the optimal way of focusing on defeat and entrapment in the treatment of mental health problems.</w:t>
      </w:r>
      <w:r w:rsidR="002300AC">
        <w:br/>
        <w:t xml:space="preserve"> </w:t>
      </w:r>
      <w:r w:rsidR="002300AC">
        <w:tab/>
      </w:r>
      <w:r w:rsidR="002300AC">
        <w:tab/>
        <w:t xml:space="preserve">Future research should establish how distinct defeat and entrapment are </w:t>
      </w:r>
      <w:r w:rsidR="002300AC" w:rsidRPr="00847BB9">
        <w:t>from</w:t>
      </w:r>
      <w:r w:rsidR="002300AC">
        <w:t xml:space="preserve"> a</w:t>
      </w:r>
      <w:r w:rsidR="002300AC" w:rsidRPr="00847BB9">
        <w:t xml:space="preserve"> measure of negative affect</w:t>
      </w:r>
      <w:r w:rsidR="002300AC">
        <w:t xml:space="preserve">. As defeat and entrapment have been shown to relate to depression (e.g. </w:t>
      </w:r>
      <w:r w:rsidR="00077165">
        <w:t>Gilbert &amp; Allan, 1998; Griffiths et al., 2014), it would be expected that there would be some overlap between these constructs, however this is yet to be examined.</w:t>
      </w:r>
      <w:r w:rsidR="002300AC">
        <w:t xml:space="preserve"> </w:t>
      </w:r>
      <w:r w:rsidR="00077165">
        <w:t>Furthermore, there may be some</w:t>
      </w:r>
      <w:r w:rsidR="0052716E">
        <w:t xml:space="preserve"> specific</w:t>
      </w:r>
      <w:r w:rsidR="00077165">
        <w:t xml:space="preserve"> situations in which individuals feel defeated but not entrapped. Gilbert and Allan (1998) suggested that being defeated but not entrapped is less problematic than experiencing perceptions of both concurrently.</w:t>
      </w:r>
      <w:r w:rsidR="00011D7A">
        <w:t xml:space="preserve"> This is supported by suggestions that i</w:t>
      </w:r>
      <w:r w:rsidR="005808A4">
        <w:t>ndividuals who experience a defeat situation may not necessarily become entrapped</w:t>
      </w:r>
      <w:r w:rsidR="00011D7A">
        <w:t xml:space="preserve">, for example, </w:t>
      </w:r>
      <w:r w:rsidR="00907460">
        <w:t>individuals who experience a major financial loss.</w:t>
      </w:r>
      <w:r w:rsidR="0085183F">
        <w:t xml:space="preserve"> This is</w:t>
      </w:r>
      <w:r w:rsidR="00011D7A">
        <w:t xml:space="preserve"> further</w:t>
      </w:r>
      <w:r w:rsidR="0085183F">
        <w:t xml:space="preserve"> supported by evidence from individuals with psychosis that when there is recovery </w:t>
      </w:r>
      <w:r w:rsidR="00011D7A">
        <w:t xml:space="preserve">of symptoms, which would suggest that they no longer feel entrapped by their illness, their negative appraisals do not also recover (Upthegrove, Ross, Brunet, McCollum, &amp; Jones, 2014). </w:t>
      </w:r>
      <w:r w:rsidR="005808A4">
        <w:t>However, these are specific situations and it is thought for the majority of individuals, defeat and entrapment occur concurrently and are best defined as a single construct (e.g. Taylor et al., 2009).</w:t>
      </w:r>
      <w:r w:rsidR="001A4AB0">
        <w:t xml:space="preserve"> </w:t>
      </w:r>
      <w:r w:rsidR="001A4AB0" w:rsidRPr="001A4AB0">
        <w:t>This was supported by our EFA and CFA, which demonstrated that there was a robust single factor underlying the scale, showing strong empirical evidence that amongst the diverse samples within this study, defeat and entrapment co-occurred.</w:t>
      </w:r>
      <w:r w:rsidR="00832506">
        <w:br/>
        <w:t xml:space="preserve"> </w:t>
      </w:r>
      <w:r w:rsidR="00832506">
        <w:tab/>
      </w:r>
      <w:r w:rsidR="00832506">
        <w:tab/>
      </w:r>
      <w:r w:rsidR="00BD20F9">
        <w:t>The current research suggested that</w:t>
      </w:r>
      <w:r w:rsidR="00832506" w:rsidRPr="00832506">
        <w:t xml:space="preserve"> defeat and entrapment operate as a single construct </w:t>
      </w:r>
      <w:r w:rsidR="00832506" w:rsidRPr="00832506">
        <w:lastRenderedPageBreak/>
        <w:t xml:space="preserve">in the prediction of mental health problems. However, less is currently known about how the relationship between defeat and entrapment develops and changes over time. Specifically, it is unknown whether there are any situations in which defeat and entrapment may </w:t>
      </w:r>
      <w:r w:rsidR="00832506">
        <w:t xml:space="preserve">underlie and </w:t>
      </w:r>
      <w:r w:rsidR="00832506" w:rsidRPr="00832506">
        <w:t>lead to different outcomes, rather than operating as a single construct. This issue could be addressed by future research. An experience sampling design could look at individuals’ shifts in perceptions of both defeat and entrapment in response to specific stressors, identifying whether changes in defeat and entrapment co</w:t>
      </w:r>
      <w:r w:rsidR="00832506">
        <w:t>-</w:t>
      </w:r>
      <w:r w:rsidR="00832506" w:rsidRPr="00832506">
        <w:t>vary. If these perceptions were shown to change at different rates, or over different periods of time, this may provide evidence of two overlapping but distinct constructs. However, if these perceptions were shown to change at the same rate, this would serve to strengthen the evidence for defeat and entrapment being concep</w:t>
      </w:r>
      <w:r w:rsidR="00832506">
        <w:t>tualized as a single construct.</w:t>
      </w:r>
      <w:r w:rsidR="00225800">
        <w:br/>
        <w:t xml:space="preserve"> </w:t>
      </w:r>
      <w:r w:rsidR="00225800">
        <w:tab/>
      </w:r>
      <w:r w:rsidR="00354031">
        <w:tab/>
      </w:r>
      <w:r w:rsidR="00DF0B0D">
        <w:t>In conclusion, this initial test of the validity and reliability of the</w:t>
      </w:r>
      <w:r w:rsidR="00DF0B0D" w:rsidRPr="009D7CCC">
        <w:t xml:space="preserve"> </w:t>
      </w:r>
      <w:r w:rsidR="00DF0B0D">
        <w:t>SDES</w:t>
      </w:r>
      <w:r w:rsidR="00DF0B0D" w:rsidRPr="009D7CCC">
        <w:t xml:space="preserve"> </w:t>
      </w:r>
      <w:r w:rsidR="00DF0B0D">
        <w:t xml:space="preserve">suggests that the scale </w:t>
      </w:r>
      <w:r w:rsidR="00DF0B0D" w:rsidRPr="009D7CCC">
        <w:t>effectively meas</w:t>
      </w:r>
      <w:r w:rsidR="00DF0B0D">
        <w:t>ures defeat and entrapment within</w:t>
      </w:r>
      <w:r w:rsidR="008F6943">
        <w:t xml:space="preserve"> samples recruited from</w:t>
      </w:r>
      <w:r w:rsidR="00DF0B0D">
        <w:t xml:space="preserve"> clinical and community populations. This scale is quick for practitioners to administer and score and also less of a burden for </w:t>
      </w:r>
      <w:r w:rsidR="008F6943">
        <w:t xml:space="preserve">participants </w:t>
      </w:r>
      <w:r w:rsidR="00DF0B0D">
        <w:t xml:space="preserve">to complete in comparison to the original scales in terms of time and effort. </w:t>
      </w:r>
      <w:r w:rsidR="00043C8B" w:rsidRPr="0067650C">
        <w:t>The scale demonstrated concurrent and divergent validity, test-retest reliability and incremental validity with the specific criteria used in this study, consistently across several samples, specifically a sample of formal caregivers, a community sample, a sample of individuals diagnosed with PTSD and a sample of mental health services users with psychosis. As defeat and entrapment are reliable predictors of t</w:t>
      </w:r>
      <w:r w:rsidR="00B971F6">
        <w:t>he experience of mental health problems</w:t>
      </w:r>
      <w:r w:rsidR="00043C8B" w:rsidRPr="0067650C">
        <w:t>, it is hoped the development of this scale will lead to their regular measurement in therapeutic settings and the greater use of validated scales within defeat and entrapment research whe</w:t>
      </w:r>
      <w:r w:rsidR="00043C8B">
        <w:t>re response burden is</w:t>
      </w:r>
      <w:r w:rsidR="00A3346C">
        <w:t xml:space="preserve"> currently</w:t>
      </w:r>
      <w:r w:rsidR="00043C8B">
        <w:t xml:space="preserve"> an issue.</w:t>
      </w:r>
    </w:p>
    <w:p w14:paraId="04BF4C02" w14:textId="034F8E80" w:rsidR="005E5509" w:rsidRPr="0068161F" w:rsidRDefault="005E5509" w:rsidP="00354031">
      <w:pPr>
        <w:spacing w:after="0"/>
        <w:ind w:hanging="567"/>
        <w:rPr>
          <w:rFonts w:eastAsia="MS ??"/>
          <w:b/>
        </w:rPr>
      </w:pPr>
    </w:p>
    <w:p w14:paraId="01247309" w14:textId="77777777" w:rsidR="00354031" w:rsidRPr="0068161F" w:rsidRDefault="009F5D4A" w:rsidP="00354031">
      <w:pPr>
        <w:pStyle w:val="ListParagraph"/>
        <w:spacing w:line="480" w:lineRule="auto"/>
        <w:ind w:left="0" w:hanging="567"/>
        <w:jc w:val="center"/>
        <w:rPr>
          <w:b/>
        </w:rPr>
      </w:pPr>
      <w:r w:rsidRPr="0068161F">
        <w:rPr>
          <w:b/>
        </w:rPr>
        <w:t>References</w:t>
      </w:r>
    </w:p>
    <w:p w14:paraId="0934EE63" w14:textId="058300EA" w:rsidR="00354031" w:rsidRDefault="006E2F90" w:rsidP="00354031">
      <w:pPr>
        <w:pStyle w:val="ListParagraph"/>
        <w:spacing w:line="480" w:lineRule="auto"/>
        <w:ind w:left="142" w:hanging="567"/>
        <w:rPr>
          <w:rFonts w:ascii="Times" w:hAnsi="Times" w:cs="Times"/>
          <w:color w:val="141413"/>
          <w:lang w:eastAsia="en-GB"/>
        </w:rPr>
      </w:pPr>
      <w:r>
        <w:t xml:space="preserve">Allan, S., &amp; Gilbert, P. (1995). A social comparison scale: Psychometric properties and relationship to psychopathology. </w:t>
      </w:r>
      <w:r w:rsidRPr="006E2F90">
        <w:rPr>
          <w:rFonts w:ascii="Times" w:hAnsi="Times" w:cs="Times"/>
          <w:i/>
          <w:iCs/>
          <w:color w:val="141413"/>
          <w:lang w:eastAsia="en-GB"/>
        </w:rPr>
        <w:t xml:space="preserve">Personality and Individual Differences, 19, </w:t>
      </w:r>
      <w:r w:rsidR="00354031">
        <w:rPr>
          <w:rFonts w:ascii="Times" w:hAnsi="Times" w:cs="Times"/>
          <w:color w:val="141413"/>
          <w:lang w:eastAsia="en-GB"/>
        </w:rPr>
        <w:t>293-299.</w:t>
      </w:r>
      <w:r w:rsidR="00B771B8" w:rsidRPr="00B771B8">
        <w:rPr>
          <w:color w:val="000000" w:themeColor="text1"/>
        </w:rPr>
        <w:t xml:space="preserve"> </w:t>
      </w:r>
      <w:r w:rsidR="00B771B8" w:rsidRPr="008A7920">
        <w:rPr>
          <w:color w:val="000000" w:themeColor="text1"/>
        </w:rPr>
        <w:t>doi:10.1016/0191-8869(95)00086-L</w:t>
      </w:r>
    </w:p>
    <w:p w14:paraId="37CE44EC" w14:textId="77777777" w:rsidR="00D52565" w:rsidRDefault="00817297" w:rsidP="00D52565">
      <w:pPr>
        <w:pStyle w:val="ListParagraph"/>
        <w:spacing w:line="480" w:lineRule="auto"/>
        <w:ind w:left="142" w:hanging="567"/>
        <w:rPr>
          <w:color w:val="000000" w:themeColor="text1"/>
        </w:rPr>
      </w:pPr>
      <w:r>
        <w:t xml:space="preserve">Allan, S., &amp; Gilbert, P. (2002). Anger and anger expression in relation to perceptions of social rank, entrapment and depressive symptoms. </w:t>
      </w:r>
      <w:r w:rsidRPr="00635185">
        <w:rPr>
          <w:i/>
        </w:rPr>
        <w:t>Personality and Individual Differences, 32</w:t>
      </w:r>
      <w:r>
        <w:t xml:space="preserve">, 551–565. </w:t>
      </w:r>
      <w:r w:rsidR="00B771B8" w:rsidRPr="008A7920">
        <w:rPr>
          <w:color w:val="000000" w:themeColor="text1"/>
        </w:rPr>
        <w:t>doi: 10.1016/S0191-8869(01)00057-5</w:t>
      </w:r>
    </w:p>
    <w:p w14:paraId="7A971E1D" w14:textId="7F36E14E" w:rsidR="00D52565" w:rsidRPr="00D52565" w:rsidRDefault="00D52565" w:rsidP="00D52565">
      <w:pPr>
        <w:pStyle w:val="ListParagraph"/>
        <w:spacing w:line="480" w:lineRule="auto"/>
        <w:ind w:left="142" w:hanging="567"/>
        <w:rPr>
          <w:rStyle w:val="slug-doi"/>
          <w:color w:val="000000"/>
          <w:sz w:val="25"/>
          <w:szCs w:val="25"/>
        </w:rPr>
      </w:pPr>
      <w:r w:rsidRPr="008A7920">
        <w:t xml:space="preserve">Allison, P. D. (2000). Multiple imputation for missing data: A cautionary tale. </w:t>
      </w:r>
      <w:r w:rsidRPr="008A7920">
        <w:rPr>
          <w:i/>
        </w:rPr>
        <w:t xml:space="preserve">Sociological Methods and Research, 28, </w:t>
      </w:r>
      <w:r w:rsidRPr="008A7920">
        <w:t xml:space="preserve">301-309. doi: </w:t>
      </w:r>
      <w:r w:rsidRPr="008A7920">
        <w:rPr>
          <w:rStyle w:val="slug-doi"/>
        </w:rPr>
        <w:t>10.1177/0049124100028003003</w:t>
      </w:r>
    </w:p>
    <w:p w14:paraId="159A5C25" w14:textId="77777777" w:rsidR="00354031" w:rsidRDefault="007D3548" w:rsidP="00354031">
      <w:pPr>
        <w:pStyle w:val="ListParagraph"/>
        <w:spacing w:line="480" w:lineRule="auto"/>
        <w:ind w:left="142" w:hanging="567"/>
        <w:rPr>
          <w:color w:val="000000"/>
          <w:sz w:val="25"/>
          <w:szCs w:val="25"/>
        </w:rPr>
      </w:pPr>
      <w:r>
        <w:rPr>
          <w:color w:val="000000"/>
          <w:sz w:val="25"/>
          <w:szCs w:val="25"/>
        </w:rPr>
        <w:t xml:space="preserve">Beck, A. T., Steer, R. A., Ball, R., &amp; Ranieri, W. F. (1996). Comparison of Beck Depression Inventories IA and II in Psychiatric Outpatients. </w:t>
      </w:r>
      <w:r>
        <w:rPr>
          <w:i/>
          <w:color w:val="000000"/>
          <w:sz w:val="25"/>
          <w:szCs w:val="25"/>
        </w:rPr>
        <w:t xml:space="preserve">Journal of Personality Assessment, 67, </w:t>
      </w:r>
      <w:r>
        <w:rPr>
          <w:color w:val="000000"/>
          <w:sz w:val="25"/>
          <w:szCs w:val="25"/>
        </w:rPr>
        <w:t>588-597.</w:t>
      </w:r>
    </w:p>
    <w:p w14:paraId="057AB9BC" w14:textId="77777777" w:rsidR="00354031" w:rsidRDefault="009F5D4A" w:rsidP="00354031">
      <w:pPr>
        <w:pStyle w:val="ListParagraph"/>
        <w:spacing w:line="480" w:lineRule="auto"/>
        <w:ind w:left="142" w:hanging="567"/>
        <w:rPr>
          <w:color w:val="000000"/>
          <w:sz w:val="25"/>
          <w:szCs w:val="25"/>
        </w:rPr>
      </w:pPr>
      <w:r>
        <w:rPr>
          <w:color w:val="000000"/>
          <w:sz w:val="25"/>
          <w:szCs w:val="25"/>
        </w:rPr>
        <w:t xml:space="preserve">Beck, A. T., Ward, C. H., Mendelson, J., Mock, J., &amp; Erbaugh, J. (1961). An inventory for measuring depression. </w:t>
      </w:r>
      <w:r w:rsidRPr="00761622">
        <w:rPr>
          <w:i/>
          <w:color w:val="000000"/>
          <w:sz w:val="25"/>
          <w:szCs w:val="25"/>
        </w:rPr>
        <w:t>Archives of General Psychiatry, 4,</w:t>
      </w:r>
      <w:r>
        <w:rPr>
          <w:color w:val="000000"/>
          <w:sz w:val="25"/>
          <w:szCs w:val="25"/>
        </w:rPr>
        <w:t xml:space="preserve"> 561-571. </w:t>
      </w:r>
    </w:p>
    <w:p w14:paraId="47675600" w14:textId="77777777" w:rsidR="00354031" w:rsidRDefault="009F5D4A" w:rsidP="00354031">
      <w:pPr>
        <w:pStyle w:val="ListParagraph"/>
        <w:spacing w:line="480" w:lineRule="auto"/>
        <w:ind w:left="142" w:hanging="567"/>
        <w:rPr>
          <w:rFonts w:ascii="Times" w:hAnsi="Times" w:cs="Times"/>
          <w:color w:val="141413"/>
        </w:rPr>
      </w:pPr>
      <w:r w:rsidRPr="0095590B">
        <w:rPr>
          <w:rFonts w:ascii="Times" w:hAnsi="Times" w:cs="Times"/>
          <w:color w:val="141413"/>
        </w:rPr>
        <w:t>Beck</w:t>
      </w:r>
      <w:r>
        <w:rPr>
          <w:rFonts w:ascii="Times" w:hAnsi="Times" w:cs="Times"/>
          <w:color w:val="141413"/>
        </w:rPr>
        <w:t>,</w:t>
      </w:r>
      <w:r w:rsidRPr="0095590B">
        <w:rPr>
          <w:rFonts w:ascii="Times" w:hAnsi="Times" w:cs="Times"/>
          <w:color w:val="141413"/>
        </w:rPr>
        <w:t xml:space="preserve"> A</w:t>
      </w:r>
      <w:r>
        <w:rPr>
          <w:rFonts w:ascii="Times" w:hAnsi="Times" w:cs="Times"/>
          <w:color w:val="141413"/>
        </w:rPr>
        <w:t>.</w:t>
      </w:r>
      <w:r w:rsidRPr="0095590B">
        <w:rPr>
          <w:rFonts w:ascii="Times" w:hAnsi="Times" w:cs="Times"/>
          <w:color w:val="141413"/>
        </w:rPr>
        <w:t>T</w:t>
      </w:r>
      <w:r>
        <w:rPr>
          <w:rFonts w:ascii="Times" w:hAnsi="Times" w:cs="Times"/>
          <w:color w:val="141413"/>
        </w:rPr>
        <w:t>.</w:t>
      </w:r>
      <w:r w:rsidRPr="0095590B">
        <w:rPr>
          <w:rFonts w:ascii="Times" w:hAnsi="Times" w:cs="Times"/>
          <w:color w:val="141413"/>
        </w:rPr>
        <w:t>, Weissman</w:t>
      </w:r>
      <w:r>
        <w:rPr>
          <w:rFonts w:ascii="Times" w:hAnsi="Times" w:cs="Times"/>
          <w:color w:val="141413"/>
        </w:rPr>
        <w:t>,</w:t>
      </w:r>
      <w:r w:rsidRPr="0095590B">
        <w:rPr>
          <w:rFonts w:ascii="Times" w:hAnsi="Times" w:cs="Times"/>
          <w:color w:val="141413"/>
        </w:rPr>
        <w:t xml:space="preserve"> A</w:t>
      </w:r>
      <w:r>
        <w:rPr>
          <w:rFonts w:ascii="Times" w:hAnsi="Times" w:cs="Times"/>
          <w:color w:val="141413"/>
        </w:rPr>
        <w:t>.</w:t>
      </w:r>
      <w:r w:rsidRPr="0095590B">
        <w:rPr>
          <w:rFonts w:ascii="Times" w:hAnsi="Times" w:cs="Times"/>
          <w:color w:val="141413"/>
        </w:rPr>
        <w:t>, Lester</w:t>
      </w:r>
      <w:r>
        <w:rPr>
          <w:rFonts w:ascii="Times" w:hAnsi="Times" w:cs="Times"/>
          <w:color w:val="141413"/>
        </w:rPr>
        <w:t>,</w:t>
      </w:r>
      <w:r w:rsidRPr="0095590B">
        <w:rPr>
          <w:rFonts w:ascii="Times" w:hAnsi="Times" w:cs="Times"/>
          <w:color w:val="141413"/>
        </w:rPr>
        <w:t xml:space="preserve"> D</w:t>
      </w:r>
      <w:r>
        <w:rPr>
          <w:rFonts w:ascii="Times" w:hAnsi="Times" w:cs="Times"/>
          <w:color w:val="141413"/>
        </w:rPr>
        <w:t>.</w:t>
      </w:r>
      <w:r w:rsidRPr="0095590B">
        <w:rPr>
          <w:rFonts w:ascii="Times" w:hAnsi="Times" w:cs="Times"/>
          <w:color w:val="141413"/>
        </w:rPr>
        <w:t>,</w:t>
      </w:r>
      <w:r>
        <w:rPr>
          <w:rFonts w:ascii="Times" w:hAnsi="Times" w:cs="Times"/>
          <w:color w:val="141413"/>
        </w:rPr>
        <w:t xml:space="preserve"> &amp;</w:t>
      </w:r>
      <w:r w:rsidRPr="0095590B">
        <w:rPr>
          <w:rFonts w:ascii="Times" w:hAnsi="Times" w:cs="Times"/>
          <w:color w:val="141413"/>
        </w:rPr>
        <w:t xml:space="preserve"> Trexler</w:t>
      </w:r>
      <w:r>
        <w:rPr>
          <w:rFonts w:ascii="Times" w:hAnsi="Times" w:cs="Times"/>
          <w:color w:val="141413"/>
        </w:rPr>
        <w:t>,</w:t>
      </w:r>
      <w:r w:rsidRPr="0095590B">
        <w:rPr>
          <w:rFonts w:ascii="Times" w:hAnsi="Times" w:cs="Times"/>
          <w:color w:val="141413"/>
        </w:rPr>
        <w:t xml:space="preserve"> L</w:t>
      </w:r>
      <w:r>
        <w:rPr>
          <w:rFonts w:ascii="Times" w:hAnsi="Times" w:cs="Times"/>
          <w:color w:val="141413"/>
        </w:rPr>
        <w:t>.</w:t>
      </w:r>
      <w:r w:rsidRPr="0095590B">
        <w:rPr>
          <w:rFonts w:ascii="Times" w:hAnsi="Times" w:cs="Times"/>
          <w:color w:val="141413"/>
        </w:rPr>
        <w:t xml:space="preserve"> (1974)</w:t>
      </w:r>
      <w:r>
        <w:rPr>
          <w:rFonts w:ascii="Times" w:hAnsi="Times" w:cs="Times"/>
          <w:color w:val="141413"/>
        </w:rPr>
        <w:t>.</w:t>
      </w:r>
      <w:r w:rsidRPr="0095590B">
        <w:rPr>
          <w:rFonts w:ascii="Times" w:hAnsi="Times" w:cs="Times"/>
          <w:color w:val="141413"/>
        </w:rPr>
        <w:t xml:space="preserve"> The measurement of </w:t>
      </w:r>
      <w:r w:rsidR="00924670">
        <w:rPr>
          <w:rFonts w:ascii="Times" w:hAnsi="Times" w:cs="Times"/>
          <w:color w:val="141413"/>
        </w:rPr>
        <w:br/>
      </w:r>
      <w:r w:rsidRPr="0095590B">
        <w:rPr>
          <w:rFonts w:ascii="Times" w:hAnsi="Times" w:cs="Times"/>
          <w:color w:val="141413"/>
        </w:rPr>
        <w:t xml:space="preserve">pessimism: The Hopelessness Scale. </w:t>
      </w:r>
      <w:r w:rsidRPr="0095590B">
        <w:rPr>
          <w:rFonts w:ascii="Times" w:hAnsi="Times" w:cs="Times"/>
          <w:i/>
          <w:color w:val="141413"/>
        </w:rPr>
        <w:t xml:space="preserve">Journal of Consultant Clinical </w:t>
      </w:r>
      <w:r w:rsidR="00924670">
        <w:rPr>
          <w:rFonts w:ascii="Times" w:hAnsi="Times" w:cs="Times"/>
          <w:i/>
          <w:color w:val="141413"/>
        </w:rPr>
        <w:br/>
      </w:r>
      <w:r w:rsidRPr="0095590B">
        <w:rPr>
          <w:rFonts w:ascii="Times" w:hAnsi="Times" w:cs="Times"/>
          <w:i/>
          <w:color w:val="141413"/>
        </w:rPr>
        <w:t>Psychology, 42,</w:t>
      </w:r>
      <w:r>
        <w:rPr>
          <w:rFonts w:ascii="Times" w:hAnsi="Times" w:cs="Times"/>
          <w:color w:val="141413"/>
        </w:rPr>
        <w:t xml:space="preserve"> 861-865.</w:t>
      </w:r>
    </w:p>
    <w:p w14:paraId="6779ED01" w14:textId="626A145D" w:rsidR="00354031" w:rsidRDefault="009F5D4A" w:rsidP="00354031">
      <w:pPr>
        <w:pStyle w:val="ListParagraph"/>
        <w:spacing w:line="480" w:lineRule="auto"/>
        <w:ind w:left="142" w:hanging="567"/>
      </w:pPr>
      <w:r>
        <w:t>Bentler,</w:t>
      </w:r>
      <w:r w:rsidR="00B86A43">
        <w:t xml:space="preserve"> </w:t>
      </w:r>
      <w:r>
        <w:t xml:space="preserve">P. M. (1990). Comparative fit indexes in structural models. </w:t>
      </w:r>
      <w:r w:rsidRPr="00DA7728">
        <w:rPr>
          <w:i/>
        </w:rPr>
        <w:t xml:space="preserve">Psychological Bulletin, 107, </w:t>
      </w:r>
      <w:r>
        <w:t>238-246.</w:t>
      </w:r>
      <w:r w:rsidR="001076EE">
        <w:t xml:space="preserve"> </w:t>
      </w:r>
      <w:r w:rsidR="00B771B8" w:rsidRPr="008A7920">
        <w:t>doi: 10.1037/0033-2909.107.2.238</w:t>
      </w:r>
    </w:p>
    <w:p w14:paraId="1DCCB039" w14:textId="77777777" w:rsidR="00354031" w:rsidRDefault="009F5D4A" w:rsidP="00354031">
      <w:pPr>
        <w:pStyle w:val="ListParagraph"/>
        <w:spacing w:line="480" w:lineRule="auto"/>
        <w:ind w:left="142" w:hanging="567"/>
      </w:pPr>
      <w:r w:rsidRPr="00701D35">
        <w:t>Bentler, P.</w:t>
      </w:r>
      <w:r w:rsidR="0054503F">
        <w:t xml:space="preserve"> </w:t>
      </w:r>
      <w:r w:rsidRPr="00701D35">
        <w:t>M., &amp; Bonett, D.</w:t>
      </w:r>
      <w:r w:rsidR="0054503F">
        <w:t xml:space="preserve"> </w:t>
      </w:r>
      <w:r w:rsidRPr="00701D35">
        <w:t xml:space="preserve">G. (1980). Significance tests and goodness of fit in the </w:t>
      </w:r>
      <w:r w:rsidR="00484EF8">
        <w:br/>
      </w:r>
      <w:r w:rsidRPr="00701D35">
        <w:t xml:space="preserve">analysis of covariance structures. </w:t>
      </w:r>
      <w:r w:rsidRPr="00701D35">
        <w:rPr>
          <w:i/>
        </w:rPr>
        <w:t>Psychological Bulletin, 88</w:t>
      </w:r>
      <w:r w:rsidRPr="00701D35">
        <w:t>, 588-606.</w:t>
      </w:r>
    </w:p>
    <w:p w14:paraId="0D490518" w14:textId="77777777" w:rsidR="00354031" w:rsidRDefault="00484EF8" w:rsidP="00354031">
      <w:pPr>
        <w:pStyle w:val="ListParagraph"/>
        <w:spacing w:line="480" w:lineRule="auto"/>
        <w:ind w:left="142" w:hanging="567"/>
        <w:rPr>
          <w:i/>
        </w:rPr>
      </w:pPr>
      <w:r>
        <w:t xml:space="preserve">Bouvard, M., Charles, S., Guérin, J., Aimard, G., &amp; Cottraux, J. (1992). Study of Beck’s hopelessness scale: Validation and factor analysis. </w:t>
      </w:r>
      <w:r>
        <w:rPr>
          <w:i/>
        </w:rPr>
        <w:t xml:space="preserve">L’Encephale,18, </w:t>
      </w:r>
      <w:r>
        <w:t>237-240.</w:t>
      </w:r>
      <w:r>
        <w:rPr>
          <w:i/>
        </w:rPr>
        <w:t xml:space="preserve"> </w:t>
      </w:r>
    </w:p>
    <w:p w14:paraId="07AC3B8C" w14:textId="703C2D66" w:rsidR="00354031" w:rsidRDefault="00F24868" w:rsidP="00354031">
      <w:pPr>
        <w:pStyle w:val="ListParagraph"/>
        <w:spacing w:line="480" w:lineRule="auto"/>
        <w:ind w:left="142" w:hanging="567"/>
      </w:pPr>
      <w:r>
        <w:lastRenderedPageBreak/>
        <w:t xml:space="preserve">Bruton, A., Conway, J. H., Holgate, S. T. (2000). Reliability: what is it, and how is it </w:t>
      </w:r>
      <w:r w:rsidR="00B771B8">
        <w:br/>
        <w:t xml:space="preserve"> </w:t>
      </w:r>
      <w:r>
        <w:t xml:space="preserve">measured? </w:t>
      </w:r>
      <w:r w:rsidRPr="00F24868">
        <w:rPr>
          <w:i/>
        </w:rPr>
        <w:t>Physiotherapy, 86,</w:t>
      </w:r>
      <w:r>
        <w:t xml:space="preserve"> 94–99.</w:t>
      </w:r>
      <w:r w:rsidR="00B86A43">
        <w:t xml:space="preserve"> </w:t>
      </w:r>
      <w:r w:rsidR="00B771B8" w:rsidRPr="008A7920">
        <w:t>doi: 10.1016/S0031-9406(05)61211-4</w:t>
      </w:r>
    </w:p>
    <w:p w14:paraId="0132D26C" w14:textId="46E50D23" w:rsidR="00354031" w:rsidRDefault="00034DF6" w:rsidP="00354031">
      <w:pPr>
        <w:pStyle w:val="ListParagraph"/>
        <w:spacing w:line="480" w:lineRule="auto"/>
        <w:ind w:left="142" w:hanging="567"/>
      </w:pPr>
      <w:r>
        <w:t xml:space="preserve">Byrne, B. M. (2001). </w:t>
      </w:r>
      <w:r w:rsidRPr="00C515EA">
        <w:rPr>
          <w:i/>
        </w:rPr>
        <w:t xml:space="preserve">Structural Equation Modeling with AMOS: Basic concepts, </w:t>
      </w:r>
      <w:r w:rsidR="00B771B8">
        <w:rPr>
          <w:i/>
        </w:rPr>
        <w:br/>
        <w:t xml:space="preserve"> </w:t>
      </w:r>
      <w:r w:rsidRPr="00C515EA">
        <w:rPr>
          <w:i/>
        </w:rPr>
        <w:t>applications and programming.</w:t>
      </w:r>
      <w:r>
        <w:t xml:space="preserve"> </w:t>
      </w:r>
      <w:r w:rsidR="00C515EA">
        <w:t>Lawrence Erlbaum Associates: Hillsdale, NJ.</w:t>
      </w:r>
    </w:p>
    <w:p w14:paraId="730C6640" w14:textId="3342B59B" w:rsidR="00354031" w:rsidRDefault="00BD49C9" w:rsidP="00354031">
      <w:pPr>
        <w:pStyle w:val="ListParagraph"/>
        <w:spacing w:line="480" w:lineRule="auto"/>
        <w:ind w:left="142" w:hanging="567"/>
        <w:rPr>
          <w:lang w:eastAsia="en-GB"/>
        </w:rPr>
      </w:pPr>
      <w:r>
        <w:rPr>
          <w:lang w:eastAsia="en-GB"/>
        </w:rPr>
        <w:t>Byrne, B. M. (2004). Structural Equation Modelling wi</w:t>
      </w:r>
      <w:r w:rsidR="00B771B8">
        <w:rPr>
          <w:lang w:eastAsia="en-GB"/>
        </w:rPr>
        <w:t xml:space="preserve">th AMOS, EQS, and LISREL: </w:t>
      </w:r>
      <w:r>
        <w:rPr>
          <w:lang w:eastAsia="en-GB"/>
        </w:rPr>
        <w:t xml:space="preserve">Comparative approaches to testing for the factorial validity of a measuring </w:t>
      </w:r>
      <w:r>
        <w:rPr>
          <w:rFonts w:ascii="Lucida Grande" w:hAnsi="Lucida Grande" w:cs="Lucida Grande"/>
          <w:lang w:eastAsia="en-GB"/>
        </w:rPr>
        <w:t> </w:t>
      </w:r>
      <w:r w:rsidR="00B771B8">
        <w:rPr>
          <w:lang w:eastAsia="en-GB"/>
        </w:rPr>
        <w:t xml:space="preserve"> </w:t>
      </w:r>
      <w:r>
        <w:rPr>
          <w:lang w:eastAsia="en-GB"/>
        </w:rPr>
        <w:t xml:space="preserve">instrument. </w:t>
      </w:r>
      <w:r>
        <w:rPr>
          <w:i/>
          <w:iCs/>
          <w:lang w:eastAsia="en-GB"/>
        </w:rPr>
        <w:t>International Journal of Testing, 1,</w:t>
      </w:r>
      <w:r>
        <w:rPr>
          <w:lang w:eastAsia="en-GB"/>
        </w:rPr>
        <w:t xml:space="preserve"> 55-86.</w:t>
      </w:r>
      <w:r w:rsidR="00B771B8" w:rsidRPr="00B771B8">
        <w:t xml:space="preserve"> </w:t>
      </w:r>
      <w:r w:rsidR="00B771B8" w:rsidRPr="008A7920">
        <w:t>doi: 10.1207/S15327574IJT0101_4</w:t>
      </w:r>
    </w:p>
    <w:p w14:paraId="424CD53C" w14:textId="77777777" w:rsidR="00354031" w:rsidRDefault="009F5D4A" w:rsidP="00354031">
      <w:pPr>
        <w:pStyle w:val="ListParagraph"/>
        <w:spacing w:line="480" w:lineRule="auto"/>
        <w:ind w:left="142" w:hanging="567"/>
      </w:pPr>
      <w:r>
        <w:t xml:space="preserve">Cattell, R. B. (1978). </w:t>
      </w:r>
      <w:r>
        <w:rPr>
          <w:i/>
        </w:rPr>
        <w:t xml:space="preserve">The scientific use of factor analysis in behavior and life sciences. </w:t>
      </w:r>
      <w:r>
        <w:t>New York: Plenum.</w:t>
      </w:r>
    </w:p>
    <w:p w14:paraId="2A8E3D94" w14:textId="6224DB38" w:rsidR="00354031" w:rsidRDefault="009367DF" w:rsidP="00354031">
      <w:pPr>
        <w:pStyle w:val="ListParagraph"/>
        <w:spacing w:line="480" w:lineRule="auto"/>
        <w:ind w:left="142" w:hanging="567"/>
      </w:pPr>
      <w:r>
        <w:t xml:space="preserve">Clare, L., &amp; Singh, K. (1994). Preventing relapse in psychotic illness: A psychological approach to early intervention. </w:t>
      </w:r>
      <w:r w:rsidRPr="00635185">
        <w:rPr>
          <w:i/>
        </w:rPr>
        <w:t>Journal of Mental Health, 3</w:t>
      </w:r>
      <w:r>
        <w:t xml:space="preserve">, 541-550. </w:t>
      </w:r>
      <w:r w:rsidR="00B771B8" w:rsidRPr="008A7920">
        <w:t>doi: 10.3109/09638239409003828</w:t>
      </w:r>
    </w:p>
    <w:p w14:paraId="13D7A91E" w14:textId="77777777" w:rsidR="00354031" w:rsidRDefault="00C06A5A" w:rsidP="00354031">
      <w:pPr>
        <w:pStyle w:val="ListParagraph"/>
        <w:spacing w:line="480" w:lineRule="auto"/>
        <w:ind w:left="142" w:hanging="567"/>
        <w:rPr>
          <w:lang w:val="en-GB"/>
        </w:rPr>
      </w:pPr>
      <w:r w:rsidRPr="0003207A">
        <w:rPr>
          <w:lang w:val="en-GB"/>
        </w:rPr>
        <w:t>Departmen</w:t>
      </w:r>
      <w:r w:rsidR="0054503F">
        <w:rPr>
          <w:lang w:val="en-GB"/>
        </w:rPr>
        <w:t>t of Health and Social Security. (1980).</w:t>
      </w:r>
      <w:r w:rsidRPr="0054503F">
        <w:rPr>
          <w:i/>
          <w:lang w:val="en-GB"/>
        </w:rPr>
        <w:t xml:space="preserve"> </w:t>
      </w:r>
      <w:r w:rsidRPr="0054503F">
        <w:rPr>
          <w:i/>
          <w:iCs/>
          <w:lang w:val="en-GB"/>
        </w:rPr>
        <w:t>Inequal</w:t>
      </w:r>
      <w:r w:rsidR="00BB7BE2">
        <w:rPr>
          <w:i/>
          <w:iCs/>
          <w:lang w:val="en-GB"/>
        </w:rPr>
        <w:t xml:space="preserve">ities in health: report of a </w:t>
      </w:r>
      <w:r w:rsidR="00BB7BE2">
        <w:rPr>
          <w:i/>
          <w:iCs/>
          <w:lang w:val="en-GB"/>
        </w:rPr>
        <w:br/>
      </w:r>
      <w:r w:rsidRPr="0054503F">
        <w:rPr>
          <w:i/>
          <w:iCs/>
          <w:lang w:val="en-GB"/>
        </w:rPr>
        <w:t xml:space="preserve">research working group, </w:t>
      </w:r>
      <w:r w:rsidRPr="00FE45FD">
        <w:rPr>
          <w:lang w:val="en-GB"/>
        </w:rPr>
        <w:t>DHSS, London.</w:t>
      </w:r>
    </w:p>
    <w:p w14:paraId="707C4BEE" w14:textId="128BF393" w:rsidR="00354031" w:rsidRDefault="00BB7BE2" w:rsidP="00354031">
      <w:pPr>
        <w:pStyle w:val="ListParagraph"/>
        <w:spacing w:line="480" w:lineRule="auto"/>
        <w:ind w:left="142" w:hanging="567"/>
        <w:rPr>
          <w:lang w:val="en-GB"/>
        </w:rPr>
      </w:pPr>
      <w:r>
        <w:rPr>
          <w:lang w:val="en-GB"/>
        </w:rPr>
        <w:t>Dinge</w:t>
      </w:r>
      <w:r w:rsidR="00B771B8">
        <w:rPr>
          <w:lang w:val="en-GB"/>
        </w:rPr>
        <w:t>sman</w:t>
      </w:r>
      <w:r>
        <w:rPr>
          <w:lang w:val="en-GB"/>
        </w:rPr>
        <w:t xml:space="preserve">, P. M. A. J., Linszen, D. H., Lenior, M. E., &amp; Smeets, R. M. W. (1995). Component structure of the expanded Brief Psychiatric Rating Scale. </w:t>
      </w:r>
      <w:r>
        <w:rPr>
          <w:i/>
          <w:lang w:val="en-GB"/>
        </w:rPr>
        <w:t xml:space="preserve">Psychopharmacology, 122, </w:t>
      </w:r>
      <w:r>
        <w:rPr>
          <w:lang w:val="en-GB"/>
        </w:rPr>
        <w:t>263-267.</w:t>
      </w:r>
      <w:r w:rsidR="00B771B8" w:rsidRPr="00B771B8">
        <w:rPr>
          <w:rFonts w:eastAsia="Times New Roman"/>
          <w:color w:val="222222"/>
          <w:shd w:val="clear" w:color="auto" w:fill="FFFFFF"/>
        </w:rPr>
        <w:t xml:space="preserve"> </w:t>
      </w:r>
      <w:r w:rsidR="00B771B8" w:rsidRPr="008A7920">
        <w:rPr>
          <w:rFonts w:eastAsia="Times New Roman"/>
          <w:color w:val="222222"/>
          <w:shd w:val="clear" w:color="auto" w:fill="FFFFFF"/>
        </w:rPr>
        <w:t>doi: 10.1007/BF02246547</w:t>
      </w:r>
    </w:p>
    <w:p w14:paraId="0E4A4718" w14:textId="2A249DB5" w:rsidR="0084528E" w:rsidRDefault="009634DD" w:rsidP="0084528E">
      <w:pPr>
        <w:pStyle w:val="ListParagraph"/>
        <w:spacing w:line="480" w:lineRule="auto"/>
        <w:ind w:left="142" w:hanging="567"/>
      </w:pPr>
      <w:r>
        <w:rPr>
          <w:lang w:val="en-GB"/>
        </w:rPr>
        <w:t xml:space="preserve">Fabrigar, L. R., Wegener, D. T., MacCallum, R. </w:t>
      </w:r>
      <w:r w:rsidR="00B771B8">
        <w:rPr>
          <w:lang w:val="en-GB"/>
        </w:rPr>
        <w:t xml:space="preserve">C., &amp; Strahan, E. J. (1999). </w:t>
      </w:r>
      <w:r w:rsidR="00B771B8">
        <w:rPr>
          <w:lang w:val="en-GB"/>
        </w:rPr>
        <w:br/>
        <w:t xml:space="preserve"> </w:t>
      </w:r>
      <w:r>
        <w:rPr>
          <w:lang w:val="en-GB"/>
        </w:rPr>
        <w:t>Evaluating the use of exploratory factor analysi</w:t>
      </w:r>
      <w:r w:rsidR="00B771B8">
        <w:rPr>
          <w:lang w:val="en-GB"/>
        </w:rPr>
        <w:t xml:space="preserve">s in psychological research. </w:t>
      </w:r>
      <w:r w:rsidR="00B771B8">
        <w:rPr>
          <w:lang w:val="en-GB"/>
        </w:rPr>
        <w:br/>
        <w:t xml:space="preserve"> </w:t>
      </w:r>
      <w:r>
        <w:rPr>
          <w:i/>
          <w:lang w:val="en-GB"/>
        </w:rPr>
        <w:t xml:space="preserve">Psychological Methods, 4, </w:t>
      </w:r>
      <w:r>
        <w:rPr>
          <w:lang w:val="en-GB"/>
        </w:rPr>
        <w:t>272-299.</w:t>
      </w:r>
      <w:r w:rsidRPr="009634DD">
        <w:t xml:space="preserve"> </w:t>
      </w:r>
      <w:r w:rsidR="00B771B8" w:rsidRPr="008A7920">
        <w:rPr>
          <w:color w:val="141413"/>
        </w:rPr>
        <w:t xml:space="preserve">doi: </w:t>
      </w:r>
      <w:r w:rsidR="00B771B8" w:rsidRPr="008A7920">
        <w:t>10.1037/1082-989X.4.3.272</w:t>
      </w:r>
    </w:p>
    <w:p w14:paraId="3ECA6F68" w14:textId="4DC41408" w:rsidR="0084528E" w:rsidRDefault="009F5D4A" w:rsidP="0084528E">
      <w:pPr>
        <w:pStyle w:val="ListParagraph"/>
        <w:spacing w:line="480" w:lineRule="auto"/>
        <w:ind w:left="142" w:hanging="567"/>
      </w:pPr>
      <w:r>
        <w:t xml:space="preserve">Gilbert, P. (2001). Depression and stress: A biopsychosocial exploration of evolved functions and mechanisms. </w:t>
      </w:r>
      <w:r w:rsidRPr="00635185">
        <w:rPr>
          <w:i/>
        </w:rPr>
        <w:t>Stress, 4</w:t>
      </w:r>
      <w:r w:rsidR="00466E1A">
        <w:t xml:space="preserve">, 121-135. </w:t>
      </w:r>
      <w:r w:rsidR="00B771B8" w:rsidRPr="008A7920">
        <w:rPr>
          <w:color w:val="000000" w:themeColor="text1"/>
        </w:rPr>
        <w:t>doi: 10.3109/10253890109115726</w:t>
      </w:r>
    </w:p>
    <w:p w14:paraId="6002DCFD" w14:textId="77777777" w:rsidR="0084528E" w:rsidRDefault="0003331A" w:rsidP="0084528E">
      <w:pPr>
        <w:pStyle w:val="ListParagraph"/>
        <w:spacing w:line="480" w:lineRule="auto"/>
        <w:ind w:left="142" w:hanging="567"/>
        <w:rPr>
          <w:rFonts w:ascii="Times" w:hAnsi="Times" w:cs="Times"/>
          <w:color w:val="141413"/>
          <w:lang w:eastAsia="en-GB"/>
        </w:rPr>
      </w:pPr>
      <w:r w:rsidRPr="0003331A">
        <w:rPr>
          <w:rFonts w:ascii="Times" w:hAnsi="Times" w:cs="Times"/>
          <w:color w:val="141413"/>
          <w:lang w:eastAsia="en-GB"/>
        </w:rPr>
        <w:t xml:space="preserve">Gilbert, P., &amp; Allan, S. (1994). Assertiveness, submissive behaviour and social comparison. </w:t>
      </w:r>
      <w:r w:rsidRPr="0003331A">
        <w:rPr>
          <w:rFonts w:ascii="Times" w:hAnsi="Times" w:cs="Times"/>
          <w:i/>
          <w:iCs/>
          <w:color w:val="141413"/>
          <w:lang w:eastAsia="en-GB"/>
        </w:rPr>
        <w:t xml:space="preserve">British Journal of Clinical Psychology, 33, </w:t>
      </w:r>
      <w:r w:rsidRPr="0003331A">
        <w:rPr>
          <w:rFonts w:ascii="Times" w:hAnsi="Times" w:cs="Times"/>
          <w:color w:val="141413"/>
          <w:lang w:eastAsia="en-GB"/>
        </w:rPr>
        <w:t>295–306.</w:t>
      </w:r>
    </w:p>
    <w:p w14:paraId="47225500" w14:textId="301A35EE" w:rsidR="0084528E" w:rsidRDefault="009F5D4A" w:rsidP="0084528E">
      <w:pPr>
        <w:pStyle w:val="ListParagraph"/>
        <w:spacing w:line="480" w:lineRule="auto"/>
        <w:ind w:left="142" w:hanging="567"/>
      </w:pPr>
      <w:r>
        <w:lastRenderedPageBreak/>
        <w:t xml:space="preserve">Gilbert, P., &amp; Allan, S. (1998). The role of defeat and entrapment (arrested flight) in depression: An exploration of an evolutionary view. </w:t>
      </w:r>
      <w:r w:rsidRPr="00635185">
        <w:rPr>
          <w:i/>
        </w:rPr>
        <w:t>Psychological Medicine, 28</w:t>
      </w:r>
      <w:r>
        <w:t xml:space="preserve">, 585-598. </w:t>
      </w:r>
      <w:r w:rsidR="00B771B8" w:rsidRPr="008A7920">
        <w:rPr>
          <w:color w:val="000000" w:themeColor="text1"/>
        </w:rPr>
        <w:t>doi: 10.1017/S0033291798006710</w:t>
      </w:r>
    </w:p>
    <w:p w14:paraId="7605F16C" w14:textId="2545EA41" w:rsidR="0084528E" w:rsidRDefault="009F5D4A" w:rsidP="0084528E">
      <w:pPr>
        <w:pStyle w:val="ListParagraph"/>
        <w:spacing w:line="480" w:lineRule="auto"/>
        <w:ind w:left="142" w:hanging="567"/>
      </w:pPr>
      <w:r>
        <w:t xml:space="preserve">Gilbert, P., Allan, S., Brough, S., Melley, S., &amp; Miles, J. (2002). Relationship of anhedonia and anxiety to social rank, defeat, and entrapment. </w:t>
      </w:r>
      <w:r w:rsidRPr="00635185">
        <w:rPr>
          <w:i/>
        </w:rPr>
        <w:t>Journal of Affective Disorders, 71</w:t>
      </w:r>
      <w:r>
        <w:t xml:space="preserve">, 141-151. </w:t>
      </w:r>
      <w:r w:rsidR="00B771B8" w:rsidRPr="008A7920">
        <w:rPr>
          <w:color w:val="000000" w:themeColor="text1"/>
        </w:rPr>
        <w:t>doi: 10.1016/S0165-0327(01)00392-5</w:t>
      </w:r>
    </w:p>
    <w:p w14:paraId="0B8C3C5B" w14:textId="77777777" w:rsidR="00B771B8" w:rsidRDefault="009F5D4A" w:rsidP="00B771B8">
      <w:pPr>
        <w:pStyle w:val="ListParagraph"/>
        <w:spacing w:line="480" w:lineRule="auto"/>
        <w:ind w:left="142" w:hanging="567"/>
        <w:rPr>
          <w:color w:val="000000" w:themeColor="text1"/>
        </w:rPr>
      </w:pPr>
      <w:r>
        <w:t xml:space="preserve">Gilbert, P., Cheung, M., Irons, C., &amp; McEwan, K. (2005). An exploration into depression-focused and anger-focused rumination in relation to depression in a student population. </w:t>
      </w:r>
      <w:r w:rsidRPr="00635185">
        <w:rPr>
          <w:i/>
        </w:rPr>
        <w:t>Behavioural and Cognitive Psychotherapy, 33</w:t>
      </w:r>
      <w:r>
        <w:t xml:space="preserve">, 273-283. </w:t>
      </w:r>
      <w:r w:rsidR="00B771B8" w:rsidRPr="008A7920">
        <w:rPr>
          <w:color w:val="000000" w:themeColor="text1"/>
        </w:rPr>
        <w:t>doi: 10.1017/S1352465804002048</w:t>
      </w:r>
    </w:p>
    <w:p w14:paraId="167411F8" w14:textId="029B6416" w:rsidR="0084528E" w:rsidRDefault="009F5D4A" w:rsidP="00B771B8">
      <w:pPr>
        <w:pStyle w:val="ListParagraph"/>
        <w:spacing w:line="480" w:lineRule="auto"/>
        <w:ind w:left="142" w:hanging="567"/>
      </w:pPr>
      <w:r>
        <w:t xml:space="preserve">Gilbert, P., &amp; Gilbert, J. (2003). Entrapment and arrested fight and flight in depression: An exploration using focus groups. </w:t>
      </w:r>
      <w:r w:rsidRPr="00635185">
        <w:rPr>
          <w:i/>
        </w:rPr>
        <w:t>Psychology and Psychotherapy: Theory, Research and Practice, 76</w:t>
      </w:r>
      <w:r>
        <w:t xml:space="preserve">, 173-188. </w:t>
      </w:r>
      <w:r w:rsidR="00B771B8">
        <w:t xml:space="preserve"> </w:t>
      </w:r>
      <w:r w:rsidR="00B771B8" w:rsidRPr="008A7920">
        <w:t>doi: 10.1348/147608303765951203</w:t>
      </w:r>
    </w:p>
    <w:p w14:paraId="09B9DA3C" w14:textId="32897E28" w:rsidR="0084528E" w:rsidRDefault="009F5D4A" w:rsidP="0084528E">
      <w:pPr>
        <w:pStyle w:val="ListParagraph"/>
        <w:spacing w:line="480" w:lineRule="auto"/>
        <w:ind w:left="142" w:hanging="567"/>
      </w:pPr>
      <w:r>
        <w:t xml:space="preserve">Gilbert, P., Gilbert, J., &amp; Irons, C. (2004). Life events, entrapments and arrested anger in depression. </w:t>
      </w:r>
      <w:r w:rsidRPr="00635185">
        <w:rPr>
          <w:i/>
        </w:rPr>
        <w:t>Journal of Affective Disorders, 79</w:t>
      </w:r>
      <w:r>
        <w:t xml:space="preserve">, 149-160. </w:t>
      </w:r>
      <w:r w:rsidR="00B771B8" w:rsidRPr="008A7920">
        <w:rPr>
          <w:color w:val="000000" w:themeColor="text1"/>
        </w:rPr>
        <w:t>doi: 10.1016/S0165-0327(02)00405-6</w:t>
      </w:r>
    </w:p>
    <w:p w14:paraId="3A9F88D0" w14:textId="7DA64FA8" w:rsidR="0084528E" w:rsidRDefault="000A0153" w:rsidP="0084528E">
      <w:pPr>
        <w:pStyle w:val="ListParagraph"/>
        <w:spacing w:line="480" w:lineRule="auto"/>
        <w:ind w:left="142" w:hanging="567"/>
        <w:rPr>
          <w:i/>
        </w:rPr>
      </w:pPr>
      <w:r>
        <w:t>Given, C. W., Given, B., Stommel, M., Collins, C., King, S., &amp; Franklin, S. (1992). The caregiver reaction assessment (CRA) for caregivers to persons with chronic</w:t>
      </w:r>
      <w:r w:rsidR="00FA51A7">
        <w:t xml:space="preserve"> physical and mental impairments. </w:t>
      </w:r>
      <w:r w:rsidR="00FA51A7">
        <w:rPr>
          <w:i/>
        </w:rPr>
        <w:t xml:space="preserve">Research in Nursing &amp; Health, 15, </w:t>
      </w:r>
      <w:r w:rsidR="00FA51A7">
        <w:t>271-283.</w:t>
      </w:r>
      <w:r w:rsidR="00FA51A7">
        <w:rPr>
          <w:i/>
        </w:rPr>
        <w:t xml:space="preserve"> </w:t>
      </w:r>
      <w:r w:rsidR="00B86A7E" w:rsidRPr="008A7920">
        <w:t>doi: 10.1002/nur.4770150406</w:t>
      </w:r>
    </w:p>
    <w:p w14:paraId="00303C9E" w14:textId="1AD72AB2" w:rsidR="0084528E" w:rsidRDefault="00981F8D" w:rsidP="0084528E">
      <w:pPr>
        <w:pStyle w:val="ListParagraph"/>
        <w:spacing w:line="480" w:lineRule="auto"/>
        <w:ind w:left="142" w:hanging="567"/>
      </w:pPr>
      <w:r>
        <w:t xml:space="preserve">Goldstein, R. C., &amp; Willner, P. (2002). Self-report measures of defeat and entrapment during a brief depressive mood induction. </w:t>
      </w:r>
      <w:r w:rsidRPr="00635185">
        <w:rPr>
          <w:i/>
        </w:rPr>
        <w:t>Cognition &amp; Emotion, 16</w:t>
      </w:r>
      <w:r w:rsidR="000A56EC">
        <w:t>, 629-642.</w:t>
      </w:r>
      <w:r w:rsidR="00B86A7E" w:rsidRPr="00B86A7E">
        <w:rPr>
          <w:color w:val="000000" w:themeColor="text1"/>
        </w:rPr>
        <w:t xml:space="preserve"> </w:t>
      </w:r>
      <w:r w:rsidR="00B86A7E" w:rsidRPr="008A7920">
        <w:rPr>
          <w:color w:val="000000" w:themeColor="text1"/>
        </w:rPr>
        <w:t>doi: 10.1080/02699930143000473</w:t>
      </w:r>
    </w:p>
    <w:p w14:paraId="35D76479" w14:textId="77777777" w:rsidR="0084528E" w:rsidRDefault="009F5D4A" w:rsidP="0084528E">
      <w:pPr>
        <w:pStyle w:val="ListParagraph"/>
        <w:spacing w:line="480" w:lineRule="auto"/>
        <w:ind w:left="142" w:hanging="567"/>
        <w:rPr>
          <w:rFonts w:eastAsia="Times New Roman"/>
          <w:color w:val="000000"/>
          <w:shd w:val="clear" w:color="auto" w:fill="FFFFFF"/>
          <w:lang w:val="en-GB" w:eastAsia="en-US"/>
        </w:rPr>
      </w:pPr>
      <w:r w:rsidRPr="00C46049">
        <w:rPr>
          <w:rFonts w:eastAsia="Times New Roman"/>
          <w:color w:val="000000"/>
          <w:shd w:val="clear" w:color="auto" w:fill="FFFFFF"/>
          <w:lang w:val="en-GB" w:eastAsia="en-US"/>
        </w:rPr>
        <w:t xml:space="preserve">Gorsuch, R. L. (1983). </w:t>
      </w:r>
      <w:r w:rsidRPr="00C46049">
        <w:rPr>
          <w:rFonts w:eastAsia="Times New Roman"/>
          <w:i/>
          <w:color w:val="000000"/>
          <w:shd w:val="clear" w:color="auto" w:fill="FFFFFF"/>
          <w:lang w:val="en-GB" w:eastAsia="en-US"/>
        </w:rPr>
        <w:t>Factor Analysis (2nd ed.).</w:t>
      </w:r>
      <w:r w:rsidRPr="00C46049">
        <w:rPr>
          <w:rFonts w:eastAsia="Times New Roman"/>
          <w:color w:val="000000"/>
          <w:shd w:val="clear" w:color="auto" w:fill="FFFFFF"/>
          <w:lang w:val="en-GB" w:eastAsia="en-US"/>
        </w:rPr>
        <w:t xml:space="preserve"> Hillsdale, NJ: Erlbaum.</w:t>
      </w:r>
    </w:p>
    <w:p w14:paraId="3B9F8CA1" w14:textId="5D306D64" w:rsidR="0084528E" w:rsidRDefault="0090437E" w:rsidP="0084528E">
      <w:pPr>
        <w:pStyle w:val="ListParagraph"/>
        <w:spacing w:line="480" w:lineRule="auto"/>
        <w:ind w:left="142" w:hanging="567"/>
        <w:rPr>
          <w:rFonts w:eastAsia="Times New Roman"/>
          <w:color w:val="000000"/>
          <w:shd w:val="clear" w:color="auto" w:fill="FFFFFF"/>
          <w:lang w:val="en-GB" w:eastAsia="en-US"/>
        </w:rPr>
      </w:pPr>
      <w:r w:rsidRPr="00C46049">
        <w:rPr>
          <w:rFonts w:eastAsia="Times New Roman"/>
          <w:color w:val="000000"/>
          <w:shd w:val="clear" w:color="auto" w:fill="FFFFFF"/>
          <w:lang w:val="en-GB" w:eastAsia="en-US"/>
        </w:rPr>
        <w:lastRenderedPageBreak/>
        <w:t>Grewal, R., Cote, J. A., &amp; Baumgartner, H. (</w:t>
      </w:r>
      <w:r w:rsidR="000A56EC">
        <w:rPr>
          <w:rFonts w:eastAsia="Times New Roman"/>
          <w:color w:val="000000"/>
          <w:shd w:val="clear" w:color="auto" w:fill="FFFFFF"/>
          <w:lang w:val="en-GB" w:eastAsia="en-US"/>
        </w:rPr>
        <w:t xml:space="preserve">2002). Multicollinearity and </w:t>
      </w:r>
      <w:r w:rsidR="000A56EC">
        <w:rPr>
          <w:rFonts w:eastAsia="Times New Roman"/>
          <w:color w:val="000000"/>
          <w:shd w:val="clear" w:color="auto" w:fill="FFFFFF"/>
          <w:lang w:val="en-GB" w:eastAsia="en-US"/>
        </w:rPr>
        <w:br/>
        <w:t xml:space="preserve"> </w:t>
      </w:r>
      <w:r w:rsidRPr="00C46049">
        <w:rPr>
          <w:rFonts w:eastAsia="Times New Roman"/>
          <w:color w:val="000000"/>
          <w:shd w:val="clear" w:color="auto" w:fill="FFFFFF"/>
          <w:lang w:val="en-GB" w:eastAsia="en-US"/>
        </w:rPr>
        <w:t xml:space="preserve">Measurement Error in Structural Equation Models: Implications for Theory </w:t>
      </w:r>
      <w:r w:rsidRPr="00C46049">
        <w:rPr>
          <w:rFonts w:eastAsia="Times New Roman"/>
          <w:color w:val="000000"/>
          <w:shd w:val="clear" w:color="auto" w:fill="FFFFFF"/>
          <w:lang w:val="en-GB" w:eastAsia="en-US"/>
        </w:rPr>
        <w:br/>
      </w:r>
      <w:r w:rsidR="000A56EC">
        <w:rPr>
          <w:rFonts w:eastAsia="Times New Roman"/>
          <w:color w:val="000000"/>
          <w:shd w:val="clear" w:color="auto" w:fill="FFFFFF"/>
          <w:lang w:val="en-GB" w:eastAsia="en-US"/>
        </w:rPr>
        <w:t xml:space="preserve"> </w:t>
      </w:r>
      <w:r w:rsidRPr="00B250AF">
        <w:rPr>
          <w:rFonts w:eastAsia="Times New Roman"/>
          <w:color w:val="000000"/>
          <w:shd w:val="clear" w:color="auto" w:fill="FFFFFF"/>
          <w:lang w:val="en-GB" w:eastAsia="en-US"/>
        </w:rPr>
        <w:t xml:space="preserve">Testing. </w:t>
      </w:r>
      <w:r w:rsidRPr="00B250AF">
        <w:rPr>
          <w:rFonts w:eastAsia="Times New Roman"/>
          <w:i/>
          <w:color w:val="000000"/>
          <w:shd w:val="clear" w:color="auto" w:fill="FFFFFF"/>
          <w:lang w:val="en-GB" w:eastAsia="en-US"/>
        </w:rPr>
        <w:t xml:space="preserve">Marketing Science, 23, </w:t>
      </w:r>
      <w:r w:rsidRPr="00B250AF">
        <w:rPr>
          <w:rFonts w:eastAsia="Times New Roman"/>
          <w:color w:val="000000"/>
          <w:shd w:val="clear" w:color="auto" w:fill="FFFFFF"/>
          <w:lang w:val="en-GB" w:eastAsia="en-US"/>
        </w:rPr>
        <w:t xml:space="preserve">519-529. </w:t>
      </w:r>
      <w:r w:rsidR="00B86A7E" w:rsidRPr="00B86A7E">
        <w:rPr>
          <w:rFonts w:eastAsia="Times New Roman"/>
          <w:color w:val="000000"/>
          <w:shd w:val="clear" w:color="auto" w:fill="FFFFFF"/>
          <w:lang w:val="en-GB" w:eastAsia="en-US"/>
        </w:rPr>
        <w:t>doi: 10.1287/mksc.1040.0070</w:t>
      </w:r>
    </w:p>
    <w:p w14:paraId="09222CCA" w14:textId="1C2193B3" w:rsidR="0084528E" w:rsidRDefault="00B250AF" w:rsidP="0084528E">
      <w:pPr>
        <w:pStyle w:val="ListParagraph"/>
        <w:spacing w:line="480" w:lineRule="auto"/>
        <w:ind w:left="142" w:hanging="567"/>
        <w:rPr>
          <w:rFonts w:eastAsia="Times New Roman"/>
          <w:iCs/>
          <w:color w:val="000000"/>
          <w:shd w:val="clear" w:color="auto" w:fill="FFFFFF"/>
          <w:lang w:val="en-GB" w:eastAsia="en-US"/>
        </w:rPr>
      </w:pPr>
      <w:r w:rsidRPr="00B250AF">
        <w:rPr>
          <w:rFonts w:eastAsia="Times New Roman"/>
          <w:color w:val="000000"/>
          <w:shd w:val="clear" w:color="auto" w:fill="FFFFFF"/>
          <w:lang w:val="en-GB" w:eastAsia="en-US"/>
        </w:rPr>
        <w:t>Griffiths, A. W., Wood, A. M., Maltby, J., Taylor, P. J., &amp; Tai, S. (</w:t>
      </w:r>
      <w:r w:rsidR="000122E4">
        <w:rPr>
          <w:rFonts w:eastAsia="Times New Roman"/>
          <w:color w:val="000000"/>
          <w:shd w:val="clear" w:color="auto" w:fill="FFFFFF"/>
          <w:lang w:val="en-GB" w:eastAsia="en-US"/>
        </w:rPr>
        <w:t>2014</w:t>
      </w:r>
      <w:r w:rsidRPr="00B250AF">
        <w:rPr>
          <w:rFonts w:eastAsia="Times New Roman"/>
          <w:color w:val="000000"/>
          <w:shd w:val="clear" w:color="auto" w:fill="FFFFFF"/>
          <w:lang w:val="en-GB" w:eastAsia="en-US"/>
        </w:rPr>
        <w:t xml:space="preserve">). The </w:t>
      </w:r>
      <w:r w:rsidR="000A56EC">
        <w:rPr>
          <w:rFonts w:eastAsia="Times New Roman"/>
          <w:color w:val="000000"/>
          <w:shd w:val="clear" w:color="auto" w:fill="FFFFFF"/>
          <w:lang w:val="en-GB" w:eastAsia="en-US"/>
        </w:rPr>
        <w:br/>
        <w:t xml:space="preserve"> </w:t>
      </w:r>
      <w:r w:rsidRPr="00B250AF">
        <w:rPr>
          <w:rFonts w:eastAsia="Times New Roman"/>
          <w:color w:val="000000"/>
          <w:shd w:val="clear" w:color="auto" w:fill="FFFFFF"/>
          <w:lang w:val="en-GB" w:eastAsia="en-US"/>
        </w:rPr>
        <w:t>prospective role of defeat and entrapment in depression and anxiety: A 12-</w:t>
      </w:r>
      <w:r w:rsidR="000A56EC">
        <w:rPr>
          <w:rFonts w:eastAsia="Times New Roman"/>
          <w:color w:val="000000"/>
          <w:shd w:val="clear" w:color="auto" w:fill="FFFFFF"/>
          <w:lang w:val="en-GB" w:eastAsia="en-US"/>
        </w:rPr>
        <w:br/>
        <w:t xml:space="preserve"> </w:t>
      </w:r>
      <w:r w:rsidRPr="00B250AF">
        <w:rPr>
          <w:rFonts w:eastAsia="Times New Roman"/>
          <w:color w:val="000000"/>
          <w:shd w:val="clear" w:color="auto" w:fill="FFFFFF"/>
          <w:lang w:val="en-GB" w:eastAsia="en-US"/>
        </w:rPr>
        <w:t>month longitudinal study. </w:t>
      </w:r>
      <w:r w:rsidRPr="00B250AF">
        <w:rPr>
          <w:rFonts w:eastAsia="Times New Roman"/>
          <w:i/>
          <w:iCs/>
          <w:color w:val="000000"/>
          <w:shd w:val="clear" w:color="auto" w:fill="FFFFFF"/>
          <w:lang w:val="en-GB" w:eastAsia="en-US"/>
        </w:rPr>
        <w:t>Psychiatry Research</w:t>
      </w:r>
      <w:r w:rsidR="000122E4">
        <w:rPr>
          <w:rFonts w:eastAsia="Times New Roman"/>
          <w:i/>
          <w:iCs/>
          <w:color w:val="000000"/>
          <w:shd w:val="clear" w:color="auto" w:fill="FFFFFF"/>
          <w:lang w:val="en-GB" w:eastAsia="en-US"/>
        </w:rPr>
        <w:t xml:space="preserve">, 216, </w:t>
      </w:r>
      <w:r w:rsidR="000122E4">
        <w:rPr>
          <w:rFonts w:eastAsia="Times New Roman"/>
          <w:iCs/>
          <w:color w:val="000000"/>
          <w:shd w:val="clear" w:color="auto" w:fill="FFFFFF"/>
          <w:lang w:val="en-GB" w:eastAsia="en-US"/>
        </w:rPr>
        <w:t>52-59.</w:t>
      </w:r>
      <w:r w:rsidR="00B86A7E" w:rsidRPr="00B86A7E">
        <w:t xml:space="preserve"> </w:t>
      </w:r>
      <w:r w:rsidR="00B86A7E" w:rsidRPr="008A7920">
        <w:t>doi: 10.1016/j.psychres.2014.01.037</w:t>
      </w:r>
    </w:p>
    <w:p w14:paraId="4CEFAF7E" w14:textId="2785C052" w:rsidR="0084528E" w:rsidRDefault="009F5D4A" w:rsidP="0084528E">
      <w:pPr>
        <w:pStyle w:val="ListParagraph"/>
        <w:spacing w:line="480" w:lineRule="auto"/>
        <w:ind w:left="142" w:hanging="567"/>
      </w:pPr>
      <w:r w:rsidRPr="00C46049">
        <w:t xml:space="preserve">Hu, L., &amp; Bentler, P. M. (1999). Cutoff criteria for fit indices in covariance structure </w:t>
      </w:r>
      <w:r w:rsidR="000A56EC">
        <w:br/>
        <w:t xml:space="preserve"> a</w:t>
      </w:r>
      <w:r w:rsidRPr="00C46049">
        <w:t xml:space="preserve">nalysis: Conventional versus new alternatives. </w:t>
      </w:r>
      <w:r w:rsidRPr="00C46049">
        <w:rPr>
          <w:i/>
        </w:rPr>
        <w:t xml:space="preserve">Structural Equation Modeling, </w:t>
      </w:r>
      <w:r w:rsidR="000A56EC">
        <w:rPr>
          <w:i/>
        </w:rPr>
        <w:t xml:space="preserve"> </w:t>
      </w:r>
      <w:r w:rsidR="000A56EC">
        <w:rPr>
          <w:i/>
        </w:rPr>
        <w:br/>
        <w:t xml:space="preserve"> </w:t>
      </w:r>
      <w:r w:rsidRPr="00C46049">
        <w:rPr>
          <w:i/>
        </w:rPr>
        <w:t>6,</w:t>
      </w:r>
      <w:r w:rsidRPr="00C46049">
        <w:t xml:space="preserve"> 1-55.</w:t>
      </w:r>
      <w:r w:rsidR="00B86A7E" w:rsidRPr="00B86A7E">
        <w:rPr>
          <w:rFonts w:eastAsia="Times New Roman"/>
          <w:color w:val="000000"/>
          <w:shd w:val="clear" w:color="auto" w:fill="FFFFFF"/>
        </w:rPr>
        <w:t xml:space="preserve"> </w:t>
      </w:r>
      <w:r w:rsidR="00B86A7E" w:rsidRPr="008A7920">
        <w:rPr>
          <w:rFonts w:eastAsia="Times New Roman"/>
          <w:color w:val="000000"/>
          <w:shd w:val="clear" w:color="auto" w:fill="FFFFFF"/>
        </w:rPr>
        <w:t xml:space="preserve">doi: </w:t>
      </w:r>
      <w:r w:rsidR="00B86A7E" w:rsidRPr="008A7920">
        <w:t>10.1080/10705519909540118</w:t>
      </w:r>
    </w:p>
    <w:p w14:paraId="287EC415" w14:textId="6135470A" w:rsidR="0084528E" w:rsidRDefault="00C60B69" w:rsidP="0084528E">
      <w:pPr>
        <w:pStyle w:val="ListParagraph"/>
        <w:spacing w:line="480" w:lineRule="auto"/>
        <w:ind w:left="142" w:hanging="567"/>
        <w:rPr>
          <w:rFonts w:eastAsia="Times New Roman"/>
          <w:lang w:val="en-GB" w:eastAsia="en-US"/>
        </w:rPr>
      </w:pPr>
      <w:r w:rsidRPr="00C46049">
        <w:rPr>
          <w:rFonts w:eastAsia="Times New Roman"/>
          <w:lang w:val="en-GB" w:eastAsia="en-US"/>
        </w:rPr>
        <w:t>Jokela, M., Batty, G. D., Vahtera, J., Elovainio</w:t>
      </w:r>
      <w:r w:rsidR="000A56EC">
        <w:rPr>
          <w:rFonts w:eastAsia="Times New Roman"/>
          <w:lang w:val="en-GB" w:eastAsia="en-US"/>
        </w:rPr>
        <w:t xml:space="preserve">, M., &amp; Kivimäki, M. (2013). </w:t>
      </w:r>
      <w:r w:rsidR="000A56EC">
        <w:rPr>
          <w:rFonts w:eastAsia="Times New Roman"/>
          <w:lang w:val="en-GB" w:eastAsia="en-US"/>
        </w:rPr>
        <w:br/>
        <w:t xml:space="preserve"> </w:t>
      </w:r>
      <w:r w:rsidRPr="00C46049">
        <w:rPr>
          <w:rFonts w:eastAsia="Times New Roman"/>
          <w:lang w:val="en-GB" w:eastAsia="en-US"/>
        </w:rPr>
        <w:t>Socioeconomic inequalities in common mental</w:t>
      </w:r>
      <w:r w:rsidR="000A56EC">
        <w:rPr>
          <w:rFonts w:eastAsia="Times New Roman"/>
          <w:lang w:val="en-GB" w:eastAsia="en-US"/>
        </w:rPr>
        <w:t xml:space="preserve"> disorders and psychotherapy </w:t>
      </w:r>
      <w:r w:rsidR="000A56EC">
        <w:rPr>
          <w:rFonts w:eastAsia="Times New Roman"/>
          <w:lang w:val="en-GB" w:eastAsia="en-US"/>
        </w:rPr>
        <w:br/>
        <w:t xml:space="preserve"> </w:t>
      </w:r>
      <w:r w:rsidRPr="00C46049">
        <w:rPr>
          <w:rFonts w:eastAsia="Times New Roman"/>
          <w:lang w:val="en-GB" w:eastAsia="en-US"/>
        </w:rPr>
        <w:t xml:space="preserve">treatment in the UK between 1991 and 2009. </w:t>
      </w:r>
      <w:r w:rsidR="000A56EC">
        <w:rPr>
          <w:rFonts w:eastAsia="Times New Roman"/>
          <w:i/>
          <w:lang w:val="en-GB" w:eastAsia="en-US"/>
        </w:rPr>
        <w:t xml:space="preserve">The British Journal of </w:t>
      </w:r>
      <w:r w:rsidR="000A56EC">
        <w:rPr>
          <w:rFonts w:eastAsia="Times New Roman"/>
          <w:i/>
          <w:lang w:val="en-GB" w:eastAsia="en-US"/>
        </w:rPr>
        <w:br/>
        <w:t xml:space="preserve"> </w:t>
      </w:r>
      <w:r w:rsidRPr="00C46049">
        <w:rPr>
          <w:rFonts w:eastAsia="Times New Roman"/>
          <w:i/>
          <w:lang w:val="en-GB" w:eastAsia="en-US"/>
        </w:rPr>
        <w:t xml:space="preserve">Psychiatry, 203, </w:t>
      </w:r>
      <w:r w:rsidRPr="00C46049">
        <w:rPr>
          <w:rFonts w:eastAsia="Times New Roman"/>
          <w:lang w:val="en-GB" w:eastAsia="en-US"/>
        </w:rPr>
        <w:t xml:space="preserve">10-17. </w:t>
      </w:r>
      <w:r w:rsidR="002F3253" w:rsidRPr="002F3253">
        <w:rPr>
          <w:rFonts w:eastAsia="Times New Roman"/>
          <w:lang w:val="en-GB" w:eastAsia="en-US"/>
        </w:rPr>
        <w:t>doi: 10.1192/bjp.bp.111.098863</w:t>
      </w:r>
    </w:p>
    <w:p w14:paraId="410159BC" w14:textId="42D99773" w:rsidR="0084528E" w:rsidRDefault="009F5D4A" w:rsidP="0084528E">
      <w:pPr>
        <w:pStyle w:val="ListParagraph"/>
        <w:spacing w:line="480" w:lineRule="auto"/>
        <w:ind w:left="142" w:hanging="567"/>
      </w:pPr>
      <w:r w:rsidRPr="00C46049">
        <w:t xml:space="preserve">Johnson, J., Gooding, P., &amp; Tarrier, N. (2008). Suicide risk in schizophrenia: Explanatory models and clinical implications. </w:t>
      </w:r>
      <w:r w:rsidRPr="00C46049">
        <w:rPr>
          <w:i/>
        </w:rPr>
        <w:t>Psychology and Psychotherapy: Theory, Research and Practice, 81</w:t>
      </w:r>
      <w:r w:rsidRPr="00C46049">
        <w:t xml:space="preserve">, 55-77. </w:t>
      </w:r>
      <w:r w:rsidR="002F3253" w:rsidRPr="008A7920">
        <w:t>doi: 10.1348/147608307X244996</w:t>
      </w:r>
    </w:p>
    <w:p w14:paraId="2C87A36F" w14:textId="06F40657" w:rsidR="0084528E" w:rsidRDefault="008F54C7" w:rsidP="0084528E">
      <w:pPr>
        <w:pStyle w:val="ListParagraph"/>
        <w:spacing w:line="480" w:lineRule="auto"/>
        <w:ind w:left="142" w:hanging="567"/>
        <w:rPr>
          <w:rFonts w:eastAsia="Times New Roman"/>
          <w:color w:val="000000"/>
          <w:shd w:val="clear" w:color="auto" w:fill="FFFFFF"/>
          <w:lang w:val="en-GB" w:eastAsia="en-US"/>
        </w:rPr>
      </w:pPr>
      <w:r w:rsidRPr="008F54C7">
        <w:rPr>
          <w:rFonts w:eastAsia="Times New Roman"/>
          <w:color w:val="000000"/>
          <w:shd w:val="clear" w:color="auto" w:fill="FFFFFF"/>
          <w:lang w:val="en-GB" w:eastAsia="en-US"/>
        </w:rPr>
        <w:t>Joseph, S., &amp; Wood, A. M. (2010). Assessment of positive functioning in clinical psychology: Theoretical and practical issues. </w:t>
      </w:r>
      <w:r w:rsidRPr="008F54C7">
        <w:rPr>
          <w:rFonts w:eastAsia="Times New Roman"/>
          <w:i/>
          <w:iCs/>
          <w:color w:val="000000"/>
          <w:shd w:val="clear" w:color="auto" w:fill="FFFFFF"/>
          <w:lang w:val="en-GB" w:eastAsia="en-US"/>
        </w:rPr>
        <w:t>Clinical Psychology Review</w:t>
      </w:r>
      <w:r w:rsidRPr="008F54C7">
        <w:rPr>
          <w:rFonts w:eastAsia="Times New Roman"/>
          <w:color w:val="000000"/>
          <w:shd w:val="clear" w:color="auto" w:fill="FFFFFF"/>
          <w:lang w:val="en-GB" w:eastAsia="en-US"/>
        </w:rPr>
        <w:t>, </w:t>
      </w:r>
      <w:r w:rsidRPr="008F54C7">
        <w:rPr>
          <w:rFonts w:eastAsia="Times New Roman"/>
          <w:i/>
          <w:iCs/>
          <w:color w:val="000000"/>
          <w:shd w:val="clear" w:color="auto" w:fill="FFFFFF"/>
          <w:lang w:val="en-GB" w:eastAsia="en-US"/>
        </w:rPr>
        <w:t>30</w:t>
      </w:r>
      <w:r w:rsidRPr="008F54C7">
        <w:rPr>
          <w:rFonts w:eastAsia="Times New Roman"/>
          <w:color w:val="000000"/>
          <w:shd w:val="clear" w:color="auto" w:fill="FFFFFF"/>
          <w:lang w:val="en-GB" w:eastAsia="en-US"/>
        </w:rPr>
        <w:t>, 830-838</w:t>
      </w:r>
      <w:r w:rsidR="000A56EC">
        <w:rPr>
          <w:rFonts w:eastAsia="Times New Roman"/>
          <w:color w:val="000000"/>
          <w:shd w:val="clear" w:color="auto" w:fill="FFFFFF"/>
          <w:lang w:val="en-GB" w:eastAsia="en-US"/>
        </w:rPr>
        <w:t>.</w:t>
      </w:r>
      <w:r w:rsidR="002F3253" w:rsidRPr="002F3253">
        <w:t xml:space="preserve"> </w:t>
      </w:r>
      <w:r w:rsidR="002F3253" w:rsidRPr="008A7920">
        <w:t>doi: 10.1016/j.cpr.2010.01.002</w:t>
      </w:r>
    </w:p>
    <w:p w14:paraId="59DF7C09" w14:textId="412440AB" w:rsidR="0084528E" w:rsidRDefault="00A13E03" w:rsidP="0084528E">
      <w:pPr>
        <w:pStyle w:val="ListParagraph"/>
        <w:spacing w:line="480" w:lineRule="auto"/>
        <w:ind w:left="142" w:hanging="567"/>
        <w:rPr>
          <w:rFonts w:ascii="Times" w:hAnsi="Times" w:cs="Times"/>
          <w:color w:val="141413"/>
          <w:lang w:eastAsia="en-GB"/>
        </w:rPr>
      </w:pPr>
      <w:r w:rsidRPr="00A13E03">
        <w:rPr>
          <w:rFonts w:ascii="Times" w:hAnsi="Times" w:cs="Times"/>
          <w:color w:val="141413"/>
          <w:lang w:eastAsia="en-GB"/>
        </w:rPr>
        <w:t>Joyce, A. S., MacNair-Semands, R., Tasca, G. A., &amp; Ogrodniczuk, J. S.</w:t>
      </w:r>
      <w:r w:rsidR="00340FF2">
        <w:t xml:space="preserve"> </w:t>
      </w:r>
      <w:r w:rsidRPr="00A13E03">
        <w:rPr>
          <w:rFonts w:ascii="Times" w:hAnsi="Times" w:cs="Times"/>
          <w:color w:val="141413"/>
          <w:lang w:eastAsia="en-GB"/>
        </w:rPr>
        <w:t>(2011). Factor Structure and Validity o</w:t>
      </w:r>
      <w:r w:rsidR="00005434">
        <w:rPr>
          <w:rFonts w:ascii="Times" w:hAnsi="Times" w:cs="Times"/>
          <w:color w:val="141413"/>
          <w:lang w:eastAsia="en-GB"/>
        </w:rPr>
        <w:t>f the Therapeutic Factors Inven</w:t>
      </w:r>
      <w:r w:rsidRPr="00A13E03">
        <w:rPr>
          <w:rFonts w:ascii="Times" w:hAnsi="Times" w:cs="Times"/>
          <w:color w:val="141413"/>
          <w:lang w:eastAsia="en-GB"/>
        </w:rPr>
        <w:t xml:space="preserve">tory - </w:t>
      </w:r>
      <w:r w:rsidR="00340FF2">
        <w:rPr>
          <w:rFonts w:ascii="Times" w:hAnsi="Times" w:cs="Times"/>
          <w:color w:val="141413"/>
          <w:lang w:eastAsia="en-GB"/>
        </w:rPr>
        <w:br/>
      </w:r>
      <w:r w:rsidRPr="00A13E03">
        <w:rPr>
          <w:rFonts w:ascii="Times" w:hAnsi="Times" w:cs="Times"/>
          <w:color w:val="141413"/>
          <w:lang w:eastAsia="en-GB"/>
        </w:rPr>
        <w:t xml:space="preserve">Short Form. </w:t>
      </w:r>
      <w:r w:rsidRPr="00A13E03">
        <w:rPr>
          <w:rFonts w:ascii="Times" w:hAnsi="Times" w:cs="Times"/>
          <w:i/>
          <w:iCs/>
          <w:color w:val="141413"/>
          <w:lang w:eastAsia="en-GB"/>
        </w:rPr>
        <w:t>Group Dynamics: Theory, Research, and Practice,</w:t>
      </w:r>
      <w:r w:rsidR="00151647">
        <w:rPr>
          <w:rFonts w:ascii="Times" w:hAnsi="Times" w:cs="Times"/>
          <w:color w:val="141413"/>
          <w:lang w:eastAsia="en-GB"/>
        </w:rPr>
        <w:t xml:space="preserve"> </w:t>
      </w:r>
      <w:r w:rsidRPr="00A13E03">
        <w:rPr>
          <w:rFonts w:ascii="Times" w:hAnsi="Times" w:cs="Times"/>
          <w:i/>
          <w:iCs/>
          <w:color w:val="141413"/>
          <w:lang w:eastAsia="en-GB"/>
        </w:rPr>
        <w:t xml:space="preserve">15, </w:t>
      </w:r>
      <w:r w:rsidR="00151647">
        <w:rPr>
          <w:rFonts w:ascii="Times" w:hAnsi="Times" w:cs="Times"/>
          <w:color w:val="141413"/>
          <w:lang w:eastAsia="en-GB"/>
        </w:rPr>
        <w:t>201–219.</w:t>
      </w:r>
      <w:r w:rsidR="002F3253" w:rsidRPr="002F3253">
        <w:rPr>
          <w:color w:val="000000" w:themeColor="text1"/>
        </w:rPr>
        <w:t xml:space="preserve"> </w:t>
      </w:r>
      <w:r w:rsidR="002F3253" w:rsidRPr="008A7920">
        <w:rPr>
          <w:color w:val="000000" w:themeColor="text1"/>
        </w:rPr>
        <w:t>doi: 10.1037/a0024677</w:t>
      </w:r>
    </w:p>
    <w:p w14:paraId="2883B6D3" w14:textId="524E7E0D" w:rsidR="0084528E" w:rsidRDefault="000F61FE" w:rsidP="0084528E">
      <w:pPr>
        <w:pStyle w:val="ListParagraph"/>
        <w:spacing w:line="480" w:lineRule="auto"/>
        <w:ind w:left="142" w:hanging="567"/>
        <w:rPr>
          <w:rFonts w:ascii="Times" w:hAnsi="Times" w:cs="Times"/>
          <w:color w:val="141413"/>
          <w:lang w:eastAsia="en-GB"/>
        </w:rPr>
      </w:pPr>
      <w:r>
        <w:rPr>
          <w:rFonts w:ascii="Times" w:hAnsi="Times" w:cs="Times"/>
          <w:color w:val="141413"/>
          <w:lang w:eastAsia="en-GB"/>
        </w:rPr>
        <w:lastRenderedPageBreak/>
        <w:t xml:space="preserve">Julian, L. J., </w:t>
      </w:r>
      <w:r w:rsidR="00CD4C43">
        <w:rPr>
          <w:rFonts w:ascii="Times" w:hAnsi="Times" w:cs="Times"/>
          <w:color w:val="141413"/>
          <w:lang w:eastAsia="en-GB"/>
        </w:rPr>
        <w:t xml:space="preserve">Gregorich, S. E., Tonner, C., Yazdany, J., Trupin, L., Criswell, L. A., Yelin, E., &amp; Katz, P. P. (2011). Using the Center for Epidemiologic Studies Depression Scale to screen for Depression in Systemic Lupus Erythematosus. </w:t>
      </w:r>
      <w:r w:rsidR="00CD4C43">
        <w:rPr>
          <w:rFonts w:ascii="Times" w:hAnsi="Times" w:cs="Times"/>
          <w:i/>
          <w:color w:val="141413"/>
          <w:lang w:eastAsia="en-GB"/>
        </w:rPr>
        <w:t xml:space="preserve">Arthritis Care and Research, 63, </w:t>
      </w:r>
      <w:r w:rsidR="00CD4C43" w:rsidRPr="00CD4C43">
        <w:rPr>
          <w:rFonts w:ascii="Times" w:hAnsi="Times" w:cs="Times"/>
          <w:color w:val="141413"/>
          <w:lang w:eastAsia="en-GB"/>
        </w:rPr>
        <w:t>884-890.</w:t>
      </w:r>
      <w:r w:rsidR="002F3253" w:rsidRPr="002F3253">
        <w:rPr>
          <w:color w:val="141413"/>
        </w:rPr>
        <w:t xml:space="preserve"> </w:t>
      </w:r>
      <w:r w:rsidR="002F3253" w:rsidRPr="008A7920">
        <w:rPr>
          <w:color w:val="141413"/>
        </w:rPr>
        <w:t>doi: 10.1002/acr.20447</w:t>
      </w:r>
    </w:p>
    <w:p w14:paraId="2CF02065" w14:textId="6A40EA22" w:rsidR="0084528E" w:rsidRDefault="00095800" w:rsidP="0084528E">
      <w:pPr>
        <w:pStyle w:val="ListParagraph"/>
        <w:spacing w:line="480" w:lineRule="auto"/>
        <w:ind w:left="142" w:hanging="567"/>
        <w:rPr>
          <w:rFonts w:ascii="Times" w:hAnsi="Times" w:cs="Times"/>
          <w:color w:val="141413"/>
          <w:lang w:eastAsia="en-GB"/>
        </w:rPr>
      </w:pPr>
      <w:r>
        <w:rPr>
          <w:rFonts w:ascii="Times" w:hAnsi="Times" w:cs="Times"/>
          <w:color w:val="141413"/>
          <w:lang w:eastAsia="en-GB"/>
        </w:rPr>
        <w:t xml:space="preserve">Kessler, R. C., Sonnega, A., Bromet, E., &amp; Nelson, C. B. </w:t>
      </w:r>
      <w:r w:rsidR="0084528E">
        <w:rPr>
          <w:rFonts w:ascii="Times" w:hAnsi="Times" w:cs="Times"/>
          <w:color w:val="141413"/>
          <w:lang w:eastAsia="en-GB"/>
        </w:rPr>
        <w:t xml:space="preserve">(1995). Posttraumatic stress </w:t>
      </w:r>
      <w:r w:rsidR="0084528E">
        <w:rPr>
          <w:rFonts w:ascii="Times" w:hAnsi="Times" w:cs="Times"/>
          <w:color w:val="141413"/>
          <w:lang w:eastAsia="en-GB"/>
        </w:rPr>
        <w:br/>
        <w:t xml:space="preserve"> </w:t>
      </w:r>
      <w:r>
        <w:rPr>
          <w:rFonts w:ascii="Times" w:hAnsi="Times" w:cs="Times"/>
          <w:color w:val="141413"/>
          <w:lang w:eastAsia="en-GB"/>
        </w:rPr>
        <w:t xml:space="preserve">disorder in the National Comorbidity Survey. </w:t>
      </w:r>
      <w:r>
        <w:rPr>
          <w:rFonts w:ascii="Times" w:hAnsi="Times" w:cs="Times"/>
          <w:i/>
          <w:color w:val="141413"/>
          <w:lang w:eastAsia="en-GB"/>
        </w:rPr>
        <w:t>Arc</w:t>
      </w:r>
      <w:r w:rsidR="0084528E">
        <w:rPr>
          <w:rFonts w:ascii="Times" w:hAnsi="Times" w:cs="Times"/>
          <w:i/>
          <w:color w:val="141413"/>
          <w:lang w:eastAsia="en-GB"/>
        </w:rPr>
        <w:t xml:space="preserve">hives of General Psychiatry, </w:t>
      </w:r>
      <w:r w:rsidR="0084528E">
        <w:rPr>
          <w:rFonts w:ascii="Times" w:hAnsi="Times" w:cs="Times"/>
          <w:i/>
          <w:color w:val="141413"/>
          <w:lang w:eastAsia="en-GB"/>
        </w:rPr>
        <w:br/>
        <w:t xml:space="preserve"> </w:t>
      </w:r>
      <w:r>
        <w:rPr>
          <w:rFonts w:ascii="Times" w:hAnsi="Times" w:cs="Times"/>
          <w:i/>
          <w:color w:val="141413"/>
          <w:lang w:eastAsia="en-GB"/>
        </w:rPr>
        <w:t xml:space="preserve">52, </w:t>
      </w:r>
      <w:r>
        <w:rPr>
          <w:rFonts w:ascii="Times" w:hAnsi="Times" w:cs="Times"/>
          <w:color w:val="141413"/>
          <w:lang w:eastAsia="en-GB"/>
        </w:rPr>
        <w:t xml:space="preserve">1048-1060. </w:t>
      </w:r>
      <w:r w:rsidR="002F3253" w:rsidRPr="008A7920">
        <w:rPr>
          <w:color w:val="000000" w:themeColor="text1"/>
        </w:rPr>
        <w:t>doi: 10.1001/archpsyc.62.6.617</w:t>
      </w:r>
    </w:p>
    <w:p w14:paraId="4AF43B10" w14:textId="77777777" w:rsidR="0084528E" w:rsidRDefault="007B78EA" w:rsidP="0084528E">
      <w:pPr>
        <w:pStyle w:val="ListParagraph"/>
        <w:spacing w:line="480" w:lineRule="auto"/>
        <w:ind w:left="142" w:hanging="567"/>
        <w:rPr>
          <w:rFonts w:eastAsia="Times New Roman"/>
          <w:color w:val="000000"/>
          <w:lang w:val="en-GB" w:eastAsia="en-US"/>
        </w:rPr>
      </w:pPr>
      <w:r w:rsidRPr="007B78EA">
        <w:rPr>
          <w:rFonts w:eastAsia="Times New Roman"/>
          <w:color w:val="000000"/>
          <w:lang w:val="en-GB" w:eastAsia="en-US"/>
        </w:rPr>
        <w:t>Kline</w:t>
      </w:r>
      <w:r>
        <w:rPr>
          <w:rFonts w:eastAsia="Times New Roman"/>
          <w:color w:val="000000"/>
          <w:lang w:val="en-GB" w:eastAsia="en-US"/>
        </w:rPr>
        <w:t>,</w:t>
      </w:r>
      <w:r w:rsidRPr="007B78EA">
        <w:rPr>
          <w:rFonts w:eastAsia="Times New Roman"/>
          <w:color w:val="000000"/>
          <w:lang w:val="en-GB" w:eastAsia="en-US"/>
        </w:rPr>
        <w:t xml:space="preserve"> R</w:t>
      </w:r>
      <w:r>
        <w:rPr>
          <w:rFonts w:eastAsia="Times New Roman"/>
          <w:color w:val="000000"/>
          <w:lang w:val="en-GB" w:eastAsia="en-US"/>
        </w:rPr>
        <w:t xml:space="preserve">. </w:t>
      </w:r>
      <w:r w:rsidRPr="007B78EA">
        <w:rPr>
          <w:rFonts w:eastAsia="Times New Roman"/>
          <w:color w:val="000000"/>
          <w:lang w:val="en-GB" w:eastAsia="en-US"/>
        </w:rPr>
        <w:t>B. </w:t>
      </w:r>
      <w:r>
        <w:rPr>
          <w:rFonts w:eastAsia="Times New Roman"/>
          <w:color w:val="000000"/>
          <w:lang w:val="en-GB" w:eastAsia="en-US"/>
        </w:rPr>
        <w:t xml:space="preserve">(2011). </w:t>
      </w:r>
      <w:r w:rsidRPr="007B78EA">
        <w:rPr>
          <w:rFonts w:eastAsia="Times New Roman"/>
          <w:i/>
          <w:color w:val="000000"/>
          <w:lang w:val="en-GB" w:eastAsia="en-US"/>
        </w:rPr>
        <w:t xml:space="preserve">Principles and practice of structural equation modeling. </w:t>
      </w:r>
      <w:r>
        <w:rPr>
          <w:rFonts w:eastAsia="Times New Roman"/>
          <w:color w:val="000000"/>
          <w:lang w:val="en-GB" w:eastAsia="en-US"/>
        </w:rPr>
        <w:t xml:space="preserve">Guilford </w:t>
      </w:r>
      <w:r>
        <w:rPr>
          <w:rFonts w:eastAsia="Times New Roman"/>
          <w:color w:val="000000"/>
          <w:lang w:val="en-GB" w:eastAsia="en-US"/>
        </w:rPr>
        <w:br/>
        <w:t xml:space="preserve"> </w:t>
      </w:r>
      <w:r>
        <w:rPr>
          <w:rFonts w:eastAsia="Times New Roman"/>
          <w:color w:val="000000"/>
          <w:lang w:val="en-GB" w:eastAsia="en-US"/>
        </w:rPr>
        <w:tab/>
        <w:t>Press: New York, NY.</w:t>
      </w:r>
    </w:p>
    <w:p w14:paraId="2E62B8FC" w14:textId="723DCA55" w:rsidR="0084528E" w:rsidRDefault="009F5D4A" w:rsidP="0084528E">
      <w:pPr>
        <w:pStyle w:val="ListParagraph"/>
        <w:spacing w:line="480" w:lineRule="auto"/>
        <w:ind w:left="142" w:hanging="567"/>
      </w:pPr>
      <w:r>
        <w:t xml:space="preserve">LeBlanc, A. J., Driscoll, A. K., &amp; Pearlin, L. I. (2004). Religiosity and the expansion of caregiver stress. </w:t>
      </w:r>
      <w:r w:rsidRPr="00635185">
        <w:rPr>
          <w:i/>
        </w:rPr>
        <w:t>Aging &amp; Mental Health, 8</w:t>
      </w:r>
      <w:r>
        <w:t xml:space="preserve">, 410–421. </w:t>
      </w:r>
      <w:r w:rsidR="002F3253" w:rsidRPr="008A7920">
        <w:rPr>
          <w:color w:val="000000" w:themeColor="text1"/>
        </w:rPr>
        <w:t>doi: 10.1080/13607860410001724992</w:t>
      </w:r>
    </w:p>
    <w:p w14:paraId="3E7CA977" w14:textId="0EF4DDE5" w:rsidR="0084528E" w:rsidRDefault="00F462E8" w:rsidP="0084528E">
      <w:pPr>
        <w:pStyle w:val="ListParagraph"/>
        <w:spacing w:line="480" w:lineRule="auto"/>
        <w:ind w:left="142" w:hanging="567"/>
      </w:pPr>
      <w:r>
        <w:t xml:space="preserve">Link, B. G., Struening, E. L., Neese-Todd, S., Asmussen, S., &amp; Phelan, J. C. (2001). Stigma as a Barrier to Recovery: The Consequences of Stigma for the Self-Esteem of People with Mental Illnesses. </w:t>
      </w:r>
      <w:r>
        <w:rPr>
          <w:i/>
        </w:rPr>
        <w:t xml:space="preserve">Psychiatric Services, 52, </w:t>
      </w:r>
      <w:r>
        <w:t xml:space="preserve">1621-1626. </w:t>
      </w:r>
      <w:r w:rsidR="002F3253" w:rsidRPr="008A7920">
        <w:t>doi: 10.1176/appi.ps.52.12.1621</w:t>
      </w:r>
    </w:p>
    <w:p w14:paraId="4BA3E255" w14:textId="77777777" w:rsidR="0084528E" w:rsidRDefault="00C25791" w:rsidP="0084528E">
      <w:pPr>
        <w:pStyle w:val="ListParagraph"/>
        <w:spacing w:line="480" w:lineRule="auto"/>
        <w:ind w:left="142" w:hanging="567"/>
      </w:pPr>
      <w:r w:rsidRPr="008A7920">
        <w:t xml:space="preserve">Little, R. J. A. (1998). A test of missing completely at random for multivariate data with missing values. </w:t>
      </w:r>
      <w:r w:rsidRPr="008A7920">
        <w:rPr>
          <w:i/>
          <w:iCs/>
        </w:rPr>
        <w:t>Journal of the American Statistical Association, 83</w:t>
      </w:r>
      <w:r>
        <w:t>, 1198-</w:t>
      </w:r>
      <w:r w:rsidRPr="008A7920">
        <w:t>1202. doi: 10.1080/01621459.1988.10478722</w:t>
      </w:r>
    </w:p>
    <w:p w14:paraId="26467912" w14:textId="6938C144" w:rsidR="00F24EBE" w:rsidRDefault="00D425AA" w:rsidP="00F24EBE">
      <w:pPr>
        <w:pStyle w:val="ListParagraph"/>
        <w:spacing w:line="480" w:lineRule="auto"/>
        <w:ind w:left="142" w:hanging="567"/>
      </w:pPr>
      <w:r>
        <w:t xml:space="preserve">Lykke, J., Hesse, M., Austin, S. F., &amp; Oestrich, I. (2008). Validity of the BPRS, the BDI and the BAI in dual diagnosis patients. </w:t>
      </w:r>
      <w:r w:rsidRPr="00D425AA">
        <w:rPr>
          <w:i/>
        </w:rPr>
        <w:t>Addictive Behaviors, 33,</w:t>
      </w:r>
      <w:r>
        <w:t xml:space="preserve"> 292-300.</w:t>
      </w:r>
      <w:r w:rsidR="002F3253" w:rsidRPr="002F3253">
        <w:rPr>
          <w:rFonts w:eastAsia="Times New Roman"/>
          <w:color w:val="000000" w:themeColor="text1"/>
        </w:rPr>
        <w:t xml:space="preserve"> </w:t>
      </w:r>
      <w:r w:rsidR="002F3253" w:rsidRPr="008A7920">
        <w:rPr>
          <w:rFonts w:eastAsia="Times New Roman"/>
          <w:color w:val="000000" w:themeColor="text1"/>
        </w:rPr>
        <w:t>doi: 10.1016/j.addbeh.2007.09.020</w:t>
      </w:r>
    </w:p>
    <w:p w14:paraId="032FE5DD" w14:textId="58D9D048" w:rsidR="00221BC1" w:rsidRDefault="00221BC1" w:rsidP="00F24EBE">
      <w:pPr>
        <w:pStyle w:val="ListParagraph"/>
        <w:spacing w:line="480" w:lineRule="auto"/>
        <w:ind w:left="142" w:hanging="567"/>
      </w:pPr>
      <w:r>
        <w:t xml:space="preserve">MacCallum, R. C., Browne, M. W., &amp; Sugawara, H. M. (1996). Power analysis and determination of sample size for covariance structure modeling. </w:t>
      </w:r>
      <w:r w:rsidRPr="00221BC1">
        <w:rPr>
          <w:i/>
        </w:rPr>
        <w:t xml:space="preserve">Psychological Methods, 1, </w:t>
      </w:r>
      <w:r>
        <w:t>130-149.</w:t>
      </w:r>
      <w:r w:rsidR="002F3253" w:rsidRPr="002F3253">
        <w:t xml:space="preserve"> doi: 10.1037//1082-989X.7.1.19</w:t>
      </w:r>
    </w:p>
    <w:p w14:paraId="15366F5E" w14:textId="24DEFD68" w:rsidR="0084528E" w:rsidRDefault="009F5D4A" w:rsidP="0084528E">
      <w:pPr>
        <w:pStyle w:val="ListParagraph"/>
        <w:spacing w:line="480" w:lineRule="auto"/>
        <w:ind w:left="142" w:hanging="567"/>
        <w:rPr>
          <w:rFonts w:asciiTheme="majorBidi" w:hAnsiTheme="majorBidi" w:cstheme="majorBidi"/>
        </w:rPr>
      </w:pPr>
      <w:r>
        <w:rPr>
          <w:rFonts w:asciiTheme="majorBidi" w:hAnsiTheme="majorBidi" w:cstheme="majorBidi"/>
        </w:rPr>
        <w:lastRenderedPageBreak/>
        <w:t xml:space="preserve">McMillan, D., Gilbody, S., Beresford, E., &amp; Neilly, L. (2007). Can we predict suicide and non-fatal self-harm with the Beck Hopelessness Scale? A meta-analysis. </w:t>
      </w:r>
      <w:r w:rsidRPr="004C6CB9">
        <w:rPr>
          <w:rFonts w:asciiTheme="majorBidi" w:hAnsiTheme="majorBidi" w:cstheme="majorBidi"/>
          <w:i/>
        </w:rPr>
        <w:t>Psychological Medicine, 37,</w:t>
      </w:r>
      <w:r>
        <w:rPr>
          <w:rFonts w:asciiTheme="majorBidi" w:hAnsiTheme="majorBidi" w:cstheme="majorBidi"/>
        </w:rPr>
        <w:t xml:space="preserve"> 769-778. </w:t>
      </w:r>
      <w:r w:rsidR="002F3253" w:rsidRPr="008A7920">
        <w:t>doi: 10.1017/S0033291706009664</w:t>
      </w:r>
    </w:p>
    <w:p w14:paraId="4CC337E6" w14:textId="66950548" w:rsidR="0084528E" w:rsidRDefault="00A71AD6" w:rsidP="0084528E">
      <w:pPr>
        <w:pStyle w:val="ListParagraph"/>
        <w:spacing w:line="480" w:lineRule="auto"/>
        <w:ind w:left="142" w:hanging="567"/>
      </w:pPr>
      <w:r w:rsidRPr="00A71AD6">
        <w:t xml:space="preserve">Miyamoto, Y., Tachimori, H., &amp; Ito, H. (2010). Formal caregiver burden in dementia: Impact of behavioral and psychological symptoms of dementia and activities of daily living. </w:t>
      </w:r>
      <w:r w:rsidRPr="00A71AD6">
        <w:rPr>
          <w:i/>
        </w:rPr>
        <w:t>Geriatric Nursing, 31,</w:t>
      </w:r>
      <w:r w:rsidRPr="00A71AD6">
        <w:t xml:space="preserve"> 246-253. </w:t>
      </w:r>
      <w:r w:rsidR="002F3253" w:rsidRPr="008A7920">
        <w:t>doi: 10.1016/j.gerinurse.2010.01.002</w:t>
      </w:r>
    </w:p>
    <w:p w14:paraId="175115E9" w14:textId="6F489E44" w:rsidR="00A93F1E" w:rsidRDefault="00A93F1E" w:rsidP="0084528E">
      <w:pPr>
        <w:pStyle w:val="ListParagraph"/>
        <w:spacing w:line="480" w:lineRule="auto"/>
        <w:ind w:left="142" w:hanging="567"/>
      </w:pPr>
      <w:r>
        <w:t xml:space="preserve">Mogge, N. L., LePage, J. P., Del Ben, K., &amp; Murphy, J. (2002). The comparison of the behavioral observation system and the brief psychiatric rating scale-expanded. </w:t>
      </w:r>
      <w:r w:rsidRPr="00A93F1E">
        <w:rPr>
          <w:i/>
        </w:rPr>
        <w:t>Journal of Clinical Psychology, 58,</w:t>
      </w:r>
      <w:r>
        <w:t xml:space="preserve"> 847-852. doi: 10.1002/jclp.2004</w:t>
      </w:r>
    </w:p>
    <w:p w14:paraId="655BC314" w14:textId="233A80BB" w:rsidR="0084528E" w:rsidRDefault="003D33A9" w:rsidP="0084528E">
      <w:pPr>
        <w:pStyle w:val="ListParagraph"/>
        <w:spacing w:line="480" w:lineRule="auto"/>
        <w:ind w:left="142" w:hanging="567"/>
      </w:pPr>
      <w:r w:rsidRPr="00042FC3">
        <w:t xml:space="preserve">Moniz-Cook, E., Millington, D., &amp; Silver, M. (1997). Residential care for older people: job satisfaction and psychological health in care staff. </w:t>
      </w:r>
      <w:r w:rsidRPr="00042FC3">
        <w:rPr>
          <w:i/>
        </w:rPr>
        <w:t xml:space="preserve">Health and Social Care in the Community, 5, </w:t>
      </w:r>
      <w:r w:rsidRPr="00042FC3">
        <w:t>124-133.</w:t>
      </w:r>
      <w:r w:rsidR="00042FC3" w:rsidRPr="00042FC3">
        <w:t xml:space="preserve"> </w:t>
      </w:r>
      <w:r w:rsidR="003B3AEC" w:rsidRPr="003B3AEC">
        <w:t>doi: 10.1111/j.1365-2524.1997.tb00107.x</w:t>
      </w:r>
    </w:p>
    <w:p w14:paraId="170B2774" w14:textId="74C9884E" w:rsidR="0084528E" w:rsidRDefault="0058727A" w:rsidP="0084528E">
      <w:pPr>
        <w:pStyle w:val="ListParagraph"/>
        <w:spacing w:line="480" w:lineRule="auto"/>
        <w:ind w:left="142" w:hanging="567"/>
        <w:rPr>
          <w:rFonts w:asciiTheme="majorBidi" w:hAnsiTheme="majorBidi" w:cstheme="majorBidi"/>
        </w:rPr>
      </w:pPr>
      <w:r>
        <w:rPr>
          <w:rFonts w:asciiTheme="majorBidi" w:hAnsiTheme="majorBidi" w:cstheme="majorBidi"/>
        </w:rPr>
        <w:t>M</w:t>
      </w:r>
      <w:r>
        <w:t>ü</w:t>
      </w:r>
      <w:r>
        <w:rPr>
          <w:rFonts w:asciiTheme="majorBidi" w:hAnsiTheme="majorBidi" w:cstheme="majorBidi"/>
        </w:rPr>
        <w:t xml:space="preserve">hlan, H., Bullinger, M., Power, M., &amp; Schmidt, S. (2008). Short Forms of Subjective Quality of Life Assessments from Cross-Cultural Studies for Use in Surveys with Different Populations. </w:t>
      </w:r>
      <w:r>
        <w:rPr>
          <w:rFonts w:asciiTheme="majorBidi" w:hAnsiTheme="majorBidi" w:cstheme="majorBidi"/>
          <w:i/>
        </w:rPr>
        <w:t xml:space="preserve">Clinical Psychology and Psychotherapy, 15, </w:t>
      </w:r>
      <w:r>
        <w:rPr>
          <w:rFonts w:asciiTheme="majorBidi" w:hAnsiTheme="majorBidi" w:cstheme="majorBidi"/>
        </w:rPr>
        <w:t>142-153.</w:t>
      </w:r>
      <w:r w:rsidR="00C50EAA">
        <w:rPr>
          <w:rFonts w:asciiTheme="majorBidi" w:hAnsiTheme="majorBidi" w:cstheme="majorBidi"/>
        </w:rPr>
        <w:t xml:space="preserve"> </w:t>
      </w:r>
      <w:r w:rsidR="00C50EAA" w:rsidRPr="008A7920">
        <w:rPr>
          <w:rFonts w:eastAsia="Times New Roman"/>
          <w:color w:val="000000"/>
          <w:shd w:val="clear" w:color="auto" w:fill="FFFFFF"/>
        </w:rPr>
        <w:t>doi:10.1002/cpp.573</w:t>
      </w:r>
    </w:p>
    <w:p w14:paraId="205ED1C5" w14:textId="77777777" w:rsidR="0084528E" w:rsidRDefault="009F5D4A" w:rsidP="0084528E">
      <w:pPr>
        <w:pStyle w:val="ListParagraph"/>
        <w:spacing w:line="480" w:lineRule="auto"/>
        <w:ind w:left="142" w:hanging="567"/>
      </w:pPr>
      <w:r w:rsidRPr="00761622">
        <w:t>Nunnally, J. C. (1978)</w:t>
      </w:r>
      <w:r>
        <w:t xml:space="preserve">. </w:t>
      </w:r>
      <w:r w:rsidRPr="00761622">
        <w:rPr>
          <w:i/>
        </w:rPr>
        <w:t>Psychometric Theory</w:t>
      </w:r>
      <w:r>
        <w:t>. New York</w:t>
      </w:r>
      <w:r w:rsidRPr="00761622">
        <w:t>: McGraw-Hill.</w:t>
      </w:r>
    </w:p>
    <w:p w14:paraId="0C194B9E" w14:textId="4F0878CD" w:rsidR="0084528E" w:rsidRDefault="009F5D4A" w:rsidP="0084528E">
      <w:pPr>
        <w:pStyle w:val="ListParagraph"/>
        <w:spacing w:line="480" w:lineRule="auto"/>
        <w:ind w:left="142" w:hanging="567"/>
      </w:pPr>
      <w:r>
        <w:t xml:space="preserve">O'Connor, R. C. (2003). Suicidal behavior as a cry of pain: Test of a psychological model. </w:t>
      </w:r>
      <w:r w:rsidRPr="00635185">
        <w:rPr>
          <w:i/>
        </w:rPr>
        <w:t>Archives of Suicide Research, 7</w:t>
      </w:r>
      <w:r>
        <w:t xml:space="preserve">, 297-308. </w:t>
      </w:r>
      <w:r w:rsidR="00C50EAA" w:rsidRPr="008A7920">
        <w:t>doi: 10.1080/13811110390226417</w:t>
      </w:r>
    </w:p>
    <w:p w14:paraId="70278C2C" w14:textId="77777777" w:rsidR="0084528E" w:rsidRDefault="00297DFA" w:rsidP="0084528E">
      <w:pPr>
        <w:pStyle w:val="ListParagraph"/>
        <w:spacing w:line="480" w:lineRule="auto"/>
        <w:ind w:left="142" w:hanging="567"/>
        <w:rPr>
          <w:color w:val="000000"/>
        </w:rPr>
      </w:pPr>
      <w:r w:rsidRPr="008A7920">
        <w:t>O’Connor, R. C., Smyth, R., Ferguson, E., Ryan, C.</w:t>
      </w:r>
      <w:r>
        <w:t>, &amp; Williams, J. M. G.</w:t>
      </w:r>
      <w:r w:rsidRPr="008A7920">
        <w:t xml:space="preserve"> (2013). Psychological processes and repeat suicidal behavior: A four-year prospective study. </w:t>
      </w:r>
      <w:r w:rsidRPr="008A7920">
        <w:rPr>
          <w:i/>
        </w:rPr>
        <w:t xml:space="preserve">Journal of Counselling and Clinical Psychology, 81, </w:t>
      </w:r>
      <w:r w:rsidRPr="008A7920">
        <w:t xml:space="preserve">1137-1143. </w:t>
      </w:r>
      <w:r w:rsidRPr="008A7920">
        <w:rPr>
          <w:color w:val="000000"/>
        </w:rPr>
        <w:t>doi: 10.1037/a0033751</w:t>
      </w:r>
    </w:p>
    <w:p w14:paraId="0C38AB7B" w14:textId="301993DC" w:rsidR="0084528E" w:rsidRDefault="009F5D4A" w:rsidP="0084528E">
      <w:pPr>
        <w:pStyle w:val="ListParagraph"/>
        <w:spacing w:line="480" w:lineRule="auto"/>
        <w:ind w:left="142" w:hanging="567"/>
      </w:pPr>
      <w:r>
        <w:lastRenderedPageBreak/>
        <w:t xml:space="preserve">O’Rourke, N. &amp; Tuokko, H. A. (2003). Psychometric properties of an abridged version of the Zarit Burden Interview within a representative Canadian </w:t>
      </w:r>
      <w:r w:rsidRPr="00642418">
        <w:t xml:space="preserve">caregiver sample. </w:t>
      </w:r>
      <w:r w:rsidR="00465C56" w:rsidRPr="00642418">
        <w:rPr>
          <w:i/>
        </w:rPr>
        <w:t xml:space="preserve">The Gerontologist, 43, </w:t>
      </w:r>
      <w:r w:rsidR="0061622E" w:rsidRPr="00642418">
        <w:t xml:space="preserve">121-127. </w:t>
      </w:r>
      <w:r w:rsidR="00C50EAA" w:rsidRPr="008A7920">
        <w:rPr>
          <w:rFonts w:eastAsia="Times New Roman"/>
          <w:shd w:val="clear" w:color="auto" w:fill="FFFFFF"/>
        </w:rPr>
        <w:t>doi: 10.1177/0013164404268668</w:t>
      </w:r>
    </w:p>
    <w:p w14:paraId="468CEF5C" w14:textId="6666F90B" w:rsidR="0084528E" w:rsidRDefault="009F5D4A" w:rsidP="0084528E">
      <w:pPr>
        <w:pStyle w:val="ListParagraph"/>
        <w:spacing w:line="480" w:lineRule="auto"/>
        <w:ind w:left="142" w:hanging="567"/>
      </w:pPr>
      <w:r>
        <w:t xml:space="preserve">Oliver, J. M. &amp; Simmons, M. E. (1984). Depression as measured by the DSM-III and the Beck Depression Inventory in an unselected adult population. </w:t>
      </w:r>
      <w:r>
        <w:rPr>
          <w:i/>
        </w:rPr>
        <w:t xml:space="preserve">Journal of Consulting and Clinical Psychology, 52, </w:t>
      </w:r>
      <w:r>
        <w:t>892-898.</w:t>
      </w:r>
      <w:r w:rsidR="000B69E9" w:rsidRPr="000B69E9">
        <w:t xml:space="preserve"> </w:t>
      </w:r>
      <w:r w:rsidR="00C50EAA" w:rsidRPr="008A7920">
        <w:t>doi: 10.1037/0022-006X.52.5.892</w:t>
      </w:r>
    </w:p>
    <w:p w14:paraId="14AFDF4F" w14:textId="6AF63009" w:rsidR="0084528E" w:rsidRDefault="009F5D4A" w:rsidP="0084528E">
      <w:pPr>
        <w:pStyle w:val="ListParagraph"/>
        <w:spacing w:line="480" w:lineRule="auto"/>
        <w:ind w:left="142" w:hanging="567"/>
      </w:pPr>
      <w:r>
        <w:t xml:space="preserve">Panagioti, M., Gooding, P. A., &amp; Tarrier, N. (2012). Hopelessness, defeat, and </w:t>
      </w:r>
      <w:r w:rsidR="0084528E">
        <w:br/>
      </w:r>
      <w:r>
        <w:t xml:space="preserve">entrapment in posttraumatic stress </w:t>
      </w:r>
      <w:r w:rsidR="00C50EAA">
        <w:rPr>
          <w:rFonts w:eastAsia="Times New Roman"/>
        </w:rPr>
        <w:t>di</w:t>
      </w:r>
      <w:r w:rsidR="00C50EAA" w:rsidRPr="008A7920">
        <w:rPr>
          <w:rFonts w:eastAsia="Times New Roman"/>
        </w:rPr>
        <w:t xml:space="preserve">sorder: Their association with suicidal behaviour and severity of depression. </w:t>
      </w:r>
      <w:r w:rsidR="00C50EAA">
        <w:rPr>
          <w:rFonts w:eastAsia="Times New Roman"/>
          <w:i/>
        </w:rPr>
        <w:t>Journal of Nervous and Mental</w:t>
      </w:r>
      <w:r w:rsidR="00C50EAA" w:rsidRPr="008A7920">
        <w:rPr>
          <w:rFonts w:eastAsia="Times New Roman"/>
          <w:i/>
        </w:rPr>
        <w:br/>
        <w:t>Disease, 200,</w:t>
      </w:r>
      <w:r w:rsidR="00C50EAA" w:rsidRPr="008A7920">
        <w:rPr>
          <w:rFonts w:eastAsia="Times New Roman"/>
        </w:rPr>
        <w:t xml:space="preserve"> 676-683. doi: 10.1097/</w:t>
      </w:r>
      <w:r w:rsidR="00C50EAA">
        <w:rPr>
          <w:rFonts w:eastAsia="Times New Roman"/>
        </w:rPr>
        <w:t>nmd</w:t>
      </w:r>
      <w:r w:rsidR="00C50EAA" w:rsidRPr="008A7920">
        <w:rPr>
          <w:rFonts w:eastAsia="Times New Roman"/>
        </w:rPr>
        <w:t>.0b013e3182613f91</w:t>
      </w:r>
    </w:p>
    <w:p w14:paraId="06320B8F" w14:textId="11CE89C5" w:rsidR="0084528E" w:rsidRDefault="009F5D4A" w:rsidP="0084528E">
      <w:pPr>
        <w:pStyle w:val="ListParagraph"/>
        <w:spacing w:line="480" w:lineRule="auto"/>
        <w:ind w:left="142" w:hanging="567"/>
      </w:pPr>
      <w:r>
        <w:t xml:space="preserve">Price, J., &amp; Sloman, L. (1987). Depression as yielding behavior: An animal model based on Schjelderup-Ebbe's pecking order. </w:t>
      </w:r>
      <w:r w:rsidRPr="00635185">
        <w:rPr>
          <w:i/>
        </w:rPr>
        <w:t>Ethology and Sociobiology, 8</w:t>
      </w:r>
      <w:r>
        <w:t xml:space="preserve">, 85-98. </w:t>
      </w:r>
      <w:r w:rsidR="00C50EAA" w:rsidRPr="008A7920">
        <w:t>doi: 10.1016/0162-3095(87)90021-5</w:t>
      </w:r>
    </w:p>
    <w:p w14:paraId="7B06B920" w14:textId="1A1FA317" w:rsidR="0084528E" w:rsidRDefault="009F5D4A" w:rsidP="0084528E">
      <w:pPr>
        <w:pStyle w:val="ListParagraph"/>
        <w:spacing w:line="480" w:lineRule="auto"/>
        <w:ind w:left="142" w:hanging="567"/>
      </w:pPr>
      <w:r>
        <w:t xml:space="preserve">Price, J., Sloman, L., Gardner, R., Gilbert, P., &amp; Rhode, P. (1994). The social competition hypothesis of depression. </w:t>
      </w:r>
      <w:r w:rsidRPr="00635185">
        <w:rPr>
          <w:i/>
        </w:rPr>
        <w:t>British Journal of Psychiatry, 164</w:t>
      </w:r>
      <w:r w:rsidR="00642418">
        <w:t>, 309-</w:t>
      </w:r>
      <w:r w:rsidR="00E1496A">
        <w:t xml:space="preserve">315. </w:t>
      </w:r>
      <w:r w:rsidR="00C50EAA" w:rsidRPr="008A7920">
        <w:t>doi: 10.1192/bjp.164.3.309</w:t>
      </w:r>
    </w:p>
    <w:p w14:paraId="459FAE81" w14:textId="57EA873C" w:rsidR="0084528E" w:rsidRDefault="009F5D4A" w:rsidP="0084528E">
      <w:pPr>
        <w:pStyle w:val="ListParagraph"/>
        <w:spacing w:line="480" w:lineRule="auto"/>
        <w:ind w:left="142" w:hanging="567"/>
      </w:pPr>
      <w:r>
        <w:t xml:space="preserve">Radloff, L. S. (1977). The CES-D scale: A self-report depression scale for research in the general population. </w:t>
      </w:r>
      <w:r w:rsidR="00642418">
        <w:rPr>
          <w:i/>
        </w:rPr>
        <w:t xml:space="preserve">Applied Psychological </w:t>
      </w:r>
      <w:r w:rsidRPr="00635185">
        <w:rPr>
          <w:i/>
        </w:rPr>
        <w:t>Measures, 1</w:t>
      </w:r>
      <w:r>
        <w:t xml:space="preserve">, 385–401. </w:t>
      </w:r>
      <w:r w:rsidR="00C50EAA" w:rsidRPr="008A7920">
        <w:t xml:space="preserve">doi: </w:t>
      </w:r>
      <w:r w:rsidR="00C50EAA" w:rsidRPr="008A7920">
        <w:rPr>
          <w:rStyle w:val="slug-doi"/>
        </w:rPr>
        <w:t>10.1177/014662167700100306</w:t>
      </w:r>
    </w:p>
    <w:p w14:paraId="6249A9BC" w14:textId="2D05AF70" w:rsidR="0084528E" w:rsidRDefault="009F5D4A" w:rsidP="0084528E">
      <w:pPr>
        <w:pStyle w:val="ListParagraph"/>
        <w:spacing w:line="480" w:lineRule="auto"/>
        <w:ind w:left="142" w:hanging="567"/>
      </w:pPr>
      <w:r>
        <w:t xml:space="preserve">Rasmussen, S. A., Fraser, L., Gotz, M., MacHale, S., Mackie, R., Masterton, G., </w:t>
      </w:r>
      <w:r w:rsidR="00642418">
        <w:t xml:space="preserve">&amp; </w:t>
      </w:r>
      <w:r>
        <w:t xml:space="preserve">O’Connor, R. C. (2010). Elaborating the cry of pain model of suicidality: Testing a psychological model in a sample of first-time and repeat self-harm patients. </w:t>
      </w:r>
      <w:r w:rsidRPr="00635185">
        <w:rPr>
          <w:i/>
        </w:rPr>
        <w:t>British Journal of Clinical Psychology, 49</w:t>
      </w:r>
      <w:r>
        <w:t xml:space="preserve">, 15-30. </w:t>
      </w:r>
      <w:r w:rsidR="00C50EAA" w:rsidRPr="008A7920">
        <w:t>doi: 10.1348/014466509X415735</w:t>
      </w:r>
    </w:p>
    <w:p w14:paraId="63CC78CE" w14:textId="77777777" w:rsidR="00D52565" w:rsidRDefault="00F24EBE" w:rsidP="00D52565">
      <w:pPr>
        <w:pStyle w:val="ListParagraph"/>
        <w:spacing w:line="480" w:lineRule="auto"/>
        <w:ind w:left="142" w:hanging="567"/>
      </w:pPr>
      <w:r>
        <w:t xml:space="preserve">Rosseel, Y. (2014). </w:t>
      </w:r>
      <w:r w:rsidRPr="00145877">
        <w:rPr>
          <w:i/>
        </w:rPr>
        <w:t>The lavaan tutorial.</w:t>
      </w:r>
      <w:r>
        <w:t xml:space="preserve"> Retrieved from </w:t>
      </w:r>
      <w:hyperlink r:id="rId11" w:history="1">
        <w:r w:rsidR="00145877" w:rsidRPr="00592B66">
          <w:rPr>
            <w:rStyle w:val="Hyperlink"/>
          </w:rPr>
          <w:t>http://lavaan.ugent.be/tutorial/tutorial.pdf</w:t>
        </w:r>
      </w:hyperlink>
      <w:r w:rsidR="00145877">
        <w:t xml:space="preserve"> on August 20th 2014.</w:t>
      </w:r>
    </w:p>
    <w:p w14:paraId="6C2E0F28" w14:textId="3643632F" w:rsidR="00D52565" w:rsidRPr="008A7920" w:rsidRDefault="00D52565" w:rsidP="00D52565">
      <w:pPr>
        <w:pStyle w:val="ListParagraph"/>
        <w:spacing w:line="480" w:lineRule="auto"/>
        <w:ind w:left="142" w:hanging="567"/>
      </w:pPr>
      <w:r w:rsidRPr="008A7920">
        <w:lastRenderedPageBreak/>
        <w:t xml:space="preserve">Rubin, D.B. (1987). </w:t>
      </w:r>
      <w:r w:rsidRPr="008A7920">
        <w:rPr>
          <w:i/>
          <w:iCs/>
        </w:rPr>
        <w:t>Multiple imputation for nonresponse in surveys</w:t>
      </w:r>
      <w:r w:rsidRPr="008A7920">
        <w:t xml:space="preserve">. New York, NY: John Wiley &amp; Sons. </w:t>
      </w:r>
    </w:p>
    <w:p w14:paraId="0935B359" w14:textId="77777777" w:rsidR="00D52565" w:rsidRDefault="00D52565" w:rsidP="0084528E">
      <w:pPr>
        <w:pStyle w:val="ListParagraph"/>
        <w:spacing w:line="480" w:lineRule="auto"/>
        <w:ind w:left="142" w:hanging="567"/>
      </w:pPr>
    </w:p>
    <w:p w14:paraId="3C4D2AFB" w14:textId="7C1399B3" w:rsidR="0084528E" w:rsidRDefault="00926B21" w:rsidP="0084528E">
      <w:pPr>
        <w:pStyle w:val="ListParagraph"/>
        <w:spacing w:line="480" w:lineRule="auto"/>
        <w:ind w:left="142" w:hanging="567"/>
      </w:pPr>
      <w:r>
        <w:t xml:space="preserve">Schroevers, M. J., Sanderman, R., van Sonderen, E., &amp; Ranchor, A. V. (2000). The evaluation of the Center for Epidemiologic Studies Depression (CES-D) scale: Depressed and Positive Affect in cancer patients and health reference subjects. </w:t>
      </w:r>
      <w:r>
        <w:rPr>
          <w:i/>
        </w:rPr>
        <w:t xml:space="preserve">Quality of Life Research, 9, </w:t>
      </w:r>
      <w:r>
        <w:t>1015-1029.</w:t>
      </w:r>
      <w:r w:rsidR="006347A2">
        <w:t xml:space="preserve"> </w:t>
      </w:r>
      <w:r w:rsidR="00C50EAA" w:rsidRPr="008A7920">
        <w:t>doi: 10.1023/A:1016673003237</w:t>
      </w:r>
    </w:p>
    <w:p w14:paraId="4EEA4EBB" w14:textId="3918011E" w:rsidR="0084528E" w:rsidRDefault="00C21FE8" w:rsidP="0084528E">
      <w:pPr>
        <w:pStyle w:val="ListParagraph"/>
        <w:spacing w:line="480" w:lineRule="auto"/>
        <w:ind w:left="142" w:hanging="567"/>
      </w:pPr>
      <w:r>
        <w:t>Sheehan, D. V., Lecrubier, Y., Sheehan, K. H., Amorim, P., Janavas, J., Weiller, E., Hergueta, T., Baker, R., Dunbar, G. C. et al. (1998). The Mini-International Interview (M.I.N.I.): The development and validation of a structured diagnostic psychiatric interview for DSM-IV and ICD-10</w:t>
      </w:r>
      <w:r w:rsidRPr="00C21FE8">
        <w:rPr>
          <w:i/>
        </w:rPr>
        <w:t>. Journal of Clinical Psychiatry, 59 (S20),</w:t>
      </w:r>
      <w:r>
        <w:t xml:space="preserve"> 22-33.</w:t>
      </w:r>
      <w:r w:rsidR="00C50EAA" w:rsidRPr="00C50EAA">
        <w:t xml:space="preserve"> </w:t>
      </w:r>
      <w:r w:rsidR="00C50EAA" w:rsidRPr="008A7920">
        <w:t>doi: 10.1016/S0924-9338(97)83296-8</w:t>
      </w:r>
    </w:p>
    <w:p w14:paraId="41B0D3F1" w14:textId="77777777" w:rsidR="0084528E" w:rsidRDefault="009F5D4A" w:rsidP="0084528E">
      <w:pPr>
        <w:pStyle w:val="ListParagraph"/>
        <w:spacing w:line="480" w:lineRule="auto"/>
        <w:ind w:left="142" w:hanging="567"/>
      </w:pPr>
      <w:r>
        <w:t xml:space="preserve">Sloman, L. (2000). How the involuntary defeat strategy relates to depression. In L. Sloman &amp; P. Gilbert (Eds.), </w:t>
      </w:r>
      <w:r w:rsidRPr="00635185">
        <w:rPr>
          <w:i/>
        </w:rPr>
        <w:t>Subordination and defeat: An evolutionary approach to mood disorders and their therapy</w:t>
      </w:r>
      <w:r>
        <w:t xml:space="preserve"> (pp. 47-67). Mahwah, NJ: Lawrence Erlbaum Associates.</w:t>
      </w:r>
    </w:p>
    <w:p w14:paraId="109ECB63" w14:textId="03EE744C" w:rsidR="0084528E" w:rsidRDefault="00835509" w:rsidP="0084528E">
      <w:pPr>
        <w:pStyle w:val="ListParagraph"/>
        <w:spacing w:line="480" w:lineRule="auto"/>
        <w:ind w:left="142" w:hanging="567"/>
      </w:pPr>
      <w:r>
        <w:t xml:space="preserve">Sourial, R., McCusker, J., Cole, M., &amp; Abrahamowicz, M. (2001). Agitation in Demented Patients in an Acute Care Hospital: Prevalence, Disruptiveness, and Staff Burden. </w:t>
      </w:r>
      <w:r>
        <w:rPr>
          <w:i/>
        </w:rPr>
        <w:t xml:space="preserve">International Psychogeriatrics, 13, </w:t>
      </w:r>
      <w:r>
        <w:t>187-193.</w:t>
      </w:r>
      <w:r w:rsidR="00C50EAA" w:rsidRPr="00C50EAA">
        <w:t xml:space="preserve"> </w:t>
      </w:r>
      <w:r w:rsidR="00C50EAA" w:rsidRPr="008A7920">
        <w:t>doi: 10.1017/S1041610201007578</w:t>
      </w:r>
    </w:p>
    <w:p w14:paraId="0AE99390" w14:textId="2292AF96" w:rsidR="0084528E" w:rsidRDefault="006D61D3" w:rsidP="0084528E">
      <w:pPr>
        <w:pStyle w:val="ListParagraph"/>
        <w:spacing w:line="480" w:lineRule="auto"/>
        <w:ind w:left="142" w:hanging="567"/>
      </w:pPr>
      <w:r>
        <w:t xml:space="preserve">Stommel, M., Given, C. W., &amp; Given, B. (1990). Depression as an overriding variable explaining caregiver burdens. </w:t>
      </w:r>
      <w:r w:rsidRPr="00635185">
        <w:rPr>
          <w:i/>
        </w:rPr>
        <w:t>Journal of Aging and Health, 2</w:t>
      </w:r>
      <w:r>
        <w:t>, 81-102</w:t>
      </w:r>
      <w:r w:rsidR="000A56EC">
        <w:t>.</w:t>
      </w:r>
      <w:r w:rsidR="00C50EAA" w:rsidRPr="00C50EAA">
        <w:t xml:space="preserve"> </w:t>
      </w:r>
      <w:r w:rsidR="00C50EAA" w:rsidRPr="008A7920">
        <w:t>doi: 10.1177/089826439000200106</w:t>
      </w:r>
    </w:p>
    <w:p w14:paraId="1136B4B9" w14:textId="4D839C10" w:rsidR="0084528E" w:rsidRDefault="009F5D4A" w:rsidP="0084528E">
      <w:pPr>
        <w:pStyle w:val="ListParagraph"/>
        <w:spacing w:line="480" w:lineRule="auto"/>
        <w:ind w:left="142" w:hanging="567"/>
      </w:pPr>
      <w:r w:rsidRPr="00700674">
        <w:t xml:space="preserve">Stowkowy, J. &amp; Addington, J. (2012). Maladaptive schemas as a mediator between </w:t>
      </w:r>
      <w:r w:rsidR="0084528E">
        <w:br/>
      </w:r>
      <w:r w:rsidR="006441AC" w:rsidRPr="00700674">
        <w:t xml:space="preserve">social </w:t>
      </w:r>
      <w:r w:rsidRPr="00700674">
        <w:t xml:space="preserve">defeat and positive symptoms in young people at clinical high risk for </w:t>
      </w:r>
      <w:r w:rsidR="0084528E">
        <w:br/>
      </w:r>
      <w:r w:rsidR="006441AC" w:rsidRPr="00700674">
        <w:lastRenderedPageBreak/>
        <w:t xml:space="preserve">psychosis. </w:t>
      </w:r>
      <w:r w:rsidRPr="00700674">
        <w:rPr>
          <w:i/>
        </w:rPr>
        <w:t xml:space="preserve">Early Intervention in Psychiatry, 6, </w:t>
      </w:r>
      <w:r w:rsidRPr="00700674">
        <w:t>87-90</w:t>
      </w:r>
      <w:r w:rsidR="00700674" w:rsidRPr="00700674">
        <w:t xml:space="preserve">. </w:t>
      </w:r>
      <w:r w:rsidR="00C50EAA" w:rsidRPr="008A7920">
        <w:t>doi: 10.1111/j.1751-7893.2011.00297.x</w:t>
      </w:r>
    </w:p>
    <w:p w14:paraId="77B391A5" w14:textId="77777777" w:rsidR="0084528E" w:rsidRDefault="0063792C" w:rsidP="0084528E">
      <w:pPr>
        <w:pStyle w:val="ListParagraph"/>
        <w:spacing w:line="480" w:lineRule="auto"/>
        <w:ind w:left="142" w:hanging="567"/>
        <w:rPr>
          <w:rFonts w:eastAsia="Times New Roman"/>
          <w:shd w:val="clear" w:color="auto" w:fill="FFFFFF"/>
          <w:lang w:val="en-GB" w:eastAsia="en-US"/>
        </w:rPr>
      </w:pPr>
      <w:r>
        <w:rPr>
          <w:rFonts w:eastAsia="Times New Roman"/>
          <w:shd w:val="clear" w:color="auto" w:fill="FFFFFF"/>
          <w:lang w:val="en-GB" w:eastAsia="en-US"/>
        </w:rPr>
        <w:t xml:space="preserve">Streiner, D. L. &amp; Norman, G. R. (2008). </w:t>
      </w:r>
      <w:r w:rsidRPr="0063792C">
        <w:rPr>
          <w:rFonts w:eastAsia="Times New Roman"/>
          <w:i/>
          <w:shd w:val="clear" w:color="auto" w:fill="FFFFFF"/>
          <w:lang w:val="en-GB" w:eastAsia="en-US"/>
        </w:rPr>
        <w:t>Health measurement</w:t>
      </w:r>
      <w:r w:rsidR="0084528E">
        <w:rPr>
          <w:rFonts w:eastAsia="Times New Roman"/>
          <w:i/>
          <w:shd w:val="clear" w:color="auto" w:fill="FFFFFF"/>
          <w:lang w:val="en-GB" w:eastAsia="en-US"/>
        </w:rPr>
        <w:t xml:space="preserve"> scales: A practical </w:t>
      </w:r>
      <w:r w:rsidR="0084528E">
        <w:rPr>
          <w:rFonts w:eastAsia="Times New Roman"/>
          <w:i/>
          <w:shd w:val="clear" w:color="auto" w:fill="FFFFFF"/>
          <w:lang w:val="en-GB" w:eastAsia="en-US"/>
        </w:rPr>
        <w:br/>
        <w:t xml:space="preserve"> </w:t>
      </w:r>
      <w:r w:rsidRPr="0063792C">
        <w:rPr>
          <w:rFonts w:eastAsia="Times New Roman"/>
          <w:i/>
          <w:shd w:val="clear" w:color="auto" w:fill="FFFFFF"/>
          <w:lang w:val="en-GB" w:eastAsia="en-US"/>
        </w:rPr>
        <w:t>guide to their development and use</w:t>
      </w:r>
      <w:r>
        <w:rPr>
          <w:rFonts w:eastAsia="Times New Roman"/>
          <w:shd w:val="clear" w:color="auto" w:fill="FFFFFF"/>
          <w:lang w:val="en-GB" w:eastAsia="en-US"/>
        </w:rPr>
        <w:t>. Oxford University Press: Oxford.</w:t>
      </w:r>
    </w:p>
    <w:p w14:paraId="3F505514" w14:textId="71426629" w:rsidR="0084528E" w:rsidRDefault="009F5D4A" w:rsidP="0084528E">
      <w:pPr>
        <w:pStyle w:val="ListParagraph"/>
        <w:spacing w:line="480" w:lineRule="auto"/>
        <w:ind w:left="142" w:hanging="567"/>
      </w:pPr>
      <w:r>
        <w:t>Sturman, E. D. (2011). Involuntary subordination and its re</w:t>
      </w:r>
      <w:r w:rsidR="0084528E">
        <w:t xml:space="preserve">lation to personality, mood, </w:t>
      </w:r>
      <w:r w:rsidR="0084528E">
        <w:br/>
      </w:r>
      <w:r>
        <w:t xml:space="preserve">and submissive behaviour. </w:t>
      </w:r>
      <w:r>
        <w:rPr>
          <w:i/>
        </w:rPr>
        <w:t xml:space="preserve">Psychological Assessment, 23, </w:t>
      </w:r>
      <w:r>
        <w:t>262-276.</w:t>
      </w:r>
      <w:r w:rsidR="000B69E9" w:rsidRPr="000B69E9">
        <w:t xml:space="preserve"> </w:t>
      </w:r>
      <w:r w:rsidR="00C50EAA" w:rsidRPr="008A7920">
        <w:t>doi: 10.1037/a0021499</w:t>
      </w:r>
    </w:p>
    <w:p w14:paraId="4F2B26C1" w14:textId="07315430" w:rsidR="0084528E" w:rsidRDefault="009F5D4A" w:rsidP="0084528E">
      <w:pPr>
        <w:pStyle w:val="ListParagraph"/>
        <w:spacing w:line="480" w:lineRule="auto"/>
        <w:ind w:left="142" w:hanging="567"/>
      </w:pPr>
      <w:r>
        <w:t xml:space="preserve">Sturman, E. D., &amp; Mongrain, M. (2005). Self-criticism and depression: An evolutionary perspective. </w:t>
      </w:r>
      <w:r w:rsidRPr="00635185">
        <w:rPr>
          <w:i/>
        </w:rPr>
        <w:t>British Journal of Clinical Psychology, 44</w:t>
      </w:r>
      <w:r>
        <w:t xml:space="preserve">, 505-519. </w:t>
      </w:r>
      <w:r w:rsidR="00C50EAA" w:rsidRPr="008A7920">
        <w:t>doi: 10.1348/014466505X35722</w:t>
      </w:r>
    </w:p>
    <w:p w14:paraId="2ED308D8" w14:textId="092A3CA0" w:rsidR="0084528E" w:rsidRDefault="009F5D4A" w:rsidP="0084528E">
      <w:pPr>
        <w:pStyle w:val="ListParagraph"/>
        <w:spacing w:line="480" w:lineRule="auto"/>
        <w:ind w:left="142" w:hanging="567"/>
      </w:pPr>
      <w:r>
        <w:t>Sturman, E. D., &amp; Mongrain, M. (2008</w:t>
      </w:r>
      <w:r w:rsidR="002606ED">
        <w:t>a</w:t>
      </w:r>
      <w:r>
        <w:t xml:space="preserve">). The role of personality in defeat: A revised social rank model. </w:t>
      </w:r>
      <w:r w:rsidRPr="00635185">
        <w:rPr>
          <w:i/>
        </w:rPr>
        <w:t>European Journal of Personality, 22</w:t>
      </w:r>
      <w:r>
        <w:t xml:space="preserve">, 55-79. </w:t>
      </w:r>
      <w:r w:rsidR="00C50EAA" w:rsidRPr="008A7920">
        <w:t>doi: 10.1002/per.653</w:t>
      </w:r>
    </w:p>
    <w:p w14:paraId="73F403CB" w14:textId="4301C256" w:rsidR="0084528E" w:rsidRDefault="002606ED" w:rsidP="0084528E">
      <w:pPr>
        <w:pStyle w:val="ListParagraph"/>
        <w:spacing w:line="480" w:lineRule="auto"/>
        <w:ind w:left="142" w:hanging="567"/>
      </w:pPr>
      <w:r>
        <w:t xml:space="preserve">Sturman, E. D., &amp; Mongrain, M. (2008b). Entrapment and perceived status in graduate students experiencing a recurrence of major depression. </w:t>
      </w:r>
      <w:r w:rsidRPr="00635185">
        <w:rPr>
          <w:i/>
        </w:rPr>
        <w:t>Canadian Journal of Behavioural Science, 40</w:t>
      </w:r>
      <w:r>
        <w:t>, 185–188.</w:t>
      </w:r>
      <w:r w:rsidR="00C50EAA" w:rsidRPr="00C50EAA">
        <w:t xml:space="preserve"> </w:t>
      </w:r>
      <w:r w:rsidR="00C50EAA" w:rsidRPr="008A7920">
        <w:t>doi: 10.1037/0008-400X.40.3.185</w:t>
      </w:r>
    </w:p>
    <w:p w14:paraId="15919CF7" w14:textId="0C34DBF8" w:rsidR="0084528E" w:rsidRDefault="00956B32" w:rsidP="0084528E">
      <w:pPr>
        <w:pStyle w:val="ListParagraph"/>
        <w:spacing w:line="480" w:lineRule="auto"/>
        <w:ind w:left="142" w:hanging="567"/>
      </w:pPr>
      <w:r>
        <w:t>Swallow, S. R. (2000). A cognitive behavioural perspe</w:t>
      </w:r>
      <w:r w:rsidR="00C30C6E">
        <w:t xml:space="preserve">ctive on the involuntary defeat </w:t>
      </w:r>
      <w:r>
        <w:t xml:space="preserve">strategy. In L. Sloman &amp; P. Gilbert (Eds.), </w:t>
      </w:r>
      <w:r w:rsidRPr="00635185">
        <w:rPr>
          <w:i/>
        </w:rPr>
        <w:t>Subordination and defeat: An evolutionary approach to mood disorders and their therapy</w:t>
      </w:r>
      <w:r>
        <w:t xml:space="preserve"> (pp. 181–198). Mahwah, NJ: Lawrence Erlbaum Associates.</w:t>
      </w:r>
    </w:p>
    <w:p w14:paraId="634F77B8" w14:textId="77777777" w:rsidR="0084528E" w:rsidRDefault="009F5D4A" w:rsidP="0084528E">
      <w:pPr>
        <w:pStyle w:val="ListParagraph"/>
        <w:spacing w:line="480" w:lineRule="auto"/>
        <w:ind w:left="142" w:hanging="567"/>
      </w:pPr>
      <w:r>
        <w:t xml:space="preserve">Tarrier, N. (2006). </w:t>
      </w:r>
      <w:r w:rsidRPr="00635185">
        <w:rPr>
          <w:i/>
        </w:rPr>
        <w:t>Case formulation in cognitive behaviour therapy: The treatment of challenging and complex cases</w:t>
      </w:r>
      <w:r>
        <w:t>. London: Routledge.</w:t>
      </w:r>
    </w:p>
    <w:p w14:paraId="084C7DAB" w14:textId="77777777" w:rsidR="00396CDD" w:rsidRPr="00396CDD" w:rsidRDefault="00396CDD" w:rsidP="00396CDD">
      <w:pPr>
        <w:pStyle w:val="ListParagraph"/>
        <w:spacing w:line="480" w:lineRule="auto"/>
        <w:ind w:left="142" w:hanging="567"/>
        <w:rPr>
          <w:rFonts w:eastAsia="Times New Roman"/>
          <w:color w:val="000000"/>
          <w:shd w:val="clear" w:color="auto" w:fill="FFFFFF"/>
        </w:rPr>
      </w:pPr>
      <w:r w:rsidRPr="00396CDD">
        <w:rPr>
          <w:color w:val="000000"/>
          <w:shd w:val="clear" w:color="auto" w:fill="FFFFFF"/>
        </w:rPr>
        <w:t>Taylor, P. J., Awenat, Y., Gooding, P. A.,</w:t>
      </w:r>
      <w:r w:rsidRPr="00396CDD">
        <w:rPr>
          <w:rStyle w:val="apple-converted-space"/>
          <w:color w:val="000000"/>
          <w:shd w:val="clear" w:color="auto" w:fill="FFFFFF"/>
        </w:rPr>
        <w:t> </w:t>
      </w:r>
      <w:r w:rsidRPr="00396CDD">
        <w:rPr>
          <w:color w:val="000000"/>
          <w:shd w:val="clear" w:color="auto" w:fill="FFFFFF"/>
        </w:rPr>
        <w:t>Johnson, J., Pratt, D., &amp; Wood, A. M., &amp; Tarrier, N. (2010</w:t>
      </w:r>
      <w:r>
        <w:rPr>
          <w:color w:val="000000"/>
          <w:shd w:val="clear" w:color="auto" w:fill="FFFFFF"/>
        </w:rPr>
        <w:t>c</w:t>
      </w:r>
      <w:r w:rsidRPr="00396CDD">
        <w:rPr>
          <w:color w:val="000000"/>
          <w:shd w:val="clear" w:color="auto" w:fill="FFFFFF"/>
        </w:rPr>
        <w:t xml:space="preserve">). The subjective experience of participation in schizophrenia </w:t>
      </w:r>
      <w:r w:rsidRPr="00396CDD">
        <w:rPr>
          <w:color w:val="000000"/>
          <w:shd w:val="clear" w:color="auto" w:fill="FFFFFF"/>
        </w:rPr>
        <w:lastRenderedPageBreak/>
        <w:t>research: A practical and ethical issue.</w:t>
      </w:r>
      <w:r>
        <w:rPr>
          <w:color w:val="000000"/>
          <w:shd w:val="clear" w:color="auto" w:fill="FFFFFF"/>
        </w:rPr>
        <w:t xml:space="preserve"> </w:t>
      </w:r>
      <w:r w:rsidRPr="00396CDD">
        <w:rPr>
          <w:i/>
          <w:iCs/>
          <w:color w:val="000000"/>
          <w:shd w:val="clear" w:color="auto" w:fill="FFFFFF"/>
        </w:rPr>
        <w:t>Journal of Nervous and Mental Disease, 198,</w:t>
      </w:r>
      <w:r w:rsidRPr="00396CDD">
        <w:rPr>
          <w:rStyle w:val="apple-converted-space"/>
          <w:i/>
          <w:iCs/>
          <w:color w:val="000000"/>
          <w:shd w:val="clear" w:color="auto" w:fill="FFFFFF"/>
        </w:rPr>
        <w:t> </w:t>
      </w:r>
      <w:r w:rsidRPr="00396CDD">
        <w:rPr>
          <w:color w:val="000000"/>
          <w:shd w:val="clear" w:color="auto" w:fill="FFFFFF"/>
        </w:rPr>
        <w:t>343-348.</w:t>
      </w:r>
      <w:r w:rsidRPr="00396CDD">
        <w:t xml:space="preserve"> </w:t>
      </w:r>
      <w:r w:rsidRPr="00396CDD">
        <w:rPr>
          <w:color w:val="000000"/>
          <w:shd w:val="clear" w:color="auto" w:fill="FFFFFF"/>
        </w:rPr>
        <w:t>doi: 10.1097/NMD.0b013e3181da8545</w:t>
      </w:r>
    </w:p>
    <w:p w14:paraId="78B78D90" w14:textId="41AEA1A9" w:rsidR="0084528E" w:rsidRDefault="009F5D4A" w:rsidP="0084528E">
      <w:pPr>
        <w:pStyle w:val="ListParagraph"/>
        <w:spacing w:line="480" w:lineRule="auto"/>
        <w:ind w:left="142" w:hanging="567"/>
      </w:pPr>
      <w:r>
        <w:t>Taylor, P. J., Gooding, P. A., Wood, A. M., Johnson, J.,</w:t>
      </w:r>
      <w:r w:rsidR="008260D6">
        <w:t xml:space="preserve"> Pratt, D., &amp; Tarrier, N. (2010</w:t>
      </w:r>
      <w:r w:rsidR="00F71DA5">
        <w:t>a</w:t>
      </w:r>
      <w:r>
        <w:t xml:space="preserve">). Defeat and entrapment in schizophrenia: The relationship with suicidal ideation and positive psychotic symptoms. </w:t>
      </w:r>
      <w:r w:rsidRPr="00635185">
        <w:rPr>
          <w:i/>
        </w:rPr>
        <w:t>Psychiatry Research, 178</w:t>
      </w:r>
      <w:r>
        <w:t xml:space="preserve">, 244-248. </w:t>
      </w:r>
      <w:r w:rsidR="00886CA4" w:rsidRPr="008A7920">
        <w:t>doi: 10.1016/j.psychres.2009.10.015</w:t>
      </w:r>
    </w:p>
    <w:p w14:paraId="7324D126" w14:textId="71D0A034" w:rsidR="0084528E" w:rsidRDefault="009F5D4A" w:rsidP="0084528E">
      <w:pPr>
        <w:pStyle w:val="ListParagraph"/>
        <w:spacing w:line="480" w:lineRule="auto"/>
        <w:ind w:left="142" w:hanging="567"/>
        <w:rPr>
          <w:rFonts w:eastAsia="Times New Roman"/>
          <w:color w:val="000000"/>
          <w:shd w:val="clear" w:color="auto" w:fill="FFFFFF"/>
        </w:rPr>
      </w:pPr>
      <w:r w:rsidRPr="00F6164B">
        <w:rPr>
          <w:rFonts w:eastAsia="Times New Roman"/>
          <w:color w:val="000000"/>
          <w:lang w:val="en-GB" w:eastAsia="en-US"/>
        </w:rPr>
        <w:t>Taylor, P. J., Gooding, P., Wood, A. M., &amp; Tarrier, N. (2011</w:t>
      </w:r>
      <w:r>
        <w:rPr>
          <w:rFonts w:eastAsia="Times New Roman"/>
          <w:color w:val="000000"/>
          <w:lang w:val="en-GB" w:eastAsia="en-US"/>
        </w:rPr>
        <w:t>a</w:t>
      </w:r>
      <w:r w:rsidRPr="00F6164B">
        <w:rPr>
          <w:rFonts w:eastAsia="Times New Roman"/>
          <w:color w:val="000000"/>
          <w:lang w:val="en-GB" w:eastAsia="en-US"/>
        </w:rPr>
        <w:t xml:space="preserve">). The role of defeat and </w:t>
      </w:r>
      <w:r w:rsidR="0084528E">
        <w:rPr>
          <w:rFonts w:eastAsia="Times New Roman"/>
          <w:color w:val="000000"/>
          <w:lang w:val="en-GB" w:eastAsia="en-US"/>
        </w:rPr>
        <w:br/>
      </w:r>
      <w:r w:rsidRPr="00F6164B">
        <w:rPr>
          <w:rFonts w:eastAsia="Times New Roman"/>
          <w:color w:val="000000"/>
          <w:lang w:val="en-GB" w:eastAsia="en-US"/>
        </w:rPr>
        <w:t>entrapment in depression, anxiety, and suicide. </w:t>
      </w:r>
      <w:r w:rsidRPr="00F6164B">
        <w:rPr>
          <w:rFonts w:eastAsia="Times New Roman"/>
          <w:i/>
          <w:iCs/>
          <w:color w:val="000000"/>
          <w:lang w:val="en-GB" w:eastAsia="en-US"/>
        </w:rPr>
        <w:t>Psychological Bulletin, 137</w:t>
      </w:r>
      <w:r w:rsidRPr="00F6164B">
        <w:rPr>
          <w:rFonts w:eastAsia="Times New Roman"/>
          <w:color w:val="000000"/>
          <w:lang w:val="en-GB" w:eastAsia="en-US"/>
        </w:rPr>
        <w:t>, 391-420</w:t>
      </w:r>
      <w:r w:rsidRPr="000B69E9">
        <w:rPr>
          <w:rFonts w:eastAsia="Times New Roman"/>
          <w:color w:val="000000"/>
          <w:lang w:val="en-GB" w:eastAsia="en-US"/>
        </w:rPr>
        <w:t>.</w:t>
      </w:r>
      <w:r w:rsidR="000B69E9" w:rsidRPr="000B69E9">
        <w:rPr>
          <w:rFonts w:eastAsia="Times New Roman"/>
          <w:color w:val="000000"/>
          <w:shd w:val="clear" w:color="auto" w:fill="FFFFFF"/>
        </w:rPr>
        <w:t xml:space="preserve"> </w:t>
      </w:r>
      <w:r w:rsidR="00886CA4" w:rsidRPr="008A7920">
        <w:rPr>
          <w:rFonts w:eastAsia="Times New Roman"/>
          <w:color w:val="000000"/>
          <w:shd w:val="clear" w:color="auto" w:fill="FFFFFF"/>
        </w:rPr>
        <w:t>doi: 10.1037/a0022935.</w:t>
      </w:r>
    </w:p>
    <w:p w14:paraId="36694B0D" w14:textId="17EC4C95" w:rsidR="0084528E" w:rsidRDefault="009F5D4A" w:rsidP="0084528E">
      <w:pPr>
        <w:pStyle w:val="ListParagraph"/>
        <w:spacing w:line="480" w:lineRule="auto"/>
        <w:ind w:left="142" w:hanging="567"/>
      </w:pPr>
      <w:r>
        <w:t xml:space="preserve">Taylor, P. J., Wood, A. M., Gooding, P., Johnson, J., &amp; Tarrier, N. (2009). Are defeat and entrapment best defined as a single construct? </w:t>
      </w:r>
      <w:r w:rsidRPr="00635185">
        <w:rPr>
          <w:i/>
        </w:rPr>
        <w:t>Personality and Individual Differences, 47</w:t>
      </w:r>
      <w:r w:rsidR="00930E3C">
        <w:t xml:space="preserve">, 795-797. </w:t>
      </w:r>
      <w:r w:rsidR="00886CA4" w:rsidRPr="008A7920">
        <w:rPr>
          <w:rFonts w:eastAsia="Times New Roman"/>
          <w:color w:val="000000"/>
          <w:shd w:val="clear" w:color="auto" w:fill="FFFFFF"/>
        </w:rPr>
        <w:t>doi: 10.1016/j.paid.2009.06.011</w:t>
      </w:r>
    </w:p>
    <w:p w14:paraId="3759348F" w14:textId="77777777" w:rsidR="00396CDD" w:rsidRDefault="00F71DA5" w:rsidP="00396CDD">
      <w:pPr>
        <w:pStyle w:val="ListParagraph"/>
        <w:spacing w:line="480" w:lineRule="auto"/>
        <w:ind w:left="142" w:hanging="567"/>
        <w:rPr>
          <w:rFonts w:eastAsia="Times New Roman"/>
          <w:color w:val="000000"/>
          <w:shd w:val="clear" w:color="auto" w:fill="FFFFFF"/>
        </w:rPr>
      </w:pPr>
      <w:r w:rsidRPr="00F71DA5">
        <w:rPr>
          <w:rFonts w:eastAsia="Times New Roman"/>
          <w:color w:val="000000"/>
          <w:shd w:val="clear" w:color="auto" w:fill="FFFFFF"/>
          <w:lang w:val="en-GB" w:eastAsia="en-US"/>
        </w:rPr>
        <w:t>Taylor, P. J, Wood, A. M., Gooding, T., &amp; Tarrier, N. (2010</w:t>
      </w:r>
      <w:r>
        <w:rPr>
          <w:rFonts w:eastAsia="Times New Roman"/>
          <w:color w:val="000000"/>
          <w:shd w:val="clear" w:color="auto" w:fill="FFFFFF"/>
          <w:lang w:val="en-GB" w:eastAsia="en-US"/>
        </w:rPr>
        <w:t>b</w:t>
      </w:r>
      <w:r w:rsidRPr="00F71DA5">
        <w:rPr>
          <w:rFonts w:eastAsia="Times New Roman"/>
          <w:color w:val="000000"/>
          <w:shd w:val="clear" w:color="auto" w:fill="FFFFFF"/>
          <w:lang w:val="en-GB" w:eastAsia="en-US"/>
        </w:rPr>
        <w:t>). Appraisals and suicidality: The mediating role of defeat and entrapment. </w:t>
      </w:r>
      <w:r w:rsidRPr="00F71DA5">
        <w:rPr>
          <w:rFonts w:eastAsia="Times New Roman"/>
          <w:i/>
          <w:iCs/>
          <w:color w:val="000000"/>
          <w:shd w:val="clear" w:color="auto" w:fill="FFFFFF"/>
          <w:lang w:val="en-GB" w:eastAsia="en-US"/>
        </w:rPr>
        <w:t>Archives of Suicide Research</w:t>
      </w:r>
      <w:r w:rsidRPr="00F71DA5">
        <w:rPr>
          <w:rFonts w:eastAsia="Times New Roman"/>
          <w:color w:val="000000"/>
          <w:shd w:val="clear" w:color="auto" w:fill="FFFFFF"/>
          <w:lang w:val="en-GB" w:eastAsia="en-US"/>
        </w:rPr>
        <w:t>, </w:t>
      </w:r>
      <w:r w:rsidRPr="00F71DA5">
        <w:rPr>
          <w:rFonts w:eastAsia="Times New Roman"/>
          <w:i/>
          <w:iCs/>
          <w:color w:val="000000"/>
          <w:shd w:val="clear" w:color="auto" w:fill="FFFFFF"/>
          <w:lang w:val="en-GB" w:eastAsia="en-US"/>
        </w:rPr>
        <w:t>14</w:t>
      </w:r>
      <w:r w:rsidRPr="00F71DA5">
        <w:rPr>
          <w:rFonts w:eastAsia="Times New Roman"/>
          <w:color w:val="000000"/>
          <w:shd w:val="clear" w:color="auto" w:fill="FFFFFF"/>
          <w:lang w:val="en-GB" w:eastAsia="en-US"/>
        </w:rPr>
        <w:t>, 236-247.</w:t>
      </w:r>
      <w:r w:rsidR="00886CA4" w:rsidRPr="00886CA4">
        <w:rPr>
          <w:rFonts w:eastAsia="Times New Roman"/>
          <w:color w:val="000000"/>
          <w:shd w:val="clear" w:color="auto" w:fill="FFFFFF"/>
        </w:rPr>
        <w:t xml:space="preserve"> </w:t>
      </w:r>
      <w:r w:rsidR="00886CA4" w:rsidRPr="008A7920">
        <w:rPr>
          <w:rFonts w:eastAsia="Times New Roman"/>
          <w:color w:val="000000"/>
          <w:shd w:val="clear" w:color="auto" w:fill="FFFFFF"/>
        </w:rPr>
        <w:t>doi: 10.1080/13811118.2010.494138</w:t>
      </w:r>
    </w:p>
    <w:p w14:paraId="04E220C2" w14:textId="045895EA" w:rsidR="0084528E" w:rsidRDefault="009F5D4A" w:rsidP="0084528E">
      <w:pPr>
        <w:pStyle w:val="ListParagraph"/>
        <w:spacing w:line="480" w:lineRule="auto"/>
        <w:ind w:left="142" w:hanging="567"/>
      </w:pPr>
      <w:r>
        <w:t>Taylor, P. J., Wood, A. M., Gooding, P. A., &amp; Tarrier, N. (2011</w:t>
      </w:r>
      <w:r w:rsidR="009645E5">
        <w:t>b</w:t>
      </w:r>
      <w:r>
        <w:t xml:space="preserve">). Prospective predictors of suicidality: Defeat and entrapment lead to changes in suicidal ideation over time. </w:t>
      </w:r>
      <w:r>
        <w:rPr>
          <w:i/>
        </w:rPr>
        <w:t xml:space="preserve">Suicide and Life Threatening Behaviour, 41, </w:t>
      </w:r>
      <w:r>
        <w:t>297-306.</w:t>
      </w:r>
      <w:r w:rsidR="00930E3C">
        <w:t xml:space="preserve"> </w:t>
      </w:r>
      <w:r w:rsidR="00886CA4" w:rsidRPr="008A7920">
        <w:rPr>
          <w:rFonts w:eastAsia="Times New Roman"/>
          <w:color w:val="000000"/>
          <w:shd w:val="clear" w:color="auto" w:fill="FFFFFF"/>
        </w:rPr>
        <w:t>doi: 10.1111/j.1943-278X.2011.00029.x.</w:t>
      </w:r>
    </w:p>
    <w:p w14:paraId="4BD1A41A" w14:textId="1FBFDC2D" w:rsidR="00886606" w:rsidRDefault="009F5D4A" w:rsidP="00886606">
      <w:pPr>
        <w:pStyle w:val="ListParagraph"/>
        <w:spacing w:line="480" w:lineRule="auto"/>
        <w:ind w:left="142" w:hanging="567"/>
      </w:pPr>
      <w:r>
        <w:t xml:space="preserve">Troop, N. A., &amp; Baker, A. H. (2008). The specificity of social rank in eating disorder versus depressive symptoms. </w:t>
      </w:r>
      <w:r w:rsidRPr="00635185">
        <w:rPr>
          <w:i/>
        </w:rPr>
        <w:t>Eating Disorders, 16</w:t>
      </w:r>
      <w:r>
        <w:t xml:space="preserve">, 331-341. </w:t>
      </w:r>
      <w:r w:rsidR="00886CA4" w:rsidRPr="008A7920">
        <w:t>doi: 10.1080/10640260802115993</w:t>
      </w:r>
    </w:p>
    <w:p w14:paraId="032261E6" w14:textId="36FC53DC" w:rsidR="00886606" w:rsidRDefault="00886606" w:rsidP="00886606">
      <w:pPr>
        <w:pStyle w:val="ListParagraph"/>
        <w:spacing w:line="480" w:lineRule="auto"/>
        <w:ind w:left="142" w:hanging="567"/>
      </w:pPr>
      <w:r w:rsidRPr="008A7920">
        <w:rPr>
          <w:rFonts w:eastAsia="Times New Roman"/>
          <w:color w:val="000000"/>
        </w:rPr>
        <w:t xml:space="preserve">Upthegrove, R., Ross, K., Brunet, K., McCollum, R., &amp; Jones, L. (2014). Depression in first episode psychosis: The role of subordination and shame. </w:t>
      </w:r>
      <w:r w:rsidRPr="008A7920">
        <w:rPr>
          <w:rFonts w:eastAsia="Times New Roman"/>
          <w:i/>
          <w:color w:val="000000"/>
        </w:rPr>
        <w:t xml:space="preserve">Psychiatry Research, </w:t>
      </w:r>
      <w:r w:rsidRPr="00676A4C">
        <w:rPr>
          <w:rFonts w:eastAsia="Times New Roman"/>
          <w:i/>
          <w:color w:val="000000"/>
        </w:rPr>
        <w:t>217,</w:t>
      </w:r>
      <w:r w:rsidRPr="008A7920">
        <w:rPr>
          <w:rFonts w:eastAsia="Times New Roman"/>
          <w:color w:val="000000"/>
        </w:rPr>
        <w:t xml:space="preserve"> 177-184.</w:t>
      </w:r>
      <w:r w:rsidRPr="008A7920">
        <w:t xml:space="preserve"> </w:t>
      </w:r>
      <w:r w:rsidRPr="008A7920">
        <w:rPr>
          <w:rFonts w:eastAsia="Times New Roman"/>
          <w:color w:val="000000"/>
        </w:rPr>
        <w:t>doi: 10.1016/j.psychres.2014.03.023</w:t>
      </w:r>
    </w:p>
    <w:p w14:paraId="66745AF5" w14:textId="2F1235AE" w:rsidR="0084528E" w:rsidRDefault="007A58A9" w:rsidP="0084528E">
      <w:pPr>
        <w:pStyle w:val="ListParagraph"/>
        <w:spacing w:line="480" w:lineRule="auto"/>
        <w:ind w:left="142" w:hanging="567"/>
      </w:pPr>
      <w:r>
        <w:lastRenderedPageBreak/>
        <w:t>v</w:t>
      </w:r>
      <w:r w:rsidR="00BE5847">
        <w:t xml:space="preserve">an Os, J., Verdoux, H., Maurice-Tison, S., Gay, B., Liraud, F., Salamon, R., &amp; Bourgeois, M. (1999). Self-reported psychosis-like symptoms and the continuum of psychosis. </w:t>
      </w:r>
      <w:r w:rsidR="00BE5847" w:rsidRPr="00BE5847">
        <w:rPr>
          <w:i/>
        </w:rPr>
        <w:t>Social Psychiatry and Psychiatric Epidemiology, 34,</w:t>
      </w:r>
      <w:r w:rsidR="00BE5847">
        <w:t xml:space="preserve"> 459-463.</w:t>
      </w:r>
      <w:r w:rsidR="00886CA4" w:rsidRPr="00886CA4">
        <w:t xml:space="preserve"> </w:t>
      </w:r>
      <w:r w:rsidR="00886CA4" w:rsidRPr="008A7920">
        <w:t>doi: 10.1007/s001270050220</w:t>
      </w:r>
    </w:p>
    <w:p w14:paraId="0FE6DD7F" w14:textId="7D3D5F88" w:rsidR="0084528E" w:rsidRDefault="009F5D4A" w:rsidP="0084528E">
      <w:pPr>
        <w:pStyle w:val="ListParagraph"/>
        <w:spacing w:line="480" w:lineRule="auto"/>
        <w:ind w:left="142" w:hanging="567"/>
        <w:rPr>
          <w:rFonts w:eastAsia="Times New Roman"/>
          <w:color w:val="000000"/>
          <w:lang w:val="en-GB" w:eastAsia="en-US"/>
        </w:rPr>
      </w:pPr>
      <w:r>
        <w:rPr>
          <w:rFonts w:eastAsia="Times New Roman"/>
          <w:color w:val="000000"/>
          <w:lang w:val="en-GB" w:eastAsia="en-US"/>
        </w:rPr>
        <w:t>Velicer, W., Peacock, A., &amp; Jackson, D. (1982). A</w:t>
      </w:r>
      <w:r w:rsidR="0084528E">
        <w:rPr>
          <w:rFonts w:eastAsia="Times New Roman"/>
          <w:color w:val="000000"/>
          <w:lang w:val="en-GB" w:eastAsia="en-US"/>
        </w:rPr>
        <w:t xml:space="preserve"> comparison of component and </w:t>
      </w:r>
      <w:r w:rsidR="0084528E">
        <w:rPr>
          <w:rFonts w:eastAsia="Times New Roman"/>
          <w:color w:val="000000"/>
          <w:lang w:val="en-GB" w:eastAsia="en-US"/>
        </w:rPr>
        <w:br/>
      </w:r>
      <w:r>
        <w:rPr>
          <w:rFonts w:eastAsia="Times New Roman"/>
          <w:color w:val="000000"/>
          <w:lang w:val="en-GB" w:eastAsia="en-US"/>
        </w:rPr>
        <w:t xml:space="preserve">factor patterns: a MonteCarlo approach. </w:t>
      </w:r>
      <w:r>
        <w:rPr>
          <w:rFonts w:eastAsia="Times New Roman"/>
          <w:i/>
          <w:color w:val="000000"/>
          <w:lang w:val="en-GB" w:eastAsia="en-US"/>
        </w:rPr>
        <w:t>Multi</w:t>
      </w:r>
      <w:r w:rsidR="0084528E">
        <w:rPr>
          <w:rFonts w:eastAsia="Times New Roman"/>
          <w:i/>
          <w:color w:val="000000"/>
          <w:lang w:val="en-GB" w:eastAsia="en-US"/>
        </w:rPr>
        <w:t xml:space="preserve">variate Behavioral Research, </w:t>
      </w:r>
      <w:r>
        <w:rPr>
          <w:rFonts w:eastAsia="Times New Roman"/>
          <w:i/>
          <w:color w:val="000000"/>
          <w:lang w:val="en-GB" w:eastAsia="en-US"/>
        </w:rPr>
        <w:t xml:space="preserve">17, </w:t>
      </w:r>
      <w:r>
        <w:rPr>
          <w:rFonts w:eastAsia="Times New Roman"/>
          <w:color w:val="000000"/>
          <w:lang w:val="en-GB" w:eastAsia="en-US"/>
        </w:rPr>
        <w:t>371-388.</w:t>
      </w:r>
      <w:r w:rsidR="00D03DAA">
        <w:rPr>
          <w:rFonts w:eastAsia="Times New Roman"/>
          <w:color w:val="000000"/>
          <w:lang w:val="en-GB" w:eastAsia="en-US"/>
        </w:rPr>
        <w:t xml:space="preserve"> </w:t>
      </w:r>
      <w:r w:rsidR="00886CA4" w:rsidRPr="008A7920">
        <w:rPr>
          <w:rFonts w:eastAsia="Times New Roman"/>
          <w:bCs/>
        </w:rPr>
        <w:t>doi:</w:t>
      </w:r>
      <w:r w:rsidR="00886CA4" w:rsidRPr="008A7920">
        <w:rPr>
          <w:rFonts w:eastAsia="Times New Roman"/>
          <w:color w:val="000000"/>
        </w:rPr>
        <w:t xml:space="preserve"> </w:t>
      </w:r>
      <w:r w:rsidR="00886CA4" w:rsidRPr="008A7920">
        <w:rPr>
          <w:rFonts w:eastAsia="Times New Roman"/>
        </w:rPr>
        <w:t>10.1207/s15327906mbr1703_5</w:t>
      </w:r>
    </w:p>
    <w:p w14:paraId="4DE2C810" w14:textId="77777777" w:rsidR="0084528E" w:rsidRDefault="001F746B" w:rsidP="0084528E">
      <w:pPr>
        <w:pStyle w:val="ListParagraph"/>
        <w:spacing w:line="480" w:lineRule="auto"/>
        <w:ind w:left="142" w:hanging="567"/>
        <w:rPr>
          <w:rFonts w:ascii="Times" w:eastAsia="Times New Roman" w:hAnsi="Times"/>
          <w:lang w:val="en-GB" w:eastAsia="en-US"/>
        </w:rPr>
      </w:pPr>
      <w:r w:rsidRPr="001F746B">
        <w:rPr>
          <w:rFonts w:ascii="Times" w:eastAsia="Times New Roman" w:hAnsi="Times"/>
          <w:lang w:val="en-GB" w:eastAsia="en-US"/>
        </w:rPr>
        <w:t>Ventura, J., Green, M. F., Shaner, A., &amp; Liberman, R. P. (1994). Training and quality</w:t>
      </w:r>
      <w:r w:rsidR="0084528E">
        <w:rPr>
          <w:rFonts w:ascii="Times" w:eastAsia="Times New Roman" w:hAnsi="Times"/>
          <w:lang w:val="en-GB" w:eastAsia="en-US"/>
        </w:rPr>
        <w:br/>
      </w:r>
      <w:r w:rsidRPr="001F746B">
        <w:rPr>
          <w:rFonts w:ascii="Times" w:eastAsia="Times New Roman" w:hAnsi="Times"/>
          <w:lang w:val="en-GB" w:eastAsia="en-US"/>
        </w:rPr>
        <w:t xml:space="preserve">assurance with the Brief Psychiatric Rating Scale: "the drift busters". </w:t>
      </w:r>
      <w:r w:rsidR="0084528E">
        <w:rPr>
          <w:rFonts w:ascii="Times" w:eastAsia="Times New Roman" w:hAnsi="Times"/>
          <w:lang w:val="en-GB" w:eastAsia="en-US"/>
        </w:rPr>
        <w:br/>
      </w:r>
      <w:r w:rsidRPr="001F746B">
        <w:rPr>
          <w:rFonts w:ascii="Times" w:eastAsia="Times New Roman" w:hAnsi="Times"/>
          <w:i/>
          <w:lang w:val="en-GB" w:eastAsia="en-US"/>
        </w:rPr>
        <w:t>International Journal of Methods in Psychiatric Research, 3,</w:t>
      </w:r>
      <w:r w:rsidRPr="001F746B">
        <w:rPr>
          <w:rFonts w:ascii="Times" w:eastAsia="Times New Roman" w:hAnsi="Times"/>
          <w:lang w:val="en-GB" w:eastAsia="en-US"/>
        </w:rPr>
        <w:t xml:space="preserve"> 221-244.</w:t>
      </w:r>
    </w:p>
    <w:p w14:paraId="2E5B5451" w14:textId="4783422E" w:rsidR="0084528E" w:rsidRDefault="007A58A9" w:rsidP="0084528E">
      <w:pPr>
        <w:pStyle w:val="ListParagraph"/>
        <w:spacing w:line="480" w:lineRule="auto"/>
        <w:ind w:left="142" w:hanging="567"/>
        <w:rPr>
          <w:rFonts w:ascii="Times" w:eastAsia="Times New Roman" w:hAnsi="Times"/>
          <w:lang w:val="en-GB" w:eastAsia="en-US"/>
        </w:rPr>
      </w:pPr>
      <w:r>
        <w:rPr>
          <w:rFonts w:ascii="Times" w:eastAsia="Times New Roman" w:hAnsi="Times"/>
          <w:lang w:val="en-GB" w:eastAsia="en-US"/>
        </w:rPr>
        <w:t xml:space="preserve">Verdoux, H., van Os, J., Maurice-Tison, S., Gay, B., </w:t>
      </w:r>
      <w:r w:rsidR="0084528E">
        <w:rPr>
          <w:rFonts w:ascii="Times" w:eastAsia="Times New Roman" w:hAnsi="Times"/>
          <w:lang w:val="en-GB" w:eastAsia="en-US"/>
        </w:rPr>
        <w:t xml:space="preserve">Salamon, R., &amp; Bourgeois, L. </w:t>
      </w:r>
      <w:r w:rsidR="0084528E">
        <w:rPr>
          <w:rFonts w:ascii="Times" w:eastAsia="Times New Roman" w:hAnsi="Times"/>
          <w:lang w:val="en-GB" w:eastAsia="en-US"/>
        </w:rPr>
        <w:br/>
        <w:t xml:space="preserve"> </w:t>
      </w:r>
      <w:r>
        <w:rPr>
          <w:rFonts w:ascii="Times" w:eastAsia="Times New Roman" w:hAnsi="Times"/>
          <w:lang w:val="en-GB" w:eastAsia="en-US"/>
        </w:rPr>
        <w:t>(1999). Increased occurrence of depression in</w:t>
      </w:r>
      <w:r w:rsidR="0084528E">
        <w:rPr>
          <w:rFonts w:ascii="Times" w:eastAsia="Times New Roman" w:hAnsi="Times"/>
          <w:lang w:val="en-GB" w:eastAsia="en-US"/>
        </w:rPr>
        <w:t xml:space="preserve"> psychosis-prone subjects: A </w:t>
      </w:r>
      <w:r w:rsidR="0084528E">
        <w:rPr>
          <w:rFonts w:ascii="Times" w:eastAsia="Times New Roman" w:hAnsi="Times"/>
          <w:lang w:val="en-GB" w:eastAsia="en-US"/>
        </w:rPr>
        <w:br/>
      </w:r>
      <w:r>
        <w:rPr>
          <w:rFonts w:ascii="Times" w:eastAsia="Times New Roman" w:hAnsi="Times"/>
          <w:lang w:val="en-GB" w:eastAsia="en-US"/>
        </w:rPr>
        <w:t xml:space="preserve">follow-up study in primary care settings. </w:t>
      </w:r>
      <w:r w:rsidRPr="007A58A9">
        <w:rPr>
          <w:rFonts w:ascii="Times" w:eastAsia="Times New Roman" w:hAnsi="Times"/>
          <w:i/>
          <w:lang w:val="en-GB" w:eastAsia="en-US"/>
        </w:rPr>
        <w:t>Comprehensive Psychiatry, 40,</w:t>
      </w:r>
      <w:r w:rsidR="0084528E">
        <w:rPr>
          <w:rFonts w:ascii="Times" w:eastAsia="Times New Roman" w:hAnsi="Times"/>
          <w:lang w:val="en-GB" w:eastAsia="en-US"/>
        </w:rPr>
        <w:t xml:space="preserve"> 462-</w:t>
      </w:r>
      <w:r>
        <w:rPr>
          <w:rFonts w:ascii="Times" w:eastAsia="Times New Roman" w:hAnsi="Times"/>
          <w:lang w:val="en-GB" w:eastAsia="en-US"/>
        </w:rPr>
        <w:t>468.</w:t>
      </w:r>
      <w:r w:rsidR="00886CA4" w:rsidRPr="00886CA4">
        <w:rPr>
          <w:rFonts w:eastAsia="Times New Roman"/>
        </w:rPr>
        <w:t xml:space="preserve"> </w:t>
      </w:r>
      <w:r w:rsidR="00886CA4" w:rsidRPr="008A7920">
        <w:rPr>
          <w:rFonts w:eastAsia="Times New Roman"/>
        </w:rPr>
        <w:t>doi: 10.1016/S0010-440X(99)90091-3</w:t>
      </w:r>
    </w:p>
    <w:p w14:paraId="28ACFB54" w14:textId="1AAC025B" w:rsidR="0084528E" w:rsidRDefault="001759A9" w:rsidP="0084528E">
      <w:pPr>
        <w:pStyle w:val="ListParagraph"/>
        <w:spacing w:line="480" w:lineRule="auto"/>
        <w:ind w:left="142" w:hanging="567"/>
      </w:pPr>
      <w:r>
        <w:rPr>
          <w:rFonts w:ascii="Times" w:eastAsia="Times New Roman" w:hAnsi="Times"/>
          <w:lang w:val="en-GB" w:eastAsia="en-US"/>
        </w:rPr>
        <w:t>von Dras, D. D., Flittner, D., Malcore, S. A., &amp; Pouliot,</w:t>
      </w:r>
      <w:r w:rsidR="0084528E">
        <w:rPr>
          <w:rFonts w:ascii="Times" w:eastAsia="Times New Roman" w:hAnsi="Times"/>
          <w:lang w:val="en-GB" w:eastAsia="en-US"/>
        </w:rPr>
        <w:t xml:space="preserve"> G. (2009). Workplace stress </w:t>
      </w:r>
      <w:r w:rsidR="0084528E">
        <w:rPr>
          <w:rFonts w:ascii="Times" w:eastAsia="Times New Roman" w:hAnsi="Times"/>
          <w:lang w:val="en-GB" w:eastAsia="en-US"/>
        </w:rPr>
        <w:br/>
      </w:r>
      <w:r>
        <w:rPr>
          <w:rFonts w:ascii="Times" w:eastAsia="Times New Roman" w:hAnsi="Times"/>
          <w:lang w:val="en-GB" w:eastAsia="en-US"/>
        </w:rPr>
        <w:t>and ethical challenges experienced by nur</w:t>
      </w:r>
      <w:r w:rsidR="0084528E">
        <w:rPr>
          <w:rFonts w:ascii="Times" w:eastAsia="Times New Roman" w:hAnsi="Times"/>
          <w:lang w:val="en-GB" w:eastAsia="en-US"/>
        </w:rPr>
        <w:t xml:space="preserve">sing staff in a nursing home. </w:t>
      </w:r>
      <w:r>
        <w:rPr>
          <w:rFonts w:ascii="Times" w:eastAsia="Times New Roman" w:hAnsi="Times"/>
          <w:i/>
          <w:lang w:val="en-GB" w:eastAsia="en-US"/>
        </w:rPr>
        <w:t xml:space="preserve">Educational Gerontology, 35, </w:t>
      </w:r>
      <w:r>
        <w:rPr>
          <w:rFonts w:ascii="Times" w:eastAsia="Times New Roman" w:hAnsi="Times"/>
          <w:lang w:val="en-GB" w:eastAsia="en-US"/>
        </w:rPr>
        <w:t>321-339.</w:t>
      </w:r>
      <w:r w:rsidR="00886CA4" w:rsidRPr="00886CA4">
        <w:t xml:space="preserve"> </w:t>
      </w:r>
      <w:r w:rsidR="00886CA4" w:rsidRPr="008A7920">
        <w:t>doi: 10.1080/03601270802605382</w:t>
      </w:r>
    </w:p>
    <w:p w14:paraId="0D7618BE" w14:textId="44A74D4B" w:rsidR="008171A1" w:rsidRDefault="008171A1" w:rsidP="008171A1">
      <w:pPr>
        <w:pStyle w:val="ListParagraph"/>
        <w:spacing w:line="480" w:lineRule="auto"/>
        <w:ind w:left="142" w:hanging="567"/>
      </w:pPr>
      <w:r>
        <w:t xml:space="preserve">Watson, D., O’Hara, M. W., Simms, L. J., Kotov, R., Chmielewski, M., McDade-Montez, E., Gamez, W., &amp; Stuart, S. (2007). Development and validation of the Inventory of Depression and Anxiety Symptoms (IDAS). </w:t>
      </w:r>
      <w:r w:rsidRPr="008171A1">
        <w:rPr>
          <w:i/>
        </w:rPr>
        <w:t>Psychological Assessment, 19,</w:t>
      </w:r>
      <w:r>
        <w:t xml:space="preserve"> 253-268.</w:t>
      </w:r>
      <w:r w:rsidRPr="008171A1">
        <w:t xml:space="preserve"> doi: 10.1037/1040-3590.19.3.253</w:t>
      </w:r>
    </w:p>
    <w:p w14:paraId="49BCE2DB" w14:textId="141B8FDD" w:rsidR="0084528E" w:rsidRDefault="009F5D4A" w:rsidP="0084528E">
      <w:pPr>
        <w:pStyle w:val="ListParagraph"/>
        <w:spacing w:line="480" w:lineRule="auto"/>
        <w:ind w:left="142" w:hanging="567"/>
      </w:pPr>
      <w:r>
        <w:t xml:space="preserve">Willner, P., &amp; Goldstein, R. C. (2001). Mediation of depression by perceptions of </w:t>
      </w:r>
      <w:r w:rsidR="0084528E">
        <w:br/>
      </w:r>
      <w:r>
        <w:t xml:space="preserve">defeat and entrapment in high-stress mothers. </w:t>
      </w:r>
      <w:r w:rsidRPr="00635185">
        <w:rPr>
          <w:i/>
        </w:rPr>
        <w:t>British Journal of Medical Psychology, 74</w:t>
      </w:r>
      <w:r>
        <w:t>, 473-485</w:t>
      </w:r>
      <w:r w:rsidR="00886CA4">
        <w:t xml:space="preserve">. </w:t>
      </w:r>
      <w:r w:rsidR="00886CA4" w:rsidRPr="008A7920">
        <w:rPr>
          <w:rFonts w:eastAsia="Times New Roman"/>
          <w:shd w:val="clear" w:color="auto" w:fill="FFFFFF"/>
        </w:rPr>
        <w:t>doi: 10.1348/000711201161127</w:t>
      </w:r>
    </w:p>
    <w:p w14:paraId="776146CA" w14:textId="488EB14F" w:rsidR="0084528E" w:rsidRDefault="00595B17" w:rsidP="0084528E">
      <w:pPr>
        <w:pStyle w:val="ListParagraph"/>
        <w:spacing w:line="480" w:lineRule="auto"/>
        <w:ind w:left="142" w:hanging="567"/>
        <w:rPr>
          <w:rFonts w:eastAsia="Times New Roman"/>
          <w:color w:val="000000"/>
          <w:shd w:val="clear" w:color="auto" w:fill="FFFFFF"/>
          <w:lang w:val="en-GB" w:eastAsia="en-US"/>
        </w:rPr>
      </w:pPr>
      <w:r w:rsidRPr="00595B17">
        <w:rPr>
          <w:rFonts w:eastAsia="Times New Roman"/>
          <w:color w:val="000000"/>
          <w:shd w:val="clear" w:color="auto" w:fill="FFFFFF"/>
          <w:lang w:val="en-GB" w:eastAsia="en-US"/>
        </w:rPr>
        <w:lastRenderedPageBreak/>
        <w:t xml:space="preserve">Wood, A. M., &amp; Joseph S. (2010). The absence of positive psychological </w:t>
      </w:r>
      <w:r w:rsidR="0084528E">
        <w:rPr>
          <w:rFonts w:eastAsia="Times New Roman"/>
          <w:color w:val="000000"/>
          <w:shd w:val="clear" w:color="auto" w:fill="FFFFFF"/>
          <w:lang w:val="en-GB" w:eastAsia="en-US"/>
        </w:rPr>
        <w:br/>
      </w:r>
      <w:r w:rsidRPr="00595B17">
        <w:rPr>
          <w:rFonts w:eastAsia="Times New Roman"/>
          <w:color w:val="000000"/>
          <w:shd w:val="clear" w:color="auto" w:fill="FFFFFF"/>
          <w:lang w:val="en-GB" w:eastAsia="en-US"/>
        </w:rPr>
        <w:t>(eudemonic) well-being as a risk factor fo</w:t>
      </w:r>
      <w:r w:rsidR="00606C32">
        <w:rPr>
          <w:rFonts w:eastAsia="Times New Roman"/>
          <w:color w:val="000000"/>
          <w:shd w:val="clear" w:color="auto" w:fill="FFFFFF"/>
          <w:lang w:val="en-GB" w:eastAsia="en-US"/>
        </w:rPr>
        <w:t xml:space="preserve">r depression: A ten year cohort </w:t>
      </w:r>
      <w:r w:rsidRPr="00595B17">
        <w:rPr>
          <w:rFonts w:eastAsia="Times New Roman"/>
          <w:color w:val="000000"/>
          <w:shd w:val="clear" w:color="auto" w:fill="FFFFFF"/>
          <w:lang w:val="en-GB" w:eastAsia="en-US"/>
        </w:rPr>
        <w:t>study. </w:t>
      </w:r>
      <w:r w:rsidRPr="00595B17">
        <w:rPr>
          <w:rFonts w:eastAsia="Times New Roman"/>
          <w:i/>
          <w:iCs/>
          <w:color w:val="000000"/>
          <w:shd w:val="clear" w:color="auto" w:fill="FFFFFF"/>
          <w:lang w:val="en-GB" w:eastAsia="en-US"/>
        </w:rPr>
        <w:t>Journal of Affective Disorders</w:t>
      </w:r>
      <w:r w:rsidRPr="00595B17">
        <w:rPr>
          <w:rFonts w:eastAsia="Times New Roman"/>
          <w:color w:val="000000"/>
          <w:shd w:val="clear" w:color="auto" w:fill="FFFFFF"/>
          <w:lang w:val="en-GB" w:eastAsia="en-US"/>
        </w:rPr>
        <w:t>,</w:t>
      </w:r>
      <w:r w:rsidRPr="00595B17">
        <w:rPr>
          <w:rFonts w:eastAsia="Times New Roman"/>
          <w:i/>
          <w:iCs/>
          <w:color w:val="000000"/>
          <w:shd w:val="clear" w:color="auto" w:fill="FFFFFF"/>
          <w:lang w:val="en-GB" w:eastAsia="en-US"/>
        </w:rPr>
        <w:t> 122</w:t>
      </w:r>
      <w:r w:rsidR="00930E3C">
        <w:rPr>
          <w:rFonts w:eastAsia="Times New Roman"/>
          <w:color w:val="000000"/>
          <w:shd w:val="clear" w:color="auto" w:fill="FFFFFF"/>
          <w:lang w:val="en-GB" w:eastAsia="en-US"/>
        </w:rPr>
        <w:t>, 213-217.</w:t>
      </w:r>
      <w:r w:rsidR="00886CA4" w:rsidRPr="00886CA4">
        <w:t xml:space="preserve"> </w:t>
      </w:r>
      <w:r w:rsidR="00886CA4" w:rsidRPr="00405D23">
        <w:t>doi:10.1016/j.jad.2009.06.032</w:t>
      </w:r>
    </w:p>
    <w:p w14:paraId="01B52052" w14:textId="1421606B" w:rsidR="00606C32" w:rsidRDefault="004C4D0F" w:rsidP="00606C32">
      <w:pPr>
        <w:pStyle w:val="ListParagraph"/>
        <w:spacing w:line="480" w:lineRule="auto"/>
        <w:ind w:left="142" w:hanging="567"/>
        <w:rPr>
          <w:i/>
          <w:iCs/>
          <w:color w:val="000000"/>
        </w:rPr>
      </w:pPr>
      <w:r w:rsidRPr="004C4D0F">
        <w:rPr>
          <w:color w:val="000000"/>
        </w:rPr>
        <w:t>Wood, A. M., Taylor, P. T., &amp; Joseph, S. (</w:t>
      </w:r>
      <w:r>
        <w:rPr>
          <w:color w:val="000000"/>
        </w:rPr>
        <w:t>2010</w:t>
      </w:r>
      <w:r w:rsidR="0084528E">
        <w:rPr>
          <w:color w:val="000000"/>
        </w:rPr>
        <w:t xml:space="preserve">). Does the CES-D measure a </w:t>
      </w:r>
      <w:r w:rsidRPr="004C4D0F">
        <w:rPr>
          <w:color w:val="000000"/>
        </w:rPr>
        <w:t xml:space="preserve">continuum from depression to happiness? Comparing substantive and artifactual models. </w:t>
      </w:r>
      <w:r w:rsidRPr="004C4D0F">
        <w:rPr>
          <w:i/>
          <w:iCs/>
          <w:color w:val="000000"/>
        </w:rPr>
        <w:t xml:space="preserve">Psychiatry Research, 177, </w:t>
      </w:r>
      <w:r w:rsidRPr="004C4D0F">
        <w:rPr>
          <w:color w:val="000000"/>
        </w:rPr>
        <w:t>120-123</w:t>
      </w:r>
      <w:r w:rsidR="00930E3C">
        <w:rPr>
          <w:i/>
          <w:iCs/>
          <w:color w:val="000000"/>
        </w:rPr>
        <w:t>.</w:t>
      </w:r>
      <w:r w:rsidR="00886CA4" w:rsidRPr="00886CA4">
        <w:rPr>
          <w:iCs/>
          <w:color w:val="000000"/>
        </w:rPr>
        <w:t xml:space="preserve"> </w:t>
      </w:r>
      <w:r w:rsidR="00886CA4" w:rsidRPr="008A7920">
        <w:rPr>
          <w:iCs/>
          <w:color w:val="000000"/>
        </w:rPr>
        <w:t xml:space="preserve">doi: </w:t>
      </w:r>
      <w:r w:rsidR="00886CA4" w:rsidRPr="008A7920">
        <w:t>10.1016/j.psychres.2010.02.003</w:t>
      </w:r>
    </w:p>
    <w:p w14:paraId="0BEA20BF" w14:textId="77777777" w:rsidR="00606C32" w:rsidRDefault="004D7559" w:rsidP="00606C32">
      <w:pPr>
        <w:pStyle w:val="ListParagraph"/>
        <w:spacing w:line="480" w:lineRule="auto"/>
        <w:ind w:left="142" w:hanging="567"/>
        <w:rPr>
          <w:rFonts w:eastAsia="Times New Roman"/>
          <w:color w:val="000000"/>
          <w:shd w:val="clear" w:color="auto" w:fill="FFFFFF"/>
          <w:lang w:val="en-GB" w:eastAsia="en-US"/>
        </w:rPr>
      </w:pPr>
      <w:r>
        <w:rPr>
          <w:rFonts w:eastAsia="Times New Roman"/>
          <w:color w:val="000000"/>
          <w:shd w:val="clear" w:color="auto" w:fill="FFFFFF"/>
          <w:lang w:val="en-GB" w:eastAsia="en-US"/>
        </w:rPr>
        <w:t xml:space="preserve">World Health Organisation. (1992). </w:t>
      </w:r>
      <w:r w:rsidRPr="004D7559">
        <w:rPr>
          <w:rFonts w:eastAsia="Times New Roman"/>
          <w:i/>
          <w:color w:val="000000"/>
          <w:shd w:val="clear" w:color="auto" w:fill="FFFFFF"/>
          <w:lang w:val="en-GB" w:eastAsia="en-US"/>
        </w:rPr>
        <w:t>ICE-10 C</w:t>
      </w:r>
      <w:r w:rsidR="00606C32">
        <w:rPr>
          <w:rFonts w:eastAsia="Times New Roman"/>
          <w:i/>
          <w:color w:val="000000"/>
          <w:shd w:val="clear" w:color="auto" w:fill="FFFFFF"/>
          <w:lang w:val="en-GB" w:eastAsia="en-US"/>
        </w:rPr>
        <w:t xml:space="preserve">lassifications of Mental and </w:t>
      </w:r>
      <w:r w:rsidR="00606C32">
        <w:rPr>
          <w:rFonts w:eastAsia="Times New Roman"/>
          <w:i/>
          <w:color w:val="000000"/>
          <w:shd w:val="clear" w:color="auto" w:fill="FFFFFF"/>
          <w:lang w:val="en-GB" w:eastAsia="en-US"/>
        </w:rPr>
        <w:br/>
      </w:r>
      <w:r w:rsidRPr="004D7559">
        <w:rPr>
          <w:rFonts w:eastAsia="Times New Roman"/>
          <w:i/>
          <w:color w:val="000000"/>
          <w:shd w:val="clear" w:color="auto" w:fill="FFFFFF"/>
          <w:lang w:val="en-GB" w:eastAsia="en-US"/>
        </w:rPr>
        <w:t>Behavioural Disorder: Clinical Descriptions and Diagnostic Guidelines.</w:t>
      </w:r>
      <w:r w:rsidR="00606C32">
        <w:rPr>
          <w:rFonts w:eastAsia="Times New Roman"/>
          <w:color w:val="000000"/>
          <w:shd w:val="clear" w:color="auto" w:fill="FFFFFF"/>
          <w:lang w:val="en-GB" w:eastAsia="en-US"/>
        </w:rPr>
        <w:t xml:space="preserve"> </w:t>
      </w:r>
      <w:r w:rsidR="00606C32">
        <w:rPr>
          <w:rFonts w:eastAsia="Times New Roman"/>
          <w:color w:val="000000"/>
          <w:shd w:val="clear" w:color="auto" w:fill="FFFFFF"/>
          <w:lang w:val="en-GB" w:eastAsia="en-US"/>
        </w:rPr>
        <w:br/>
      </w:r>
      <w:r>
        <w:rPr>
          <w:rFonts w:eastAsia="Times New Roman"/>
          <w:color w:val="000000"/>
          <w:shd w:val="clear" w:color="auto" w:fill="FFFFFF"/>
          <w:lang w:val="en-GB" w:eastAsia="en-US"/>
        </w:rPr>
        <w:t>Geneva: World Health Organisation.</w:t>
      </w:r>
    </w:p>
    <w:p w14:paraId="7AEC1F86" w14:textId="1D24DAF1" w:rsidR="00606C32" w:rsidRDefault="009F5D4A" w:rsidP="00606C32">
      <w:pPr>
        <w:pStyle w:val="ListParagraph"/>
        <w:spacing w:line="480" w:lineRule="auto"/>
        <w:ind w:left="142" w:hanging="567"/>
      </w:pPr>
      <w:r>
        <w:t xml:space="preserve">Wyatt, R., &amp; Gilbert, P. (1998). Dimensions of perfectionism: A study exploring their relationship with perceived social rank and status. </w:t>
      </w:r>
      <w:r w:rsidRPr="00635185">
        <w:rPr>
          <w:i/>
        </w:rPr>
        <w:t>Personality and Individual Differences, 24</w:t>
      </w:r>
      <w:r>
        <w:t xml:space="preserve">, 71-79. </w:t>
      </w:r>
      <w:r w:rsidR="00886CA4" w:rsidRPr="008A7920">
        <w:t>doi: 10.1016/S0191-8869(97)00146-3</w:t>
      </w:r>
    </w:p>
    <w:p w14:paraId="5E6F5CE4" w14:textId="77777777" w:rsidR="00606C32" w:rsidRDefault="00D53573" w:rsidP="00606C32">
      <w:pPr>
        <w:pStyle w:val="ListParagraph"/>
        <w:spacing w:line="480" w:lineRule="auto"/>
        <w:ind w:left="142" w:hanging="567"/>
      </w:pPr>
      <w:r>
        <w:t>Yar</w:t>
      </w:r>
      <w:r w:rsidR="00930E3C">
        <w:t>,</w:t>
      </w:r>
      <w:r>
        <w:t xml:space="preserve"> M</w:t>
      </w:r>
      <w:r w:rsidR="00930E3C">
        <w:t>.</w:t>
      </w:r>
      <w:r>
        <w:t>, Dix</w:t>
      </w:r>
      <w:r w:rsidR="00930E3C">
        <w:t>,</w:t>
      </w:r>
      <w:r>
        <w:t xml:space="preserve"> D</w:t>
      </w:r>
      <w:r w:rsidR="00930E3C">
        <w:t>.</w:t>
      </w:r>
      <w:r>
        <w:t>,</w:t>
      </w:r>
      <w:r w:rsidR="00930E3C">
        <w:t xml:space="preserve"> &amp;</w:t>
      </w:r>
      <w:r>
        <w:t xml:space="preserve"> Madhavi</w:t>
      </w:r>
      <w:r w:rsidR="00930E3C">
        <w:t>,</w:t>
      </w:r>
      <w:r>
        <w:t xml:space="preserve"> B</w:t>
      </w:r>
      <w:r w:rsidR="00930E3C">
        <w:t>.</w:t>
      </w:r>
      <w:r>
        <w:t xml:space="preserve"> (2006)</w:t>
      </w:r>
      <w:r w:rsidR="00930E3C">
        <w:t>.</w:t>
      </w:r>
      <w:r>
        <w:t xml:space="preserve"> Socio-demographic characteristics of the healthcare workforce in England and Wales – results from the 2001 census. </w:t>
      </w:r>
      <w:r w:rsidRPr="00D53573">
        <w:rPr>
          <w:i/>
        </w:rPr>
        <w:t>Health Statistics Quarterly, 32</w:t>
      </w:r>
      <w:r>
        <w:t>, 44–56.</w:t>
      </w:r>
    </w:p>
    <w:p w14:paraId="27187F04" w14:textId="5377611B" w:rsidR="0014161B" w:rsidRPr="00606C32" w:rsidRDefault="009F5D4A" w:rsidP="00606C32">
      <w:pPr>
        <w:pStyle w:val="ListParagraph"/>
        <w:spacing w:line="480" w:lineRule="auto"/>
        <w:ind w:left="142" w:hanging="567"/>
      </w:pPr>
      <w:r>
        <w:t xml:space="preserve">Zarit, S. H. (1980). Relatives of the impaired elderly: Correlates of feelings of burden. </w:t>
      </w:r>
      <w:r w:rsidR="00606C32">
        <w:br/>
      </w:r>
      <w:r w:rsidRPr="00171A59">
        <w:rPr>
          <w:i/>
          <w:color w:val="000000" w:themeColor="text1"/>
        </w:rPr>
        <w:t xml:space="preserve">The Gerontologist, 20, </w:t>
      </w:r>
      <w:r w:rsidRPr="00171A59">
        <w:rPr>
          <w:color w:val="000000" w:themeColor="text1"/>
        </w:rPr>
        <w:t>649-655.</w:t>
      </w:r>
      <w:r w:rsidR="0014161B" w:rsidRPr="00171A59">
        <w:rPr>
          <w:rFonts w:ascii="Verdana" w:eastAsia="Times New Roman" w:hAnsi="Verdana"/>
          <w:color w:val="000000" w:themeColor="text1"/>
          <w:sz w:val="17"/>
          <w:szCs w:val="17"/>
          <w:shd w:val="clear" w:color="auto" w:fill="FFFFFF"/>
        </w:rPr>
        <w:t xml:space="preserve"> </w:t>
      </w:r>
      <w:r w:rsidR="00D61209" w:rsidRPr="008A7920">
        <w:rPr>
          <w:rStyle w:val="slug-doi-wrapper"/>
          <w:iCs/>
        </w:rPr>
        <w:t xml:space="preserve">doi: </w:t>
      </w:r>
      <w:r w:rsidR="00D61209" w:rsidRPr="008A7920">
        <w:rPr>
          <w:rStyle w:val="slug-doi"/>
          <w:iCs/>
        </w:rPr>
        <w:t>10.1093/geront/20.6.649</w:t>
      </w:r>
    </w:p>
    <w:p w14:paraId="292275CB" w14:textId="6646B808" w:rsidR="00155CDA" w:rsidRDefault="00155CDA" w:rsidP="00354031">
      <w:pPr>
        <w:spacing w:after="0"/>
        <w:ind w:hanging="567"/>
        <w:rPr>
          <w:rFonts w:eastAsia="MS ??"/>
        </w:rPr>
      </w:pPr>
    </w:p>
    <w:p w14:paraId="57219D60" w14:textId="77777777" w:rsidR="00F462E8" w:rsidRDefault="00F462E8" w:rsidP="00354031">
      <w:pPr>
        <w:spacing w:after="0"/>
        <w:ind w:hanging="567"/>
        <w:rPr>
          <w:rFonts w:eastAsia="MS ??"/>
        </w:rPr>
      </w:pPr>
      <w:r>
        <w:br w:type="page"/>
      </w:r>
    </w:p>
    <w:p w14:paraId="7986A78B" w14:textId="3763A49C" w:rsidR="00EA6B0C" w:rsidRDefault="00EA6B0C" w:rsidP="00EA6B0C">
      <w:pPr>
        <w:pStyle w:val="ListParagraph"/>
        <w:spacing w:line="480" w:lineRule="auto"/>
        <w:ind w:left="0"/>
      </w:pPr>
      <w:r>
        <w:lastRenderedPageBreak/>
        <w:t xml:space="preserve">Table 1. </w:t>
      </w:r>
      <w:r w:rsidR="003D1C32">
        <w:t>Standardized i</w:t>
      </w:r>
      <w:r>
        <w:t>tem loadings for a single factor encompassing defeat and entrapment, items in bold were selected for the final scale.</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361"/>
        <w:gridCol w:w="992"/>
        <w:gridCol w:w="1939"/>
      </w:tblGrid>
      <w:tr w:rsidR="00EA6B0C" w:rsidRPr="0061622E" w14:paraId="520B535E" w14:textId="77777777" w:rsidTr="00EA6B0C">
        <w:trPr>
          <w:trHeight w:val="400"/>
        </w:trPr>
        <w:tc>
          <w:tcPr>
            <w:tcW w:w="4361" w:type="dxa"/>
          </w:tcPr>
          <w:p w14:paraId="3DD678E1" w14:textId="77777777" w:rsidR="00EA6B0C" w:rsidRPr="0061622E" w:rsidRDefault="00EA6B0C" w:rsidP="00EA6B0C">
            <w:pPr>
              <w:widowControl w:val="0"/>
              <w:autoSpaceDE w:val="0"/>
              <w:autoSpaceDN w:val="0"/>
              <w:adjustRightInd w:val="0"/>
              <w:spacing w:after="0" w:line="276" w:lineRule="auto"/>
              <w:rPr>
                <w:sz w:val="20"/>
                <w:szCs w:val="20"/>
              </w:rPr>
            </w:pPr>
          </w:p>
        </w:tc>
        <w:tc>
          <w:tcPr>
            <w:tcW w:w="2931" w:type="dxa"/>
            <w:gridSpan w:val="2"/>
          </w:tcPr>
          <w:p w14:paraId="67E83377" w14:textId="77777777" w:rsidR="00EA6B0C" w:rsidRPr="0061622E" w:rsidRDefault="00EA6B0C" w:rsidP="00EA6B0C">
            <w:pPr>
              <w:spacing w:after="0" w:line="276" w:lineRule="auto"/>
              <w:jc w:val="center"/>
              <w:rPr>
                <w:rFonts w:eastAsia="Times New Roman"/>
                <w:color w:val="000000"/>
                <w:sz w:val="20"/>
                <w:szCs w:val="20"/>
                <w:lang w:val="en-GB" w:eastAsia="en-US"/>
              </w:rPr>
            </w:pPr>
            <w:r w:rsidRPr="0061622E">
              <w:rPr>
                <w:sz w:val="20"/>
                <w:szCs w:val="20"/>
              </w:rPr>
              <w:t>Combined defeat and entrapment</w:t>
            </w:r>
          </w:p>
        </w:tc>
      </w:tr>
      <w:tr w:rsidR="00EA6B0C" w:rsidRPr="0061622E" w14:paraId="2507D93C" w14:textId="77777777" w:rsidTr="00EA6B0C">
        <w:trPr>
          <w:trHeight w:val="328"/>
        </w:trPr>
        <w:tc>
          <w:tcPr>
            <w:tcW w:w="5353" w:type="dxa"/>
            <w:gridSpan w:val="2"/>
            <w:tcBorders>
              <w:bottom w:val="nil"/>
            </w:tcBorders>
          </w:tcPr>
          <w:p w14:paraId="178A0FA6"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 xml:space="preserve">1. </w:t>
            </w:r>
            <w:r w:rsidRPr="0061622E">
              <w:rPr>
                <w:b/>
                <w:sz w:val="20"/>
                <w:szCs w:val="20"/>
              </w:rPr>
              <w:t>I would like to escape from my thoughts and feelings (e)</w:t>
            </w:r>
          </w:p>
        </w:tc>
        <w:tc>
          <w:tcPr>
            <w:tcW w:w="1939" w:type="dxa"/>
            <w:tcBorders>
              <w:bottom w:val="nil"/>
            </w:tcBorders>
            <w:vAlign w:val="center"/>
          </w:tcPr>
          <w:p w14:paraId="26870642" w14:textId="77777777" w:rsidR="00EA6B0C" w:rsidRPr="0061622E" w:rsidRDefault="00EA6B0C" w:rsidP="00EA6B0C">
            <w:pPr>
              <w:widowControl w:val="0"/>
              <w:autoSpaceDE w:val="0"/>
              <w:autoSpaceDN w:val="0"/>
              <w:adjustRightInd w:val="0"/>
              <w:spacing w:after="0" w:line="276" w:lineRule="auto"/>
              <w:ind w:right="60"/>
              <w:rPr>
                <w:color w:val="000000"/>
                <w:sz w:val="20"/>
                <w:szCs w:val="20"/>
              </w:rPr>
            </w:pPr>
            <w:r w:rsidRPr="0061622E">
              <w:rPr>
                <w:color w:val="000000"/>
                <w:sz w:val="20"/>
                <w:szCs w:val="20"/>
              </w:rPr>
              <w:t xml:space="preserve">  .811</w:t>
            </w:r>
          </w:p>
        </w:tc>
      </w:tr>
      <w:tr w:rsidR="00EA6B0C" w:rsidRPr="0061622E" w14:paraId="36E56C66" w14:textId="77777777" w:rsidTr="00EA6B0C">
        <w:trPr>
          <w:trHeight w:val="328"/>
        </w:trPr>
        <w:tc>
          <w:tcPr>
            <w:tcW w:w="5353" w:type="dxa"/>
            <w:gridSpan w:val="2"/>
            <w:tcBorders>
              <w:top w:val="nil"/>
              <w:bottom w:val="nil"/>
            </w:tcBorders>
          </w:tcPr>
          <w:p w14:paraId="3925A2AC"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 xml:space="preserve">2. </w:t>
            </w:r>
            <w:r w:rsidRPr="0061622E">
              <w:rPr>
                <w:b/>
                <w:sz w:val="20"/>
                <w:szCs w:val="20"/>
              </w:rPr>
              <w:t>I feel defeated by life (d)</w:t>
            </w:r>
          </w:p>
        </w:tc>
        <w:tc>
          <w:tcPr>
            <w:tcW w:w="1939" w:type="dxa"/>
            <w:tcBorders>
              <w:top w:val="nil"/>
              <w:bottom w:val="nil"/>
            </w:tcBorders>
            <w:vAlign w:val="center"/>
          </w:tcPr>
          <w:p w14:paraId="73DE6C16"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.808</w:t>
            </w:r>
          </w:p>
        </w:tc>
      </w:tr>
      <w:tr w:rsidR="00EA6B0C" w:rsidRPr="0061622E" w14:paraId="0CADB95B" w14:textId="77777777" w:rsidTr="00EA6B0C">
        <w:trPr>
          <w:trHeight w:val="305"/>
        </w:trPr>
        <w:tc>
          <w:tcPr>
            <w:tcW w:w="5353" w:type="dxa"/>
            <w:gridSpan w:val="2"/>
            <w:tcBorders>
              <w:top w:val="nil"/>
              <w:bottom w:val="nil"/>
            </w:tcBorders>
          </w:tcPr>
          <w:p w14:paraId="1A7C47D2" w14:textId="77777777" w:rsidR="00EA6B0C" w:rsidRPr="0061622E" w:rsidRDefault="00EA6B0C" w:rsidP="00EA6B0C">
            <w:pPr>
              <w:widowControl w:val="0"/>
              <w:autoSpaceDE w:val="0"/>
              <w:autoSpaceDN w:val="0"/>
              <w:adjustRightInd w:val="0"/>
              <w:spacing w:after="0" w:line="276" w:lineRule="auto"/>
              <w:ind w:right="-108"/>
              <w:rPr>
                <w:sz w:val="20"/>
                <w:szCs w:val="20"/>
              </w:rPr>
            </w:pPr>
            <w:r w:rsidRPr="0061622E">
              <w:rPr>
                <w:sz w:val="20"/>
                <w:szCs w:val="20"/>
              </w:rPr>
              <w:t xml:space="preserve">3. </w:t>
            </w:r>
            <w:r w:rsidRPr="0061622E">
              <w:rPr>
                <w:b/>
                <w:sz w:val="20"/>
                <w:szCs w:val="20"/>
              </w:rPr>
              <w:t>I would like to get away from who I am and start again (e)</w:t>
            </w:r>
          </w:p>
        </w:tc>
        <w:tc>
          <w:tcPr>
            <w:tcW w:w="1939" w:type="dxa"/>
            <w:tcBorders>
              <w:top w:val="nil"/>
              <w:bottom w:val="nil"/>
            </w:tcBorders>
            <w:vAlign w:val="center"/>
          </w:tcPr>
          <w:p w14:paraId="2CDBF0B2"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.802</w:t>
            </w:r>
          </w:p>
        </w:tc>
      </w:tr>
      <w:tr w:rsidR="00EA6B0C" w:rsidRPr="0061622E" w14:paraId="41CD7BE6" w14:textId="77777777" w:rsidTr="00EA6B0C">
        <w:trPr>
          <w:trHeight w:val="328"/>
        </w:trPr>
        <w:tc>
          <w:tcPr>
            <w:tcW w:w="5353" w:type="dxa"/>
            <w:gridSpan w:val="2"/>
            <w:tcBorders>
              <w:top w:val="nil"/>
              <w:bottom w:val="nil"/>
            </w:tcBorders>
          </w:tcPr>
          <w:p w14:paraId="7FAC7F9E"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 xml:space="preserve">4. </w:t>
            </w:r>
            <w:r w:rsidRPr="0061622E">
              <w:rPr>
                <w:b/>
                <w:sz w:val="20"/>
                <w:szCs w:val="20"/>
              </w:rPr>
              <w:t xml:space="preserve">I would like to get away from other more powerful people </w:t>
            </w:r>
            <w:r w:rsidRPr="0061622E">
              <w:rPr>
                <w:b/>
                <w:sz w:val="20"/>
                <w:szCs w:val="20"/>
              </w:rPr>
              <w:br/>
              <w:t xml:space="preserve">    in my life (e)</w:t>
            </w:r>
          </w:p>
        </w:tc>
        <w:tc>
          <w:tcPr>
            <w:tcW w:w="1939" w:type="dxa"/>
            <w:tcBorders>
              <w:top w:val="nil"/>
              <w:bottom w:val="nil"/>
            </w:tcBorders>
            <w:vAlign w:val="center"/>
          </w:tcPr>
          <w:p w14:paraId="17A8CD02"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.797</w:t>
            </w:r>
          </w:p>
        </w:tc>
      </w:tr>
      <w:tr w:rsidR="00EA6B0C" w:rsidRPr="0061622E" w14:paraId="727880EA" w14:textId="77777777" w:rsidTr="00EA6B0C">
        <w:trPr>
          <w:trHeight w:val="328"/>
        </w:trPr>
        <w:tc>
          <w:tcPr>
            <w:tcW w:w="5353" w:type="dxa"/>
            <w:gridSpan w:val="2"/>
            <w:tcBorders>
              <w:top w:val="nil"/>
              <w:bottom w:val="nil"/>
            </w:tcBorders>
          </w:tcPr>
          <w:p w14:paraId="03170CE9" w14:textId="77777777" w:rsidR="00EA6B0C" w:rsidRPr="0061622E" w:rsidRDefault="00EA6B0C" w:rsidP="00EA6B0C">
            <w:pPr>
              <w:widowControl w:val="0"/>
              <w:tabs>
                <w:tab w:val="left" w:pos="720"/>
                <w:tab w:val="left" w:pos="1809"/>
              </w:tabs>
              <w:autoSpaceDE w:val="0"/>
              <w:autoSpaceDN w:val="0"/>
              <w:adjustRightInd w:val="0"/>
              <w:spacing w:after="0" w:line="276" w:lineRule="auto"/>
              <w:rPr>
                <w:sz w:val="20"/>
                <w:szCs w:val="20"/>
              </w:rPr>
            </w:pPr>
            <w:r w:rsidRPr="0061622E">
              <w:rPr>
                <w:sz w:val="20"/>
                <w:szCs w:val="20"/>
              </w:rPr>
              <w:t>5. I often have the feeling that I would just like to run away (e)</w:t>
            </w:r>
          </w:p>
        </w:tc>
        <w:tc>
          <w:tcPr>
            <w:tcW w:w="1939" w:type="dxa"/>
            <w:tcBorders>
              <w:top w:val="nil"/>
              <w:bottom w:val="nil"/>
            </w:tcBorders>
            <w:vAlign w:val="center"/>
          </w:tcPr>
          <w:p w14:paraId="2656FEC5" w14:textId="77777777" w:rsidR="00EA6B0C" w:rsidRPr="0061622E" w:rsidRDefault="00EA6B0C" w:rsidP="00EA6B0C">
            <w:pPr>
              <w:widowControl w:val="0"/>
              <w:autoSpaceDE w:val="0"/>
              <w:autoSpaceDN w:val="0"/>
              <w:adjustRightInd w:val="0"/>
              <w:spacing w:after="0" w:line="276" w:lineRule="auto"/>
              <w:ind w:right="60"/>
              <w:rPr>
                <w:color w:val="000000"/>
                <w:sz w:val="20"/>
                <w:szCs w:val="20"/>
              </w:rPr>
            </w:pPr>
            <w:r w:rsidRPr="0061622E">
              <w:rPr>
                <w:color w:val="000000"/>
                <w:sz w:val="20"/>
                <w:szCs w:val="20"/>
              </w:rPr>
              <w:t xml:space="preserve"> .796</w:t>
            </w:r>
          </w:p>
        </w:tc>
      </w:tr>
      <w:tr w:rsidR="00EA6B0C" w:rsidRPr="0061622E" w14:paraId="00C3E010" w14:textId="77777777" w:rsidTr="00EA6B0C">
        <w:trPr>
          <w:trHeight w:val="328"/>
        </w:trPr>
        <w:tc>
          <w:tcPr>
            <w:tcW w:w="5353" w:type="dxa"/>
            <w:gridSpan w:val="2"/>
            <w:tcBorders>
              <w:top w:val="nil"/>
              <w:bottom w:val="nil"/>
            </w:tcBorders>
          </w:tcPr>
          <w:p w14:paraId="13F68E71"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 xml:space="preserve">6. </w:t>
            </w:r>
            <w:r w:rsidRPr="0061622E">
              <w:rPr>
                <w:b/>
                <w:sz w:val="20"/>
                <w:szCs w:val="20"/>
              </w:rPr>
              <w:t>I can see no way out of my current situation (e)</w:t>
            </w:r>
          </w:p>
        </w:tc>
        <w:tc>
          <w:tcPr>
            <w:tcW w:w="1939" w:type="dxa"/>
            <w:tcBorders>
              <w:top w:val="nil"/>
              <w:bottom w:val="nil"/>
            </w:tcBorders>
            <w:vAlign w:val="center"/>
          </w:tcPr>
          <w:p w14:paraId="74C33B39"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.796</w:t>
            </w:r>
          </w:p>
        </w:tc>
      </w:tr>
      <w:tr w:rsidR="00EA6B0C" w:rsidRPr="0061622E" w14:paraId="46FEEE84" w14:textId="77777777" w:rsidTr="00EA6B0C">
        <w:trPr>
          <w:trHeight w:val="328"/>
        </w:trPr>
        <w:tc>
          <w:tcPr>
            <w:tcW w:w="5353" w:type="dxa"/>
            <w:gridSpan w:val="2"/>
            <w:tcBorders>
              <w:top w:val="nil"/>
              <w:bottom w:val="nil"/>
            </w:tcBorders>
          </w:tcPr>
          <w:p w14:paraId="75777E15"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7. I want to get away from myself (e)</w:t>
            </w:r>
          </w:p>
        </w:tc>
        <w:tc>
          <w:tcPr>
            <w:tcW w:w="1939" w:type="dxa"/>
            <w:tcBorders>
              <w:top w:val="nil"/>
              <w:bottom w:val="nil"/>
            </w:tcBorders>
            <w:vAlign w:val="center"/>
          </w:tcPr>
          <w:p w14:paraId="042CD548"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.788</w:t>
            </w:r>
          </w:p>
        </w:tc>
      </w:tr>
      <w:tr w:rsidR="00EA6B0C" w:rsidRPr="0061622E" w14:paraId="29CE8FC1" w14:textId="77777777" w:rsidTr="00EA6B0C">
        <w:trPr>
          <w:trHeight w:val="328"/>
        </w:trPr>
        <w:tc>
          <w:tcPr>
            <w:tcW w:w="5353" w:type="dxa"/>
            <w:gridSpan w:val="2"/>
            <w:tcBorders>
              <w:top w:val="nil"/>
              <w:bottom w:val="nil"/>
            </w:tcBorders>
          </w:tcPr>
          <w:p w14:paraId="3D11231B"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8. I feel trapped by my obligations (e)</w:t>
            </w:r>
          </w:p>
        </w:tc>
        <w:tc>
          <w:tcPr>
            <w:tcW w:w="1939" w:type="dxa"/>
            <w:tcBorders>
              <w:top w:val="nil"/>
              <w:bottom w:val="nil"/>
            </w:tcBorders>
            <w:vAlign w:val="center"/>
          </w:tcPr>
          <w:p w14:paraId="557CA4E4"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.787</w:t>
            </w:r>
          </w:p>
        </w:tc>
      </w:tr>
      <w:tr w:rsidR="00EA6B0C" w:rsidRPr="0061622E" w14:paraId="5EF386F6" w14:textId="77777777" w:rsidTr="00EA6B0C">
        <w:trPr>
          <w:trHeight w:val="328"/>
        </w:trPr>
        <w:tc>
          <w:tcPr>
            <w:tcW w:w="5353" w:type="dxa"/>
            <w:gridSpan w:val="2"/>
            <w:tcBorders>
              <w:top w:val="nil"/>
              <w:bottom w:val="nil"/>
            </w:tcBorders>
          </w:tcPr>
          <w:p w14:paraId="746D992E"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 xml:space="preserve">9. </w:t>
            </w:r>
            <w:r w:rsidRPr="0061622E">
              <w:rPr>
                <w:b/>
                <w:sz w:val="20"/>
                <w:szCs w:val="20"/>
              </w:rPr>
              <w:t>I feel that there is no fight left in me (d)</w:t>
            </w:r>
          </w:p>
        </w:tc>
        <w:tc>
          <w:tcPr>
            <w:tcW w:w="1939" w:type="dxa"/>
            <w:tcBorders>
              <w:top w:val="nil"/>
              <w:bottom w:val="nil"/>
            </w:tcBorders>
            <w:vAlign w:val="center"/>
          </w:tcPr>
          <w:p w14:paraId="2B9A7126"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.773</w:t>
            </w:r>
          </w:p>
        </w:tc>
      </w:tr>
      <w:tr w:rsidR="00EA6B0C" w:rsidRPr="0061622E" w14:paraId="01D52EF9" w14:textId="77777777" w:rsidTr="00EA6B0C">
        <w:trPr>
          <w:trHeight w:val="328"/>
        </w:trPr>
        <w:tc>
          <w:tcPr>
            <w:tcW w:w="5353" w:type="dxa"/>
            <w:gridSpan w:val="2"/>
            <w:tcBorders>
              <w:top w:val="nil"/>
              <w:bottom w:val="nil"/>
            </w:tcBorders>
          </w:tcPr>
          <w:p w14:paraId="3F8D6222" w14:textId="77777777" w:rsidR="00EA6B0C" w:rsidRPr="0061622E" w:rsidRDefault="00EA6B0C" w:rsidP="00EA6B0C">
            <w:pPr>
              <w:tabs>
                <w:tab w:val="left" w:pos="1985"/>
              </w:tabs>
              <w:spacing w:after="0" w:line="276" w:lineRule="auto"/>
              <w:jc w:val="both"/>
              <w:rPr>
                <w:sz w:val="20"/>
                <w:szCs w:val="20"/>
              </w:rPr>
            </w:pPr>
            <w:r w:rsidRPr="0061622E">
              <w:rPr>
                <w:sz w:val="20"/>
                <w:szCs w:val="20"/>
              </w:rPr>
              <w:t xml:space="preserve">10. </w:t>
            </w:r>
            <w:r w:rsidRPr="0061622E">
              <w:rPr>
                <w:b/>
                <w:sz w:val="20"/>
                <w:szCs w:val="20"/>
              </w:rPr>
              <w:t>I feel that I am one of life’s losers (d)</w:t>
            </w:r>
          </w:p>
        </w:tc>
        <w:tc>
          <w:tcPr>
            <w:tcW w:w="1939" w:type="dxa"/>
            <w:tcBorders>
              <w:top w:val="nil"/>
              <w:bottom w:val="nil"/>
            </w:tcBorders>
            <w:vAlign w:val="center"/>
          </w:tcPr>
          <w:p w14:paraId="2DFA993B"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.773</w:t>
            </w:r>
          </w:p>
        </w:tc>
      </w:tr>
      <w:tr w:rsidR="00EA6B0C" w:rsidRPr="0061622E" w14:paraId="303AF2E9" w14:textId="77777777" w:rsidTr="00EA6B0C">
        <w:trPr>
          <w:trHeight w:val="328"/>
        </w:trPr>
        <w:tc>
          <w:tcPr>
            <w:tcW w:w="5353" w:type="dxa"/>
            <w:gridSpan w:val="2"/>
            <w:tcBorders>
              <w:top w:val="nil"/>
              <w:bottom w:val="nil"/>
            </w:tcBorders>
          </w:tcPr>
          <w:p w14:paraId="6A77C552"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 xml:space="preserve">11. </w:t>
            </w:r>
            <w:r w:rsidRPr="0061622E">
              <w:rPr>
                <w:b/>
                <w:sz w:val="20"/>
                <w:szCs w:val="20"/>
              </w:rPr>
              <w:t>I feel powerless (d)</w:t>
            </w:r>
          </w:p>
        </w:tc>
        <w:tc>
          <w:tcPr>
            <w:tcW w:w="1939" w:type="dxa"/>
            <w:tcBorders>
              <w:top w:val="nil"/>
              <w:bottom w:val="nil"/>
            </w:tcBorders>
            <w:vAlign w:val="center"/>
          </w:tcPr>
          <w:p w14:paraId="0FD9C3D8"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.773</w:t>
            </w:r>
          </w:p>
        </w:tc>
      </w:tr>
      <w:tr w:rsidR="00EA6B0C" w:rsidRPr="0061622E" w14:paraId="5B6C834B" w14:textId="77777777" w:rsidTr="00EA6B0C">
        <w:trPr>
          <w:trHeight w:val="328"/>
        </w:trPr>
        <w:tc>
          <w:tcPr>
            <w:tcW w:w="5353" w:type="dxa"/>
            <w:gridSpan w:val="2"/>
            <w:tcBorders>
              <w:top w:val="nil"/>
              <w:bottom w:val="nil"/>
            </w:tcBorders>
          </w:tcPr>
          <w:p w14:paraId="6085AC62"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12. I feel powerless to change things (e)</w:t>
            </w:r>
          </w:p>
        </w:tc>
        <w:tc>
          <w:tcPr>
            <w:tcW w:w="1939" w:type="dxa"/>
            <w:tcBorders>
              <w:top w:val="nil"/>
              <w:bottom w:val="nil"/>
            </w:tcBorders>
            <w:vAlign w:val="center"/>
          </w:tcPr>
          <w:p w14:paraId="03332058"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.759</w:t>
            </w:r>
          </w:p>
        </w:tc>
      </w:tr>
      <w:tr w:rsidR="00EA6B0C" w:rsidRPr="0061622E" w14:paraId="11CCB4DF" w14:textId="77777777" w:rsidTr="00EA6B0C">
        <w:trPr>
          <w:trHeight w:val="328"/>
        </w:trPr>
        <w:tc>
          <w:tcPr>
            <w:tcW w:w="5353" w:type="dxa"/>
            <w:gridSpan w:val="2"/>
            <w:tcBorders>
              <w:top w:val="nil"/>
              <w:bottom w:val="nil"/>
            </w:tcBorders>
          </w:tcPr>
          <w:p w14:paraId="6CF5BE58"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13. I feel down and out (d)</w:t>
            </w:r>
          </w:p>
        </w:tc>
        <w:tc>
          <w:tcPr>
            <w:tcW w:w="1939" w:type="dxa"/>
            <w:tcBorders>
              <w:top w:val="nil"/>
              <w:bottom w:val="nil"/>
            </w:tcBorders>
            <w:vAlign w:val="center"/>
          </w:tcPr>
          <w:p w14:paraId="2A942E9B"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.753</w:t>
            </w:r>
          </w:p>
        </w:tc>
      </w:tr>
      <w:tr w:rsidR="00EA6B0C" w:rsidRPr="0061622E" w14:paraId="69C3E4D4" w14:textId="77777777" w:rsidTr="00EA6B0C">
        <w:trPr>
          <w:trHeight w:val="328"/>
        </w:trPr>
        <w:tc>
          <w:tcPr>
            <w:tcW w:w="5353" w:type="dxa"/>
            <w:gridSpan w:val="2"/>
            <w:tcBorders>
              <w:top w:val="nil"/>
              <w:bottom w:val="nil"/>
            </w:tcBorders>
          </w:tcPr>
          <w:p w14:paraId="75438A34"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14. I feel completely knocked out of action (d)</w:t>
            </w:r>
          </w:p>
        </w:tc>
        <w:tc>
          <w:tcPr>
            <w:tcW w:w="1939" w:type="dxa"/>
            <w:tcBorders>
              <w:top w:val="nil"/>
              <w:bottom w:val="nil"/>
            </w:tcBorders>
            <w:vAlign w:val="center"/>
          </w:tcPr>
          <w:p w14:paraId="3B19D9C3"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.750</w:t>
            </w:r>
          </w:p>
        </w:tc>
      </w:tr>
      <w:tr w:rsidR="00EA6B0C" w:rsidRPr="0061622E" w14:paraId="1316CA4C" w14:textId="77777777" w:rsidTr="00EA6B0C">
        <w:trPr>
          <w:trHeight w:val="328"/>
        </w:trPr>
        <w:tc>
          <w:tcPr>
            <w:tcW w:w="5353" w:type="dxa"/>
            <w:gridSpan w:val="2"/>
            <w:tcBorders>
              <w:top w:val="nil"/>
              <w:bottom w:val="nil"/>
            </w:tcBorders>
          </w:tcPr>
          <w:p w14:paraId="1B2E94CD"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15. I feel that I have lost my standing in the world (d)</w:t>
            </w:r>
            <w:r w:rsidRPr="0061622E">
              <w:rPr>
                <w:sz w:val="20"/>
                <w:szCs w:val="20"/>
              </w:rPr>
              <w:tab/>
            </w:r>
          </w:p>
        </w:tc>
        <w:tc>
          <w:tcPr>
            <w:tcW w:w="1939" w:type="dxa"/>
            <w:tcBorders>
              <w:top w:val="nil"/>
              <w:bottom w:val="nil"/>
            </w:tcBorders>
            <w:vAlign w:val="center"/>
          </w:tcPr>
          <w:p w14:paraId="650F32A5"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.744</w:t>
            </w:r>
          </w:p>
        </w:tc>
      </w:tr>
      <w:tr w:rsidR="00EA6B0C" w:rsidRPr="0061622E" w14:paraId="6C83825E" w14:textId="77777777" w:rsidTr="00EA6B0C">
        <w:trPr>
          <w:trHeight w:val="328"/>
        </w:trPr>
        <w:tc>
          <w:tcPr>
            <w:tcW w:w="5353" w:type="dxa"/>
            <w:gridSpan w:val="2"/>
            <w:tcBorders>
              <w:top w:val="nil"/>
              <w:bottom w:val="nil"/>
            </w:tcBorders>
          </w:tcPr>
          <w:p w14:paraId="6C5B7DBA"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16. I feel that I have given up (d)</w:t>
            </w:r>
          </w:p>
        </w:tc>
        <w:tc>
          <w:tcPr>
            <w:tcW w:w="1939" w:type="dxa"/>
            <w:tcBorders>
              <w:top w:val="nil"/>
              <w:bottom w:val="nil"/>
            </w:tcBorders>
            <w:vAlign w:val="center"/>
          </w:tcPr>
          <w:p w14:paraId="0CF34AA6"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.737</w:t>
            </w:r>
          </w:p>
        </w:tc>
      </w:tr>
      <w:tr w:rsidR="00EA6B0C" w:rsidRPr="0061622E" w14:paraId="46B52A50" w14:textId="77777777" w:rsidTr="00EA6B0C">
        <w:trPr>
          <w:trHeight w:val="328"/>
        </w:trPr>
        <w:tc>
          <w:tcPr>
            <w:tcW w:w="5353" w:type="dxa"/>
            <w:gridSpan w:val="2"/>
            <w:tcBorders>
              <w:top w:val="nil"/>
              <w:bottom w:val="nil"/>
            </w:tcBorders>
          </w:tcPr>
          <w:p w14:paraId="0C2D359B"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17. I feel trapped by other people (e)</w:t>
            </w:r>
          </w:p>
        </w:tc>
        <w:tc>
          <w:tcPr>
            <w:tcW w:w="1939" w:type="dxa"/>
            <w:tcBorders>
              <w:top w:val="nil"/>
              <w:bottom w:val="nil"/>
            </w:tcBorders>
            <w:vAlign w:val="center"/>
          </w:tcPr>
          <w:p w14:paraId="3D6E2CB0"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.731</w:t>
            </w:r>
          </w:p>
        </w:tc>
      </w:tr>
      <w:tr w:rsidR="00EA6B0C" w:rsidRPr="0061622E" w14:paraId="7823D176" w14:textId="77777777" w:rsidTr="00EA6B0C">
        <w:trPr>
          <w:trHeight w:val="328"/>
        </w:trPr>
        <w:tc>
          <w:tcPr>
            <w:tcW w:w="5353" w:type="dxa"/>
            <w:gridSpan w:val="2"/>
            <w:tcBorders>
              <w:top w:val="nil"/>
              <w:bottom w:val="nil"/>
            </w:tcBorders>
          </w:tcPr>
          <w:p w14:paraId="2F2518C1"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18. I feel that I have sunk to the bottom of the ladder (d)</w:t>
            </w:r>
          </w:p>
        </w:tc>
        <w:tc>
          <w:tcPr>
            <w:tcW w:w="1939" w:type="dxa"/>
            <w:tcBorders>
              <w:top w:val="nil"/>
              <w:bottom w:val="nil"/>
            </w:tcBorders>
            <w:vAlign w:val="center"/>
          </w:tcPr>
          <w:p w14:paraId="3D3367D9"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.728</w:t>
            </w:r>
          </w:p>
        </w:tc>
      </w:tr>
      <w:tr w:rsidR="00EA6B0C" w:rsidRPr="0061622E" w14:paraId="4438E0CA" w14:textId="77777777" w:rsidTr="00EA6B0C">
        <w:trPr>
          <w:trHeight w:val="328"/>
        </w:trPr>
        <w:tc>
          <w:tcPr>
            <w:tcW w:w="5353" w:type="dxa"/>
            <w:gridSpan w:val="2"/>
            <w:tcBorders>
              <w:top w:val="nil"/>
              <w:bottom w:val="nil"/>
            </w:tcBorders>
          </w:tcPr>
          <w:p w14:paraId="11278FB6"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19. I feel that I have lost important battles in life (d)</w:t>
            </w:r>
          </w:p>
        </w:tc>
        <w:tc>
          <w:tcPr>
            <w:tcW w:w="1939" w:type="dxa"/>
            <w:tcBorders>
              <w:top w:val="nil"/>
              <w:bottom w:val="nil"/>
            </w:tcBorders>
            <w:vAlign w:val="center"/>
          </w:tcPr>
          <w:p w14:paraId="35C0E5B3"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.727</w:t>
            </w:r>
          </w:p>
        </w:tc>
      </w:tr>
      <w:tr w:rsidR="00EA6B0C" w:rsidRPr="0061622E" w14:paraId="5F3938D8" w14:textId="77777777" w:rsidTr="00EA6B0C">
        <w:trPr>
          <w:trHeight w:val="328"/>
        </w:trPr>
        <w:tc>
          <w:tcPr>
            <w:tcW w:w="5353" w:type="dxa"/>
            <w:gridSpan w:val="2"/>
            <w:tcBorders>
              <w:top w:val="nil"/>
              <w:bottom w:val="nil"/>
            </w:tcBorders>
          </w:tcPr>
          <w:p w14:paraId="55147A47"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20. I am in situation I feel trapped in (e)</w:t>
            </w:r>
          </w:p>
        </w:tc>
        <w:tc>
          <w:tcPr>
            <w:tcW w:w="1939" w:type="dxa"/>
            <w:tcBorders>
              <w:top w:val="nil"/>
              <w:bottom w:val="nil"/>
            </w:tcBorders>
            <w:vAlign w:val="center"/>
          </w:tcPr>
          <w:p w14:paraId="0DA3C7EB"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.726</w:t>
            </w:r>
          </w:p>
        </w:tc>
      </w:tr>
      <w:tr w:rsidR="00EA6B0C" w:rsidRPr="0061622E" w14:paraId="762458F2" w14:textId="77777777" w:rsidTr="00EA6B0C">
        <w:trPr>
          <w:trHeight w:val="328"/>
        </w:trPr>
        <w:tc>
          <w:tcPr>
            <w:tcW w:w="5353" w:type="dxa"/>
            <w:gridSpan w:val="2"/>
            <w:tcBorders>
              <w:top w:val="nil"/>
              <w:bottom w:val="nil"/>
            </w:tcBorders>
          </w:tcPr>
          <w:p w14:paraId="31469255"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21. I have a strong desire to escape from things in my life (e)</w:t>
            </w:r>
          </w:p>
        </w:tc>
        <w:tc>
          <w:tcPr>
            <w:tcW w:w="1939" w:type="dxa"/>
            <w:tcBorders>
              <w:top w:val="nil"/>
              <w:bottom w:val="nil"/>
            </w:tcBorders>
            <w:vAlign w:val="center"/>
          </w:tcPr>
          <w:p w14:paraId="7B6894E0"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.723</w:t>
            </w:r>
          </w:p>
        </w:tc>
      </w:tr>
      <w:tr w:rsidR="00EA6B0C" w:rsidRPr="0061622E" w14:paraId="15278090" w14:textId="77777777" w:rsidTr="00EA6B0C">
        <w:trPr>
          <w:trHeight w:val="328"/>
        </w:trPr>
        <w:tc>
          <w:tcPr>
            <w:tcW w:w="5353" w:type="dxa"/>
            <w:gridSpan w:val="2"/>
            <w:tcBorders>
              <w:top w:val="nil"/>
              <w:bottom w:val="nil"/>
            </w:tcBorders>
          </w:tcPr>
          <w:p w14:paraId="6B753A9E"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22. I am in a relationship I can’t get out of (e)</w:t>
            </w:r>
          </w:p>
        </w:tc>
        <w:tc>
          <w:tcPr>
            <w:tcW w:w="1939" w:type="dxa"/>
            <w:tcBorders>
              <w:top w:val="nil"/>
              <w:bottom w:val="nil"/>
            </w:tcBorders>
            <w:vAlign w:val="center"/>
          </w:tcPr>
          <w:p w14:paraId="0B569F3C"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.723</w:t>
            </w:r>
          </w:p>
        </w:tc>
      </w:tr>
      <w:tr w:rsidR="00EA6B0C" w:rsidRPr="0061622E" w14:paraId="4D5E9238" w14:textId="77777777" w:rsidTr="00EA6B0C">
        <w:trPr>
          <w:trHeight w:val="328"/>
        </w:trPr>
        <w:tc>
          <w:tcPr>
            <w:tcW w:w="5353" w:type="dxa"/>
            <w:gridSpan w:val="2"/>
            <w:tcBorders>
              <w:top w:val="nil"/>
              <w:bottom w:val="nil"/>
            </w:tcBorders>
          </w:tcPr>
          <w:p w14:paraId="277BDDE5"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23. I feel that my confidence has been knocked out of me (d)</w:t>
            </w:r>
          </w:p>
        </w:tc>
        <w:tc>
          <w:tcPr>
            <w:tcW w:w="1939" w:type="dxa"/>
            <w:tcBorders>
              <w:top w:val="nil"/>
              <w:bottom w:val="nil"/>
            </w:tcBorders>
            <w:vAlign w:val="center"/>
          </w:tcPr>
          <w:p w14:paraId="55FC5BE7"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.722</w:t>
            </w:r>
          </w:p>
        </w:tc>
      </w:tr>
      <w:tr w:rsidR="00EA6B0C" w:rsidRPr="0061622E" w14:paraId="54CF5C69" w14:textId="77777777" w:rsidTr="00EA6B0C">
        <w:trPr>
          <w:trHeight w:val="328"/>
        </w:trPr>
        <w:tc>
          <w:tcPr>
            <w:tcW w:w="5353" w:type="dxa"/>
            <w:gridSpan w:val="2"/>
            <w:tcBorders>
              <w:top w:val="nil"/>
              <w:bottom w:val="nil"/>
            </w:tcBorders>
          </w:tcPr>
          <w:p w14:paraId="401C5E5D"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24. I feel I’m in a deep hole I can’t get out of (e)</w:t>
            </w:r>
            <w:r w:rsidRPr="0061622E">
              <w:rPr>
                <w:sz w:val="20"/>
                <w:szCs w:val="20"/>
              </w:rPr>
              <w:tab/>
            </w:r>
          </w:p>
        </w:tc>
        <w:tc>
          <w:tcPr>
            <w:tcW w:w="1939" w:type="dxa"/>
            <w:tcBorders>
              <w:top w:val="nil"/>
              <w:bottom w:val="nil"/>
            </w:tcBorders>
            <w:vAlign w:val="center"/>
          </w:tcPr>
          <w:p w14:paraId="1B5CDE78"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.706</w:t>
            </w:r>
          </w:p>
        </w:tc>
      </w:tr>
      <w:tr w:rsidR="00EA6B0C" w:rsidRPr="0061622E" w14:paraId="31BCA8D3" w14:textId="77777777" w:rsidTr="00EA6B0C">
        <w:trPr>
          <w:trHeight w:val="328"/>
        </w:trPr>
        <w:tc>
          <w:tcPr>
            <w:tcW w:w="5353" w:type="dxa"/>
            <w:gridSpan w:val="2"/>
            <w:tcBorders>
              <w:top w:val="nil"/>
              <w:bottom w:val="nil"/>
            </w:tcBorders>
          </w:tcPr>
          <w:p w14:paraId="3219188A"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25.</w:t>
            </w:r>
            <w:r w:rsidRPr="0061622E">
              <w:rPr>
                <w:bCs/>
                <w:sz w:val="20"/>
                <w:szCs w:val="20"/>
              </w:rPr>
              <w:t xml:space="preserve"> I feel that I have not made it in life</w:t>
            </w:r>
            <w:r w:rsidRPr="0061622E">
              <w:rPr>
                <w:sz w:val="20"/>
                <w:szCs w:val="20"/>
              </w:rPr>
              <w:t xml:space="preserve"> (d)</w:t>
            </w:r>
          </w:p>
        </w:tc>
        <w:tc>
          <w:tcPr>
            <w:tcW w:w="1939" w:type="dxa"/>
            <w:tcBorders>
              <w:top w:val="nil"/>
              <w:bottom w:val="nil"/>
            </w:tcBorders>
            <w:vAlign w:val="center"/>
          </w:tcPr>
          <w:p w14:paraId="07CF2B4C"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.666</w:t>
            </w:r>
          </w:p>
        </w:tc>
      </w:tr>
      <w:tr w:rsidR="00EA6B0C" w:rsidRPr="0061622E" w14:paraId="117C8625" w14:textId="77777777" w:rsidTr="00EA6B0C">
        <w:trPr>
          <w:trHeight w:val="328"/>
        </w:trPr>
        <w:tc>
          <w:tcPr>
            <w:tcW w:w="5353" w:type="dxa"/>
            <w:gridSpan w:val="2"/>
            <w:tcBorders>
              <w:top w:val="nil"/>
              <w:bottom w:val="nil"/>
            </w:tcBorders>
          </w:tcPr>
          <w:p w14:paraId="2DA5728E"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26. I feel that life has treated me like a punch bag (d)</w:t>
            </w:r>
          </w:p>
        </w:tc>
        <w:tc>
          <w:tcPr>
            <w:tcW w:w="1939" w:type="dxa"/>
            <w:tcBorders>
              <w:top w:val="nil"/>
              <w:bottom w:val="nil"/>
            </w:tcBorders>
            <w:vAlign w:val="center"/>
          </w:tcPr>
          <w:p w14:paraId="3F288B80"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.640</w:t>
            </w:r>
          </w:p>
        </w:tc>
      </w:tr>
      <w:tr w:rsidR="00EA6B0C" w:rsidRPr="0061622E" w14:paraId="6347D521" w14:textId="77777777" w:rsidTr="00EA6B0C">
        <w:trPr>
          <w:trHeight w:val="328"/>
        </w:trPr>
        <w:tc>
          <w:tcPr>
            <w:tcW w:w="5353" w:type="dxa"/>
            <w:gridSpan w:val="2"/>
            <w:tcBorders>
              <w:top w:val="nil"/>
              <w:bottom w:val="nil"/>
            </w:tcBorders>
          </w:tcPr>
          <w:p w14:paraId="7132E858"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27. I feel powerless to change myself (e)</w:t>
            </w:r>
            <w:r w:rsidRPr="0061622E">
              <w:rPr>
                <w:sz w:val="20"/>
                <w:szCs w:val="20"/>
              </w:rPr>
              <w:tab/>
            </w:r>
          </w:p>
        </w:tc>
        <w:tc>
          <w:tcPr>
            <w:tcW w:w="1939" w:type="dxa"/>
            <w:tcBorders>
              <w:top w:val="nil"/>
              <w:bottom w:val="nil"/>
            </w:tcBorders>
            <w:vAlign w:val="center"/>
          </w:tcPr>
          <w:p w14:paraId="49086CEE"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.613</w:t>
            </w:r>
          </w:p>
        </w:tc>
      </w:tr>
      <w:tr w:rsidR="00EA6B0C" w:rsidRPr="0061622E" w14:paraId="05263D7A" w14:textId="77777777" w:rsidTr="00EA6B0C">
        <w:trPr>
          <w:trHeight w:val="328"/>
        </w:trPr>
        <w:tc>
          <w:tcPr>
            <w:tcW w:w="5353" w:type="dxa"/>
            <w:gridSpan w:val="2"/>
            <w:tcBorders>
              <w:top w:val="nil"/>
              <w:bottom w:val="nil"/>
            </w:tcBorders>
          </w:tcPr>
          <w:p w14:paraId="55C837B1"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28. I feel trapped inside myself (e)</w:t>
            </w:r>
            <w:r w:rsidRPr="0061622E">
              <w:rPr>
                <w:sz w:val="20"/>
                <w:szCs w:val="20"/>
              </w:rPr>
              <w:tab/>
            </w:r>
          </w:p>
        </w:tc>
        <w:tc>
          <w:tcPr>
            <w:tcW w:w="1939" w:type="dxa"/>
            <w:tcBorders>
              <w:top w:val="nil"/>
              <w:bottom w:val="nil"/>
            </w:tcBorders>
            <w:vAlign w:val="center"/>
          </w:tcPr>
          <w:p w14:paraId="7D0D5FEF"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.606</w:t>
            </w:r>
          </w:p>
        </w:tc>
      </w:tr>
      <w:tr w:rsidR="00EA6B0C" w:rsidRPr="0061622E" w14:paraId="7329DE7C" w14:textId="77777777" w:rsidTr="00EA6B0C">
        <w:trPr>
          <w:trHeight w:val="328"/>
        </w:trPr>
        <w:tc>
          <w:tcPr>
            <w:tcW w:w="5353" w:type="dxa"/>
            <w:gridSpan w:val="2"/>
            <w:tcBorders>
              <w:top w:val="nil"/>
              <w:bottom w:val="nil"/>
            </w:tcBorders>
          </w:tcPr>
          <w:p w14:paraId="2711294B"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29. I feel that I am a successful person (d) (R)</w:t>
            </w:r>
          </w:p>
        </w:tc>
        <w:tc>
          <w:tcPr>
            <w:tcW w:w="1939" w:type="dxa"/>
            <w:tcBorders>
              <w:top w:val="nil"/>
              <w:bottom w:val="nil"/>
            </w:tcBorders>
            <w:vAlign w:val="center"/>
          </w:tcPr>
          <w:p w14:paraId="5869F005"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.594</w:t>
            </w:r>
          </w:p>
        </w:tc>
      </w:tr>
      <w:tr w:rsidR="00EA6B0C" w:rsidRPr="0061622E" w14:paraId="65E08440" w14:textId="77777777" w:rsidTr="00EA6B0C">
        <w:trPr>
          <w:trHeight w:val="328"/>
        </w:trPr>
        <w:tc>
          <w:tcPr>
            <w:tcW w:w="5353" w:type="dxa"/>
            <w:gridSpan w:val="2"/>
            <w:tcBorders>
              <w:top w:val="nil"/>
              <w:bottom w:val="nil"/>
            </w:tcBorders>
          </w:tcPr>
          <w:p w14:paraId="28491FC1"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30. I feel that I am basically a winner (d) (R)</w:t>
            </w:r>
          </w:p>
        </w:tc>
        <w:tc>
          <w:tcPr>
            <w:tcW w:w="1939" w:type="dxa"/>
            <w:tcBorders>
              <w:top w:val="nil"/>
              <w:bottom w:val="nil"/>
            </w:tcBorders>
            <w:vAlign w:val="center"/>
          </w:tcPr>
          <w:p w14:paraId="1853E763"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.538</w:t>
            </w:r>
          </w:p>
        </w:tc>
      </w:tr>
      <w:tr w:rsidR="00EA6B0C" w:rsidRPr="0061622E" w14:paraId="2B90E498" w14:textId="77777777" w:rsidTr="00EA6B0C">
        <w:trPr>
          <w:trHeight w:val="328"/>
        </w:trPr>
        <w:tc>
          <w:tcPr>
            <w:tcW w:w="5353" w:type="dxa"/>
            <w:gridSpan w:val="2"/>
            <w:tcBorders>
              <w:top w:val="nil"/>
              <w:bottom w:val="nil"/>
            </w:tcBorders>
          </w:tcPr>
          <w:p w14:paraId="713E696F"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31. I feel able to deal with whatever life throws at me (d) (R)</w:t>
            </w:r>
          </w:p>
        </w:tc>
        <w:tc>
          <w:tcPr>
            <w:tcW w:w="1939" w:type="dxa"/>
            <w:tcBorders>
              <w:top w:val="nil"/>
              <w:bottom w:val="nil"/>
            </w:tcBorders>
            <w:vAlign w:val="center"/>
          </w:tcPr>
          <w:p w14:paraId="025FAD88"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.523</w:t>
            </w:r>
          </w:p>
        </w:tc>
      </w:tr>
      <w:tr w:rsidR="00EA6B0C" w:rsidRPr="0061622E" w14:paraId="7D9C102A" w14:textId="77777777" w:rsidTr="00EA6B0C">
        <w:trPr>
          <w:trHeight w:val="328"/>
        </w:trPr>
        <w:tc>
          <w:tcPr>
            <w:tcW w:w="5353" w:type="dxa"/>
            <w:gridSpan w:val="2"/>
            <w:tcBorders>
              <w:top w:val="nil"/>
            </w:tcBorders>
          </w:tcPr>
          <w:p w14:paraId="709E58CF" w14:textId="77777777" w:rsidR="00EA6B0C" w:rsidRPr="0061622E" w:rsidRDefault="00EA6B0C" w:rsidP="00EA6B0C">
            <w:pPr>
              <w:widowControl w:val="0"/>
              <w:autoSpaceDE w:val="0"/>
              <w:autoSpaceDN w:val="0"/>
              <w:adjustRightInd w:val="0"/>
              <w:spacing w:after="0" w:line="276" w:lineRule="auto"/>
              <w:rPr>
                <w:sz w:val="20"/>
                <w:szCs w:val="20"/>
              </w:rPr>
            </w:pPr>
            <w:r w:rsidRPr="0061622E">
              <w:rPr>
                <w:sz w:val="20"/>
                <w:szCs w:val="20"/>
              </w:rPr>
              <w:t xml:space="preserve">32. I have a strong desire to get away and stay away from </w:t>
            </w:r>
            <w:r w:rsidRPr="0061622E">
              <w:rPr>
                <w:sz w:val="20"/>
                <w:szCs w:val="20"/>
              </w:rPr>
              <w:br/>
              <w:t xml:space="preserve">     where I am now (e)</w:t>
            </w:r>
          </w:p>
        </w:tc>
        <w:tc>
          <w:tcPr>
            <w:tcW w:w="1939" w:type="dxa"/>
            <w:tcBorders>
              <w:top w:val="nil"/>
            </w:tcBorders>
            <w:vAlign w:val="center"/>
          </w:tcPr>
          <w:p w14:paraId="05C1F9E2" w14:textId="77777777" w:rsidR="00EA6B0C" w:rsidRPr="0061622E" w:rsidRDefault="00EA6B0C" w:rsidP="00EA6B0C">
            <w:pPr>
              <w:widowControl w:val="0"/>
              <w:autoSpaceDE w:val="0"/>
              <w:autoSpaceDN w:val="0"/>
              <w:adjustRightInd w:val="0"/>
              <w:spacing w:after="0" w:line="276" w:lineRule="auto"/>
              <w:ind w:left="60" w:right="60"/>
              <w:rPr>
                <w:color w:val="000000"/>
                <w:sz w:val="20"/>
                <w:szCs w:val="20"/>
              </w:rPr>
            </w:pPr>
            <w:r w:rsidRPr="0061622E">
              <w:rPr>
                <w:color w:val="000000"/>
                <w:sz w:val="20"/>
                <w:szCs w:val="20"/>
              </w:rPr>
              <w:t>.471</w:t>
            </w:r>
          </w:p>
        </w:tc>
      </w:tr>
    </w:tbl>
    <w:p w14:paraId="67251CE2" w14:textId="77777777" w:rsidR="00EA6B0C" w:rsidRPr="0061622E" w:rsidRDefault="00EA6B0C" w:rsidP="00EA6B0C">
      <w:pPr>
        <w:spacing w:line="276" w:lineRule="auto"/>
        <w:rPr>
          <w:sz w:val="20"/>
          <w:szCs w:val="20"/>
        </w:rPr>
      </w:pPr>
      <w:r w:rsidRPr="0061622E">
        <w:rPr>
          <w:sz w:val="20"/>
          <w:szCs w:val="20"/>
        </w:rPr>
        <w:t xml:space="preserve">Note: (R) denotes reverse coded item, (e) denotes item is from entrapment scale, (d) denotes item </w:t>
      </w:r>
      <w:r w:rsidRPr="0061622E">
        <w:rPr>
          <w:sz w:val="20"/>
          <w:szCs w:val="20"/>
        </w:rPr>
        <w:br/>
        <w:t>is from defeat scale.</w:t>
      </w:r>
    </w:p>
    <w:p w14:paraId="7330069F" w14:textId="77777777" w:rsidR="006755DC" w:rsidRDefault="006755DC">
      <w:pPr>
        <w:spacing w:after="0"/>
      </w:pPr>
      <w:r>
        <w:br w:type="page"/>
      </w:r>
    </w:p>
    <w:p w14:paraId="0027BCD5" w14:textId="20572D7D" w:rsidR="00B3381E" w:rsidRDefault="00B3381E" w:rsidP="006755DC">
      <w:pPr>
        <w:spacing w:line="480" w:lineRule="auto"/>
      </w:pPr>
      <w:r>
        <w:lastRenderedPageBreak/>
        <w:t xml:space="preserve">Table </w:t>
      </w:r>
      <w:r w:rsidR="00A664E3">
        <w:t>2</w:t>
      </w:r>
      <w:r>
        <w:t>. Cronbach’s alphas for eight- and ten-item scales across five samples.</w:t>
      </w:r>
    </w:p>
    <w:tbl>
      <w:tblPr>
        <w:tblW w:w="9498" w:type="dxa"/>
        <w:tblInd w:w="-459" w:type="dxa"/>
        <w:tblBorders>
          <w:top w:val="single" w:sz="4" w:space="0" w:color="auto"/>
          <w:bottom w:val="single" w:sz="4" w:space="0" w:color="auto"/>
        </w:tblBorders>
        <w:tblLayout w:type="fixed"/>
        <w:tblLook w:val="00A0" w:firstRow="1" w:lastRow="0" w:firstColumn="1" w:lastColumn="0" w:noHBand="0" w:noVBand="0"/>
      </w:tblPr>
      <w:tblGrid>
        <w:gridCol w:w="2977"/>
        <w:gridCol w:w="955"/>
        <w:gridCol w:w="179"/>
        <w:gridCol w:w="1276"/>
        <w:gridCol w:w="1134"/>
        <w:gridCol w:w="1417"/>
        <w:gridCol w:w="1560"/>
      </w:tblGrid>
      <w:tr w:rsidR="00743C46" w:rsidRPr="00FD10D2" w14:paraId="3C43990F" w14:textId="77777777" w:rsidTr="00051E5F">
        <w:tc>
          <w:tcPr>
            <w:tcW w:w="2977" w:type="dxa"/>
            <w:tcBorders>
              <w:top w:val="single" w:sz="4" w:space="0" w:color="auto"/>
              <w:bottom w:val="single" w:sz="4" w:space="0" w:color="auto"/>
            </w:tcBorders>
          </w:tcPr>
          <w:p w14:paraId="0F83F366" w14:textId="77777777" w:rsidR="00743C46" w:rsidRPr="00FD10D2" w:rsidRDefault="00743C46" w:rsidP="006755DC">
            <w:pPr>
              <w:spacing w:after="0" w:line="480" w:lineRule="auto"/>
            </w:pPr>
          </w:p>
        </w:tc>
        <w:tc>
          <w:tcPr>
            <w:tcW w:w="1134" w:type="dxa"/>
            <w:gridSpan w:val="2"/>
            <w:tcBorders>
              <w:top w:val="single" w:sz="4" w:space="0" w:color="auto"/>
              <w:bottom w:val="single" w:sz="4" w:space="0" w:color="auto"/>
            </w:tcBorders>
          </w:tcPr>
          <w:p w14:paraId="541D567D" w14:textId="77777777" w:rsidR="00743C46" w:rsidRPr="00FD10D2" w:rsidRDefault="00743C46" w:rsidP="0026098B">
            <w:pPr>
              <w:spacing w:after="0" w:line="360" w:lineRule="auto"/>
              <w:jc w:val="center"/>
            </w:pPr>
            <w:r w:rsidRPr="00FD10D2">
              <w:t>Sample size</w:t>
            </w:r>
          </w:p>
        </w:tc>
        <w:tc>
          <w:tcPr>
            <w:tcW w:w="1276" w:type="dxa"/>
            <w:tcBorders>
              <w:top w:val="single" w:sz="4" w:space="0" w:color="auto"/>
              <w:bottom w:val="single" w:sz="4" w:space="0" w:color="auto"/>
            </w:tcBorders>
          </w:tcPr>
          <w:p w14:paraId="7BC682F6" w14:textId="47FE6972" w:rsidR="00743C46" w:rsidRPr="00FD10D2" w:rsidRDefault="00743C46" w:rsidP="0026098B">
            <w:pPr>
              <w:spacing w:after="0" w:line="360" w:lineRule="auto"/>
              <w:jc w:val="center"/>
            </w:pPr>
            <w:r>
              <w:t>Four-item scale</w:t>
            </w:r>
          </w:p>
        </w:tc>
        <w:tc>
          <w:tcPr>
            <w:tcW w:w="1134" w:type="dxa"/>
            <w:tcBorders>
              <w:top w:val="single" w:sz="4" w:space="0" w:color="auto"/>
              <w:bottom w:val="single" w:sz="4" w:space="0" w:color="auto"/>
            </w:tcBorders>
          </w:tcPr>
          <w:p w14:paraId="58A71AD7" w14:textId="06201AED" w:rsidR="00743C46" w:rsidRPr="00FD10D2" w:rsidRDefault="00743C46" w:rsidP="0026098B">
            <w:pPr>
              <w:spacing w:after="0" w:line="360" w:lineRule="auto"/>
              <w:jc w:val="center"/>
            </w:pPr>
            <w:r>
              <w:t>Six-item scale</w:t>
            </w:r>
          </w:p>
        </w:tc>
        <w:tc>
          <w:tcPr>
            <w:tcW w:w="1417" w:type="dxa"/>
            <w:tcBorders>
              <w:top w:val="single" w:sz="4" w:space="0" w:color="auto"/>
              <w:bottom w:val="single" w:sz="4" w:space="0" w:color="auto"/>
            </w:tcBorders>
          </w:tcPr>
          <w:p w14:paraId="048BD7BB" w14:textId="669AB88E" w:rsidR="00743C46" w:rsidRPr="00FD10D2" w:rsidRDefault="00743C46" w:rsidP="0026098B">
            <w:pPr>
              <w:spacing w:after="0" w:line="360" w:lineRule="auto"/>
              <w:jc w:val="center"/>
            </w:pPr>
            <w:r w:rsidRPr="00FD10D2">
              <w:t>Eight-item scale</w:t>
            </w:r>
          </w:p>
        </w:tc>
        <w:tc>
          <w:tcPr>
            <w:tcW w:w="1560" w:type="dxa"/>
            <w:tcBorders>
              <w:top w:val="single" w:sz="4" w:space="0" w:color="auto"/>
              <w:bottom w:val="single" w:sz="4" w:space="0" w:color="auto"/>
            </w:tcBorders>
          </w:tcPr>
          <w:p w14:paraId="03DFD038" w14:textId="77777777" w:rsidR="00743C46" w:rsidRPr="00FD10D2" w:rsidRDefault="00743C46" w:rsidP="0026098B">
            <w:pPr>
              <w:spacing w:after="0" w:line="360" w:lineRule="auto"/>
              <w:jc w:val="center"/>
            </w:pPr>
            <w:r w:rsidRPr="00FD10D2">
              <w:t>Ten-item scale</w:t>
            </w:r>
          </w:p>
        </w:tc>
      </w:tr>
      <w:tr w:rsidR="00743C46" w:rsidRPr="00FD10D2" w14:paraId="03470E01" w14:textId="77777777" w:rsidTr="00051E5F">
        <w:tc>
          <w:tcPr>
            <w:tcW w:w="2977" w:type="dxa"/>
            <w:tcBorders>
              <w:top w:val="single" w:sz="4" w:space="0" w:color="auto"/>
            </w:tcBorders>
          </w:tcPr>
          <w:p w14:paraId="52A23FFD" w14:textId="77777777" w:rsidR="00743C46" w:rsidRDefault="00C37DBE" w:rsidP="006755DC">
            <w:pPr>
              <w:spacing w:after="0" w:line="480" w:lineRule="auto"/>
              <w:rPr>
                <w:sz w:val="20"/>
                <w:szCs w:val="20"/>
              </w:rPr>
            </w:pPr>
            <w:r>
              <w:rPr>
                <w:sz w:val="20"/>
                <w:szCs w:val="20"/>
              </w:rPr>
              <w:t>Community</w:t>
            </w:r>
            <w:r w:rsidR="00743C46" w:rsidRPr="00743C46">
              <w:rPr>
                <w:sz w:val="20"/>
                <w:szCs w:val="20"/>
              </w:rPr>
              <w:t xml:space="preserve"> (Sample 1)</w:t>
            </w:r>
          </w:p>
          <w:p w14:paraId="0853AE71" w14:textId="357DBA02" w:rsidR="00C37DBE" w:rsidRPr="00743C46" w:rsidRDefault="00C37DBE" w:rsidP="006755DC">
            <w:pPr>
              <w:spacing w:after="0" w:line="480" w:lineRule="auto"/>
              <w:rPr>
                <w:sz w:val="20"/>
                <w:szCs w:val="20"/>
              </w:rPr>
            </w:pPr>
            <w:r>
              <w:rPr>
                <w:sz w:val="20"/>
                <w:szCs w:val="20"/>
              </w:rPr>
              <w:t>Formal Caregivers (Sample 2)</w:t>
            </w:r>
          </w:p>
        </w:tc>
        <w:tc>
          <w:tcPr>
            <w:tcW w:w="955" w:type="dxa"/>
            <w:tcBorders>
              <w:top w:val="single" w:sz="4" w:space="0" w:color="auto"/>
            </w:tcBorders>
          </w:tcPr>
          <w:p w14:paraId="77581E0E" w14:textId="77777777" w:rsidR="00743C46" w:rsidRDefault="00743C46" w:rsidP="006755DC">
            <w:pPr>
              <w:spacing w:after="0" w:line="480" w:lineRule="auto"/>
              <w:jc w:val="center"/>
            </w:pPr>
            <w:r w:rsidRPr="00FD10D2">
              <w:t>264</w:t>
            </w:r>
          </w:p>
          <w:p w14:paraId="0D57DE4D" w14:textId="0A860609" w:rsidR="00C37DBE" w:rsidRPr="00FD10D2" w:rsidRDefault="00C37DBE" w:rsidP="006755DC">
            <w:pPr>
              <w:spacing w:after="0" w:line="480" w:lineRule="auto"/>
              <w:jc w:val="center"/>
            </w:pPr>
            <w:r>
              <w:t>163</w:t>
            </w:r>
          </w:p>
        </w:tc>
        <w:tc>
          <w:tcPr>
            <w:tcW w:w="1455" w:type="dxa"/>
            <w:gridSpan w:val="2"/>
            <w:tcBorders>
              <w:top w:val="single" w:sz="4" w:space="0" w:color="auto"/>
            </w:tcBorders>
          </w:tcPr>
          <w:p w14:paraId="4013555F" w14:textId="77777777" w:rsidR="00743C46" w:rsidRDefault="00DA468E" w:rsidP="006755DC">
            <w:pPr>
              <w:spacing w:after="0" w:line="480" w:lineRule="auto"/>
              <w:jc w:val="center"/>
            </w:pPr>
            <w:r>
              <w:t>.87</w:t>
            </w:r>
          </w:p>
          <w:p w14:paraId="1D51744F" w14:textId="40BEEB5D" w:rsidR="00C37DBE" w:rsidRPr="00FD10D2" w:rsidRDefault="00C37DBE" w:rsidP="006755DC">
            <w:pPr>
              <w:spacing w:after="0" w:line="480" w:lineRule="auto"/>
              <w:jc w:val="center"/>
            </w:pPr>
            <w:r>
              <w:t>.84</w:t>
            </w:r>
          </w:p>
        </w:tc>
        <w:tc>
          <w:tcPr>
            <w:tcW w:w="1134" w:type="dxa"/>
            <w:tcBorders>
              <w:top w:val="single" w:sz="4" w:space="0" w:color="auto"/>
            </w:tcBorders>
          </w:tcPr>
          <w:p w14:paraId="347614B8" w14:textId="77777777" w:rsidR="00743C46" w:rsidRDefault="00DA468E" w:rsidP="006755DC">
            <w:pPr>
              <w:spacing w:after="0" w:line="480" w:lineRule="auto"/>
              <w:jc w:val="center"/>
            </w:pPr>
            <w:r>
              <w:t>.91</w:t>
            </w:r>
          </w:p>
          <w:p w14:paraId="0F1357B2" w14:textId="3105A18C" w:rsidR="00C37DBE" w:rsidRPr="00FD10D2" w:rsidRDefault="00C37DBE" w:rsidP="006755DC">
            <w:pPr>
              <w:spacing w:after="0" w:line="480" w:lineRule="auto"/>
              <w:jc w:val="center"/>
            </w:pPr>
            <w:r>
              <w:t>.88</w:t>
            </w:r>
          </w:p>
        </w:tc>
        <w:tc>
          <w:tcPr>
            <w:tcW w:w="1417" w:type="dxa"/>
            <w:tcBorders>
              <w:top w:val="single" w:sz="4" w:space="0" w:color="auto"/>
            </w:tcBorders>
          </w:tcPr>
          <w:p w14:paraId="44D9CEEC" w14:textId="77777777" w:rsidR="00743C46" w:rsidRDefault="00743C46" w:rsidP="007062F7">
            <w:pPr>
              <w:spacing w:after="0" w:line="480" w:lineRule="auto"/>
              <w:jc w:val="center"/>
            </w:pPr>
            <w:r w:rsidRPr="00FD10D2">
              <w:t>.93</w:t>
            </w:r>
          </w:p>
          <w:p w14:paraId="7EF7DAC1" w14:textId="72E41E94" w:rsidR="00C37DBE" w:rsidRPr="00FD10D2" w:rsidRDefault="00C37DBE" w:rsidP="007062F7">
            <w:pPr>
              <w:spacing w:after="0" w:line="480" w:lineRule="auto"/>
              <w:jc w:val="center"/>
            </w:pPr>
            <w:r>
              <w:t>.90</w:t>
            </w:r>
          </w:p>
        </w:tc>
        <w:tc>
          <w:tcPr>
            <w:tcW w:w="1560" w:type="dxa"/>
            <w:tcBorders>
              <w:top w:val="single" w:sz="4" w:space="0" w:color="auto"/>
            </w:tcBorders>
          </w:tcPr>
          <w:p w14:paraId="79D07C3B" w14:textId="77777777" w:rsidR="00743C46" w:rsidRDefault="0026098B" w:rsidP="006755DC">
            <w:pPr>
              <w:spacing w:after="0" w:line="480" w:lineRule="auto"/>
              <w:jc w:val="center"/>
            </w:pPr>
            <w:r>
              <w:t>.</w:t>
            </w:r>
            <w:r w:rsidR="00743C46" w:rsidRPr="00FD10D2">
              <w:t>94</w:t>
            </w:r>
          </w:p>
          <w:p w14:paraId="05901374" w14:textId="4E3AE7C2" w:rsidR="00C37DBE" w:rsidRPr="00FD10D2" w:rsidRDefault="00C37DBE" w:rsidP="006755DC">
            <w:pPr>
              <w:spacing w:after="0" w:line="480" w:lineRule="auto"/>
              <w:jc w:val="center"/>
            </w:pPr>
            <w:r>
              <w:t>.91</w:t>
            </w:r>
          </w:p>
        </w:tc>
      </w:tr>
      <w:tr w:rsidR="00743C46" w:rsidRPr="00FD10D2" w14:paraId="217C7046" w14:textId="77777777" w:rsidTr="00051E5F">
        <w:trPr>
          <w:trHeight w:val="563"/>
        </w:trPr>
        <w:tc>
          <w:tcPr>
            <w:tcW w:w="2977" w:type="dxa"/>
          </w:tcPr>
          <w:p w14:paraId="50702580" w14:textId="312CF856" w:rsidR="00743C46" w:rsidRPr="00743C46" w:rsidRDefault="00CF50CE" w:rsidP="006755DC">
            <w:pPr>
              <w:spacing w:after="0" w:line="480" w:lineRule="auto"/>
              <w:rPr>
                <w:sz w:val="20"/>
                <w:szCs w:val="20"/>
              </w:rPr>
            </w:pPr>
            <w:r>
              <w:rPr>
                <w:sz w:val="20"/>
                <w:szCs w:val="20"/>
              </w:rPr>
              <w:t>Individuals with Psychosis</w:t>
            </w:r>
            <w:r w:rsidR="00743C46" w:rsidRPr="00743C46">
              <w:rPr>
                <w:sz w:val="20"/>
                <w:szCs w:val="20"/>
              </w:rPr>
              <w:t xml:space="preserve"> (Sample 3) </w:t>
            </w:r>
          </w:p>
        </w:tc>
        <w:tc>
          <w:tcPr>
            <w:tcW w:w="955" w:type="dxa"/>
          </w:tcPr>
          <w:p w14:paraId="795B7896" w14:textId="77777777" w:rsidR="00743C46" w:rsidRPr="00FD10D2" w:rsidRDefault="00743C46" w:rsidP="006755DC">
            <w:pPr>
              <w:spacing w:after="0" w:line="480" w:lineRule="auto"/>
              <w:jc w:val="center"/>
            </w:pPr>
            <w:r w:rsidRPr="00FD10D2">
              <w:t>78</w:t>
            </w:r>
          </w:p>
        </w:tc>
        <w:tc>
          <w:tcPr>
            <w:tcW w:w="1455" w:type="dxa"/>
            <w:gridSpan w:val="2"/>
          </w:tcPr>
          <w:p w14:paraId="521CAAF0" w14:textId="6957A33C" w:rsidR="00743C46" w:rsidRPr="00FD10D2" w:rsidRDefault="00DA468E" w:rsidP="006755DC">
            <w:pPr>
              <w:spacing w:after="0" w:line="480" w:lineRule="auto"/>
              <w:jc w:val="center"/>
            </w:pPr>
            <w:r>
              <w:t>.84</w:t>
            </w:r>
          </w:p>
        </w:tc>
        <w:tc>
          <w:tcPr>
            <w:tcW w:w="1134" w:type="dxa"/>
          </w:tcPr>
          <w:p w14:paraId="5E9498A6" w14:textId="2D15405E" w:rsidR="00743C46" w:rsidRPr="00FD10D2" w:rsidRDefault="00DA468E" w:rsidP="006755DC">
            <w:pPr>
              <w:spacing w:after="0" w:line="480" w:lineRule="auto"/>
              <w:jc w:val="center"/>
            </w:pPr>
            <w:r>
              <w:t>.88</w:t>
            </w:r>
          </w:p>
        </w:tc>
        <w:tc>
          <w:tcPr>
            <w:tcW w:w="1417" w:type="dxa"/>
          </w:tcPr>
          <w:p w14:paraId="452E1192" w14:textId="55B2636B" w:rsidR="00743C46" w:rsidRPr="00FD10D2" w:rsidRDefault="00743C46" w:rsidP="00DA468E">
            <w:pPr>
              <w:spacing w:after="0" w:line="480" w:lineRule="auto"/>
              <w:jc w:val="center"/>
            </w:pPr>
            <w:r w:rsidRPr="00FD10D2">
              <w:t>.91</w:t>
            </w:r>
          </w:p>
        </w:tc>
        <w:tc>
          <w:tcPr>
            <w:tcW w:w="1560" w:type="dxa"/>
          </w:tcPr>
          <w:p w14:paraId="1364EA47" w14:textId="717CCA2C" w:rsidR="00743C46" w:rsidRPr="00FD10D2" w:rsidRDefault="00743C46" w:rsidP="006755DC">
            <w:pPr>
              <w:spacing w:after="0" w:line="480" w:lineRule="auto"/>
              <w:jc w:val="center"/>
            </w:pPr>
            <w:r w:rsidRPr="00FD10D2">
              <w:t>.93</w:t>
            </w:r>
          </w:p>
        </w:tc>
      </w:tr>
      <w:tr w:rsidR="00743C46" w:rsidRPr="00FD10D2" w14:paraId="0426F931" w14:textId="77777777" w:rsidTr="00051E5F">
        <w:tc>
          <w:tcPr>
            <w:tcW w:w="2977" w:type="dxa"/>
            <w:tcBorders>
              <w:bottom w:val="single" w:sz="4" w:space="0" w:color="auto"/>
            </w:tcBorders>
          </w:tcPr>
          <w:p w14:paraId="204A917C" w14:textId="1DA1CF82" w:rsidR="00743C46" w:rsidRPr="00743C46" w:rsidRDefault="00CF50CE" w:rsidP="00C37DBE">
            <w:pPr>
              <w:spacing w:after="0" w:line="480" w:lineRule="auto"/>
              <w:rPr>
                <w:sz w:val="20"/>
                <w:szCs w:val="20"/>
              </w:rPr>
            </w:pPr>
            <w:r>
              <w:rPr>
                <w:sz w:val="20"/>
                <w:szCs w:val="20"/>
              </w:rPr>
              <w:t>Individuals with PTSD</w:t>
            </w:r>
            <w:r w:rsidR="00C37DBE">
              <w:rPr>
                <w:sz w:val="20"/>
                <w:szCs w:val="20"/>
              </w:rPr>
              <w:t xml:space="preserve"> (Sample 4)</w:t>
            </w:r>
          </w:p>
        </w:tc>
        <w:tc>
          <w:tcPr>
            <w:tcW w:w="955" w:type="dxa"/>
            <w:tcBorders>
              <w:bottom w:val="single" w:sz="4" w:space="0" w:color="auto"/>
            </w:tcBorders>
          </w:tcPr>
          <w:p w14:paraId="34C63950" w14:textId="77777777" w:rsidR="00743C46" w:rsidRPr="00FD10D2" w:rsidRDefault="00743C46" w:rsidP="006755DC">
            <w:pPr>
              <w:spacing w:after="0" w:line="480" w:lineRule="auto"/>
              <w:jc w:val="center"/>
            </w:pPr>
            <w:r>
              <w:t>9</w:t>
            </w:r>
            <w:r w:rsidRPr="00FD10D2">
              <w:t>6</w:t>
            </w:r>
          </w:p>
        </w:tc>
        <w:tc>
          <w:tcPr>
            <w:tcW w:w="1455" w:type="dxa"/>
            <w:gridSpan w:val="2"/>
            <w:tcBorders>
              <w:bottom w:val="single" w:sz="4" w:space="0" w:color="auto"/>
            </w:tcBorders>
          </w:tcPr>
          <w:p w14:paraId="36D2972D" w14:textId="3B209B77" w:rsidR="00743C46" w:rsidRPr="00FD10D2" w:rsidRDefault="00AC1833" w:rsidP="006755DC">
            <w:pPr>
              <w:spacing w:after="0" w:line="480" w:lineRule="auto"/>
              <w:jc w:val="center"/>
            </w:pPr>
            <w:r>
              <w:t>.8</w:t>
            </w:r>
            <w:r w:rsidR="00A31EFD">
              <w:t>7</w:t>
            </w:r>
          </w:p>
        </w:tc>
        <w:tc>
          <w:tcPr>
            <w:tcW w:w="1134" w:type="dxa"/>
            <w:tcBorders>
              <w:bottom w:val="single" w:sz="4" w:space="0" w:color="auto"/>
            </w:tcBorders>
          </w:tcPr>
          <w:p w14:paraId="708B4402" w14:textId="489B97A2" w:rsidR="00743C46" w:rsidRPr="00FD10D2" w:rsidRDefault="00AC1833" w:rsidP="006755DC">
            <w:pPr>
              <w:spacing w:after="0" w:line="480" w:lineRule="auto"/>
              <w:jc w:val="center"/>
            </w:pPr>
            <w:r>
              <w:t>.92</w:t>
            </w:r>
          </w:p>
        </w:tc>
        <w:tc>
          <w:tcPr>
            <w:tcW w:w="1417" w:type="dxa"/>
            <w:tcBorders>
              <w:bottom w:val="single" w:sz="4" w:space="0" w:color="auto"/>
            </w:tcBorders>
          </w:tcPr>
          <w:p w14:paraId="703B3F66" w14:textId="18B4BD25" w:rsidR="00743C46" w:rsidRPr="00FD10D2" w:rsidRDefault="00743C46" w:rsidP="00C37DBE">
            <w:pPr>
              <w:spacing w:after="0" w:line="480" w:lineRule="auto"/>
              <w:jc w:val="center"/>
            </w:pPr>
            <w:r>
              <w:t>.94</w:t>
            </w:r>
          </w:p>
        </w:tc>
        <w:tc>
          <w:tcPr>
            <w:tcW w:w="1560" w:type="dxa"/>
            <w:tcBorders>
              <w:bottom w:val="single" w:sz="4" w:space="0" w:color="auto"/>
            </w:tcBorders>
          </w:tcPr>
          <w:p w14:paraId="03F5B4D5" w14:textId="7D959D29" w:rsidR="00743C46" w:rsidRPr="00FD10D2" w:rsidRDefault="00743C46" w:rsidP="00C37DBE">
            <w:pPr>
              <w:spacing w:after="0" w:line="480" w:lineRule="auto"/>
              <w:jc w:val="center"/>
            </w:pPr>
            <w:r>
              <w:t>.95</w:t>
            </w:r>
          </w:p>
        </w:tc>
      </w:tr>
    </w:tbl>
    <w:p w14:paraId="052F1008" w14:textId="3B333D63" w:rsidR="00261596" w:rsidRDefault="00261596" w:rsidP="00261596">
      <w:pPr>
        <w:widowControl w:val="0"/>
        <w:autoSpaceDE w:val="0"/>
        <w:autoSpaceDN w:val="0"/>
        <w:adjustRightInd w:val="0"/>
        <w:spacing w:after="0" w:line="480" w:lineRule="auto"/>
      </w:pPr>
    </w:p>
    <w:p w14:paraId="420F3DA7" w14:textId="1A41168C" w:rsidR="00A664E3" w:rsidRDefault="006755DC">
      <w:pPr>
        <w:spacing w:after="0"/>
      </w:pPr>
      <w:r>
        <w:br w:type="page"/>
      </w:r>
    </w:p>
    <w:p w14:paraId="5C00DAC0" w14:textId="77777777" w:rsidR="002B77A3" w:rsidRDefault="002B77A3" w:rsidP="002B77A3">
      <w:pPr>
        <w:spacing w:line="480" w:lineRule="auto"/>
      </w:pPr>
      <w:r>
        <w:lastRenderedPageBreak/>
        <w:t xml:space="preserve">Table 3. Standardized factor loadings for each sample within a one-factor CFA </w:t>
      </w:r>
    </w:p>
    <w:tbl>
      <w:tblPr>
        <w:tblStyle w:val="TableGrid"/>
        <w:tblW w:w="0" w:type="auto"/>
        <w:tblLook w:val="04A0" w:firstRow="1" w:lastRow="0" w:firstColumn="1" w:lastColumn="0" w:noHBand="0" w:noVBand="1"/>
      </w:tblPr>
      <w:tblGrid>
        <w:gridCol w:w="817"/>
        <w:gridCol w:w="567"/>
        <w:gridCol w:w="1736"/>
        <w:gridCol w:w="249"/>
        <w:gridCol w:w="1488"/>
        <w:gridCol w:w="1736"/>
        <w:gridCol w:w="1737"/>
      </w:tblGrid>
      <w:tr w:rsidR="002B77A3" w14:paraId="6CE9C237" w14:textId="77777777" w:rsidTr="002B77A3">
        <w:trPr>
          <w:trHeight w:val="690"/>
        </w:trPr>
        <w:tc>
          <w:tcPr>
            <w:tcW w:w="817" w:type="dxa"/>
            <w:tcBorders>
              <w:top w:val="nil"/>
              <w:left w:val="nil"/>
              <w:bottom w:val="nil"/>
              <w:right w:val="nil"/>
            </w:tcBorders>
          </w:tcPr>
          <w:p w14:paraId="27D4DA6F" w14:textId="77777777" w:rsidR="002B77A3" w:rsidRPr="00C54B44" w:rsidRDefault="002B77A3" w:rsidP="002B77A3">
            <w:pPr>
              <w:rPr>
                <w:sz w:val="22"/>
                <w:szCs w:val="22"/>
              </w:rPr>
            </w:pPr>
          </w:p>
        </w:tc>
        <w:tc>
          <w:tcPr>
            <w:tcW w:w="567" w:type="dxa"/>
            <w:tcBorders>
              <w:top w:val="nil"/>
              <w:left w:val="nil"/>
              <w:bottom w:val="nil"/>
              <w:right w:val="nil"/>
            </w:tcBorders>
          </w:tcPr>
          <w:p w14:paraId="2BCC9045" w14:textId="77777777" w:rsidR="002B77A3" w:rsidRPr="00C54B44" w:rsidRDefault="002B77A3" w:rsidP="002B77A3">
            <w:pPr>
              <w:rPr>
                <w:sz w:val="22"/>
                <w:szCs w:val="22"/>
              </w:rPr>
            </w:pPr>
          </w:p>
        </w:tc>
        <w:tc>
          <w:tcPr>
            <w:tcW w:w="1736" w:type="dxa"/>
            <w:tcBorders>
              <w:left w:val="nil"/>
              <w:bottom w:val="single" w:sz="4" w:space="0" w:color="auto"/>
              <w:right w:val="nil"/>
            </w:tcBorders>
          </w:tcPr>
          <w:p w14:paraId="61C76687" w14:textId="77777777" w:rsidR="002B77A3" w:rsidRPr="00C54B44" w:rsidRDefault="002B77A3" w:rsidP="002B77A3">
            <w:pPr>
              <w:rPr>
                <w:sz w:val="22"/>
                <w:szCs w:val="22"/>
              </w:rPr>
            </w:pPr>
          </w:p>
        </w:tc>
        <w:tc>
          <w:tcPr>
            <w:tcW w:w="249" w:type="dxa"/>
            <w:tcBorders>
              <w:left w:val="nil"/>
              <w:bottom w:val="single" w:sz="4" w:space="0" w:color="auto"/>
              <w:right w:val="nil"/>
            </w:tcBorders>
          </w:tcPr>
          <w:p w14:paraId="39B5437A" w14:textId="77777777" w:rsidR="002B77A3" w:rsidRPr="00C54B44" w:rsidRDefault="002B77A3" w:rsidP="002B77A3">
            <w:pPr>
              <w:rPr>
                <w:sz w:val="22"/>
                <w:szCs w:val="22"/>
              </w:rPr>
            </w:pPr>
          </w:p>
        </w:tc>
        <w:tc>
          <w:tcPr>
            <w:tcW w:w="3224" w:type="dxa"/>
            <w:gridSpan w:val="2"/>
            <w:tcBorders>
              <w:left w:val="nil"/>
              <w:bottom w:val="single" w:sz="4" w:space="0" w:color="auto"/>
              <w:right w:val="nil"/>
            </w:tcBorders>
            <w:vAlign w:val="center"/>
          </w:tcPr>
          <w:p w14:paraId="79EA7183" w14:textId="77777777" w:rsidR="002B77A3" w:rsidRPr="00C54B44" w:rsidRDefault="002B77A3" w:rsidP="002B77A3">
            <w:pPr>
              <w:jc w:val="center"/>
              <w:rPr>
                <w:sz w:val="22"/>
                <w:szCs w:val="22"/>
              </w:rPr>
            </w:pPr>
            <w:r w:rsidRPr="00C54B44">
              <w:rPr>
                <w:sz w:val="22"/>
                <w:szCs w:val="22"/>
              </w:rPr>
              <w:t>Sample</w:t>
            </w:r>
          </w:p>
        </w:tc>
        <w:tc>
          <w:tcPr>
            <w:tcW w:w="1737" w:type="dxa"/>
            <w:tcBorders>
              <w:left w:val="nil"/>
              <w:bottom w:val="single" w:sz="4" w:space="0" w:color="auto"/>
              <w:right w:val="nil"/>
            </w:tcBorders>
          </w:tcPr>
          <w:p w14:paraId="3211B8C2" w14:textId="77777777" w:rsidR="002B77A3" w:rsidRPr="00C54B44" w:rsidRDefault="002B77A3" w:rsidP="002B77A3">
            <w:pPr>
              <w:rPr>
                <w:sz w:val="22"/>
                <w:szCs w:val="22"/>
              </w:rPr>
            </w:pPr>
          </w:p>
        </w:tc>
      </w:tr>
      <w:tr w:rsidR="002B77A3" w14:paraId="6FE0837F" w14:textId="77777777" w:rsidTr="002B77A3">
        <w:trPr>
          <w:trHeight w:val="690"/>
        </w:trPr>
        <w:tc>
          <w:tcPr>
            <w:tcW w:w="817" w:type="dxa"/>
            <w:tcBorders>
              <w:top w:val="nil"/>
              <w:left w:val="nil"/>
              <w:bottom w:val="single" w:sz="4" w:space="0" w:color="auto"/>
              <w:right w:val="nil"/>
            </w:tcBorders>
          </w:tcPr>
          <w:p w14:paraId="5ECCACB8" w14:textId="77777777" w:rsidR="002B77A3" w:rsidRPr="00C54B44" w:rsidRDefault="002B77A3" w:rsidP="002B77A3">
            <w:pPr>
              <w:rPr>
                <w:sz w:val="22"/>
                <w:szCs w:val="22"/>
              </w:rPr>
            </w:pPr>
          </w:p>
        </w:tc>
        <w:tc>
          <w:tcPr>
            <w:tcW w:w="567" w:type="dxa"/>
            <w:tcBorders>
              <w:top w:val="nil"/>
              <w:left w:val="nil"/>
              <w:bottom w:val="single" w:sz="4" w:space="0" w:color="auto"/>
              <w:right w:val="nil"/>
            </w:tcBorders>
          </w:tcPr>
          <w:p w14:paraId="6D0AE8AE" w14:textId="77777777" w:rsidR="002B77A3" w:rsidRPr="00C54B44" w:rsidRDefault="002B77A3" w:rsidP="002B77A3">
            <w:pPr>
              <w:rPr>
                <w:sz w:val="22"/>
                <w:szCs w:val="22"/>
              </w:rPr>
            </w:pPr>
          </w:p>
        </w:tc>
        <w:tc>
          <w:tcPr>
            <w:tcW w:w="1736" w:type="dxa"/>
            <w:tcBorders>
              <w:left w:val="nil"/>
              <w:bottom w:val="single" w:sz="4" w:space="0" w:color="auto"/>
              <w:right w:val="nil"/>
            </w:tcBorders>
            <w:vAlign w:val="center"/>
          </w:tcPr>
          <w:p w14:paraId="568D533F" w14:textId="77777777" w:rsidR="002B77A3" w:rsidRPr="00C54B44" w:rsidRDefault="002B77A3" w:rsidP="002B77A3">
            <w:pPr>
              <w:jc w:val="center"/>
              <w:rPr>
                <w:sz w:val="22"/>
                <w:szCs w:val="22"/>
              </w:rPr>
            </w:pPr>
            <w:r w:rsidRPr="00C54B44">
              <w:rPr>
                <w:sz w:val="22"/>
                <w:szCs w:val="22"/>
              </w:rPr>
              <w:t>Community</w:t>
            </w:r>
          </w:p>
        </w:tc>
        <w:tc>
          <w:tcPr>
            <w:tcW w:w="1737" w:type="dxa"/>
            <w:gridSpan w:val="2"/>
            <w:tcBorders>
              <w:left w:val="nil"/>
              <w:bottom w:val="single" w:sz="4" w:space="0" w:color="auto"/>
              <w:right w:val="nil"/>
            </w:tcBorders>
            <w:vAlign w:val="center"/>
          </w:tcPr>
          <w:p w14:paraId="06BF716E" w14:textId="77777777" w:rsidR="002B77A3" w:rsidRPr="00C54B44" w:rsidRDefault="002B77A3" w:rsidP="002B77A3">
            <w:pPr>
              <w:jc w:val="center"/>
              <w:rPr>
                <w:sz w:val="22"/>
                <w:szCs w:val="22"/>
              </w:rPr>
            </w:pPr>
            <w:r w:rsidRPr="00C54B44">
              <w:rPr>
                <w:sz w:val="22"/>
                <w:szCs w:val="22"/>
              </w:rPr>
              <w:t>Individuals with Psychosis</w:t>
            </w:r>
          </w:p>
        </w:tc>
        <w:tc>
          <w:tcPr>
            <w:tcW w:w="1736" w:type="dxa"/>
            <w:tcBorders>
              <w:left w:val="nil"/>
              <w:bottom w:val="single" w:sz="4" w:space="0" w:color="auto"/>
              <w:right w:val="nil"/>
            </w:tcBorders>
            <w:vAlign w:val="center"/>
          </w:tcPr>
          <w:p w14:paraId="796F3EC2" w14:textId="77777777" w:rsidR="002B77A3" w:rsidRPr="00C54B44" w:rsidRDefault="002B77A3" w:rsidP="002B77A3">
            <w:pPr>
              <w:jc w:val="center"/>
              <w:rPr>
                <w:sz w:val="22"/>
                <w:szCs w:val="22"/>
              </w:rPr>
            </w:pPr>
            <w:r w:rsidRPr="00C54B44">
              <w:rPr>
                <w:sz w:val="22"/>
                <w:szCs w:val="22"/>
              </w:rPr>
              <w:t>Formal Caregivers</w:t>
            </w:r>
          </w:p>
        </w:tc>
        <w:tc>
          <w:tcPr>
            <w:tcW w:w="1737" w:type="dxa"/>
            <w:tcBorders>
              <w:left w:val="nil"/>
              <w:bottom w:val="single" w:sz="4" w:space="0" w:color="auto"/>
              <w:right w:val="nil"/>
            </w:tcBorders>
            <w:vAlign w:val="center"/>
          </w:tcPr>
          <w:p w14:paraId="3BC7825A" w14:textId="77777777" w:rsidR="002B77A3" w:rsidRPr="00C54B44" w:rsidRDefault="002B77A3" w:rsidP="002B77A3">
            <w:pPr>
              <w:jc w:val="center"/>
              <w:rPr>
                <w:sz w:val="22"/>
                <w:szCs w:val="22"/>
              </w:rPr>
            </w:pPr>
            <w:r w:rsidRPr="00C54B44">
              <w:rPr>
                <w:sz w:val="22"/>
                <w:szCs w:val="22"/>
              </w:rPr>
              <w:t>Individuals with PTSD</w:t>
            </w:r>
          </w:p>
        </w:tc>
      </w:tr>
      <w:tr w:rsidR="002B77A3" w14:paraId="04CEC707" w14:textId="77777777" w:rsidTr="002B77A3">
        <w:trPr>
          <w:trHeight w:val="570"/>
        </w:trPr>
        <w:tc>
          <w:tcPr>
            <w:tcW w:w="817" w:type="dxa"/>
            <w:tcBorders>
              <w:left w:val="nil"/>
              <w:bottom w:val="nil"/>
              <w:right w:val="nil"/>
            </w:tcBorders>
          </w:tcPr>
          <w:p w14:paraId="13217FF2" w14:textId="77777777" w:rsidR="002B77A3" w:rsidRPr="00C54B44" w:rsidRDefault="002B77A3" w:rsidP="002B77A3">
            <w:pPr>
              <w:rPr>
                <w:sz w:val="22"/>
                <w:szCs w:val="22"/>
              </w:rPr>
            </w:pPr>
          </w:p>
        </w:tc>
        <w:tc>
          <w:tcPr>
            <w:tcW w:w="567" w:type="dxa"/>
            <w:tcBorders>
              <w:left w:val="nil"/>
              <w:bottom w:val="nil"/>
              <w:right w:val="nil"/>
            </w:tcBorders>
            <w:vAlign w:val="center"/>
          </w:tcPr>
          <w:p w14:paraId="07363478" w14:textId="77777777" w:rsidR="002B77A3" w:rsidRPr="00C54B44" w:rsidRDefault="002B77A3" w:rsidP="002B77A3">
            <w:pPr>
              <w:jc w:val="center"/>
              <w:rPr>
                <w:sz w:val="22"/>
                <w:szCs w:val="22"/>
              </w:rPr>
            </w:pPr>
            <w:r w:rsidRPr="00C54B44">
              <w:rPr>
                <w:sz w:val="22"/>
                <w:szCs w:val="22"/>
              </w:rPr>
              <w:t>1</w:t>
            </w:r>
          </w:p>
        </w:tc>
        <w:tc>
          <w:tcPr>
            <w:tcW w:w="1736" w:type="dxa"/>
            <w:tcBorders>
              <w:left w:val="nil"/>
              <w:bottom w:val="nil"/>
              <w:right w:val="nil"/>
            </w:tcBorders>
            <w:vAlign w:val="center"/>
          </w:tcPr>
          <w:p w14:paraId="458792FF" w14:textId="77777777" w:rsidR="002B77A3" w:rsidRPr="00C54B44" w:rsidRDefault="002B77A3" w:rsidP="002B77A3">
            <w:pPr>
              <w:jc w:val="center"/>
              <w:rPr>
                <w:sz w:val="22"/>
                <w:szCs w:val="22"/>
              </w:rPr>
            </w:pPr>
            <w:r w:rsidRPr="00C54B44">
              <w:rPr>
                <w:sz w:val="22"/>
                <w:szCs w:val="22"/>
              </w:rPr>
              <w:t>.829</w:t>
            </w:r>
          </w:p>
        </w:tc>
        <w:tc>
          <w:tcPr>
            <w:tcW w:w="1737" w:type="dxa"/>
            <w:gridSpan w:val="2"/>
            <w:tcBorders>
              <w:left w:val="nil"/>
              <w:bottom w:val="nil"/>
              <w:right w:val="nil"/>
            </w:tcBorders>
            <w:vAlign w:val="center"/>
          </w:tcPr>
          <w:p w14:paraId="7D1F0B56" w14:textId="77777777" w:rsidR="002B77A3" w:rsidRPr="00C54B44" w:rsidRDefault="002B77A3" w:rsidP="002B77A3">
            <w:pPr>
              <w:jc w:val="center"/>
              <w:rPr>
                <w:sz w:val="22"/>
                <w:szCs w:val="22"/>
              </w:rPr>
            </w:pPr>
            <w:r w:rsidRPr="00C54B44">
              <w:rPr>
                <w:sz w:val="22"/>
                <w:szCs w:val="22"/>
              </w:rPr>
              <w:t>.738</w:t>
            </w:r>
          </w:p>
        </w:tc>
        <w:tc>
          <w:tcPr>
            <w:tcW w:w="1736" w:type="dxa"/>
            <w:tcBorders>
              <w:left w:val="nil"/>
              <w:bottom w:val="nil"/>
              <w:right w:val="nil"/>
            </w:tcBorders>
            <w:vAlign w:val="center"/>
          </w:tcPr>
          <w:p w14:paraId="2B02E61E" w14:textId="77777777" w:rsidR="002B77A3" w:rsidRPr="00C54B44" w:rsidRDefault="002B77A3" w:rsidP="002B77A3">
            <w:pPr>
              <w:jc w:val="center"/>
              <w:rPr>
                <w:sz w:val="22"/>
                <w:szCs w:val="22"/>
              </w:rPr>
            </w:pPr>
            <w:r w:rsidRPr="00C54B44">
              <w:rPr>
                <w:sz w:val="22"/>
                <w:szCs w:val="22"/>
              </w:rPr>
              <w:t>.853</w:t>
            </w:r>
          </w:p>
        </w:tc>
        <w:tc>
          <w:tcPr>
            <w:tcW w:w="1737" w:type="dxa"/>
            <w:tcBorders>
              <w:left w:val="nil"/>
              <w:bottom w:val="nil"/>
              <w:right w:val="nil"/>
            </w:tcBorders>
            <w:vAlign w:val="center"/>
          </w:tcPr>
          <w:p w14:paraId="2942DAC0" w14:textId="77777777" w:rsidR="002B77A3" w:rsidRPr="00C54B44" w:rsidRDefault="002B77A3" w:rsidP="002B77A3">
            <w:pPr>
              <w:jc w:val="center"/>
              <w:rPr>
                <w:sz w:val="22"/>
                <w:szCs w:val="22"/>
              </w:rPr>
            </w:pPr>
            <w:r w:rsidRPr="00C54B44">
              <w:rPr>
                <w:sz w:val="22"/>
                <w:szCs w:val="22"/>
              </w:rPr>
              <w:t>.694</w:t>
            </w:r>
          </w:p>
        </w:tc>
      </w:tr>
      <w:tr w:rsidR="002B77A3" w14:paraId="3472B9A3" w14:textId="77777777" w:rsidTr="002B77A3">
        <w:trPr>
          <w:trHeight w:val="564"/>
        </w:trPr>
        <w:tc>
          <w:tcPr>
            <w:tcW w:w="817" w:type="dxa"/>
            <w:tcBorders>
              <w:top w:val="nil"/>
              <w:left w:val="nil"/>
              <w:bottom w:val="nil"/>
              <w:right w:val="nil"/>
            </w:tcBorders>
          </w:tcPr>
          <w:p w14:paraId="0BB611C4" w14:textId="77777777" w:rsidR="002B77A3" w:rsidRPr="00C54B44" w:rsidRDefault="002B77A3" w:rsidP="002B77A3">
            <w:pPr>
              <w:rPr>
                <w:sz w:val="22"/>
                <w:szCs w:val="22"/>
              </w:rPr>
            </w:pPr>
          </w:p>
        </w:tc>
        <w:tc>
          <w:tcPr>
            <w:tcW w:w="567" w:type="dxa"/>
            <w:tcBorders>
              <w:top w:val="nil"/>
              <w:left w:val="nil"/>
              <w:bottom w:val="nil"/>
              <w:right w:val="nil"/>
            </w:tcBorders>
            <w:vAlign w:val="center"/>
          </w:tcPr>
          <w:p w14:paraId="62D444D9" w14:textId="77777777" w:rsidR="002B77A3" w:rsidRPr="00C54B44" w:rsidRDefault="002B77A3" w:rsidP="002B77A3">
            <w:pPr>
              <w:jc w:val="center"/>
              <w:rPr>
                <w:sz w:val="22"/>
                <w:szCs w:val="22"/>
              </w:rPr>
            </w:pPr>
            <w:r w:rsidRPr="00C54B44">
              <w:rPr>
                <w:sz w:val="22"/>
                <w:szCs w:val="22"/>
              </w:rPr>
              <w:t>2</w:t>
            </w:r>
          </w:p>
        </w:tc>
        <w:tc>
          <w:tcPr>
            <w:tcW w:w="1736" w:type="dxa"/>
            <w:tcBorders>
              <w:top w:val="nil"/>
              <w:left w:val="nil"/>
              <w:bottom w:val="nil"/>
              <w:right w:val="nil"/>
            </w:tcBorders>
            <w:vAlign w:val="center"/>
          </w:tcPr>
          <w:p w14:paraId="04621EF7" w14:textId="77777777" w:rsidR="002B77A3" w:rsidRPr="00C54B44" w:rsidRDefault="002B77A3" w:rsidP="002B77A3">
            <w:pPr>
              <w:jc w:val="center"/>
              <w:rPr>
                <w:sz w:val="22"/>
                <w:szCs w:val="22"/>
              </w:rPr>
            </w:pPr>
            <w:r w:rsidRPr="00C54B44">
              <w:rPr>
                <w:sz w:val="22"/>
                <w:szCs w:val="22"/>
              </w:rPr>
              <w:t>.832</w:t>
            </w:r>
          </w:p>
        </w:tc>
        <w:tc>
          <w:tcPr>
            <w:tcW w:w="1737" w:type="dxa"/>
            <w:gridSpan w:val="2"/>
            <w:tcBorders>
              <w:top w:val="nil"/>
              <w:left w:val="nil"/>
              <w:bottom w:val="nil"/>
              <w:right w:val="nil"/>
            </w:tcBorders>
            <w:vAlign w:val="center"/>
          </w:tcPr>
          <w:p w14:paraId="434A8CF2" w14:textId="77777777" w:rsidR="002B77A3" w:rsidRPr="00C54B44" w:rsidRDefault="002B77A3" w:rsidP="002B77A3">
            <w:pPr>
              <w:jc w:val="center"/>
              <w:rPr>
                <w:sz w:val="22"/>
                <w:szCs w:val="22"/>
              </w:rPr>
            </w:pPr>
            <w:r w:rsidRPr="00C54B44">
              <w:rPr>
                <w:sz w:val="22"/>
                <w:szCs w:val="22"/>
              </w:rPr>
              <w:t>.759</w:t>
            </w:r>
          </w:p>
        </w:tc>
        <w:tc>
          <w:tcPr>
            <w:tcW w:w="1736" w:type="dxa"/>
            <w:tcBorders>
              <w:top w:val="nil"/>
              <w:left w:val="nil"/>
              <w:bottom w:val="nil"/>
              <w:right w:val="nil"/>
            </w:tcBorders>
            <w:vAlign w:val="center"/>
          </w:tcPr>
          <w:p w14:paraId="1E0E07FE" w14:textId="77777777" w:rsidR="002B77A3" w:rsidRPr="00C54B44" w:rsidRDefault="002B77A3" w:rsidP="002B77A3">
            <w:pPr>
              <w:jc w:val="center"/>
              <w:rPr>
                <w:sz w:val="22"/>
                <w:szCs w:val="22"/>
              </w:rPr>
            </w:pPr>
            <w:r w:rsidRPr="00C54B44">
              <w:rPr>
                <w:sz w:val="22"/>
                <w:szCs w:val="22"/>
              </w:rPr>
              <w:t>.865</w:t>
            </w:r>
          </w:p>
        </w:tc>
        <w:tc>
          <w:tcPr>
            <w:tcW w:w="1737" w:type="dxa"/>
            <w:tcBorders>
              <w:top w:val="nil"/>
              <w:left w:val="nil"/>
              <w:bottom w:val="nil"/>
              <w:right w:val="nil"/>
            </w:tcBorders>
            <w:vAlign w:val="center"/>
          </w:tcPr>
          <w:p w14:paraId="1B555A37" w14:textId="77777777" w:rsidR="002B77A3" w:rsidRPr="00C54B44" w:rsidRDefault="002B77A3" w:rsidP="002B77A3">
            <w:pPr>
              <w:jc w:val="center"/>
              <w:rPr>
                <w:sz w:val="22"/>
                <w:szCs w:val="22"/>
              </w:rPr>
            </w:pPr>
            <w:r w:rsidRPr="00C54B44">
              <w:rPr>
                <w:sz w:val="22"/>
                <w:szCs w:val="22"/>
              </w:rPr>
              <w:t>.656</w:t>
            </w:r>
          </w:p>
        </w:tc>
      </w:tr>
      <w:tr w:rsidR="002B77A3" w14:paraId="37AF0C22" w14:textId="77777777" w:rsidTr="002B77A3">
        <w:trPr>
          <w:trHeight w:val="544"/>
        </w:trPr>
        <w:tc>
          <w:tcPr>
            <w:tcW w:w="817" w:type="dxa"/>
            <w:tcBorders>
              <w:top w:val="nil"/>
              <w:left w:val="nil"/>
              <w:bottom w:val="nil"/>
              <w:right w:val="nil"/>
            </w:tcBorders>
          </w:tcPr>
          <w:p w14:paraId="30486AE6" w14:textId="77777777" w:rsidR="002B77A3" w:rsidRPr="00C54B44" w:rsidRDefault="002B77A3" w:rsidP="002B77A3">
            <w:pPr>
              <w:rPr>
                <w:sz w:val="22"/>
                <w:szCs w:val="22"/>
              </w:rPr>
            </w:pPr>
          </w:p>
        </w:tc>
        <w:tc>
          <w:tcPr>
            <w:tcW w:w="567" w:type="dxa"/>
            <w:tcBorders>
              <w:top w:val="nil"/>
              <w:left w:val="nil"/>
              <w:bottom w:val="nil"/>
              <w:right w:val="nil"/>
            </w:tcBorders>
            <w:vAlign w:val="center"/>
          </w:tcPr>
          <w:p w14:paraId="6539B45F" w14:textId="77777777" w:rsidR="002B77A3" w:rsidRPr="00C54B44" w:rsidRDefault="002B77A3" w:rsidP="002B77A3">
            <w:pPr>
              <w:jc w:val="center"/>
              <w:rPr>
                <w:sz w:val="22"/>
                <w:szCs w:val="22"/>
              </w:rPr>
            </w:pPr>
            <w:r w:rsidRPr="00C54B44">
              <w:rPr>
                <w:sz w:val="22"/>
                <w:szCs w:val="22"/>
              </w:rPr>
              <w:t>3</w:t>
            </w:r>
          </w:p>
        </w:tc>
        <w:tc>
          <w:tcPr>
            <w:tcW w:w="1736" w:type="dxa"/>
            <w:tcBorders>
              <w:top w:val="nil"/>
              <w:left w:val="nil"/>
              <w:bottom w:val="nil"/>
              <w:right w:val="nil"/>
            </w:tcBorders>
            <w:vAlign w:val="center"/>
          </w:tcPr>
          <w:p w14:paraId="71C990E7" w14:textId="77777777" w:rsidR="002B77A3" w:rsidRPr="00C54B44" w:rsidRDefault="002B77A3" w:rsidP="002B77A3">
            <w:pPr>
              <w:jc w:val="center"/>
              <w:rPr>
                <w:sz w:val="22"/>
                <w:szCs w:val="22"/>
              </w:rPr>
            </w:pPr>
            <w:r w:rsidRPr="00C54B44">
              <w:rPr>
                <w:sz w:val="22"/>
                <w:szCs w:val="22"/>
              </w:rPr>
              <w:t>.839</w:t>
            </w:r>
          </w:p>
        </w:tc>
        <w:tc>
          <w:tcPr>
            <w:tcW w:w="1737" w:type="dxa"/>
            <w:gridSpan w:val="2"/>
            <w:tcBorders>
              <w:top w:val="nil"/>
              <w:left w:val="nil"/>
              <w:bottom w:val="nil"/>
              <w:right w:val="nil"/>
            </w:tcBorders>
            <w:vAlign w:val="center"/>
          </w:tcPr>
          <w:p w14:paraId="5CC8D970" w14:textId="77777777" w:rsidR="002B77A3" w:rsidRPr="00C54B44" w:rsidRDefault="002B77A3" w:rsidP="002B77A3">
            <w:pPr>
              <w:jc w:val="center"/>
              <w:rPr>
                <w:sz w:val="22"/>
                <w:szCs w:val="22"/>
              </w:rPr>
            </w:pPr>
            <w:r w:rsidRPr="00C54B44">
              <w:rPr>
                <w:sz w:val="22"/>
                <w:szCs w:val="22"/>
              </w:rPr>
              <w:t>.782</w:t>
            </w:r>
          </w:p>
        </w:tc>
        <w:tc>
          <w:tcPr>
            <w:tcW w:w="1736" w:type="dxa"/>
            <w:tcBorders>
              <w:top w:val="nil"/>
              <w:left w:val="nil"/>
              <w:bottom w:val="nil"/>
              <w:right w:val="nil"/>
            </w:tcBorders>
            <w:vAlign w:val="center"/>
          </w:tcPr>
          <w:p w14:paraId="204A90B4" w14:textId="77777777" w:rsidR="002B77A3" w:rsidRPr="00C54B44" w:rsidRDefault="002B77A3" w:rsidP="002B77A3">
            <w:pPr>
              <w:jc w:val="center"/>
              <w:rPr>
                <w:sz w:val="22"/>
                <w:szCs w:val="22"/>
              </w:rPr>
            </w:pPr>
            <w:r w:rsidRPr="00C54B44">
              <w:rPr>
                <w:sz w:val="22"/>
                <w:szCs w:val="22"/>
              </w:rPr>
              <w:t>.873</w:t>
            </w:r>
          </w:p>
        </w:tc>
        <w:tc>
          <w:tcPr>
            <w:tcW w:w="1737" w:type="dxa"/>
            <w:tcBorders>
              <w:top w:val="nil"/>
              <w:left w:val="nil"/>
              <w:bottom w:val="nil"/>
              <w:right w:val="nil"/>
            </w:tcBorders>
            <w:vAlign w:val="center"/>
          </w:tcPr>
          <w:p w14:paraId="679E1C42" w14:textId="77777777" w:rsidR="002B77A3" w:rsidRPr="00C54B44" w:rsidRDefault="002B77A3" w:rsidP="002B77A3">
            <w:pPr>
              <w:jc w:val="center"/>
              <w:rPr>
                <w:sz w:val="22"/>
                <w:szCs w:val="22"/>
              </w:rPr>
            </w:pPr>
            <w:r w:rsidRPr="00C54B44">
              <w:rPr>
                <w:sz w:val="22"/>
                <w:szCs w:val="22"/>
              </w:rPr>
              <w:t>.805</w:t>
            </w:r>
          </w:p>
        </w:tc>
      </w:tr>
      <w:tr w:rsidR="002B77A3" w14:paraId="4F6D35C4" w14:textId="77777777" w:rsidTr="002B77A3">
        <w:trPr>
          <w:trHeight w:val="552"/>
        </w:trPr>
        <w:tc>
          <w:tcPr>
            <w:tcW w:w="817" w:type="dxa"/>
            <w:tcBorders>
              <w:top w:val="nil"/>
              <w:left w:val="nil"/>
              <w:bottom w:val="nil"/>
              <w:right w:val="nil"/>
            </w:tcBorders>
          </w:tcPr>
          <w:p w14:paraId="51714D5E" w14:textId="77777777" w:rsidR="002B77A3" w:rsidRPr="00C54B44" w:rsidRDefault="002B77A3" w:rsidP="002B77A3">
            <w:pPr>
              <w:rPr>
                <w:sz w:val="22"/>
                <w:szCs w:val="22"/>
              </w:rPr>
            </w:pPr>
            <w:r w:rsidRPr="00C54B44">
              <w:rPr>
                <w:sz w:val="22"/>
                <w:szCs w:val="22"/>
              </w:rPr>
              <w:t>Item</w:t>
            </w:r>
          </w:p>
        </w:tc>
        <w:tc>
          <w:tcPr>
            <w:tcW w:w="567" w:type="dxa"/>
            <w:tcBorders>
              <w:top w:val="nil"/>
              <w:left w:val="nil"/>
              <w:bottom w:val="nil"/>
              <w:right w:val="nil"/>
            </w:tcBorders>
            <w:vAlign w:val="center"/>
          </w:tcPr>
          <w:p w14:paraId="02B1E0E6" w14:textId="77777777" w:rsidR="002B77A3" w:rsidRPr="00C54B44" w:rsidRDefault="002B77A3" w:rsidP="002B77A3">
            <w:pPr>
              <w:jc w:val="center"/>
              <w:rPr>
                <w:sz w:val="22"/>
                <w:szCs w:val="22"/>
              </w:rPr>
            </w:pPr>
            <w:r w:rsidRPr="00C54B44">
              <w:rPr>
                <w:sz w:val="22"/>
                <w:szCs w:val="22"/>
              </w:rPr>
              <w:t>4</w:t>
            </w:r>
          </w:p>
        </w:tc>
        <w:tc>
          <w:tcPr>
            <w:tcW w:w="1736" w:type="dxa"/>
            <w:tcBorders>
              <w:top w:val="nil"/>
              <w:left w:val="nil"/>
              <w:bottom w:val="nil"/>
              <w:right w:val="nil"/>
            </w:tcBorders>
            <w:vAlign w:val="center"/>
          </w:tcPr>
          <w:p w14:paraId="7D0D918C" w14:textId="77777777" w:rsidR="002B77A3" w:rsidRPr="00C54B44" w:rsidRDefault="002B77A3" w:rsidP="002B77A3">
            <w:pPr>
              <w:jc w:val="center"/>
              <w:rPr>
                <w:sz w:val="22"/>
                <w:szCs w:val="22"/>
              </w:rPr>
            </w:pPr>
            <w:r w:rsidRPr="00C54B44">
              <w:rPr>
                <w:sz w:val="22"/>
                <w:szCs w:val="22"/>
              </w:rPr>
              <w:t>.815</w:t>
            </w:r>
          </w:p>
        </w:tc>
        <w:tc>
          <w:tcPr>
            <w:tcW w:w="1737" w:type="dxa"/>
            <w:gridSpan w:val="2"/>
            <w:tcBorders>
              <w:top w:val="nil"/>
              <w:left w:val="nil"/>
              <w:bottom w:val="nil"/>
              <w:right w:val="nil"/>
            </w:tcBorders>
            <w:vAlign w:val="center"/>
          </w:tcPr>
          <w:p w14:paraId="0C959855" w14:textId="77777777" w:rsidR="002B77A3" w:rsidRPr="00C54B44" w:rsidRDefault="002B77A3" w:rsidP="002B77A3">
            <w:pPr>
              <w:jc w:val="center"/>
              <w:rPr>
                <w:sz w:val="22"/>
                <w:szCs w:val="22"/>
              </w:rPr>
            </w:pPr>
            <w:r w:rsidRPr="00C54B44">
              <w:rPr>
                <w:sz w:val="22"/>
                <w:szCs w:val="22"/>
              </w:rPr>
              <w:t>.681</w:t>
            </w:r>
          </w:p>
        </w:tc>
        <w:tc>
          <w:tcPr>
            <w:tcW w:w="1736" w:type="dxa"/>
            <w:tcBorders>
              <w:top w:val="nil"/>
              <w:left w:val="nil"/>
              <w:bottom w:val="nil"/>
              <w:right w:val="nil"/>
            </w:tcBorders>
            <w:vAlign w:val="center"/>
          </w:tcPr>
          <w:p w14:paraId="6201B1A5" w14:textId="77777777" w:rsidR="002B77A3" w:rsidRPr="00C54B44" w:rsidRDefault="002B77A3" w:rsidP="002B77A3">
            <w:pPr>
              <w:jc w:val="center"/>
              <w:rPr>
                <w:sz w:val="22"/>
                <w:szCs w:val="22"/>
              </w:rPr>
            </w:pPr>
            <w:r w:rsidRPr="00C54B44">
              <w:rPr>
                <w:sz w:val="22"/>
                <w:szCs w:val="22"/>
              </w:rPr>
              <w:t>.798</w:t>
            </w:r>
          </w:p>
        </w:tc>
        <w:tc>
          <w:tcPr>
            <w:tcW w:w="1737" w:type="dxa"/>
            <w:tcBorders>
              <w:top w:val="nil"/>
              <w:left w:val="nil"/>
              <w:bottom w:val="nil"/>
              <w:right w:val="nil"/>
            </w:tcBorders>
            <w:vAlign w:val="center"/>
          </w:tcPr>
          <w:p w14:paraId="7608ECB1" w14:textId="77777777" w:rsidR="002B77A3" w:rsidRPr="00C54B44" w:rsidRDefault="002B77A3" w:rsidP="002B77A3">
            <w:pPr>
              <w:jc w:val="center"/>
              <w:rPr>
                <w:sz w:val="22"/>
                <w:szCs w:val="22"/>
              </w:rPr>
            </w:pPr>
            <w:r w:rsidRPr="00C54B44">
              <w:rPr>
                <w:sz w:val="22"/>
                <w:szCs w:val="22"/>
              </w:rPr>
              <w:t>.715</w:t>
            </w:r>
          </w:p>
        </w:tc>
      </w:tr>
      <w:tr w:rsidR="002B77A3" w14:paraId="21985C38" w14:textId="77777777" w:rsidTr="002B77A3">
        <w:trPr>
          <w:trHeight w:val="560"/>
        </w:trPr>
        <w:tc>
          <w:tcPr>
            <w:tcW w:w="817" w:type="dxa"/>
            <w:tcBorders>
              <w:top w:val="nil"/>
              <w:left w:val="nil"/>
              <w:bottom w:val="nil"/>
              <w:right w:val="nil"/>
            </w:tcBorders>
          </w:tcPr>
          <w:p w14:paraId="2BB47699" w14:textId="77777777" w:rsidR="002B77A3" w:rsidRPr="00C54B44" w:rsidRDefault="002B77A3" w:rsidP="002B77A3">
            <w:pPr>
              <w:rPr>
                <w:sz w:val="22"/>
                <w:szCs w:val="22"/>
              </w:rPr>
            </w:pPr>
          </w:p>
        </w:tc>
        <w:tc>
          <w:tcPr>
            <w:tcW w:w="567" w:type="dxa"/>
            <w:tcBorders>
              <w:top w:val="nil"/>
              <w:left w:val="nil"/>
              <w:bottom w:val="nil"/>
              <w:right w:val="nil"/>
            </w:tcBorders>
            <w:vAlign w:val="center"/>
          </w:tcPr>
          <w:p w14:paraId="45368F9E" w14:textId="77777777" w:rsidR="002B77A3" w:rsidRPr="00C54B44" w:rsidRDefault="002B77A3" w:rsidP="002B77A3">
            <w:pPr>
              <w:jc w:val="center"/>
              <w:rPr>
                <w:sz w:val="22"/>
                <w:szCs w:val="22"/>
              </w:rPr>
            </w:pPr>
            <w:r w:rsidRPr="00C54B44">
              <w:rPr>
                <w:sz w:val="22"/>
                <w:szCs w:val="22"/>
              </w:rPr>
              <w:t>5</w:t>
            </w:r>
          </w:p>
        </w:tc>
        <w:tc>
          <w:tcPr>
            <w:tcW w:w="1736" w:type="dxa"/>
            <w:tcBorders>
              <w:top w:val="nil"/>
              <w:left w:val="nil"/>
              <w:bottom w:val="nil"/>
              <w:right w:val="nil"/>
            </w:tcBorders>
            <w:vAlign w:val="center"/>
          </w:tcPr>
          <w:p w14:paraId="5930778A" w14:textId="77777777" w:rsidR="002B77A3" w:rsidRPr="00C54B44" w:rsidRDefault="002B77A3" w:rsidP="002B77A3">
            <w:pPr>
              <w:jc w:val="center"/>
              <w:rPr>
                <w:sz w:val="22"/>
                <w:szCs w:val="22"/>
              </w:rPr>
            </w:pPr>
            <w:r w:rsidRPr="00C54B44">
              <w:rPr>
                <w:sz w:val="22"/>
                <w:szCs w:val="22"/>
              </w:rPr>
              <w:t>.769</w:t>
            </w:r>
          </w:p>
        </w:tc>
        <w:tc>
          <w:tcPr>
            <w:tcW w:w="1737" w:type="dxa"/>
            <w:gridSpan w:val="2"/>
            <w:tcBorders>
              <w:top w:val="nil"/>
              <w:left w:val="nil"/>
              <w:bottom w:val="nil"/>
              <w:right w:val="nil"/>
            </w:tcBorders>
            <w:vAlign w:val="center"/>
          </w:tcPr>
          <w:p w14:paraId="3366CC7D" w14:textId="77777777" w:rsidR="002B77A3" w:rsidRPr="00C54B44" w:rsidRDefault="002B77A3" w:rsidP="002B77A3">
            <w:pPr>
              <w:jc w:val="center"/>
              <w:rPr>
                <w:sz w:val="22"/>
                <w:szCs w:val="22"/>
              </w:rPr>
            </w:pPr>
            <w:r w:rsidRPr="00C54B44">
              <w:rPr>
                <w:sz w:val="22"/>
                <w:szCs w:val="22"/>
              </w:rPr>
              <w:t>.838</w:t>
            </w:r>
          </w:p>
        </w:tc>
        <w:tc>
          <w:tcPr>
            <w:tcW w:w="1736" w:type="dxa"/>
            <w:tcBorders>
              <w:top w:val="nil"/>
              <w:left w:val="nil"/>
              <w:bottom w:val="nil"/>
              <w:right w:val="nil"/>
            </w:tcBorders>
            <w:vAlign w:val="center"/>
          </w:tcPr>
          <w:p w14:paraId="09BFABB5" w14:textId="77777777" w:rsidR="002B77A3" w:rsidRPr="00C54B44" w:rsidRDefault="002B77A3" w:rsidP="002B77A3">
            <w:pPr>
              <w:jc w:val="center"/>
              <w:rPr>
                <w:sz w:val="22"/>
                <w:szCs w:val="22"/>
              </w:rPr>
            </w:pPr>
            <w:r w:rsidRPr="00C54B44">
              <w:rPr>
                <w:sz w:val="22"/>
                <w:szCs w:val="22"/>
              </w:rPr>
              <w:t>.831</w:t>
            </w:r>
          </w:p>
        </w:tc>
        <w:tc>
          <w:tcPr>
            <w:tcW w:w="1737" w:type="dxa"/>
            <w:tcBorders>
              <w:top w:val="nil"/>
              <w:left w:val="nil"/>
              <w:bottom w:val="nil"/>
              <w:right w:val="nil"/>
            </w:tcBorders>
            <w:vAlign w:val="center"/>
          </w:tcPr>
          <w:p w14:paraId="192AFF7F" w14:textId="77777777" w:rsidR="002B77A3" w:rsidRPr="00C54B44" w:rsidRDefault="002B77A3" w:rsidP="002B77A3">
            <w:pPr>
              <w:jc w:val="center"/>
              <w:rPr>
                <w:sz w:val="22"/>
                <w:szCs w:val="22"/>
              </w:rPr>
            </w:pPr>
            <w:r w:rsidRPr="00C54B44">
              <w:rPr>
                <w:sz w:val="22"/>
                <w:szCs w:val="22"/>
              </w:rPr>
              <w:t>.791</w:t>
            </w:r>
          </w:p>
        </w:tc>
      </w:tr>
      <w:tr w:rsidR="002B77A3" w14:paraId="38CD9D1D" w14:textId="77777777" w:rsidTr="002B77A3">
        <w:trPr>
          <w:trHeight w:val="568"/>
        </w:trPr>
        <w:tc>
          <w:tcPr>
            <w:tcW w:w="817" w:type="dxa"/>
            <w:tcBorders>
              <w:top w:val="nil"/>
              <w:left w:val="nil"/>
              <w:bottom w:val="nil"/>
              <w:right w:val="nil"/>
            </w:tcBorders>
          </w:tcPr>
          <w:p w14:paraId="6D1682D8" w14:textId="77777777" w:rsidR="002B77A3" w:rsidRPr="00C54B44" w:rsidRDefault="002B77A3" w:rsidP="002B77A3">
            <w:pPr>
              <w:rPr>
                <w:sz w:val="22"/>
                <w:szCs w:val="22"/>
              </w:rPr>
            </w:pPr>
          </w:p>
        </w:tc>
        <w:tc>
          <w:tcPr>
            <w:tcW w:w="567" w:type="dxa"/>
            <w:tcBorders>
              <w:top w:val="nil"/>
              <w:left w:val="nil"/>
              <w:bottom w:val="nil"/>
              <w:right w:val="nil"/>
            </w:tcBorders>
            <w:vAlign w:val="center"/>
          </w:tcPr>
          <w:p w14:paraId="13A682A5" w14:textId="77777777" w:rsidR="002B77A3" w:rsidRPr="00C54B44" w:rsidRDefault="002B77A3" w:rsidP="002B77A3">
            <w:pPr>
              <w:jc w:val="center"/>
              <w:rPr>
                <w:sz w:val="22"/>
                <w:szCs w:val="22"/>
              </w:rPr>
            </w:pPr>
            <w:r w:rsidRPr="00C54B44">
              <w:rPr>
                <w:sz w:val="22"/>
                <w:szCs w:val="22"/>
              </w:rPr>
              <w:t>6</w:t>
            </w:r>
          </w:p>
        </w:tc>
        <w:tc>
          <w:tcPr>
            <w:tcW w:w="1736" w:type="dxa"/>
            <w:tcBorders>
              <w:top w:val="nil"/>
              <w:left w:val="nil"/>
              <w:bottom w:val="nil"/>
              <w:right w:val="nil"/>
            </w:tcBorders>
            <w:vAlign w:val="center"/>
          </w:tcPr>
          <w:p w14:paraId="75EEB640" w14:textId="77777777" w:rsidR="002B77A3" w:rsidRPr="00C54B44" w:rsidRDefault="002B77A3" w:rsidP="002B77A3">
            <w:pPr>
              <w:jc w:val="center"/>
              <w:rPr>
                <w:sz w:val="22"/>
                <w:szCs w:val="22"/>
              </w:rPr>
            </w:pPr>
            <w:r w:rsidRPr="00C54B44">
              <w:rPr>
                <w:sz w:val="22"/>
                <w:szCs w:val="22"/>
              </w:rPr>
              <w:t>.748</w:t>
            </w:r>
          </w:p>
        </w:tc>
        <w:tc>
          <w:tcPr>
            <w:tcW w:w="1737" w:type="dxa"/>
            <w:gridSpan w:val="2"/>
            <w:tcBorders>
              <w:top w:val="nil"/>
              <w:left w:val="nil"/>
              <w:bottom w:val="nil"/>
              <w:right w:val="nil"/>
            </w:tcBorders>
            <w:vAlign w:val="center"/>
          </w:tcPr>
          <w:p w14:paraId="61D2ABEF" w14:textId="77777777" w:rsidR="002B77A3" w:rsidRPr="00C54B44" w:rsidRDefault="002B77A3" w:rsidP="002B77A3">
            <w:pPr>
              <w:jc w:val="center"/>
              <w:rPr>
                <w:sz w:val="22"/>
                <w:szCs w:val="22"/>
              </w:rPr>
            </w:pPr>
            <w:r w:rsidRPr="00C54B44">
              <w:rPr>
                <w:sz w:val="22"/>
                <w:szCs w:val="22"/>
              </w:rPr>
              <w:t>.788</w:t>
            </w:r>
          </w:p>
        </w:tc>
        <w:tc>
          <w:tcPr>
            <w:tcW w:w="1736" w:type="dxa"/>
            <w:tcBorders>
              <w:top w:val="nil"/>
              <w:left w:val="nil"/>
              <w:bottom w:val="nil"/>
              <w:right w:val="nil"/>
            </w:tcBorders>
            <w:vAlign w:val="center"/>
          </w:tcPr>
          <w:p w14:paraId="6A1AE53C" w14:textId="77777777" w:rsidR="002B77A3" w:rsidRPr="00C54B44" w:rsidRDefault="002B77A3" w:rsidP="002B77A3">
            <w:pPr>
              <w:jc w:val="center"/>
              <w:rPr>
                <w:sz w:val="22"/>
                <w:szCs w:val="22"/>
              </w:rPr>
            </w:pPr>
            <w:r w:rsidRPr="00C54B44">
              <w:rPr>
                <w:sz w:val="22"/>
                <w:szCs w:val="22"/>
              </w:rPr>
              <w:t>.832</w:t>
            </w:r>
          </w:p>
        </w:tc>
        <w:tc>
          <w:tcPr>
            <w:tcW w:w="1737" w:type="dxa"/>
            <w:tcBorders>
              <w:top w:val="nil"/>
              <w:left w:val="nil"/>
              <w:bottom w:val="nil"/>
              <w:right w:val="nil"/>
            </w:tcBorders>
            <w:vAlign w:val="center"/>
          </w:tcPr>
          <w:p w14:paraId="24D920D7" w14:textId="77777777" w:rsidR="002B77A3" w:rsidRPr="00C54B44" w:rsidRDefault="002B77A3" w:rsidP="002B77A3">
            <w:pPr>
              <w:jc w:val="center"/>
              <w:rPr>
                <w:sz w:val="22"/>
                <w:szCs w:val="22"/>
              </w:rPr>
            </w:pPr>
            <w:r w:rsidRPr="00C54B44">
              <w:rPr>
                <w:sz w:val="22"/>
                <w:szCs w:val="22"/>
              </w:rPr>
              <w:t>.661</w:t>
            </w:r>
          </w:p>
        </w:tc>
      </w:tr>
      <w:tr w:rsidR="002B77A3" w14:paraId="34B3ABA3" w14:textId="77777777" w:rsidTr="002B77A3">
        <w:trPr>
          <w:trHeight w:val="548"/>
        </w:trPr>
        <w:tc>
          <w:tcPr>
            <w:tcW w:w="817" w:type="dxa"/>
            <w:tcBorders>
              <w:top w:val="nil"/>
              <w:left w:val="nil"/>
              <w:bottom w:val="nil"/>
              <w:right w:val="nil"/>
            </w:tcBorders>
          </w:tcPr>
          <w:p w14:paraId="4311468A" w14:textId="77777777" w:rsidR="002B77A3" w:rsidRPr="00C54B44" w:rsidRDefault="002B77A3" w:rsidP="002B77A3">
            <w:pPr>
              <w:rPr>
                <w:sz w:val="22"/>
                <w:szCs w:val="22"/>
              </w:rPr>
            </w:pPr>
          </w:p>
        </w:tc>
        <w:tc>
          <w:tcPr>
            <w:tcW w:w="567" w:type="dxa"/>
            <w:tcBorders>
              <w:top w:val="nil"/>
              <w:left w:val="nil"/>
              <w:bottom w:val="nil"/>
              <w:right w:val="nil"/>
            </w:tcBorders>
            <w:vAlign w:val="center"/>
          </w:tcPr>
          <w:p w14:paraId="08CBF048" w14:textId="77777777" w:rsidR="002B77A3" w:rsidRPr="00C54B44" w:rsidRDefault="002B77A3" w:rsidP="002B77A3">
            <w:pPr>
              <w:jc w:val="center"/>
              <w:rPr>
                <w:sz w:val="22"/>
                <w:szCs w:val="22"/>
              </w:rPr>
            </w:pPr>
            <w:r w:rsidRPr="00C54B44">
              <w:rPr>
                <w:sz w:val="22"/>
                <w:szCs w:val="22"/>
              </w:rPr>
              <w:t>7</w:t>
            </w:r>
          </w:p>
        </w:tc>
        <w:tc>
          <w:tcPr>
            <w:tcW w:w="1736" w:type="dxa"/>
            <w:tcBorders>
              <w:top w:val="nil"/>
              <w:left w:val="nil"/>
              <w:bottom w:val="nil"/>
              <w:right w:val="nil"/>
            </w:tcBorders>
            <w:vAlign w:val="center"/>
          </w:tcPr>
          <w:p w14:paraId="12CDACF6" w14:textId="77777777" w:rsidR="002B77A3" w:rsidRPr="00C54B44" w:rsidRDefault="002B77A3" w:rsidP="002B77A3">
            <w:pPr>
              <w:jc w:val="center"/>
              <w:rPr>
                <w:sz w:val="22"/>
                <w:szCs w:val="22"/>
              </w:rPr>
            </w:pPr>
            <w:r w:rsidRPr="00C54B44">
              <w:rPr>
                <w:sz w:val="22"/>
                <w:szCs w:val="22"/>
              </w:rPr>
              <w:t>.754</w:t>
            </w:r>
          </w:p>
        </w:tc>
        <w:tc>
          <w:tcPr>
            <w:tcW w:w="1737" w:type="dxa"/>
            <w:gridSpan w:val="2"/>
            <w:tcBorders>
              <w:top w:val="nil"/>
              <w:left w:val="nil"/>
              <w:bottom w:val="nil"/>
              <w:right w:val="nil"/>
            </w:tcBorders>
            <w:vAlign w:val="center"/>
          </w:tcPr>
          <w:p w14:paraId="777112AF" w14:textId="77777777" w:rsidR="002B77A3" w:rsidRPr="00C54B44" w:rsidRDefault="002B77A3" w:rsidP="002B77A3">
            <w:pPr>
              <w:jc w:val="center"/>
              <w:rPr>
                <w:sz w:val="22"/>
                <w:szCs w:val="22"/>
              </w:rPr>
            </w:pPr>
            <w:r w:rsidRPr="00C54B44">
              <w:rPr>
                <w:sz w:val="22"/>
                <w:szCs w:val="22"/>
              </w:rPr>
              <w:t>.710</w:t>
            </w:r>
          </w:p>
        </w:tc>
        <w:tc>
          <w:tcPr>
            <w:tcW w:w="1736" w:type="dxa"/>
            <w:tcBorders>
              <w:top w:val="nil"/>
              <w:left w:val="nil"/>
              <w:bottom w:val="nil"/>
              <w:right w:val="nil"/>
            </w:tcBorders>
            <w:vAlign w:val="center"/>
          </w:tcPr>
          <w:p w14:paraId="47E6C20E" w14:textId="77777777" w:rsidR="002B77A3" w:rsidRPr="00C54B44" w:rsidRDefault="002B77A3" w:rsidP="002B77A3">
            <w:pPr>
              <w:jc w:val="center"/>
              <w:rPr>
                <w:sz w:val="22"/>
                <w:szCs w:val="22"/>
              </w:rPr>
            </w:pPr>
            <w:r w:rsidRPr="00C54B44">
              <w:rPr>
                <w:sz w:val="22"/>
                <w:szCs w:val="22"/>
              </w:rPr>
              <w:t>.825</w:t>
            </w:r>
          </w:p>
        </w:tc>
        <w:tc>
          <w:tcPr>
            <w:tcW w:w="1737" w:type="dxa"/>
            <w:tcBorders>
              <w:top w:val="nil"/>
              <w:left w:val="nil"/>
              <w:bottom w:val="nil"/>
              <w:right w:val="nil"/>
            </w:tcBorders>
            <w:vAlign w:val="center"/>
          </w:tcPr>
          <w:p w14:paraId="7AAF5DF0" w14:textId="77777777" w:rsidR="002B77A3" w:rsidRPr="00C54B44" w:rsidRDefault="002B77A3" w:rsidP="002B77A3">
            <w:pPr>
              <w:jc w:val="center"/>
              <w:rPr>
                <w:sz w:val="22"/>
                <w:szCs w:val="22"/>
              </w:rPr>
            </w:pPr>
            <w:r w:rsidRPr="00C54B44">
              <w:rPr>
                <w:sz w:val="22"/>
                <w:szCs w:val="22"/>
              </w:rPr>
              <w:t>.751</w:t>
            </w:r>
          </w:p>
        </w:tc>
      </w:tr>
      <w:tr w:rsidR="002B77A3" w14:paraId="2685C4D4" w14:textId="77777777" w:rsidTr="002B77A3">
        <w:trPr>
          <w:trHeight w:val="414"/>
        </w:trPr>
        <w:tc>
          <w:tcPr>
            <w:tcW w:w="817" w:type="dxa"/>
            <w:tcBorders>
              <w:top w:val="nil"/>
              <w:left w:val="nil"/>
              <w:right w:val="nil"/>
            </w:tcBorders>
          </w:tcPr>
          <w:p w14:paraId="6BCC51F9" w14:textId="77777777" w:rsidR="002B77A3" w:rsidRPr="00C54B44" w:rsidRDefault="002B77A3" w:rsidP="002B77A3">
            <w:pPr>
              <w:rPr>
                <w:sz w:val="22"/>
                <w:szCs w:val="22"/>
              </w:rPr>
            </w:pPr>
          </w:p>
        </w:tc>
        <w:tc>
          <w:tcPr>
            <w:tcW w:w="567" w:type="dxa"/>
            <w:tcBorders>
              <w:top w:val="nil"/>
              <w:left w:val="nil"/>
              <w:right w:val="nil"/>
            </w:tcBorders>
            <w:vAlign w:val="center"/>
          </w:tcPr>
          <w:p w14:paraId="18719B6B" w14:textId="77777777" w:rsidR="002B77A3" w:rsidRPr="00C54B44" w:rsidRDefault="002B77A3" w:rsidP="002B77A3">
            <w:pPr>
              <w:jc w:val="center"/>
              <w:rPr>
                <w:sz w:val="22"/>
                <w:szCs w:val="22"/>
              </w:rPr>
            </w:pPr>
            <w:r w:rsidRPr="00C54B44">
              <w:rPr>
                <w:sz w:val="22"/>
                <w:szCs w:val="22"/>
              </w:rPr>
              <w:t>8</w:t>
            </w:r>
          </w:p>
        </w:tc>
        <w:tc>
          <w:tcPr>
            <w:tcW w:w="1736" w:type="dxa"/>
            <w:tcBorders>
              <w:top w:val="nil"/>
              <w:left w:val="nil"/>
              <w:right w:val="nil"/>
            </w:tcBorders>
            <w:vAlign w:val="center"/>
          </w:tcPr>
          <w:p w14:paraId="59642951" w14:textId="77777777" w:rsidR="002B77A3" w:rsidRPr="00C54B44" w:rsidRDefault="002B77A3" w:rsidP="002B77A3">
            <w:pPr>
              <w:jc w:val="center"/>
              <w:rPr>
                <w:sz w:val="22"/>
                <w:szCs w:val="22"/>
              </w:rPr>
            </w:pPr>
            <w:r w:rsidRPr="00C54B44">
              <w:rPr>
                <w:sz w:val="22"/>
                <w:szCs w:val="22"/>
              </w:rPr>
              <w:t>.772</w:t>
            </w:r>
          </w:p>
        </w:tc>
        <w:tc>
          <w:tcPr>
            <w:tcW w:w="1737" w:type="dxa"/>
            <w:gridSpan w:val="2"/>
            <w:tcBorders>
              <w:top w:val="nil"/>
              <w:left w:val="nil"/>
              <w:right w:val="nil"/>
            </w:tcBorders>
            <w:vAlign w:val="center"/>
          </w:tcPr>
          <w:p w14:paraId="7291F345" w14:textId="77777777" w:rsidR="002B77A3" w:rsidRPr="00C54B44" w:rsidRDefault="002B77A3" w:rsidP="002B77A3">
            <w:pPr>
              <w:jc w:val="center"/>
              <w:rPr>
                <w:sz w:val="22"/>
                <w:szCs w:val="22"/>
              </w:rPr>
            </w:pPr>
            <w:r w:rsidRPr="00C54B44">
              <w:rPr>
                <w:sz w:val="22"/>
                <w:szCs w:val="22"/>
              </w:rPr>
              <w:t>.749</w:t>
            </w:r>
          </w:p>
        </w:tc>
        <w:tc>
          <w:tcPr>
            <w:tcW w:w="1736" w:type="dxa"/>
            <w:tcBorders>
              <w:top w:val="nil"/>
              <w:left w:val="nil"/>
              <w:right w:val="nil"/>
            </w:tcBorders>
            <w:vAlign w:val="center"/>
          </w:tcPr>
          <w:p w14:paraId="642E9F04" w14:textId="77777777" w:rsidR="002B77A3" w:rsidRPr="00C54B44" w:rsidRDefault="002B77A3" w:rsidP="002B77A3">
            <w:pPr>
              <w:jc w:val="center"/>
              <w:rPr>
                <w:sz w:val="22"/>
                <w:szCs w:val="22"/>
              </w:rPr>
            </w:pPr>
            <w:r w:rsidRPr="00C54B44">
              <w:rPr>
                <w:sz w:val="22"/>
                <w:szCs w:val="22"/>
              </w:rPr>
              <w:t>.731</w:t>
            </w:r>
          </w:p>
        </w:tc>
        <w:tc>
          <w:tcPr>
            <w:tcW w:w="1737" w:type="dxa"/>
            <w:tcBorders>
              <w:top w:val="nil"/>
              <w:left w:val="nil"/>
              <w:right w:val="nil"/>
            </w:tcBorders>
            <w:vAlign w:val="center"/>
          </w:tcPr>
          <w:p w14:paraId="6B974D85" w14:textId="77777777" w:rsidR="002B77A3" w:rsidRPr="00C54B44" w:rsidRDefault="002B77A3" w:rsidP="002B77A3">
            <w:pPr>
              <w:jc w:val="center"/>
              <w:rPr>
                <w:sz w:val="22"/>
                <w:szCs w:val="22"/>
              </w:rPr>
            </w:pPr>
            <w:r w:rsidRPr="00C54B44">
              <w:rPr>
                <w:sz w:val="22"/>
                <w:szCs w:val="22"/>
              </w:rPr>
              <w:t>.741</w:t>
            </w:r>
          </w:p>
        </w:tc>
      </w:tr>
    </w:tbl>
    <w:p w14:paraId="74DCC6DD" w14:textId="77777777" w:rsidR="002B77A3" w:rsidRDefault="002B77A3" w:rsidP="002B77A3">
      <w:r>
        <w:t>Note: All loadings p&lt;.05</w:t>
      </w:r>
    </w:p>
    <w:p w14:paraId="74E97201" w14:textId="77777777" w:rsidR="006755DC" w:rsidRDefault="006755DC">
      <w:pPr>
        <w:spacing w:after="0"/>
      </w:pPr>
    </w:p>
    <w:p w14:paraId="6401204D" w14:textId="77777777" w:rsidR="00A664E3" w:rsidRDefault="00A664E3">
      <w:pPr>
        <w:spacing w:after="0"/>
      </w:pPr>
      <w:r>
        <w:br w:type="page"/>
      </w:r>
    </w:p>
    <w:p w14:paraId="436CF289" w14:textId="32222C10" w:rsidR="00B3381E" w:rsidRDefault="00B3381E" w:rsidP="006755DC">
      <w:pPr>
        <w:widowControl w:val="0"/>
        <w:autoSpaceDE w:val="0"/>
        <w:autoSpaceDN w:val="0"/>
        <w:adjustRightInd w:val="0"/>
        <w:spacing w:after="0" w:line="480" w:lineRule="auto"/>
      </w:pPr>
      <w:r>
        <w:lastRenderedPageBreak/>
        <w:t xml:space="preserve">Table </w:t>
      </w:r>
      <w:r w:rsidR="00870AF9">
        <w:t>4</w:t>
      </w:r>
      <w:r>
        <w:t xml:space="preserve">. Correlations between the shortened scale and outcome measures. </w:t>
      </w:r>
    </w:p>
    <w:tbl>
      <w:tblPr>
        <w:tblW w:w="7480" w:type="dxa"/>
        <w:tblLayout w:type="fixed"/>
        <w:tblLook w:val="00A0" w:firstRow="1" w:lastRow="0" w:firstColumn="1" w:lastColumn="0" w:noHBand="0" w:noVBand="0"/>
      </w:tblPr>
      <w:tblGrid>
        <w:gridCol w:w="3227"/>
        <w:gridCol w:w="1134"/>
        <w:gridCol w:w="993"/>
        <w:gridCol w:w="1134"/>
        <w:gridCol w:w="992"/>
      </w:tblGrid>
      <w:tr w:rsidR="005D74E8" w:rsidRPr="00FD10D2" w14:paraId="581D847B" w14:textId="77777777" w:rsidTr="005D74E8">
        <w:trPr>
          <w:trHeight w:val="275"/>
        </w:trPr>
        <w:tc>
          <w:tcPr>
            <w:tcW w:w="3227" w:type="dxa"/>
            <w:tcBorders>
              <w:top w:val="single" w:sz="4" w:space="0" w:color="auto"/>
              <w:left w:val="nil"/>
              <w:bottom w:val="single" w:sz="4" w:space="0" w:color="auto"/>
              <w:right w:val="nil"/>
            </w:tcBorders>
            <w:noWrap/>
            <w:vAlign w:val="bottom"/>
          </w:tcPr>
          <w:p w14:paraId="45A1392D" w14:textId="77777777" w:rsidR="005D74E8" w:rsidRPr="005415DE" w:rsidRDefault="005D74E8" w:rsidP="006755DC">
            <w:pPr>
              <w:spacing w:after="0" w:line="480" w:lineRule="auto"/>
              <w:rPr>
                <w:rFonts w:eastAsia="Times New Roman"/>
                <w:color w:val="000000"/>
                <w:lang w:val="en-GB" w:eastAsia="en-US"/>
              </w:rPr>
            </w:pPr>
            <w:r w:rsidRPr="005415DE">
              <w:rPr>
                <w:rFonts w:eastAsia="Times New Roman"/>
                <w:color w:val="000000"/>
                <w:lang w:val="en-GB" w:eastAsia="en-US"/>
              </w:rPr>
              <w:t>Sample</w:t>
            </w:r>
          </w:p>
        </w:tc>
        <w:tc>
          <w:tcPr>
            <w:tcW w:w="1134" w:type="dxa"/>
            <w:tcBorders>
              <w:top w:val="single" w:sz="4" w:space="0" w:color="auto"/>
              <w:bottom w:val="single" w:sz="4" w:space="0" w:color="auto"/>
            </w:tcBorders>
            <w:noWrap/>
            <w:vAlign w:val="bottom"/>
          </w:tcPr>
          <w:p w14:paraId="551B5128" w14:textId="77777777" w:rsidR="005D74E8" w:rsidRPr="005415DE" w:rsidRDefault="005D74E8" w:rsidP="006755DC">
            <w:pPr>
              <w:spacing w:after="0" w:line="480" w:lineRule="auto"/>
              <w:jc w:val="center"/>
              <w:rPr>
                <w:rFonts w:eastAsia="Times New Roman"/>
                <w:color w:val="000000"/>
                <w:lang w:val="en-GB" w:eastAsia="en-US"/>
              </w:rPr>
            </w:pPr>
            <w:r w:rsidRPr="005415DE">
              <w:rPr>
                <w:rFonts w:eastAsia="Times New Roman"/>
                <w:color w:val="000000"/>
                <w:lang w:val="en-GB" w:eastAsia="en-US"/>
              </w:rPr>
              <w:t>CES-D</w:t>
            </w:r>
          </w:p>
        </w:tc>
        <w:tc>
          <w:tcPr>
            <w:tcW w:w="993" w:type="dxa"/>
            <w:tcBorders>
              <w:top w:val="single" w:sz="4" w:space="0" w:color="auto"/>
              <w:bottom w:val="single" w:sz="4" w:space="0" w:color="auto"/>
            </w:tcBorders>
            <w:noWrap/>
            <w:vAlign w:val="bottom"/>
          </w:tcPr>
          <w:p w14:paraId="2BA483C5" w14:textId="77777777" w:rsidR="005D74E8" w:rsidRPr="005415DE" w:rsidRDefault="005D74E8" w:rsidP="006755DC">
            <w:pPr>
              <w:spacing w:after="0" w:line="480" w:lineRule="auto"/>
              <w:jc w:val="center"/>
              <w:rPr>
                <w:rFonts w:eastAsia="Times New Roman"/>
                <w:color w:val="000000"/>
                <w:lang w:val="en-GB" w:eastAsia="en-US"/>
              </w:rPr>
            </w:pPr>
            <w:r w:rsidRPr="005415DE">
              <w:rPr>
                <w:rFonts w:eastAsia="Times New Roman"/>
                <w:color w:val="000000"/>
                <w:lang w:val="en-GB" w:eastAsia="en-US"/>
              </w:rPr>
              <w:t>BDI</w:t>
            </w:r>
          </w:p>
        </w:tc>
        <w:tc>
          <w:tcPr>
            <w:tcW w:w="1134" w:type="dxa"/>
            <w:tcBorders>
              <w:top w:val="single" w:sz="4" w:space="0" w:color="auto"/>
              <w:bottom w:val="single" w:sz="4" w:space="0" w:color="auto"/>
            </w:tcBorders>
          </w:tcPr>
          <w:p w14:paraId="615FD848" w14:textId="77777777" w:rsidR="005D74E8" w:rsidRPr="00733E46" w:rsidRDefault="005D74E8" w:rsidP="006755DC">
            <w:pPr>
              <w:spacing w:after="0" w:line="480" w:lineRule="auto"/>
              <w:jc w:val="center"/>
              <w:rPr>
                <w:rFonts w:eastAsia="Times New Roman"/>
                <w:color w:val="000000"/>
                <w:lang w:val="en-GB" w:eastAsia="en-US"/>
              </w:rPr>
            </w:pPr>
            <w:r w:rsidRPr="00733E46">
              <w:rPr>
                <w:rFonts w:eastAsia="Times New Roman"/>
                <w:color w:val="000000"/>
                <w:lang w:val="en-GB" w:eastAsia="en-US"/>
              </w:rPr>
              <w:t>BHS</w:t>
            </w:r>
          </w:p>
        </w:tc>
        <w:tc>
          <w:tcPr>
            <w:tcW w:w="992" w:type="dxa"/>
            <w:tcBorders>
              <w:top w:val="single" w:sz="4" w:space="0" w:color="auto"/>
              <w:bottom w:val="single" w:sz="4" w:space="0" w:color="auto"/>
            </w:tcBorders>
          </w:tcPr>
          <w:p w14:paraId="34F93971" w14:textId="77777777" w:rsidR="005D74E8" w:rsidRPr="00733E46" w:rsidRDefault="005D74E8" w:rsidP="006755DC">
            <w:pPr>
              <w:spacing w:after="0" w:line="480" w:lineRule="auto"/>
              <w:jc w:val="center"/>
              <w:rPr>
                <w:rFonts w:eastAsia="Times New Roman"/>
                <w:color w:val="000000"/>
                <w:lang w:val="en-GB" w:eastAsia="en-US"/>
              </w:rPr>
            </w:pPr>
            <w:r w:rsidRPr="00733E46">
              <w:rPr>
                <w:rFonts w:eastAsia="Times New Roman"/>
                <w:color w:val="000000"/>
                <w:lang w:val="en-GB" w:eastAsia="en-US"/>
              </w:rPr>
              <w:t>ZBI</w:t>
            </w:r>
          </w:p>
        </w:tc>
      </w:tr>
      <w:tr w:rsidR="005D74E8" w:rsidRPr="00FD10D2" w14:paraId="70704BF0" w14:textId="77777777" w:rsidTr="005D74E8">
        <w:trPr>
          <w:trHeight w:val="275"/>
        </w:trPr>
        <w:tc>
          <w:tcPr>
            <w:tcW w:w="3227" w:type="dxa"/>
            <w:tcBorders>
              <w:top w:val="nil"/>
              <w:left w:val="nil"/>
              <w:bottom w:val="nil"/>
            </w:tcBorders>
            <w:noWrap/>
            <w:vAlign w:val="bottom"/>
          </w:tcPr>
          <w:p w14:paraId="436891EE" w14:textId="23583B1E" w:rsidR="005D74E8" w:rsidRPr="005415DE" w:rsidRDefault="005D74E8" w:rsidP="006755DC">
            <w:pPr>
              <w:spacing w:after="0" w:line="480" w:lineRule="auto"/>
              <w:rPr>
                <w:rFonts w:eastAsia="Times New Roman"/>
                <w:color w:val="000000"/>
                <w:lang w:val="en-GB" w:eastAsia="en-US"/>
              </w:rPr>
            </w:pPr>
            <w:r>
              <w:rPr>
                <w:rFonts w:eastAsia="Times New Roman"/>
                <w:color w:val="000000"/>
                <w:lang w:val="en-GB" w:eastAsia="en-US"/>
              </w:rPr>
              <w:t>Formal Caregivers (Sample 2)</w:t>
            </w:r>
          </w:p>
        </w:tc>
        <w:tc>
          <w:tcPr>
            <w:tcW w:w="1134" w:type="dxa"/>
            <w:tcBorders>
              <w:top w:val="nil"/>
              <w:bottom w:val="nil"/>
            </w:tcBorders>
            <w:noWrap/>
            <w:vAlign w:val="bottom"/>
          </w:tcPr>
          <w:p w14:paraId="1DB336FF" w14:textId="789EB2B7" w:rsidR="005D74E8" w:rsidRPr="005415DE" w:rsidRDefault="005D74E8" w:rsidP="006755DC">
            <w:pPr>
              <w:spacing w:after="0" w:line="480" w:lineRule="auto"/>
              <w:jc w:val="center"/>
              <w:rPr>
                <w:rFonts w:eastAsia="Times New Roman"/>
                <w:color w:val="000000"/>
                <w:lang w:val="en-GB" w:eastAsia="en-US"/>
              </w:rPr>
            </w:pPr>
            <w:r>
              <w:rPr>
                <w:rFonts w:eastAsia="Times New Roman"/>
                <w:color w:val="000000"/>
                <w:lang w:val="en-GB" w:eastAsia="en-US"/>
              </w:rPr>
              <w:t>.712**</w:t>
            </w:r>
          </w:p>
        </w:tc>
        <w:tc>
          <w:tcPr>
            <w:tcW w:w="993" w:type="dxa"/>
            <w:tcBorders>
              <w:top w:val="nil"/>
              <w:bottom w:val="nil"/>
            </w:tcBorders>
            <w:noWrap/>
            <w:vAlign w:val="bottom"/>
          </w:tcPr>
          <w:p w14:paraId="79468B05" w14:textId="2CF97232" w:rsidR="005D74E8" w:rsidRPr="005415DE" w:rsidRDefault="005D74E8" w:rsidP="006755DC">
            <w:pPr>
              <w:spacing w:after="0" w:line="480" w:lineRule="auto"/>
              <w:jc w:val="center"/>
              <w:rPr>
                <w:rFonts w:eastAsia="Times New Roman"/>
                <w:color w:val="000000"/>
                <w:lang w:val="en-GB" w:eastAsia="en-US"/>
              </w:rPr>
            </w:pPr>
          </w:p>
        </w:tc>
        <w:tc>
          <w:tcPr>
            <w:tcW w:w="1134" w:type="dxa"/>
            <w:tcBorders>
              <w:top w:val="nil"/>
              <w:bottom w:val="nil"/>
            </w:tcBorders>
          </w:tcPr>
          <w:p w14:paraId="22502997" w14:textId="7D0B1389" w:rsidR="005D74E8" w:rsidRDefault="005D74E8" w:rsidP="003B15F9">
            <w:pPr>
              <w:spacing w:after="0" w:line="480" w:lineRule="auto"/>
              <w:jc w:val="center"/>
              <w:rPr>
                <w:rFonts w:eastAsia="Times New Roman"/>
                <w:color w:val="000000"/>
                <w:lang w:val="en-GB" w:eastAsia="en-US"/>
              </w:rPr>
            </w:pPr>
          </w:p>
        </w:tc>
        <w:tc>
          <w:tcPr>
            <w:tcW w:w="992" w:type="dxa"/>
            <w:tcBorders>
              <w:top w:val="nil"/>
              <w:bottom w:val="nil"/>
            </w:tcBorders>
          </w:tcPr>
          <w:p w14:paraId="7858598C" w14:textId="7D2DC7CC" w:rsidR="005D74E8" w:rsidRDefault="005D74E8" w:rsidP="006755DC">
            <w:pPr>
              <w:spacing w:after="0" w:line="480" w:lineRule="auto"/>
              <w:jc w:val="center"/>
              <w:rPr>
                <w:rFonts w:eastAsia="Times New Roman"/>
                <w:color w:val="000000"/>
                <w:lang w:val="en-GB" w:eastAsia="en-US"/>
              </w:rPr>
            </w:pPr>
            <w:r>
              <w:rPr>
                <w:rFonts w:eastAsia="Times New Roman"/>
                <w:color w:val="000000"/>
                <w:lang w:val="en-GB" w:eastAsia="en-US"/>
              </w:rPr>
              <w:t>.433**</w:t>
            </w:r>
          </w:p>
        </w:tc>
      </w:tr>
      <w:tr w:rsidR="005D74E8" w:rsidRPr="00FD10D2" w14:paraId="7BE3CADA" w14:textId="77777777" w:rsidTr="005D74E8">
        <w:trPr>
          <w:trHeight w:val="275"/>
        </w:trPr>
        <w:tc>
          <w:tcPr>
            <w:tcW w:w="3227" w:type="dxa"/>
            <w:tcBorders>
              <w:top w:val="nil"/>
              <w:left w:val="nil"/>
              <w:bottom w:val="nil"/>
            </w:tcBorders>
            <w:noWrap/>
            <w:vAlign w:val="bottom"/>
          </w:tcPr>
          <w:p w14:paraId="1F1E2E99" w14:textId="67032CE4" w:rsidR="005D74E8" w:rsidRPr="005415DE" w:rsidRDefault="005D74E8" w:rsidP="006755DC">
            <w:pPr>
              <w:spacing w:after="0" w:line="480" w:lineRule="auto"/>
              <w:rPr>
                <w:rFonts w:eastAsia="Times New Roman"/>
                <w:color w:val="000000"/>
                <w:lang w:val="en-GB" w:eastAsia="en-US"/>
              </w:rPr>
            </w:pPr>
            <w:r>
              <w:rPr>
                <w:rFonts w:eastAsia="Times New Roman"/>
                <w:color w:val="000000"/>
                <w:lang w:val="en-GB" w:eastAsia="en-US"/>
              </w:rPr>
              <w:t>Psychosis Patients (Sample 3)</w:t>
            </w:r>
          </w:p>
        </w:tc>
        <w:tc>
          <w:tcPr>
            <w:tcW w:w="1134" w:type="dxa"/>
            <w:tcBorders>
              <w:top w:val="nil"/>
              <w:bottom w:val="nil"/>
            </w:tcBorders>
            <w:noWrap/>
            <w:vAlign w:val="bottom"/>
          </w:tcPr>
          <w:p w14:paraId="63EE7986" w14:textId="2D43F75C" w:rsidR="005D74E8" w:rsidRPr="005415DE" w:rsidRDefault="005D74E8" w:rsidP="003B15F9">
            <w:pPr>
              <w:spacing w:after="0" w:line="480" w:lineRule="auto"/>
              <w:jc w:val="center"/>
              <w:rPr>
                <w:rFonts w:eastAsia="Times New Roman"/>
                <w:color w:val="000000"/>
                <w:lang w:val="en-GB" w:eastAsia="en-US"/>
              </w:rPr>
            </w:pPr>
          </w:p>
        </w:tc>
        <w:tc>
          <w:tcPr>
            <w:tcW w:w="993" w:type="dxa"/>
            <w:tcBorders>
              <w:top w:val="nil"/>
              <w:bottom w:val="nil"/>
            </w:tcBorders>
            <w:noWrap/>
            <w:vAlign w:val="bottom"/>
          </w:tcPr>
          <w:p w14:paraId="27F4405C" w14:textId="316D271F" w:rsidR="005D74E8" w:rsidRPr="005415DE" w:rsidRDefault="005D74E8" w:rsidP="006755DC">
            <w:pPr>
              <w:spacing w:after="0" w:line="480" w:lineRule="auto"/>
              <w:jc w:val="center"/>
              <w:rPr>
                <w:rFonts w:eastAsia="Times New Roman"/>
                <w:color w:val="000000"/>
                <w:lang w:val="en-GB" w:eastAsia="en-US"/>
              </w:rPr>
            </w:pPr>
            <w:r>
              <w:rPr>
                <w:rFonts w:eastAsia="Times New Roman"/>
                <w:color w:val="000000"/>
                <w:lang w:val="en-GB" w:eastAsia="en-US"/>
              </w:rPr>
              <w:t>.237*</w:t>
            </w:r>
          </w:p>
        </w:tc>
        <w:tc>
          <w:tcPr>
            <w:tcW w:w="1134" w:type="dxa"/>
            <w:tcBorders>
              <w:top w:val="nil"/>
              <w:bottom w:val="nil"/>
            </w:tcBorders>
          </w:tcPr>
          <w:p w14:paraId="6055C42A" w14:textId="43829E0A" w:rsidR="005D74E8" w:rsidRPr="005415DE" w:rsidRDefault="005D74E8" w:rsidP="006755DC">
            <w:pPr>
              <w:spacing w:after="0" w:line="480" w:lineRule="auto"/>
              <w:jc w:val="center"/>
              <w:rPr>
                <w:rFonts w:eastAsia="Times New Roman"/>
                <w:color w:val="000000"/>
                <w:lang w:val="en-GB" w:eastAsia="en-US"/>
              </w:rPr>
            </w:pPr>
            <w:r>
              <w:rPr>
                <w:rFonts w:eastAsia="Times New Roman"/>
                <w:color w:val="000000"/>
                <w:lang w:val="en-GB" w:eastAsia="en-US"/>
              </w:rPr>
              <w:t>.446**</w:t>
            </w:r>
          </w:p>
        </w:tc>
        <w:tc>
          <w:tcPr>
            <w:tcW w:w="992" w:type="dxa"/>
            <w:tcBorders>
              <w:top w:val="nil"/>
              <w:bottom w:val="nil"/>
              <w:right w:val="nil"/>
            </w:tcBorders>
          </w:tcPr>
          <w:p w14:paraId="555368AE" w14:textId="7FDE054F" w:rsidR="005D74E8" w:rsidRPr="005415DE" w:rsidRDefault="005D74E8" w:rsidP="006755DC">
            <w:pPr>
              <w:spacing w:after="0" w:line="480" w:lineRule="auto"/>
              <w:jc w:val="center"/>
              <w:rPr>
                <w:rFonts w:eastAsia="Times New Roman"/>
                <w:color w:val="000000"/>
                <w:lang w:val="en-GB" w:eastAsia="en-US"/>
              </w:rPr>
            </w:pPr>
          </w:p>
        </w:tc>
      </w:tr>
      <w:tr w:rsidR="005D74E8" w:rsidRPr="00FD10D2" w14:paraId="05D5B560" w14:textId="77777777" w:rsidTr="005D74E8">
        <w:trPr>
          <w:trHeight w:val="275"/>
        </w:trPr>
        <w:tc>
          <w:tcPr>
            <w:tcW w:w="3227" w:type="dxa"/>
            <w:tcBorders>
              <w:top w:val="nil"/>
              <w:left w:val="nil"/>
              <w:bottom w:val="single" w:sz="4" w:space="0" w:color="auto"/>
            </w:tcBorders>
            <w:noWrap/>
            <w:vAlign w:val="bottom"/>
          </w:tcPr>
          <w:p w14:paraId="6CE9FFC2" w14:textId="4FFFF9CE" w:rsidR="005D74E8" w:rsidRPr="005415DE" w:rsidRDefault="005D74E8" w:rsidP="006755DC">
            <w:pPr>
              <w:spacing w:after="0" w:line="480" w:lineRule="auto"/>
              <w:rPr>
                <w:rFonts w:eastAsia="Times New Roman"/>
                <w:color w:val="000000"/>
                <w:lang w:val="en-GB" w:eastAsia="en-US"/>
              </w:rPr>
            </w:pPr>
            <w:r>
              <w:rPr>
                <w:rFonts w:eastAsia="Times New Roman"/>
                <w:color w:val="000000"/>
                <w:lang w:val="en-GB" w:eastAsia="en-US"/>
              </w:rPr>
              <w:t>Trauma Patients (Sample 4)</w:t>
            </w:r>
          </w:p>
        </w:tc>
        <w:tc>
          <w:tcPr>
            <w:tcW w:w="1134" w:type="dxa"/>
            <w:tcBorders>
              <w:top w:val="nil"/>
              <w:bottom w:val="single" w:sz="4" w:space="0" w:color="auto"/>
            </w:tcBorders>
            <w:noWrap/>
            <w:vAlign w:val="bottom"/>
          </w:tcPr>
          <w:p w14:paraId="6805AB56" w14:textId="77777777" w:rsidR="005D74E8" w:rsidRPr="005415DE" w:rsidRDefault="005D74E8" w:rsidP="006755DC">
            <w:pPr>
              <w:spacing w:after="0" w:line="480" w:lineRule="auto"/>
              <w:jc w:val="center"/>
              <w:rPr>
                <w:rFonts w:eastAsia="Times New Roman"/>
                <w:color w:val="000000"/>
                <w:lang w:val="en-GB" w:eastAsia="en-US"/>
              </w:rPr>
            </w:pPr>
          </w:p>
        </w:tc>
        <w:tc>
          <w:tcPr>
            <w:tcW w:w="993" w:type="dxa"/>
            <w:tcBorders>
              <w:top w:val="nil"/>
              <w:bottom w:val="single" w:sz="4" w:space="0" w:color="auto"/>
            </w:tcBorders>
            <w:noWrap/>
            <w:vAlign w:val="bottom"/>
          </w:tcPr>
          <w:p w14:paraId="3A517373" w14:textId="77777777" w:rsidR="005D74E8" w:rsidRPr="005415DE" w:rsidRDefault="005D74E8" w:rsidP="006755DC">
            <w:pPr>
              <w:spacing w:after="0" w:line="480" w:lineRule="auto"/>
              <w:jc w:val="center"/>
              <w:rPr>
                <w:rFonts w:eastAsia="Times New Roman"/>
                <w:color w:val="000000"/>
                <w:lang w:val="en-GB" w:eastAsia="en-US"/>
              </w:rPr>
            </w:pPr>
            <w:r>
              <w:rPr>
                <w:rFonts w:eastAsia="Times New Roman"/>
                <w:color w:val="000000"/>
                <w:lang w:val="en-GB" w:eastAsia="en-US"/>
              </w:rPr>
              <w:t>.849**</w:t>
            </w:r>
          </w:p>
        </w:tc>
        <w:tc>
          <w:tcPr>
            <w:tcW w:w="1134" w:type="dxa"/>
            <w:tcBorders>
              <w:top w:val="nil"/>
              <w:bottom w:val="single" w:sz="4" w:space="0" w:color="auto"/>
            </w:tcBorders>
          </w:tcPr>
          <w:p w14:paraId="61C6E5E8" w14:textId="77777777" w:rsidR="005D74E8" w:rsidRPr="005415DE" w:rsidRDefault="005D74E8" w:rsidP="006755DC">
            <w:pPr>
              <w:spacing w:after="0" w:line="480" w:lineRule="auto"/>
              <w:jc w:val="center"/>
              <w:rPr>
                <w:rFonts w:eastAsia="Times New Roman"/>
                <w:color w:val="000000"/>
                <w:lang w:val="en-GB" w:eastAsia="en-US"/>
              </w:rPr>
            </w:pPr>
            <w:r>
              <w:rPr>
                <w:rFonts w:eastAsia="Times New Roman"/>
                <w:color w:val="000000"/>
                <w:lang w:val="en-GB" w:eastAsia="en-US"/>
              </w:rPr>
              <w:t>.926**</w:t>
            </w:r>
          </w:p>
        </w:tc>
        <w:tc>
          <w:tcPr>
            <w:tcW w:w="992" w:type="dxa"/>
            <w:tcBorders>
              <w:top w:val="nil"/>
              <w:bottom w:val="single" w:sz="4" w:space="0" w:color="auto"/>
              <w:right w:val="nil"/>
            </w:tcBorders>
          </w:tcPr>
          <w:p w14:paraId="266EDB09" w14:textId="77777777" w:rsidR="005D74E8" w:rsidRPr="005415DE" w:rsidRDefault="005D74E8" w:rsidP="006755DC">
            <w:pPr>
              <w:spacing w:after="0" w:line="480" w:lineRule="auto"/>
              <w:jc w:val="center"/>
              <w:rPr>
                <w:rFonts w:eastAsia="Times New Roman"/>
                <w:color w:val="000000"/>
                <w:lang w:val="en-GB" w:eastAsia="en-US"/>
              </w:rPr>
            </w:pPr>
          </w:p>
        </w:tc>
      </w:tr>
    </w:tbl>
    <w:p w14:paraId="4E77D8B2" w14:textId="5BBA6774" w:rsidR="00C83D1A" w:rsidRDefault="00B3381E" w:rsidP="008F665C">
      <w:pPr>
        <w:widowControl w:val="0"/>
        <w:autoSpaceDE w:val="0"/>
        <w:autoSpaceDN w:val="0"/>
        <w:adjustRightInd w:val="0"/>
        <w:spacing w:after="0" w:line="480" w:lineRule="auto"/>
      </w:pPr>
      <w:r>
        <w:t xml:space="preserve"> Note: * p &lt;.05 ** p &lt;.001</w:t>
      </w:r>
      <w:r w:rsidR="006755DC">
        <w:br/>
        <w:t xml:space="preserve"> </w:t>
      </w:r>
      <w:r w:rsidR="006755DC">
        <w:tab/>
      </w:r>
      <w:r w:rsidR="008F665C">
        <w:t xml:space="preserve">CES-D = Center for </w:t>
      </w:r>
      <w:r w:rsidR="008F665C" w:rsidRPr="0035297A">
        <w:t>Epidemiologic Services Depression Scale</w:t>
      </w:r>
      <w:r w:rsidR="005D74E8">
        <w:t>,</w:t>
      </w:r>
      <w:r w:rsidR="008F665C">
        <w:t xml:space="preserve"> </w:t>
      </w:r>
      <w:r w:rsidR="006755DC">
        <w:t xml:space="preserve">BHS = Beck </w:t>
      </w:r>
      <w:r w:rsidR="005D74E8">
        <w:br/>
        <w:t xml:space="preserve"> </w:t>
      </w:r>
      <w:r w:rsidR="005D74E8">
        <w:tab/>
      </w:r>
      <w:r w:rsidR="006755DC">
        <w:t xml:space="preserve">Hopelessness Score, BDI = Beck Depression Inventory, ZBI = Zarit Burden </w:t>
      </w:r>
      <w:r w:rsidR="005D74E8">
        <w:br/>
        <w:t xml:space="preserve"> </w:t>
      </w:r>
      <w:r w:rsidR="005D74E8">
        <w:tab/>
      </w:r>
      <w:r w:rsidR="006755DC">
        <w:t xml:space="preserve">Inventory </w:t>
      </w:r>
    </w:p>
    <w:p w14:paraId="191FB837" w14:textId="77777777" w:rsidR="00C83D1A" w:rsidRDefault="00C83D1A">
      <w:pPr>
        <w:spacing w:after="0"/>
      </w:pPr>
      <w:r>
        <w:br w:type="page"/>
      </w:r>
    </w:p>
    <w:p w14:paraId="70EADF1C" w14:textId="2B571278" w:rsidR="00C83D1A" w:rsidRPr="000F6A67" w:rsidRDefault="00C83D1A" w:rsidP="00C83D1A">
      <w:pPr>
        <w:widowControl w:val="0"/>
        <w:autoSpaceDE w:val="0"/>
        <w:autoSpaceDN w:val="0"/>
        <w:adjustRightInd w:val="0"/>
        <w:spacing w:line="480" w:lineRule="auto"/>
      </w:pPr>
      <w:r w:rsidRPr="000F6A67">
        <w:lastRenderedPageBreak/>
        <w:t xml:space="preserve">Table </w:t>
      </w:r>
      <w:r>
        <w:t>5</w:t>
      </w:r>
      <w:r w:rsidRPr="000F6A67">
        <w:t xml:space="preserve">. Correlations between the </w:t>
      </w:r>
      <w:r>
        <w:t xml:space="preserve">original </w:t>
      </w:r>
      <w:r>
        <w:rPr>
          <w:i/>
        </w:rPr>
        <w:t xml:space="preserve">Defeat Scale </w:t>
      </w:r>
      <w:r>
        <w:t xml:space="preserve">and </w:t>
      </w:r>
      <w:r>
        <w:rPr>
          <w:i/>
        </w:rPr>
        <w:t>Entrapment Scale</w:t>
      </w:r>
      <w:r>
        <w:t xml:space="preserve"> </w:t>
      </w:r>
      <w:r w:rsidRPr="000F6A67">
        <w:t xml:space="preserve">and outcome measures. </w:t>
      </w:r>
    </w:p>
    <w:tbl>
      <w:tblPr>
        <w:tblW w:w="7480" w:type="dxa"/>
        <w:tblLayout w:type="fixed"/>
        <w:tblLook w:val="00A0" w:firstRow="1" w:lastRow="0" w:firstColumn="1" w:lastColumn="0" w:noHBand="0" w:noVBand="0"/>
      </w:tblPr>
      <w:tblGrid>
        <w:gridCol w:w="3227"/>
        <w:gridCol w:w="1134"/>
        <w:gridCol w:w="993"/>
        <w:gridCol w:w="1134"/>
        <w:gridCol w:w="992"/>
      </w:tblGrid>
      <w:tr w:rsidR="00C83D1A" w:rsidRPr="000F6A67" w14:paraId="5892D8E1" w14:textId="77777777" w:rsidTr="00DF0B0D">
        <w:trPr>
          <w:trHeight w:val="275"/>
        </w:trPr>
        <w:tc>
          <w:tcPr>
            <w:tcW w:w="3227" w:type="dxa"/>
            <w:tcBorders>
              <w:top w:val="single" w:sz="4" w:space="0" w:color="auto"/>
              <w:left w:val="nil"/>
              <w:bottom w:val="single" w:sz="4" w:space="0" w:color="auto"/>
              <w:right w:val="nil"/>
            </w:tcBorders>
            <w:noWrap/>
            <w:vAlign w:val="bottom"/>
          </w:tcPr>
          <w:p w14:paraId="7D7E19CC" w14:textId="77777777" w:rsidR="00C83D1A" w:rsidRPr="000F6A67" w:rsidRDefault="00C83D1A" w:rsidP="00DF0B0D">
            <w:pPr>
              <w:spacing w:line="480" w:lineRule="auto"/>
              <w:rPr>
                <w:rFonts w:eastAsia="Times New Roman"/>
                <w:color w:val="000000"/>
                <w:lang w:eastAsia="en-US"/>
              </w:rPr>
            </w:pPr>
            <w:r w:rsidRPr="000F6A67">
              <w:rPr>
                <w:rFonts w:eastAsia="Times New Roman"/>
                <w:color w:val="000000"/>
                <w:lang w:eastAsia="en-US"/>
              </w:rPr>
              <w:t>Sample</w:t>
            </w:r>
          </w:p>
        </w:tc>
        <w:tc>
          <w:tcPr>
            <w:tcW w:w="1134" w:type="dxa"/>
            <w:tcBorders>
              <w:top w:val="single" w:sz="4" w:space="0" w:color="auto"/>
              <w:bottom w:val="single" w:sz="4" w:space="0" w:color="auto"/>
            </w:tcBorders>
            <w:noWrap/>
            <w:vAlign w:val="bottom"/>
          </w:tcPr>
          <w:p w14:paraId="69B0A536" w14:textId="77777777" w:rsidR="00C83D1A" w:rsidRPr="000F6A67" w:rsidRDefault="00C83D1A" w:rsidP="00DF0B0D">
            <w:pPr>
              <w:spacing w:line="480" w:lineRule="auto"/>
              <w:jc w:val="center"/>
              <w:rPr>
                <w:rFonts w:eastAsia="Times New Roman"/>
                <w:color w:val="000000"/>
                <w:lang w:eastAsia="en-US"/>
              </w:rPr>
            </w:pPr>
            <w:r w:rsidRPr="000F6A67">
              <w:rPr>
                <w:rFonts w:eastAsia="Times New Roman"/>
                <w:color w:val="000000"/>
                <w:lang w:eastAsia="en-US"/>
              </w:rPr>
              <w:t>CES-D</w:t>
            </w:r>
          </w:p>
        </w:tc>
        <w:tc>
          <w:tcPr>
            <w:tcW w:w="993" w:type="dxa"/>
            <w:tcBorders>
              <w:top w:val="single" w:sz="4" w:space="0" w:color="auto"/>
              <w:bottom w:val="single" w:sz="4" w:space="0" w:color="auto"/>
            </w:tcBorders>
            <w:noWrap/>
            <w:vAlign w:val="bottom"/>
          </w:tcPr>
          <w:p w14:paraId="38BEFD6E" w14:textId="77777777" w:rsidR="00C83D1A" w:rsidRPr="000F6A67" w:rsidRDefault="00C83D1A" w:rsidP="00DF0B0D">
            <w:pPr>
              <w:spacing w:line="480" w:lineRule="auto"/>
              <w:jc w:val="center"/>
              <w:rPr>
                <w:rFonts w:eastAsia="Times New Roman"/>
                <w:color w:val="000000"/>
                <w:lang w:eastAsia="en-US"/>
              </w:rPr>
            </w:pPr>
            <w:r w:rsidRPr="000F6A67">
              <w:rPr>
                <w:rFonts w:eastAsia="Times New Roman"/>
                <w:color w:val="000000"/>
                <w:lang w:eastAsia="en-US"/>
              </w:rPr>
              <w:t>BDI</w:t>
            </w:r>
          </w:p>
        </w:tc>
        <w:tc>
          <w:tcPr>
            <w:tcW w:w="1134" w:type="dxa"/>
            <w:tcBorders>
              <w:top w:val="single" w:sz="4" w:space="0" w:color="auto"/>
              <w:bottom w:val="single" w:sz="4" w:space="0" w:color="auto"/>
            </w:tcBorders>
          </w:tcPr>
          <w:p w14:paraId="120D459F" w14:textId="77777777" w:rsidR="00C83D1A" w:rsidRPr="000F6A67" w:rsidRDefault="00C83D1A" w:rsidP="00DF0B0D">
            <w:pPr>
              <w:spacing w:line="480" w:lineRule="auto"/>
              <w:jc w:val="center"/>
              <w:rPr>
                <w:rFonts w:eastAsia="Times New Roman"/>
                <w:color w:val="000000"/>
                <w:lang w:eastAsia="en-US"/>
              </w:rPr>
            </w:pPr>
            <w:r w:rsidRPr="000F6A67">
              <w:rPr>
                <w:rFonts w:eastAsia="Times New Roman"/>
                <w:color w:val="000000"/>
                <w:lang w:eastAsia="en-US"/>
              </w:rPr>
              <w:t>BHS</w:t>
            </w:r>
          </w:p>
        </w:tc>
        <w:tc>
          <w:tcPr>
            <w:tcW w:w="992" w:type="dxa"/>
            <w:tcBorders>
              <w:top w:val="single" w:sz="4" w:space="0" w:color="auto"/>
              <w:bottom w:val="single" w:sz="4" w:space="0" w:color="auto"/>
            </w:tcBorders>
          </w:tcPr>
          <w:p w14:paraId="2234A461" w14:textId="77777777" w:rsidR="00C83D1A" w:rsidRPr="000F6A67" w:rsidRDefault="00C83D1A" w:rsidP="00DF0B0D">
            <w:pPr>
              <w:spacing w:line="480" w:lineRule="auto"/>
              <w:jc w:val="center"/>
              <w:rPr>
                <w:rFonts w:eastAsia="Times New Roman"/>
                <w:color w:val="000000"/>
                <w:lang w:eastAsia="en-US"/>
              </w:rPr>
            </w:pPr>
            <w:r w:rsidRPr="000F6A67">
              <w:rPr>
                <w:rFonts w:eastAsia="Times New Roman"/>
                <w:color w:val="000000"/>
                <w:lang w:eastAsia="en-US"/>
              </w:rPr>
              <w:t>ZBI</w:t>
            </w:r>
          </w:p>
        </w:tc>
      </w:tr>
      <w:tr w:rsidR="00C83D1A" w:rsidRPr="005104D5" w14:paraId="46A6EB07" w14:textId="77777777" w:rsidTr="00DF0B0D">
        <w:trPr>
          <w:trHeight w:val="275"/>
        </w:trPr>
        <w:tc>
          <w:tcPr>
            <w:tcW w:w="3227" w:type="dxa"/>
            <w:tcBorders>
              <w:top w:val="nil"/>
              <w:left w:val="nil"/>
              <w:bottom w:val="nil"/>
            </w:tcBorders>
            <w:noWrap/>
            <w:vAlign w:val="bottom"/>
          </w:tcPr>
          <w:p w14:paraId="1497200F" w14:textId="77777777" w:rsidR="00C83D1A" w:rsidRPr="000F6A67" w:rsidRDefault="00C83D1A" w:rsidP="00DF0B0D">
            <w:pPr>
              <w:spacing w:line="480" w:lineRule="auto"/>
              <w:rPr>
                <w:rFonts w:eastAsia="Times New Roman"/>
                <w:color w:val="000000"/>
                <w:lang w:eastAsia="en-US"/>
              </w:rPr>
            </w:pPr>
            <w:r w:rsidRPr="000F6A67">
              <w:rPr>
                <w:rFonts w:eastAsia="Times New Roman"/>
                <w:color w:val="000000"/>
                <w:lang w:eastAsia="en-US"/>
              </w:rPr>
              <w:t>Formal Caregivers (Sample 2)</w:t>
            </w:r>
          </w:p>
        </w:tc>
        <w:tc>
          <w:tcPr>
            <w:tcW w:w="1134" w:type="dxa"/>
            <w:tcBorders>
              <w:top w:val="nil"/>
              <w:bottom w:val="nil"/>
            </w:tcBorders>
            <w:noWrap/>
            <w:vAlign w:val="bottom"/>
          </w:tcPr>
          <w:p w14:paraId="04B59DA5" w14:textId="77777777" w:rsidR="00C83D1A" w:rsidRPr="005104D5" w:rsidRDefault="00C83D1A" w:rsidP="00DF0B0D">
            <w:pPr>
              <w:spacing w:line="480" w:lineRule="auto"/>
              <w:jc w:val="center"/>
              <w:rPr>
                <w:rFonts w:eastAsia="Times New Roman"/>
                <w:lang w:eastAsia="en-US"/>
              </w:rPr>
            </w:pPr>
            <w:r w:rsidRPr="005104D5">
              <w:rPr>
                <w:rFonts w:eastAsia="Times New Roman"/>
                <w:lang w:eastAsia="en-US"/>
              </w:rPr>
              <w:t>.778**</w:t>
            </w:r>
          </w:p>
        </w:tc>
        <w:tc>
          <w:tcPr>
            <w:tcW w:w="993" w:type="dxa"/>
            <w:tcBorders>
              <w:top w:val="nil"/>
              <w:bottom w:val="nil"/>
            </w:tcBorders>
            <w:noWrap/>
            <w:vAlign w:val="bottom"/>
          </w:tcPr>
          <w:p w14:paraId="466D6D47" w14:textId="77777777" w:rsidR="00C83D1A" w:rsidRPr="005104D5" w:rsidRDefault="00C83D1A" w:rsidP="00DF0B0D">
            <w:pPr>
              <w:spacing w:line="480" w:lineRule="auto"/>
              <w:jc w:val="center"/>
              <w:rPr>
                <w:rFonts w:eastAsia="Times New Roman"/>
                <w:lang w:eastAsia="en-US"/>
              </w:rPr>
            </w:pPr>
          </w:p>
        </w:tc>
        <w:tc>
          <w:tcPr>
            <w:tcW w:w="1134" w:type="dxa"/>
            <w:tcBorders>
              <w:top w:val="nil"/>
              <w:bottom w:val="nil"/>
            </w:tcBorders>
          </w:tcPr>
          <w:p w14:paraId="6F060851" w14:textId="77777777" w:rsidR="00C83D1A" w:rsidRPr="005104D5" w:rsidRDefault="00C83D1A" w:rsidP="00DF0B0D">
            <w:pPr>
              <w:spacing w:line="480" w:lineRule="auto"/>
              <w:jc w:val="center"/>
              <w:rPr>
                <w:rFonts w:eastAsia="Times New Roman"/>
                <w:lang w:eastAsia="en-US"/>
              </w:rPr>
            </w:pPr>
          </w:p>
        </w:tc>
        <w:tc>
          <w:tcPr>
            <w:tcW w:w="992" w:type="dxa"/>
            <w:tcBorders>
              <w:top w:val="nil"/>
              <w:bottom w:val="nil"/>
            </w:tcBorders>
          </w:tcPr>
          <w:p w14:paraId="557A0F39" w14:textId="77777777" w:rsidR="00C83D1A" w:rsidRPr="005104D5" w:rsidRDefault="00C83D1A" w:rsidP="00DF0B0D">
            <w:pPr>
              <w:spacing w:line="480" w:lineRule="auto"/>
              <w:jc w:val="center"/>
              <w:rPr>
                <w:rFonts w:eastAsia="Times New Roman"/>
                <w:lang w:eastAsia="en-US"/>
              </w:rPr>
            </w:pPr>
            <w:r w:rsidRPr="005104D5">
              <w:rPr>
                <w:rFonts w:eastAsia="Times New Roman"/>
                <w:lang w:eastAsia="en-US"/>
              </w:rPr>
              <w:t>.462**</w:t>
            </w:r>
          </w:p>
        </w:tc>
      </w:tr>
      <w:tr w:rsidR="00C83D1A" w:rsidRPr="000F6A67" w14:paraId="2E0EFD14" w14:textId="77777777" w:rsidTr="00DF0B0D">
        <w:trPr>
          <w:trHeight w:val="275"/>
        </w:trPr>
        <w:tc>
          <w:tcPr>
            <w:tcW w:w="3227" w:type="dxa"/>
            <w:tcBorders>
              <w:top w:val="nil"/>
              <w:left w:val="nil"/>
              <w:bottom w:val="nil"/>
            </w:tcBorders>
            <w:noWrap/>
            <w:vAlign w:val="bottom"/>
          </w:tcPr>
          <w:p w14:paraId="0C9345E9" w14:textId="77777777" w:rsidR="00C83D1A" w:rsidRPr="000F6A67" w:rsidRDefault="00C83D1A" w:rsidP="00DF0B0D">
            <w:pPr>
              <w:spacing w:line="480" w:lineRule="auto"/>
              <w:rPr>
                <w:rFonts w:eastAsia="Times New Roman"/>
                <w:color w:val="000000"/>
                <w:lang w:eastAsia="en-US"/>
              </w:rPr>
            </w:pPr>
            <w:r w:rsidRPr="000F6A67">
              <w:rPr>
                <w:rFonts w:eastAsia="Times New Roman"/>
                <w:color w:val="000000"/>
                <w:lang w:eastAsia="en-US"/>
              </w:rPr>
              <w:t>Psychosis Patients (Sample 3)</w:t>
            </w:r>
          </w:p>
        </w:tc>
        <w:tc>
          <w:tcPr>
            <w:tcW w:w="1134" w:type="dxa"/>
            <w:tcBorders>
              <w:top w:val="nil"/>
              <w:bottom w:val="nil"/>
            </w:tcBorders>
            <w:noWrap/>
            <w:vAlign w:val="bottom"/>
          </w:tcPr>
          <w:p w14:paraId="08EDB15F" w14:textId="77777777" w:rsidR="00C83D1A" w:rsidRPr="007F2EDE" w:rsidRDefault="00C83D1A" w:rsidP="00DF0B0D">
            <w:pPr>
              <w:spacing w:line="480" w:lineRule="auto"/>
              <w:jc w:val="center"/>
              <w:rPr>
                <w:rFonts w:eastAsia="Times New Roman"/>
                <w:lang w:eastAsia="en-US"/>
              </w:rPr>
            </w:pPr>
          </w:p>
        </w:tc>
        <w:tc>
          <w:tcPr>
            <w:tcW w:w="993" w:type="dxa"/>
            <w:tcBorders>
              <w:top w:val="nil"/>
              <w:bottom w:val="nil"/>
            </w:tcBorders>
            <w:noWrap/>
            <w:vAlign w:val="bottom"/>
          </w:tcPr>
          <w:p w14:paraId="21BA460E" w14:textId="77777777" w:rsidR="00C83D1A" w:rsidRPr="007F2EDE" w:rsidRDefault="00C83D1A" w:rsidP="00DF0B0D">
            <w:pPr>
              <w:spacing w:line="480" w:lineRule="auto"/>
              <w:jc w:val="center"/>
              <w:rPr>
                <w:rFonts w:eastAsia="Times New Roman"/>
                <w:lang w:eastAsia="en-US"/>
              </w:rPr>
            </w:pPr>
            <w:r w:rsidRPr="007F2EDE">
              <w:rPr>
                <w:rFonts w:eastAsia="Times New Roman"/>
                <w:lang w:eastAsia="en-US"/>
              </w:rPr>
              <w:t>.304*</w:t>
            </w:r>
          </w:p>
        </w:tc>
        <w:tc>
          <w:tcPr>
            <w:tcW w:w="1134" w:type="dxa"/>
            <w:tcBorders>
              <w:top w:val="nil"/>
              <w:bottom w:val="nil"/>
            </w:tcBorders>
          </w:tcPr>
          <w:p w14:paraId="021E57F0" w14:textId="77777777" w:rsidR="00C83D1A" w:rsidRPr="007F2EDE" w:rsidRDefault="00C83D1A" w:rsidP="00DF0B0D">
            <w:pPr>
              <w:spacing w:line="480" w:lineRule="auto"/>
              <w:jc w:val="center"/>
              <w:rPr>
                <w:rFonts w:eastAsia="Times New Roman"/>
                <w:lang w:eastAsia="en-US"/>
              </w:rPr>
            </w:pPr>
            <w:r w:rsidRPr="007F2EDE">
              <w:rPr>
                <w:rFonts w:eastAsia="Times New Roman"/>
                <w:lang w:eastAsia="en-US"/>
              </w:rPr>
              <w:t>.663**</w:t>
            </w:r>
          </w:p>
        </w:tc>
        <w:tc>
          <w:tcPr>
            <w:tcW w:w="992" w:type="dxa"/>
            <w:tcBorders>
              <w:top w:val="nil"/>
              <w:bottom w:val="nil"/>
              <w:right w:val="nil"/>
            </w:tcBorders>
          </w:tcPr>
          <w:p w14:paraId="61204549" w14:textId="77777777" w:rsidR="00C83D1A" w:rsidRPr="005104D5" w:rsidRDefault="00C83D1A" w:rsidP="00DF0B0D">
            <w:pPr>
              <w:spacing w:line="480" w:lineRule="auto"/>
              <w:jc w:val="center"/>
              <w:rPr>
                <w:rFonts w:eastAsia="Times New Roman"/>
                <w:color w:val="FF0000"/>
                <w:lang w:eastAsia="en-US"/>
              </w:rPr>
            </w:pPr>
          </w:p>
        </w:tc>
      </w:tr>
      <w:tr w:rsidR="00C83D1A" w:rsidRPr="000F6A67" w14:paraId="31693604" w14:textId="77777777" w:rsidTr="00DF0B0D">
        <w:trPr>
          <w:trHeight w:val="275"/>
        </w:trPr>
        <w:tc>
          <w:tcPr>
            <w:tcW w:w="3227" w:type="dxa"/>
            <w:tcBorders>
              <w:top w:val="nil"/>
              <w:left w:val="nil"/>
              <w:bottom w:val="single" w:sz="4" w:space="0" w:color="auto"/>
            </w:tcBorders>
            <w:noWrap/>
            <w:vAlign w:val="bottom"/>
          </w:tcPr>
          <w:p w14:paraId="100FC6E7" w14:textId="77777777" w:rsidR="00C83D1A" w:rsidRPr="000F6A67" w:rsidRDefault="00C83D1A" w:rsidP="00DF0B0D">
            <w:pPr>
              <w:spacing w:line="480" w:lineRule="auto"/>
              <w:rPr>
                <w:rFonts w:eastAsia="Times New Roman"/>
                <w:color w:val="000000"/>
                <w:lang w:eastAsia="en-US"/>
              </w:rPr>
            </w:pPr>
            <w:r w:rsidRPr="000F6A67">
              <w:rPr>
                <w:rFonts w:eastAsia="Times New Roman"/>
                <w:color w:val="000000"/>
                <w:lang w:eastAsia="en-US"/>
              </w:rPr>
              <w:t>Trauma Patients (Sample 4)</w:t>
            </w:r>
          </w:p>
        </w:tc>
        <w:tc>
          <w:tcPr>
            <w:tcW w:w="1134" w:type="dxa"/>
            <w:tcBorders>
              <w:top w:val="nil"/>
              <w:bottom w:val="single" w:sz="4" w:space="0" w:color="auto"/>
            </w:tcBorders>
            <w:noWrap/>
            <w:vAlign w:val="bottom"/>
          </w:tcPr>
          <w:p w14:paraId="484E4F34" w14:textId="77777777" w:rsidR="00C83D1A" w:rsidRPr="005104D5" w:rsidRDefault="00C83D1A" w:rsidP="00DF0B0D">
            <w:pPr>
              <w:spacing w:line="480" w:lineRule="auto"/>
              <w:jc w:val="center"/>
              <w:rPr>
                <w:rFonts w:eastAsia="Times New Roman"/>
                <w:color w:val="FF0000"/>
                <w:lang w:eastAsia="en-US"/>
              </w:rPr>
            </w:pPr>
          </w:p>
        </w:tc>
        <w:tc>
          <w:tcPr>
            <w:tcW w:w="993" w:type="dxa"/>
            <w:tcBorders>
              <w:top w:val="nil"/>
              <w:bottom w:val="single" w:sz="4" w:space="0" w:color="auto"/>
            </w:tcBorders>
            <w:noWrap/>
            <w:vAlign w:val="bottom"/>
          </w:tcPr>
          <w:p w14:paraId="7F415C12" w14:textId="77777777" w:rsidR="00C83D1A" w:rsidRPr="007600F1" w:rsidRDefault="00C83D1A" w:rsidP="00DF0B0D">
            <w:pPr>
              <w:spacing w:line="480" w:lineRule="auto"/>
              <w:jc w:val="center"/>
              <w:rPr>
                <w:rFonts w:eastAsia="Times New Roman"/>
                <w:lang w:eastAsia="en-US"/>
              </w:rPr>
            </w:pPr>
            <w:r w:rsidRPr="007600F1">
              <w:rPr>
                <w:rFonts w:eastAsia="Times New Roman"/>
                <w:lang w:eastAsia="en-US"/>
              </w:rPr>
              <w:t>.882**</w:t>
            </w:r>
          </w:p>
        </w:tc>
        <w:tc>
          <w:tcPr>
            <w:tcW w:w="1134" w:type="dxa"/>
            <w:tcBorders>
              <w:top w:val="nil"/>
              <w:bottom w:val="single" w:sz="4" w:space="0" w:color="auto"/>
            </w:tcBorders>
          </w:tcPr>
          <w:p w14:paraId="09762B1C" w14:textId="77777777" w:rsidR="00C83D1A" w:rsidRPr="007600F1" w:rsidRDefault="00C83D1A" w:rsidP="00DF0B0D">
            <w:pPr>
              <w:spacing w:line="480" w:lineRule="auto"/>
              <w:jc w:val="center"/>
              <w:rPr>
                <w:rFonts w:eastAsia="Times New Roman"/>
                <w:lang w:eastAsia="en-US"/>
              </w:rPr>
            </w:pPr>
            <w:r w:rsidRPr="007600F1">
              <w:rPr>
                <w:rFonts w:eastAsia="Times New Roman"/>
                <w:lang w:eastAsia="en-US"/>
              </w:rPr>
              <w:t>.925**</w:t>
            </w:r>
          </w:p>
        </w:tc>
        <w:tc>
          <w:tcPr>
            <w:tcW w:w="992" w:type="dxa"/>
            <w:tcBorders>
              <w:top w:val="nil"/>
              <w:bottom w:val="single" w:sz="4" w:space="0" w:color="auto"/>
              <w:right w:val="nil"/>
            </w:tcBorders>
          </w:tcPr>
          <w:p w14:paraId="15607B5C" w14:textId="77777777" w:rsidR="00C83D1A" w:rsidRPr="007600F1" w:rsidRDefault="00C83D1A" w:rsidP="00DF0B0D">
            <w:pPr>
              <w:spacing w:line="480" w:lineRule="auto"/>
              <w:jc w:val="center"/>
              <w:rPr>
                <w:rFonts w:eastAsia="Times New Roman"/>
                <w:lang w:eastAsia="en-US"/>
              </w:rPr>
            </w:pPr>
          </w:p>
        </w:tc>
      </w:tr>
    </w:tbl>
    <w:p w14:paraId="2C49F6C5" w14:textId="77777777" w:rsidR="00C83D1A" w:rsidRPr="00AD24E6" w:rsidRDefault="00C83D1A" w:rsidP="00C83D1A">
      <w:pPr>
        <w:widowControl w:val="0"/>
        <w:autoSpaceDE w:val="0"/>
        <w:autoSpaceDN w:val="0"/>
        <w:adjustRightInd w:val="0"/>
        <w:spacing w:line="480" w:lineRule="auto"/>
      </w:pPr>
      <w:r w:rsidRPr="00697A16">
        <w:rPr>
          <w:sz w:val="22"/>
          <w:szCs w:val="22"/>
        </w:rPr>
        <w:t xml:space="preserve"> Note: * p &lt;.05 ** p &lt;.001 CES-D = Center for Epidemiologic Services Depression Scale, BHS = Beck Hopelessness Score, BDI = Beck Depression Inventory, ZBI = Zarit Burden </w:t>
      </w:r>
      <w:r w:rsidRPr="00697A16">
        <w:rPr>
          <w:sz w:val="22"/>
          <w:szCs w:val="22"/>
        </w:rPr>
        <w:br/>
        <w:t xml:space="preserve"> Inventory</w:t>
      </w:r>
    </w:p>
    <w:p w14:paraId="27E01CB7" w14:textId="77777777" w:rsidR="006755DC" w:rsidRDefault="006755DC" w:rsidP="008F665C">
      <w:pPr>
        <w:widowControl w:val="0"/>
        <w:autoSpaceDE w:val="0"/>
        <w:autoSpaceDN w:val="0"/>
        <w:adjustRightInd w:val="0"/>
        <w:spacing w:after="0" w:line="480" w:lineRule="auto"/>
      </w:pPr>
    </w:p>
    <w:p w14:paraId="44FEBB65" w14:textId="5DBD0D1A" w:rsidR="007D3078" w:rsidRDefault="002F46D3" w:rsidP="006755DC">
      <w:pPr>
        <w:widowControl w:val="0"/>
        <w:autoSpaceDE w:val="0"/>
        <w:autoSpaceDN w:val="0"/>
        <w:adjustRightInd w:val="0"/>
        <w:spacing w:after="0" w:line="480" w:lineRule="auto"/>
      </w:pPr>
      <w:r>
        <w:br/>
      </w:r>
    </w:p>
    <w:p w14:paraId="2602A77E" w14:textId="2964CC91" w:rsidR="007D0499" w:rsidRDefault="008F665C" w:rsidP="00A56947">
      <w:pPr>
        <w:spacing w:after="0"/>
      </w:pPr>
      <w:r>
        <w:br w:type="page"/>
      </w:r>
    </w:p>
    <w:p w14:paraId="3EA41B14" w14:textId="347A4B61" w:rsidR="00062024" w:rsidRPr="00062024" w:rsidRDefault="00062024" w:rsidP="00062024">
      <w:pPr>
        <w:spacing w:after="0"/>
      </w:pPr>
      <w:r w:rsidRPr="00062024">
        <w:lastRenderedPageBreak/>
        <w:t>Appendix A</w:t>
      </w:r>
    </w:p>
    <w:p w14:paraId="53653D5E" w14:textId="77777777" w:rsidR="00062024" w:rsidRPr="00062024" w:rsidRDefault="00062024" w:rsidP="00062024">
      <w:pPr>
        <w:spacing w:after="0"/>
      </w:pPr>
    </w:p>
    <w:p w14:paraId="45E78EF7" w14:textId="009C81CD" w:rsidR="009E3CFB" w:rsidRPr="00ED116C" w:rsidRDefault="008B4D13" w:rsidP="00D06258">
      <w:pPr>
        <w:widowControl w:val="0"/>
        <w:autoSpaceDE w:val="0"/>
        <w:autoSpaceDN w:val="0"/>
        <w:adjustRightInd w:val="0"/>
        <w:spacing w:after="0" w:line="480" w:lineRule="auto"/>
        <w:jc w:val="center"/>
        <w:rPr>
          <w:b/>
        </w:rPr>
      </w:pPr>
      <w:r w:rsidRPr="00ED116C">
        <w:rPr>
          <w:b/>
        </w:rPr>
        <w:t>The Short Defeat and Entrapment Scale</w:t>
      </w:r>
      <w:r w:rsidR="00D06258" w:rsidRPr="00ED116C">
        <w:rPr>
          <w:b/>
        </w:rPr>
        <w:t xml:space="preserve"> (SDES)</w:t>
      </w:r>
    </w:p>
    <w:p w14:paraId="2D1E9BC9" w14:textId="68F2889E" w:rsidR="00D06258" w:rsidRPr="00ED116C" w:rsidRDefault="00D06258" w:rsidP="00D06258">
      <w:pPr>
        <w:ind w:left="-567" w:right="-759"/>
        <w:jc w:val="both"/>
      </w:pPr>
      <w:r w:rsidRPr="00ED116C">
        <w:t>For each of the following statements indicate the extent to which you think it represents your own view of yourself. Read each item carefully and circle the number to the right of the statement that best describes how y</w:t>
      </w:r>
      <w:r w:rsidR="005E6F07" w:rsidRPr="00ED116C">
        <w:t xml:space="preserve">ou feel the statement reflects how you have felt during the </w:t>
      </w:r>
      <w:r w:rsidR="005E6F07" w:rsidRPr="00ED116C">
        <w:rPr>
          <w:b/>
        </w:rPr>
        <w:t>past seven days</w:t>
      </w:r>
      <w:r w:rsidRPr="00ED116C">
        <w:t>, using the scale below. Please do not omit any item.</w:t>
      </w:r>
    </w:p>
    <w:p w14:paraId="37FBD1F9" w14:textId="0F2C4B0D" w:rsidR="00D06258" w:rsidRPr="00ED116C" w:rsidRDefault="00D06258" w:rsidP="00D06258">
      <w:pPr>
        <w:jc w:val="center"/>
        <w:rPr>
          <w:b/>
        </w:rPr>
      </w:pPr>
      <w:r w:rsidRPr="00ED116C">
        <w:rPr>
          <w:b/>
        </w:rPr>
        <w:t>SCALE</w:t>
      </w:r>
    </w:p>
    <w:p w14:paraId="52B31067" w14:textId="77777777" w:rsidR="00D06258" w:rsidRPr="00ED116C" w:rsidRDefault="00D06258" w:rsidP="00D06258">
      <w:pPr>
        <w:ind w:left="-568" w:right="-759"/>
        <w:jc w:val="center"/>
        <w:rPr>
          <w:b/>
        </w:rPr>
      </w:pPr>
      <w:r w:rsidRPr="00ED116C">
        <w:rPr>
          <w:b/>
        </w:rPr>
        <w:t>0 = Not at all     1 = A little bit     2 = Moderately     3 = Quite a bit      4 = Extremely</w:t>
      </w:r>
    </w:p>
    <w:p w14:paraId="3A891C2E" w14:textId="72173D6D" w:rsidR="00D06258" w:rsidRPr="00ED116C" w:rsidRDefault="00D06258" w:rsidP="00D06258">
      <w:pPr>
        <w:ind w:left="-568" w:right="-759"/>
        <w:jc w:val="center"/>
        <w:rPr>
          <w:b/>
        </w:rPr>
      </w:pPr>
      <w:r w:rsidRPr="00ED116C">
        <w:rPr>
          <w:b/>
        </w:rPr>
        <w:t>like me              like me               like me                   like me                 like me</w:t>
      </w:r>
    </w:p>
    <w:p w14:paraId="0C4C84EB" w14:textId="77777777" w:rsidR="00D06258" w:rsidRPr="00ED116C" w:rsidRDefault="00D06258" w:rsidP="00D06258">
      <w:pPr>
        <w:ind w:left="-567" w:right="-759"/>
        <w:jc w:val="both"/>
      </w:pPr>
    </w:p>
    <w:p w14:paraId="218958C1" w14:textId="77777777" w:rsidR="00D06258" w:rsidRPr="00ED116C" w:rsidRDefault="00D06258" w:rsidP="00D06258">
      <w:pPr>
        <w:widowControl w:val="0"/>
        <w:autoSpaceDE w:val="0"/>
        <w:autoSpaceDN w:val="0"/>
        <w:adjustRightInd w:val="0"/>
        <w:spacing w:after="0" w:line="360" w:lineRule="auto"/>
      </w:pPr>
    </w:p>
    <w:p w14:paraId="697EB9C8" w14:textId="195D9138" w:rsidR="008B4D13" w:rsidRPr="00ED116C" w:rsidRDefault="00D06258" w:rsidP="00D06258">
      <w:pPr>
        <w:pStyle w:val="ListParagraph"/>
        <w:widowControl w:val="0"/>
        <w:numPr>
          <w:ilvl w:val="0"/>
          <w:numId w:val="1"/>
        </w:numPr>
        <w:autoSpaceDE w:val="0"/>
        <w:autoSpaceDN w:val="0"/>
        <w:adjustRightInd w:val="0"/>
        <w:spacing w:after="0" w:line="360" w:lineRule="auto"/>
      </w:pPr>
      <w:r w:rsidRPr="00ED116C">
        <w:t>I can see no way out of my current situation</w:t>
      </w:r>
      <w:r w:rsidRPr="00ED116C">
        <w:tab/>
      </w:r>
      <w:r w:rsidRPr="00ED116C">
        <w:tab/>
      </w:r>
      <w:r w:rsidRPr="00ED116C">
        <w:tab/>
        <w:t>0     1     2     3     4</w:t>
      </w:r>
    </w:p>
    <w:p w14:paraId="3A39CC95" w14:textId="77777777" w:rsidR="00D06258" w:rsidRPr="00ED116C" w:rsidRDefault="00D06258" w:rsidP="00D06258">
      <w:pPr>
        <w:pStyle w:val="ListParagraph"/>
        <w:widowControl w:val="0"/>
        <w:autoSpaceDE w:val="0"/>
        <w:autoSpaceDN w:val="0"/>
        <w:adjustRightInd w:val="0"/>
        <w:spacing w:after="0" w:line="360" w:lineRule="auto"/>
        <w:ind w:left="360"/>
      </w:pPr>
    </w:p>
    <w:p w14:paraId="4D3D3E5A" w14:textId="27ADBD4D" w:rsidR="00F5737D" w:rsidRPr="00ED116C" w:rsidRDefault="00F5737D" w:rsidP="00ED116C">
      <w:pPr>
        <w:pStyle w:val="ListParagraph"/>
        <w:widowControl w:val="0"/>
        <w:numPr>
          <w:ilvl w:val="0"/>
          <w:numId w:val="1"/>
        </w:numPr>
        <w:autoSpaceDE w:val="0"/>
        <w:autoSpaceDN w:val="0"/>
        <w:adjustRightInd w:val="0"/>
        <w:spacing w:after="0" w:line="360" w:lineRule="auto"/>
      </w:pPr>
      <w:r w:rsidRPr="00ED116C">
        <w:t>I feel defeated by life</w:t>
      </w:r>
      <w:r w:rsidR="00ED116C">
        <w:t xml:space="preserve"> </w:t>
      </w:r>
      <w:r w:rsidR="00ED116C">
        <w:tab/>
      </w:r>
      <w:r w:rsidR="00ED116C">
        <w:tab/>
      </w:r>
      <w:r w:rsidR="00ED116C">
        <w:tab/>
      </w:r>
      <w:r w:rsidR="00ED116C">
        <w:tab/>
        <w:t xml:space="preserve"> </w:t>
      </w:r>
      <w:r w:rsidRPr="00ED116C">
        <w:tab/>
        <w:t xml:space="preserve">  </w:t>
      </w:r>
      <w:r w:rsidR="00ED116C">
        <w:t xml:space="preserve">          </w:t>
      </w:r>
      <w:r w:rsidRPr="00ED116C">
        <w:t>0     1    2     3     4</w:t>
      </w:r>
    </w:p>
    <w:p w14:paraId="418DEFB7" w14:textId="77777777" w:rsidR="00F5737D" w:rsidRPr="00ED116C" w:rsidRDefault="00F5737D" w:rsidP="00F5737D">
      <w:pPr>
        <w:widowControl w:val="0"/>
        <w:autoSpaceDE w:val="0"/>
        <w:autoSpaceDN w:val="0"/>
        <w:adjustRightInd w:val="0"/>
        <w:spacing w:after="0" w:line="360" w:lineRule="auto"/>
      </w:pPr>
    </w:p>
    <w:p w14:paraId="308181BC" w14:textId="7F87266C" w:rsidR="00D06258" w:rsidRPr="00ED116C" w:rsidRDefault="00D06258" w:rsidP="00D06258">
      <w:pPr>
        <w:pStyle w:val="ListParagraph"/>
        <w:widowControl w:val="0"/>
        <w:numPr>
          <w:ilvl w:val="0"/>
          <w:numId w:val="1"/>
        </w:numPr>
        <w:autoSpaceDE w:val="0"/>
        <w:autoSpaceDN w:val="0"/>
        <w:adjustRightInd w:val="0"/>
        <w:spacing w:after="0" w:line="360" w:lineRule="auto"/>
      </w:pPr>
      <w:r w:rsidRPr="00ED116C">
        <w:t xml:space="preserve">I would like to get away from other more powerful </w:t>
      </w:r>
      <w:r w:rsidR="00ED116C">
        <w:t xml:space="preserve">  </w:t>
      </w:r>
      <w:r w:rsidR="00ED116C">
        <w:tab/>
        <w:t xml:space="preserve">          </w:t>
      </w:r>
      <w:r w:rsidRPr="00ED116C">
        <w:t xml:space="preserve"> 0     1     2     3     4</w:t>
      </w:r>
      <w:r w:rsidRPr="00ED116C">
        <w:br/>
        <w:t>people in my life</w:t>
      </w:r>
    </w:p>
    <w:p w14:paraId="24A030EC" w14:textId="77777777" w:rsidR="00D06258" w:rsidRPr="00ED116C" w:rsidRDefault="00D06258" w:rsidP="00D06258">
      <w:pPr>
        <w:pStyle w:val="ListParagraph"/>
        <w:widowControl w:val="0"/>
        <w:autoSpaceDE w:val="0"/>
        <w:autoSpaceDN w:val="0"/>
        <w:adjustRightInd w:val="0"/>
        <w:spacing w:after="0" w:line="360" w:lineRule="auto"/>
        <w:ind w:left="360"/>
      </w:pPr>
    </w:p>
    <w:p w14:paraId="7B592EA8" w14:textId="15F784D2" w:rsidR="00F5737D" w:rsidRPr="00ED116C" w:rsidRDefault="00F5737D" w:rsidP="00D06258">
      <w:pPr>
        <w:pStyle w:val="ListParagraph"/>
        <w:widowControl w:val="0"/>
        <w:numPr>
          <w:ilvl w:val="0"/>
          <w:numId w:val="1"/>
        </w:numPr>
        <w:autoSpaceDE w:val="0"/>
        <w:autoSpaceDN w:val="0"/>
        <w:adjustRightInd w:val="0"/>
        <w:spacing w:after="0" w:line="360" w:lineRule="auto"/>
      </w:pPr>
      <w:r w:rsidRPr="00ED116C">
        <w:t>I feel powerless</w:t>
      </w:r>
      <w:r w:rsidR="00ED116C">
        <w:t xml:space="preserve">  </w:t>
      </w:r>
      <w:r w:rsidR="00ED116C">
        <w:tab/>
      </w:r>
      <w:r w:rsidR="00ED116C">
        <w:tab/>
      </w:r>
      <w:r w:rsidR="00ED116C">
        <w:tab/>
      </w:r>
      <w:r w:rsidR="00ED116C">
        <w:tab/>
        <w:t xml:space="preserve">   </w:t>
      </w:r>
      <w:r w:rsidRPr="00ED116C">
        <w:tab/>
      </w:r>
      <w:r w:rsidRPr="00ED116C">
        <w:tab/>
        <w:t xml:space="preserve"> </w:t>
      </w:r>
      <w:r w:rsidR="00ED116C">
        <w:t xml:space="preserve">         </w:t>
      </w:r>
      <w:r w:rsidRPr="00ED116C">
        <w:t xml:space="preserve"> 0     1    2     3     4</w:t>
      </w:r>
    </w:p>
    <w:p w14:paraId="275FD1A1" w14:textId="77777777" w:rsidR="00F5737D" w:rsidRPr="00ED116C" w:rsidRDefault="00F5737D" w:rsidP="00F5737D">
      <w:pPr>
        <w:widowControl w:val="0"/>
        <w:autoSpaceDE w:val="0"/>
        <w:autoSpaceDN w:val="0"/>
        <w:adjustRightInd w:val="0"/>
        <w:spacing w:after="0" w:line="360" w:lineRule="auto"/>
      </w:pPr>
    </w:p>
    <w:p w14:paraId="13A273F8" w14:textId="033F72E7" w:rsidR="00D06258" w:rsidRPr="00ED116C" w:rsidRDefault="00D06258" w:rsidP="00D06258">
      <w:pPr>
        <w:pStyle w:val="ListParagraph"/>
        <w:widowControl w:val="0"/>
        <w:numPr>
          <w:ilvl w:val="0"/>
          <w:numId w:val="1"/>
        </w:numPr>
        <w:autoSpaceDE w:val="0"/>
        <w:autoSpaceDN w:val="0"/>
        <w:adjustRightInd w:val="0"/>
        <w:spacing w:after="0" w:line="360" w:lineRule="auto"/>
      </w:pPr>
      <w:r w:rsidRPr="00ED116C">
        <w:t xml:space="preserve">I would like to escape from my thoughts and feelings  </w:t>
      </w:r>
      <w:r w:rsidR="00ED116C">
        <w:t xml:space="preserve">  </w:t>
      </w:r>
      <w:r w:rsidRPr="00ED116C">
        <w:tab/>
        <w:t xml:space="preserve"> </w:t>
      </w:r>
      <w:r w:rsidR="00ED116C">
        <w:t xml:space="preserve">         </w:t>
      </w:r>
      <w:r w:rsidRPr="00ED116C">
        <w:t xml:space="preserve"> 0     1    2     3     4</w:t>
      </w:r>
    </w:p>
    <w:p w14:paraId="25A6EB01" w14:textId="77777777" w:rsidR="00F5737D" w:rsidRPr="00ED116C" w:rsidRDefault="00F5737D" w:rsidP="00F5737D">
      <w:pPr>
        <w:widowControl w:val="0"/>
        <w:autoSpaceDE w:val="0"/>
        <w:autoSpaceDN w:val="0"/>
        <w:adjustRightInd w:val="0"/>
        <w:spacing w:after="0" w:line="360" w:lineRule="auto"/>
      </w:pPr>
    </w:p>
    <w:p w14:paraId="506AA0C8" w14:textId="70F9DE22" w:rsidR="00F5737D" w:rsidRPr="00ED116C" w:rsidRDefault="00F5737D" w:rsidP="00F5737D">
      <w:pPr>
        <w:pStyle w:val="ListParagraph"/>
        <w:widowControl w:val="0"/>
        <w:numPr>
          <w:ilvl w:val="0"/>
          <w:numId w:val="1"/>
        </w:numPr>
        <w:autoSpaceDE w:val="0"/>
        <w:autoSpaceDN w:val="0"/>
        <w:adjustRightInd w:val="0"/>
        <w:spacing w:after="0" w:line="360" w:lineRule="auto"/>
      </w:pPr>
      <w:r w:rsidRPr="00ED116C">
        <w:t>I feel that there is no fight left in me</w:t>
      </w:r>
      <w:r w:rsidR="00ED116C">
        <w:t xml:space="preserve"> </w:t>
      </w:r>
      <w:r w:rsidR="00ED116C">
        <w:tab/>
      </w:r>
      <w:r w:rsidR="00ED116C">
        <w:tab/>
        <w:t xml:space="preserve">  </w:t>
      </w:r>
      <w:r w:rsidR="00ED116C">
        <w:tab/>
        <w:t xml:space="preserve">           </w:t>
      </w:r>
      <w:r w:rsidRPr="00ED116C">
        <w:t>0     1    2     3     4</w:t>
      </w:r>
    </w:p>
    <w:p w14:paraId="5CDE9EB4" w14:textId="124EB2C2" w:rsidR="00D06258" w:rsidRPr="00ED116C" w:rsidRDefault="00D06258" w:rsidP="00D06258">
      <w:pPr>
        <w:overflowPunct w:val="0"/>
        <w:autoSpaceDE w:val="0"/>
        <w:autoSpaceDN w:val="0"/>
        <w:adjustRightInd w:val="0"/>
        <w:spacing w:after="0" w:line="360" w:lineRule="auto"/>
        <w:ind w:left="360" w:right="-759"/>
        <w:textAlignment w:val="baseline"/>
      </w:pPr>
    </w:p>
    <w:p w14:paraId="76295E24" w14:textId="3CCBB7D0" w:rsidR="00D06258" w:rsidRPr="00ED116C" w:rsidRDefault="00D06258" w:rsidP="00F5737D">
      <w:pPr>
        <w:pStyle w:val="ListParagraph"/>
        <w:widowControl w:val="0"/>
        <w:numPr>
          <w:ilvl w:val="0"/>
          <w:numId w:val="1"/>
        </w:numPr>
        <w:autoSpaceDE w:val="0"/>
        <w:autoSpaceDN w:val="0"/>
        <w:adjustRightInd w:val="0"/>
        <w:spacing w:after="0" w:line="360" w:lineRule="auto"/>
      </w:pPr>
      <w:r w:rsidRPr="00ED116C">
        <w:t xml:space="preserve">I would like to get away from who I am and start again  </w:t>
      </w:r>
      <w:r w:rsidRPr="00ED116C">
        <w:tab/>
        <w:t xml:space="preserve"> </w:t>
      </w:r>
      <w:r w:rsidR="00ED116C">
        <w:t xml:space="preserve">         </w:t>
      </w:r>
      <w:r w:rsidRPr="00ED116C">
        <w:t xml:space="preserve"> 0     1    2     3     4</w:t>
      </w:r>
      <w:r w:rsidRPr="00ED116C">
        <w:br/>
      </w:r>
    </w:p>
    <w:p w14:paraId="012BF6B2" w14:textId="2AAFA614" w:rsidR="00D06258" w:rsidRPr="00D06258" w:rsidRDefault="00D06258" w:rsidP="00D06258">
      <w:pPr>
        <w:pStyle w:val="ListParagraph"/>
        <w:widowControl w:val="0"/>
        <w:numPr>
          <w:ilvl w:val="0"/>
          <w:numId w:val="1"/>
        </w:numPr>
        <w:autoSpaceDE w:val="0"/>
        <w:autoSpaceDN w:val="0"/>
        <w:adjustRightInd w:val="0"/>
        <w:spacing w:after="0" w:line="360" w:lineRule="auto"/>
        <w:rPr>
          <w:rFonts w:asciiTheme="majorHAnsi" w:hAnsiTheme="majorHAnsi" w:cs="Arial"/>
        </w:rPr>
      </w:pPr>
      <w:r w:rsidRPr="00ED116C">
        <w:t>I feel that I am one of life’s losers</w:t>
      </w:r>
      <w:r w:rsidR="00ED116C">
        <w:t xml:space="preserve"> </w:t>
      </w:r>
      <w:r w:rsidR="00ED116C">
        <w:tab/>
      </w:r>
      <w:r w:rsidR="00ED116C">
        <w:tab/>
      </w:r>
      <w:r w:rsidR="00ED116C">
        <w:tab/>
        <w:t xml:space="preserve">         </w:t>
      </w:r>
      <w:r w:rsidRPr="00ED116C">
        <w:t xml:space="preserve">  0     1    2     3     4</w:t>
      </w:r>
      <w:r w:rsidRPr="00D06258">
        <w:rPr>
          <w:rFonts w:asciiTheme="majorHAnsi" w:hAnsiTheme="majorHAnsi" w:cs="Arial"/>
        </w:rPr>
        <w:br/>
      </w:r>
    </w:p>
    <w:p w14:paraId="64DEBAE9" w14:textId="083591F9" w:rsidR="00D06258" w:rsidRPr="00D06258" w:rsidRDefault="00D06258" w:rsidP="00D06258">
      <w:pPr>
        <w:overflowPunct w:val="0"/>
        <w:autoSpaceDE w:val="0"/>
        <w:autoSpaceDN w:val="0"/>
        <w:adjustRightInd w:val="0"/>
        <w:spacing w:after="0" w:line="360" w:lineRule="auto"/>
        <w:ind w:right="-759"/>
        <w:textAlignment w:val="baseline"/>
        <w:rPr>
          <w:rFonts w:asciiTheme="majorHAnsi" w:hAnsiTheme="majorHAnsi"/>
        </w:rPr>
      </w:pPr>
    </w:p>
    <w:sectPr w:rsidR="00D06258" w:rsidRPr="00D06258" w:rsidSect="00955F1A">
      <w:headerReference w:type="even" r:id="rId12"/>
      <w:headerReference w:type="default" r:id="rId13"/>
      <w:pgSz w:w="11900" w:h="16840"/>
      <w:pgMar w:top="1440" w:right="1800" w:bottom="141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1E4C9" w14:textId="77777777" w:rsidR="00D61568" w:rsidRDefault="00D61568" w:rsidP="00FA769E">
      <w:pPr>
        <w:spacing w:after="0"/>
      </w:pPr>
      <w:r>
        <w:separator/>
      </w:r>
    </w:p>
  </w:endnote>
  <w:endnote w:type="continuationSeparator" w:id="0">
    <w:p w14:paraId="63DA3C9D" w14:textId="77777777" w:rsidR="00D61568" w:rsidRDefault="00D61568"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6FD4" w14:textId="318AF733" w:rsidR="00422371" w:rsidRPr="00422371" w:rsidRDefault="00422371">
    <w:pPr>
      <w:pStyle w:val="Footer"/>
    </w:pPr>
    <w:r w:rsidRPr="00422371">
      <w:t xml:space="preserve">APA copyright notice: This article may not exactly replicate the final version published in the APA journal. It is not the copy of record. </w:t>
    </w:r>
    <w:hyperlink r:id="rId1" w:history="1">
      <w:r w:rsidRPr="00422371">
        <w:rPr>
          <w:rStyle w:val="Hyperlink"/>
        </w:rPr>
        <w:t>www.apa.org</w:t>
      </w:r>
    </w:hyperlink>
  </w:p>
  <w:p w14:paraId="010A2E77" w14:textId="1B9AC961" w:rsidR="00422371" w:rsidRPr="00422371" w:rsidRDefault="00422371">
    <w:pPr>
      <w:pStyle w:val="Footer"/>
    </w:pPr>
    <w:r w:rsidRPr="00422371">
      <w:rPr>
        <w:rStyle w:val="apple-converted-space"/>
        <w:color w:val="000000"/>
      </w:rPr>
      <w:t> </w:t>
    </w:r>
    <w:hyperlink r:id="rId2" w:tgtFrame="_blank" w:history="1">
      <w:r w:rsidRPr="00422371">
        <w:rPr>
          <w:rStyle w:val="Hyperlink"/>
        </w:rPr>
        <w:t>http://dx.doi.org/10.1037/pas0000110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EBD6C" w14:textId="77777777" w:rsidR="00D61568" w:rsidRDefault="00D61568" w:rsidP="00FA769E">
      <w:pPr>
        <w:spacing w:after="0"/>
      </w:pPr>
      <w:r>
        <w:separator/>
      </w:r>
    </w:p>
  </w:footnote>
  <w:footnote w:type="continuationSeparator" w:id="0">
    <w:p w14:paraId="25A1A382" w14:textId="77777777" w:rsidR="00D61568" w:rsidRDefault="00D61568" w:rsidP="00FA769E">
      <w:pPr>
        <w:spacing w:after="0"/>
      </w:pPr>
      <w:r>
        <w:continuationSeparator/>
      </w:r>
    </w:p>
  </w:footnote>
  <w:footnote w:id="1">
    <w:p w14:paraId="0B2D0177" w14:textId="77777777" w:rsidR="00C91185" w:rsidRPr="006D39D3" w:rsidRDefault="00C91185" w:rsidP="00222559">
      <w:pPr>
        <w:pStyle w:val="Footer"/>
        <w:spacing w:line="276" w:lineRule="auto"/>
        <w:ind w:left="-709"/>
      </w:pPr>
      <w:r>
        <w:rPr>
          <w:vertAlign w:val="superscript"/>
        </w:rPr>
        <w:t>a</w:t>
      </w:r>
      <w:r w:rsidRPr="0038236A">
        <w:t xml:space="preserve"> </w:t>
      </w:r>
      <w:r>
        <w:t>School of Psychological Sciences, Coupland Building 1, University of Manchester, Oxford Road, Manchester, England, M13 9PL.</w:t>
      </w:r>
    </w:p>
    <w:p w14:paraId="589DDB84" w14:textId="77777777" w:rsidR="00C91185" w:rsidRDefault="00C91185" w:rsidP="00222559">
      <w:pPr>
        <w:widowControl w:val="0"/>
        <w:autoSpaceDE w:val="0"/>
        <w:autoSpaceDN w:val="0"/>
        <w:adjustRightInd w:val="0"/>
        <w:spacing w:after="0" w:line="276" w:lineRule="auto"/>
        <w:ind w:left="-709"/>
      </w:pPr>
      <w:r w:rsidRPr="00393F9D">
        <w:rPr>
          <w:vertAlign w:val="superscript"/>
        </w:rPr>
        <w:t xml:space="preserve">b </w:t>
      </w:r>
      <w:r w:rsidRPr="00393F9D">
        <w:t>Behavioural Science Centre, Stirling Management School,</w:t>
      </w:r>
      <w:r>
        <w:t xml:space="preserve"> </w:t>
      </w:r>
      <w:r w:rsidRPr="00393F9D">
        <w:t>3Y8 Cottrell Building, University of Stirling, Stirling, Scotland, FK9 4LA.</w:t>
      </w:r>
      <w:r>
        <w:rPr>
          <w:color w:val="313131"/>
        </w:rPr>
        <w:br/>
      </w:r>
      <w:r>
        <w:rPr>
          <w:vertAlign w:val="superscript"/>
        </w:rPr>
        <w:t>c</w:t>
      </w:r>
      <w:r w:rsidRPr="00672616">
        <w:rPr>
          <w:rFonts w:ascii="Consolas" w:hAnsi="Consolas" w:cs="Consolas"/>
          <w:vertAlign w:val="superscript"/>
        </w:rPr>
        <w:t xml:space="preserve"> </w:t>
      </w:r>
      <w:r w:rsidRPr="00573AF1">
        <w:t>School of Psychology</w:t>
      </w:r>
      <w:r>
        <w:t xml:space="preserve">, </w:t>
      </w:r>
      <w:r w:rsidRPr="00573AF1">
        <w:t>Henry Wellcome Building</w:t>
      </w:r>
      <w:r>
        <w:t xml:space="preserve">, </w:t>
      </w:r>
      <w:r w:rsidRPr="00573AF1">
        <w:t>Leicester University</w:t>
      </w:r>
      <w:r>
        <w:t xml:space="preserve">, </w:t>
      </w:r>
      <w:r w:rsidRPr="00573AF1">
        <w:t>Lancaster Road</w:t>
      </w:r>
      <w:r>
        <w:t xml:space="preserve">, </w:t>
      </w:r>
      <w:r w:rsidRPr="00573AF1">
        <w:t>Leicester</w:t>
      </w:r>
      <w:r>
        <w:t xml:space="preserve">, England, </w:t>
      </w:r>
      <w:r w:rsidRPr="00573AF1">
        <w:t>LE1 9HN</w:t>
      </w:r>
      <w:r>
        <w:t>.</w:t>
      </w:r>
    </w:p>
    <w:p w14:paraId="3AFB3404" w14:textId="77777777" w:rsidR="00C91185" w:rsidRPr="0048392B" w:rsidRDefault="00C91185" w:rsidP="00222559">
      <w:pPr>
        <w:widowControl w:val="0"/>
        <w:autoSpaceDE w:val="0"/>
        <w:autoSpaceDN w:val="0"/>
        <w:adjustRightInd w:val="0"/>
        <w:spacing w:after="0" w:line="276" w:lineRule="auto"/>
        <w:ind w:left="-709"/>
      </w:pPr>
      <w:r>
        <w:rPr>
          <w:vertAlign w:val="superscript"/>
        </w:rPr>
        <w:t>d</w:t>
      </w:r>
      <w:r>
        <w:t xml:space="preserve"> Institute of Psychology, Health &amp; Society, Whelan Building, University of Liverpool, Liverpool, England, L69 3GB</w:t>
      </w:r>
    </w:p>
    <w:p w14:paraId="520747DB" w14:textId="77777777" w:rsidR="00C91185" w:rsidRPr="00672616" w:rsidRDefault="00C91185" w:rsidP="00222559">
      <w:pPr>
        <w:spacing w:line="276" w:lineRule="auto"/>
        <w:ind w:left="-709"/>
        <w:rPr>
          <w:sz w:val="20"/>
          <w:szCs w:val="20"/>
        </w:rPr>
      </w:pPr>
      <w:r>
        <w:rPr>
          <w:vertAlign w:val="superscript"/>
        </w:rPr>
        <w:t>*</w:t>
      </w:r>
      <w:r w:rsidRPr="0038236A">
        <w:rPr>
          <w:rFonts w:ascii="Times" w:hAnsi="Times" w:cs="Times"/>
          <w:color w:val="1A1718"/>
        </w:rPr>
        <w:t xml:space="preserve">Corresponding author. Tel.: </w:t>
      </w:r>
      <w:r w:rsidRPr="00C959F5">
        <w:rPr>
          <w:color w:val="1A1718"/>
        </w:rPr>
        <w:t xml:space="preserve">+44 </w:t>
      </w:r>
      <w:r w:rsidRPr="00C959F5">
        <w:t>1612 752569</w:t>
      </w:r>
      <w:r>
        <w:rPr>
          <w:sz w:val="32"/>
          <w:szCs w:val="32"/>
        </w:rPr>
        <w:t xml:space="preserve">. </w:t>
      </w:r>
      <w:r w:rsidRPr="0038236A">
        <w:rPr>
          <w:rFonts w:ascii="Times" w:hAnsi="Times" w:cs="Times"/>
          <w:color w:val="1A1718"/>
        </w:rPr>
        <w:t xml:space="preserve">E-mail address: </w:t>
      </w:r>
      <w:r>
        <w:rPr>
          <w:rFonts w:ascii="Times" w:hAnsi="Times" w:cs="Times"/>
          <w:color w:val="221E7F"/>
        </w:rPr>
        <w:t>alys.griffiths@</w:t>
      </w:r>
      <w:r w:rsidRPr="0038236A">
        <w:rPr>
          <w:rFonts w:ascii="Times" w:hAnsi="Times" w:cs="Times"/>
          <w:color w:val="221E7F"/>
        </w:rPr>
        <w:t xml:space="preserve">manchester.ac.uk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258C" w14:textId="77777777" w:rsidR="00E212E6" w:rsidRDefault="00E212E6" w:rsidP="000D2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1A6CF" w14:textId="77777777" w:rsidR="00E212E6" w:rsidRDefault="00E212E6" w:rsidP="000D23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9899" w14:textId="77777777" w:rsidR="00E212E6" w:rsidRDefault="00E212E6" w:rsidP="000D2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371">
      <w:rPr>
        <w:rStyle w:val="PageNumber"/>
        <w:noProof/>
      </w:rPr>
      <w:t>6</w:t>
    </w:r>
    <w:r>
      <w:rPr>
        <w:rStyle w:val="PageNumber"/>
      </w:rPr>
      <w:fldChar w:fldCharType="end"/>
    </w:r>
  </w:p>
  <w:p w14:paraId="590DEEA8" w14:textId="77777777" w:rsidR="00E212E6" w:rsidRDefault="00E212E6" w:rsidP="000D233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2459" w14:textId="77777777" w:rsidR="00E212E6" w:rsidRDefault="00E212E6" w:rsidP="00FA76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7205C" w14:textId="77777777" w:rsidR="00E212E6" w:rsidRDefault="00E212E6" w:rsidP="00FA769E">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D7B0" w14:textId="77777777" w:rsidR="00E212E6" w:rsidRDefault="00E212E6" w:rsidP="00FA76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371">
      <w:rPr>
        <w:rStyle w:val="PageNumber"/>
        <w:noProof/>
      </w:rPr>
      <w:t>45</w:t>
    </w:r>
    <w:r>
      <w:rPr>
        <w:rStyle w:val="PageNumber"/>
      </w:rPr>
      <w:fldChar w:fldCharType="end"/>
    </w:r>
  </w:p>
  <w:p w14:paraId="232A3B0A" w14:textId="31A3A1BE" w:rsidR="00E212E6" w:rsidRDefault="00E212E6" w:rsidP="002E181F">
    <w:pPr>
      <w:pStyle w:val="Header"/>
      <w:ind w:right="360"/>
      <w:jc w:val="right"/>
    </w:pPr>
    <w:r>
      <w:t>Development of the SDES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C9D"/>
    <w:multiLevelType w:val="multilevel"/>
    <w:tmpl w:val="477A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B7947"/>
    <w:multiLevelType w:val="hybridMultilevel"/>
    <w:tmpl w:val="7902DA8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5B6EE6"/>
    <w:multiLevelType w:val="multilevel"/>
    <w:tmpl w:val="7012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B6173"/>
    <w:multiLevelType w:val="singleLevel"/>
    <w:tmpl w:val="ABB6D678"/>
    <w:lvl w:ilvl="0">
      <w:start w:val="1"/>
      <w:numFmt w:val="decimal"/>
      <w:lvlText w:val="%1. "/>
      <w:legacy w:legacy="1" w:legacySpace="0" w:legacyIndent="283"/>
      <w:lvlJc w:val="left"/>
      <w:pPr>
        <w:ind w:left="567" w:hanging="283"/>
      </w:pPr>
      <w:rPr>
        <w:b w:val="0"/>
        <w:i w:val="0"/>
        <w:sz w:val="24"/>
      </w:rPr>
    </w:lvl>
  </w:abstractNum>
  <w:abstractNum w:abstractNumId="4">
    <w:nsid w:val="618B6CE0"/>
    <w:multiLevelType w:val="multilevel"/>
    <w:tmpl w:val="123A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D0"/>
    <w:rsid w:val="00001297"/>
    <w:rsid w:val="000015A6"/>
    <w:rsid w:val="00002319"/>
    <w:rsid w:val="000025B9"/>
    <w:rsid w:val="000029D1"/>
    <w:rsid w:val="0000481D"/>
    <w:rsid w:val="00004E79"/>
    <w:rsid w:val="00005148"/>
    <w:rsid w:val="00005434"/>
    <w:rsid w:val="0000587E"/>
    <w:rsid w:val="00005995"/>
    <w:rsid w:val="00005CD1"/>
    <w:rsid w:val="0000746C"/>
    <w:rsid w:val="000101D8"/>
    <w:rsid w:val="00010974"/>
    <w:rsid w:val="00011D7A"/>
    <w:rsid w:val="000122E4"/>
    <w:rsid w:val="00013FA1"/>
    <w:rsid w:val="00014275"/>
    <w:rsid w:val="000143D6"/>
    <w:rsid w:val="000211C1"/>
    <w:rsid w:val="00021510"/>
    <w:rsid w:val="00021F21"/>
    <w:rsid w:val="00023316"/>
    <w:rsid w:val="0002456C"/>
    <w:rsid w:val="00024814"/>
    <w:rsid w:val="00024D1A"/>
    <w:rsid w:val="000314BB"/>
    <w:rsid w:val="0003331A"/>
    <w:rsid w:val="000338F7"/>
    <w:rsid w:val="00034DF6"/>
    <w:rsid w:val="00036504"/>
    <w:rsid w:val="0004004A"/>
    <w:rsid w:val="00042330"/>
    <w:rsid w:val="00042651"/>
    <w:rsid w:val="00042E17"/>
    <w:rsid w:val="00042FC3"/>
    <w:rsid w:val="000431AB"/>
    <w:rsid w:val="000433DF"/>
    <w:rsid w:val="000436CA"/>
    <w:rsid w:val="00043C8B"/>
    <w:rsid w:val="00047039"/>
    <w:rsid w:val="00047AC0"/>
    <w:rsid w:val="00050139"/>
    <w:rsid w:val="00051E5F"/>
    <w:rsid w:val="00051F80"/>
    <w:rsid w:val="0005353D"/>
    <w:rsid w:val="0005358C"/>
    <w:rsid w:val="000558C6"/>
    <w:rsid w:val="00055D0E"/>
    <w:rsid w:val="00060236"/>
    <w:rsid w:val="00060A24"/>
    <w:rsid w:val="0006133D"/>
    <w:rsid w:val="00062024"/>
    <w:rsid w:val="00065A6B"/>
    <w:rsid w:val="00066C32"/>
    <w:rsid w:val="00066D2C"/>
    <w:rsid w:val="00067013"/>
    <w:rsid w:val="000678E4"/>
    <w:rsid w:val="000701C8"/>
    <w:rsid w:val="000752EF"/>
    <w:rsid w:val="000758F7"/>
    <w:rsid w:val="00076C3C"/>
    <w:rsid w:val="00077165"/>
    <w:rsid w:val="00082183"/>
    <w:rsid w:val="00083A50"/>
    <w:rsid w:val="000841B9"/>
    <w:rsid w:val="00084A20"/>
    <w:rsid w:val="0008646C"/>
    <w:rsid w:val="000872AA"/>
    <w:rsid w:val="000873AE"/>
    <w:rsid w:val="000873EE"/>
    <w:rsid w:val="0009207A"/>
    <w:rsid w:val="0009483D"/>
    <w:rsid w:val="00095800"/>
    <w:rsid w:val="000960D4"/>
    <w:rsid w:val="00096837"/>
    <w:rsid w:val="0009744B"/>
    <w:rsid w:val="00097F70"/>
    <w:rsid w:val="000A0153"/>
    <w:rsid w:val="000A17FB"/>
    <w:rsid w:val="000A1A8F"/>
    <w:rsid w:val="000A465E"/>
    <w:rsid w:val="000A5503"/>
    <w:rsid w:val="000A56EC"/>
    <w:rsid w:val="000A613C"/>
    <w:rsid w:val="000A6C3D"/>
    <w:rsid w:val="000A6EC4"/>
    <w:rsid w:val="000B10E8"/>
    <w:rsid w:val="000B153E"/>
    <w:rsid w:val="000B15ED"/>
    <w:rsid w:val="000B1834"/>
    <w:rsid w:val="000B3179"/>
    <w:rsid w:val="000B43E2"/>
    <w:rsid w:val="000B5118"/>
    <w:rsid w:val="000B69E9"/>
    <w:rsid w:val="000C12DB"/>
    <w:rsid w:val="000C30C6"/>
    <w:rsid w:val="000C321B"/>
    <w:rsid w:val="000C486B"/>
    <w:rsid w:val="000C5F48"/>
    <w:rsid w:val="000C612E"/>
    <w:rsid w:val="000C662B"/>
    <w:rsid w:val="000C6D73"/>
    <w:rsid w:val="000C6E44"/>
    <w:rsid w:val="000C7041"/>
    <w:rsid w:val="000D0C36"/>
    <w:rsid w:val="000D2330"/>
    <w:rsid w:val="000D4D03"/>
    <w:rsid w:val="000D4D78"/>
    <w:rsid w:val="000E1EB3"/>
    <w:rsid w:val="000E4506"/>
    <w:rsid w:val="000E4556"/>
    <w:rsid w:val="000E6214"/>
    <w:rsid w:val="000F0950"/>
    <w:rsid w:val="000F0B81"/>
    <w:rsid w:val="000F2224"/>
    <w:rsid w:val="000F26BD"/>
    <w:rsid w:val="000F473E"/>
    <w:rsid w:val="000F5933"/>
    <w:rsid w:val="000F61FE"/>
    <w:rsid w:val="00100724"/>
    <w:rsid w:val="001022FD"/>
    <w:rsid w:val="00103478"/>
    <w:rsid w:val="00103BFB"/>
    <w:rsid w:val="0010456E"/>
    <w:rsid w:val="001051D0"/>
    <w:rsid w:val="00105ECD"/>
    <w:rsid w:val="00105F1C"/>
    <w:rsid w:val="0010630F"/>
    <w:rsid w:val="001076EE"/>
    <w:rsid w:val="00113604"/>
    <w:rsid w:val="00117251"/>
    <w:rsid w:val="00120074"/>
    <w:rsid w:val="00123E20"/>
    <w:rsid w:val="001240EF"/>
    <w:rsid w:val="00124C17"/>
    <w:rsid w:val="00125B27"/>
    <w:rsid w:val="00126257"/>
    <w:rsid w:val="0012652E"/>
    <w:rsid w:val="00130C33"/>
    <w:rsid w:val="001325B3"/>
    <w:rsid w:val="001341B6"/>
    <w:rsid w:val="001345D2"/>
    <w:rsid w:val="00134CBE"/>
    <w:rsid w:val="00134EE9"/>
    <w:rsid w:val="0013554D"/>
    <w:rsid w:val="001377C9"/>
    <w:rsid w:val="00137DFF"/>
    <w:rsid w:val="001401AA"/>
    <w:rsid w:val="0014161B"/>
    <w:rsid w:val="00143E4E"/>
    <w:rsid w:val="00145796"/>
    <w:rsid w:val="00145877"/>
    <w:rsid w:val="00145BB9"/>
    <w:rsid w:val="00151647"/>
    <w:rsid w:val="00151990"/>
    <w:rsid w:val="001559CC"/>
    <w:rsid w:val="00155CDA"/>
    <w:rsid w:val="001564FD"/>
    <w:rsid w:val="001600B6"/>
    <w:rsid w:val="001615C6"/>
    <w:rsid w:val="00165073"/>
    <w:rsid w:val="00171A59"/>
    <w:rsid w:val="00174767"/>
    <w:rsid w:val="0017498F"/>
    <w:rsid w:val="00174F32"/>
    <w:rsid w:val="001759A9"/>
    <w:rsid w:val="001768A4"/>
    <w:rsid w:val="00176E1E"/>
    <w:rsid w:val="00182F16"/>
    <w:rsid w:val="00184622"/>
    <w:rsid w:val="001878E2"/>
    <w:rsid w:val="00190DE1"/>
    <w:rsid w:val="00191DC9"/>
    <w:rsid w:val="00193C13"/>
    <w:rsid w:val="001959C3"/>
    <w:rsid w:val="00196103"/>
    <w:rsid w:val="001978F2"/>
    <w:rsid w:val="001A191A"/>
    <w:rsid w:val="001A362E"/>
    <w:rsid w:val="001A3E58"/>
    <w:rsid w:val="001A4350"/>
    <w:rsid w:val="001A4AB0"/>
    <w:rsid w:val="001A5974"/>
    <w:rsid w:val="001A59DB"/>
    <w:rsid w:val="001A6296"/>
    <w:rsid w:val="001B203F"/>
    <w:rsid w:val="001B25A1"/>
    <w:rsid w:val="001B273F"/>
    <w:rsid w:val="001B31E7"/>
    <w:rsid w:val="001B3294"/>
    <w:rsid w:val="001B3592"/>
    <w:rsid w:val="001B36B8"/>
    <w:rsid w:val="001B3CCD"/>
    <w:rsid w:val="001B48DD"/>
    <w:rsid w:val="001B4FC6"/>
    <w:rsid w:val="001B5D54"/>
    <w:rsid w:val="001C02E1"/>
    <w:rsid w:val="001C127E"/>
    <w:rsid w:val="001C1E7C"/>
    <w:rsid w:val="001C2A40"/>
    <w:rsid w:val="001C38DD"/>
    <w:rsid w:val="001C4B18"/>
    <w:rsid w:val="001C58FF"/>
    <w:rsid w:val="001C7B48"/>
    <w:rsid w:val="001D0A54"/>
    <w:rsid w:val="001D1C15"/>
    <w:rsid w:val="001D4921"/>
    <w:rsid w:val="001D50EC"/>
    <w:rsid w:val="001D5FEE"/>
    <w:rsid w:val="001D698A"/>
    <w:rsid w:val="001D7DB8"/>
    <w:rsid w:val="001E1100"/>
    <w:rsid w:val="001E4B67"/>
    <w:rsid w:val="001E591D"/>
    <w:rsid w:val="001E7363"/>
    <w:rsid w:val="001E7677"/>
    <w:rsid w:val="001F012A"/>
    <w:rsid w:val="001F25C0"/>
    <w:rsid w:val="001F2C9C"/>
    <w:rsid w:val="001F42C4"/>
    <w:rsid w:val="001F6AC4"/>
    <w:rsid w:val="001F746B"/>
    <w:rsid w:val="001F7DA3"/>
    <w:rsid w:val="0020082F"/>
    <w:rsid w:val="00202973"/>
    <w:rsid w:val="00203A4E"/>
    <w:rsid w:val="002053DE"/>
    <w:rsid w:val="002059AE"/>
    <w:rsid w:val="00207679"/>
    <w:rsid w:val="00207B95"/>
    <w:rsid w:val="00210390"/>
    <w:rsid w:val="002127F3"/>
    <w:rsid w:val="00213DCF"/>
    <w:rsid w:val="0021457B"/>
    <w:rsid w:val="00214D94"/>
    <w:rsid w:val="00215054"/>
    <w:rsid w:val="00217D5D"/>
    <w:rsid w:val="00221BC1"/>
    <w:rsid w:val="00222559"/>
    <w:rsid w:val="002226D2"/>
    <w:rsid w:val="00225800"/>
    <w:rsid w:val="002300AC"/>
    <w:rsid w:val="00230482"/>
    <w:rsid w:val="00231FA1"/>
    <w:rsid w:val="002329AA"/>
    <w:rsid w:val="0023387C"/>
    <w:rsid w:val="00233A0C"/>
    <w:rsid w:val="00235739"/>
    <w:rsid w:val="00235A00"/>
    <w:rsid w:val="00240EBC"/>
    <w:rsid w:val="00242CB5"/>
    <w:rsid w:val="00244BEE"/>
    <w:rsid w:val="0024581D"/>
    <w:rsid w:val="00247E44"/>
    <w:rsid w:val="002509C2"/>
    <w:rsid w:val="0025708A"/>
    <w:rsid w:val="00260201"/>
    <w:rsid w:val="00260468"/>
    <w:rsid w:val="002606ED"/>
    <w:rsid w:val="0026098B"/>
    <w:rsid w:val="00261596"/>
    <w:rsid w:val="00263980"/>
    <w:rsid w:val="00265C4F"/>
    <w:rsid w:val="00266AA3"/>
    <w:rsid w:val="00266C2F"/>
    <w:rsid w:val="00266FF4"/>
    <w:rsid w:val="0027029B"/>
    <w:rsid w:val="00270984"/>
    <w:rsid w:val="0027246B"/>
    <w:rsid w:val="00273310"/>
    <w:rsid w:val="0027428B"/>
    <w:rsid w:val="00274FFF"/>
    <w:rsid w:val="00275B3B"/>
    <w:rsid w:val="002769EF"/>
    <w:rsid w:val="00276FA3"/>
    <w:rsid w:val="00277B78"/>
    <w:rsid w:val="00277D49"/>
    <w:rsid w:val="00280CEB"/>
    <w:rsid w:val="002827D1"/>
    <w:rsid w:val="0028315C"/>
    <w:rsid w:val="00283EDB"/>
    <w:rsid w:val="0028426B"/>
    <w:rsid w:val="0028555C"/>
    <w:rsid w:val="002864A6"/>
    <w:rsid w:val="00287265"/>
    <w:rsid w:val="0028735A"/>
    <w:rsid w:val="002900AD"/>
    <w:rsid w:val="00290A47"/>
    <w:rsid w:val="00292755"/>
    <w:rsid w:val="002936DE"/>
    <w:rsid w:val="002957B5"/>
    <w:rsid w:val="00297B6D"/>
    <w:rsid w:val="00297DFA"/>
    <w:rsid w:val="002A208A"/>
    <w:rsid w:val="002A2711"/>
    <w:rsid w:val="002A2765"/>
    <w:rsid w:val="002A3691"/>
    <w:rsid w:val="002A52C5"/>
    <w:rsid w:val="002B07A5"/>
    <w:rsid w:val="002B1FD3"/>
    <w:rsid w:val="002B4A23"/>
    <w:rsid w:val="002B4D5D"/>
    <w:rsid w:val="002B4E88"/>
    <w:rsid w:val="002B641D"/>
    <w:rsid w:val="002B6B82"/>
    <w:rsid w:val="002B7094"/>
    <w:rsid w:val="002B77A3"/>
    <w:rsid w:val="002B7EEC"/>
    <w:rsid w:val="002C290F"/>
    <w:rsid w:val="002C2ED6"/>
    <w:rsid w:val="002C3AAB"/>
    <w:rsid w:val="002C450A"/>
    <w:rsid w:val="002C4B65"/>
    <w:rsid w:val="002C4C40"/>
    <w:rsid w:val="002C61D4"/>
    <w:rsid w:val="002D2AEA"/>
    <w:rsid w:val="002D594F"/>
    <w:rsid w:val="002D61C8"/>
    <w:rsid w:val="002D68B4"/>
    <w:rsid w:val="002D7024"/>
    <w:rsid w:val="002E0199"/>
    <w:rsid w:val="002E181F"/>
    <w:rsid w:val="002E1AA3"/>
    <w:rsid w:val="002E1B2A"/>
    <w:rsid w:val="002E46DD"/>
    <w:rsid w:val="002E4E6A"/>
    <w:rsid w:val="002E5803"/>
    <w:rsid w:val="002E6D71"/>
    <w:rsid w:val="002F050E"/>
    <w:rsid w:val="002F1EC7"/>
    <w:rsid w:val="002F280A"/>
    <w:rsid w:val="002F3253"/>
    <w:rsid w:val="002F34C3"/>
    <w:rsid w:val="002F46D3"/>
    <w:rsid w:val="002F4A3B"/>
    <w:rsid w:val="002F4F1D"/>
    <w:rsid w:val="002F5560"/>
    <w:rsid w:val="002F5596"/>
    <w:rsid w:val="002F5982"/>
    <w:rsid w:val="002F5FCA"/>
    <w:rsid w:val="002F6EE8"/>
    <w:rsid w:val="00300D96"/>
    <w:rsid w:val="003010D2"/>
    <w:rsid w:val="00301751"/>
    <w:rsid w:val="003028DE"/>
    <w:rsid w:val="00303537"/>
    <w:rsid w:val="00303935"/>
    <w:rsid w:val="003049B1"/>
    <w:rsid w:val="00305C39"/>
    <w:rsid w:val="00310692"/>
    <w:rsid w:val="00313A60"/>
    <w:rsid w:val="0031494C"/>
    <w:rsid w:val="00315263"/>
    <w:rsid w:val="00316433"/>
    <w:rsid w:val="00316F3F"/>
    <w:rsid w:val="003175AA"/>
    <w:rsid w:val="0032173B"/>
    <w:rsid w:val="00321847"/>
    <w:rsid w:val="00321E5C"/>
    <w:rsid w:val="00322ADD"/>
    <w:rsid w:val="00330510"/>
    <w:rsid w:val="0033153B"/>
    <w:rsid w:val="00333CF7"/>
    <w:rsid w:val="00334FDE"/>
    <w:rsid w:val="00340C88"/>
    <w:rsid w:val="00340FF2"/>
    <w:rsid w:val="00341562"/>
    <w:rsid w:val="003419D0"/>
    <w:rsid w:val="003428F5"/>
    <w:rsid w:val="0034393F"/>
    <w:rsid w:val="003460F9"/>
    <w:rsid w:val="00346438"/>
    <w:rsid w:val="00350362"/>
    <w:rsid w:val="00350C54"/>
    <w:rsid w:val="00351274"/>
    <w:rsid w:val="003513EA"/>
    <w:rsid w:val="0035297A"/>
    <w:rsid w:val="00352D7C"/>
    <w:rsid w:val="00354031"/>
    <w:rsid w:val="00354669"/>
    <w:rsid w:val="00354F67"/>
    <w:rsid w:val="00355148"/>
    <w:rsid w:val="00357E3B"/>
    <w:rsid w:val="00360CEC"/>
    <w:rsid w:val="00361AB2"/>
    <w:rsid w:val="00370450"/>
    <w:rsid w:val="0037129C"/>
    <w:rsid w:val="0037195D"/>
    <w:rsid w:val="00376BDA"/>
    <w:rsid w:val="00377624"/>
    <w:rsid w:val="003826A7"/>
    <w:rsid w:val="003849CB"/>
    <w:rsid w:val="00385FF6"/>
    <w:rsid w:val="00386A03"/>
    <w:rsid w:val="003870E9"/>
    <w:rsid w:val="0039025F"/>
    <w:rsid w:val="003908AD"/>
    <w:rsid w:val="0039096A"/>
    <w:rsid w:val="00391264"/>
    <w:rsid w:val="003917DD"/>
    <w:rsid w:val="003917E5"/>
    <w:rsid w:val="00395276"/>
    <w:rsid w:val="003954FA"/>
    <w:rsid w:val="0039618B"/>
    <w:rsid w:val="00396A5B"/>
    <w:rsid w:val="00396CDD"/>
    <w:rsid w:val="0039767C"/>
    <w:rsid w:val="00397B2B"/>
    <w:rsid w:val="003A5A2C"/>
    <w:rsid w:val="003A6C55"/>
    <w:rsid w:val="003A769F"/>
    <w:rsid w:val="003B15F9"/>
    <w:rsid w:val="003B2C20"/>
    <w:rsid w:val="003B342A"/>
    <w:rsid w:val="003B3AEC"/>
    <w:rsid w:val="003B4FFE"/>
    <w:rsid w:val="003B6C5A"/>
    <w:rsid w:val="003C08F3"/>
    <w:rsid w:val="003C405B"/>
    <w:rsid w:val="003C51AB"/>
    <w:rsid w:val="003C5699"/>
    <w:rsid w:val="003C58B0"/>
    <w:rsid w:val="003C5DBB"/>
    <w:rsid w:val="003C6DD9"/>
    <w:rsid w:val="003D1907"/>
    <w:rsid w:val="003D1C32"/>
    <w:rsid w:val="003D2182"/>
    <w:rsid w:val="003D27E8"/>
    <w:rsid w:val="003D33A9"/>
    <w:rsid w:val="003D37DF"/>
    <w:rsid w:val="003D75F7"/>
    <w:rsid w:val="003D76CA"/>
    <w:rsid w:val="003D7887"/>
    <w:rsid w:val="003E1D5F"/>
    <w:rsid w:val="003E3233"/>
    <w:rsid w:val="003E3FA8"/>
    <w:rsid w:val="003E6964"/>
    <w:rsid w:val="003F094A"/>
    <w:rsid w:val="003F3C79"/>
    <w:rsid w:val="003F7677"/>
    <w:rsid w:val="00400143"/>
    <w:rsid w:val="00403E78"/>
    <w:rsid w:val="004056F1"/>
    <w:rsid w:val="004067E5"/>
    <w:rsid w:val="004108FC"/>
    <w:rsid w:val="00410B3A"/>
    <w:rsid w:val="00410C85"/>
    <w:rsid w:val="0041237D"/>
    <w:rsid w:val="004127B5"/>
    <w:rsid w:val="00412C6A"/>
    <w:rsid w:val="00413409"/>
    <w:rsid w:val="004178C9"/>
    <w:rsid w:val="00417DFC"/>
    <w:rsid w:val="00420046"/>
    <w:rsid w:val="00420AC9"/>
    <w:rsid w:val="00422371"/>
    <w:rsid w:val="00422865"/>
    <w:rsid w:val="00423831"/>
    <w:rsid w:val="00424125"/>
    <w:rsid w:val="00424C57"/>
    <w:rsid w:val="004268FD"/>
    <w:rsid w:val="00431918"/>
    <w:rsid w:val="004330ED"/>
    <w:rsid w:val="004331B2"/>
    <w:rsid w:val="004344F2"/>
    <w:rsid w:val="00435F64"/>
    <w:rsid w:val="004360A7"/>
    <w:rsid w:val="00436519"/>
    <w:rsid w:val="0043712B"/>
    <w:rsid w:val="0043782E"/>
    <w:rsid w:val="004379AD"/>
    <w:rsid w:val="00437DA4"/>
    <w:rsid w:val="004407AD"/>
    <w:rsid w:val="00440DD5"/>
    <w:rsid w:val="00441119"/>
    <w:rsid w:val="00442927"/>
    <w:rsid w:val="00444B36"/>
    <w:rsid w:val="004467AB"/>
    <w:rsid w:val="0044756C"/>
    <w:rsid w:val="00450D5A"/>
    <w:rsid w:val="0045168B"/>
    <w:rsid w:val="00454077"/>
    <w:rsid w:val="00456A62"/>
    <w:rsid w:val="0046071B"/>
    <w:rsid w:val="004616BA"/>
    <w:rsid w:val="00462207"/>
    <w:rsid w:val="00462D47"/>
    <w:rsid w:val="00465C56"/>
    <w:rsid w:val="0046648F"/>
    <w:rsid w:val="00466D30"/>
    <w:rsid w:val="00466E1A"/>
    <w:rsid w:val="00467298"/>
    <w:rsid w:val="00470C73"/>
    <w:rsid w:val="00471751"/>
    <w:rsid w:val="00471ED9"/>
    <w:rsid w:val="004723F5"/>
    <w:rsid w:val="00475659"/>
    <w:rsid w:val="00480CF8"/>
    <w:rsid w:val="00482BD3"/>
    <w:rsid w:val="0048392B"/>
    <w:rsid w:val="004846F2"/>
    <w:rsid w:val="00484EF8"/>
    <w:rsid w:val="004861C5"/>
    <w:rsid w:val="00487CEA"/>
    <w:rsid w:val="004942D1"/>
    <w:rsid w:val="004946AD"/>
    <w:rsid w:val="00495D5A"/>
    <w:rsid w:val="00495FFB"/>
    <w:rsid w:val="0049676D"/>
    <w:rsid w:val="00496AF0"/>
    <w:rsid w:val="00496FB1"/>
    <w:rsid w:val="004A10BA"/>
    <w:rsid w:val="004A1E91"/>
    <w:rsid w:val="004A4B56"/>
    <w:rsid w:val="004A56C9"/>
    <w:rsid w:val="004A5C1C"/>
    <w:rsid w:val="004B0DA9"/>
    <w:rsid w:val="004B36FE"/>
    <w:rsid w:val="004B39F0"/>
    <w:rsid w:val="004B4E00"/>
    <w:rsid w:val="004B72AA"/>
    <w:rsid w:val="004B7922"/>
    <w:rsid w:val="004B7A31"/>
    <w:rsid w:val="004C074F"/>
    <w:rsid w:val="004C0D63"/>
    <w:rsid w:val="004C2E6A"/>
    <w:rsid w:val="004C31B0"/>
    <w:rsid w:val="004C4D0F"/>
    <w:rsid w:val="004C5468"/>
    <w:rsid w:val="004D00D8"/>
    <w:rsid w:val="004D0394"/>
    <w:rsid w:val="004D1C2B"/>
    <w:rsid w:val="004D1C35"/>
    <w:rsid w:val="004D2E0F"/>
    <w:rsid w:val="004D44B8"/>
    <w:rsid w:val="004D61A8"/>
    <w:rsid w:val="004D7559"/>
    <w:rsid w:val="004E3600"/>
    <w:rsid w:val="004E3739"/>
    <w:rsid w:val="004E4C88"/>
    <w:rsid w:val="004F236B"/>
    <w:rsid w:val="004F4F94"/>
    <w:rsid w:val="004F51B1"/>
    <w:rsid w:val="004F5C1F"/>
    <w:rsid w:val="004F6BA6"/>
    <w:rsid w:val="005003A4"/>
    <w:rsid w:val="005015A8"/>
    <w:rsid w:val="00503D39"/>
    <w:rsid w:val="005046A0"/>
    <w:rsid w:val="005054D4"/>
    <w:rsid w:val="00505839"/>
    <w:rsid w:val="00505B3A"/>
    <w:rsid w:val="0050755C"/>
    <w:rsid w:val="00511283"/>
    <w:rsid w:val="00511D02"/>
    <w:rsid w:val="0051385A"/>
    <w:rsid w:val="0051420F"/>
    <w:rsid w:val="00514D6E"/>
    <w:rsid w:val="00514E14"/>
    <w:rsid w:val="00514F86"/>
    <w:rsid w:val="0051619F"/>
    <w:rsid w:val="0052013C"/>
    <w:rsid w:val="00523107"/>
    <w:rsid w:val="0052371A"/>
    <w:rsid w:val="0052506E"/>
    <w:rsid w:val="0052616C"/>
    <w:rsid w:val="0052716E"/>
    <w:rsid w:val="005278A7"/>
    <w:rsid w:val="00536C2E"/>
    <w:rsid w:val="005400C3"/>
    <w:rsid w:val="00540BC6"/>
    <w:rsid w:val="00540DEF"/>
    <w:rsid w:val="005415DE"/>
    <w:rsid w:val="00541B86"/>
    <w:rsid w:val="00544B7B"/>
    <w:rsid w:val="0054503F"/>
    <w:rsid w:val="00545C0D"/>
    <w:rsid w:val="0054694B"/>
    <w:rsid w:val="00547ADF"/>
    <w:rsid w:val="005506D4"/>
    <w:rsid w:val="005526A6"/>
    <w:rsid w:val="00552FF7"/>
    <w:rsid w:val="00556329"/>
    <w:rsid w:val="00557A3B"/>
    <w:rsid w:val="00561781"/>
    <w:rsid w:val="005635A6"/>
    <w:rsid w:val="005636DD"/>
    <w:rsid w:val="00564B4D"/>
    <w:rsid w:val="005657AE"/>
    <w:rsid w:val="00565EA5"/>
    <w:rsid w:val="00570D98"/>
    <w:rsid w:val="00571E08"/>
    <w:rsid w:val="00572765"/>
    <w:rsid w:val="00572A56"/>
    <w:rsid w:val="00573008"/>
    <w:rsid w:val="00574185"/>
    <w:rsid w:val="005749BC"/>
    <w:rsid w:val="00574AF3"/>
    <w:rsid w:val="005759AD"/>
    <w:rsid w:val="00575C63"/>
    <w:rsid w:val="00577184"/>
    <w:rsid w:val="005808A4"/>
    <w:rsid w:val="00580BDF"/>
    <w:rsid w:val="00581592"/>
    <w:rsid w:val="00583695"/>
    <w:rsid w:val="005839D7"/>
    <w:rsid w:val="00585719"/>
    <w:rsid w:val="00585F10"/>
    <w:rsid w:val="0058727A"/>
    <w:rsid w:val="00587FF6"/>
    <w:rsid w:val="005918A8"/>
    <w:rsid w:val="00593635"/>
    <w:rsid w:val="00594262"/>
    <w:rsid w:val="00594423"/>
    <w:rsid w:val="005952CC"/>
    <w:rsid w:val="005958C4"/>
    <w:rsid w:val="00595B17"/>
    <w:rsid w:val="00597048"/>
    <w:rsid w:val="00597A9D"/>
    <w:rsid w:val="00597FFB"/>
    <w:rsid w:val="005A04A1"/>
    <w:rsid w:val="005A0AE9"/>
    <w:rsid w:val="005A327E"/>
    <w:rsid w:val="005A3BF6"/>
    <w:rsid w:val="005A3D5C"/>
    <w:rsid w:val="005A6287"/>
    <w:rsid w:val="005B0271"/>
    <w:rsid w:val="005B0DAD"/>
    <w:rsid w:val="005B245E"/>
    <w:rsid w:val="005B2A48"/>
    <w:rsid w:val="005B3154"/>
    <w:rsid w:val="005B354B"/>
    <w:rsid w:val="005B5B9D"/>
    <w:rsid w:val="005B75D3"/>
    <w:rsid w:val="005C2A2C"/>
    <w:rsid w:val="005C4D32"/>
    <w:rsid w:val="005C5E9F"/>
    <w:rsid w:val="005C6321"/>
    <w:rsid w:val="005D0F09"/>
    <w:rsid w:val="005D1B3F"/>
    <w:rsid w:val="005D1F50"/>
    <w:rsid w:val="005D35B5"/>
    <w:rsid w:val="005D4106"/>
    <w:rsid w:val="005D4925"/>
    <w:rsid w:val="005D72FF"/>
    <w:rsid w:val="005D74E8"/>
    <w:rsid w:val="005D7A0B"/>
    <w:rsid w:val="005D7D62"/>
    <w:rsid w:val="005E03B6"/>
    <w:rsid w:val="005E1AD1"/>
    <w:rsid w:val="005E4293"/>
    <w:rsid w:val="005E4D91"/>
    <w:rsid w:val="005E5509"/>
    <w:rsid w:val="005E5D2F"/>
    <w:rsid w:val="005E6578"/>
    <w:rsid w:val="005E6F07"/>
    <w:rsid w:val="005F3662"/>
    <w:rsid w:val="005F4503"/>
    <w:rsid w:val="005F4D61"/>
    <w:rsid w:val="005F5B08"/>
    <w:rsid w:val="005F5F8F"/>
    <w:rsid w:val="00601A22"/>
    <w:rsid w:val="00601AAA"/>
    <w:rsid w:val="00601DFA"/>
    <w:rsid w:val="0060235F"/>
    <w:rsid w:val="006026D2"/>
    <w:rsid w:val="006027EE"/>
    <w:rsid w:val="00602EA3"/>
    <w:rsid w:val="0060457D"/>
    <w:rsid w:val="006056E1"/>
    <w:rsid w:val="006062BE"/>
    <w:rsid w:val="00606C32"/>
    <w:rsid w:val="00607E9D"/>
    <w:rsid w:val="00612A62"/>
    <w:rsid w:val="0061307D"/>
    <w:rsid w:val="006132F0"/>
    <w:rsid w:val="0061622E"/>
    <w:rsid w:val="0061654C"/>
    <w:rsid w:val="006234A9"/>
    <w:rsid w:val="00624C94"/>
    <w:rsid w:val="00625BEB"/>
    <w:rsid w:val="0062720C"/>
    <w:rsid w:val="00627B47"/>
    <w:rsid w:val="00631937"/>
    <w:rsid w:val="00633DA5"/>
    <w:rsid w:val="006346EF"/>
    <w:rsid w:val="006347A2"/>
    <w:rsid w:val="00635CE5"/>
    <w:rsid w:val="006366B2"/>
    <w:rsid w:val="00636900"/>
    <w:rsid w:val="0063792C"/>
    <w:rsid w:val="00642298"/>
    <w:rsid w:val="00642418"/>
    <w:rsid w:val="006441AC"/>
    <w:rsid w:val="00645C73"/>
    <w:rsid w:val="00645D1F"/>
    <w:rsid w:val="0065022A"/>
    <w:rsid w:val="00652E03"/>
    <w:rsid w:val="0065526A"/>
    <w:rsid w:val="00655EDF"/>
    <w:rsid w:val="006567BF"/>
    <w:rsid w:val="0065697D"/>
    <w:rsid w:val="00656CC2"/>
    <w:rsid w:val="00660949"/>
    <w:rsid w:val="00664617"/>
    <w:rsid w:val="00666072"/>
    <w:rsid w:val="00667B45"/>
    <w:rsid w:val="00667C94"/>
    <w:rsid w:val="0067005C"/>
    <w:rsid w:val="00670102"/>
    <w:rsid w:val="006722A8"/>
    <w:rsid w:val="00672616"/>
    <w:rsid w:val="00675068"/>
    <w:rsid w:val="006755DC"/>
    <w:rsid w:val="00675B1E"/>
    <w:rsid w:val="00676776"/>
    <w:rsid w:val="0068161F"/>
    <w:rsid w:val="0068285D"/>
    <w:rsid w:val="00682EEA"/>
    <w:rsid w:val="00683306"/>
    <w:rsid w:val="00683720"/>
    <w:rsid w:val="00683892"/>
    <w:rsid w:val="00683946"/>
    <w:rsid w:val="006849F1"/>
    <w:rsid w:val="006850D0"/>
    <w:rsid w:val="006856D2"/>
    <w:rsid w:val="0068747D"/>
    <w:rsid w:val="00690FC1"/>
    <w:rsid w:val="00693AF0"/>
    <w:rsid w:val="00694896"/>
    <w:rsid w:val="0069565D"/>
    <w:rsid w:val="00695AC5"/>
    <w:rsid w:val="00695C5A"/>
    <w:rsid w:val="00695E9C"/>
    <w:rsid w:val="00696203"/>
    <w:rsid w:val="006A03ED"/>
    <w:rsid w:val="006A2508"/>
    <w:rsid w:val="006A399A"/>
    <w:rsid w:val="006A4732"/>
    <w:rsid w:val="006A4A49"/>
    <w:rsid w:val="006A5964"/>
    <w:rsid w:val="006A6238"/>
    <w:rsid w:val="006A7EA0"/>
    <w:rsid w:val="006B070D"/>
    <w:rsid w:val="006B149C"/>
    <w:rsid w:val="006B389C"/>
    <w:rsid w:val="006B6278"/>
    <w:rsid w:val="006B76F8"/>
    <w:rsid w:val="006C21A3"/>
    <w:rsid w:val="006C38F9"/>
    <w:rsid w:val="006C6AA8"/>
    <w:rsid w:val="006D0328"/>
    <w:rsid w:val="006D36B6"/>
    <w:rsid w:val="006D39D3"/>
    <w:rsid w:val="006D3F0C"/>
    <w:rsid w:val="006D4826"/>
    <w:rsid w:val="006D569C"/>
    <w:rsid w:val="006D5D61"/>
    <w:rsid w:val="006D61D3"/>
    <w:rsid w:val="006D62E9"/>
    <w:rsid w:val="006D7A88"/>
    <w:rsid w:val="006D7FAD"/>
    <w:rsid w:val="006E09D6"/>
    <w:rsid w:val="006E2F90"/>
    <w:rsid w:val="006E33D6"/>
    <w:rsid w:val="006E3829"/>
    <w:rsid w:val="006F1D3F"/>
    <w:rsid w:val="006F47A1"/>
    <w:rsid w:val="006F534C"/>
    <w:rsid w:val="006F581D"/>
    <w:rsid w:val="006F5F75"/>
    <w:rsid w:val="006F6D4E"/>
    <w:rsid w:val="00700674"/>
    <w:rsid w:val="007018F6"/>
    <w:rsid w:val="00701B69"/>
    <w:rsid w:val="00701D35"/>
    <w:rsid w:val="007030DF"/>
    <w:rsid w:val="00703A72"/>
    <w:rsid w:val="0070485A"/>
    <w:rsid w:val="00705402"/>
    <w:rsid w:val="007062F7"/>
    <w:rsid w:val="00706B2F"/>
    <w:rsid w:val="00712735"/>
    <w:rsid w:val="00713ED3"/>
    <w:rsid w:val="007159B4"/>
    <w:rsid w:val="00721B02"/>
    <w:rsid w:val="00722688"/>
    <w:rsid w:val="007241CE"/>
    <w:rsid w:val="007249F8"/>
    <w:rsid w:val="00724E62"/>
    <w:rsid w:val="0072532B"/>
    <w:rsid w:val="007255CC"/>
    <w:rsid w:val="0072574F"/>
    <w:rsid w:val="00733E46"/>
    <w:rsid w:val="00733E9B"/>
    <w:rsid w:val="00734664"/>
    <w:rsid w:val="007351C1"/>
    <w:rsid w:val="007367CD"/>
    <w:rsid w:val="007405F0"/>
    <w:rsid w:val="0074130C"/>
    <w:rsid w:val="00743C46"/>
    <w:rsid w:val="007510B7"/>
    <w:rsid w:val="00752247"/>
    <w:rsid w:val="0075251F"/>
    <w:rsid w:val="00752799"/>
    <w:rsid w:val="007541FC"/>
    <w:rsid w:val="00754282"/>
    <w:rsid w:val="00756563"/>
    <w:rsid w:val="00757506"/>
    <w:rsid w:val="00763BC9"/>
    <w:rsid w:val="00764617"/>
    <w:rsid w:val="007710E8"/>
    <w:rsid w:val="00771A91"/>
    <w:rsid w:val="00773206"/>
    <w:rsid w:val="00774017"/>
    <w:rsid w:val="0077484B"/>
    <w:rsid w:val="0078149A"/>
    <w:rsid w:val="00782E47"/>
    <w:rsid w:val="00785100"/>
    <w:rsid w:val="00790BEA"/>
    <w:rsid w:val="007922A5"/>
    <w:rsid w:val="007925BB"/>
    <w:rsid w:val="00793004"/>
    <w:rsid w:val="007934C9"/>
    <w:rsid w:val="0079375D"/>
    <w:rsid w:val="00795791"/>
    <w:rsid w:val="007967E9"/>
    <w:rsid w:val="00796CD9"/>
    <w:rsid w:val="007A3756"/>
    <w:rsid w:val="007A3876"/>
    <w:rsid w:val="007A48EF"/>
    <w:rsid w:val="007A58A9"/>
    <w:rsid w:val="007A5BCB"/>
    <w:rsid w:val="007A7CCF"/>
    <w:rsid w:val="007B15DF"/>
    <w:rsid w:val="007B289B"/>
    <w:rsid w:val="007B2E4C"/>
    <w:rsid w:val="007B3CC8"/>
    <w:rsid w:val="007B52EB"/>
    <w:rsid w:val="007B6664"/>
    <w:rsid w:val="007B78EA"/>
    <w:rsid w:val="007B7C31"/>
    <w:rsid w:val="007C1AEE"/>
    <w:rsid w:val="007C2676"/>
    <w:rsid w:val="007C4369"/>
    <w:rsid w:val="007C4D89"/>
    <w:rsid w:val="007C5618"/>
    <w:rsid w:val="007C794F"/>
    <w:rsid w:val="007D0499"/>
    <w:rsid w:val="007D17CD"/>
    <w:rsid w:val="007D3078"/>
    <w:rsid w:val="007D33C8"/>
    <w:rsid w:val="007D3548"/>
    <w:rsid w:val="007D5805"/>
    <w:rsid w:val="007D7DD2"/>
    <w:rsid w:val="007E252F"/>
    <w:rsid w:val="007E4191"/>
    <w:rsid w:val="007E5A15"/>
    <w:rsid w:val="007E6226"/>
    <w:rsid w:val="007F1367"/>
    <w:rsid w:val="007F1915"/>
    <w:rsid w:val="007F2B93"/>
    <w:rsid w:val="007F4CBF"/>
    <w:rsid w:val="007F4DBA"/>
    <w:rsid w:val="007F63E5"/>
    <w:rsid w:val="0080016E"/>
    <w:rsid w:val="00800AAB"/>
    <w:rsid w:val="00800BFB"/>
    <w:rsid w:val="00803900"/>
    <w:rsid w:val="00803A99"/>
    <w:rsid w:val="00810329"/>
    <w:rsid w:val="008103E1"/>
    <w:rsid w:val="008106C4"/>
    <w:rsid w:val="0081113E"/>
    <w:rsid w:val="0081408A"/>
    <w:rsid w:val="008158EE"/>
    <w:rsid w:val="008171A1"/>
    <w:rsid w:val="00817297"/>
    <w:rsid w:val="008209C2"/>
    <w:rsid w:val="00821FD2"/>
    <w:rsid w:val="00823A21"/>
    <w:rsid w:val="00823C84"/>
    <w:rsid w:val="00823E8D"/>
    <w:rsid w:val="00824902"/>
    <w:rsid w:val="00825097"/>
    <w:rsid w:val="008260D6"/>
    <w:rsid w:val="00830709"/>
    <w:rsid w:val="00830959"/>
    <w:rsid w:val="00830DD0"/>
    <w:rsid w:val="00832243"/>
    <w:rsid w:val="00832506"/>
    <w:rsid w:val="00834C17"/>
    <w:rsid w:val="00835509"/>
    <w:rsid w:val="00836E28"/>
    <w:rsid w:val="00840BEE"/>
    <w:rsid w:val="008420DB"/>
    <w:rsid w:val="00842A3B"/>
    <w:rsid w:val="0084416F"/>
    <w:rsid w:val="00844D2F"/>
    <w:rsid w:val="0084528E"/>
    <w:rsid w:val="00845901"/>
    <w:rsid w:val="00845C13"/>
    <w:rsid w:val="00850B01"/>
    <w:rsid w:val="0085183F"/>
    <w:rsid w:val="00854C10"/>
    <w:rsid w:val="00855EBD"/>
    <w:rsid w:val="008613B6"/>
    <w:rsid w:val="008624E6"/>
    <w:rsid w:val="00863F1C"/>
    <w:rsid w:val="00864C53"/>
    <w:rsid w:val="0087012F"/>
    <w:rsid w:val="00870539"/>
    <w:rsid w:val="00870AF9"/>
    <w:rsid w:val="00872D6E"/>
    <w:rsid w:val="0087439F"/>
    <w:rsid w:val="00877520"/>
    <w:rsid w:val="00884610"/>
    <w:rsid w:val="00884752"/>
    <w:rsid w:val="00885025"/>
    <w:rsid w:val="00885915"/>
    <w:rsid w:val="00886606"/>
    <w:rsid w:val="00886CA4"/>
    <w:rsid w:val="00886EEF"/>
    <w:rsid w:val="00887B5C"/>
    <w:rsid w:val="008914FF"/>
    <w:rsid w:val="00892DF8"/>
    <w:rsid w:val="008950AD"/>
    <w:rsid w:val="00895D95"/>
    <w:rsid w:val="00896586"/>
    <w:rsid w:val="008A1E22"/>
    <w:rsid w:val="008A3101"/>
    <w:rsid w:val="008A3638"/>
    <w:rsid w:val="008A480E"/>
    <w:rsid w:val="008A6898"/>
    <w:rsid w:val="008A71C1"/>
    <w:rsid w:val="008A7C4A"/>
    <w:rsid w:val="008B3B43"/>
    <w:rsid w:val="008B3CA2"/>
    <w:rsid w:val="008B4D13"/>
    <w:rsid w:val="008B51D5"/>
    <w:rsid w:val="008B550F"/>
    <w:rsid w:val="008B7608"/>
    <w:rsid w:val="008B7C11"/>
    <w:rsid w:val="008C3912"/>
    <w:rsid w:val="008C6017"/>
    <w:rsid w:val="008C6552"/>
    <w:rsid w:val="008C6B20"/>
    <w:rsid w:val="008C6ED1"/>
    <w:rsid w:val="008C7587"/>
    <w:rsid w:val="008C781C"/>
    <w:rsid w:val="008D0273"/>
    <w:rsid w:val="008D1592"/>
    <w:rsid w:val="008D23A0"/>
    <w:rsid w:val="008D3386"/>
    <w:rsid w:val="008D3F9E"/>
    <w:rsid w:val="008D40D2"/>
    <w:rsid w:val="008D5447"/>
    <w:rsid w:val="008D54EF"/>
    <w:rsid w:val="008D6671"/>
    <w:rsid w:val="008D7032"/>
    <w:rsid w:val="008E0AB6"/>
    <w:rsid w:val="008E0BC3"/>
    <w:rsid w:val="008E2DAE"/>
    <w:rsid w:val="008E48B4"/>
    <w:rsid w:val="008E71D1"/>
    <w:rsid w:val="008E7239"/>
    <w:rsid w:val="008E749D"/>
    <w:rsid w:val="008E77CA"/>
    <w:rsid w:val="008F2D47"/>
    <w:rsid w:val="008F39A0"/>
    <w:rsid w:val="008F45F4"/>
    <w:rsid w:val="008F4945"/>
    <w:rsid w:val="008F54A0"/>
    <w:rsid w:val="008F54C7"/>
    <w:rsid w:val="008F665C"/>
    <w:rsid w:val="008F6943"/>
    <w:rsid w:val="008F6E68"/>
    <w:rsid w:val="00901A6B"/>
    <w:rsid w:val="00902483"/>
    <w:rsid w:val="00903582"/>
    <w:rsid w:val="0090437E"/>
    <w:rsid w:val="00904FB8"/>
    <w:rsid w:val="00905062"/>
    <w:rsid w:val="00905DD0"/>
    <w:rsid w:val="00907460"/>
    <w:rsid w:val="0091156F"/>
    <w:rsid w:val="009122CD"/>
    <w:rsid w:val="009133BE"/>
    <w:rsid w:val="00913859"/>
    <w:rsid w:val="00914158"/>
    <w:rsid w:val="00915350"/>
    <w:rsid w:val="00916DFB"/>
    <w:rsid w:val="009214CF"/>
    <w:rsid w:val="00921C42"/>
    <w:rsid w:val="009229EA"/>
    <w:rsid w:val="009232E3"/>
    <w:rsid w:val="00923CCD"/>
    <w:rsid w:val="00923F40"/>
    <w:rsid w:val="009244CD"/>
    <w:rsid w:val="00924670"/>
    <w:rsid w:val="00924E6E"/>
    <w:rsid w:val="00925E1A"/>
    <w:rsid w:val="00926B21"/>
    <w:rsid w:val="00926E52"/>
    <w:rsid w:val="0093008E"/>
    <w:rsid w:val="00930E3C"/>
    <w:rsid w:val="00931517"/>
    <w:rsid w:val="00932AC8"/>
    <w:rsid w:val="009367DF"/>
    <w:rsid w:val="00936B26"/>
    <w:rsid w:val="00937B74"/>
    <w:rsid w:val="00950B3C"/>
    <w:rsid w:val="00950E6F"/>
    <w:rsid w:val="0095414F"/>
    <w:rsid w:val="00955421"/>
    <w:rsid w:val="00955CB7"/>
    <w:rsid w:val="00955F1A"/>
    <w:rsid w:val="00956B32"/>
    <w:rsid w:val="009634DD"/>
    <w:rsid w:val="009645E5"/>
    <w:rsid w:val="00965FD8"/>
    <w:rsid w:val="009677E6"/>
    <w:rsid w:val="00970ACE"/>
    <w:rsid w:val="00970FD2"/>
    <w:rsid w:val="00972C1E"/>
    <w:rsid w:val="009731B3"/>
    <w:rsid w:val="009736DA"/>
    <w:rsid w:val="00975619"/>
    <w:rsid w:val="009777C1"/>
    <w:rsid w:val="0098075A"/>
    <w:rsid w:val="00981F8D"/>
    <w:rsid w:val="00985A07"/>
    <w:rsid w:val="009863B7"/>
    <w:rsid w:val="00986CD4"/>
    <w:rsid w:val="009912F1"/>
    <w:rsid w:val="00991655"/>
    <w:rsid w:val="0099248A"/>
    <w:rsid w:val="0099355E"/>
    <w:rsid w:val="00996D22"/>
    <w:rsid w:val="009A05E8"/>
    <w:rsid w:val="009A1F94"/>
    <w:rsid w:val="009A280E"/>
    <w:rsid w:val="009A41B4"/>
    <w:rsid w:val="009A4DC1"/>
    <w:rsid w:val="009A60A9"/>
    <w:rsid w:val="009B1197"/>
    <w:rsid w:val="009B1834"/>
    <w:rsid w:val="009B33E1"/>
    <w:rsid w:val="009B53CE"/>
    <w:rsid w:val="009B5A8E"/>
    <w:rsid w:val="009B6CFE"/>
    <w:rsid w:val="009B6D15"/>
    <w:rsid w:val="009B7422"/>
    <w:rsid w:val="009C01D4"/>
    <w:rsid w:val="009C04FC"/>
    <w:rsid w:val="009C0BDE"/>
    <w:rsid w:val="009C0FB3"/>
    <w:rsid w:val="009C3C6D"/>
    <w:rsid w:val="009C43A5"/>
    <w:rsid w:val="009C59FB"/>
    <w:rsid w:val="009C7432"/>
    <w:rsid w:val="009C7529"/>
    <w:rsid w:val="009D066B"/>
    <w:rsid w:val="009D07FB"/>
    <w:rsid w:val="009D0C8B"/>
    <w:rsid w:val="009D3806"/>
    <w:rsid w:val="009D4053"/>
    <w:rsid w:val="009D6909"/>
    <w:rsid w:val="009E3C28"/>
    <w:rsid w:val="009E3CFB"/>
    <w:rsid w:val="009E4C2F"/>
    <w:rsid w:val="009E5A25"/>
    <w:rsid w:val="009E6837"/>
    <w:rsid w:val="009E70BA"/>
    <w:rsid w:val="009F09F9"/>
    <w:rsid w:val="009F309A"/>
    <w:rsid w:val="009F4D58"/>
    <w:rsid w:val="009F5CF3"/>
    <w:rsid w:val="009F5D4A"/>
    <w:rsid w:val="009F75C9"/>
    <w:rsid w:val="00A00B7D"/>
    <w:rsid w:val="00A02156"/>
    <w:rsid w:val="00A0393A"/>
    <w:rsid w:val="00A043C1"/>
    <w:rsid w:val="00A072FB"/>
    <w:rsid w:val="00A1137C"/>
    <w:rsid w:val="00A114DD"/>
    <w:rsid w:val="00A12231"/>
    <w:rsid w:val="00A1245B"/>
    <w:rsid w:val="00A12DB1"/>
    <w:rsid w:val="00A13E03"/>
    <w:rsid w:val="00A15499"/>
    <w:rsid w:val="00A21943"/>
    <w:rsid w:val="00A21DCA"/>
    <w:rsid w:val="00A230C7"/>
    <w:rsid w:val="00A259D2"/>
    <w:rsid w:val="00A2636C"/>
    <w:rsid w:val="00A272D1"/>
    <w:rsid w:val="00A27E8C"/>
    <w:rsid w:val="00A30276"/>
    <w:rsid w:val="00A309A7"/>
    <w:rsid w:val="00A31EFD"/>
    <w:rsid w:val="00A32061"/>
    <w:rsid w:val="00A3346C"/>
    <w:rsid w:val="00A3375B"/>
    <w:rsid w:val="00A342EB"/>
    <w:rsid w:val="00A36333"/>
    <w:rsid w:val="00A36BA3"/>
    <w:rsid w:val="00A42EC5"/>
    <w:rsid w:val="00A43DCE"/>
    <w:rsid w:val="00A458F8"/>
    <w:rsid w:val="00A468A6"/>
    <w:rsid w:val="00A4733E"/>
    <w:rsid w:val="00A54730"/>
    <w:rsid w:val="00A56947"/>
    <w:rsid w:val="00A56ACE"/>
    <w:rsid w:val="00A60BB0"/>
    <w:rsid w:val="00A60E0D"/>
    <w:rsid w:val="00A6162A"/>
    <w:rsid w:val="00A6230E"/>
    <w:rsid w:val="00A64A73"/>
    <w:rsid w:val="00A654F7"/>
    <w:rsid w:val="00A664E3"/>
    <w:rsid w:val="00A665FD"/>
    <w:rsid w:val="00A66941"/>
    <w:rsid w:val="00A67F35"/>
    <w:rsid w:val="00A7056A"/>
    <w:rsid w:val="00A7071A"/>
    <w:rsid w:val="00A71AD6"/>
    <w:rsid w:val="00A722F1"/>
    <w:rsid w:val="00A733D2"/>
    <w:rsid w:val="00A73E04"/>
    <w:rsid w:val="00A763D7"/>
    <w:rsid w:val="00A770E0"/>
    <w:rsid w:val="00A81CE4"/>
    <w:rsid w:val="00A82088"/>
    <w:rsid w:val="00A83C0C"/>
    <w:rsid w:val="00A849E2"/>
    <w:rsid w:val="00A85DC5"/>
    <w:rsid w:val="00A91D51"/>
    <w:rsid w:val="00A92D33"/>
    <w:rsid w:val="00A93F1E"/>
    <w:rsid w:val="00A94CCC"/>
    <w:rsid w:val="00A965DB"/>
    <w:rsid w:val="00A96E6C"/>
    <w:rsid w:val="00AA1BFF"/>
    <w:rsid w:val="00AA1F9C"/>
    <w:rsid w:val="00AA2ABF"/>
    <w:rsid w:val="00AA5394"/>
    <w:rsid w:val="00AB06C6"/>
    <w:rsid w:val="00AB3517"/>
    <w:rsid w:val="00AB4FE0"/>
    <w:rsid w:val="00AB5B44"/>
    <w:rsid w:val="00AB640B"/>
    <w:rsid w:val="00AB6D56"/>
    <w:rsid w:val="00AB7CE7"/>
    <w:rsid w:val="00AC028D"/>
    <w:rsid w:val="00AC11B9"/>
    <w:rsid w:val="00AC1833"/>
    <w:rsid w:val="00AC2DB0"/>
    <w:rsid w:val="00AC3AB1"/>
    <w:rsid w:val="00AC3F41"/>
    <w:rsid w:val="00AC418C"/>
    <w:rsid w:val="00AC6650"/>
    <w:rsid w:val="00AC70EE"/>
    <w:rsid w:val="00AC743B"/>
    <w:rsid w:val="00AC748B"/>
    <w:rsid w:val="00AD1D42"/>
    <w:rsid w:val="00AD299E"/>
    <w:rsid w:val="00AD4F92"/>
    <w:rsid w:val="00AD5B37"/>
    <w:rsid w:val="00AE16DD"/>
    <w:rsid w:val="00AE36A7"/>
    <w:rsid w:val="00AE53E4"/>
    <w:rsid w:val="00AE7727"/>
    <w:rsid w:val="00AF1FCE"/>
    <w:rsid w:val="00AF5DEC"/>
    <w:rsid w:val="00B00299"/>
    <w:rsid w:val="00B01C5D"/>
    <w:rsid w:val="00B01EB6"/>
    <w:rsid w:val="00B04598"/>
    <w:rsid w:val="00B04D74"/>
    <w:rsid w:val="00B04DBE"/>
    <w:rsid w:val="00B05F44"/>
    <w:rsid w:val="00B1002C"/>
    <w:rsid w:val="00B10BF4"/>
    <w:rsid w:val="00B1185A"/>
    <w:rsid w:val="00B118B3"/>
    <w:rsid w:val="00B123DC"/>
    <w:rsid w:val="00B132D9"/>
    <w:rsid w:val="00B16A86"/>
    <w:rsid w:val="00B17473"/>
    <w:rsid w:val="00B17C8C"/>
    <w:rsid w:val="00B20C1B"/>
    <w:rsid w:val="00B213EF"/>
    <w:rsid w:val="00B2168D"/>
    <w:rsid w:val="00B250AF"/>
    <w:rsid w:val="00B25104"/>
    <w:rsid w:val="00B26371"/>
    <w:rsid w:val="00B302F9"/>
    <w:rsid w:val="00B3381E"/>
    <w:rsid w:val="00B33BED"/>
    <w:rsid w:val="00B369C2"/>
    <w:rsid w:val="00B37D5F"/>
    <w:rsid w:val="00B4389B"/>
    <w:rsid w:val="00B439BD"/>
    <w:rsid w:val="00B44890"/>
    <w:rsid w:val="00B468B8"/>
    <w:rsid w:val="00B47BE1"/>
    <w:rsid w:val="00B47F37"/>
    <w:rsid w:val="00B5311E"/>
    <w:rsid w:val="00B55153"/>
    <w:rsid w:val="00B5524C"/>
    <w:rsid w:val="00B65133"/>
    <w:rsid w:val="00B6568A"/>
    <w:rsid w:val="00B6799A"/>
    <w:rsid w:val="00B73EEC"/>
    <w:rsid w:val="00B7648C"/>
    <w:rsid w:val="00B771B8"/>
    <w:rsid w:val="00B82EA0"/>
    <w:rsid w:val="00B862BA"/>
    <w:rsid w:val="00B86A43"/>
    <w:rsid w:val="00B86A7E"/>
    <w:rsid w:val="00B871CA"/>
    <w:rsid w:val="00B872AE"/>
    <w:rsid w:val="00B877DA"/>
    <w:rsid w:val="00B94FA0"/>
    <w:rsid w:val="00B95E2D"/>
    <w:rsid w:val="00B971F6"/>
    <w:rsid w:val="00B97A9F"/>
    <w:rsid w:val="00BA006E"/>
    <w:rsid w:val="00BA0BDE"/>
    <w:rsid w:val="00BA1493"/>
    <w:rsid w:val="00BA1BE5"/>
    <w:rsid w:val="00BB03C5"/>
    <w:rsid w:val="00BB14C5"/>
    <w:rsid w:val="00BB154E"/>
    <w:rsid w:val="00BB49C4"/>
    <w:rsid w:val="00BB6088"/>
    <w:rsid w:val="00BB7BE2"/>
    <w:rsid w:val="00BC1674"/>
    <w:rsid w:val="00BC20D2"/>
    <w:rsid w:val="00BC31D7"/>
    <w:rsid w:val="00BC4543"/>
    <w:rsid w:val="00BC49FB"/>
    <w:rsid w:val="00BC6F10"/>
    <w:rsid w:val="00BC7A7D"/>
    <w:rsid w:val="00BD024C"/>
    <w:rsid w:val="00BD0469"/>
    <w:rsid w:val="00BD20F9"/>
    <w:rsid w:val="00BD4718"/>
    <w:rsid w:val="00BD49C9"/>
    <w:rsid w:val="00BD76D3"/>
    <w:rsid w:val="00BE00A7"/>
    <w:rsid w:val="00BE00FF"/>
    <w:rsid w:val="00BE1CB3"/>
    <w:rsid w:val="00BE3D63"/>
    <w:rsid w:val="00BE5032"/>
    <w:rsid w:val="00BE5847"/>
    <w:rsid w:val="00BE7A25"/>
    <w:rsid w:val="00BF0174"/>
    <w:rsid w:val="00BF057E"/>
    <w:rsid w:val="00BF08C6"/>
    <w:rsid w:val="00BF2357"/>
    <w:rsid w:val="00BF33CB"/>
    <w:rsid w:val="00BF46E8"/>
    <w:rsid w:val="00BF57CB"/>
    <w:rsid w:val="00BF5B67"/>
    <w:rsid w:val="00BF6794"/>
    <w:rsid w:val="00BF6AF5"/>
    <w:rsid w:val="00BF76BE"/>
    <w:rsid w:val="00BF7FDF"/>
    <w:rsid w:val="00C01B6D"/>
    <w:rsid w:val="00C04AEE"/>
    <w:rsid w:val="00C05A48"/>
    <w:rsid w:val="00C05A6C"/>
    <w:rsid w:val="00C05F2A"/>
    <w:rsid w:val="00C0607E"/>
    <w:rsid w:val="00C0629B"/>
    <w:rsid w:val="00C067B2"/>
    <w:rsid w:val="00C06A5A"/>
    <w:rsid w:val="00C07004"/>
    <w:rsid w:val="00C100CA"/>
    <w:rsid w:val="00C114D9"/>
    <w:rsid w:val="00C121CB"/>
    <w:rsid w:val="00C154F0"/>
    <w:rsid w:val="00C15751"/>
    <w:rsid w:val="00C161C3"/>
    <w:rsid w:val="00C16FCA"/>
    <w:rsid w:val="00C176EE"/>
    <w:rsid w:val="00C17B7F"/>
    <w:rsid w:val="00C20517"/>
    <w:rsid w:val="00C21FE8"/>
    <w:rsid w:val="00C23FB6"/>
    <w:rsid w:val="00C25791"/>
    <w:rsid w:val="00C27814"/>
    <w:rsid w:val="00C30C6E"/>
    <w:rsid w:val="00C325E7"/>
    <w:rsid w:val="00C32CB4"/>
    <w:rsid w:val="00C33196"/>
    <w:rsid w:val="00C33EA4"/>
    <w:rsid w:val="00C340F3"/>
    <w:rsid w:val="00C3432A"/>
    <w:rsid w:val="00C3649F"/>
    <w:rsid w:val="00C368C3"/>
    <w:rsid w:val="00C37DBE"/>
    <w:rsid w:val="00C40559"/>
    <w:rsid w:val="00C4281A"/>
    <w:rsid w:val="00C42CD9"/>
    <w:rsid w:val="00C43A4B"/>
    <w:rsid w:val="00C44428"/>
    <w:rsid w:val="00C45205"/>
    <w:rsid w:val="00C45382"/>
    <w:rsid w:val="00C45640"/>
    <w:rsid w:val="00C45D5A"/>
    <w:rsid w:val="00C46049"/>
    <w:rsid w:val="00C4725B"/>
    <w:rsid w:val="00C50EAA"/>
    <w:rsid w:val="00C515EA"/>
    <w:rsid w:val="00C520FC"/>
    <w:rsid w:val="00C52B64"/>
    <w:rsid w:val="00C53849"/>
    <w:rsid w:val="00C53C1A"/>
    <w:rsid w:val="00C54B44"/>
    <w:rsid w:val="00C57364"/>
    <w:rsid w:val="00C60275"/>
    <w:rsid w:val="00C60B69"/>
    <w:rsid w:val="00C6411C"/>
    <w:rsid w:val="00C6511B"/>
    <w:rsid w:val="00C65C25"/>
    <w:rsid w:val="00C667B3"/>
    <w:rsid w:val="00C66AEA"/>
    <w:rsid w:val="00C66EA8"/>
    <w:rsid w:val="00C704DB"/>
    <w:rsid w:val="00C707F7"/>
    <w:rsid w:val="00C721F2"/>
    <w:rsid w:val="00C752C8"/>
    <w:rsid w:val="00C765BE"/>
    <w:rsid w:val="00C76DDB"/>
    <w:rsid w:val="00C77F3E"/>
    <w:rsid w:val="00C802CC"/>
    <w:rsid w:val="00C81500"/>
    <w:rsid w:val="00C822A6"/>
    <w:rsid w:val="00C83D1A"/>
    <w:rsid w:val="00C83D75"/>
    <w:rsid w:val="00C8464D"/>
    <w:rsid w:val="00C85DEF"/>
    <w:rsid w:val="00C8703B"/>
    <w:rsid w:val="00C91185"/>
    <w:rsid w:val="00C92D17"/>
    <w:rsid w:val="00C97A99"/>
    <w:rsid w:val="00C97BE9"/>
    <w:rsid w:val="00C97C03"/>
    <w:rsid w:val="00CA1764"/>
    <w:rsid w:val="00CA45BC"/>
    <w:rsid w:val="00CA5E8D"/>
    <w:rsid w:val="00CA6576"/>
    <w:rsid w:val="00CB0B9C"/>
    <w:rsid w:val="00CB2467"/>
    <w:rsid w:val="00CB3CDC"/>
    <w:rsid w:val="00CB40A4"/>
    <w:rsid w:val="00CB4897"/>
    <w:rsid w:val="00CC4020"/>
    <w:rsid w:val="00CC5054"/>
    <w:rsid w:val="00CC6529"/>
    <w:rsid w:val="00CC660E"/>
    <w:rsid w:val="00CD0505"/>
    <w:rsid w:val="00CD2069"/>
    <w:rsid w:val="00CD36EB"/>
    <w:rsid w:val="00CD4C43"/>
    <w:rsid w:val="00CD589A"/>
    <w:rsid w:val="00CD6404"/>
    <w:rsid w:val="00CD6473"/>
    <w:rsid w:val="00CD7E8B"/>
    <w:rsid w:val="00CE0468"/>
    <w:rsid w:val="00CE08DD"/>
    <w:rsid w:val="00CE1CD2"/>
    <w:rsid w:val="00CF35D6"/>
    <w:rsid w:val="00CF45DB"/>
    <w:rsid w:val="00CF50CE"/>
    <w:rsid w:val="00CF5449"/>
    <w:rsid w:val="00D00998"/>
    <w:rsid w:val="00D01E7B"/>
    <w:rsid w:val="00D02995"/>
    <w:rsid w:val="00D03496"/>
    <w:rsid w:val="00D03DAA"/>
    <w:rsid w:val="00D03EF0"/>
    <w:rsid w:val="00D06258"/>
    <w:rsid w:val="00D066B9"/>
    <w:rsid w:val="00D14093"/>
    <w:rsid w:val="00D14AF9"/>
    <w:rsid w:val="00D203C1"/>
    <w:rsid w:val="00D20F27"/>
    <w:rsid w:val="00D2142C"/>
    <w:rsid w:val="00D21958"/>
    <w:rsid w:val="00D21D47"/>
    <w:rsid w:val="00D23B81"/>
    <w:rsid w:val="00D2504F"/>
    <w:rsid w:val="00D250CC"/>
    <w:rsid w:val="00D25B73"/>
    <w:rsid w:val="00D26035"/>
    <w:rsid w:val="00D27D3C"/>
    <w:rsid w:val="00D316A9"/>
    <w:rsid w:val="00D316B6"/>
    <w:rsid w:val="00D32CCB"/>
    <w:rsid w:val="00D33115"/>
    <w:rsid w:val="00D353B4"/>
    <w:rsid w:val="00D3641C"/>
    <w:rsid w:val="00D4036F"/>
    <w:rsid w:val="00D41B86"/>
    <w:rsid w:val="00D425AA"/>
    <w:rsid w:val="00D428FC"/>
    <w:rsid w:val="00D42A5F"/>
    <w:rsid w:val="00D44F8D"/>
    <w:rsid w:val="00D4567F"/>
    <w:rsid w:val="00D479FB"/>
    <w:rsid w:val="00D52565"/>
    <w:rsid w:val="00D525C3"/>
    <w:rsid w:val="00D53378"/>
    <w:rsid w:val="00D53573"/>
    <w:rsid w:val="00D57704"/>
    <w:rsid w:val="00D600E6"/>
    <w:rsid w:val="00D6060E"/>
    <w:rsid w:val="00D61209"/>
    <w:rsid w:val="00D61568"/>
    <w:rsid w:val="00D62892"/>
    <w:rsid w:val="00D62DEA"/>
    <w:rsid w:val="00D62E1D"/>
    <w:rsid w:val="00D64B6F"/>
    <w:rsid w:val="00D651BD"/>
    <w:rsid w:val="00D66178"/>
    <w:rsid w:val="00D66675"/>
    <w:rsid w:val="00D705A8"/>
    <w:rsid w:val="00D70E7F"/>
    <w:rsid w:val="00D71CF7"/>
    <w:rsid w:val="00D72EDA"/>
    <w:rsid w:val="00D741C2"/>
    <w:rsid w:val="00D75706"/>
    <w:rsid w:val="00D76E9D"/>
    <w:rsid w:val="00D80E51"/>
    <w:rsid w:val="00D854BF"/>
    <w:rsid w:val="00D87BFF"/>
    <w:rsid w:val="00D87FB0"/>
    <w:rsid w:val="00D91AE7"/>
    <w:rsid w:val="00D91BD2"/>
    <w:rsid w:val="00D93A06"/>
    <w:rsid w:val="00DA0BC5"/>
    <w:rsid w:val="00DA21FC"/>
    <w:rsid w:val="00DA2715"/>
    <w:rsid w:val="00DA2A2A"/>
    <w:rsid w:val="00DA306B"/>
    <w:rsid w:val="00DA39D7"/>
    <w:rsid w:val="00DA42C3"/>
    <w:rsid w:val="00DA467D"/>
    <w:rsid w:val="00DA468E"/>
    <w:rsid w:val="00DA690D"/>
    <w:rsid w:val="00DA7415"/>
    <w:rsid w:val="00DA7E6D"/>
    <w:rsid w:val="00DB1CA6"/>
    <w:rsid w:val="00DB69AD"/>
    <w:rsid w:val="00DB7437"/>
    <w:rsid w:val="00DB7472"/>
    <w:rsid w:val="00DB74B3"/>
    <w:rsid w:val="00DC01D9"/>
    <w:rsid w:val="00DC0873"/>
    <w:rsid w:val="00DC25A5"/>
    <w:rsid w:val="00DC7C3B"/>
    <w:rsid w:val="00DC7C86"/>
    <w:rsid w:val="00DD03BC"/>
    <w:rsid w:val="00DD0A82"/>
    <w:rsid w:val="00DD3828"/>
    <w:rsid w:val="00DD3A4A"/>
    <w:rsid w:val="00DD5F5E"/>
    <w:rsid w:val="00DE03BA"/>
    <w:rsid w:val="00DE0B98"/>
    <w:rsid w:val="00DE0E06"/>
    <w:rsid w:val="00DE2918"/>
    <w:rsid w:val="00DE43AE"/>
    <w:rsid w:val="00DE4842"/>
    <w:rsid w:val="00DE7D68"/>
    <w:rsid w:val="00DF0399"/>
    <w:rsid w:val="00DF0B0D"/>
    <w:rsid w:val="00DF1972"/>
    <w:rsid w:val="00DF1DC7"/>
    <w:rsid w:val="00DF206C"/>
    <w:rsid w:val="00DF2DA3"/>
    <w:rsid w:val="00DF5AFB"/>
    <w:rsid w:val="00E01991"/>
    <w:rsid w:val="00E0444B"/>
    <w:rsid w:val="00E04DC9"/>
    <w:rsid w:val="00E05EDB"/>
    <w:rsid w:val="00E0723B"/>
    <w:rsid w:val="00E077D9"/>
    <w:rsid w:val="00E07888"/>
    <w:rsid w:val="00E07CC4"/>
    <w:rsid w:val="00E10B92"/>
    <w:rsid w:val="00E12212"/>
    <w:rsid w:val="00E13577"/>
    <w:rsid w:val="00E13D01"/>
    <w:rsid w:val="00E1496A"/>
    <w:rsid w:val="00E157F5"/>
    <w:rsid w:val="00E16BD2"/>
    <w:rsid w:val="00E212E6"/>
    <w:rsid w:val="00E21461"/>
    <w:rsid w:val="00E258DA"/>
    <w:rsid w:val="00E2652F"/>
    <w:rsid w:val="00E26988"/>
    <w:rsid w:val="00E30CCD"/>
    <w:rsid w:val="00E31ECA"/>
    <w:rsid w:val="00E331A5"/>
    <w:rsid w:val="00E33846"/>
    <w:rsid w:val="00E3498D"/>
    <w:rsid w:val="00E424EE"/>
    <w:rsid w:val="00E43064"/>
    <w:rsid w:val="00E459FA"/>
    <w:rsid w:val="00E45D2F"/>
    <w:rsid w:val="00E464E0"/>
    <w:rsid w:val="00E47573"/>
    <w:rsid w:val="00E503BB"/>
    <w:rsid w:val="00E513A5"/>
    <w:rsid w:val="00E51C84"/>
    <w:rsid w:val="00E52A4A"/>
    <w:rsid w:val="00E52D23"/>
    <w:rsid w:val="00E54043"/>
    <w:rsid w:val="00E555F1"/>
    <w:rsid w:val="00E562C3"/>
    <w:rsid w:val="00E56441"/>
    <w:rsid w:val="00E564F1"/>
    <w:rsid w:val="00E570E9"/>
    <w:rsid w:val="00E5770D"/>
    <w:rsid w:val="00E60796"/>
    <w:rsid w:val="00E608F9"/>
    <w:rsid w:val="00E625E8"/>
    <w:rsid w:val="00E63554"/>
    <w:rsid w:val="00E639D5"/>
    <w:rsid w:val="00E64AB9"/>
    <w:rsid w:val="00E6512F"/>
    <w:rsid w:val="00E663E1"/>
    <w:rsid w:val="00E706F5"/>
    <w:rsid w:val="00E7114C"/>
    <w:rsid w:val="00E71D4B"/>
    <w:rsid w:val="00E75FDF"/>
    <w:rsid w:val="00E77A9F"/>
    <w:rsid w:val="00E830C7"/>
    <w:rsid w:val="00E8499D"/>
    <w:rsid w:val="00E86871"/>
    <w:rsid w:val="00E86919"/>
    <w:rsid w:val="00E9244A"/>
    <w:rsid w:val="00E93303"/>
    <w:rsid w:val="00E93F6E"/>
    <w:rsid w:val="00E96769"/>
    <w:rsid w:val="00EA0461"/>
    <w:rsid w:val="00EA0F78"/>
    <w:rsid w:val="00EA16B9"/>
    <w:rsid w:val="00EA5DA7"/>
    <w:rsid w:val="00EA68AC"/>
    <w:rsid w:val="00EA6B0C"/>
    <w:rsid w:val="00EA733C"/>
    <w:rsid w:val="00EA742C"/>
    <w:rsid w:val="00EB0BAE"/>
    <w:rsid w:val="00EB0D68"/>
    <w:rsid w:val="00EB240E"/>
    <w:rsid w:val="00EB5B7E"/>
    <w:rsid w:val="00EB60B6"/>
    <w:rsid w:val="00EC128D"/>
    <w:rsid w:val="00EC360D"/>
    <w:rsid w:val="00EC3A0F"/>
    <w:rsid w:val="00EC437B"/>
    <w:rsid w:val="00EC4DCD"/>
    <w:rsid w:val="00ED116C"/>
    <w:rsid w:val="00ED2014"/>
    <w:rsid w:val="00ED31FE"/>
    <w:rsid w:val="00ED3F8E"/>
    <w:rsid w:val="00ED4354"/>
    <w:rsid w:val="00ED7A80"/>
    <w:rsid w:val="00EE04D8"/>
    <w:rsid w:val="00EE08D0"/>
    <w:rsid w:val="00EE3F81"/>
    <w:rsid w:val="00EE50D3"/>
    <w:rsid w:val="00EE5ACD"/>
    <w:rsid w:val="00EF21EF"/>
    <w:rsid w:val="00EF2479"/>
    <w:rsid w:val="00EF45A9"/>
    <w:rsid w:val="00EF76CB"/>
    <w:rsid w:val="00F00E6D"/>
    <w:rsid w:val="00F01459"/>
    <w:rsid w:val="00F03115"/>
    <w:rsid w:val="00F05D13"/>
    <w:rsid w:val="00F118DC"/>
    <w:rsid w:val="00F12251"/>
    <w:rsid w:val="00F15E83"/>
    <w:rsid w:val="00F165EE"/>
    <w:rsid w:val="00F170D8"/>
    <w:rsid w:val="00F20021"/>
    <w:rsid w:val="00F20DDA"/>
    <w:rsid w:val="00F21214"/>
    <w:rsid w:val="00F215FE"/>
    <w:rsid w:val="00F21981"/>
    <w:rsid w:val="00F21C6E"/>
    <w:rsid w:val="00F21CA2"/>
    <w:rsid w:val="00F24868"/>
    <w:rsid w:val="00F24EBE"/>
    <w:rsid w:val="00F25AF4"/>
    <w:rsid w:val="00F27916"/>
    <w:rsid w:val="00F30195"/>
    <w:rsid w:val="00F3037A"/>
    <w:rsid w:val="00F3274E"/>
    <w:rsid w:val="00F33D99"/>
    <w:rsid w:val="00F3469A"/>
    <w:rsid w:val="00F40F28"/>
    <w:rsid w:val="00F4187A"/>
    <w:rsid w:val="00F43708"/>
    <w:rsid w:val="00F438C9"/>
    <w:rsid w:val="00F43D2D"/>
    <w:rsid w:val="00F44534"/>
    <w:rsid w:val="00F44635"/>
    <w:rsid w:val="00F4475B"/>
    <w:rsid w:val="00F44869"/>
    <w:rsid w:val="00F45B86"/>
    <w:rsid w:val="00F45CCC"/>
    <w:rsid w:val="00F45CFE"/>
    <w:rsid w:val="00F45E9C"/>
    <w:rsid w:val="00F462E8"/>
    <w:rsid w:val="00F507E3"/>
    <w:rsid w:val="00F5111D"/>
    <w:rsid w:val="00F520FD"/>
    <w:rsid w:val="00F53500"/>
    <w:rsid w:val="00F55C31"/>
    <w:rsid w:val="00F5612B"/>
    <w:rsid w:val="00F5737D"/>
    <w:rsid w:val="00F57E2D"/>
    <w:rsid w:val="00F65E28"/>
    <w:rsid w:val="00F6697C"/>
    <w:rsid w:val="00F702F0"/>
    <w:rsid w:val="00F71DA5"/>
    <w:rsid w:val="00F73373"/>
    <w:rsid w:val="00F7490A"/>
    <w:rsid w:val="00F75980"/>
    <w:rsid w:val="00F77E85"/>
    <w:rsid w:val="00F806B4"/>
    <w:rsid w:val="00F82FF7"/>
    <w:rsid w:val="00F855FF"/>
    <w:rsid w:val="00F8564E"/>
    <w:rsid w:val="00F856FB"/>
    <w:rsid w:val="00F85F6C"/>
    <w:rsid w:val="00F86589"/>
    <w:rsid w:val="00F86F14"/>
    <w:rsid w:val="00F910A3"/>
    <w:rsid w:val="00F92DEF"/>
    <w:rsid w:val="00F93F57"/>
    <w:rsid w:val="00F96E4E"/>
    <w:rsid w:val="00F97F6C"/>
    <w:rsid w:val="00FA06AA"/>
    <w:rsid w:val="00FA0A3D"/>
    <w:rsid w:val="00FA0AC1"/>
    <w:rsid w:val="00FA0C14"/>
    <w:rsid w:val="00FA0E55"/>
    <w:rsid w:val="00FA0FDB"/>
    <w:rsid w:val="00FA19B7"/>
    <w:rsid w:val="00FA1E59"/>
    <w:rsid w:val="00FA277C"/>
    <w:rsid w:val="00FA365A"/>
    <w:rsid w:val="00FA51A7"/>
    <w:rsid w:val="00FA7305"/>
    <w:rsid w:val="00FA769E"/>
    <w:rsid w:val="00FB0048"/>
    <w:rsid w:val="00FB0316"/>
    <w:rsid w:val="00FB0751"/>
    <w:rsid w:val="00FB378C"/>
    <w:rsid w:val="00FB3B55"/>
    <w:rsid w:val="00FB6423"/>
    <w:rsid w:val="00FB7293"/>
    <w:rsid w:val="00FC082A"/>
    <w:rsid w:val="00FC1B0D"/>
    <w:rsid w:val="00FC2898"/>
    <w:rsid w:val="00FC4CD1"/>
    <w:rsid w:val="00FC61D8"/>
    <w:rsid w:val="00FC6662"/>
    <w:rsid w:val="00FC6A9C"/>
    <w:rsid w:val="00FD10D2"/>
    <w:rsid w:val="00FD1A5E"/>
    <w:rsid w:val="00FD2490"/>
    <w:rsid w:val="00FD403C"/>
    <w:rsid w:val="00FD4813"/>
    <w:rsid w:val="00FD63B5"/>
    <w:rsid w:val="00FD7DB4"/>
    <w:rsid w:val="00FE122F"/>
    <w:rsid w:val="00FE170B"/>
    <w:rsid w:val="00FE3374"/>
    <w:rsid w:val="00FE56C3"/>
    <w:rsid w:val="00FE7221"/>
    <w:rsid w:val="00FE763A"/>
    <w:rsid w:val="00FF1119"/>
    <w:rsid w:val="00FF352F"/>
    <w:rsid w:val="00FF3EAC"/>
    <w:rsid w:val="00FF49D4"/>
    <w:rsid w:val="00FF6C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E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CF"/>
    <w:pPr>
      <w:spacing w:after="200"/>
    </w:pPr>
    <w:rPr>
      <w:sz w:val="24"/>
      <w:szCs w:val="24"/>
      <w:lang w:val="en-US" w:eastAsia="ja-JP"/>
    </w:rPr>
  </w:style>
  <w:style w:type="paragraph" w:styleId="Heading1">
    <w:name w:val="heading 1"/>
    <w:basedOn w:val="Normal"/>
    <w:link w:val="Heading1Char"/>
    <w:uiPriority w:val="9"/>
    <w:qFormat/>
    <w:locked/>
    <w:rsid w:val="0090437E"/>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8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E08D0"/>
    <w:rPr>
      <w:rFonts w:ascii="Lucida Grande" w:hAnsi="Lucida Grande" w:cs="Lucida Grande"/>
      <w:sz w:val="18"/>
      <w:szCs w:val="18"/>
    </w:rPr>
  </w:style>
  <w:style w:type="table" w:styleId="TableGrid">
    <w:name w:val="Table Grid"/>
    <w:basedOn w:val="TableNormal"/>
    <w:uiPriority w:val="59"/>
    <w:rsid w:val="00593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69E"/>
    <w:pPr>
      <w:tabs>
        <w:tab w:val="center" w:pos="4320"/>
        <w:tab w:val="right" w:pos="8640"/>
      </w:tabs>
      <w:spacing w:after="0"/>
    </w:pPr>
  </w:style>
  <w:style w:type="character" w:customStyle="1" w:styleId="HeaderChar">
    <w:name w:val="Header Char"/>
    <w:basedOn w:val="DefaultParagraphFont"/>
    <w:link w:val="Header"/>
    <w:uiPriority w:val="99"/>
    <w:locked/>
    <w:rsid w:val="00FA769E"/>
    <w:rPr>
      <w:rFonts w:cs="Times New Roman"/>
    </w:rPr>
  </w:style>
  <w:style w:type="paragraph" w:styleId="Footer">
    <w:name w:val="footer"/>
    <w:basedOn w:val="Normal"/>
    <w:link w:val="FooterChar"/>
    <w:uiPriority w:val="99"/>
    <w:rsid w:val="00FA769E"/>
    <w:pPr>
      <w:tabs>
        <w:tab w:val="center" w:pos="4320"/>
        <w:tab w:val="right" w:pos="8640"/>
      </w:tabs>
      <w:spacing w:after="0"/>
    </w:pPr>
  </w:style>
  <w:style w:type="character" w:customStyle="1" w:styleId="FooterChar">
    <w:name w:val="Footer Char"/>
    <w:basedOn w:val="DefaultParagraphFont"/>
    <w:link w:val="Footer"/>
    <w:uiPriority w:val="99"/>
    <w:locked/>
    <w:rsid w:val="00FA769E"/>
    <w:rPr>
      <w:rFonts w:cs="Times New Roman"/>
    </w:rPr>
  </w:style>
  <w:style w:type="character" w:styleId="PageNumber">
    <w:name w:val="page number"/>
    <w:basedOn w:val="DefaultParagraphFont"/>
    <w:uiPriority w:val="99"/>
    <w:semiHidden/>
    <w:rsid w:val="00FA769E"/>
    <w:rPr>
      <w:rFonts w:cs="Times New Roman"/>
    </w:rPr>
  </w:style>
  <w:style w:type="paragraph" w:styleId="ListParagraph">
    <w:name w:val="List Paragraph"/>
    <w:basedOn w:val="Normal"/>
    <w:qFormat/>
    <w:rsid w:val="00126257"/>
    <w:pPr>
      <w:ind w:left="720"/>
      <w:contextualSpacing/>
    </w:pPr>
    <w:rPr>
      <w:rFonts w:eastAsia="MS ??"/>
    </w:rPr>
  </w:style>
  <w:style w:type="character" w:styleId="CommentReference">
    <w:name w:val="annotation reference"/>
    <w:basedOn w:val="DefaultParagraphFont"/>
    <w:uiPriority w:val="99"/>
    <w:semiHidden/>
    <w:unhideWhenUsed/>
    <w:rsid w:val="00DC25A5"/>
    <w:rPr>
      <w:sz w:val="16"/>
      <w:szCs w:val="16"/>
    </w:rPr>
  </w:style>
  <w:style w:type="paragraph" w:styleId="CommentText">
    <w:name w:val="annotation text"/>
    <w:basedOn w:val="Normal"/>
    <w:link w:val="CommentTextChar"/>
    <w:uiPriority w:val="99"/>
    <w:semiHidden/>
    <w:unhideWhenUsed/>
    <w:rsid w:val="00DC25A5"/>
    <w:rPr>
      <w:sz w:val="20"/>
      <w:szCs w:val="20"/>
    </w:rPr>
  </w:style>
  <w:style w:type="character" w:customStyle="1" w:styleId="CommentTextChar">
    <w:name w:val="Comment Text Char"/>
    <w:basedOn w:val="DefaultParagraphFont"/>
    <w:link w:val="CommentText"/>
    <w:uiPriority w:val="99"/>
    <w:semiHidden/>
    <w:rsid w:val="00DC25A5"/>
    <w:rPr>
      <w:sz w:val="20"/>
      <w:szCs w:val="20"/>
      <w:lang w:val="en-US" w:eastAsia="ja-JP"/>
    </w:rPr>
  </w:style>
  <w:style w:type="paragraph" w:styleId="CommentSubject">
    <w:name w:val="annotation subject"/>
    <w:basedOn w:val="CommentText"/>
    <w:next w:val="CommentText"/>
    <w:link w:val="CommentSubjectChar"/>
    <w:uiPriority w:val="99"/>
    <w:semiHidden/>
    <w:unhideWhenUsed/>
    <w:rsid w:val="00DC25A5"/>
    <w:rPr>
      <w:b/>
      <w:bCs/>
    </w:rPr>
  </w:style>
  <w:style w:type="character" w:customStyle="1" w:styleId="CommentSubjectChar">
    <w:name w:val="Comment Subject Char"/>
    <w:basedOn w:val="CommentTextChar"/>
    <w:link w:val="CommentSubject"/>
    <w:uiPriority w:val="99"/>
    <w:semiHidden/>
    <w:rsid w:val="00DC25A5"/>
    <w:rPr>
      <w:b/>
      <w:bCs/>
      <w:sz w:val="20"/>
      <w:szCs w:val="20"/>
      <w:lang w:val="en-US" w:eastAsia="ja-JP"/>
    </w:rPr>
  </w:style>
  <w:style w:type="character" w:customStyle="1" w:styleId="apple-converted-space">
    <w:name w:val="apple-converted-space"/>
    <w:basedOn w:val="DefaultParagraphFont"/>
    <w:rsid w:val="0014161B"/>
  </w:style>
  <w:style w:type="character" w:customStyle="1" w:styleId="slug-doi">
    <w:name w:val="slug-doi"/>
    <w:basedOn w:val="DefaultParagraphFont"/>
    <w:rsid w:val="0014161B"/>
  </w:style>
  <w:style w:type="character" w:customStyle="1" w:styleId="ej-lbldoi-text">
    <w:name w:val="ej-lbldoi-text"/>
    <w:basedOn w:val="DefaultParagraphFont"/>
    <w:rsid w:val="00E1496A"/>
  </w:style>
  <w:style w:type="character" w:customStyle="1" w:styleId="ej-lbldoi">
    <w:name w:val="ej-lbldoi"/>
    <w:basedOn w:val="DefaultParagraphFont"/>
    <w:rsid w:val="00E1496A"/>
  </w:style>
  <w:style w:type="paragraph" w:styleId="FootnoteText">
    <w:name w:val="footnote text"/>
    <w:basedOn w:val="Normal"/>
    <w:link w:val="FootnoteTextChar"/>
    <w:uiPriority w:val="99"/>
    <w:unhideWhenUsed/>
    <w:rsid w:val="00155CDA"/>
    <w:pPr>
      <w:spacing w:after="0"/>
    </w:pPr>
  </w:style>
  <w:style w:type="character" w:customStyle="1" w:styleId="FootnoteTextChar">
    <w:name w:val="Footnote Text Char"/>
    <w:basedOn w:val="DefaultParagraphFont"/>
    <w:link w:val="FootnoteText"/>
    <w:uiPriority w:val="99"/>
    <w:rsid w:val="00155CDA"/>
    <w:rPr>
      <w:sz w:val="24"/>
      <w:szCs w:val="24"/>
      <w:lang w:val="en-US" w:eastAsia="ja-JP"/>
    </w:rPr>
  </w:style>
  <w:style w:type="character" w:styleId="FootnoteReference">
    <w:name w:val="footnote reference"/>
    <w:basedOn w:val="DefaultParagraphFont"/>
    <w:uiPriority w:val="99"/>
    <w:unhideWhenUsed/>
    <w:rsid w:val="00155CDA"/>
    <w:rPr>
      <w:vertAlign w:val="superscript"/>
    </w:rPr>
  </w:style>
  <w:style w:type="character" w:customStyle="1" w:styleId="authornames">
    <w:name w:val="authornames"/>
    <w:basedOn w:val="DefaultParagraphFont"/>
    <w:rsid w:val="00F462E8"/>
  </w:style>
  <w:style w:type="character" w:styleId="HTMLCite">
    <w:name w:val="HTML Cite"/>
    <w:basedOn w:val="DefaultParagraphFont"/>
    <w:uiPriority w:val="99"/>
    <w:semiHidden/>
    <w:unhideWhenUsed/>
    <w:rsid w:val="0090437E"/>
    <w:rPr>
      <w:i/>
      <w:iCs/>
    </w:rPr>
  </w:style>
  <w:style w:type="character" w:customStyle="1" w:styleId="slug-pub-date">
    <w:name w:val="slug-pub-date"/>
    <w:basedOn w:val="DefaultParagraphFont"/>
    <w:rsid w:val="0090437E"/>
  </w:style>
  <w:style w:type="character" w:customStyle="1" w:styleId="slug-vol">
    <w:name w:val="slug-vol"/>
    <w:basedOn w:val="DefaultParagraphFont"/>
    <w:rsid w:val="0090437E"/>
  </w:style>
  <w:style w:type="character" w:customStyle="1" w:styleId="slug-issue">
    <w:name w:val="slug-issue"/>
    <w:basedOn w:val="DefaultParagraphFont"/>
    <w:rsid w:val="0090437E"/>
  </w:style>
  <w:style w:type="character" w:customStyle="1" w:styleId="slug-pages">
    <w:name w:val="slug-pages"/>
    <w:basedOn w:val="DefaultParagraphFont"/>
    <w:rsid w:val="0090437E"/>
  </w:style>
  <w:style w:type="character" w:customStyle="1" w:styleId="Heading1Char">
    <w:name w:val="Heading 1 Char"/>
    <w:basedOn w:val="DefaultParagraphFont"/>
    <w:link w:val="Heading1"/>
    <w:uiPriority w:val="9"/>
    <w:rsid w:val="0090437E"/>
    <w:rPr>
      <w:rFonts w:eastAsia="Times New Roman"/>
      <w:b/>
      <w:bCs/>
      <w:kern w:val="36"/>
      <w:sz w:val="48"/>
      <w:szCs w:val="48"/>
    </w:rPr>
  </w:style>
  <w:style w:type="character" w:customStyle="1" w:styleId="name">
    <w:name w:val="name"/>
    <w:basedOn w:val="DefaultParagraphFont"/>
    <w:rsid w:val="0090437E"/>
  </w:style>
  <w:style w:type="character" w:styleId="Hyperlink">
    <w:name w:val="Hyperlink"/>
    <w:basedOn w:val="DefaultParagraphFont"/>
    <w:uiPriority w:val="99"/>
    <w:unhideWhenUsed/>
    <w:rsid w:val="0090437E"/>
    <w:rPr>
      <w:color w:val="0000FF"/>
      <w:u w:val="single"/>
    </w:rPr>
  </w:style>
  <w:style w:type="character" w:customStyle="1" w:styleId="contrib-email">
    <w:name w:val="contrib-email"/>
    <w:basedOn w:val="DefaultParagraphFont"/>
    <w:rsid w:val="0090437E"/>
  </w:style>
  <w:style w:type="character" w:customStyle="1" w:styleId="element-citation">
    <w:name w:val="element-citation"/>
    <w:basedOn w:val="DefaultParagraphFont"/>
    <w:rsid w:val="007B78EA"/>
  </w:style>
  <w:style w:type="character" w:customStyle="1" w:styleId="ref-journal">
    <w:name w:val="ref-journal"/>
    <w:basedOn w:val="DefaultParagraphFont"/>
    <w:rsid w:val="007B78EA"/>
  </w:style>
  <w:style w:type="paragraph" w:styleId="BodyText">
    <w:name w:val="Body Text"/>
    <w:basedOn w:val="Normal"/>
    <w:link w:val="BodyTextChar"/>
    <w:unhideWhenUsed/>
    <w:rsid w:val="001022FD"/>
    <w:pPr>
      <w:spacing w:after="360" w:line="360" w:lineRule="auto"/>
    </w:pPr>
    <w:rPr>
      <w:rFonts w:eastAsiaTheme="minorEastAsia" w:cstheme="minorBidi"/>
      <w:lang w:val="en-GB" w:eastAsia="en-GB"/>
    </w:rPr>
  </w:style>
  <w:style w:type="character" w:customStyle="1" w:styleId="BodyTextChar">
    <w:name w:val="Body Text Char"/>
    <w:basedOn w:val="DefaultParagraphFont"/>
    <w:link w:val="BodyText"/>
    <w:rsid w:val="001022FD"/>
    <w:rPr>
      <w:rFonts w:eastAsiaTheme="minorEastAsia" w:cstheme="minorBidi"/>
      <w:sz w:val="24"/>
      <w:szCs w:val="24"/>
    </w:rPr>
  </w:style>
  <w:style w:type="character" w:customStyle="1" w:styleId="slug-doi-wrapper">
    <w:name w:val="slug-doi-wrapper"/>
    <w:basedOn w:val="DefaultParagraphFont"/>
    <w:rsid w:val="00D61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CF"/>
    <w:pPr>
      <w:spacing w:after="200"/>
    </w:pPr>
    <w:rPr>
      <w:sz w:val="24"/>
      <w:szCs w:val="24"/>
      <w:lang w:val="en-US" w:eastAsia="ja-JP"/>
    </w:rPr>
  </w:style>
  <w:style w:type="paragraph" w:styleId="Heading1">
    <w:name w:val="heading 1"/>
    <w:basedOn w:val="Normal"/>
    <w:link w:val="Heading1Char"/>
    <w:uiPriority w:val="9"/>
    <w:qFormat/>
    <w:locked/>
    <w:rsid w:val="0090437E"/>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8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E08D0"/>
    <w:rPr>
      <w:rFonts w:ascii="Lucida Grande" w:hAnsi="Lucida Grande" w:cs="Lucida Grande"/>
      <w:sz w:val="18"/>
      <w:szCs w:val="18"/>
    </w:rPr>
  </w:style>
  <w:style w:type="table" w:styleId="TableGrid">
    <w:name w:val="Table Grid"/>
    <w:basedOn w:val="TableNormal"/>
    <w:uiPriority w:val="59"/>
    <w:rsid w:val="00593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69E"/>
    <w:pPr>
      <w:tabs>
        <w:tab w:val="center" w:pos="4320"/>
        <w:tab w:val="right" w:pos="8640"/>
      </w:tabs>
      <w:spacing w:after="0"/>
    </w:pPr>
  </w:style>
  <w:style w:type="character" w:customStyle="1" w:styleId="HeaderChar">
    <w:name w:val="Header Char"/>
    <w:basedOn w:val="DefaultParagraphFont"/>
    <w:link w:val="Header"/>
    <w:uiPriority w:val="99"/>
    <w:locked/>
    <w:rsid w:val="00FA769E"/>
    <w:rPr>
      <w:rFonts w:cs="Times New Roman"/>
    </w:rPr>
  </w:style>
  <w:style w:type="paragraph" w:styleId="Footer">
    <w:name w:val="footer"/>
    <w:basedOn w:val="Normal"/>
    <w:link w:val="FooterChar"/>
    <w:uiPriority w:val="99"/>
    <w:rsid w:val="00FA769E"/>
    <w:pPr>
      <w:tabs>
        <w:tab w:val="center" w:pos="4320"/>
        <w:tab w:val="right" w:pos="8640"/>
      </w:tabs>
      <w:spacing w:after="0"/>
    </w:pPr>
  </w:style>
  <w:style w:type="character" w:customStyle="1" w:styleId="FooterChar">
    <w:name w:val="Footer Char"/>
    <w:basedOn w:val="DefaultParagraphFont"/>
    <w:link w:val="Footer"/>
    <w:uiPriority w:val="99"/>
    <w:locked/>
    <w:rsid w:val="00FA769E"/>
    <w:rPr>
      <w:rFonts w:cs="Times New Roman"/>
    </w:rPr>
  </w:style>
  <w:style w:type="character" w:styleId="PageNumber">
    <w:name w:val="page number"/>
    <w:basedOn w:val="DefaultParagraphFont"/>
    <w:uiPriority w:val="99"/>
    <w:semiHidden/>
    <w:rsid w:val="00FA769E"/>
    <w:rPr>
      <w:rFonts w:cs="Times New Roman"/>
    </w:rPr>
  </w:style>
  <w:style w:type="paragraph" w:styleId="ListParagraph">
    <w:name w:val="List Paragraph"/>
    <w:basedOn w:val="Normal"/>
    <w:qFormat/>
    <w:rsid w:val="00126257"/>
    <w:pPr>
      <w:ind w:left="720"/>
      <w:contextualSpacing/>
    </w:pPr>
    <w:rPr>
      <w:rFonts w:eastAsia="MS ??"/>
    </w:rPr>
  </w:style>
  <w:style w:type="character" w:styleId="CommentReference">
    <w:name w:val="annotation reference"/>
    <w:basedOn w:val="DefaultParagraphFont"/>
    <w:uiPriority w:val="99"/>
    <w:semiHidden/>
    <w:unhideWhenUsed/>
    <w:rsid w:val="00DC25A5"/>
    <w:rPr>
      <w:sz w:val="16"/>
      <w:szCs w:val="16"/>
    </w:rPr>
  </w:style>
  <w:style w:type="paragraph" w:styleId="CommentText">
    <w:name w:val="annotation text"/>
    <w:basedOn w:val="Normal"/>
    <w:link w:val="CommentTextChar"/>
    <w:uiPriority w:val="99"/>
    <w:semiHidden/>
    <w:unhideWhenUsed/>
    <w:rsid w:val="00DC25A5"/>
    <w:rPr>
      <w:sz w:val="20"/>
      <w:szCs w:val="20"/>
    </w:rPr>
  </w:style>
  <w:style w:type="character" w:customStyle="1" w:styleId="CommentTextChar">
    <w:name w:val="Comment Text Char"/>
    <w:basedOn w:val="DefaultParagraphFont"/>
    <w:link w:val="CommentText"/>
    <w:uiPriority w:val="99"/>
    <w:semiHidden/>
    <w:rsid w:val="00DC25A5"/>
    <w:rPr>
      <w:sz w:val="20"/>
      <w:szCs w:val="20"/>
      <w:lang w:val="en-US" w:eastAsia="ja-JP"/>
    </w:rPr>
  </w:style>
  <w:style w:type="paragraph" w:styleId="CommentSubject">
    <w:name w:val="annotation subject"/>
    <w:basedOn w:val="CommentText"/>
    <w:next w:val="CommentText"/>
    <w:link w:val="CommentSubjectChar"/>
    <w:uiPriority w:val="99"/>
    <w:semiHidden/>
    <w:unhideWhenUsed/>
    <w:rsid w:val="00DC25A5"/>
    <w:rPr>
      <w:b/>
      <w:bCs/>
    </w:rPr>
  </w:style>
  <w:style w:type="character" w:customStyle="1" w:styleId="CommentSubjectChar">
    <w:name w:val="Comment Subject Char"/>
    <w:basedOn w:val="CommentTextChar"/>
    <w:link w:val="CommentSubject"/>
    <w:uiPriority w:val="99"/>
    <w:semiHidden/>
    <w:rsid w:val="00DC25A5"/>
    <w:rPr>
      <w:b/>
      <w:bCs/>
      <w:sz w:val="20"/>
      <w:szCs w:val="20"/>
      <w:lang w:val="en-US" w:eastAsia="ja-JP"/>
    </w:rPr>
  </w:style>
  <w:style w:type="character" w:customStyle="1" w:styleId="apple-converted-space">
    <w:name w:val="apple-converted-space"/>
    <w:basedOn w:val="DefaultParagraphFont"/>
    <w:rsid w:val="0014161B"/>
  </w:style>
  <w:style w:type="character" w:customStyle="1" w:styleId="slug-doi">
    <w:name w:val="slug-doi"/>
    <w:basedOn w:val="DefaultParagraphFont"/>
    <w:rsid w:val="0014161B"/>
  </w:style>
  <w:style w:type="character" w:customStyle="1" w:styleId="ej-lbldoi-text">
    <w:name w:val="ej-lbldoi-text"/>
    <w:basedOn w:val="DefaultParagraphFont"/>
    <w:rsid w:val="00E1496A"/>
  </w:style>
  <w:style w:type="character" w:customStyle="1" w:styleId="ej-lbldoi">
    <w:name w:val="ej-lbldoi"/>
    <w:basedOn w:val="DefaultParagraphFont"/>
    <w:rsid w:val="00E1496A"/>
  </w:style>
  <w:style w:type="paragraph" w:styleId="FootnoteText">
    <w:name w:val="footnote text"/>
    <w:basedOn w:val="Normal"/>
    <w:link w:val="FootnoteTextChar"/>
    <w:uiPriority w:val="99"/>
    <w:unhideWhenUsed/>
    <w:rsid w:val="00155CDA"/>
    <w:pPr>
      <w:spacing w:after="0"/>
    </w:pPr>
  </w:style>
  <w:style w:type="character" w:customStyle="1" w:styleId="FootnoteTextChar">
    <w:name w:val="Footnote Text Char"/>
    <w:basedOn w:val="DefaultParagraphFont"/>
    <w:link w:val="FootnoteText"/>
    <w:uiPriority w:val="99"/>
    <w:rsid w:val="00155CDA"/>
    <w:rPr>
      <w:sz w:val="24"/>
      <w:szCs w:val="24"/>
      <w:lang w:val="en-US" w:eastAsia="ja-JP"/>
    </w:rPr>
  </w:style>
  <w:style w:type="character" w:styleId="FootnoteReference">
    <w:name w:val="footnote reference"/>
    <w:basedOn w:val="DefaultParagraphFont"/>
    <w:uiPriority w:val="99"/>
    <w:unhideWhenUsed/>
    <w:rsid w:val="00155CDA"/>
    <w:rPr>
      <w:vertAlign w:val="superscript"/>
    </w:rPr>
  </w:style>
  <w:style w:type="character" w:customStyle="1" w:styleId="authornames">
    <w:name w:val="authornames"/>
    <w:basedOn w:val="DefaultParagraphFont"/>
    <w:rsid w:val="00F462E8"/>
  </w:style>
  <w:style w:type="character" w:styleId="HTMLCite">
    <w:name w:val="HTML Cite"/>
    <w:basedOn w:val="DefaultParagraphFont"/>
    <w:uiPriority w:val="99"/>
    <w:semiHidden/>
    <w:unhideWhenUsed/>
    <w:rsid w:val="0090437E"/>
    <w:rPr>
      <w:i/>
      <w:iCs/>
    </w:rPr>
  </w:style>
  <w:style w:type="character" w:customStyle="1" w:styleId="slug-pub-date">
    <w:name w:val="slug-pub-date"/>
    <w:basedOn w:val="DefaultParagraphFont"/>
    <w:rsid w:val="0090437E"/>
  </w:style>
  <w:style w:type="character" w:customStyle="1" w:styleId="slug-vol">
    <w:name w:val="slug-vol"/>
    <w:basedOn w:val="DefaultParagraphFont"/>
    <w:rsid w:val="0090437E"/>
  </w:style>
  <w:style w:type="character" w:customStyle="1" w:styleId="slug-issue">
    <w:name w:val="slug-issue"/>
    <w:basedOn w:val="DefaultParagraphFont"/>
    <w:rsid w:val="0090437E"/>
  </w:style>
  <w:style w:type="character" w:customStyle="1" w:styleId="slug-pages">
    <w:name w:val="slug-pages"/>
    <w:basedOn w:val="DefaultParagraphFont"/>
    <w:rsid w:val="0090437E"/>
  </w:style>
  <w:style w:type="character" w:customStyle="1" w:styleId="Heading1Char">
    <w:name w:val="Heading 1 Char"/>
    <w:basedOn w:val="DefaultParagraphFont"/>
    <w:link w:val="Heading1"/>
    <w:uiPriority w:val="9"/>
    <w:rsid w:val="0090437E"/>
    <w:rPr>
      <w:rFonts w:eastAsia="Times New Roman"/>
      <w:b/>
      <w:bCs/>
      <w:kern w:val="36"/>
      <w:sz w:val="48"/>
      <w:szCs w:val="48"/>
    </w:rPr>
  </w:style>
  <w:style w:type="character" w:customStyle="1" w:styleId="name">
    <w:name w:val="name"/>
    <w:basedOn w:val="DefaultParagraphFont"/>
    <w:rsid w:val="0090437E"/>
  </w:style>
  <w:style w:type="character" w:styleId="Hyperlink">
    <w:name w:val="Hyperlink"/>
    <w:basedOn w:val="DefaultParagraphFont"/>
    <w:uiPriority w:val="99"/>
    <w:unhideWhenUsed/>
    <w:rsid w:val="0090437E"/>
    <w:rPr>
      <w:color w:val="0000FF"/>
      <w:u w:val="single"/>
    </w:rPr>
  </w:style>
  <w:style w:type="character" w:customStyle="1" w:styleId="contrib-email">
    <w:name w:val="contrib-email"/>
    <w:basedOn w:val="DefaultParagraphFont"/>
    <w:rsid w:val="0090437E"/>
  </w:style>
  <w:style w:type="character" w:customStyle="1" w:styleId="element-citation">
    <w:name w:val="element-citation"/>
    <w:basedOn w:val="DefaultParagraphFont"/>
    <w:rsid w:val="007B78EA"/>
  </w:style>
  <w:style w:type="character" w:customStyle="1" w:styleId="ref-journal">
    <w:name w:val="ref-journal"/>
    <w:basedOn w:val="DefaultParagraphFont"/>
    <w:rsid w:val="007B78EA"/>
  </w:style>
  <w:style w:type="paragraph" w:styleId="BodyText">
    <w:name w:val="Body Text"/>
    <w:basedOn w:val="Normal"/>
    <w:link w:val="BodyTextChar"/>
    <w:unhideWhenUsed/>
    <w:rsid w:val="001022FD"/>
    <w:pPr>
      <w:spacing w:after="360" w:line="360" w:lineRule="auto"/>
    </w:pPr>
    <w:rPr>
      <w:rFonts w:eastAsiaTheme="minorEastAsia" w:cstheme="minorBidi"/>
      <w:lang w:val="en-GB" w:eastAsia="en-GB"/>
    </w:rPr>
  </w:style>
  <w:style w:type="character" w:customStyle="1" w:styleId="BodyTextChar">
    <w:name w:val="Body Text Char"/>
    <w:basedOn w:val="DefaultParagraphFont"/>
    <w:link w:val="BodyText"/>
    <w:rsid w:val="001022FD"/>
    <w:rPr>
      <w:rFonts w:eastAsiaTheme="minorEastAsia" w:cstheme="minorBidi"/>
      <w:sz w:val="24"/>
      <w:szCs w:val="24"/>
    </w:rPr>
  </w:style>
  <w:style w:type="character" w:customStyle="1" w:styleId="slug-doi-wrapper">
    <w:name w:val="slug-doi-wrapper"/>
    <w:basedOn w:val="DefaultParagraphFont"/>
    <w:rsid w:val="00D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149">
      <w:bodyDiv w:val="1"/>
      <w:marLeft w:val="0"/>
      <w:marRight w:val="0"/>
      <w:marTop w:val="0"/>
      <w:marBottom w:val="0"/>
      <w:divBdr>
        <w:top w:val="none" w:sz="0" w:space="0" w:color="auto"/>
        <w:left w:val="none" w:sz="0" w:space="0" w:color="auto"/>
        <w:bottom w:val="none" w:sz="0" w:space="0" w:color="auto"/>
        <w:right w:val="none" w:sz="0" w:space="0" w:color="auto"/>
      </w:divBdr>
    </w:div>
    <w:div w:id="75784305">
      <w:bodyDiv w:val="1"/>
      <w:marLeft w:val="0"/>
      <w:marRight w:val="0"/>
      <w:marTop w:val="0"/>
      <w:marBottom w:val="0"/>
      <w:divBdr>
        <w:top w:val="none" w:sz="0" w:space="0" w:color="auto"/>
        <w:left w:val="none" w:sz="0" w:space="0" w:color="auto"/>
        <w:bottom w:val="none" w:sz="0" w:space="0" w:color="auto"/>
        <w:right w:val="none" w:sz="0" w:space="0" w:color="auto"/>
      </w:divBdr>
    </w:div>
    <w:div w:id="113407195">
      <w:bodyDiv w:val="1"/>
      <w:marLeft w:val="0"/>
      <w:marRight w:val="0"/>
      <w:marTop w:val="0"/>
      <w:marBottom w:val="0"/>
      <w:divBdr>
        <w:top w:val="none" w:sz="0" w:space="0" w:color="auto"/>
        <w:left w:val="none" w:sz="0" w:space="0" w:color="auto"/>
        <w:bottom w:val="none" w:sz="0" w:space="0" w:color="auto"/>
        <w:right w:val="none" w:sz="0" w:space="0" w:color="auto"/>
      </w:divBdr>
    </w:div>
    <w:div w:id="305863796">
      <w:bodyDiv w:val="1"/>
      <w:marLeft w:val="0"/>
      <w:marRight w:val="0"/>
      <w:marTop w:val="0"/>
      <w:marBottom w:val="0"/>
      <w:divBdr>
        <w:top w:val="none" w:sz="0" w:space="0" w:color="auto"/>
        <w:left w:val="none" w:sz="0" w:space="0" w:color="auto"/>
        <w:bottom w:val="none" w:sz="0" w:space="0" w:color="auto"/>
        <w:right w:val="none" w:sz="0" w:space="0" w:color="auto"/>
      </w:divBdr>
    </w:div>
    <w:div w:id="515538550">
      <w:bodyDiv w:val="1"/>
      <w:marLeft w:val="0"/>
      <w:marRight w:val="0"/>
      <w:marTop w:val="0"/>
      <w:marBottom w:val="0"/>
      <w:divBdr>
        <w:top w:val="none" w:sz="0" w:space="0" w:color="auto"/>
        <w:left w:val="none" w:sz="0" w:space="0" w:color="auto"/>
        <w:bottom w:val="none" w:sz="0" w:space="0" w:color="auto"/>
        <w:right w:val="none" w:sz="0" w:space="0" w:color="auto"/>
      </w:divBdr>
    </w:div>
    <w:div w:id="565922152">
      <w:bodyDiv w:val="1"/>
      <w:marLeft w:val="0"/>
      <w:marRight w:val="0"/>
      <w:marTop w:val="0"/>
      <w:marBottom w:val="0"/>
      <w:divBdr>
        <w:top w:val="none" w:sz="0" w:space="0" w:color="auto"/>
        <w:left w:val="none" w:sz="0" w:space="0" w:color="auto"/>
        <w:bottom w:val="none" w:sz="0" w:space="0" w:color="auto"/>
        <w:right w:val="none" w:sz="0" w:space="0" w:color="auto"/>
      </w:divBdr>
    </w:div>
    <w:div w:id="694232539">
      <w:bodyDiv w:val="1"/>
      <w:marLeft w:val="0"/>
      <w:marRight w:val="0"/>
      <w:marTop w:val="0"/>
      <w:marBottom w:val="0"/>
      <w:divBdr>
        <w:top w:val="none" w:sz="0" w:space="0" w:color="auto"/>
        <w:left w:val="none" w:sz="0" w:space="0" w:color="auto"/>
        <w:bottom w:val="none" w:sz="0" w:space="0" w:color="auto"/>
        <w:right w:val="none" w:sz="0" w:space="0" w:color="auto"/>
      </w:divBdr>
    </w:div>
    <w:div w:id="716855256">
      <w:bodyDiv w:val="1"/>
      <w:marLeft w:val="0"/>
      <w:marRight w:val="0"/>
      <w:marTop w:val="0"/>
      <w:marBottom w:val="0"/>
      <w:divBdr>
        <w:top w:val="none" w:sz="0" w:space="0" w:color="auto"/>
        <w:left w:val="none" w:sz="0" w:space="0" w:color="auto"/>
        <w:bottom w:val="none" w:sz="0" w:space="0" w:color="auto"/>
        <w:right w:val="none" w:sz="0" w:space="0" w:color="auto"/>
      </w:divBdr>
    </w:div>
    <w:div w:id="849491807">
      <w:bodyDiv w:val="1"/>
      <w:marLeft w:val="0"/>
      <w:marRight w:val="0"/>
      <w:marTop w:val="0"/>
      <w:marBottom w:val="0"/>
      <w:divBdr>
        <w:top w:val="none" w:sz="0" w:space="0" w:color="auto"/>
        <w:left w:val="none" w:sz="0" w:space="0" w:color="auto"/>
        <w:bottom w:val="none" w:sz="0" w:space="0" w:color="auto"/>
        <w:right w:val="none" w:sz="0" w:space="0" w:color="auto"/>
      </w:divBdr>
    </w:div>
    <w:div w:id="850027198">
      <w:bodyDiv w:val="1"/>
      <w:marLeft w:val="0"/>
      <w:marRight w:val="0"/>
      <w:marTop w:val="0"/>
      <w:marBottom w:val="0"/>
      <w:divBdr>
        <w:top w:val="none" w:sz="0" w:space="0" w:color="auto"/>
        <w:left w:val="none" w:sz="0" w:space="0" w:color="auto"/>
        <w:bottom w:val="none" w:sz="0" w:space="0" w:color="auto"/>
        <w:right w:val="none" w:sz="0" w:space="0" w:color="auto"/>
      </w:divBdr>
    </w:div>
    <w:div w:id="868300108">
      <w:bodyDiv w:val="1"/>
      <w:marLeft w:val="0"/>
      <w:marRight w:val="0"/>
      <w:marTop w:val="0"/>
      <w:marBottom w:val="0"/>
      <w:divBdr>
        <w:top w:val="none" w:sz="0" w:space="0" w:color="auto"/>
        <w:left w:val="none" w:sz="0" w:space="0" w:color="auto"/>
        <w:bottom w:val="none" w:sz="0" w:space="0" w:color="auto"/>
        <w:right w:val="none" w:sz="0" w:space="0" w:color="auto"/>
      </w:divBdr>
    </w:div>
    <w:div w:id="937327591">
      <w:bodyDiv w:val="1"/>
      <w:marLeft w:val="0"/>
      <w:marRight w:val="0"/>
      <w:marTop w:val="0"/>
      <w:marBottom w:val="0"/>
      <w:divBdr>
        <w:top w:val="none" w:sz="0" w:space="0" w:color="auto"/>
        <w:left w:val="none" w:sz="0" w:space="0" w:color="auto"/>
        <w:bottom w:val="none" w:sz="0" w:space="0" w:color="auto"/>
        <w:right w:val="none" w:sz="0" w:space="0" w:color="auto"/>
      </w:divBdr>
    </w:div>
    <w:div w:id="954556218">
      <w:bodyDiv w:val="1"/>
      <w:marLeft w:val="0"/>
      <w:marRight w:val="0"/>
      <w:marTop w:val="0"/>
      <w:marBottom w:val="0"/>
      <w:divBdr>
        <w:top w:val="none" w:sz="0" w:space="0" w:color="auto"/>
        <w:left w:val="none" w:sz="0" w:space="0" w:color="auto"/>
        <w:bottom w:val="none" w:sz="0" w:space="0" w:color="auto"/>
        <w:right w:val="none" w:sz="0" w:space="0" w:color="auto"/>
      </w:divBdr>
    </w:div>
    <w:div w:id="955676377">
      <w:bodyDiv w:val="1"/>
      <w:marLeft w:val="0"/>
      <w:marRight w:val="0"/>
      <w:marTop w:val="0"/>
      <w:marBottom w:val="0"/>
      <w:divBdr>
        <w:top w:val="none" w:sz="0" w:space="0" w:color="auto"/>
        <w:left w:val="none" w:sz="0" w:space="0" w:color="auto"/>
        <w:bottom w:val="none" w:sz="0" w:space="0" w:color="auto"/>
        <w:right w:val="none" w:sz="0" w:space="0" w:color="auto"/>
      </w:divBdr>
    </w:div>
    <w:div w:id="986933552">
      <w:bodyDiv w:val="1"/>
      <w:marLeft w:val="0"/>
      <w:marRight w:val="0"/>
      <w:marTop w:val="0"/>
      <w:marBottom w:val="0"/>
      <w:divBdr>
        <w:top w:val="none" w:sz="0" w:space="0" w:color="auto"/>
        <w:left w:val="none" w:sz="0" w:space="0" w:color="auto"/>
        <w:bottom w:val="none" w:sz="0" w:space="0" w:color="auto"/>
        <w:right w:val="none" w:sz="0" w:space="0" w:color="auto"/>
      </w:divBdr>
      <w:divsChild>
        <w:div w:id="729688669">
          <w:marLeft w:val="0"/>
          <w:marRight w:val="0"/>
          <w:marTop w:val="0"/>
          <w:marBottom w:val="0"/>
          <w:divBdr>
            <w:top w:val="none" w:sz="0" w:space="0" w:color="auto"/>
            <w:left w:val="none" w:sz="0" w:space="0" w:color="auto"/>
            <w:bottom w:val="none" w:sz="0" w:space="0" w:color="auto"/>
            <w:right w:val="none" w:sz="0" w:space="0" w:color="auto"/>
          </w:divBdr>
        </w:div>
      </w:divsChild>
    </w:div>
    <w:div w:id="993946179">
      <w:bodyDiv w:val="1"/>
      <w:marLeft w:val="0"/>
      <w:marRight w:val="0"/>
      <w:marTop w:val="0"/>
      <w:marBottom w:val="0"/>
      <w:divBdr>
        <w:top w:val="none" w:sz="0" w:space="0" w:color="auto"/>
        <w:left w:val="none" w:sz="0" w:space="0" w:color="auto"/>
        <w:bottom w:val="none" w:sz="0" w:space="0" w:color="auto"/>
        <w:right w:val="none" w:sz="0" w:space="0" w:color="auto"/>
      </w:divBdr>
    </w:div>
    <w:div w:id="1040319703">
      <w:bodyDiv w:val="1"/>
      <w:marLeft w:val="0"/>
      <w:marRight w:val="0"/>
      <w:marTop w:val="0"/>
      <w:marBottom w:val="0"/>
      <w:divBdr>
        <w:top w:val="none" w:sz="0" w:space="0" w:color="auto"/>
        <w:left w:val="none" w:sz="0" w:space="0" w:color="auto"/>
        <w:bottom w:val="none" w:sz="0" w:space="0" w:color="auto"/>
        <w:right w:val="none" w:sz="0" w:space="0" w:color="auto"/>
      </w:divBdr>
    </w:div>
    <w:div w:id="1152872286">
      <w:bodyDiv w:val="1"/>
      <w:marLeft w:val="0"/>
      <w:marRight w:val="0"/>
      <w:marTop w:val="0"/>
      <w:marBottom w:val="0"/>
      <w:divBdr>
        <w:top w:val="none" w:sz="0" w:space="0" w:color="auto"/>
        <w:left w:val="none" w:sz="0" w:space="0" w:color="auto"/>
        <w:bottom w:val="none" w:sz="0" w:space="0" w:color="auto"/>
        <w:right w:val="none" w:sz="0" w:space="0" w:color="auto"/>
      </w:divBdr>
    </w:div>
    <w:div w:id="1167020376">
      <w:bodyDiv w:val="1"/>
      <w:marLeft w:val="0"/>
      <w:marRight w:val="0"/>
      <w:marTop w:val="0"/>
      <w:marBottom w:val="0"/>
      <w:divBdr>
        <w:top w:val="none" w:sz="0" w:space="0" w:color="auto"/>
        <w:left w:val="none" w:sz="0" w:space="0" w:color="auto"/>
        <w:bottom w:val="none" w:sz="0" w:space="0" w:color="auto"/>
        <w:right w:val="none" w:sz="0" w:space="0" w:color="auto"/>
      </w:divBdr>
    </w:div>
    <w:div w:id="1178078040">
      <w:bodyDiv w:val="1"/>
      <w:marLeft w:val="0"/>
      <w:marRight w:val="0"/>
      <w:marTop w:val="0"/>
      <w:marBottom w:val="0"/>
      <w:divBdr>
        <w:top w:val="none" w:sz="0" w:space="0" w:color="auto"/>
        <w:left w:val="none" w:sz="0" w:space="0" w:color="auto"/>
        <w:bottom w:val="none" w:sz="0" w:space="0" w:color="auto"/>
        <w:right w:val="none" w:sz="0" w:space="0" w:color="auto"/>
      </w:divBdr>
    </w:div>
    <w:div w:id="1265772662">
      <w:bodyDiv w:val="1"/>
      <w:marLeft w:val="0"/>
      <w:marRight w:val="0"/>
      <w:marTop w:val="0"/>
      <w:marBottom w:val="0"/>
      <w:divBdr>
        <w:top w:val="none" w:sz="0" w:space="0" w:color="auto"/>
        <w:left w:val="none" w:sz="0" w:space="0" w:color="auto"/>
        <w:bottom w:val="none" w:sz="0" w:space="0" w:color="auto"/>
        <w:right w:val="none" w:sz="0" w:space="0" w:color="auto"/>
      </w:divBdr>
    </w:div>
    <w:div w:id="1406873401">
      <w:bodyDiv w:val="1"/>
      <w:marLeft w:val="0"/>
      <w:marRight w:val="0"/>
      <w:marTop w:val="0"/>
      <w:marBottom w:val="0"/>
      <w:divBdr>
        <w:top w:val="none" w:sz="0" w:space="0" w:color="auto"/>
        <w:left w:val="none" w:sz="0" w:space="0" w:color="auto"/>
        <w:bottom w:val="none" w:sz="0" w:space="0" w:color="auto"/>
        <w:right w:val="none" w:sz="0" w:space="0" w:color="auto"/>
      </w:divBdr>
    </w:div>
    <w:div w:id="1409769401">
      <w:bodyDiv w:val="1"/>
      <w:marLeft w:val="0"/>
      <w:marRight w:val="0"/>
      <w:marTop w:val="0"/>
      <w:marBottom w:val="0"/>
      <w:divBdr>
        <w:top w:val="none" w:sz="0" w:space="0" w:color="auto"/>
        <w:left w:val="none" w:sz="0" w:space="0" w:color="auto"/>
        <w:bottom w:val="none" w:sz="0" w:space="0" w:color="auto"/>
        <w:right w:val="none" w:sz="0" w:space="0" w:color="auto"/>
      </w:divBdr>
    </w:div>
    <w:div w:id="1423910864">
      <w:bodyDiv w:val="1"/>
      <w:marLeft w:val="0"/>
      <w:marRight w:val="0"/>
      <w:marTop w:val="0"/>
      <w:marBottom w:val="0"/>
      <w:divBdr>
        <w:top w:val="none" w:sz="0" w:space="0" w:color="auto"/>
        <w:left w:val="none" w:sz="0" w:space="0" w:color="auto"/>
        <w:bottom w:val="none" w:sz="0" w:space="0" w:color="auto"/>
        <w:right w:val="none" w:sz="0" w:space="0" w:color="auto"/>
      </w:divBdr>
    </w:div>
    <w:div w:id="1467313271">
      <w:bodyDiv w:val="1"/>
      <w:marLeft w:val="0"/>
      <w:marRight w:val="0"/>
      <w:marTop w:val="0"/>
      <w:marBottom w:val="0"/>
      <w:divBdr>
        <w:top w:val="none" w:sz="0" w:space="0" w:color="auto"/>
        <w:left w:val="none" w:sz="0" w:space="0" w:color="auto"/>
        <w:bottom w:val="none" w:sz="0" w:space="0" w:color="auto"/>
        <w:right w:val="none" w:sz="0" w:space="0" w:color="auto"/>
      </w:divBdr>
    </w:div>
    <w:div w:id="1522206388">
      <w:bodyDiv w:val="1"/>
      <w:marLeft w:val="0"/>
      <w:marRight w:val="0"/>
      <w:marTop w:val="0"/>
      <w:marBottom w:val="0"/>
      <w:divBdr>
        <w:top w:val="none" w:sz="0" w:space="0" w:color="auto"/>
        <w:left w:val="none" w:sz="0" w:space="0" w:color="auto"/>
        <w:bottom w:val="none" w:sz="0" w:space="0" w:color="auto"/>
        <w:right w:val="none" w:sz="0" w:space="0" w:color="auto"/>
      </w:divBdr>
    </w:div>
    <w:div w:id="1656493462">
      <w:bodyDiv w:val="1"/>
      <w:marLeft w:val="0"/>
      <w:marRight w:val="0"/>
      <w:marTop w:val="0"/>
      <w:marBottom w:val="0"/>
      <w:divBdr>
        <w:top w:val="none" w:sz="0" w:space="0" w:color="auto"/>
        <w:left w:val="none" w:sz="0" w:space="0" w:color="auto"/>
        <w:bottom w:val="none" w:sz="0" w:space="0" w:color="auto"/>
        <w:right w:val="none" w:sz="0" w:space="0" w:color="auto"/>
      </w:divBdr>
    </w:div>
    <w:div w:id="1709527702">
      <w:bodyDiv w:val="1"/>
      <w:marLeft w:val="0"/>
      <w:marRight w:val="0"/>
      <w:marTop w:val="0"/>
      <w:marBottom w:val="0"/>
      <w:divBdr>
        <w:top w:val="none" w:sz="0" w:space="0" w:color="auto"/>
        <w:left w:val="none" w:sz="0" w:space="0" w:color="auto"/>
        <w:bottom w:val="none" w:sz="0" w:space="0" w:color="auto"/>
        <w:right w:val="none" w:sz="0" w:space="0" w:color="auto"/>
      </w:divBdr>
    </w:div>
    <w:div w:id="1732389548">
      <w:bodyDiv w:val="1"/>
      <w:marLeft w:val="0"/>
      <w:marRight w:val="0"/>
      <w:marTop w:val="0"/>
      <w:marBottom w:val="0"/>
      <w:divBdr>
        <w:top w:val="none" w:sz="0" w:space="0" w:color="auto"/>
        <w:left w:val="none" w:sz="0" w:space="0" w:color="auto"/>
        <w:bottom w:val="none" w:sz="0" w:space="0" w:color="auto"/>
        <w:right w:val="none" w:sz="0" w:space="0" w:color="auto"/>
      </w:divBdr>
    </w:div>
    <w:div w:id="1732653768">
      <w:bodyDiv w:val="1"/>
      <w:marLeft w:val="0"/>
      <w:marRight w:val="0"/>
      <w:marTop w:val="0"/>
      <w:marBottom w:val="0"/>
      <w:divBdr>
        <w:top w:val="none" w:sz="0" w:space="0" w:color="auto"/>
        <w:left w:val="none" w:sz="0" w:space="0" w:color="auto"/>
        <w:bottom w:val="none" w:sz="0" w:space="0" w:color="auto"/>
        <w:right w:val="none" w:sz="0" w:space="0" w:color="auto"/>
      </w:divBdr>
      <w:divsChild>
        <w:div w:id="261694055">
          <w:marLeft w:val="75"/>
          <w:marRight w:val="75"/>
          <w:marTop w:val="0"/>
          <w:marBottom w:val="0"/>
          <w:divBdr>
            <w:top w:val="none" w:sz="0" w:space="0" w:color="auto"/>
            <w:left w:val="none" w:sz="0" w:space="0" w:color="auto"/>
            <w:bottom w:val="none" w:sz="0" w:space="0" w:color="auto"/>
            <w:right w:val="none" w:sz="0" w:space="0" w:color="auto"/>
          </w:divBdr>
        </w:div>
      </w:divsChild>
    </w:div>
    <w:div w:id="1760561122">
      <w:bodyDiv w:val="1"/>
      <w:marLeft w:val="0"/>
      <w:marRight w:val="0"/>
      <w:marTop w:val="0"/>
      <w:marBottom w:val="0"/>
      <w:divBdr>
        <w:top w:val="none" w:sz="0" w:space="0" w:color="auto"/>
        <w:left w:val="none" w:sz="0" w:space="0" w:color="auto"/>
        <w:bottom w:val="none" w:sz="0" w:space="0" w:color="auto"/>
        <w:right w:val="none" w:sz="0" w:space="0" w:color="auto"/>
      </w:divBdr>
    </w:div>
    <w:div w:id="1760834176">
      <w:bodyDiv w:val="1"/>
      <w:marLeft w:val="0"/>
      <w:marRight w:val="0"/>
      <w:marTop w:val="0"/>
      <w:marBottom w:val="0"/>
      <w:divBdr>
        <w:top w:val="none" w:sz="0" w:space="0" w:color="auto"/>
        <w:left w:val="none" w:sz="0" w:space="0" w:color="auto"/>
        <w:bottom w:val="none" w:sz="0" w:space="0" w:color="auto"/>
        <w:right w:val="none" w:sz="0" w:space="0" w:color="auto"/>
      </w:divBdr>
    </w:div>
    <w:div w:id="1813592816">
      <w:bodyDiv w:val="1"/>
      <w:marLeft w:val="0"/>
      <w:marRight w:val="0"/>
      <w:marTop w:val="0"/>
      <w:marBottom w:val="0"/>
      <w:divBdr>
        <w:top w:val="none" w:sz="0" w:space="0" w:color="auto"/>
        <w:left w:val="none" w:sz="0" w:space="0" w:color="auto"/>
        <w:bottom w:val="none" w:sz="0" w:space="0" w:color="auto"/>
        <w:right w:val="none" w:sz="0" w:space="0" w:color="auto"/>
      </w:divBdr>
    </w:div>
    <w:div w:id="1919899982">
      <w:bodyDiv w:val="1"/>
      <w:marLeft w:val="0"/>
      <w:marRight w:val="0"/>
      <w:marTop w:val="0"/>
      <w:marBottom w:val="0"/>
      <w:divBdr>
        <w:top w:val="none" w:sz="0" w:space="0" w:color="auto"/>
        <w:left w:val="none" w:sz="0" w:space="0" w:color="auto"/>
        <w:bottom w:val="none" w:sz="0" w:space="0" w:color="auto"/>
        <w:right w:val="none" w:sz="0" w:space="0" w:color="auto"/>
      </w:divBdr>
    </w:div>
    <w:div w:id="1967077902">
      <w:bodyDiv w:val="1"/>
      <w:marLeft w:val="0"/>
      <w:marRight w:val="0"/>
      <w:marTop w:val="0"/>
      <w:marBottom w:val="0"/>
      <w:divBdr>
        <w:top w:val="none" w:sz="0" w:space="0" w:color="auto"/>
        <w:left w:val="none" w:sz="0" w:space="0" w:color="auto"/>
        <w:bottom w:val="none" w:sz="0" w:space="0" w:color="auto"/>
        <w:right w:val="none" w:sz="0" w:space="0" w:color="auto"/>
      </w:divBdr>
    </w:div>
    <w:div w:id="2139057437">
      <w:bodyDiv w:val="1"/>
      <w:marLeft w:val="0"/>
      <w:marRight w:val="0"/>
      <w:marTop w:val="0"/>
      <w:marBottom w:val="0"/>
      <w:divBdr>
        <w:top w:val="none" w:sz="0" w:space="0" w:color="auto"/>
        <w:left w:val="none" w:sz="0" w:space="0" w:color="auto"/>
        <w:bottom w:val="none" w:sz="0" w:space="0" w:color="auto"/>
        <w:right w:val="none" w:sz="0" w:space="0" w:color="auto"/>
      </w:divBdr>
      <w:divsChild>
        <w:div w:id="799153130">
          <w:marLeft w:val="0"/>
          <w:marRight w:val="0"/>
          <w:marTop w:val="0"/>
          <w:marBottom w:val="0"/>
          <w:divBdr>
            <w:top w:val="none" w:sz="0" w:space="0" w:color="auto"/>
            <w:left w:val="none" w:sz="0" w:space="0" w:color="auto"/>
            <w:bottom w:val="none" w:sz="0" w:space="0" w:color="auto"/>
            <w:right w:val="none" w:sz="0" w:space="0" w:color="auto"/>
          </w:divBdr>
        </w:div>
        <w:div w:id="52510775">
          <w:marLeft w:val="0"/>
          <w:marRight w:val="0"/>
          <w:marTop w:val="0"/>
          <w:marBottom w:val="0"/>
          <w:divBdr>
            <w:top w:val="none" w:sz="0" w:space="0" w:color="auto"/>
            <w:left w:val="none" w:sz="0" w:space="0" w:color="auto"/>
            <w:bottom w:val="none" w:sz="0" w:space="0" w:color="auto"/>
            <w:right w:val="none" w:sz="0" w:space="0" w:color="auto"/>
          </w:divBdr>
        </w:div>
        <w:div w:id="46107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vaan.ugent.be/tutorial/tutori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sycnet.apa.org/doi/10.1037/pas0000110" TargetMode="External"/><Relationship Id="rId1"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12380</Words>
  <Characters>70567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82782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 Griffiths</dc:creator>
  <cp:lastModifiedBy>PJT</cp:lastModifiedBy>
  <cp:revision>2</cp:revision>
  <cp:lastPrinted>2013-09-25T20:07:00Z</cp:lastPrinted>
  <dcterms:created xsi:type="dcterms:W3CDTF">2015-07-18T15:19:00Z</dcterms:created>
  <dcterms:modified xsi:type="dcterms:W3CDTF">2015-07-18T15:19:00Z</dcterms:modified>
</cp:coreProperties>
</file>