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D6F62" w14:textId="0A63EC2C" w:rsidR="007E7328" w:rsidRPr="009D2F56" w:rsidRDefault="00FA1FF7" w:rsidP="00E40F70">
      <w:pPr>
        <w:pStyle w:val="Title"/>
        <w:jc w:val="both"/>
        <w:rPr>
          <w:rFonts w:ascii="Times New Roman" w:hAnsi="Times New Roman" w:cs="Times New Roman"/>
          <w:sz w:val="36"/>
          <w:szCs w:val="36"/>
        </w:rPr>
      </w:pPr>
      <w:r w:rsidRPr="009D2F56">
        <w:rPr>
          <w:rFonts w:ascii="Times New Roman" w:hAnsi="Times New Roman" w:cs="Times New Roman"/>
          <w:sz w:val="36"/>
          <w:szCs w:val="36"/>
        </w:rPr>
        <w:t xml:space="preserve">In Defence of a </w:t>
      </w:r>
      <w:r w:rsidR="00F132F8" w:rsidRPr="009D2F56">
        <w:rPr>
          <w:rFonts w:ascii="Times New Roman" w:hAnsi="Times New Roman" w:cs="Times New Roman"/>
          <w:sz w:val="36"/>
          <w:szCs w:val="36"/>
        </w:rPr>
        <w:t xml:space="preserve">More </w:t>
      </w:r>
      <w:r w:rsidR="009D2F56">
        <w:rPr>
          <w:rFonts w:ascii="Times New Roman" w:hAnsi="Times New Roman" w:cs="Times New Roman"/>
          <w:sz w:val="36"/>
          <w:szCs w:val="36"/>
        </w:rPr>
        <w:t>Sophisticated</w:t>
      </w:r>
      <w:r w:rsidR="009D2F56">
        <w:rPr>
          <w:rFonts w:ascii="Times New Roman" w:hAnsi="Times New Roman" w:cs="Times New Roman"/>
          <w:sz w:val="36"/>
          <w:szCs w:val="36"/>
        </w:rPr>
        <w:t xml:space="preserve"> </w:t>
      </w:r>
      <w:r w:rsidR="009D2F56">
        <w:rPr>
          <w:rFonts w:ascii="Times New Roman" w:hAnsi="Times New Roman" w:cs="Times New Roman"/>
          <w:sz w:val="36"/>
          <w:szCs w:val="36"/>
        </w:rPr>
        <w:t xml:space="preserve">and </w:t>
      </w:r>
      <w:r w:rsidR="00F132F8" w:rsidRPr="009D2F56">
        <w:rPr>
          <w:rFonts w:ascii="Times New Roman" w:hAnsi="Times New Roman" w:cs="Times New Roman"/>
          <w:sz w:val="36"/>
          <w:szCs w:val="36"/>
        </w:rPr>
        <w:t xml:space="preserve">Nuanced </w:t>
      </w:r>
      <w:r w:rsidR="00E40F70" w:rsidRPr="009D2F56">
        <w:rPr>
          <w:rFonts w:ascii="Times New Roman" w:hAnsi="Times New Roman" w:cs="Times New Roman"/>
          <w:sz w:val="36"/>
          <w:szCs w:val="36"/>
        </w:rPr>
        <w:t>Approach</w:t>
      </w:r>
      <w:r w:rsidR="00F132F8" w:rsidRPr="009D2F56">
        <w:rPr>
          <w:rFonts w:ascii="Times New Roman" w:hAnsi="Times New Roman" w:cs="Times New Roman"/>
          <w:sz w:val="36"/>
          <w:szCs w:val="36"/>
        </w:rPr>
        <w:t xml:space="preserve">: </w:t>
      </w:r>
      <w:r w:rsidR="007E7328" w:rsidRPr="009D2F56">
        <w:rPr>
          <w:rFonts w:ascii="Times New Roman" w:hAnsi="Times New Roman" w:cs="Times New Roman"/>
          <w:sz w:val="36"/>
          <w:szCs w:val="36"/>
        </w:rPr>
        <w:t xml:space="preserve">A brief response to </w:t>
      </w:r>
      <w:proofErr w:type="spellStart"/>
      <w:r w:rsidR="007E7328" w:rsidRPr="009D2F56">
        <w:rPr>
          <w:rFonts w:ascii="Times New Roman" w:hAnsi="Times New Roman" w:cs="Times New Roman"/>
          <w:sz w:val="36"/>
          <w:szCs w:val="36"/>
        </w:rPr>
        <w:t>Gregor</w:t>
      </w:r>
      <w:proofErr w:type="spellEnd"/>
      <w:r w:rsidR="007E7328" w:rsidRPr="009D2F56">
        <w:rPr>
          <w:rFonts w:ascii="Times New Roman" w:hAnsi="Times New Roman" w:cs="Times New Roman"/>
          <w:sz w:val="36"/>
          <w:szCs w:val="36"/>
        </w:rPr>
        <w:t xml:space="preserve"> </w:t>
      </w:r>
      <w:proofErr w:type="spellStart"/>
      <w:r w:rsidR="007E7328" w:rsidRPr="009D2F56">
        <w:rPr>
          <w:rFonts w:ascii="Times New Roman" w:hAnsi="Times New Roman" w:cs="Times New Roman"/>
          <w:sz w:val="36"/>
          <w:szCs w:val="36"/>
        </w:rPr>
        <w:t>Puppinck’s</w:t>
      </w:r>
      <w:proofErr w:type="spellEnd"/>
      <w:r w:rsidR="007E7328" w:rsidRPr="009D2F56">
        <w:rPr>
          <w:rFonts w:ascii="Times New Roman" w:hAnsi="Times New Roman" w:cs="Times New Roman"/>
          <w:sz w:val="36"/>
          <w:szCs w:val="36"/>
        </w:rPr>
        <w:t xml:space="preserve"> </w:t>
      </w:r>
      <w:proofErr w:type="spellStart"/>
      <w:r w:rsidR="007E7328" w:rsidRPr="009D2F56">
        <w:rPr>
          <w:rFonts w:ascii="Times New Roman" w:hAnsi="Times New Roman" w:cs="Times New Roman"/>
          <w:i/>
          <w:iCs/>
          <w:sz w:val="36"/>
          <w:szCs w:val="36"/>
        </w:rPr>
        <w:t>EJIL</w:t>
      </w:r>
      <w:proofErr w:type="gramStart"/>
      <w:r w:rsidR="007E7328" w:rsidRPr="009D2F56">
        <w:rPr>
          <w:rFonts w:ascii="Times New Roman" w:hAnsi="Times New Roman" w:cs="Times New Roman"/>
          <w:i/>
          <w:iCs/>
          <w:sz w:val="36"/>
          <w:szCs w:val="36"/>
        </w:rPr>
        <w:t>:Talk</w:t>
      </w:r>
      <w:proofErr w:type="spellEnd"/>
      <w:proofErr w:type="gramEnd"/>
      <w:r w:rsidR="007E7328" w:rsidRPr="009D2F56">
        <w:rPr>
          <w:rFonts w:ascii="Times New Roman" w:hAnsi="Times New Roman" w:cs="Times New Roman"/>
          <w:i/>
          <w:iCs/>
          <w:sz w:val="36"/>
          <w:szCs w:val="36"/>
        </w:rPr>
        <w:t>!</w:t>
      </w:r>
      <w:r w:rsidR="007E7328" w:rsidRPr="009D2F56">
        <w:rPr>
          <w:rFonts w:ascii="Times New Roman" w:hAnsi="Times New Roman" w:cs="Times New Roman"/>
          <w:sz w:val="36"/>
          <w:szCs w:val="36"/>
        </w:rPr>
        <w:t xml:space="preserve"> </w:t>
      </w:r>
      <w:proofErr w:type="gramStart"/>
      <w:r w:rsidR="00F132F8" w:rsidRPr="009D2F56">
        <w:rPr>
          <w:rFonts w:ascii="Times New Roman" w:hAnsi="Times New Roman" w:cs="Times New Roman"/>
          <w:sz w:val="36"/>
          <w:szCs w:val="36"/>
        </w:rPr>
        <w:t>blog</w:t>
      </w:r>
      <w:proofErr w:type="gramEnd"/>
      <w:r w:rsidR="00F132F8" w:rsidRPr="009D2F56">
        <w:rPr>
          <w:rFonts w:ascii="Times New Roman" w:hAnsi="Times New Roman" w:cs="Times New Roman"/>
          <w:sz w:val="36"/>
          <w:szCs w:val="36"/>
        </w:rPr>
        <w:t xml:space="preserve"> </w:t>
      </w:r>
      <w:r w:rsidR="007E7328" w:rsidRPr="009D2F56">
        <w:rPr>
          <w:rFonts w:ascii="Times New Roman" w:hAnsi="Times New Roman" w:cs="Times New Roman"/>
          <w:sz w:val="36"/>
          <w:szCs w:val="36"/>
        </w:rPr>
        <w:t>post on abortion</w:t>
      </w:r>
    </w:p>
    <w:p w14:paraId="25D6F924" w14:textId="77777777" w:rsidR="007E7328" w:rsidRPr="009D2F56" w:rsidRDefault="007E7328" w:rsidP="00545022">
      <w:pPr>
        <w:pStyle w:val="Subtitle"/>
        <w:jc w:val="both"/>
        <w:rPr>
          <w:rFonts w:ascii="Times New Roman" w:hAnsi="Times New Roman" w:cs="Times New Roman"/>
        </w:rPr>
      </w:pPr>
      <w:r w:rsidRPr="009D2F56">
        <w:rPr>
          <w:rFonts w:ascii="Times New Roman" w:hAnsi="Times New Roman" w:cs="Times New Roman"/>
        </w:rPr>
        <w:t xml:space="preserve">By Rumyana Grozdanova, Alice </w:t>
      </w:r>
      <w:proofErr w:type="spellStart"/>
      <w:r w:rsidRPr="009D2F56">
        <w:rPr>
          <w:rFonts w:ascii="Times New Roman" w:hAnsi="Times New Roman" w:cs="Times New Roman"/>
        </w:rPr>
        <w:t>Panepinto</w:t>
      </w:r>
      <w:proofErr w:type="spellEnd"/>
      <w:r w:rsidRPr="009D2F56">
        <w:rPr>
          <w:rFonts w:ascii="Times New Roman" w:hAnsi="Times New Roman" w:cs="Times New Roman"/>
        </w:rPr>
        <w:t xml:space="preserve"> and </w:t>
      </w:r>
      <w:proofErr w:type="spellStart"/>
      <w:r w:rsidRPr="009D2F56">
        <w:rPr>
          <w:rFonts w:ascii="Times New Roman" w:hAnsi="Times New Roman" w:cs="Times New Roman"/>
        </w:rPr>
        <w:t>Konstantina</w:t>
      </w:r>
      <w:proofErr w:type="spellEnd"/>
      <w:r w:rsidRPr="009D2F56">
        <w:rPr>
          <w:rFonts w:ascii="Times New Roman" w:hAnsi="Times New Roman" w:cs="Times New Roman"/>
        </w:rPr>
        <w:t xml:space="preserve"> </w:t>
      </w:r>
      <w:proofErr w:type="spellStart"/>
      <w:r w:rsidRPr="009D2F56">
        <w:rPr>
          <w:rFonts w:ascii="Times New Roman" w:hAnsi="Times New Roman" w:cs="Times New Roman"/>
        </w:rPr>
        <w:t>Tzouvala</w:t>
      </w:r>
      <w:proofErr w:type="spellEnd"/>
      <w:r w:rsidRPr="009D2F56">
        <w:rPr>
          <w:rFonts w:ascii="Times New Roman" w:hAnsi="Times New Roman" w:cs="Times New Roman"/>
        </w:rPr>
        <w:t xml:space="preserve"> </w:t>
      </w:r>
    </w:p>
    <w:p w14:paraId="43209B57" w14:textId="77777777" w:rsidR="007E7328" w:rsidRPr="009D2F56" w:rsidRDefault="007E7328" w:rsidP="00545022">
      <w:pPr>
        <w:spacing w:line="480" w:lineRule="auto"/>
        <w:jc w:val="both"/>
        <w:rPr>
          <w:rFonts w:ascii="Times New Roman" w:hAnsi="Times New Roman" w:cs="Times New Roman"/>
          <w:i/>
          <w:iCs/>
          <w:color w:val="808080" w:themeColor="text1" w:themeTint="7F"/>
          <w:sz w:val="24"/>
          <w:szCs w:val="24"/>
        </w:rPr>
      </w:pPr>
      <w:r w:rsidRPr="009D2F56">
        <w:rPr>
          <w:rStyle w:val="SubtleEmphasis"/>
          <w:rFonts w:ascii="Times New Roman" w:hAnsi="Times New Roman" w:cs="Times New Roman"/>
          <w:sz w:val="24"/>
          <w:szCs w:val="24"/>
        </w:rPr>
        <w:t>(PhD Candidates, Durham University Law School)</w:t>
      </w:r>
    </w:p>
    <w:p w14:paraId="6B536DD6" w14:textId="1B6E2139" w:rsidR="00323B39" w:rsidRPr="009D2F56" w:rsidRDefault="00480471" w:rsidP="00545022">
      <w:pPr>
        <w:spacing w:before="240"/>
        <w:jc w:val="both"/>
        <w:rPr>
          <w:rFonts w:ascii="Times New Roman" w:hAnsi="Times New Roman" w:cs="Times New Roman"/>
        </w:rPr>
      </w:pPr>
      <w:r w:rsidRPr="009D2F56">
        <w:rPr>
          <w:rFonts w:ascii="Times New Roman" w:hAnsi="Times New Roman" w:cs="Times New Roman"/>
        </w:rPr>
        <w:t xml:space="preserve">The primary purpose of this response is to </w:t>
      </w:r>
      <w:r w:rsidR="00647FF4" w:rsidRPr="009D2F56">
        <w:rPr>
          <w:rFonts w:ascii="Times New Roman" w:hAnsi="Times New Roman" w:cs="Times New Roman"/>
        </w:rPr>
        <w:t xml:space="preserve">re-evaluate </w:t>
      </w:r>
      <w:r w:rsidRPr="009D2F56">
        <w:rPr>
          <w:rFonts w:ascii="Times New Roman" w:hAnsi="Times New Roman" w:cs="Times New Roman"/>
        </w:rPr>
        <w:t xml:space="preserve">the jurisprudence of the </w:t>
      </w:r>
      <w:proofErr w:type="spellStart"/>
      <w:r w:rsidRPr="009D2F56">
        <w:rPr>
          <w:rFonts w:ascii="Times New Roman" w:hAnsi="Times New Roman" w:cs="Times New Roman"/>
        </w:rPr>
        <w:t>ECtHR</w:t>
      </w:r>
      <w:proofErr w:type="spellEnd"/>
      <w:r w:rsidRPr="009D2F56">
        <w:rPr>
          <w:rFonts w:ascii="Times New Roman" w:hAnsi="Times New Roman" w:cs="Times New Roman"/>
        </w:rPr>
        <w:t xml:space="preserve"> on abortion, which we found to be misrepresented in </w:t>
      </w:r>
      <w:hyperlink r:id="rId8" w:history="1">
        <w:r w:rsidRPr="009D2F56">
          <w:rPr>
            <w:rStyle w:val="Hyperlink"/>
            <w:rFonts w:ascii="Times New Roman" w:hAnsi="Times New Roman" w:cs="Times New Roman"/>
          </w:rPr>
          <w:t xml:space="preserve">Mr </w:t>
        </w:r>
        <w:proofErr w:type="spellStart"/>
        <w:r w:rsidRPr="009D2F56">
          <w:rPr>
            <w:rStyle w:val="Hyperlink"/>
            <w:rFonts w:ascii="Times New Roman" w:hAnsi="Times New Roman" w:cs="Times New Roman"/>
          </w:rPr>
          <w:t>Puppinck’s</w:t>
        </w:r>
        <w:proofErr w:type="spellEnd"/>
        <w:r w:rsidRPr="009D2F56">
          <w:rPr>
            <w:rStyle w:val="Hyperlink"/>
            <w:rFonts w:ascii="Times New Roman" w:hAnsi="Times New Roman" w:cs="Times New Roman"/>
          </w:rPr>
          <w:t xml:space="preserve"> </w:t>
        </w:r>
        <w:r w:rsidRPr="009D2F56">
          <w:rPr>
            <w:rStyle w:val="Hyperlink"/>
            <w:rFonts w:ascii="Times New Roman" w:hAnsi="Times New Roman" w:cs="Times New Roman"/>
            <w:i/>
            <w:iCs/>
          </w:rPr>
          <w:t>EJIL: Talk!</w:t>
        </w:r>
        <w:r w:rsidRPr="009D2F56">
          <w:rPr>
            <w:rStyle w:val="Hyperlink"/>
            <w:rFonts w:ascii="Times New Roman" w:hAnsi="Times New Roman" w:cs="Times New Roman"/>
          </w:rPr>
          <w:t xml:space="preserve"> </w:t>
        </w:r>
        <w:proofErr w:type="gramStart"/>
        <w:r w:rsidRPr="009D2F56">
          <w:rPr>
            <w:rStyle w:val="Hyperlink"/>
            <w:rFonts w:ascii="Times New Roman" w:hAnsi="Times New Roman" w:cs="Times New Roman"/>
          </w:rPr>
          <w:t>piece</w:t>
        </w:r>
        <w:proofErr w:type="gramEnd"/>
        <w:r w:rsidRPr="009D2F56">
          <w:rPr>
            <w:rStyle w:val="Hyperlink"/>
            <w:rFonts w:ascii="Times New Roman" w:hAnsi="Times New Roman" w:cs="Times New Roman"/>
          </w:rPr>
          <w:t xml:space="preserve"> of 23 February 2013</w:t>
        </w:r>
      </w:hyperlink>
      <w:r w:rsidRPr="009D2F56">
        <w:rPr>
          <w:rFonts w:ascii="Times New Roman" w:hAnsi="Times New Roman" w:cs="Times New Roman"/>
        </w:rPr>
        <w:t xml:space="preserve">. Even though the Court has admittedly not recognised a general right to abortion, it has systematically been </w:t>
      </w:r>
      <w:r w:rsidR="00CF3990" w:rsidRPr="009D2F56">
        <w:rPr>
          <w:rFonts w:ascii="Times New Roman" w:hAnsi="Times New Roman" w:cs="Times New Roman"/>
        </w:rPr>
        <w:t xml:space="preserve">pressing </w:t>
      </w:r>
      <w:r w:rsidRPr="009D2F56">
        <w:rPr>
          <w:rFonts w:ascii="Times New Roman" w:hAnsi="Times New Roman" w:cs="Times New Roman"/>
        </w:rPr>
        <w:t xml:space="preserve">more conservative Member-States to respect their own legislation and relax the absolute prohibition of abortion under certain circumstances. While the Court may have been too </w:t>
      </w:r>
      <w:r w:rsidR="00647FF4" w:rsidRPr="009D2F56">
        <w:rPr>
          <w:rFonts w:ascii="Times New Roman" w:hAnsi="Times New Roman" w:cs="Times New Roman"/>
        </w:rPr>
        <w:t xml:space="preserve">shy </w:t>
      </w:r>
      <w:r w:rsidRPr="009D2F56">
        <w:rPr>
          <w:rFonts w:ascii="Times New Roman" w:hAnsi="Times New Roman" w:cs="Times New Roman"/>
        </w:rPr>
        <w:t xml:space="preserve">in its push for expanded protection of women’s reproductive rights instead of having a </w:t>
      </w:r>
      <w:r w:rsidR="00E50F7D" w:rsidRPr="009D2F56">
        <w:rPr>
          <w:rFonts w:ascii="Times New Roman" w:hAnsi="Times New Roman" w:cs="Times New Roman"/>
        </w:rPr>
        <w:t xml:space="preserve">more </w:t>
      </w:r>
      <w:r w:rsidRPr="009D2F56">
        <w:rPr>
          <w:rFonts w:ascii="Times New Roman" w:hAnsi="Times New Roman" w:cs="Times New Roman"/>
        </w:rPr>
        <w:t xml:space="preserve">muscular approach, the trend is visible and is gaining momentum.  In this context, it is vital to appreciate the rulings of both domestic courts and the </w:t>
      </w:r>
      <w:proofErr w:type="spellStart"/>
      <w:r w:rsidRPr="009D2F56">
        <w:rPr>
          <w:rFonts w:ascii="Times New Roman" w:hAnsi="Times New Roman" w:cs="Times New Roman"/>
        </w:rPr>
        <w:t>ECtHR</w:t>
      </w:r>
      <w:proofErr w:type="spellEnd"/>
      <w:r w:rsidRPr="009D2F56">
        <w:rPr>
          <w:rFonts w:ascii="Times New Roman" w:hAnsi="Times New Roman" w:cs="Times New Roman"/>
        </w:rPr>
        <w:t xml:space="preserve"> on this issue in their entirety in order to have a comprehensive understanding of the current legal concerns and potential future solutions. The international human rights project seeks to provide fundamental freedoms and rights for each and all of us; Mr </w:t>
      </w:r>
      <w:proofErr w:type="spellStart"/>
      <w:r w:rsidRPr="009D2F56">
        <w:rPr>
          <w:rFonts w:ascii="Times New Roman" w:hAnsi="Times New Roman" w:cs="Times New Roman"/>
        </w:rPr>
        <w:t>Puppinck’s</w:t>
      </w:r>
      <w:proofErr w:type="spellEnd"/>
      <w:r w:rsidRPr="009D2F56">
        <w:rPr>
          <w:rFonts w:ascii="Times New Roman" w:hAnsi="Times New Roman" w:cs="Times New Roman"/>
        </w:rPr>
        <w:t xml:space="preserve"> attitude towards the ‘free will of women’ combined with his (</w:t>
      </w:r>
      <w:proofErr w:type="spellStart"/>
      <w:proofErr w:type="gramStart"/>
      <w:r w:rsidRPr="009D2F56">
        <w:rPr>
          <w:rFonts w:ascii="Times New Roman" w:hAnsi="Times New Roman" w:cs="Times New Roman"/>
        </w:rPr>
        <w:t>mis</w:t>
      </w:r>
      <w:proofErr w:type="spellEnd"/>
      <w:r w:rsidRPr="009D2F56">
        <w:rPr>
          <w:rFonts w:ascii="Times New Roman" w:hAnsi="Times New Roman" w:cs="Times New Roman"/>
        </w:rPr>
        <w:t>)representation</w:t>
      </w:r>
      <w:proofErr w:type="gramEnd"/>
      <w:r w:rsidRPr="009D2F56">
        <w:rPr>
          <w:rFonts w:ascii="Times New Roman" w:hAnsi="Times New Roman" w:cs="Times New Roman"/>
        </w:rPr>
        <w:t xml:space="preserve"> of abortion is not only unconstructive but also lacking in legal </w:t>
      </w:r>
      <w:r w:rsidR="009D2F56">
        <w:rPr>
          <w:rFonts w:ascii="Times New Roman" w:hAnsi="Times New Roman" w:cs="Times New Roman"/>
        </w:rPr>
        <w:t>insight</w:t>
      </w:r>
      <w:r w:rsidR="009D2F56" w:rsidRPr="009D2F56">
        <w:rPr>
          <w:rFonts w:ascii="Times New Roman" w:hAnsi="Times New Roman" w:cs="Times New Roman"/>
        </w:rPr>
        <w:t xml:space="preserve"> </w:t>
      </w:r>
      <w:r w:rsidRPr="009D2F56">
        <w:rPr>
          <w:rFonts w:ascii="Times New Roman" w:hAnsi="Times New Roman" w:cs="Times New Roman"/>
        </w:rPr>
        <w:t xml:space="preserve">and nuance.  </w:t>
      </w:r>
    </w:p>
    <w:p w14:paraId="5E6F7EE6" w14:textId="26F9BA11" w:rsidR="00004890" w:rsidRPr="009D2F56" w:rsidRDefault="00955C11" w:rsidP="00545022">
      <w:pPr>
        <w:spacing w:before="240"/>
        <w:jc w:val="both"/>
        <w:rPr>
          <w:rFonts w:ascii="Times New Roman" w:hAnsi="Times New Roman" w:cs="Times New Roman"/>
        </w:rPr>
      </w:pPr>
      <w:r w:rsidRPr="009D2F56">
        <w:rPr>
          <w:rFonts w:ascii="Times New Roman" w:hAnsi="Times New Roman" w:cs="Times New Roman"/>
        </w:rPr>
        <w:t>In</w:t>
      </w:r>
      <w:r w:rsidR="00C06930" w:rsidRPr="009D2F56">
        <w:rPr>
          <w:rFonts w:ascii="Times New Roman" w:hAnsi="Times New Roman" w:cs="Times New Roman"/>
        </w:rPr>
        <w:t xml:space="preserve"> the</w:t>
      </w:r>
      <w:r w:rsidR="007E7328" w:rsidRPr="009D2F56">
        <w:rPr>
          <w:rFonts w:ascii="Times New Roman" w:hAnsi="Times New Roman" w:cs="Times New Roman"/>
        </w:rPr>
        <w:t xml:space="preserve"> </w:t>
      </w:r>
      <w:r w:rsidR="00801F5E" w:rsidRPr="009D2F56">
        <w:rPr>
          <w:rFonts w:ascii="Times New Roman" w:hAnsi="Times New Roman" w:cs="Times New Roman"/>
        </w:rPr>
        <w:t xml:space="preserve">late </w:t>
      </w:r>
      <w:r w:rsidRPr="009D2F56">
        <w:rPr>
          <w:rFonts w:ascii="Times New Roman" w:hAnsi="Times New Roman" w:cs="Times New Roman"/>
        </w:rPr>
        <w:t>2012</w:t>
      </w:r>
      <w:r w:rsidR="007E7328" w:rsidRPr="009D2F56">
        <w:rPr>
          <w:rFonts w:ascii="Times New Roman" w:hAnsi="Times New Roman" w:cs="Times New Roman"/>
        </w:rPr>
        <w:t xml:space="preserve"> </w:t>
      </w:r>
      <w:hyperlink r:id="rId9" w:anchor="{&quot;itemid&quot;:[&quot;001-114098&quot;]}" w:history="1">
        <w:r w:rsidR="007E7328" w:rsidRPr="009D2F56">
          <w:rPr>
            <w:rStyle w:val="Hyperlink"/>
            <w:rFonts w:ascii="Times New Roman" w:hAnsi="Times New Roman" w:cs="Times New Roman"/>
            <w:i/>
          </w:rPr>
          <w:t>P. and S. v. Poland</w:t>
        </w:r>
      </w:hyperlink>
      <w:r w:rsidR="007E7328" w:rsidRPr="009D2F56">
        <w:rPr>
          <w:rFonts w:ascii="Times New Roman" w:hAnsi="Times New Roman" w:cs="Times New Roman"/>
          <w:i/>
        </w:rPr>
        <w:t xml:space="preserve"> </w:t>
      </w:r>
      <w:r w:rsidR="007E7328" w:rsidRPr="009D2F56">
        <w:rPr>
          <w:rFonts w:ascii="Times New Roman" w:hAnsi="Times New Roman" w:cs="Times New Roman"/>
        </w:rPr>
        <w:t>case</w:t>
      </w:r>
      <w:r w:rsidRPr="009D2F56">
        <w:rPr>
          <w:rFonts w:ascii="Times New Roman" w:hAnsi="Times New Roman" w:cs="Times New Roman"/>
        </w:rPr>
        <w:t>,</w:t>
      </w:r>
      <w:r w:rsidR="007E7328" w:rsidRPr="009D2F56">
        <w:rPr>
          <w:rFonts w:ascii="Times New Roman" w:hAnsi="Times New Roman" w:cs="Times New Roman"/>
        </w:rPr>
        <w:t xml:space="preserve"> </w:t>
      </w:r>
      <w:r w:rsidRPr="009D2F56">
        <w:rPr>
          <w:rFonts w:ascii="Times New Roman" w:hAnsi="Times New Roman" w:cs="Times New Roman"/>
        </w:rPr>
        <w:t>t</w:t>
      </w:r>
      <w:r w:rsidR="007E7328" w:rsidRPr="009D2F56">
        <w:rPr>
          <w:rFonts w:ascii="Times New Roman" w:hAnsi="Times New Roman" w:cs="Times New Roman"/>
        </w:rPr>
        <w:t>he Court stated that Poland’s failure to protect a 14-year-old rape victim from harassment due to her decision to have an abortion</w:t>
      </w:r>
      <w:r w:rsidR="00801F5E" w:rsidRPr="009D2F56">
        <w:rPr>
          <w:rFonts w:ascii="Times New Roman" w:hAnsi="Times New Roman" w:cs="Times New Roman"/>
        </w:rPr>
        <w:t xml:space="preserve"> (available</w:t>
      </w:r>
      <w:r w:rsidR="00736D4C" w:rsidRPr="009D2F56">
        <w:rPr>
          <w:rFonts w:ascii="Times New Roman" w:hAnsi="Times New Roman" w:cs="Times New Roman"/>
        </w:rPr>
        <w:t xml:space="preserve"> under Polish law</w:t>
      </w:r>
      <w:r w:rsidR="00801F5E" w:rsidRPr="009D2F56">
        <w:rPr>
          <w:rFonts w:ascii="Times New Roman" w:hAnsi="Times New Roman" w:cs="Times New Roman"/>
        </w:rPr>
        <w:t xml:space="preserve"> in the circumstances)</w:t>
      </w:r>
      <w:r w:rsidR="007E7328" w:rsidRPr="009D2F56">
        <w:rPr>
          <w:rFonts w:ascii="Times New Roman" w:hAnsi="Times New Roman" w:cs="Times New Roman"/>
        </w:rPr>
        <w:t xml:space="preserve"> and the fact that legal proceedings were initiated against her for “illicit sexual relations” amounted to a violation of Art. 3 regarding inhuman and degrading treatment along with a violation of her right to privacy</w:t>
      </w:r>
      <w:r w:rsidR="00CB3886" w:rsidRPr="009D2F56">
        <w:rPr>
          <w:rFonts w:ascii="Times New Roman" w:hAnsi="Times New Roman" w:cs="Times New Roman"/>
        </w:rPr>
        <w:t xml:space="preserve"> and family life</w:t>
      </w:r>
      <w:r w:rsidR="007E7328" w:rsidRPr="009D2F56">
        <w:rPr>
          <w:rFonts w:ascii="Times New Roman" w:hAnsi="Times New Roman" w:cs="Times New Roman"/>
        </w:rPr>
        <w:t xml:space="preserve"> (Article 8) and liberty and security (Art. 5 par. 1). </w:t>
      </w:r>
      <w:r w:rsidR="00B17129" w:rsidRPr="009D2F56">
        <w:rPr>
          <w:rFonts w:ascii="Times New Roman" w:hAnsi="Times New Roman" w:cs="Times New Roman"/>
        </w:rPr>
        <w:t>With particular reference to article 8, though it “cannot be interpreted as conferring a right to abortion”, the Court “found that the prohibition of abortion when sought for reasons of health and/or well-being falls within the scope of the right to respect for one’s private life and accordingly of Article 8” (</w:t>
      </w:r>
      <w:r w:rsidR="00B17129" w:rsidRPr="009D2F56">
        <w:rPr>
          <w:rFonts w:ascii="Times New Roman" w:hAnsi="Times New Roman" w:cs="Times New Roman"/>
          <w:i/>
          <w:iCs/>
        </w:rPr>
        <w:t>P. and S. v. Poland</w:t>
      </w:r>
      <w:r w:rsidR="00B17129" w:rsidRPr="009D2F56">
        <w:rPr>
          <w:rFonts w:ascii="Times New Roman" w:hAnsi="Times New Roman" w:cs="Times New Roman"/>
        </w:rPr>
        <w:t xml:space="preserve">, </w:t>
      </w:r>
      <w:proofErr w:type="spellStart"/>
      <w:r w:rsidR="00B17129" w:rsidRPr="009D2F56">
        <w:rPr>
          <w:rFonts w:ascii="Times New Roman" w:hAnsi="Times New Roman" w:cs="Times New Roman"/>
        </w:rPr>
        <w:t>para</w:t>
      </w:r>
      <w:proofErr w:type="spellEnd"/>
      <w:r w:rsidR="00B17129" w:rsidRPr="009D2F56">
        <w:rPr>
          <w:rFonts w:ascii="Times New Roman" w:hAnsi="Times New Roman" w:cs="Times New Roman"/>
        </w:rPr>
        <w:t xml:space="preserve"> 96, referencing </w:t>
      </w:r>
      <w:r w:rsidR="00B17129" w:rsidRPr="009D2F56">
        <w:rPr>
          <w:rFonts w:ascii="Times New Roman" w:hAnsi="Times New Roman" w:cs="Times New Roman"/>
          <w:i/>
          <w:iCs/>
        </w:rPr>
        <w:t>A</w:t>
      </w:r>
      <w:r w:rsidR="00DA1451" w:rsidRPr="009D2F56">
        <w:rPr>
          <w:rFonts w:ascii="Times New Roman" w:hAnsi="Times New Roman" w:cs="Times New Roman"/>
          <w:i/>
          <w:iCs/>
        </w:rPr>
        <w:t>.</w:t>
      </w:r>
      <w:r w:rsidR="00B17129" w:rsidRPr="009D2F56">
        <w:rPr>
          <w:rFonts w:ascii="Times New Roman" w:hAnsi="Times New Roman" w:cs="Times New Roman"/>
          <w:i/>
          <w:iCs/>
        </w:rPr>
        <w:t>, B</w:t>
      </w:r>
      <w:r w:rsidR="00DA1451" w:rsidRPr="009D2F56">
        <w:rPr>
          <w:rFonts w:ascii="Times New Roman" w:hAnsi="Times New Roman" w:cs="Times New Roman"/>
          <w:i/>
          <w:iCs/>
        </w:rPr>
        <w:t>.</w:t>
      </w:r>
      <w:r w:rsidR="00B17129" w:rsidRPr="009D2F56">
        <w:rPr>
          <w:rFonts w:ascii="Times New Roman" w:hAnsi="Times New Roman" w:cs="Times New Roman"/>
          <w:i/>
          <w:iCs/>
        </w:rPr>
        <w:t xml:space="preserve"> and C</w:t>
      </w:r>
      <w:r w:rsidR="00DA1451" w:rsidRPr="009D2F56">
        <w:rPr>
          <w:rFonts w:ascii="Times New Roman" w:hAnsi="Times New Roman" w:cs="Times New Roman"/>
          <w:i/>
          <w:iCs/>
        </w:rPr>
        <w:t>.</w:t>
      </w:r>
      <w:r w:rsidR="00B17129" w:rsidRPr="009D2F56">
        <w:rPr>
          <w:rFonts w:ascii="Times New Roman" w:hAnsi="Times New Roman" w:cs="Times New Roman"/>
          <w:i/>
          <w:iCs/>
        </w:rPr>
        <w:t xml:space="preserve"> v. Ireland</w:t>
      </w:r>
      <w:r w:rsidR="00B17129" w:rsidRPr="009D2F56">
        <w:rPr>
          <w:rFonts w:ascii="Times New Roman" w:hAnsi="Times New Roman" w:cs="Times New Roman"/>
        </w:rPr>
        <w:t xml:space="preserve"> </w:t>
      </w:r>
      <w:proofErr w:type="spellStart"/>
      <w:r w:rsidR="00B17129" w:rsidRPr="009D2F56">
        <w:rPr>
          <w:rFonts w:ascii="Times New Roman" w:hAnsi="Times New Roman" w:cs="Times New Roman"/>
        </w:rPr>
        <w:t>paras</w:t>
      </w:r>
      <w:proofErr w:type="spellEnd"/>
      <w:r w:rsidR="00B17129" w:rsidRPr="009D2F56">
        <w:rPr>
          <w:rFonts w:ascii="Times New Roman" w:hAnsi="Times New Roman" w:cs="Times New Roman"/>
        </w:rPr>
        <w:t>. 245 and 214).</w:t>
      </w:r>
      <w:r w:rsidR="00004890" w:rsidRPr="009D2F56">
        <w:rPr>
          <w:rFonts w:ascii="Times New Roman" w:hAnsi="Times New Roman" w:cs="Times New Roman"/>
        </w:rPr>
        <w:t xml:space="preserve"> Moreover, the Court considered that “the State is under a positive obligation to create a procedural framework enabling a pregnant woman to effectively exercise her right of access to lawful abortion” (</w:t>
      </w:r>
      <w:r w:rsidR="00004890" w:rsidRPr="009D2F56">
        <w:rPr>
          <w:rFonts w:ascii="Times New Roman" w:hAnsi="Times New Roman" w:cs="Times New Roman"/>
          <w:i/>
          <w:iCs/>
        </w:rPr>
        <w:t>P. and S. v. Poland</w:t>
      </w:r>
      <w:r w:rsidR="00004890" w:rsidRPr="009D2F56">
        <w:rPr>
          <w:rFonts w:ascii="Times New Roman" w:hAnsi="Times New Roman" w:cs="Times New Roman"/>
        </w:rPr>
        <w:t xml:space="preserve">, </w:t>
      </w:r>
      <w:proofErr w:type="spellStart"/>
      <w:r w:rsidR="00004890" w:rsidRPr="009D2F56">
        <w:rPr>
          <w:rFonts w:ascii="Times New Roman" w:hAnsi="Times New Roman" w:cs="Times New Roman"/>
        </w:rPr>
        <w:t>para</w:t>
      </w:r>
      <w:proofErr w:type="spellEnd"/>
      <w:r w:rsidR="00004890" w:rsidRPr="009D2F56">
        <w:rPr>
          <w:rFonts w:ascii="Times New Roman" w:hAnsi="Times New Roman" w:cs="Times New Roman"/>
        </w:rPr>
        <w:t xml:space="preserve"> 99).</w:t>
      </w:r>
    </w:p>
    <w:p w14:paraId="3873A340" w14:textId="0BADA245" w:rsidR="007E7328" w:rsidRPr="009D2F56" w:rsidRDefault="007E7328" w:rsidP="00545022">
      <w:pPr>
        <w:spacing w:before="240"/>
        <w:jc w:val="both"/>
        <w:rPr>
          <w:rFonts w:ascii="Times New Roman" w:hAnsi="Times New Roman" w:cs="Times New Roman"/>
        </w:rPr>
      </w:pPr>
      <w:r w:rsidRPr="009D2F56">
        <w:rPr>
          <w:rFonts w:ascii="Times New Roman" w:hAnsi="Times New Roman" w:cs="Times New Roman"/>
        </w:rPr>
        <w:t xml:space="preserve">The common thread in the </w:t>
      </w:r>
      <w:r w:rsidRPr="009D2F56">
        <w:rPr>
          <w:rFonts w:ascii="Times New Roman" w:hAnsi="Times New Roman" w:cs="Times New Roman"/>
          <w:i/>
        </w:rPr>
        <w:t>P.</w:t>
      </w:r>
      <w:r w:rsidR="006407BA" w:rsidRPr="009D2F56">
        <w:rPr>
          <w:rFonts w:ascii="Times New Roman" w:hAnsi="Times New Roman" w:cs="Times New Roman"/>
          <w:i/>
        </w:rPr>
        <w:t xml:space="preserve"> and S. </w:t>
      </w:r>
      <w:r w:rsidRPr="009D2F56">
        <w:rPr>
          <w:rFonts w:ascii="Times New Roman" w:hAnsi="Times New Roman" w:cs="Times New Roman"/>
          <w:i/>
        </w:rPr>
        <w:t xml:space="preserve"> case</w:t>
      </w:r>
      <w:r w:rsidRPr="009D2F56">
        <w:rPr>
          <w:rFonts w:ascii="Times New Roman" w:hAnsi="Times New Roman" w:cs="Times New Roman"/>
        </w:rPr>
        <w:t xml:space="preserve"> and the Court’s previous decision in </w:t>
      </w:r>
      <w:hyperlink r:id="rId10" w:history="1">
        <w:r w:rsidRPr="009D2F56">
          <w:rPr>
            <w:rStyle w:val="Hyperlink"/>
            <w:rFonts w:ascii="Times New Roman" w:hAnsi="Times New Roman" w:cs="Times New Roman"/>
            <w:i/>
          </w:rPr>
          <w:t>A., B.</w:t>
        </w:r>
        <w:r w:rsidR="00DA1451" w:rsidRPr="009D2F56">
          <w:rPr>
            <w:rStyle w:val="Hyperlink"/>
            <w:rFonts w:ascii="Times New Roman" w:hAnsi="Times New Roman" w:cs="Times New Roman"/>
            <w:i/>
          </w:rPr>
          <w:t xml:space="preserve"> and</w:t>
        </w:r>
        <w:r w:rsidRPr="009D2F56">
          <w:rPr>
            <w:rStyle w:val="Hyperlink"/>
            <w:rFonts w:ascii="Times New Roman" w:hAnsi="Times New Roman" w:cs="Times New Roman"/>
            <w:i/>
          </w:rPr>
          <w:t xml:space="preserve"> C. v. Ireland</w:t>
        </w:r>
      </w:hyperlink>
      <w:r w:rsidRPr="009D2F56">
        <w:rPr>
          <w:rFonts w:ascii="Times New Roman" w:hAnsi="Times New Roman" w:cs="Times New Roman"/>
          <w:i/>
        </w:rPr>
        <w:t xml:space="preserve"> </w:t>
      </w:r>
      <w:r w:rsidRPr="009D2F56">
        <w:rPr>
          <w:rFonts w:ascii="Times New Roman" w:hAnsi="Times New Roman" w:cs="Times New Roman"/>
        </w:rPr>
        <w:t xml:space="preserve">is that in both cases, unlike Mr </w:t>
      </w:r>
      <w:proofErr w:type="spellStart"/>
      <w:r w:rsidRPr="009D2F56">
        <w:rPr>
          <w:rFonts w:ascii="Times New Roman" w:hAnsi="Times New Roman" w:cs="Times New Roman"/>
        </w:rPr>
        <w:t>Puppinck’s</w:t>
      </w:r>
      <w:proofErr w:type="spellEnd"/>
      <w:r w:rsidRPr="009D2F56">
        <w:rPr>
          <w:rFonts w:ascii="Times New Roman" w:hAnsi="Times New Roman" w:cs="Times New Roman"/>
        </w:rPr>
        <w:t xml:space="preserve"> suggestions</w:t>
      </w:r>
      <w:r w:rsidR="00B048E4" w:rsidRPr="009D2F56">
        <w:rPr>
          <w:rFonts w:ascii="Times New Roman" w:hAnsi="Times New Roman" w:cs="Times New Roman"/>
        </w:rPr>
        <w:t xml:space="preserve"> </w:t>
      </w:r>
      <w:hyperlink r:id="rId11" w:history="1">
        <w:r w:rsidR="00B048E4" w:rsidRPr="009D2F56">
          <w:rPr>
            <w:rStyle w:val="Hyperlink"/>
            <w:rFonts w:ascii="Times New Roman" w:hAnsi="Times New Roman" w:cs="Times New Roman"/>
          </w:rPr>
          <w:t>elsewhere</w:t>
        </w:r>
      </w:hyperlink>
      <w:r w:rsidRPr="009D2F56">
        <w:rPr>
          <w:rFonts w:ascii="Times New Roman" w:hAnsi="Times New Roman" w:cs="Times New Roman"/>
        </w:rPr>
        <w:t xml:space="preserve">, the Court is </w:t>
      </w:r>
      <w:r w:rsidRPr="009D2F56">
        <w:rPr>
          <w:rFonts w:ascii="Times New Roman" w:hAnsi="Times New Roman" w:cs="Times New Roman"/>
          <w:i/>
          <w:iCs/>
        </w:rPr>
        <w:t>not</w:t>
      </w:r>
      <w:r w:rsidRPr="009D2F56">
        <w:rPr>
          <w:rFonts w:ascii="Times New Roman" w:hAnsi="Times New Roman" w:cs="Times New Roman"/>
        </w:rPr>
        <w:t xml:space="preserve"> imposing </w:t>
      </w:r>
      <w:r w:rsidRPr="009D2F56">
        <w:rPr>
          <w:rFonts w:ascii="Times New Roman" w:hAnsi="Times New Roman" w:cs="Times New Roman"/>
          <w:i/>
        </w:rPr>
        <w:t xml:space="preserve">new or expanded obligations </w:t>
      </w:r>
      <w:r w:rsidRPr="009D2F56">
        <w:rPr>
          <w:rFonts w:ascii="Times New Roman" w:hAnsi="Times New Roman" w:cs="Times New Roman"/>
        </w:rPr>
        <w:t xml:space="preserve">upon the Member-State; rather, it is re-affirming obligations and rights protections which already form part of domestic legislation. Both in Ireland and in Poland narrow exceptions to the prohibition of abortion are part of national jurisprudence. In the case of Ireland, the 1992 Supreme Court decision in the </w:t>
      </w:r>
      <w:hyperlink r:id="rId12" w:history="1">
        <w:r w:rsidRPr="009D2F56">
          <w:rPr>
            <w:rStyle w:val="Hyperlink"/>
            <w:rFonts w:ascii="Times New Roman" w:hAnsi="Times New Roman" w:cs="Times New Roman"/>
            <w:i/>
            <w:iCs/>
          </w:rPr>
          <w:t>Attorney General v. X</w:t>
        </w:r>
        <w:r w:rsidRPr="009D2F56">
          <w:rPr>
            <w:rStyle w:val="Hyperlink"/>
            <w:rFonts w:ascii="Times New Roman" w:hAnsi="Times New Roman" w:cs="Times New Roman"/>
          </w:rPr>
          <w:t xml:space="preserve"> </w:t>
        </w:r>
      </w:hyperlink>
      <w:r w:rsidRPr="009D2F56">
        <w:rPr>
          <w:rFonts w:ascii="Times New Roman" w:hAnsi="Times New Roman" w:cs="Times New Roman"/>
          <w:i/>
          <w:iCs/>
        </w:rPr>
        <w:t>allows for an abortion in limited circumstances</w:t>
      </w:r>
      <w:r w:rsidRPr="009D2F56">
        <w:rPr>
          <w:rFonts w:ascii="Times New Roman" w:hAnsi="Times New Roman" w:cs="Times New Roman"/>
        </w:rPr>
        <w:t xml:space="preserve"> </w:t>
      </w:r>
      <w:r w:rsidRPr="009D2F56">
        <w:rPr>
          <w:rFonts w:ascii="Times New Roman" w:hAnsi="Times New Roman" w:cs="Times New Roman"/>
          <w:i/>
          <w:iCs/>
        </w:rPr>
        <w:t>where there is a real and substantial risk to the life of the mother if the termination is not affected</w:t>
      </w:r>
      <w:r w:rsidRPr="009D2F56">
        <w:rPr>
          <w:rFonts w:ascii="Times New Roman" w:hAnsi="Times New Roman" w:cs="Times New Roman"/>
        </w:rPr>
        <w:t xml:space="preserve"> (in this particular case the risk was suicide); the issue is rather that this ruling of the Irish Supreme Court has not yet been transposed into ordinary legislation that would settle the exact procedural and substantive requirements for a lawful pregnancy termination and provide medical professionals with certainty as to how to proceed. As abortion is a criminal offence punishable by life imprisonment under Irish criminal law, the need to clarify the legal and medical framework and </w:t>
      </w:r>
      <w:r w:rsidRPr="009D2F56">
        <w:rPr>
          <w:rFonts w:ascii="Times New Roman" w:hAnsi="Times New Roman" w:cs="Times New Roman"/>
        </w:rPr>
        <w:lastRenderedPageBreak/>
        <w:t>clearly outline the circumstances where a medical termination or abortion can be performed without the risk of a criminal prosecution is palpable. In the</w:t>
      </w:r>
      <w:r w:rsidR="0091009F" w:rsidRPr="009D2F56">
        <w:rPr>
          <w:rFonts w:ascii="Times New Roman" w:hAnsi="Times New Roman" w:cs="Times New Roman"/>
          <w:i/>
        </w:rPr>
        <w:t xml:space="preserve"> P. and S. case</w:t>
      </w:r>
      <w:r w:rsidRPr="009D2F56">
        <w:rPr>
          <w:rFonts w:ascii="Times New Roman" w:hAnsi="Times New Roman" w:cs="Times New Roman"/>
        </w:rPr>
        <w:t xml:space="preserve">, an official permission of abortion had been obtained as the pregnancy was the result of a rape; however, the State failed to provide the minimum acceptable conditions necessary for a safe and respectful execution of the procedure. </w:t>
      </w:r>
    </w:p>
    <w:p w14:paraId="5B3DD259" w14:textId="77777777" w:rsidR="005D5AB7" w:rsidRPr="009D2F56" w:rsidRDefault="007E7328" w:rsidP="00545022">
      <w:pPr>
        <w:jc w:val="both"/>
        <w:rPr>
          <w:rFonts w:ascii="Times New Roman" w:hAnsi="Times New Roman" w:cs="Times New Roman"/>
          <w:iCs/>
        </w:rPr>
      </w:pPr>
      <w:r w:rsidRPr="009D2F56">
        <w:rPr>
          <w:rFonts w:ascii="Times New Roman" w:hAnsi="Times New Roman" w:cs="Times New Roman"/>
        </w:rPr>
        <w:t xml:space="preserve">Admittedly, the question whether the accessibility to an abortion constitutes a right under the Convention </w:t>
      </w:r>
      <w:r w:rsidR="009909A5" w:rsidRPr="009D2F56">
        <w:rPr>
          <w:rFonts w:ascii="Times New Roman" w:hAnsi="Times New Roman" w:cs="Times New Roman"/>
        </w:rPr>
        <w:t xml:space="preserve">remains </w:t>
      </w:r>
      <w:r w:rsidRPr="009D2F56">
        <w:rPr>
          <w:rFonts w:ascii="Times New Roman" w:hAnsi="Times New Roman" w:cs="Times New Roman"/>
        </w:rPr>
        <w:t xml:space="preserve">a thought-provoking one. In this context, Mr </w:t>
      </w:r>
      <w:proofErr w:type="spellStart"/>
      <w:r w:rsidRPr="009D2F56">
        <w:rPr>
          <w:rFonts w:ascii="Times New Roman" w:hAnsi="Times New Roman" w:cs="Times New Roman"/>
        </w:rPr>
        <w:t>Puppinck</w:t>
      </w:r>
      <w:proofErr w:type="spellEnd"/>
      <w:r w:rsidRPr="009D2F56">
        <w:rPr>
          <w:rFonts w:ascii="Times New Roman" w:hAnsi="Times New Roman" w:cs="Times New Roman"/>
        </w:rPr>
        <w:t xml:space="preserve"> resorts to an </w:t>
      </w:r>
      <w:proofErr w:type="spellStart"/>
      <w:r w:rsidRPr="009D2F56">
        <w:rPr>
          <w:rFonts w:ascii="Times New Roman" w:hAnsi="Times New Roman" w:cs="Times New Roman"/>
        </w:rPr>
        <w:t>originalistic</w:t>
      </w:r>
      <w:proofErr w:type="spellEnd"/>
      <w:r w:rsidRPr="009D2F56">
        <w:rPr>
          <w:rFonts w:ascii="Times New Roman" w:hAnsi="Times New Roman" w:cs="Times New Roman"/>
        </w:rPr>
        <w:t xml:space="preserve"> reading of the Convention stating that “when the Convention was drafted, abortion on demand</w:t>
      </w:r>
      <w:r w:rsidRPr="009D2F56">
        <w:rPr>
          <w:rFonts w:ascii="Times New Roman" w:hAnsi="Times New Roman" w:cs="Times New Roman"/>
          <w:i/>
          <w:iCs/>
        </w:rPr>
        <w:t> </w:t>
      </w:r>
      <w:r w:rsidRPr="009D2F56">
        <w:rPr>
          <w:rFonts w:ascii="Times New Roman" w:hAnsi="Times New Roman" w:cs="Times New Roman"/>
        </w:rPr>
        <w:t>was widely recognised as a crime (</w:t>
      </w:r>
      <w:r w:rsidR="00F54BAE" w:rsidRPr="009D2F56">
        <w:rPr>
          <w:rFonts w:ascii="Times New Roman" w:hAnsi="Times New Roman" w:cs="Times New Roman"/>
        </w:rPr>
        <w:fldChar w:fldCharType="begin"/>
      </w:r>
      <w:r w:rsidR="00F54BAE" w:rsidRPr="009D2F56">
        <w:rPr>
          <w:rFonts w:ascii="Times New Roman" w:hAnsi="Times New Roman" w:cs="Times New Roman"/>
        </w:rPr>
        <w:instrText xml:space="preserve"> HYPERLINK "http://hudoc.echr.coe.int/sites/eng/pages/search.aspx?i=001-74824" \t "_blank" </w:instrText>
      </w:r>
      <w:r w:rsidR="00F54BAE" w:rsidRPr="009D2F56">
        <w:rPr>
          <w:rFonts w:ascii="Times New Roman" w:hAnsi="Times New Roman" w:cs="Times New Roman"/>
        </w:rPr>
        <w:fldChar w:fldCharType="separate"/>
      </w:r>
      <w:proofErr w:type="spellStart"/>
      <w:r w:rsidRPr="009D2F56">
        <w:rPr>
          <w:rStyle w:val="Hyperlink"/>
          <w:rFonts w:ascii="Times New Roman" w:hAnsi="Times New Roman" w:cs="Times New Roman"/>
          <w:i/>
          <w:iCs/>
        </w:rPr>
        <w:t>Brüggemann</w:t>
      </w:r>
      <w:proofErr w:type="spellEnd"/>
      <w:r w:rsidRPr="009D2F56">
        <w:rPr>
          <w:rStyle w:val="Hyperlink"/>
          <w:rFonts w:ascii="Times New Roman" w:hAnsi="Times New Roman" w:cs="Times New Roman"/>
          <w:i/>
          <w:iCs/>
        </w:rPr>
        <w:t xml:space="preserve"> and </w:t>
      </w:r>
      <w:proofErr w:type="spellStart"/>
      <w:r w:rsidRPr="009D2F56">
        <w:rPr>
          <w:rStyle w:val="Hyperlink"/>
          <w:rFonts w:ascii="Times New Roman" w:hAnsi="Times New Roman" w:cs="Times New Roman"/>
          <w:i/>
          <w:iCs/>
        </w:rPr>
        <w:t>Scheuten</w:t>
      </w:r>
      <w:proofErr w:type="spellEnd"/>
      <w:r w:rsidRPr="009D2F56">
        <w:rPr>
          <w:rStyle w:val="Hyperlink"/>
          <w:rFonts w:ascii="Times New Roman" w:hAnsi="Times New Roman" w:cs="Times New Roman"/>
          <w:i/>
          <w:iCs/>
        </w:rPr>
        <w:t xml:space="preserve"> v. Federal Republic of Germany</w:t>
      </w:r>
      <w:r w:rsidR="00F54BAE" w:rsidRPr="009D2F56">
        <w:rPr>
          <w:rStyle w:val="Hyperlink"/>
          <w:rFonts w:ascii="Times New Roman" w:hAnsi="Times New Roman" w:cs="Times New Roman"/>
          <w:i/>
          <w:iCs/>
        </w:rPr>
        <w:fldChar w:fldCharType="end"/>
      </w:r>
      <w:r w:rsidRPr="009D2F56">
        <w:rPr>
          <w:rFonts w:ascii="Times New Roman" w:hAnsi="Times New Roman" w:cs="Times New Roman"/>
        </w:rPr>
        <w:t>)</w:t>
      </w:r>
      <w:r w:rsidRPr="009D2F56">
        <w:rPr>
          <w:rFonts w:ascii="Times New Roman" w:hAnsi="Times New Roman" w:cs="Times New Roman"/>
          <w:iCs/>
        </w:rPr>
        <w:t xml:space="preserve">”, an argument that is utilised to support the view that no such right could have been established or developed by the Convention. However such an interpretation disregards the inherent intent and nature of the Convention to promote and protect human rights, which has been consistently re-affirmed by the European Court of Human Rights; the Court’s statement in the </w:t>
      </w:r>
      <w:hyperlink r:id="rId13" w:history="1">
        <w:proofErr w:type="spellStart"/>
        <w:r w:rsidRPr="009D2F56">
          <w:rPr>
            <w:rStyle w:val="Hyperlink"/>
            <w:rFonts w:ascii="Times New Roman" w:hAnsi="Times New Roman" w:cs="Times New Roman"/>
            <w:i/>
          </w:rPr>
          <w:t>Tyrer</w:t>
        </w:r>
        <w:proofErr w:type="spellEnd"/>
        <w:r w:rsidR="007227F1" w:rsidRPr="009D2F56">
          <w:rPr>
            <w:rStyle w:val="Hyperlink"/>
            <w:rFonts w:ascii="Times New Roman" w:hAnsi="Times New Roman" w:cs="Times New Roman"/>
            <w:i/>
          </w:rPr>
          <w:t xml:space="preserve"> v. UK</w:t>
        </w:r>
      </w:hyperlink>
      <w:r w:rsidRPr="009D2F56">
        <w:rPr>
          <w:rFonts w:ascii="Times New Roman" w:hAnsi="Times New Roman" w:cs="Times New Roman"/>
          <w:i/>
        </w:rPr>
        <w:t xml:space="preserve"> </w:t>
      </w:r>
      <w:r w:rsidRPr="009D2F56">
        <w:rPr>
          <w:rFonts w:ascii="Times New Roman" w:hAnsi="Times New Roman" w:cs="Times New Roman"/>
          <w:iCs/>
        </w:rPr>
        <w:t>case</w:t>
      </w:r>
      <w:r w:rsidR="007227F1" w:rsidRPr="009D2F56">
        <w:rPr>
          <w:rFonts w:ascii="Times New Roman" w:hAnsi="Times New Roman" w:cs="Times New Roman"/>
          <w:iCs/>
        </w:rPr>
        <w:t xml:space="preserve"> (</w:t>
      </w:r>
      <w:proofErr w:type="spellStart"/>
      <w:r w:rsidR="007227F1" w:rsidRPr="009D2F56">
        <w:rPr>
          <w:rFonts w:ascii="Times New Roman" w:hAnsi="Times New Roman" w:cs="Times New Roman"/>
          <w:iCs/>
        </w:rPr>
        <w:t>para</w:t>
      </w:r>
      <w:proofErr w:type="spellEnd"/>
      <w:r w:rsidR="007227F1" w:rsidRPr="009D2F56">
        <w:rPr>
          <w:rFonts w:ascii="Times New Roman" w:hAnsi="Times New Roman" w:cs="Times New Roman"/>
          <w:iCs/>
        </w:rPr>
        <w:t xml:space="preserve"> 31)</w:t>
      </w:r>
      <w:r w:rsidRPr="009D2F56">
        <w:rPr>
          <w:rFonts w:ascii="Times New Roman" w:hAnsi="Times New Roman" w:cs="Times New Roman"/>
          <w:iCs/>
        </w:rPr>
        <w:t xml:space="preserve"> that “the Convention is a living instrument… which must be interpreted in the light of the present day conditions” is perhaps one of the most well-known and quoted statements of the Court. The evolving interpretation of the Convention is well illustrated </w:t>
      </w:r>
      <w:r w:rsidR="002A0935" w:rsidRPr="009D2F56">
        <w:rPr>
          <w:rFonts w:ascii="Times New Roman" w:hAnsi="Times New Roman" w:cs="Times New Roman"/>
          <w:iCs/>
        </w:rPr>
        <w:t xml:space="preserve">in </w:t>
      </w:r>
      <w:r w:rsidRPr="009D2F56">
        <w:rPr>
          <w:rFonts w:ascii="Times New Roman" w:hAnsi="Times New Roman" w:cs="Times New Roman"/>
          <w:iCs/>
        </w:rPr>
        <w:t>the approach towards homosexuality</w:t>
      </w:r>
      <w:r w:rsidR="00EA3F2C" w:rsidRPr="009D2F56">
        <w:rPr>
          <w:rFonts w:ascii="Times New Roman" w:hAnsi="Times New Roman" w:cs="Times New Roman"/>
          <w:iCs/>
        </w:rPr>
        <w:t>, which captures the advancement of LGBT rights in relation to</w:t>
      </w:r>
      <w:r w:rsidR="007162D1" w:rsidRPr="009D2F56">
        <w:rPr>
          <w:rFonts w:ascii="Times New Roman" w:hAnsi="Times New Roman" w:cs="Times New Roman"/>
          <w:iCs/>
        </w:rPr>
        <w:t xml:space="preserve"> </w:t>
      </w:r>
      <w:r w:rsidR="00EA3F2C" w:rsidRPr="009D2F56">
        <w:rPr>
          <w:rFonts w:ascii="Times New Roman" w:hAnsi="Times New Roman" w:cs="Times New Roman"/>
          <w:iCs/>
        </w:rPr>
        <w:t>privacy</w:t>
      </w:r>
      <w:r w:rsidRPr="009D2F56">
        <w:rPr>
          <w:rFonts w:ascii="Times New Roman" w:hAnsi="Times New Roman" w:cs="Times New Roman"/>
          <w:iCs/>
        </w:rPr>
        <w:t xml:space="preserve"> </w:t>
      </w:r>
      <w:r w:rsidR="00803A23" w:rsidRPr="009D2F56">
        <w:rPr>
          <w:rFonts w:ascii="Times New Roman" w:hAnsi="Times New Roman" w:cs="Times New Roman"/>
          <w:iCs/>
        </w:rPr>
        <w:t>(</w:t>
      </w:r>
      <w:r w:rsidR="00803A23" w:rsidRPr="009D2F56">
        <w:rPr>
          <w:rFonts w:ascii="Times New Roman" w:hAnsi="Times New Roman" w:cs="Times New Roman"/>
          <w:i/>
          <w:iCs/>
        </w:rPr>
        <w:t>Dudgeon, Norris</w:t>
      </w:r>
      <w:r w:rsidR="00803A23" w:rsidRPr="009D2F56">
        <w:rPr>
          <w:rFonts w:ascii="Times New Roman" w:hAnsi="Times New Roman" w:cs="Times New Roman"/>
          <w:iCs/>
        </w:rPr>
        <w:t xml:space="preserve">, </w:t>
      </w:r>
      <w:proofErr w:type="spellStart"/>
      <w:r w:rsidR="00803A23" w:rsidRPr="009D2F56">
        <w:rPr>
          <w:rFonts w:ascii="Times New Roman" w:hAnsi="Times New Roman" w:cs="Times New Roman"/>
          <w:i/>
          <w:iCs/>
        </w:rPr>
        <w:t>Modinos</w:t>
      </w:r>
      <w:proofErr w:type="spellEnd"/>
      <w:r w:rsidR="00803A23" w:rsidRPr="009D2F56">
        <w:rPr>
          <w:rFonts w:ascii="Times New Roman" w:hAnsi="Times New Roman" w:cs="Times New Roman"/>
          <w:i/>
          <w:iCs/>
        </w:rPr>
        <w:t xml:space="preserve"> </w:t>
      </w:r>
      <w:r w:rsidR="00803A23" w:rsidRPr="009D2F56">
        <w:rPr>
          <w:rFonts w:ascii="Times New Roman" w:hAnsi="Times New Roman" w:cs="Times New Roman"/>
        </w:rPr>
        <w:t>cases)</w:t>
      </w:r>
      <w:r w:rsidRPr="009D2F56">
        <w:rPr>
          <w:rFonts w:ascii="Times New Roman" w:hAnsi="Times New Roman" w:cs="Times New Roman"/>
          <w:iCs/>
        </w:rPr>
        <w:t xml:space="preserve">. </w:t>
      </w:r>
    </w:p>
    <w:p w14:paraId="474A94AF" w14:textId="6524B2B9" w:rsidR="007E7328" w:rsidRPr="009D2F56" w:rsidRDefault="00864D0E" w:rsidP="00C06930">
      <w:pPr>
        <w:jc w:val="both"/>
        <w:rPr>
          <w:rFonts w:ascii="Times New Roman" w:hAnsi="Times New Roman" w:cs="Times New Roman"/>
          <w:iCs/>
        </w:rPr>
      </w:pPr>
      <w:r w:rsidRPr="009D2F56">
        <w:rPr>
          <w:rFonts w:ascii="Times New Roman" w:hAnsi="Times New Roman" w:cs="Times New Roman"/>
          <w:iCs/>
        </w:rPr>
        <w:t xml:space="preserve">In general, as stated in </w:t>
      </w:r>
      <w:hyperlink r:id="rId14" w:history="1">
        <w:proofErr w:type="spellStart"/>
        <w:r w:rsidRPr="009D2F56">
          <w:rPr>
            <w:rStyle w:val="Hyperlink"/>
            <w:rFonts w:ascii="Times New Roman" w:hAnsi="Times New Roman" w:cs="Times New Roman"/>
            <w:i/>
          </w:rPr>
          <w:t>Airey</w:t>
        </w:r>
        <w:proofErr w:type="spellEnd"/>
        <w:r w:rsidRPr="009D2F56">
          <w:rPr>
            <w:rStyle w:val="Hyperlink"/>
            <w:rFonts w:ascii="Times New Roman" w:hAnsi="Times New Roman" w:cs="Times New Roman"/>
            <w:i/>
          </w:rPr>
          <w:t xml:space="preserve"> v. Ireland</w:t>
        </w:r>
      </w:hyperlink>
      <w:r w:rsidRPr="009D2F56">
        <w:rPr>
          <w:rFonts w:ascii="Times New Roman" w:hAnsi="Times New Roman" w:cs="Times New Roman"/>
          <w:iCs/>
        </w:rPr>
        <w:t xml:space="preserve"> (</w:t>
      </w:r>
      <w:proofErr w:type="spellStart"/>
      <w:r w:rsidRPr="009D2F56">
        <w:rPr>
          <w:rFonts w:ascii="Times New Roman" w:hAnsi="Times New Roman" w:cs="Times New Roman"/>
          <w:iCs/>
        </w:rPr>
        <w:t>para</w:t>
      </w:r>
      <w:proofErr w:type="spellEnd"/>
      <w:r w:rsidRPr="009D2F56">
        <w:rPr>
          <w:rFonts w:ascii="Times New Roman" w:hAnsi="Times New Roman" w:cs="Times New Roman"/>
          <w:iCs/>
        </w:rPr>
        <w:t xml:space="preserve"> 24) “the Convention is intended to guarantee not rights that are theoretical or illusory but rights that are practical and effective”.</w:t>
      </w:r>
      <w:r w:rsidR="00E16782" w:rsidRPr="009D2F56">
        <w:rPr>
          <w:rFonts w:ascii="Times New Roman" w:hAnsi="Times New Roman" w:cs="Times New Roman"/>
          <w:iCs/>
        </w:rPr>
        <w:t xml:space="preserve"> Thus, with </w:t>
      </w:r>
      <w:r w:rsidR="002A0935" w:rsidRPr="009D2F56">
        <w:rPr>
          <w:rFonts w:ascii="Times New Roman" w:hAnsi="Times New Roman" w:cs="Times New Roman"/>
          <w:iCs/>
        </w:rPr>
        <w:t>reference to abortion, i</w:t>
      </w:r>
      <w:r w:rsidR="007E7328" w:rsidRPr="009D2F56">
        <w:rPr>
          <w:rFonts w:ascii="Times New Roman" w:hAnsi="Times New Roman" w:cs="Times New Roman"/>
          <w:iCs/>
        </w:rPr>
        <w:t xml:space="preserve">t is striking that </w:t>
      </w:r>
      <w:r w:rsidR="005F6FDE" w:rsidRPr="009D2F56">
        <w:rPr>
          <w:rFonts w:ascii="Times New Roman" w:hAnsi="Times New Roman" w:cs="Times New Roman"/>
          <w:iCs/>
        </w:rPr>
        <w:t>Mr</w:t>
      </w:r>
      <w:r w:rsidR="007E7328" w:rsidRPr="009D2F56">
        <w:rPr>
          <w:rFonts w:ascii="Times New Roman" w:hAnsi="Times New Roman" w:cs="Times New Roman"/>
          <w:iCs/>
        </w:rPr>
        <w:t xml:space="preserve"> </w:t>
      </w:r>
      <w:proofErr w:type="spellStart"/>
      <w:r w:rsidR="007E7328" w:rsidRPr="009D2F56">
        <w:rPr>
          <w:rFonts w:ascii="Times New Roman" w:hAnsi="Times New Roman" w:cs="Times New Roman"/>
          <w:iCs/>
        </w:rPr>
        <w:t>Puppinck</w:t>
      </w:r>
      <w:proofErr w:type="spellEnd"/>
      <w:r w:rsidR="007E7328" w:rsidRPr="009D2F56">
        <w:rPr>
          <w:rFonts w:ascii="Times New Roman" w:hAnsi="Times New Roman" w:cs="Times New Roman"/>
          <w:iCs/>
        </w:rPr>
        <w:t xml:space="preserve"> then </w:t>
      </w:r>
      <w:r w:rsidR="009D2F56">
        <w:rPr>
          <w:rFonts w:ascii="Times New Roman" w:hAnsi="Times New Roman" w:cs="Times New Roman"/>
          <w:iCs/>
        </w:rPr>
        <w:t>implies</w:t>
      </w:r>
      <w:r w:rsidR="009D2F56" w:rsidRPr="009D2F56">
        <w:rPr>
          <w:rFonts w:ascii="Times New Roman" w:hAnsi="Times New Roman" w:cs="Times New Roman"/>
          <w:iCs/>
        </w:rPr>
        <w:t xml:space="preserve"> </w:t>
      </w:r>
      <w:r w:rsidR="007E7328" w:rsidRPr="009D2F56">
        <w:rPr>
          <w:rFonts w:ascii="Times New Roman" w:hAnsi="Times New Roman" w:cs="Times New Roman"/>
          <w:iCs/>
        </w:rPr>
        <w:t>that the Court is sitting in the corner patiently waiting for a father or grandparent to file a complaint, which would offer the Court the opportunity to declare that “abortion on demand”</w:t>
      </w:r>
      <w:r w:rsidR="009A0E0D" w:rsidRPr="009D2F56">
        <w:rPr>
          <w:rFonts w:ascii="Times New Roman" w:hAnsi="Times New Roman" w:cs="Times New Roman"/>
          <w:iCs/>
        </w:rPr>
        <w:t xml:space="preserve"> </w:t>
      </w:r>
      <w:r w:rsidR="005B3F63" w:rsidRPr="009D2F56">
        <w:rPr>
          <w:rFonts w:ascii="Times New Roman" w:hAnsi="Times New Roman" w:cs="Times New Roman"/>
          <w:iCs/>
        </w:rPr>
        <w:t>(</w:t>
      </w:r>
      <w:r w:rsidR="009D2F56">
        <w:rPr>
          <w:rFonts w:ascii="Times New Roman" w:hAnsi="Times New Roman" w:cs="Times New Roman"/>
          <w:iCs/>
        </w:rPr>
        <w:t xml:space="preserve">which is </w:t>
      </w:r>
      <w:r w:rsidR="007E7328" w:rsidRPr="009D2F56">
        <w:rPr>
          <w:rFonts w:ascii="Times New Roman" w:hAnsi="Times New Roman" w:cs="Times New Roman"/>
          <w:iCs/>
        </w:rPr>
        <w:t>not clearly defined in his piece</w:t>
      </w:r>
      <w:r w:rsidR="005B3F63" w:rsidRPr="009D2F56">
        <w:rPr>
          <w:rFonts w:ascii="Times New Roman" w:hAnsi="Times New Roman" w:cs="Times New Roman"/>
          <w:iCs/>
        </w:rPr>
        <w:t>)</w:t>
      </w:r>
      <w:r w:rsidR="007E7328" w:rsidRPr="009D2F56">
        <w:rPr>
          <w:rFonts w:ascii="Times New Roman" w:hAnsi="Times New Roman" w:cs="Times New Roman"/>
          <w:iCs/>
        </w:rPr>
        <w:t xml:space="preserve"> is a </w:t>
      </w:r>
      <w:r w:rsidR="00E16782" w:rsidRPr="009D2F56">
        <w:rPr>
          <w:rFonts w:ascii="Times New Roman" w:hAnsi="Times New Roman" w:cs="Times New Roman"/>
          <w:iCs/>
        </w:rPr>
        <w:t xml:space="preserve">(theoretical) </w:t>
      </w:r>
      <w:r w:rsidR="007E7328" w:rsidRPr="009D2F56">
        <w:rPr>
          <w:rFonts w:ascii="Times New Roman" w:hAnsi="Times New Roman" w:cs="Times New Roman"/>
          <w:iCs/>
        </w:rPr>
        <w:t xml:space="preserve">violation of </w:t>
      </w:r>
      <w:r w:rsidR="00601CFF" w:rsidRPr="009D2F56">
        <w:rPr>
          <w:rFonts w:ascii="Times New Roman" w:hAnsi="Times New Roman" w:cs="Times New Roman"/>
          <w:iCs/>
        </w:rPr>
        <w:t xml:space="preserve">articles 2, 3, or 8. </w:t>
      </w:r>
      <w:r w:rsidR="00E746E6" w:rsidRPr="009D2F56">
        <w:rPr>
          <w:rFonts w:ascii="Times New Roman" w:hAnsi="Times New Roman" w:cs="Times New Roman"/>
          <w:iCs/>
        </w:rPr>
        <w:t>Moreover, the</w:t>
      </w:r>
      <w:r w:rsidR="005B4225" w:rsidRPr="009D2F56">
        <w:rPr>
          <w:rFonts w:ascii="Times New Roman" w:hAnsi="Times New Roman" w:cs="Times New Roman"/>
          <w:iCs/>
        </w:rPr>
        <w:t xml:space="preserve"> issue</w:t>
      </w:r>
      <w:r w:rsidR="00E746E6" w:rsidRPr="009D2F56">
        <w:rPr>
          <w:rFonts w:ascii="Times New Roman" w:hAnsi="Times New Roman" w:cs="Times New Roman"/>
          <w:iCs/>
        </w:rPr>
        <w:t xml:space="preserve"> of a father’s objection to the termination of a pregnancy</w:t>
      </w:r>
      <w:r w:rsidR="005B4225" w:rsidRPr="009D2F56">
        <w:rPr>
          <w:rFonts w:ascii="Times New Roman" w:hAnsi="Times New Roman" w:cs="Times New Roman"/>
          <w:iCs/>
        </w:rPr>
        <w:t xml:space="preserve"> was addressed in </w:t>
      </w:r>
      <w:hyperlink r:id="rId15" w:history="1">
        <w:r w:rsidR="00E746E6" w:rsidRPr="009D2F56">
          <w:rPr>
            <w:rStyle w:val="Hyperlink"/>
            <w:rFonts w:ascii="Times New Roman" w:hAnsi="Times New Roman" w:cs="Times New Roman"/>
            <w:i/>
          </w:rPr>
          <w:t>H. v. Norway</w:t>
        </w:r>
      </w:hyperlink>
      <w:r w:rsidR="00675419" w:rsidRPr="009D2F56">
        <w:rPr>
          <w:rFonts w:ascii="Times New Roman" w:hAnsi="Times New Roman" w:cs="Times New Roman"/>
          <w:i/>
        </w:rPr>
        <w:t xml:space="preserve"> </w:t>
      </w:r>
      <w:r w:rsidR="00675419" w:rsidRPr="009D2F56">
        <w:rPr>
          <w:rFonts w:ascii="Times New Roman" w:hAnsi="Times New Roman" w:cs="Times New Roman"/>
          <w:iCs/>
        </w:rPr>
        <w:t>and declared inadmissible by the Commission</w:t>
      </w:r>
      <w:r w:rsidR="00E746E6" w:rsidRPr="009D2F56">
        <w:rPr>
          <w:rFonts w:ascii="Times New Roman" w:hAnsi="Times New Roman" w:cs="Times New Roman"/>
          <w:iCs/>
        </w:rPr>
        <w:t xml:space="preserve">. In that case the Commission </w:t>
      </w:r>
      <w:r w:rsidR="00EA594C" w:rsidRPr="009D2F56">
        <w:rPr>
          <w:rFonts w:ascii="Times New Roman" w:hAnsi="Times New Roman" w:cs="Times New Roman"/>
          <w:iCs/>
        </w:rPr>
        <w:t xml:space="preserve">found that </w:t>
      </w:r>
      <w:r w:rsidR="00E746E6" w:rsidRPr="009D2F56">
        <w:rPr>
          <w:rFonts w:ascii="Times New Roman" w:hAnsi="Times New Roman" w:cs="Times New Roman"/>
          <w:iCs/>
        </w:rPr>
        <w:t xml:space="preserve"> </w:t>
      </w:r>
      <w:r w:rsidR="00EA594C" w:rsidRPr="009D2F56">
        <w:rPr>
          <w:rFonts w:ascii="Times New Roman" w:hAnsi="Times New Roman" w:cs="Times New Roman"/>
          <w:iCs/>
        </w:rPr>
        <w:t>“any interpretation of the potential father's right under [articles 8 and 9] in connection with an abortion which the mother intends to have performed on her, must first of all take into account her rights, she being the person primarily concerned by the pregnancy and its continuation or termination” (</w:t>
      </w:r>
      <w:proofErr w:type="spellStart"/>
      <w:r w:rsidR="00EA594C" w:rsidRPr="009D2F56">
        <w:rPr>
          <w:rFonts w:ascii="Times New Roman" w:hAnsi="Times New Roman" w:cs="Times New Roman"/>
          <w:iCs/>
        </w:rPr>
        <w:t>para</w:t>
      </w:r>
      <w:proofErr w:type="spellEnd"/>
      <w:r w:rsidR="00EA594C" w:rsidRPr="009D2F56">
        <w:rPr>
          <w:rFonts w:ascii="Times New Roman" w:hAnsi="Times New Roman" w:cs="Times New Roman"/>
          <w:iCs/>
        </w:rPr>
        <w:t xml:space="preserve"> 4).</w:t>
      </w:r>
      <w:r w:rsidR="00675419" w:rsidRPr="009D2F56">
        <w:rPr>
          <w:rFonts w:ascii="Times New Roman" w:hAnsi="Times New Roman" w:cs="Times New Roman"/>
          <w:iCs/>
        </w:rPr>
        <w:t xml:space="preserve"> In relation to the alleged discrimination</w:t>
      </w:r>
      <w:r w:rsidR="002660FA" w:rsidRPr="009D2F56">
        <w:rPr>
          <w:rFonts w:ascii="Times New Roman" w:hAnsi="Times New Roman" w:cs="Times New Roman"/>
          <w:iCs/>
        </w:rPr>
        <w:t xml:space="preserve"> under article 14</w:t>
      </w:r>
      <w:r w:rsidR="00675419" w:rsidRPr="009D2F56">
        <w:rPr>
          <w:rFonts w:ascii="Times New Roman" w:hAnsi="Times New Roman" w:cs="Times New Roman"/>
          <w:iCs/>
        </w:rPr>
        <w:t xml:space="preserve"> between parents, the Commission found that </w:t>
      </w:r>
      <w:r w:rsidR="002660FA" w:rsidRPr="009D2F56">
        <w:rPr>
          <w:rFonts w:ascii="Times New Roman" w:hAnsi="Times New Roman" w:cs="Times New Roman"/>
          <w:iCs/>
        </w:rPr>
        <w:t>the father’s situation was not analogous to the mother’s (</w:t>
      </w:r>
      <w:proofErr w:type="spellStart"/>
      <w:r w:rsidR="002660FA" w:rsidRPr="009D2F56">
        <w:rPr>
          <w:rFonts w:ascii="Times New Roman" w:hAnsi="Times New Roman" w:cs="Times New Roman"/>
          <w:iCs/>
        </w:rPr>
        <w:t>para</w:t>
      </w:r>
      <w:proofErr w:type="spellEnd"/>
      <w:r w:rsidR="002660FA" w:rsidRPr="009D2F56">
        <w:rPr>
          <w:rFonts w:ascii="Times New Roman" w:hAnsi="Times New Roman" w:cs="Times New Roman"/>
          <w:iCs/>
        </w:rPr>
        <w:t xml:space="preserve"> 6). </w:t>
      </w:r>
    </w:p>
    <w:p w14:paraId="1823A90D" w14:textId="033FE446" w:rsidR="005B4225" w:rsidRPr="009D2F56" w:rsidRDefault="007E7328" w:rsidP="00545022">
      <w:pPr>
        <w:jc w:val="both"/>
        <w:rPr>
          <w:rFonts w:ascii="Times New Roman" w:hAnsi="Times New Roman" w:cs="Times New Roman"/>
          <w:iCs/>
        </w:rPr>
      </w:pPr>
      <w:r w:rsidRPr="009D2F56">
        <w:rPr>
          <w:rFonts w:ascii="Times New Roman" w:hAnsi="Times New Roman" w:cs="Times New Roman"/>
          <w:iCs/>
        </w:rPr>
        <w:t>The right to life of the foetus and when this right may be said to begin (whether from the first moment of conception or after</w:t>
      </w:r>
      <w:r w:rsidR="0040404E" w:rsidRPr="009D2F56">
        <w:rPr>
          <w:rFonts w:ascii="Times New Roman" w:hAnsi="Times New Roman" w:cs="Times New Roman"/>
          <w:iCs/>
        </w:rPr>
        <w:t>wards</w:t>
      </w:r>
      <w:r w:rsidRPr="009D2F56">
        <w:rPr>
          <w:rFonts w:ascii="Times New Roman" w:hAnsi="Times New Roman" w:cs="Times New Roman"/>
          <w:iCs/>
        </w:rPr>
        <w:t xml:space="preserve">) </w:t>
      </w:r>
      <w:r w:rsidR="00340428" w:rsidRPr="009D2F56">
        <w:rPr>
          <w:rFonts w:ascii="Times New Roman" w:hAnsi="Times New Roman" w:cs="Times New Roman"/>
          <w:iCs/>
        </w:rPr>
        <w:t>is a key element</w:t>
      </w:r>
      <w:r w:rsidRPr="009D2F56">
        <w:rPr>
          <w:rFonts w:ascii="Times New Roman" w:hAnsi="Times New Roman" w:cs="Times New Roman"/>
          <w:iCs/>
        </w:rPr>
        <w:t xml:space="preserve"> in Mr </w:t>
      </w:r>
      <w:proofErr w:type="spellStart"/>
      <w:r w:rsidRPr="009D2F56">
        <w:rPr>
          <w:rFonts w:ascii="Times New Roman" w:hAnsi="Times New Roman" w:cs="Times New Roman"/>
          <w:iCs/>
        </w:rPr>
        <w:t>Puppinck’s</w:t>
      </w:r>
      <w:proofErr w:type="spellEnd"/>
      <w:r w:rsidRPr="009D2F56">
        <w:rPr>
          <w:rFonts w:ascii="Times New Roman" w:hAnsi="Times New Roman" w:cs="Times New Roman"/>
          <w:iCs/>
        </w:rPr>
        <w:t xml:space="preserve"> piece. It is important to note at this juncture that the Court has been notoriously reluctant in ruling on this issue and has afforded the discretion to each individual Member-State to determine when </w:t>
      </w:r>
      <w:r w:rsidRPr="009D2F56">
        <w:rPr>
          <w:rFonts w:ascii="Times New Roman" w:hAnsi="Times New Roman" w:cs="Times New Roman"/>
          <w:i/>
          <w:iCs/>
        </w:rPr>
        <w:t>human</w:t>
      </w:r>
      <w:r w:rsidRPr="009D2F56">
        <w:rPr>
          <w:rFonts w:ascii="Times New Roman" w:hAnsi="Times New Roman" w:cs="Times New Roman"/>
          <w:iCs/>
        </w:rPr>
        <w:t xml:space="preserve"> life begins within domestic legislation.</w:t>
      </w:r>
      <w:r w:rsidR="005B4225" w:rsidRPr="009D2F56">
        <w:rPr>
          <w:rFonts w:ascii="Times New Roman" w:hAnsi="Times New Roman" w:cs="Times New Roman"/>
          <w:iCs/>
        </w:rPr>
        <w:t xml:space="preserve"> In </w:t>
      </w:r>
      <w:hyperlink r:id="rId16" w:history="1">
        <w:r w:rsidR="002F4B09" w:rsidRPr="009D2F56">
          <w:rPr>
            <w:rStyle w:val="Hyperlink"/>
            <w:rFonts w:ascii="Times New Roman" w:hAnsi="Times New Roman" w:cs="Times New Roman"/>
            <w:i/>
          </w:rPr>
          <w:t>Vo v. France</w:t>
        </w:r>
      </w:hyperlink>
      <w:r w:rsidR="002F4B09" w:rsidRPr="009D2F56">
        <w:rPr>
          <w:rFonts w:ascii="Times New Roman" w:hAnsi="Times New Roman" w:cs="Times New Roman"/>
          <w:i/>
        </w:rPr>
        <w:t>,</w:t>
      </w:r>
      <w:r w:rsidR="002F4B09" w:rsidRPr="009D2F56">
        <w:rPr>
          <w:rFonts w:ascii="Times New Roman" w:hAnsi="Times New Roman" w:cs="Times New Roman"/>
          <w:iCs/>
        </w:rPr>
        <w:t xml:space="preserve"> the Court states that “the issue of when the right to life begins comes within the margin of appreciation which the Court generally considers that States should enjoy in this sphere, notwithstanding an </w:t>
      </w:r>
      <w:proofErr w:type="spellStart"/>
      <w:r w:rsidR="002F4B09" w:rsidRPr="009D2F56">
        <w:rPr>
          <w:rFonts w:ascii="Times New Roman" w:hAnsi="Times New Roman" w:cs="Times New Roman"/>
          <w:iCs/>
        </w:rPr>
        <w:t>evolutive</w:t>
      </w:r>
      <w:proofErr w:type="spellEnd"/>
      <w:r w:rsidR="002F4B09" w:rsidRPr="009D2F56">
        <w:rPr>
          <w:rFonts w:ascii="Times New Roman" w:hAnsi="Times New Roman" w:cs="Times New Roman"/>
          <w:iCs/>
        </w:rPr>
        <w:t xml:space="preserve"> interpretation of the Convention, a “living instrument” (quoting </w:t>
      </w:r>
      <w:proofErr w:type="spellStart"/>
      <w:r w:rsidR="002F4B09" w:rsidRPr="009D2F56">
        <w:rPr>
          <w:rFonts w:ascii="Times New Roman" w:hAnsi="Times New Roman" w:cs="Times New Roman"/>
          <w:i/>
        </w:rPr>
        <w:t>Tyrer</w:t>
      </w:r>
      <w:proofErr w:type="spellEnd"/>
      <w:r w:rsidR="002F4B09" w:rsidRPr="009D2F56">
        <w:rPr>
          <w:rFonts w:ascii="Times New Roman" w:hAnsi="Times New Roman" w:cs="Times New Roman"/>
          <w:iCs/>
        </w:rPr>
        <w:t>)”</w:t>
      </w:r>
      <w:r w:rsidR="00487891" w:rsidRPr="009D2F56">
        <w:rPr>
          <w:rFonts w:ascii="Times New Roman" w:hAnsi="Times New Roman" w:cs="Times New Roman"/>
          <w:iCs/>
        </w:rPr>
        <w:t xml:space="preserve"> (</w:t>
      </w:r>
      <w:proofErr w:type="spellStart"/>
      <w:r w:rsidR="00487891" w:rsidRPr="009D2F56">
        <w:rPr>
          <w:rFonts w:ascii="Times New Roman" w:hAnsi="Times New Roman" w:cs="Times New Roman"/>
          <w:iCs/>
        </w:rPr>
        <w:t>para</w:t>
      </w:r>
      <w:proofErr w:type="spellEnd"/>
      <w:r w:rsidR="00487891" w:rsidRPr="009D2F56">
        <w:rPr>
          <w:rFonts w:ascii="Times New Roman" w:hAnsi="Times New Roman" w:cs="Times New Roman"/>
          <w:iCs/>
        </w:rPr>
        <w:t xml:space="preserve"> 82)</w:t>
      </w:r>
      <w:r w:rsidR="002F4B09" w:rsidRPr="009D2F56">
        <w:rPr>
          <w:rFonts w:ascii="Times New Roman" w:hAnsi="Times New Roman" w:cs="Times New Roman"/>
          <w:iCs/>
        </w:rPr>
        <w:t xml:space="preserve">. </w:t>
      </w:r>
      <w:r w:rsidR="00E65D48" w:rsidRPr="009D2F56">
        <w:rPr>
          <w:rFonts w:ascii="Times New Roman" w:hAnsi="Times New Roman" w:cs="Times New Roman"/>
          <w:iCs/>
        </w:rPr>
        <w:t>The two reasons for this were, firstly, that “the issue of such protection has not been resolved within the majority of the Contracting States themselves”, and secondly, that “there is no European consensus on the scientific and legal definition of the beginning of life” (</w:t>
      </w:r>
      <w:r w:rsidR="00E65D48" w:rsidRPr="009D2F56">
        <w:rPr>
          <w:rFonts w:ascii="Times New Roman" w:hAnsi="Times New Roman" w:cs="Times New Roman"/>
          <w:i/>
        </w:rPr>
        <w:t>ibid</w:t>
      </w:r>
      <w:r w:rsidR="00E65D48" w:rsidRPr="009D2F56">
        <w:rPr>
          <w:rFonts w:ascii="Times New Roman" w:hAnsi="Times New Roman" w:cs="Times New Roman"/>
          <w:iCs/>
        </w:rPr>
        <w:t>).</w:t>
      </w:r>
    </w:p>
    <w:p w14:paraId="3193E098" w14:textId="02B823DC" w:rsidR="00430511" w:rsidRPr="009D2F56" w:rsidRDefault="00110C9D" w:rsidP="0003207C">
      <w:pPr>
        <w:jc w:val="both"/>
        <w:rPr>
          <w:rFonts w:ascii="Times New Roman" w:hAnsi="Times New Roman" w:cs="Times New Roman"/>
          <w:iCs/>
        </w:rPr>
      </w:pPr>
      <w:r w:rsidRPr="009D2F56">
        <w:rPr>
          <w:rFonts w:ascii="Times New Roman" w:hAnsi="Times New Roman" w:cs="Times New Roman"/>
          <w:iCs/>
        </w:rPr>
        <w:t xml:space="preserve">The court has generally referred back to </w:t>
      </w:r>
      <w:r w:rsidR="007E7328" w:rsidRPr="009D2F56">
        <w:rPr>
          <w:rFonts w:ascii="Times New Roman" w:hAnsi="Times New Roman" w:cs="Times New Roman"/>
          <w:iCs/>
        </w:rPr>
        <w:t xml:space="preserve">Member-States through the margin of appreciation doctrine when </w:t>
      </w:r>
      <w:r w:rsidR="003F0B8B" w:rsidRPr="009D2F56">
        <w:rPr>
          <w:rFonts w:ascii="Times New Roman" w:hAnsi="Times New Roman" w:cs="Times New Roman"/>
          <w:iCs/>
        </w:rPr>
        <w:t xml:space="preserve">delicate </w:t>
      </w:r>
      <w:r w:rsidR="007E7328" w:rsidRPr="009D2F56">
        <w:rPr>
          <w:rFonts w:ascii="Times New Roman" w:hAnsi="Times New Roman" w:cs="Times New Roman"/>
          <w:iCs/>
        </w:rPr>
        <w:t xml:space="preserve">religious, moral and political questions have been at stake. In </w:t>
      </w:r>
      <w:hyperlink r:id="rId17" w:anchor="{&quot;itemid&quot;:[&quot;001-57499&quot;]}" w:history="1">
        <w:proofErr w:type="spellStart"/>
        <w:r w:rsidR="007E7328" w:rsidRPr="009D2F56">
          <w:rPr>
            <w:rStyle w:val="Hyperlink"/>
            <w:rFonts w:ascii="Times New Roman" w:hAnsi="Times New Roman" w:cs="Times New Roman"/>
            <w:i/>
            <w:iCs/>
          </w:rPr>
          <w:t>Handyside</w:t>
        </w:r>
        <w:proofErr w:type="spellEnd"/>
        <w:r w:rsidR="007E7328" w:rsidRPr="009D2F56">
          <w:rPr>
            <w:rStyle w:val="Hyperlink"/>
            <w:rFonts w:ascii="Times New Roman" w:hAnsi="Times New Roman" w:cs="Times New Roman"/>
            <w:i/>
            <w:iCs/>
          </w:rPr>
          <w:t xml:space="preserve"> v UK</w:t>
        </w:r>
      </w:hyperlink>
      <w:r w:rsidR="005531F3" w:rsidRPr="009D2F56">
        <w:rPr>
          <w:rFonts w:ascii="Times New Roman" w:hAnsi="Times New Roman" w:cs="Times New Roman"/>
          <w:iCs/>
        </w:rPr>
        <w:t xml:space="preserve"> (</w:t>
      </w:r>
      <w:proofErr w:type="spellStart"/>
      <w:r w:rsidR="005531F3" w:rsidRPr="009D2F56">
        <w:rPr>
          <w:rFonts w:ascii="Times New Roman" w:hAnsi="Times New Roman" w:cs="Times New Roman"/>
          <w:iCs/>
        </w:rPr>
        <w:t>para</w:t>
      </w:r>
      <w:proofErr w:type="spellEnd"/>
      <w:r w:rsidR="005531F3" w:rsidRPr="009D2F56">
        <w:rPr>
          <w:rFonts w:ascii="Times New Roman" w:hAnsi="Times New Roman" w:cs="Times New Roman"/>
          <w:iCs/>
        </w:rPr>
        <w:t xml:space="preserve"> 48)</w:t>
      </w:r>
      <w:r w:rsidR="007E7328" w:rsidRPr="009D2F56">
        <w:rPr>
          <w:rFonts w:ascii="Times New Roman" w:hAnsi="Times New Roman" w:cs="Times New Roman"/>
          <w:iCs/>
        </w:rPr>
        <w:t xml:space="preserve"> the </w:t>
      </w:r>
      <w:r w:rsidR="005531F3" w:rsidRPr="009D2F56">
        <w:rPr>
          <w:rFonts w:ascii="Times New Roman" w:hAnsi="Times New Roman" w:cs="Times New Roman"/>
        </w:rPr>
        <w:t>Court</w:t>
      </w:r>
      <w:r w:rsidR="007E7328" w:rsidRPr="009D2F56">
        <w:rPr>
          <w:rFonts w:ascii="Times New Roman" w:hAnsi="Times New Roman" w:cs="Times New Roman"/>
          <w:iCs/>
        </w:rPr>
        <w:t xml:space="preserve"> found that the State had a legitimate aim to ‘protect morals’, </w:t>
      </w:r>
      <w:r w:rsidR="00B229DC" w:rsidRPr="009D2F56">
        <w:rPr>
          <w:rFonts w:ascii="Times New Roman" w:hAnsi="Times New Roman" w:cs="Times New Roman"/>
          <w:iCs/>
        </w:rPr>
        <w:t>and</w:t>
      </w:r>
      <w:r w:rsidR="007E7328" w:rsidRPr="009D2F56">
        <w:rPr>
          <w:rFonts w:ascii="Times New Roman" w:hAnsi="Times New Roman" w:cs="Times New Roman"/>
          <w:iCs/>
        </w:rPr>
        <w:t xml:space="preserve"> that the national authorities were better placed to decide on </w:t>
      </w:r>
      <w:r w:rsidR="0062680C" w:rsidRPr="009D2F56">
        <w:rPr>
          <w:rFonts w:ascii="Times New Roman" w:hAnsi="Times New Roman" w:cs="Times New Roman"/>
          <w:iCs/>
        </w:rPr>
        <w:t>questions of ethical content</w:t>
      </w:r>
      <w:r w:rsidR="007E7328" w:rsidRPr="009D2F56">
        <w:rPr>
          <w:rFonts w:ascii="Times New Roman" w:hAnsi="Times New Roman" w:cs="Times New Roman"/>
          <w:iCs/>
        </w:rPr>
        <w:t xml:space="preserve">. </w:t>
      </w:r>
      <w:r w:rsidR="00096B21" w:rsidRPr="009D2F56">
        <w:rPr>
          <w:rFonts w:ascii="Times New Roman" w:hAnsi="Times New Roman" w:cs="Times New Roman"/>
          <w:iCs/>
        </w:rPr>
        <w:t xml:space="preserve">However, the existence of competing rights to balance is a challenge that the Court has engaged with constructively. </w:t>
      </w:r>
      <w:r w:rsidR="007E7328" w:rsidRPr="009D2F56">
        <w:rPr>
          <w:rFonts w:ascii="Times New Roman" w:hAnsi="Times New Roman" w:cs="Times New Roman"/>
          <w:iCs/>
        </w:rPr>
        <w:t xml:space="preserve">In </w:t>
      </w:r>
      <w:hyperlink r:id="rId18" w:history="1">
        <w:r w:rsidR="007E7328" w:rsidRPr="009D2F56">
          <w:rPr>
            <w:rStyle w:val="Hyperlink"/>
            <w:rFonts w:ascii="Times New Roman" w:hAnsi="Times New Roman" w:cs="Times New Roman"/>
            <w:i/>
            <w:iCs/>
          </w:rPr>
          <w:t xml:space="preserve">Open Door and </w:t>
        </w:r>
        <w:r w:rsidR="007E7328" w:rsidRPr="009D2F56">
          <w:rPr>
            <w:rStyle w:val="Hyperlink"/>
            <w:rFonts w:ascii="Times New Roman" w:hAnsi="Times New Roman" w:cs="Times New Roman"/>
            <w:i/>
            <w:iCs/>
          </w:rPr>
          <w:lastRenderedPageBreak/>
          <w:t>Dublin Well Woman v Ireland</w:t>
        </w:r>
      </w:hyperlink>
      <w:r w:rsidR="007E7328" w:rsidRPr="009D2F56">
        <w:rPr>
          <w:rFonts w:ascii="Times New Roman" w:hAnsi="Times New Roman" w:cs="Times New Roman"/>
          <w:iCs/>
        </w:rPr>
        <w:t xml:space="preserve"> the Court “considered that the restraining of the provisions of information to pregnant women about abortion facilities abroad violated Art. 10</w:t>
      </w:r>
      <w:r w:rsidR="00AA23BD" w:rsidRPr="009D2F56">
        <w:rPr>
          <w:rFonts w:ascii="Times New Roman" w:hAnsi="Times New Roman" w:cs="Times New Roman"/>
          <w:iCs/>
        </w:rPr>
        <w:t xml:space="preserve">”, </w:t>
      </w:r>
      <w:r w:rsidR="003A6C43" w:rsidRPr="009D2F56">
        <w:rPr>
          <w:rFonts w:ascii="Times New Roman" w:hAnsi="Times New Roman" w:cs="Times New Roman"/>
          <w:iCs/>
        </w:rPr>
        <w:t>employing</w:t>
      </w:r>
      <w:r w:rsidR="007E7328" w:rsidRPr="009D2F56">
        <w:rPr>
          <w:rFonts w:ascii="Times New Roman" w:hAnsi="Times New Roman" w:cs="Times New Roman"/>
          <w:iCs/>
        </w:rPr>
        <w:t xml:space="preserve"> the principles of proportionality and necessity in evaluating </w:t>
      </w:r>
      <w:r w:rsidR="000B4402" w:rsidRPr="009D2F56">
        <w:rPr>
          <w:rFonts w:ascii="Times New Roman" w:hAnsi="Times New Roman" w:cs="Times New Roman"/>
          <w:iCs/>
        </w:rPr>
        <w:t>how</w:t>
      </w:r>
      <w:r w:rsidR="007E7328" w:rsidRPr="009D2F56">
        <w:rPr>
          <w:rFonts w:ascii="Times New Roman" w:hAnsi="Times New Roman" w:cs="Times New Roman"/>
          <w:iCs/>
        </w:rPr>
        <w:t xml:space="preserve"> national authorities balance the rights of the unborn vis-à-vis the Convention rights applicable ordinarily to all persons in being (</w:t>
      </w:r>
      <w:proofErr w:type="spellStart"/>
      <w:r w:rsidR="007E7328" w:rsidRPr="009D2F56">
        <w:rPr>
          <w:rFonts w:ascii="Times New Roman" w:hAnsi="Times New Roman" w:cs="Times New Roman"/>
          <w:iCs/>
        </w:rPr>
        <w:t>para</w:t>
      </w:r>
      <w:proofErr w:type="spellEnd"/>
      <w:r w:rsidR="007E7328" w:rsidRPr="009D2F56">
        <w:rPr>
          <w:rFonts w:ascii="Times New Roman" w:hAnsi="Times New Roman" w:cs="Times New Roman"/>
          <w:iCs/>
        </w:rPr>
        <w:t xml:space="preserve"> 69</w:t>
      </w:r>
      <w:r w:rsidR="003A6C43" w:rsidRPr="009D2F56">
        <w:rPr>
          <w:rFonts w:ascii="Times New Roman" w:hAnsi="Times New Roman" w:cs="Times New Roman"/>
          <w:iCs/>
        </w:rPr>
        <w:t xml:space="preserve"> and 70</w:t>
      </w:r>
      <w:r w:rsidR="007E7328" w:rsidRPr="009D2F56">
        <w:rPr>
          <w:rFonts w:ascii="Times New Roman" w:hAnsi="Times New Roman" w:cs="Times New Roman"/>
          <w:iCs/>
        </w:rPr>
        <w:t xml:space="preserve">). </w:t>
      </w:r>
      <w:r w:rsidR="0003207C" w:rsidRPr="009D2F56">
        <w:rPr>
          <w:rFonts w:ascii="Times New Roman" w:hAnsi="Times New Roman" w:cs="Times New Roman"/>
          <w:iCs/>
        </w:rPr>
        <w:t>I</w:t>
      </w:r>
      <w:r w:rsidR="007E7328" w:rsidRPr="009D2F56">
        <w:rPr>
          <w:rFonts w:ascii="Times New Roman" w:hAnsi="Times New Roman" w:cs="Times New Roman"/>
          <w:iCs/>
        </w:rPr>
        <w:t>mportantly, the Court has considered the balance of conflicting rights with respect to the intent and protections afforded under the ECHR</w:t>
      </w:r>
      <w:r w:rsidR="001D6855" w:rsidRPr="009D2F56">
        <w:rPr>
          <w:rFonts w:ascii="Times New Roman" w:hAnsi="Times New Roman" w:cs="Times New Roman"/>
          <w:iCs/>
        </w:rPr>
        <w:t>,</w:t>
      </w:r>
      <w:r w:rsidR="007E7328" w:rsidRPr="009D2F56">
        <w:rPr>
          <w:rFonts w:ascii="Times New Roman" w:hAnsi="Times New Roman" w:cs="Times New Roman"/>
          <w:iCs/>
        </w:rPr>
        <w:t xml:space="preserve"> </w:t>
      </w:r>
      <w:r w:rsidR="001D6855" w:rsidRPr="009D2F56">
        <w:rPr>
          <w:rFonts w:ascii="Times New Roman" w:hAnsi="Times New Roman" w:cs="Times New Roman"/>
          <w:iCs/>
        </w:rPr>
        <w:t>a</w:t>
      </w:r>
      <w:r w:rsidR="007E7328" w:rsidRPr="009D2F56">
        <w:rPr>
          <w:rFonts w:ascii="Times New Roman" w:hAnsi="Times New Roman" w:cs="Times New Roman"/>
          <w:iCs/>
        </w:rPr>
        <w:t xml:space="preserve">s stated </w:t>
      </w:r>
      <w:r w:rsidR="001D6855" w:rsidRPr="009D2F56">
        <w:rPr>
          <w:rFonts w:ascii="Times New Roman" w:hAnsi="Times New Roman" w:cs="Times New Roman"/>
        </w:rPr>
        <w:t xml:space="preserve">in </w:t>
      </w:r>
      <w:r w:rsidR="009D2F56" w:rsidRPr="009D2F56">
        <w:rPr>
          <w:rFonts w:ascii="Times New Roman" w:hAnsi="Times New Roman" w:cs="Times New Roman"/>
        </w:rPr>
        <w:fldChar w:fldCharType="begin"/>
      </w:r>
      <w:r w:rsidR="009D2F56" w:rsidRPr="009D2F56">
        <w:rPr>
          <w:rFonts w:ascii="Times New Roman" w:hAnsi="Times New Roman" w:cs="Times New Roman"/>
        </w:rPr>
        <w:instrText xml:space="preserve"> HYPERLINK "http://hudoc.echr.coe.int/sites/eng/pages/search.aspx?i=001-102332" \t "_blank" </w:instrText>
      </w:r>
      <w:r w:rsidR="009D2F56" w:rsidRPr="009D2F56">
        <w:rPr>
          <w:rFonts w:ascii="Times New Roman" w:hAnsi="Times New Roman" w:cs="Times New Roman"/>
        </w:rPr>
        <w:fldChar w:fldCharType="separate"/>
      </w:r>
      <w:r w:rsidR="001D6855" w:rsidRPr="009D2F56">
        <w:rPr>
          <w:rStyle w:val="Hyperlink"/>
          <w:rFonts w:ascii="Times New Roman" w:hAnsi="Times New Roman" w:cs="Times New Roman"/>
          <w:i/>
          <w:iCs/>
        </w:rPr>
        <w:t>A. B. and C. v. Ireland</w:t>
      </w:r>
      <w:r w:rsidR="009D2F56" w:rsidRPr="009D2F56">
        <w:rPr>
          <w:rStyle w:val="Hyperlink"/>
          <w:rFonts w:ascii="Times New Roman" w:hAnsi="Times New Roman" w:cs="Times New Roman"/>
          <w:i/>
          <w:iCs/>
        </w:rPr>
        <w:fldChar w:fldCharType="end"/>
      </w:r>
      <w:r w:rsidR="001D6855" w:rsidRPr="009D2F56">
        <w:rPr>
          <w:rFonts w:ascii="Times New Roman" w:hAnsi="Times New Roman" w:cs="Times New Roman"/>
          <w:i/>
          <w:iCs/>
        </w:rPr>
        <w:t> (</w:t>
      </w:r>
      <w:proofErr w:type="spellStart"/>
      <w:r w:rsidR="001D6855" w:rsidRPr="009D2F56">
        <w:rPr>
          <w:rFonts w:ascii="Times New Roman" w:hAnsi="Times New Roman" w:cs="Times New Roman"/>
        </w:rPr>
        <w:t>para</w:t>
      </w:r>
      <w:proofErr w:type="spellEnd"/>
      <w:r w:rsidR="001D6855" w:rsidRPr="009D2F56">
        <w:rPr>
          <w:rFonts w:ascii="Times New Roman" w:hAnsi="Times New Roman" w:cs="Times New Roman"/>
        </w:rPr>
        <w:t xml:space="preserve"> </w:t>
      </w:r>
      <w:r w:rsidR="003A6C43" w:rsidRPr="009D2F56">
        <w:rPr>
          <w:rFonts w:ascii="Times New Roman" w:hAnsi="Times New Roman" w:cs="Times New Roman"/>
        </w:rPr>
        <w:t xml:space="preserve">237 and </w:t>
      </w:r>
      <w:r w:rsidR="001D6855" w:rsidRPr="009D2F56">
        <w:rPr>
          <w:rFonts w:ascii="Times New Roman" w:hAnsi="Times New Roman" w:cs="Times New Roman"/>
        </w:rPr>
        <w:t xml:space="preserve">238;): </w:t>
      </w:r>
      <w:r w:rsidR="007E7328" w:rsidRPr="009D2F56">
        <w:rPr>
          <w:rFonts w:ascii="Times New Roman" w:hAnsi="Times New Roman" w:cs="Times New Roman"/>
        </w:rPr>
        <w:t xml:space="preserve">“the margin of appreciation is not unlimited </w:t>
      </w:r>
      <w:r w:rsidR="00946DAB" w:rsidRPr="009D2F56">
        <w:rPr>
          <w:rFonts w:ascii="Times New Roman" w:hAnsi="Times New Roman" w:cs="Times New Roman"/>
        </w:rPr>
        <w:t>(</w:t>
      </w:r>
      <w:r w:rsidR="007E7328" w:rsidRPr="009D2F56">
        <w:rPr>
          <w:rFonts w:ascii="Times New Roman" w:hAnsi="Times New Roman" w:cs="Times New Roman"/>
        </w:rPr>
        <w:t>…</w:t>
      </w:r>
      <w:r w:rsidR="00946DAB" w:rsidRPr="009D2F56">
        <w:rPr>
          <w:rFonts w:ascii="Times New Roman" w:hAnsi="Times New Roman" w:cs="Times New Roman"/>
        </w:rPr>
        <w:t>)</w:t>
      </w:r>
      <w:r w:rsidR="007E7328" w:rsidRPr="009D2F56">
        <w:rPr>
          <w:rFonts w:ascii="Times New Roman" w:hAnsi="Times New Roman" w:cs="Times New Roman"/>
        </w:rPr>
        <w:t xml:space="preserve"> as to how it balances the conflicting rights” and “the Court must supervise whether the interference constitutes a proportionate balancing of the competing interests involved”</w:t>
      </w:r>
      <w:r w:rsidR="007E7328" w:rsidRPr="009D2F56">
        <w:rPr>
          <w:rFonts w:ascii="Times New Roman" w:hAnsi="Times New Roman" w:cs="Times New Roman"/>
          <w:i/>
          <w:iCs/>
        </w:rPr>
        <w:t>.</w:t>
      </w:r>
      <w:r w:rsidR="007E7328" w:rsidRPr="009D2F56">
        <w:rPr>
          <w:rFonts w:ascii="Times New Roman" w:hAnsi="Times New Roman" w:cs="Times New Roman"/>
          <w:iCs/>
        </w:rPr>
        <w:t xml:space="preserve"> </w:t>
      </w:r>
      <w:r w:rsidR="00C97650" w:rsidRPr="009D2F56">
        <w:rPr>
          <w:rFonts w:ascii="Times New Roman" w:hAnsi="Times New Roman" w:cs="Times New Roman"/>
          <w:iCs/>
        </w:rPr>
        <w:t>For instance, i</w:t>
      </w:r>
      <w:r w:rsidR="007E7328" w:rsidRPr="009D2F56">
        <w:rPr>
          <w:rFonts w:ascii="Times New Roman" w:hAnsi="Times New Roman" w:cs="Times New Roman"/>
          <w:iCs/>
        </w:rPr>
        <w:t xml:space="preserve">n </w:t>
      </w:r>
      <w:r w:rsidR="007E7328" w:rsidRPr="009D2F56">
        <w:rPr>
          <w:rFonts w:ascii="Times New Roman" w:hAnsi="Times New Roman" w:cs="Times New Roman"/>
          <w:i/>
          <w:iCs/>
        </w:rPr>
        <w:t>Open Door and</w:t>
      </w:r>
      <w:r w:rsidR="00611943" w:rsidRPr="009D2F56">
        <w:rPr>
          <w:rFonts w:ascii="Times New Roman" w:hAnsi="Times New Roman" w:cs="Times New Roman"/>
          <w:i/>
          <w:iCs/>
        </w:rPr>
        <w:t xml:space="preserve"> Dublin</w:t>
      </w:r>
      <w:r w:rsidR="007E7328" w:rsidRPr="009D2F56">
        <w:rPr>
          <w:rFonts w:ascii="Times New Roman" w:hAnsi="Times New Roman" w:cs="Times New Roman"/>
          <w:i/>
          <w:iCs/>
        </w:rPr>
        <w:t xml:space="preserve"> Well Woman</w:t>
      </w:r>
      <w:r w:rsidR="007E7328" w:rsidRPr="009D2F56">
        <w:rPr>
          <w:rFonts w:ascii="Times New Roman" w:hAnsi="Times New Roman" w:cs="Times New Roman"/>
          <w:iCs/>
        </w:rPr>
        <w:t xml:space="preserve">, </w:t>
      </w:r>
      <w:r w:rsidR="00C97650" w:rsidRPr="009D2F56">
        <w:rPr>
          <w:rFonts w:ascii="Times New Roman" w:hAnsi="Times New Roman" w:cs="Times New Roman"/>
          <w:iCs/>
        </w:rPr>
        <w:t xml:space="preserve">in discussing Art 10 with regards to information on abortion services, </w:t>
      </w:r>
      <w:r w:rsidR="007E7328" w:rsidRPr="009D2F56">
        <w:rPr>
          <w:rFonts w:ascii="Times New Roman" w:hAnsi="Times New Roman" w:cs="Times New Roman"/>
          <w:iCs/>
        </w:rPr>
        <w:t xml:space="preserve">the Court recalled </w:t>
      </w:r>
      <w:proofErr w:type="spellStart"/>
      <w:r w:rsidR="007E7328" w:rsidRPr="009D2F56">
        <w:rPr>
          <w:rFonts w:ascii="Times New Roman" w:hAnsi="Times New Roman" w:cs="Times New Roman"/>
          <w:i/>
          <w:iCs/>
        </w:rPr>
        <w:t>Handyside</w:t>
      </w:r>
      <w:proofErr w:type="spellEnd"/>
      <w:r w:rsidR="007E7328" w:rsidRPr="009D2F56">
        <w:rPr>
          <w:rFonts w:ascii="Times New Roman" w:hAnsi="Times New Roman" w:cs="Times New Roman"/>
          <w:iCs/>
        </w:rPr>
        <w:t xml:space="preserve">: freedom of expression is also applicable to "information" or "ideas" </w:t>
      </w:r>
      <w:r w:rsidR="00B11F40" w:rsidRPr="009D2F56">
        <w:rPr>
          <w:rFonts w:ascii="Times New Roman" w:hAnsi="Times New Roman" w:cs="Times New Roman"/>
          <w:iCs/>
        </w:rPr>
        <w:t xml:space="preserve">(like abortion) </w:t>
      </w:r>
      <w:r w:rsidR="007E7328" w:rsidRPr="009D2F56">
        <w:rPr>
          <w:rFonts w:ascii="Times New Roman" w:hAnsi="Times New Roman" w:cs="Times New Roman"/>
          <w:iCs/>
        </w:rPr>
        <w:t xml:space="preserve">that offend, shock or disturb the State or any sector of the population. Such are the demands of that pluralism, tolerance and broadmindedness without which there is no "democratic society" (para 71). Mr </w:t>
      </w:r>
      <w:proofErr w:type="spellStart"/>
      <w:r w:rsidR="007E7328" w:rsidRPr="009D2F56">
        <w:rPr>
          <w:rFonts w:ascii="Times New Roman" w:hAnsi="Times New Roman" w:cs="Times New Roman"/>
          <w:iCs/>
        </w:rPr>
        <w:t>Puppinck</w:t>
      </w:r>
      <w:proofErr w:type="spellEnd"/>
      <w:r w:rsidR="007E7328" w:rsidRPr="009D2F56">
        <w:rPr>
          <w:rFonts w:ascii="Times New Roman" w:hAnsi="Times New Roman" w:cs="Times New Roman"/>
          <w:iCs/>
        </w:rPr>
        <w:t xml:space="preserve"> would, we are sure, agree that the Court is unlikely to </w:t>
      </w:r>
      <w:r w:rsidR="00927B67" w:rsidRPr="009D2F56">
        <w:rPr>
          <w:rFonts w:ascii="Times New Roman" w:hAnsi="Times New Roman" w:cs="Times New Roman"/>
          <w:iCs/>
        </w:rPr>
        <w:t xml:space="preserve">voluntarily </w:t>
      </w:r>
      <w:r w:rsidR="007E7328" w:rsidRPr="009D2F56">
        <w:rPr>
          <w:rFonts w:ascii="Times New Roman" w:hAnsi="Times New Roman" w:cs="Times New Roman"/>
          <w:iCs/>
        </w:rPr>
        <w:t xml:space="preserve">depart from upholding the values of a democratic society. </w:t>
      </w:r>
    </w:p>
    <w:p w14:paraId="1336CD87" w14:textId="422796D2" w:rsidR="007E7328" w:rsidRPr="009D2F56" w:rsidRDefault="00430511">
      <w:pPr>
        <w:jc w:val="both"/>
        <w:rPr>
          <w:rFonts w:ascii="Times New Roman" w:hAnsi="Times New Roman" w:cs="Times New Roman"/>
        </w:rPr>
      </w:pPr>
      <w:r w:rsidRPr="009D2F56">
        <w:rPr>
          <w:rFonts w:ascii="Times New Roman" w:hAnsi="Times New Roman" w:cs="Times New Roman"/>
          <w:iCs/>
        </w:rPr>
        <w:t>The</w:t>
      </w:r>
      <w:r w:rsidR="007E7328" w:rsidRPr="009D2F56">
        <w:rPr>
          <w:rFonts w:ascii="Times New Roman" w:hAnsi="Times New Roman" w:cs="Times New Roman"/>
          <w:iCs/>
        </w:rPr>
        <w:t xml:space="preserve"> very nature of the margin of appreciation doctrine would suggest that the Court strives</w:t>
      </w:r>
      <w:r w:rsidR="001A72F2" w:rsidRPr="009D2F56">
        <w:rPr>
          <w:rFonts w:ascii="Times New Roman" w:hAnsi="Times New Roman" w:cs="Times New Roman"/>
          <w:iCs/>
        </w:rPr>
        <w:t xml:space="preserve"> and will continue to strive</w:t>
      </w:r>
      <w:r w:rsidR="007E7328" w:rsidRPr="009D2F56">
        <w:rPr>
          <w:rFonts w:ascii="Times New Roman" w:hAnsi="Times New Roman" w:cs="Times New Roman"/>
          <w:iCs/>
        </w:rPr>
        <w:t xml:space="preserve"> for a more sophisticated approach in allowing for </w:t>
      </w:r>
      <w:r w:rsidR="00FD6A93" w:rsidRPr="009D2F56">
        <w:rPr>
          <w:rFonts w:ascii="Times New Roman" w:hAnsi="Times New Roman" w:cs="Times New Roman"/>
          <w:iCs/>
        </w:rPr>
        <w:t xml:space="preserve">a degree of </w:t>
      </w:r>
      <w:r w:rsidR="007E7328" w:rsidRPr="009D2F56">
        <w:rPr>
          <w:rFonts w:ascii="Times New Roman" w:hAnsi="Times New Roman" w:cs="Times New Roman"/>
          <w:iCs/>
        </w:rPr>
        <w:t xml:space="preserve">variation between </w:t>
      </w:r>
      <w:r w:rsidRPr="009D2F56">
        <w:rPr>
          <w:rFonts w:ascii="Times New Roman" w:hAnsi="Times New Roman" w:cs="Times New Roman"/>
          <w:iCs/>
        </w:rPr>
        <w:t>Member-States</w:t>
      </w:r>
      <w:r w:rsidR="007E7328" w:rsidRPr="009D2F56">
        <w:rPr>
          <w:rFonts w:ascii="Times New Roman" w:hAnsi="Times New Roman" w:cs="Times New Roman"/>
          <w:iCs/>
        </w:rPr>
        <w:t xml:space="preserve"> on </w:t>
      </w:r>
      <w:r w:rsidRPr="009D2F56">
        <w:rPr>
          <w:rFonts w:ascii="Times New Roman" w:hAnsi="Times New Roman" w:cs="Times New Roman"/>
          <w:iCs/>
        </w:rPr>
        <w:t xml:space="preserve">complex </w:t>
      </w:r>
      <w:r w:rsidR="007E7328" w:rsidRPr="009D2F56">
        <w:rPr>
          <w:rFonts w:ascii="Times New Roman" w:hAnsi="Times New Roman" w:cs="Times New Roman"/>
          <w:iCs/>
        </w:rPr>
        <w:t xml:space="preserve">ethical questions, while at the same time trying to uphold the Convention rights for all individuals concerned – regardless of how liberal or conservative their national </w:t>
      </w:r>
      <w:r w:rsidR="009210CB" w:rsidRPr="009D2F56">
        <w:rPr>
          <w:rFonts w:ascii="Times New Roman" w:hAnsi="Times New Roman" w:cs="Times New Roman"/>
          <w:iCs/>
        </w:rPr>
        <w:t xml:space="preserve">laws </w:t>
      </w:r>
      <w:r w:rsidR="007E7328" w:rsidRPr="009D2F56">
        <w:rPr>
          <w:rFonts w:ascii="Times New Roman" w:hAnsi="Times New Roman" w:cs="Times New Roman"/>
          <w:iCs/>
        </w:rPr>
        <w:t xml:space="preserve">may be. However, this approach </w:t>
      </w:r>
      <w:r w:rsidR="0036268E" w:rsidRPr="009D2F56">
        <w:rPr>
          <w:rFonts w:ascii="Times New Roman" w:hAnsi="Times New Roman" w:cs="Times New Roman"/>
          <w:iCs/>
        </w:rPr>
        <w:t>is still highly ambiguous</w:t>
      </w:r>
      <w:r w:rsidR="007E7328" w:rsidRPr="009D2F56">
        <w:rPr>
          <w:rFonts w:ascii="Times New Roman" w:hAnsi="Times New Roman" w:cs="Times New Roman"/>
          <w:iCs/>
        </w:rPr>
        <w:t xml:space="preserve">, as discussed recently in a </w:t>
      </w:r>
      <w:hyperlink r:id="rId19" w:history="1">
        <w:r w:rsidR="007E7328" w:rsidRPr="009D2F56">
          <w:rPr>
            <w:rStyle w:val="Hyperlink"/>
            <w:rFonts w:ascii="Times New Roman" w:hAnsi="Times New Roman" w:cs="Times New Roman"/>
            <w:iCs/>
          </w:rPr>
          <w:t xml:space="preserve">case note to </w:t>
        </w:r>
        <w:r w:rsidR="007E7328" w:rsidRPr="009D2F56">
          <w:rPr>
            <w:rStyle w:val="Hyperlink"/>
            <w:rFonts w:ascii="Times New Roman" w:hAnsi="Times New Roman" w:cs="Times New Roman"/>
            <w:i/>
          </w:rPr>
          <w:t>A. B. and C</w:t>
        </w:r>
        <w:r w:rsidR="007E7328" w:rsidRPr="009D2F56">
          <w:rPr>
            <w:rStyle w:val="Hyperlink"/>
            <w:rFonts w:ascii="Times New Roman" w:hAnsi="Times New Roman" w:cs="Times New Roman"/>
            <w:iCs/>
          </w:rPr>
          <w:t>.</w:t>
        </w:r>
        <w:r w:rsidR="0086270B" w:rsidRPr="009D2F56">
          <w:rPr>
            <w:rStyle w:val="Hyperlink"/>
            <w:rFonts w:ascii="Times New Roman" w:hAnsi="Times New Roman" w:cs="Times New Roman"/>
            <w:iCs/>
          </w:rPr>
          <w:t xml:space="preserve"> by de </w:t>
        </w:r>
        <w:proofErr w:type="spellStart"/>
        <w:r w:rsidR="0086270B" w:rsidRPr="009D2F56">
          <w:rPr>
            <w:rStyle w:val="Hyperlink"/>
            <w:rFonts w:ascii="Times New Roman" w:hAnsi="Times New Roman" w:cs="Times New Roman"/>
            <w:iCs/>
          </w:rPr>
          <w:t>Londras</w:t>
        </w:r>
        <w:proofErr w:type="spellEnd"/>
        <w:r w:rsidR="0086270B" w:rsidRPr="009D2F56">
          <w:rPr>
            <w:rStyle w:val="Hyperlink"/>
            <w:rFonts w:ascii="Times New Roman" w:hAnsi="Times New Roman" w:cs="Times New Roman"/>
            <w:iCs/>
          </w:rPr>
          <w:t xml:space="preserve"> and </w:t>
        </w:r>
        <w:proofErr w:type="spellStart"/>
        <w:r w:rsidR="0086270B" w:rsidRPr="009D2F56">
          <w:rPr>
            <w:rStyle w:val="Hyperlink"/>
            <w:rFonts w:ascii="Times New Roman" w:hAnsi="Times New Roman" w:cs="Times New Roman"/>
            <w:iCs/>
          </w:rPr>
          <w:t>Dzehtsiarou</w:t>
        </w:r>
        <w:proofErr w:type="spellEnd"/>
      </w:hyperlink>
      <w:r w:rsidR="00A247C5" w:rsidRPr="009D2F56">
        <w:rPr>
          <w:rStyle w:val="Hyperlink"/>
          <w:rFonts w:ascii="Times New Roman" w:hAnsi="Times New Roman" w:cs="Times New Roman"/>
          <w:iCs/>
        </w:rPr>
        <w:t>;</w:t>
      </w:r>
      <w:r w:rsidR="007E7328" w:rsidRPr="009D2F56">
        <w:rPr>
          <w:rFonts w:ascii="Times New Roman" w:hAnsi="Times New Roman" w:cs="Times New Roman"/>
          <w:iCs/>
        </w:rPr>
        <w:t xml:space="preserve"> by accepting the force of a ‘trumping internal consensus’ (i.e. an alleged moral value of the State that overrides the European consensus), the Court seems to defer completely to State discretion on certain sensitive matters instead of “laying down the exact parameters of Convention rights in contentious areas”.</w:t>
      </w:r>
    </w:p>
    <w:p w14:paraId="56B45788" w14:textId="45EC998B" w:rsidR="007E7328" w:rsidRPr="009D2F56" w:rsidRDefault="007E7328" w:rsidP="00A907F0">
      <w:pPr>
        <w:jc w:val="both"/>
        <w:rPr>
          <w:rFonts w:ascii="Times New Roman" w:hAnsi="Times New Roman" w:cs="Times New Roman"/>
        </w:rPr>
      </w:pPr>
      <w:r w:rsidRPr="009D2F56">
        <w:rPr>
          <w:rFonts w:ascii="Times New Roman" w:hAnsi="Times New Roman" w:cs="Times New Roman"/>
          <w:iCs/>
        </w:rPr>
        <w:t xml:space="preserve">In the context of </w:t>
      </w:r>
      <w:r w:rsidR="007E034E" w:rsidRPr="009D2F56">
        <w:rPr>
          <w:rFonts w:ascii="Times New Roman" w:hAnsi="Times New Roman" w:cs="Times New Roman"/>
          <w:iCs/>
        </w:rPr>
        <w:t xml:space="preserve">the abortion </w:t>
      </w:r>
      <w:r w:rsidRPr="009D2F56">
        <w:rPr>
          <w:rFonts w:ascii="Times New Roman" w:hAnsi="Times New Roman" w:cs="Times New Roman"/>
          <w:iCs/>
        </w:rPr>
        <w:t xml:space="preserve">debate, it is crucial to </w:t>
      </w:r>
      <w:r w:rsidR="00F97B78" w:rsidRPr="009D2F56">
        <w:rPr>
          <w:rFonts w:ascii="Times New Roman" w:hAnsi="Times New Roman" w:cs="Times New Roman"/>
          <w:iCs/>
        </w:rPr>
        <w:t xml:space="preserve">appreciate </w:t>
      </w:r>
      <w:r w:rsidRPr="009D2F56">
        <w:rPr>
          <w:rFonts w:ascii="Times New Roman" w:hAnsi="Times New Roman" w:cs="Times New Roman"/>
          <w:iCs/>
        </w:rPr>
        <w:t xml:space="preserve">the </w:t>
      </w:r>
      <w:r w:rsidR="00710D73" w:rsidRPr="009D2F56">
        <w:rPr>
          <w:rFonts w:ascii="Times New Roman" w:hAnsi="Times New Roman" w:cs="Times New Roman"/>
          <w:iCs/>
        </w:rPr>
        <w:t xml:space="preserve">nuanced </w:t>
      </w:r>
      <w:r w:rsidR="009D2F56">
        <w:rPr>
          <w:rFonts w:ascii="Times New Roman" w:hAnsi="Times New Roman" w:cs="Times New Roman"/>
          <w:iCs/>
        </w:rPr>
        <w:t xml:space="preserve">and comprehensive </w:t>
      </w:r>
      <w:bookmarkStart w:id="0" w:name="_GoBack"/>
      <w:bookmarkEnd w:id="0"/>
      <w:r w:rsidRPr="009D2F56">
        <w:rPr>
          <w:rFonts w:ascii="Times New Roman" w:hAnsi="Times New Roman" w:cs="Times New Roman"/>
          <w:iCs/>
        </w:rPr>
        <w:t xml:space="preserve">jurisprudence of the European Court </w:t>
      </w:r>
      <w:r w:rsidR="00F97B78" w:rsidRPr="009D2F56">
        <w:rPr>
          <w:rFonts w:ascii="Times New Roman" w:hAnsi="Times New Roman" w:cs="Times New Roman"/>
          <w:iCs/>
        </w:rPr>
        <w:t>taken as a whole</w:t>
      </w:r>
      <w:r w:rsidR="001C57B3" w:rsidRPr="009D2F56">
        <w:rPr>
          <w:rFonts w:ascii="Times New Roman" w:hAnsi="Times New Roman" w:cs="Times New Roman"/>
          <w:iCs/>
        </w:rPr>
        <w:t xml:space="preserve"> </w:t>
      </w:r>
      <w:r w:rsidRPr="009D2F56">
        <w:rPr>
          <w:rFonts w:ascii="Times New Roman" w:hAnsi="Times New Roman" w:cs="Times New Roman"/>
          <w:iCs/>
        </w:rPr>
        <w:t xml:space="preserve">and </w:t>
      </w:r>
      <w:r w:rsidR="001C57B3" w:rsidRPr="009D2F56">
        <w:rPr>
          <w:rFonts w:ascii="Times New Roman" w:hAnsi="Times New Roman" w:cs="Times New Roman"/>
          <w:iCs/>
        </w:rPr>
        <w:t xml:space="preserve">note </w:t>
      </w:r>
      <w:r w:rsidRPr="009D2F56">
        <w:rPr>
          <w:rFonts w:ascii="Times New Roman" w:hAnsi="Times New Roman" w:cs="Times New Roman"/>
          <w:iCs/>
        </w:rPr>
        <w:t xml:space="preserve">the Court’s consistent efforts </w:t>
      </w:r>
      <w:r w:rsidR="00077DC8" w:rsidRPr="009D2F56">
        <w:rPr>
          <w:rFonts w:ascii="Times New Roman" w:hAnsi="Times New Roman" w:cs="Times New Roman"/>
          <w:iCs/>
        </w:rPr>
        <w:t xml:space="preserve">– if not quite yet successes – in taking </w:t>
      </w:r>
      <w:r w:rsidRPr="009D2F56">
        <w:rPr>
          <w:rFonts w:ascii="Times New Roman" w:hAnsi="Times New Roman" w:cs="Times New Roman"/>
          <w:iCs/>
        </w:rPr>
        <w:t xml:space="preserve">into account domestically sensitive issues while balancing the rights afforded to all under the ECHR. While the Court has refrained from recognising a right to abortion under the </w:t>
      </w:r>
      <w:proofErr w:type="spellStart"/>
      <w:r w:rsidRPr="009D2F56">
        <w:rPr>
          <w:rFonts w:ascii="Times New Roman" w:hAnsi="Times New Roman" w:cs="Times New Roman"/>
          <w:iCs/>
        </w:rPr>
        <w:t>ECtHR</w:t>
      </w:r>
      <w:proofErr w:type="spellEnd"/>
      <w:r w:rsidRPr="009D2F56">
        <w:rPr>
          <w:rFonts w:ascii="Times New Roman" w:hAnsi="Times New Roman" w:cs="Times New Roman"/>
          <w:iCs/>
        </w:rPr>
        <w:t xml:space="preserve"> (</w:t>
      </w:r>
      <w:r w:rsidR="009D2F56" w:rsidRPr="009D2F56">
        <w:rPr>
          <w:rFonts w:ascii="Times New Roman" w:hAnsi="Times New Roman" w:cs="Times New Roman"/>
        </w:rPr>
        <w:fldChar w:fldCharType="begin"/>
      </w:r>
      <w:r w:rsidR="009D2F56" w:rsidRPr="009D2F56">
        <w:rPr>
          <w:rFonts w:ascii="Times New Roman" w:hAnsi="Times New Roman" w:cs="Times New Roman"/>
        </w:rPr>
        <w:instrText xml:space="preserve"> HYPERLINK "http://hudoc.echr.coe.int/sites/eng/pages/search.aspx?i=</w:instrText>
      </w:r>
      <w:r w:rsidR="009D2F56" w:rsidRPr="009D2F56">
        <w:rPr>
          <w:rFonts w:ascii="Times New Roman" w:hAnsi="Times New Roman" w:cs="Times New Roman"/>
        </w:rPr>
        <w:instrText xml:space="preserve">001-67313" \t "_blank" </w:instrText>
      </w:r>
      <w:r w:rsidR="009D2F56" w:rsidRPr="009D2F56">
        <w:rPr>
          <w:rFonts w:ascii="Times New Roman" w:hAnsi="Times New Roman" w:cs="Times New Roman"/>
        </w:rPr>
        <w:fldChar w:fldCharType="separate"/>
      </w:r>
      <w:r w:rsidRPr="009D2F56">
        <w:rPr>
          <w:rStyle w:val="Hyperlink"/>
          <w:rFonts w:ascii="Times New Roman" w:hAnsi="Times New Roman" w:cs="Times New Roman"/>
          <w:i/>
          <w:iCs/>
        </w:rPr>
        <w:t xml:space="preserve">Silva </w:t>
      </w:r>
      <w:proofErr w:type="spellStart"/>
      <w:r w:rsidRPr="009D2F56">
        <w:rPr>
          <w:rStyle w:val="Hyperlink"/>
          <w:rFonts w:ascii="Times New Roman" w:hAnsi="Times New Roman" w:cs="Times New Roman"/>
          <w:i/>
          <w:iCs/>
        </w:rPr>
        <w:t>Monteiro</w:t>
      </w:r>
      <w:proofErr w:type="spellEnd"/>
      <w:r w:rsidRPr="009D2F56">
        <w:rPr>
          <w:rStyle w:val="Hyperlink"/>
          <w:rFonts w:ascii="Times New Roman" w:hAnsi="Times New Roman" w:cs="Times New Roman"/>
          <w:i/>
          <w:iCs/>
        </w:rPr>
        <w:t xml:space="preserve"> Martins </w:t>
      </w:r>
      <w:proofErr w:type="spellStart"/>
      <w:r w:rsidRPr="009D2F56">
        <w:rPr>
          <w:rStyle w:val="Hyperlink"/>
          <w:rFonts w:ascii="Times New Roman" w:hAnsi="Times New Roman" w:cs="Times New Roman"/>
          <w:i/>
          <w:iCs/>
        </w:rPr>
        <w:t>Ribeiro</w:t>
      </w:r>
      <w:proofErr w:type="spellEnd"/>
      <w:r w:rsidRPr="009D2F56">
        <w:rPr>
          <w:rStyle w:val="Hyperlink"/>
          <w:rFonts w:ascii="Times New Roman" w:hAnsi="Times New Roman" w:cs="Times New Roman"/>
          <w:i/>
          <w:iCs/>
        </w:rPr>
        <w:t xml:space="preserve"> v. Portugal</w:t>
      </w:r>
      <w:r w:rsidR="009D2F56" w:rsidRPr="009D2F56">
        <w:rPr>
          <w:rStyle w:val="Hyperlink"/>
          <w:rFonts w:ascii="Times New Roman" w:hAnsi="Times New Roman" w:cs="Times New Roman"/>
          <w:i/>
          <w:iCs/>
        </w:rPr>
        <w:fldChar w:fldCharType="end"/>
      </w:r>
      <w:r w:rsidRPr="009D2F56">
        <w:rPr>
          <w:rFonts w:ascii="Times New Roman" w:hAnsi="Times New Roman" w:cs="Times New Roman"/>
        </w:rPr>
        <w:t xml:space="preserve">), it has </w:t>
      </w:r>
      <w:r w:rsidR="00077DC8" w:rsidRPr="009D2F56">
        <w:rPr>
          <w:rFonts w:ascii="Times New Roman" w:hAnsi="Times New Roman" w:cs="Times New Roman"/>
        </w:rPr>
        <w:t xml:space="preserve">at least </w:t>
      </w:r>
      <w:r w:rsidRPr="009D2F56">
        <w:rPr>
          <w:rFonts w:ascii="Times New Roman" w:hAnsi="Times New Roman" w:cs="Times New Roman"/>
        </w:rPr>
        <w:t xml:space="preserve">sought to </w:t>
      </w:r>
      <w:r w:rsidR="00A907F0" w:rsidRPr="009D2F56">
        <w:rPr>
          <w:rFonts w:ascii="Times New Roman" w:hAnsi="Times New Roman" w:cs="Times New Roman"/>
        </w:rPr>
        <w:t xml:space="preserve">provide guidance on </w:t>
      </w:r>
      <w:r w:rsidRPr="009D2F56">
        <w:rPr>
          <w:rFonts w:ascii="Times New Roman" w:hAnsi="Times New Roman" w:cs="Times New Roman"/>
        </w:rPr>
        <w:t xml:space="preserve">this issue and reaffirm rights currently existent in domestic legislation where these rights have not received effective implementation. </w:t>
      </w:r>
    </w:p>
    <w:p w14:paraId="0816C588" w14:textId="77777777" w:rsidR="007E7328" w:rsidRPr="009D2F56" w:rsidRDefault="007E7328" w:rsidP="007E7328">
      <w:pPr>
        <w:jc w:val="both"/>
        <w:rPr>
          <w:rFonts w:ascii="Times New Roman" w:hAnsi="Times New Roman" w:cs="Times New Roman"/>
        </w:rPr>
      </w:pPr>
    </w:p>
    <w:sectPr w:rsidR="007E7328" w:rsidRPr="009D2F56">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6931D36" w15:done="0"/>
  <w15:commentEx w15:paraId="74CACBAA" w15:done="0"/>
  <w15:commentEx w15:paraId="54D46553" w15:done="0"/>
  <w15:commentEx w15:paraId="734010A5" w15:done="0"/>
  <w15:commentEx w15:paraId="7BCB6E91" w15:done="0"/>
  <w15:commentEx w15:paraId="465DAEC8" w15:done="0"/>
  <w15:commentEx w15:paraId="1306FD1C" w15:done="0"/>
  <w15:commentEx w15:paraId="0E28D578" w15:done="0"/>
  <w15:commentEx w15:paraId="4F921C35" w15:done="0"/>
  <w15:commentEx w15:paraId="3350FF43" w15:done="0"/>
  <w15:commentEx w15:paraId="35D140DF" w15:done="0"/>
  <w15:commentEx w15:paraId="455D774B" w15:done="0"/>
  <w15:commentEx w15:paraId="2DB65CCD" w15:done="0"/>
  <w15:commentEx w15:paraId="4812F52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40FF75" w14:textId="77777777" w:rsidR="00632EC7" w:rsidRDefault="00632EC7" w:rsidP="007E7328">
      <w:pPr>
        <w:spacing w:after="0" w:line="240" w:lineRule="auto"/>
        <w:rPr>
          <w:rFonts w:hint="eastAsia"/>
        </w:rPr>
      </w:pPr>
      <w:r>
        <w:separator/>
      </w:r>
    </w:p>
  </w:endnote>
  <w:endnote w:type="continuationSeparator" w:id="0">
    <w:p w14:paraId="12D1BB0E" w14:textId="77777777" w:rsidR="00632EC7" w:rsidRDefault="00632EC7" w:rsidP="007E7328">
      <w:pPr>
        <w:spacing w:after="0" w:line="240" w:lineRule="auto"/>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Times New Roman"/>
    <w:panose1 w:val="00000000000000000000"/>
    <w:charset w:val="00"/>
    <w:family w:val="roman"/>
    <w:notTrueType/>
    <w:pitch w:val="default"/>
  </w:font>
  <w:font w:name="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mbria">
    <w:altName w:val="Times New Roman"/>
    <w:panose1 w:val="00000000000000000000"/>
    <w:charset w:val="00"/>
    <w:family w:val="roman"/>
    <w:notTrueType/>
    <w:pitch w:val="default"/>
  </w:font>
  <w:font w:name="Tahom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B9F08" w14:textId="77777777" w:rsidR="00C04AB7" w:rsidRDefault="00C04AB7">
    <w:pPr>
      <w:pStyle w:val="Footer"/>
      <w:rPr>
        <w:rFonts w:hint="eastAsia"/>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048900"/>
      <w:docPartObj>
        <w:docPartGallery w:val="Page Numbers (Bottom of Page)"/>
        <w:docPartUnique/>
      </w:docPartObj>
    </w:sdtPr>
    <w:sdtEndPr>
      <w:rPr>
        <w:noProof/>
      </w:rPr>
    </w:sdtEndPr>
    <w:sdtContent>
      <w:p w14:paraId="30ECC940" w14:textId="77777777" w:rsidR="007E7328" w:rsidRDefault="007E7328">
        <w:pPr>
          <w:pStyle w:val="Footer"/>
          <w:jc w:val="center"/>
          <w:rPr>
            <w:rFonts w:hint="eastAsia"/>
          </w:rPr>
        </w:pPr>
        <w:r>
          <w:fldChar w:fldCharType="begin"/>
        </w:r>
        <w:r>
          <w:instrText xml:space="preserve"> PAGE   \* MERGEFORMAT </w:instrText>
        </w:r>
        <w:r>
          <w:fldChar w:fldCharType="separate"/>
        </w:r>
        <w:r w:rsidR="009D2F56">
          <w:rPr>
            <w:rFonts w:hint="eastAsia"/>
            <w:noProof/>
          </w:rPr>
          <w:t>3</w:t>
        </w:r>
        <w:r>
          <w:rPr>
            <w:noProof/>
          </w:rPr>
          <w:fldChar w:fldCharType="end"/>
        </w:r>
      </w:p>
    </w:sdtContent>
  </w:sdt>
  <w:p w14:paraId="06F16156" w14:textId="77777777" w:rsidR="007E7328" w:rsidRDefault="007E7328">
    <w:pPr>
      <w:pStyle w:val="Footer"/>
      <w:rPr>
        <w:rFonts w:hint="eastAsia"/>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FEF44" w14:textId="77777777" w:rsidR="00C04AB7" w:rsidRDefault="00C04AB7">
    <w:pPr>
      <w:pStyle w:val="Footer"/>
      <w:rPr>
        <w:rFonts w:hint="eastAsi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CB13EE" w14:textId="77777777" w:rsidR="00632EC7" w:rsidRDefault="00632EC7" w:rsidP="007E7328">
      <w:pPr>
        <w:spacing w:after="0" w:line="240" w:lineRule="auto"/>
        <w:rPr>
          <w:rFonts w:hint="eastAsia"/>
        </w:rPr>
      </w:pPr>
      <w:r>
        <w:separator/>
      </w:r>
    </w:p>
  </w:footnote>
  <w:footnote w:type="continuationSeparator" w:id="0">
    <w:p w14:paraId="73BD6424" w14:textId="77777777" w:rsidR="00632EC7" w:rsidRDefault="00632EC7" w:rsidP="007E7328">
      <w:pPr>
        <w:spacing w:after="0" w:line="240" w:lineRule="auto"/>
        <w:rPr>
          <w:rFonts w:hint="eastAsia"/>
        </w:rPr>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B1EE6" w14:textId="77777777" w:rsidR="00C04AB7" w:rsidRDefault="00C04AB7">
    <w:pPr>
      <w:pStyle w:val="Header"/>
      <w:rPr>
        <w:rFonts w:hint="eastAsia"/>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E7965" w14:textId="77777777" w:rsidR="007E7328" w:rsidRDefault="007E7328">
    <w:pPr>
      <w:pStyle w:val="Header"/>
      <w:rPr>
        <w:rFonts w:hint="eastAsia"/>
      </w:rPr>
    </w:pPr>
    <w:r>
      <w:t xml:space="preserve">Grozdanova, </w:t>
    </w:r>
    <w:proofErr w:type="spellStart"/>
    <w:r>
      <w:t>Panepinto</w:t>
    </w:r>
    <w:proofErr w:type="spellEnd"/>
    <w:r>
      <w:t xml:space="preserve"> &amp; </w:t>
    </w:r>
    <w:proofErr w:type="spellStart"/>
    <w:r>
      <w:t>Tzouvala</w:t>
    </w:r>
    <w:proofErr w:type="spellEnd"/>
    <w:r>
      <w:t>: 2013</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1AC38" w14:textId="77777777" w:rsidR="00C04AB7" w:rsidRDefault="00C04AB7">
    <w:pPr>
      <w:pStyle w:val="Head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328"/>
    <w:rsid w:val="00004890"/>
    <w:rsid w:val="0003207C"/>
    <w:rsid w:val="000769AD"/>
    <w:rsid w:val="00077DC8"/>
    <w:rsid w:val="00093E76"/>
    <w:rsid w:val="00096B21"/>
    <w:rsid w:val="000B4402"/>
    <w:rsid w:val="000B66C3"/>
    <w:rsid w:val="000D0E45"/>
    <w:rsid w:val="000E7142"/>
    <w:rsid w:val="00102118"/>
    <w:rsid w:val="00110C9D"/>
    <w:rsid w:val="00167913"/>
    <w:rsid w:val="001A72F2"/>
    <w:rsid w:val="001B1F5A"/>
    <w:rsid w:val="001B5FC5"/>
    <w:rsid w:val="001C57B3"/>
    <w:rsid w:val="001D1B22"/>
    <w:rsid w:val="001D6855"/>
    <w:rsid w:val="001D6A6C"/>
    <w:rsid w:val="001D71F0"/>
    <w:rsid w:val="001E7999"/>
    <w:rsid w:val="00245B09"/>
    <w:rsid w:val="002660FA"/>
    <w:rsid w:val="00283BEF"/>
    <w:rsid w:val="002853AE"/>
    <w:rsid w:val="00295DE0"/>
    <w:rsid w:val="002A0935"/>
    <w:rsid w:val="002E2492"/>
    <w:rsid w:val="002F4B09"/>
    <w:rsid w:val="003135BA"/>
    <w:rsid w:val="00323B39"/>
    <w:rsid w:val="003363F5"/>
    <w:rsid w:val="00340428"/>
    <w:rsid w:val="0036268E"/>
    <w:rsid w:val="003A6C43"/>
    <w:rsid w:val="003D1AA8"/>
    <w:rsid w:val="003F0B8B"/>
    <w:rsid w:val="003F485F"/>
    <w:rsid w:val="0040404E"/>
    <w:rsid w:val="0041140F"/>
    <w:rsid w:val="00413E53"/>
    <w:rsid w:val="00430511"/>
    <w:rsid w:val="00446378"/>
    <w:rsid w:val="00456499"/>
    <w:rsid w:val="00480471"/>
    <w:rsid w:val="00487891"/>
    <w:rsid w:val="004B739D"/>
    <w:rsid w:val="004D48D2"/>
    <w:rsid w:val="004E668C"/>
    <w:rsid w:val="00506923"/>
    <w:rsid w:val="00522C32"/>
    <w:rsid w:val="00533A90"/>
    <w:rsid w:val="00545022"/>
    <w:rsid w:val="005531F3"/>
    <w:rsid w:val="005557F1"/>
    <w:rsid w:val="0056769D"/>
    <w:rsid w:val="005A6611"/>
    <w:rsid w:val="005B3F63"/>
    <w:rsid w:val="005B4225"/>
    <w:rsid w:val="005C5E9C"/>
    <w:rsid w:val="005D17E2"/>
    <w:rsid w:val="005D5AB7"/>
    <w:rsid w:val="005E1ECC"/>
    <w:rsid w:val="005F6FDE"/>
    <w:rsid w:val="00601CFF"/>
    <w:rsid w:val="006079C3"/>
    <w:rsid w:val="00611943"/>
    <w:rsid w:val="00622EAC"/>
    <w:rsid w:val="0062680C"/>
    <w:rsid w:val="00632EC7"/>
    <w:rsid w:val="006407BA"/>
    <w:rsid w:val="00647FF4"/>
    <w:rsid w:val="00647FFA"/>
    <w:rsid w:val="006569F3"/>
    <w:rsid w:val="00675419"/>
    <w:rsid w:val="0068095C"/>
    <w:rsid w:val="006C3066"/>
    <w:rsid w:val="006F2BBA"/>
    <w:rsid w:val="00710D73"/>
    <w:rsid w:val="007162D1"/>
    <w:rsid w:val="007227F1"/>
    <w:rsid w:val="00736D4C"/>
    <w:rsid w:val="00775A6A"/>
    <w:rsid w:val="00793F53"/>
    <w:rsid w:val="0079412D"/>
    <w:rsid w:val="007B5FE9"/>
    <w:rsid w:val="007E034E"/>
    <w:rsid w:val="007E7328"/>
    <w:rsid w:val="00801F5E"/>
    <w:rsid w:val="00803A23"/>
    <w:rsid w:val="00822316"/>
    <w:rsid w:val="00831B4F"/>
    <w:rsid w:val="00850917"/>
    <w:rsid w:val="00852916"/>
    <w:rsid w:val="0086270B"/>
    <w:rsid w:val="00864D0E"/>
    <w:rsid w:val="008A0985"/>
    <w:rsid w:val="008D2F99"/>
    <w:rsid w:val="008D5D2A"/>
    <w:rsid w:val="009026F4"/>
    <w:rsid w:val="0091009F"/>
    <w:rsid w:val="00917843"/>
    <w:rsid w:val="009210CB"/>
    <w:rsid w:val="00927B67"/>
    <w:rsid w:val="00946DAB"/>
    <w:rsid w:val="00955C11"/>
    <w:rsid w:val="00975A14"/>
    <w:rsid w:val="009909A5"/>
    <w:rsid w:val="009A0E0D"/>
    <w:rsid w:val="009C3EF7"/>
    <w:rsid w:val="009D2F56"/>
    <w:rsid w:val="00A247C5"/>
    <w:rsid w:val="00A24C9A"/>
    <w:rsid w:val="00A41FA9"/>
    <w:rsid w:val="00A47442"/>
    <w:rsid w:val="00A54AEB"/>
    <w:rsid w:val="00A90268"/>
    <w:rsid w:val="00A907F0"/>
    <w:rsid w:val="00A922E5"/>
    <w:rsid w:val="00AA23BD"/>
    <w:rsid w:val="00AC00D9"/>
    <w:rsid w:val="00AC3AED"/>
    <w:rsid w:val="00AE66C7"/>
    <w:rsid w:val="00AF6780"/>
    <w:rsid w:val="00B048E4"/>
    <w:rsid w:val="00B11F40"/>
    <w:rsid w:val="00B17129"/>
    <w:rsid w:val="00B229DC"/>
    <w:rsid w:val="00B25B2D"/>
    <w:rsid w:val="00B25F30"/>
    <w:rsid w:val="00B334B4"/>
    <w:rsid w:val="00B45197"/>
    <w:rsid w:val="00BA2B44"/>
    <w:rsid w:val="00BB0AFA"/>
    <w:rsid w:val="00BB196B"/>
    <w:rsid w:val="00BD69E2"/>
    <w:rsid w:val="00BE0910"/>
    <w:rsid w:val="00BE762E"/>
    <w:rsid w:val="00C03D96"/>
    <w:rsid w:val="00C04AB7"/>
    <w:rsid w:val="00C06930"/>
    <w:rsid w:val="00C26004"/>
    <w:rsid w:val="00C332C9"/>
    <w:rsid w:val="00C33412"/>
    <w:rsid w:val="00C65A50"/>
    <w:rsid w:val="00C67089"/>
    <w:rsid w:val="00C97650"/>
    <w:rsid w:val="00CB3886"/>
    <w:rsid w:val="00CF3990"/>
    <w:rsid w:val="00D00DC4"/>
    <w:rsid w:val="00D479F7"/>
    <w:rsid w:val="00D6787A"/>
    <w:rsid w:val="00D9325D"/>
    <w:rsid w:val="00DA1451"/>
    <w:rsid w:val="00E16782"/>
    <w:rsid w:val="00E36447"/>
    <w:rsid w:val="00E40F70"/>
    <w:rsid w:val="00E4605C"/>
    <w:rsid w:val="00E50F7D"/>
    <w:rsid w:val="00E51409"/>
    <w:rsid w:val="00E62D0D"/>
    <w:rsid w:val="00E636B0"/>
    <w:rsid w:val="00E65D48"/>
    <w:rsid w:val="00E746E6"/>
    <w:rsid w:val="00EA3F2C"/>
    <w:rsid w:val="00EA594C"/>
    <w:rsid w:val="00EB4B6E"/>
    <w:rsid w:val="00F0264B"/>
    <w:rsid w:val="00F132F8"/>
    <w:rsid w:val="00F515E8"/>
    <w:rsid w:val="00F54BAE"/>
    <w:rsid w:val="00F55983"/>
    <w:rsid w:val="00F6031E"/>
    <w:rsid w:val="00F846A9"/>
    <w:rsid w:val="00F97B78"/>
    <w:rsid w:val="00FA1FF7"/>
    <w:rsid w:val="00FD6A93"/>
    <w:rsid w:val="00FE4E1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AF43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E7328"/>
    <w:pPr>
      <w:spacing w:after="0" w:line="240" w:lineRule="auto"/>
    </w:pPr>
    <w:rPr>
      <w:rFonts w:ascii="Times New Roman" w:eastAsia="Times New Roman" w:hAnsi="Times New Roman" w:cs="Times New Roman"/>
      <w:sz w:val="20"/>
      <w:szCs w:val="20"/>
      <w:lang w:eastAsia="it-IT"/>
    </w:rPr>
  </w:style>
  <w:style w:type="character" w:customStyle="1" w:styleId="FootnoteTextChar">
    <w:name w:val="Footnote Text Char"/>
    <w:basedOn w:val="DefaultParagraphFont"/>
    <w:link w:val="FootnoteText"/>
    <w:uiPriority w:val="99"/>
    <w:semiHidden/>
    <w:rsid w:val="007E7328"/>
    <w:rPr>
      <w:rFonts w:ascii="Times New Roman" w:eastAsia="Times New Roman" w:hAnsi="Times New Roman" w:cs="Times New Roman"/>
      <w:sz w:val="20"/>
      <w:szCs w:val="20"/>
      <w:lang w:eastAsia="it-IT"/>
    </w:rPr>
  </w:style>
  <w:style w:type="character" w:styleId="FootnoteReference">
    <w:name w:val="footnote reference"/>
    <w:uiPriority w:val="99"/>
    <w:semiHidden/>
    <w:unhideWhenUsed/>
    <w:rsid w:val="007E7328"/>
    <w:rPr>
      <w:vertAlign w:val="superscript"/>
    </w:rPr>
  </w:style>
  <w:style w:type="character" w:styleId="Hyperlink">
    <w:name w:val="Hyperlink"/>
    <w:basedOn w:val="DefaultParagraphFont"/>
    <w:uiPriority w:val="99"/>
    <w:unhideWhenUsed/>
    <w:rsid w:val="007E7328"/>
    <w:rPr>
      <w:color w:val="0000FF" w:themeColor="hyperlink"/>
      <w:u w:val="single"/>
    </w:rPr>
  </w:style>
  <w:style w:type="paragraph" w:styleId="Header">
    <w:name w:val="header"/>
    <w:basedOn w:val="Normal"/>
    <w:link w:val="HeaderChar"/>
    <w:uiPriority w:val="99"/>
    <w:unhideWhenUsed/>
    <w:rsid w:val="007E73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7328"/>
  </w:style>
  <w:style w:type="paragraph" w:styleId="Footer">
    <w:name w:val="footer"/>
    <w:basedOn w:val="Normal"/>
    <w:link w:val="FooterChar"/>
    <w:uiPriority w:val="99"/>
    <w:unhideWhenUsed/>
    <w:rsid w:val="007E73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7328"/>
  </w:style>
  <w:style w:type="paragraph" w:styleId="Title">
    <w:name w:val="Title"/>
    <w:basedOn w:val="Normal"/>
    <w:next w:val="Normal"/>
    <w:link w:val="TitleChar"/>
    <w:uiPriority w:val="10"/>
    <w:qFormat/>
    <w:rsid w:val="007E732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732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E732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E7328"/>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7E7328"/>
    <w:rPr>
      <w:i/>
      <w:iCs/>
      <w:color w:val="808080" w:themeColor="text1" w:themeTint="7F"/>
    </w:rPr>
  </w:style>
  <w:style w:type="character" w:styleId="FollowedHyperlink">
    <w:name w:val="FollowedHyperlink"/>
    <w:basedOn w:val="DefaultParagraphFont"/>
    <w:uiPriority w:val="99"/>
    <w:semiHidden/>
    <w:unhideWhenUsed/>
    <w:rsid w:val="00A47442"/>
    <w:rPr>
      <w:color w:val="800080" w:themeColor="followedHyperlink"/>
      <w:u w:val="single"/>
    </w:rPr>
  </w:style>
  <w:style w:type="character" w:styleId="CommentReference">
    <w:name w:val="annotation reference"/>
    <w:basedOn w:val="DefaultParagraphFont"/>
    <w:uiPriority w:val="99"/>
    <w:semiHidden/>
    <w:unhideWhenUsed/>
    <w:rsid w:val="00A47442"/>
    <w:rPr>
      <w:sz w:val="16"/>
      <w:szCs w:val="16"/>
    </w:rPr>
  </w:style>
  <w:style w:type="paragraph" w:styleId="CommentText">
    <w:name w:val="annotation text"/>
    <w:basedOn w:val="Normal"/>
    <w:link w:val="CommentTextChar"/>
    <w:uiPriority w:val="99"/>
    <w:semiHidden/>
    <w:unhideWhenUsed/>
    <w:rsid w:val="00A47442"/>
    <w:pPr>
      <w:spacing w:line="240" w:lineRule="auto"/>
    </w:pPr>
    <w:rPr>
      <w:sz w:val="20"/>
      <w:szCs w:val="20"/>
    </w:rPr>
  </w:style>
  <w:style w:type="character" w:customStyle="1" w:styleId="CommentTextChar">
    <w:name w:val="Comment Text Char"/>
    <w:basedOn w:val="DefaultParagraphFont"/>
    <w:link w:val="CommentText"/>
    <w:uiPriority w:val="99"/>
    <w:semiHidden/>
    <w:rsid w:val="00A47442"/>
    <w:rPr>
      <w:sz w:val="20"/>
      <w:szCs w:val="20"/>
    </w:rPr>
  </w:style>
  <w:style w:type="paragraph" w:styleId="CommentSubject">
    <w:name w:val="annotation subject"/>
    <w:basedOn w:val="CommentText"/>
    <w:next w:val="CommentText"/>
    <w:link w:val="CommentSubjectChar"/>
    <w:uiPriority w:val="99"/>
    <w:semiHidden/>
    <w:unhideWhenUsed/>
    <w:rsid w:val="00A47442"/>
    <w:rPr>
      <w:b/>
      <w:bCs/>
    </w:rPr>
  </w:style>
  <w:style w:type="character" w:customStyle="1" w:styleId="CommentSubjectChar">
    <w:name w:val="Comment Subject Char"/>
    <w:basedOn w:val="CommentTextChar"/>
    <w:link w:val="CommentSubject"/>
    <w:uiPriority w:val="99"/>
    <w:semiHidden/>
    <w:rsid w:val="00A47442"/>
    <w:rPr>
      <w:b/>
      <w:bCs/>
      <w:sz w:val="20"/>
      <w:szCs w:val="20"/>
    </w:rPr>
  </w:style>
  <w:style w:type="paragraph" w:styleId="BalloonText">
    <w:name w:val="Balloon Text"/>
    <w:basedOn w:val="Normal"/>
    <w:link w:val="BalloonTextChar"/>
    <w:uiPriority w:val="99"/>
    <w:semiHidden/>
    <w:unhideWhenUsed/>
    <w:rsid w:val="00A474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442"/>
    <w:rPr>
      <w:rFonts w:ascii="Tahoma" w:hAnsi="Tahoma" w:cs="Tahoma"/>
      <w:sz w:val="16"/>
      <w:szCs w:val="16"/>
    </w:rPr>
  </w:style>
  <w:style w:type="paragraph" w:styleId="Revision">
    <w:name w:val="Revision"/>
    <w:hidden/>
    <w:uiPriority w:val="99"/>
    <w:semiHidden/>
    <w:rsid w:val="00C04AB7"/>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E7328"/>
    <w:pPr>
      <w:spacing w:after="0" w:line="240" w:lineRule="auto"/>
    </w:pPr>
    <w:rPr>
      <w:rFonts w:ascii="Times New Roman" w:eastAsia="Times New Roman" w:hAnsi="Times New Roman" w:cs="Times New Roman"/>
      <w:sz w:val="20"/>
      <w:szCs w:val="20"/>
      <w:lang w:eastAsia="it-IT"/>
    </w:rPr>
  </w:style>
  <w:style w:type="character" w:customStyle="1" w:styleId="FootnoteTextChar">
    <w:name w:val="Footnote Text Char"/>
    <w:basedOn w:val="DefaultParagraphFont"/>
    <w:link w:val="FootnoteText"/>
    <w:uiPriority w:val="99"/>
    <w:semiHidden/>
    <w:rsid w:val="007E7328"/>
    <w:rPr>
      <w:rFonts w:ascii="Times New Roman" w:eastAsia="Times New Roman" w:hAnsi="Times New Roman" w:cs="Times New Roman"/>
      <w:sz w:val="20"/>
      <w:szCs w:val="20"/>
      <w:lang w:eastAsia="it-IT"/>
    </w:rPr>
  </w:style>
  <w:style w:type="character" w:styleId="FootnoteReference">
    <w:name w:val="footnote reference"/>
    <w:uiPriority w:val="99"/>
    <w:semiHidden/>
    <w:unhideWhenUsed/>
    <w:rsid w:val="007E7328"/>
    <w:rPr>
      <w:vertAlign w:val="superscript"/>
    </w:rPr>
  </w:style>
  <w:style w:type="character" w:styleId="Hyperlink">
    <w:name w:val="Hyperlink"/>
    <w:basedOn w:val="DefaultParagraphFont"/>
    <w:uiPriority w:val="99"/>
    <w:unhideWhenUsed/>
    <w:rsid w:val="007E7328"/>
    <w:rPr>
      <w:color w:val="0000FF" w:themeColor="hyperlink"/>
      <w:u w:val="single"/>
    </w:rPr>
  </w:style>
  <w:style w:type="paragraph" w:styleId="Header">
    <w:name w:val="header"/>
    <w:basedOn w:val="Normal"/>
    <w:link w:val="HeaderChar"/>
    <w:uiPriority w:val="99"/>
    <w:unhideWhenUsed/>
    <w:rsid w:val="007E73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7328"/>
  </w:style>
  <w:style w:type="paragraph" w:styleId="Footer">
    <w:name w:val="footer"/>
    <w:basedOn w:val="Normal"/>
    <w:link w:val="FooterChar"/>
    <w:uiPriority w:val="99"/>
    <w:unhideWhenUsed/>
    <w:rsid w:val="007E73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7328"/>
  </w:style>
  <w:style w:type="paragraph" w:styleId="Title">
    <w:name w:val="Title"/>
    <w:basedOn w:val="Normal"/>
    <w:next w:val="Normal"/>
    <w:link w:val="TitleChar"/>
    <w:uiPriority w:val="10"/>
    <w:qFormat/>
    <w:rsid w:val="007E732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732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E732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E7328"/>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7E7328"/>
    <w:rPr>
      <w:i/>
      <w:iCs/>
      <w:color w:val="808080" w:themeColor="text1" w:themeTint="7F"/>
    </w:rPr>
  </w:style>
  <w:style w:type="character" w:styleId="FollowedHyperlink">
    <w:name w:val="FollowedHyperlink"/>
    <w:basedOn w:val="DefaultParagraphFont"/>
    <w:uiPriority w:val="99"/>
    <w:semiHidden/>
    <w:unhideWhenUsed/>
    <w:rsid w:val="00A47442"/>
    <w:rPr>
      <w:color w:val="800080" w:themeColor="followedHyperlink"/>
      <w:u w:val="single"/>
    </w:rPr>
  </w:style>
  <w:style w:type="character" w:styleId="CommentReference">
    <w:name w:val="annotation reference"/>
    <w:basedOn w:val="DefaultParagraphFont"/>
    <w:uiPriority w:val="99"/>
    <w:semiHidden/>
    <w:unhideWhenUsed/>
    <w:rsid w:val="00A47442"/>
    <w:rPr>
      <w:sz w:val="16"/>
      <w:szCs w:val="16"/>
    </w:rPr>
  </w:style>
  <w:style w:type="paragraph" w:styleId="CommentText">
    <w:name w:val="annotation text"/>
    <w:basedOn w:val="Normal"/>
    <w:link w:val="CommentTextChar"/>
    <w:uiPriority w:val="99"/>
    <w:semiHidden/>
    <w:unhideWhenUsed/>
    <w:rsid w:val="00A47442"/>
    <w:pPr>
      <w:spacing w:line="240" w:lineRule="auto"/>
    </w:pPr>
    <w:rPr>
      <w:sz w:val="20"/>
      <w:szCs w:val="20"/>
    </w:rPr>
  </w:style>
  <w:style w:type="character" w:customStyle="1" w:styleId="CommentTextChar">
    <w:name w:val="Comment Text Char"/>
    <w:basedOn w:val="DefaultParagraphFont"/>
    <w:link w:val="CommentText"/>
    <w:uiPriority w:val="99"/>
    <w:semiHidden/>
    <w:rsid w:val="00A47442"/>
    <w:rPr>
      <w:sz w:val="20"/>
      <w:szCs w:val="20"/>
    </w:rPr>
  </w:style>
  <w:style w:type="paragraph" w:styleId="CommentSubject">
    <w:name w:val="annotation subject"/>
    <w:basedOn w:val="CommentText"/>
    <w:next w:val="CommentText"/>
    <w:link w:val="CommentSubjectChar"/>
    <w:uiPriority w:val="99"/>
    <w:semiHidden/>
    <w:unhideWhenUsed/>
    <w:rsid w:val="00A47442"/>
    <w:rPr>
      <w:b/>
      <w:bCs/>
    </w:rPr>
  </w:style>
  <w:style w:type="character" w:customStyle="1" w:styleId="CommentSubjectChar">
    <w:name w:val="Comment Subject Char"/>
    <w:basedOn w:val="CommentTextChar"/>
    <w:link w:val="CommentSubject"/>
    <w:uiPriority w:val="99"/>
    <w:semiHidden/>
    <w:rsid w:val="00A47442"/>
    <w:rPr>
      <w:b/>
      <w:bCs/>
      <w:sz w:val="20"/>
      <w:szCs w:val="20"/>
    </w:rPr>
  </w:style>
  <w:style w:type="paragraph" w:styleId="BalloonText">
    <w:name w:val="Balloon Text"/>
    <w:basedOn w:val="Normal"/>
    <w:link w:val="BalloonTextChar"/>
    <w:uiPriority w:val="99"/>
    <w:semiHidden/>
    <w:unhideWhenUsed/>
    <w:rsid w:val="00A474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442"/>
    <w:rPr>
      <w:rFonts w:ascii="Tahoma" w:hAnsi="Tahoma" w:cs="Tahoma"/>
      <w:sz w:val="16"/>
      <w:szCs w:val="16"/>
    </w:rPr>
  </w:style>
  <w:style w:type="paragraph" w:styleId="Revision">
    <w:name w:val="Revision"/>
    <w:hidden/>
    <w:uiPriority w:val="99"/>
    <w:semiHidden/>
    <w:rsid w:val="00C04A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hudoc.echr.coe.int/sites/eng/pages/search.aspx?i=001-114098" TargetMode="External"/><Relationship Id="rId20" Type="http://schemas.openxmlformats.org/officeDocument/2006/relationships/header" Target="header1.xml"/><Relationship Id="rId21" Type="http://schemas.openxmlformats.org/officeDocument/2006/relationships/header" Target="header2.xm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header" Target="header3.xml"/><Relationship Id="rId25" Type="http://schemas.openxmlformats.org/officeDocument/2006/relationships/footer" Target="footer3.xml"/><Relationship Id="rId26" Type="http://schemas.openxmlformats.org/officeDocument/2006/relationships/fontTable" Target="fontTable.xml"/><Relationship Id="rId27" Type="http://schemas.openxmlformats.org/officeDocument/2006/relationships/theme" Target="theme/theme1.xml"/><Relationship Id="rId30" Type="http://schemas.microsoft.com/office/2011/relationships/commentsExtended" Target="commentsExtended.xml"/><Relationship Id="rId10" Type="http://schemas.openxmlformats.org/officeDocument/2006/relationships/hyperlink" Target="http://hudoc.echr.coe.int/sites/eng/pages/search.aspx?i=001-102332" TargetMode="External"/><Relationship Id="rId11" Type="http://schemas.openxmlformats.org/officeDocument/2006/relationships/hyperlink" Target="http://www.turtlebayandbeyond.org/2012/abortion/how-the-council-of-europe-is-imposing-abortion-on-ireland-and-poland/" TargetMode="External"/><Relationship Id="rId12" Type="http://schemas.openxmlformats.org/officeDocument/2006/relationships/hyperlink" Target="http://www.supremecourt.ie/supremecourt/sclibrary3.nsf/pagecurrent/9FA0AA8E8D261FC48025765C0042F6B3?opendocument&amp;l=en" TargetMode="External"/><Relationship Id="rId13" Type="http://schemas.openxmlformats.org/officeDocument/2006/relationships/hyperlink" Target="http://hudoc.echr.coe.int/sites/fra/pages/search.aspx?i=001-57587" TargetMode="External"/><Relationship Id="rId14" Type="http://schemas.openxmlformats.org/officeDocument/2006/relationships/hyperlink" Target="http://hudoc.echr.coe.int/sites/fra/pages/search.aspx?i=001-57420" TargetMode="External"/><Relationship Id="rId15" Type="http://schemas.openxmlformats.org/officeDocument/2006/relationships/hyperlink" Target="http://hudoc.echr.coe.int/sites/fra/pages/search.aspx?i=001-1759" TargetMode="External"/><Relationship Id="rId16" Type="http://schemas.openxmlformats.org/officeDocument/2006/relationships/hyperlink" Target="http://hudoc.echr.coe.int/sites/fra/pages/search.aspx?i=001-61887" TargetMode="External"/><Relationship Id="rId17" Type="http://schemas.openxmlformats.org/officeDocument/2006/relationships/hyperlink" Target="http://hudoc.echr.coe.int/sites/eng/pages/search.aspx?i=001-57499" TargetMode="External"/><Relationship Id="rId18" Type="http://schemas.openxmlformats.org/officeDocument/2006/relationships/hyperlink" Target="http://hudoc.echr.coe.int/sites/eng/pages/search.aspx?i=001-57789" TargetMode="External"/><Relationship Id="rId19" Type="http://schemas.openxmlformats.org/officeDocument/2006/relationships/hyperlink" Target="http://journals.cambridge.org/action/displayAbstract?fromPage=online&amp;aid=8825908"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jiltalk.org/abortion-on-demand-and-the-european-convention-on-human-r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64338-5A63-024B-854E-97B557276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1857</Words>
  <Characters>10585</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2013-03-16T23:01:00Z</dcterms:created>
  <dcterms:modified xsi:type="dcterms:W3CDTF">2013-03-18T17:30:00Z</dcterms:modified>
</cp:coreProperties>
</file>