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E4" w:rsidRPr="004814EB" w:rsidRDefault="00C55F45" w:rsidP="002B55B0">
      <w:pPr>
        <w:jc w:val="both"/>
        <w:rPr>
          <w:rFonts w:cs="Times New Roman"/>
          <w:sz w:val="24"/>
          <w:szCs w:val="24"/>
          <w:u w:val="single"/>
        </w:rPr>
      </w:pPr>
      <w:proofErr w:type="gramStart"/>
      <w:r w:rsidRPr="004814EB">
        <w:rPr>
          <w:rFonts w:cs="Times New Roman"/>
          <w:sz w:val="24"/>
          <w:szCs w:val="24"/>
          <w:u w:val="single"/>
        </w:rPr>
        <w:t xml:space="preserve">When to </w:t>
      </w:r>
      <w:r w:rsidR="002148E4" w:rsidRPr="004814EB">
        <w:rPr>
          <w:rFonts w:cs="Times New Roman"/>
          <w:sz w:val="24"/>
          <w:szCs w:val="24"/>
          <w:u w:val="single"/>
        </w:rPr>
        <w:t>Report Adverse Drug Reactions in Children</w:t>
      </w:r>
      <w:r w:rsidRPr="004814EB">
        <w:rPr>
          <w:rFonts w:cs="Times New Roman"/>
          <w:sz w:val="24"/>
          <w:szCs w:val="24"/>
          <w:u w:val="single"/>
        </w:rPr>
        <w:t>?</w:t>
      </w:r>
      <w:proofErr w:type="gramEnd"/>
    </w:p>
    <w:p w:rsidR="002148E4" w:rsidRPr="004814EB" w:rsidRDefault="00F57F3E" w:rsidP="002B55B0">
      <w:pPr>
        <w:jc w:val="both"/>
        <w:rPr>
          <w:rFonts w:cs="Times New Roman"/>
          <w:sz w:val="24"/>
          <w:szCs w:val="24"/>
          <w:vertAlign w:val="superscript"/>
        </w:rPr>
      </w:pPr>
      <w:r w:rsidRPr="004814EB">
        <w:rPr>
          <w:rFonts w:cs="Times New Roman"/>
          <w:sz w:val="24"/>
          <w:szCs w:val="24"/>
        </w:rPr>
        <w:t>Dr Christopher Barton</w:t>
      </w:r>
      <w:r w:rsidRPr="004814EB">
        <w:rPr>
          <w:rFonts w:cs="Times New Roman"/>
          <w:sz w:val="24"/>
          <w:szCs w:val="24"/>
          <w:vertAlign w:val="superscript"/>
        </w:rPr>
        <w:t>1</w:t>
      </w:r>
      <w:r w:rsidRPr="004814EB">
        <w:rPr>
          <w:rFonts w:cs="Times New Roman"/>
          <w:sz w:val="24"/>
          <w:szCs w:val="24"/>
        </w:rPr>
        <w:t>, Dr Daniel B Hawcutt</w:t>
      </w:r>
      <w:r w:rsidRPr="004814EB">
        <w:rPr>
          <w:rFonts w:cs="Times New Roman"/>
          <w:sz w:val="24"/>
          <w:szCs w:val="24"/>
          <w:vertAlign w:val="superscript"/>
        </w:rPr>
        <w:t>2</w:t>
      </w:r>
      <w:proofErr w:type="gramStart"/>
      <w:r w:rsidRPr="004814EB">
        <w:rPr>
          <w:rFonts w:cs="Times New Roman"/>
          <w:sz w:val="24"/>
          <w:szCs w:val="24"/>
          <w:vertAlign w:val="superscript"/>
        </w:rPr>
        <w:t>,3</w:t>
      </w:r>
      <w:proofErr w:type="gramEnd"/>
    </w:p>
    <w:p w:rsidR="00F57F3E" w:rsidRPr="004814EB" w:rsidRDefault="00F57F3E" w:rsidP="002B55B0">
      <w:pPr>
        <w:jc w:val="both"/>
        <w:rPr>
          <w:rFonts w:cs="Times New Roman"/>
          <w:sz w:val="24"/>
          <w:szCs w:val="24"/>
        </w:rPr>
      </w:pPr>
      <w:proofErr w:type="gramStart"/>
      <w:r w:rsidRPr="004814EB">
        <w:rPr>
          <w:rFonts w:cs="Times New Roman"/>
          <w:sz w:val="24"/>
          <w:szCs w:val="24"/>
        </w:rPr>
        <w:t>1</w:t>
      </w:r>
      <w:proofErr w:type="gramEnd"/>
      <w:r w:rsidRPr="004814EB">
        <w:rPr>
          <w:rFonts w:cs="Times New Roman"/>
          <w:sz w:val="24"/>
          <w:szCs w:val="24"/>
        </w:rPr>
        <w:t>: Specialist Registrar, Oncology Department, Alder Hey Children’s Hospital, Liverpool</w:t>
      </w:r>
    </w:p>
    <w:p w:rsidR="00F57F3E" w:rsidRPr="004814EB" w:rsidRDefault="00F57F3E" w:rsidP="002B55B0">
      <w:pPr>
        <w:jc w:val="both"/>
        <w:rPr>
          <w:rFonts w:cs="Times New Roman"/>
          <w:sz w:val="24"/>
          <w:szCs w:val="24"/>
        </w:rPr>
      </w:pPr>
      <w:proofErr w:type="gramStart"/>
      <w:r w:rsidRPr="004814EB">
        <w:rPr>
          <w:rFonts w:cs="Times New Roman"/>
          <w:sz w:val="24"/>
          <w:szCs w:val="24"/>
        </w:rPr>
        <w:t>2</w:t>
      </w:r>
      <w:proofErr w:type="gramEnd"/>
      <w:r w:rsidRPr="004814EB">
        <w:rPr>
          <w:rFonts w:cs="Times New Roman"/>
          <w:sz w:val="24"/>
          <w:szCs w:val="24"/>
        </w:rPr>
        <w:t>: Senior Lecturer Paediatric Clinical Pharmacology, University of Liverpool, Liverpool</w:t>
      </w:r>
    </w:p>
    <w:p w:rsidR="00F57F3E" w:rsidRPr="004814EB" w:rsidRDefault="00F57F3E" w:rsidP="002B55B0">
      <w:pPr>
        <w:jc w:val="both"/>
        <w:rPr>
          <w:rFonts w:cs="Times New Roman"/>
          <w:sz w:val="24"/>
          <w:szCs w:val="24"/>
        </w:rPr>
      </w:pPr>
      <w:proofErr w:type="gramStart"/>
      <w:r w:rsidRPr="004814EB">
        <w:rPr>
          <w:rFonts w:cs="Times New Roman"/>
          <w:sz w:val="24"/>
          <w:szCs w:val="24"/>
        </w:rPr>
        <w:t>3</w:t>
      </w:r>
      <w:proofErr w:type="gramEnd"/>
      <w:r w:rsidRPr="004814EB">
        <w:rPr>
          <w:rFonts w:cs="Times New Roman"/>
          <w:sz w:val="24"/>
          <w:szCs w:val="24"/>
        </w:rPr>
        <w:t xml:space="preserve">: Consultant Paediatrician, Alder Hey Children’s Hospital, Liverpool </w:t>
      </w:r>
    </w:p>
    <w:p w:rsidR="00F57F3E" w:rsidRPr="004814EB" w:rsidRDefault="00F57F3E" w:rsidP="002B55B0">
      <w:pPr>
        <w:jc w:val="both"/>
        <w:rPr>
          <w:rFonts w:cs="Times New Roman"/>
          <w:sz w:val="24"/>
          <w:szCs w:val="24"/>
        </w:rPr>
      </w:pPr>
    </w:p>
    <w:p w:rsidR="00C66B3F" w:rsidRPr="004814EB" w:rsidRDefault="00C55F45" w:rsidP="002B55B0">
      <w:pPr>
        <w:jc w:val="both"/>
        <w:rPr>
          <w:rFonts w:cs="Times New Roman"/>
          <w:sz w:val="24"/>
          <w:szCs w:val="24"/>
        </w:rPr>
      </w:pPr>
      <w:r w:rsidRPr="004814EB">
        <w:rPr>
          <w:rFonts w:cs="Times New Roman"/>
          <w:sz w:val="24"/>
          <w:szCs w:val="24"/>
        </w:rPr>
        <w:t xml:space="preserve">The use of medicines can never be 100% safe, or 100% effective, and therefore each prescription is a balance of the intended benefits from using the medication versus the risks associated with it. </w:t>
      </w:r>
      <w:r w:rsidR="00F57F3E" w:rsidRPr="004814EB">
        <w:rPr>
          <w:rFonts w:cs="Times New Roman"/>
          <w:sz w:val="24"/>
          <w:szCs w:val="24"/>
        </w:rPr>
        <w:t>Any p</w:t>
      </w:r>
      <w:r w:rsidRPr="004814EB">
        <w:rPr>
          <w:rFonts w:cs="Times New Roman"/>
          <w:sz w:val="24"/>
          <w:szCs w:val="24"/>
        </w:rPr>
        <w:t>atient</w:t>
      </w:r>
      <w:r w:rsidR="00F57F3E" w:rsidRPr="004814EB">
        <w:rPr>
          <w:rFonts w:cs="Times New Roman"/>
          <w:sz w:val="24"/>
          <w:szCs w:val="24"/>
        </w:rPr>
        <w:t xml:space="preserve"> using medicines </w:t>
      </w:r>
      <w:r w:rsidRPr="004814EB">
        <w:rPr>
          <w:rFonts w:cs="Times New Roman"/>
          <w:sz w:val="24"/>
          <w:szCs w:val="24"/>
        </w:rPr>
        <w:t xml:space="preserve">may experience </w:t>
      </w:r>
      <w:r w:rsidR="00F57F3E" w:rsidRPr="004814EB">
        <w:rPr>
          <w:rFonts w:cs="Times New Roman"/>
          <w:sz w:val="24"/>
          <w:szCs w:val="24"/>
        </w:rPr>
        <w:t xml:space="preserve">only the </w:t>
      </w:r>
      <w:r w:rsidRPr="004814EB">
        <w:rPr>
          <w:rFonts w:cs="Times New Roman"/>
          <w:sz w:val="24"/>
          <w:szCs w:val="24"/>
        </w:rPr>
        <w:t xml:space="preserve">positive effects, </w:t>
      </w:r>
      <w:r w:rsidR="00F57F3E" w:rsidRPr="004814EB">
        <w:rPr>
          <w:rFonts w:cs="Times New Roman"/>
          <w:sz w:val="24"/>
          <w:szCs w:val="24"/>
        </w:rPr>
        <w:t xml:space="preserve">only the </w:t>
      </w:r>
      <w:r w:rsidRPr="004814EB">
        <w:rPr>
          <w:rFonts w:cs="Times New Roman"/>
          <w:sz w:val="24"/>
          <w:szCs w:val="24"/>
        </w:rPr>
        <w:t>negative effects, a combination of both</w:t>
      </w:r>
      <w:r w:rsidR="00F57F3E" w:rsidRPr="004814EB">
        <w:rPr>
          <w:rFonts w:cs="Times New Roman"/>
          <w:sz w:val="24"/>
          <w:szCs w:val="24"/>
        </w:rPr>
        <w:t xml:space="preserve"> positive and negative effects</w:t>
      </w:r>
      <w:r w:rsidRPr="004814EB">
        <w:rPr>
          <w:rFonts w:cs="Times New Roman"/>
          <w:sz w:val="24"/>
          <w:szCs w:val="24"/>
        </w:rPr>
        <w:t>, or no effects at all. The negative effects of medicines are referred to as “Adverse Drug Reactions” (ADRs), and are officially defined as “</w:t>
      </w:r>
      <w:r w:rsidR="00AF196E" w:rsidRPr="00AF196E">
        <w:rPr>
          <w:rFonts w:cs="Times New Roman"/>
          <w:sz w:val="24"/>
          <w:szCs w:val="24"/>
        </w:rPr>
        <w:t xml:space="preserve">A response to a medicinal product which is noxious and </w:t>
      </w:r>
      <w:r w:rsidR="00AF196E" w:rsidRPr="005C706F">
        <w:rPr>
          <w:rFonts w:cs="Times New Roman"/>
          <w:sz w:val="24"/>
          <w:szCs w:val="24"/>
        </w:rPr>
        <w:t>unintended</w:t>
      </w:r>
      <w:r w:rsidRPr="005C706F">
        <w:rPr>
          <w:rFonts w:cs="Times New Roman"/>
          <w:sz w:val="24"/>
          <w:szCs w:val="24"/>
        </w:rPr>
        <w:t>”</w:t>
      </w:r>
      <w:r w:rsidR="004F6EC9" w:rsidRPr="005C706F">
        <w:rPr>
          <w:rFonts w:cs="Times New Roman"/>
          <w:sz w:val="24"/>
          <w:szCs w:val="24"/>
        </w:rPr>
        <w:t xml:space="preserve"> </w:t>
      </w:r>
      <w:r w:rsidR="00266215" w:rsidRPr="005C706F">
        <w:rPr>
          <w:rFonts w:cs="Times New Roman"/>
          <w:sz w:val="24"/>
          <w:szCs w:val="24"/>
        </w:rPr>
        <w:fldChar w:fldCharType="begin"/>
      </w:r>
      <w:r w:rsidR="004F6EC9" w:rsidRPr="005C706F">
        <w:rPr>
          <w:rFonts w:cs="Times New Roman"/>
          <w:sz w:val="24"/>
          <w:szCs w:val="24"/>
        </w:rPr>
        <w:instrText xml:space="preserve"> ADDIN EN.CITE &lt;EndNote&gt;&lt;Cite&gt;&lt;Author&gt;Centre&lt;/Author&gt;&lt;Year&gt;2015&lt;/Year&gt;&lt;RecNum&gt;64&lt;/RecNum&gt;&lt;DisplayText&gt;[1]&lt;/DisplayText&gt;&lt;record&gt;&lt;rec-number&gt;64&lt;/rec-number&gt;&lt;foreign-keys&gt;&lt;key app="EN" db-id="pee209pevv2057etadqpdwsyfpzezpwrrsdw"&gt;64&lt;/key&gt;&lt;/foreign-keys&gt;&lt;ref-type name="Web Page"&gt;12&lt;/ref-type&gt;&lt;contributors&gt;&lt;authors&gt;&lt;author&gt;Uppsala Monitoring Centre&lt;/author&gt;&lt;/authors&gt;&lt;/contributors&gt;&lt;titles&gt;&lt;title&gt;Glossary of terms used in Pharmacovigilance&lt;/title&gt;&lt;/titles&gt;&lt;volume&gt;2015&lt;/volume&gt;&lt;number&gt;February 24th&lt;/number&gt;&lt;dates&gt;&lt;year&gt;2015&lt;/year&gt;&lt;pub-dates&gt;&lt;date&gt;28th January 2015&lt;/date&gt;&lt;/pub-dates&gt;&lt;/dates&gt;&lt;urls&gt;&lt;related-urls&gt;&lt;url&gt;http://www.who-umc.org/graphics/28401.pdf&lt;/url&gt;&lt;/related-urls&gt;&lt;/urls&gt;&lt;/record&gt;&lt;/Cite&gt;&lt;/EndNote&gt;</w:instrText>
      </w:r>
      <w:r w:rsidR="00266215" w:rsidRPr="005C706F">
        <w:rPr>
          <w:rFonts w:cs="Times New Roman"/>
          <w:sz w:val="24"/>
          <w:szCs w:val="24"/>
        </w:rPr>
        <w:fldChar w:fldCharType="separate"/>
      </w:r>
      <w:r w:rsidR="004F6EC9" w:rsidRPr="005C706F">
        <w:rPr>
          <w:rFonts w:cs="Times New Roman"/>
          <w:noProof/>
          <w:sz w:val="24"/>
          <w:szCs w:val="24"/>
        </w:rPr>
        <w:t>[</w:t>
      </w:r>
      <w:hyperlink w:anchor="_ENREF_1" w:tooltip="Centre, 2015 #64" w:history="1">
        <w:r w:rsidR="004F6EC9" w:rsidRPr="005C706F">
          <w:rPr>
            <w:rFonts w:cs="Times New Roman"/>
            <w:noProof/>
            <w:sz w:val="24"/>
            <w:szCs w:val="24"/>
          </w:rPr>
          <w:t>1</w:t>
        </w:r>
      </w:hyperlink>
      <w:r w:rsidR="004F6EC9" w:rsidRPr="005C706F">
        <w:rPr>
          <w:rFonts w:cs="Times New Roman"/>
          <w:noProof/>
          <w:sz w:val="24"/>
          <w:szCs w:val="24"/>
        </w:rPr>
        <w:t>]</w:t>
      </w:r>
      <w:r w:rsidR="00266215" w:rsidRPr="005C706F">
        <w:rPr>
          <w:rFonts w:cs="Times New Roman"/>
          <w:sz w:val="24"/>
          <w:szCs w:val="24"/>
        </w:rPr>
        <w:fldChar w:fldCharType="end"/>
      </w:r>
      <w:r w:rsidR="00D64850" w:rsidRPr="005C706F">
        <w:rPr>
          <w:rFonts w:cs="Times New Roman"/>
          <w:sz w:val="24"/>
          <w:szCs w:val="24"/>
        </w:rPr>
        <w:t>.</w:t>
      </w:r>
      <w:r w:rsidRPr="005C706F">
        <w:rPr>
          <w:rFonts w:cs="Times New Roman"/>
          <w:sz w:val="24"/>
          <w:szCs w:val="24"/>
        </w:rPr>
        <w:t xml:space="preserve">  A</w:t>
      </w:r>
      <w:r w:rsidRPr="004814EB">
        <w:rPr>
          <w:rFonts w:cs="Times New Roman"/>
          <w:sz w:val="24"/>
          <w:szCs w:val="24"/>
        </w:rPr>
        <w:t xml:space="preserve"> negative symptom or effect of a medicine may be categorised as an </w:t>
      </w:r>
      <w:r w:rsidR="00B054C0" w:rsidRPr="004814EB">
        <w:rPr>
          <w:rFonts w:cs="Times New Roman"/>
          <w:sz w:val="24"/>
          <w:szCs w:val="24"/>
        </w:rPr>
        <w:t xml:space="preserve">ADR </w:t>
      </w:r>
      <w:r w:rsidRPr="004814EB">
        <w:rPr>
          <w:rFonts w:cs="Times New Roman"/>
          <w:sz w:val="24"/>
          <w:szCs w:val="24"/>
        </w:rPr>
        <w:t xml:space="preserve">regardless </w:t>
      </w:r>
      <w:r w:rsidR="00B054C0" w:rsidRPr="004814EB">
        <w:rPr>
          <w:rFonts w:cs="Times New Roman"/>
          <w:sz w:val="24"/>
          <w:szCs w:val="24"/>
        </w:rPr>
        <w:t xml:space="preserve">of </w:t>
      </w:r>
      <w:r w:rsidR="00C66B3F" w:rsidRPr="004814EB">
        <w:rPr>
          <w:rFonts w:cs="Times New Roman"/>
          <w:sz w:val="24"/>
          <w:szCs w:val="24"/>
        </w:rPr>
        <w:t xml:space="preserve">how a drug </w:t>
      </w:r>
      <w:proofErr w:type="gramStart"/>
      <w:r w:rsidR="00C66B3F" w:rsidRPr="004814EB">
        <w:rPr>
          <w:rFonts w:cs="Times New Roman"/>
          <w:sz w:val="24"/>
          <w:szCs w:val="24"/>
        </w:rPr>
        <w:t>has been used</w:t>
      </w:r>
      <w:proofErr w:type="gramEnd"/>
      <w:r w:rsidR="00C66B3F" w:rsidRPr="004814EB">
        <w:rPr>
          <w:rFonts w:cs="Times New Roman"/>
          <w:sz w:val="24"/>
          <w:szCs w:val="24"/>
        </w:rPr>
        <w:t xml:space="preserve">, and so includes </w:t>
      </w:r>
      <w:r w:rsidR="00032B2B" w:rsidRPr="004814EB">
        <w:rPr>
          <w:rFonts w:cs="Times New Roman"/>
          <w:sz w:val="24"/>
          <w:szCs w:val="24"/>
        </w:rPr>
        <w:t xml:space="preserve">abuse, overdose, industrial exposure, medication errors, </w:t>
      </w:r>
      <w:r w:rsidR="00C66B3F" w:rsidRPr="004814EB">
        <w:rPr>
          <w:rFonts w:cs="Times New Roman"/>
          <w:sz w:val="24"/>
          <w:szCs w:val="24"/>
        </w:rPr>
        <w:t>and unlicensed and/</w:t>
      </w:r>
      <w:r w:rsidR="00032B2B" w:rsidRPr="004814EB">
        <w:rPr>
          <w:rFonts w:cs="Times New Roman"/>
          <w:sz w:val="24"/>
          <w:szCs w:val="24"/>
        </w:rPr>
        <w:t>or off-label use</w:t>
      </w:r>
      <w:r w:rsidRPr="004814EB">
        <w:rPr>
          <w:rFonts w:cs="Times New Roman"/>
          <w:sz w:val="24"/>
          <w:szCs w:val="24"/>
        </w:rPr>
        <w:t xml:space="preserve">. </w:t>
      </w:r>
    </w:p>
    <w:p w:rsidR="006B4823" w:rsidRPr="004814EB" w:rsidRDefault="00C03160" w:rsidP="006B4823">
      <w:pPr>
        <w:jc w:val="both"/>
        <w:rPr>
          <w:rFonts w:cs="Times New Roman"/>
          <w:sz w:val="24"/>
          <w:szCs w:val="24"/>
        </w:rPr>
      </w:pPr>
      <w:r w:rsidRPr="004814EB">
        <w:rPr>
          <w:rFonts w:cs="Times New Roman"/>
          <w:sz w:val="24"/>
          <w:szCs w:val="24"/>
        </w:rPr>
        <w:t xml:space="preserve">To generate data on ADRs, </w:t>
      </w:r>
      <w:r w:rsidR="009F69FE" w:rsidRPr="004814EB">
        <w:rPr>
          <w:rFonts w:cs="Times New Roman"/>
          <w:sz w:val="24"/>
          <w:szCs w:val="24"/>
        </w:rPr>
        <w:t xml:space="preserve">including identification of previously unsuspected ADRs, </w:t>
      </w:r>
      <w:r w:rsidRPr="004814EB">
        <w:rPr>
          <w:rFonts w:cs="Times New Roman"/>
          <w:sz w:val="24"/>
          <w:szCs w:val="24"/>
        </w:rPr>
        <w:t>t</w:t>
      </w:r>
      <w:r w:rsidR="00C55F45" w:rsidRPr="004814EB">
        <w:rPr>
          <w:rFonts w:cs="Times New Roman"/>
          <w:sz w:val="24"/>
          <w:szCs w:val="24"/>
        </w:rPr>
        <w:t xml:space="preserve">he UK set up </w:t>
      </w:r>
      <w:r w:rsidR="00E5647F" w:rsidRPr="005C706F">
        <w:rPr>
          <w:rFonts w:cs="Times New Roman"/>
          <w:sz w:val="24"/>
          <w:szCs w:val="24"/>
        </w:rPr>
        <w:t xml:space="preserve">one of the </w:t>
      </w:r>
      <w:r w:rsidR="00C55F45" w:rsidRPr="005C706F">
        <w:rPr>
          <w:rFonts w:cs="Times New Roman"/>
          <w:sz w:val="24"/>
          <w:szCs w:val="24"/>
        </w:rPr>
        <w:t>world’s first spontaneous reporting scheme</w:t>
      </w:r>
      <w:r w:rsidR="00E5647F" w:rsidRPr="005C706F">
        <w:rPr>
          <w:rFonts w:cs="Times New Roman"/>
          <w:sz w:val="24"/>
          <w:szCs w:val="24"/>
        </w:rPr>
        <w:t>s</w:t>
      </w:r>
      <w:r w:rsidR="00C55F45" w:rsidRPr="005C706F">
        <w:rPr>
          <w:rFonts w:cs="Times New Roman"/>
          <w:sz w:val="24"/>
          <w:szCs w:val="24"/>
        </w:rPr>
        <w:t xml:space="preserve"> for </w:t>
      </w:r>
      <w:r w:rsidR="00E5647F" w:rsidRPr="005C706F">
        <w:rPr>
          <w:rFonts w:cs="Times New Roman"/>
          <w:sz w:val="24"/>
          <w:szCs w:val="24"/>
        </w:rPr>
        <w:t xml:space="preserve">collecting </w:t>
      </w:r>
      <w:r w:rsidR="00C55F45" w:rsidRPr="005C706F">
        <w:rPr>
          <w:rFonts w:cs="Times New Roman"/>
          <w:b/>
          <w:sz w:val="24"/>
          <w:szCs w:val="24"/>
        </w:rPr>
        <w:t>SUSPECTED</w:t>
      </w:r>
      <w:r w:rsidR="00C55F45" w:rsidRPr="005C706F">
        <w:rPr>
          <w:rFonts w:cs="Times New Roman"/>
          <w:sz w:val="24"/>
          <w:szCs w:val="24"/>
        </w:rPr>
        <w:t xml:space="preserve"> ADRs in 1964</w:t>
      </w:r>
      <w:r w:rsidR="009F69FE" w:rsidRPr="005C706F">
        <w:rPr>
          <w:rFonts w:cs="Times New Roman"/>
          <w:sz w:val="24"/>
          <w:szCs w:val="24"/>
        </w:rPr>
        <w:t xml:space="preserve">.  </w:t>
      </w:r>
      <w:proofErr w:type="gramStart"/>
      <w:r w:rsidR="00A836A2" w:rsidRPr="005C706F">
        <w:rPr>
          <w:rFonts w:cs="Times New Roman"/>
          <w:sz w:val="24"/>
          <w:szCs w:val="24"/>
        </w:rPr>
        <w:t>These data were initially collected by doctors who would complete a yellow coloured card found at the back of the British National Formulary</w:t>
      </w:r>
      <w:proofErr w:type="gramEnd"/>
      <w:r w:rsidR="00A836A2" w:rsidRPr="005C706F">
        <w:rPr>
          <w:rFonts w:cs="Times New Roman"/>
          <w:sz w:val="24"/>
          <w:szCs w:val="24"/>
        </w:rPr>
        <w:t xml:space="preserve">. </w:t>
      </w:r>
      <w:r w:rsidR="009F69FE" w:rsidRPr="005C706F">
        <w:rPr>
          <w:rFonts w:cs="Times New Roman"/>
          <w:sz w:val="24"/>
          <w:szCs w:val="24"/>
        </w:rPr>
        <w:t>Fifty</w:t>
      </w:r>
      <w:r w:rsidR="00C7132B" w:rsidRPr="005C706F">
        <w:rPr>
          <w:rFonts w:cs="Times New Roman"/>
          <w:sz w:val="24"/>
          <w:szCs w:val="24"/>
        </w:rPr>
        <w:t xml:space="preserve"> years later</w:t>
      </w:r>
      <w:r w:rsidR="00A836A2" w:rsidRPr="005C706F">
        <w:rPr>
          <w:rFonts w:cs="Times New Roman"/>
          <w:sz w:val="24"/>
          <w:szCs w:val="24"/>
        </w:rPr>
        <w:t xml:space="preserve">, although the range of potential reporters and means of completion have evolved, </w:t>
      </w:r>
      <w:r w:rsidR="00C55F45" w:rsidRPr="005C706F">
        <w:rPr>
          <w:rFonts w:cs="Times New Roman"/>
          <w:sz w:val="24"/>
          <w:szCs w:val="24"/>
        </w:rPr>
        <w:t>the</w:t>
      </w:r>
      <w:r w:rsidR="00C55F45" w:rsidRPr="004814EB">
        <w:rPr>
          <w:rFonts w:cs="Times New Roman"/>
          <w:sz w:val="24"/>
          <w:szCs w:val="24"/>
        </w:rPr>
        <w:t xml:space="preserve"> </w:t>
      </w:r>
      <w:r w:rsidR="00A836A2">
        <w:rPr>
          <w:rFonts w:cs="Times New Roman"/>
          <w:sz w:val="24"/>
          <w:szCs w:val="24"/>
        </w:rPr>
        <w:t>“</w:t>
      </w:r>
      <w:r w:rsidR="00C55F45" w:rsidRPr="004814EB">
        <w:rPr>
          <w:rFonts w:cs="Times New Roman"/>
          <w:sz w:val="24"/>
          <w:szCs w:val="24"/>
        </w:rPr>
        <w:t>Yellow Card</w:t>
      </w:r>
      <w:r w:rsidR="00A836A2">
        <w:rPr>
          <w:rFonts w:cs="Times New Roman"/>
          <w:sz w:val="24"/>
          <w:szCs w:val="24"/>
        </w:rPr>
        <w:t>”</w:t>
      </w:r>
      <w:r w:rsidR="00C55F45" w:rsidRPr="004814EB">
        <w:rPr>
          <w:rFonts w:cs="Times New Roman"/>
          <w:sz w:val="24"/>
          <w:szCs w:val="24"/>
        </w:rPr>
        <w:t xml:space="preserve"> </w:t>
      </w:r>
      <w:r w:rsidR="00F121C6">
        <w:rPr>
          <w:rFonts w:cs="Times New Roman"/>
          <w:sz w:val="24"/>
          <w:szCs w:val="24"/>
        </w:rPr>
        <w:t>S</w:t>
      </w:r>
      <w:r w:rsidR="00C55F45" w:rsidRPr="004814EB">
        <w:rPr>
          <w:rFonts w:cs="Times New Roman"/>
          <w:sz w:val="24"/>
          <w:szCs w:val="24"/>
        </w:rPr>
        <w:t xml:space="preserve">cheme continues to be </w:t>
      </w:r>
      <w:r w:rsidR="00F57F3E" w:rsidRPr="004814EB">
        <w:rPr>
          <w:rFonts w:cs="Times New Roman"/>
          <w:sz w:val="24"/>
          <w:szCs w:val="24"/>
        </w:rPr>
        <w:t>a vitally important mechanism to collect these data</w:t>
      </w:r>
      <w:r w:rsidR="00F57F3E" w:rsidRPr="005C4F8C">
        <w:rPr>
          <w:rFonts w:cs="Times New Roman"/>
          <w:sz w:val="24"/>
          <w:szCs w:val="24"/>
        </w:rPr>
        <w:t xml:space="preserve">.  </w:t>
      </w:r>
      <w:r w:rsidR="005C4F8C" w:rsidRPr="005C4F8C">
        <w:rPr>
          <w:rFonts w:cs="Arial"/>
          <w:sz w:val="24"/>
          <w:szCs w:val="24"/>
        </w:rPr>
        <w:t xml:space="preserve">To identify the rarest ADRs, national data may not be </w:t>
      </w:r>
      <w:r w:rsidR="005C4F8C" w:rsidRPr="005C706F">
        <w:rPr>
          <w:rFonts w:cs="Arial"/>
          <w:sz w:val="24"/>
          <w:szCs w:val="24"/>
        </w:rPr>
        <w:t xml:space="preserve">sufficient, and so the World Health Organization (WHO) Programme for International Drug Monitoring </w:t>
      </w:r>
      <w:proofErr w:type="gramStart"/>
      <w:r w:rsidR="005C4F8C" w:rsidRPr="005C706F">
        <w:rPr>
          <w:rFonts w:cs="Arial"/>
          <w:sz w:val="24"/>
          <w:szCs w:val="24"/>
        </w:rPr>
        <w:t>was established</w:t>
      </w:r>
      <w:proofErr w:type="gramEnd"/>
      <w:r w:rsidR="005C4F8C" w:rsidRPr="005C706F">
        <w:rPr>
          <w:rFonts w:cs="Arial"/>
          <w:sz w:val="24"/>
          <w:szCs w:val="24"/>
        </w:rPr>
        <w:t xml:space="preserve"> in 1968, and has been coordinated by the Uppsala Monitoring Centre (UMC) in Sweden since 1978. The UMC is a WHO collaborating centre</w:t>
      </w:r>
      <w:r w:rsidR="006B4823" w:rsidRPr="005C706F">
        <w:rPr>
          <w:rFonts w:cs="Times New Roman"/>
          <w:sz w:val="24"/>
          <w:szCs w:val="24"/>
        </w:rPr>
        <w:t xml:space="preserve"> currently collecting, assessing and communicating information and data from the pharmacovigilance programs collaborating </w:t>
      </w:r>
      <w:r w:rsidR="00F121C6" w:rsidRPr="005C706F">
        <w:rPr>
          <w:rFonts w:cs="Times New Roman"/>
          <w:sz w:val="24"/>
          <w:szCs w:val="24"/>
        </w:rPr>
        <w:t>M</w:t>
      </w:r>
      <w:r w:rsidR="006B4823" w:rsidRPr="005C706F">
        <w:rPr>
          <w:rFonts w:cs="Times New Roman"/>
          <w:sz w:val="24"/>
          <w:szCs w:val="24"/>
        </w:rPr>
        <w:t>ember</w:t>
      </w:r>
      <w:r w:rsidR="006B4823" w:rsidRPr="004814EB">
        <w:rPr>
          <w:rFonts w:cs="Times New Roman"/>
          <w:sz w:val="24"/>
          <w:szCs w:val="24"/>
        </w:rPr>
        <w:t xml:space="preserve"> </w:t>
      </w:r>
      <w:r w:rsidR="00F121C6">
        <w:rPr>
          <w:rFonts w:cs="Times New Roman"/>
          <w:sz w:val="24"/>
          <w:szCs w:val="24"/>
        </w:rPr>
        <w:t xml:space="preserve">State </w:t>
      </w:r>
      <w:r w:rsidR="006B4823" w:rsidRPr="004814EB">
        <w:rPr>
          <w:rFonts w:cs="Times New Roman"/>
          <w:sz w:val="24"/>
          <w:szCs w:val="24"/>
        </w:rPr>
        <w:t xml:space="preserve">countries own national ADR reporting schemes (e.g. </w:t>
      </w:r>
      <w:r w:rsidR="00E473F9">
        <w:rPr>
          <w:rFonts w:cs="Times New Roman"/>
          <w:sz w:val="24"/>
          <w:szCs w:val="24"/>
        </w:rPr>
        <w:t>UK’s</w:t>
      </w:r>
      <w:r w:rsidR="00E473F9" w:rsidRPr="004814EB">
        <w:rPr>
          <w:rFonts w:cs="Times New Roman"/>
          <w:sz w:val="24"/>
          <w:szCs w:val="24"/>
        </w:rPr>
        <w:t xml:space="preserve"> </w:t>
      </w:r>
      <w:r w:rsidR="006B4823" w:rsidRPr="004814EB">
        <w:rPr>
          <w:rFonts w:cs="Times New Roman"/>
          <w:sz w:val="24"/>
          <w:szCs w:val="24"/>
        </w:rPr>
        <w:t xml:space="preserve">Yellow Card </w:t>
      </w:r>
      <w:r w:rsidR="00F121C6">
        <w:rPr>
          <w:rFonts w:cs="Times New Roman"/>
          <w:sz w:val="24"/>
          <w:szCs w:val="24"/>
        </w:rPr>
        <w:t>S</w:t>
      </w:r>
      <w:r w:rsidR="006B4823" w:rsidRPr="004814EB">
        <w:rPr>
          <w:rFonts w:cs="Times New Roman"/>
          <w:sz w:val="24"/>
          <w:szCs w:val="24"/>
        </w:rPr>
        <w:t xml:space="preserve">cheme).  The </w:t>
      </w:r>
      <w:proofErr w:type="gramStart"/>
      <w:r w:rsidR="006B4823" w:rsidRPr="004814EB">
        <w:rPr>
          <w:rFonts w:cs="Times New Roman"/>
          <w:sz w:val="24"/>
          <w:szCs w:val="24"/>
        </w:rPr>
        <w:t>main focus</w:t>
      </w:r>
      <w:proofErr w:type="gramEnd"/>
      <w:r w:rsidR="006B4823" w:rsidRPr="004814EB">
        <w:rPr>
          <w:rFonts w:cs="Times New Roman"/>
          <w:sz w:val="24"/>
          <w:szCs w:val="24"/>
        </w:rPr>
        <w:t xml:space="preserve"> and source of data is individual case safety reports, with a common reporting form, common terminologies and classifications. A centrally maintained database (including these core data sets) exists at the UMC, with agreed guidelines for entering the information formulated. Research currently includes data-driven statistical analysis, interaction detection, safety surveillance, drug signalling (including paediatric prescribing) and risk-benefit analysis, based on data from </w:t>
      </w:r>
      <w:r w:rsidR="006B4823" w:rsidRPr="005C706F">
        <w:rPr>
          <w:rFonts w:cs="Times New Roman"/>
          <w:sz w:val="24"/>
          <w:szCs w:val="24"/>
        </w:rPr>
        <w:t xml:space="preserve">over </w:t>
      </w:r>
      <w:r w:rsidR="005C4F8C" w:rsidRPr="005C706F">
        <w:rPr>
          <w:rFonts w:cs="Times New Roman"/>
          <w:sz w:val="24"/>
          <w:szCs w:val="24"/>
        </w:rPr>
        <w:t xml:space="preserve">10 </w:t>
      </w:r>
      <w:r w:rsidR="006B4823" w:rsidRPr="005C706F">
        <w:rPr>
          <w:rFonts w:cs="Times New Roman"/>
          <w:sz w:val="24"/>
          <w:szCs w:val="24"/>
        </w:rPr>
        <w:t>million reports</w:t>
      </w:r>
      <w:r w:rsidR="006B4823" w:rsidRPr="004814EB">
        <w:rPr>
          <w:rFonts w:cs="Times New Roman"/>
          <w:sz w:val="24"/>
          <w:szCs w:val="24"/>
        </w:rPr>
        <w:t xml:space="preserve"> of suspected ADR</w:t>
      </w:r>
      <w:r w:rsidR="00D91122" w:rsidRPr="004814EB">
        <w:rPr>
          <w:rFonts w:cs="Times New Roman"/>
          <w:sz w:val="24"/>
          <w:szCs w:val="24"/>
        </w:rPr>
        <w:t>s</w:t>
      </w:r>
      <w:r w:rsidR="006B4823" w:rsidRPr="004814EB">
        <w:rPr>
          <w:rFonts w:cs="Times New Roman"/>
          <w:sz w:val="24"/>
          <w:szCs w:val="24"/>
        </w:rPr>
        <w:t>.</w:t>
      </w:r>
    </w:p>
    <w:p w:rsidR="00D91122" w:rsidRPr="004814EB" w:rsidRDefault="00A836A2" w:rsidP="00D91122">
      <w:pPr>
        <w:jc w:val="both"/>
        <w:rPr>
          <w:rFonts w:cs="Times New Roman"/>
          <w:sz w:val="24"/>
          <w:szCs w:val="24"/>
        </w:rPr>
      </w:pPr>
      <w:r>
        <w:rPr>
          <w:rFonts w:cs="Times New Roman"/>
          <w:sz w:val="24"/>
          <w:szCs w:val="24"/>
        </w:rPr>
        <w:t>T</w:t>
      </w:r>
      <w:r w:rsidR="00D91122" w:rsidRPr="004814EB">
        <w:rPr>
          <w:rFonts w:cs="Times New Roman"/>
          <w:sz w:val="24"/>
          <w:szCs w:val="24"/>
        </w:rPr>
        <w:t xml:space="preserve">here are </w:t>
      </w:r>
      <w:proofErr w:type="gramStart"/>
      <w:r w:rsidR="00D91122" w:rsidRPr="004814EB">
        <w:rPr>
          <w:rFonts w:cs="Times New Roman"/>
          <w:sz w:val="24"/>
          <w:szCs w:val="24"/>
        </w:rPr>
        <w:t>well recognised</w:t>
      </w:r>
      <w:proofErr w:type="gramEnd"/>
      <w:r w:rsidR="00D91122" w:rsidRPr="004814EB">
        <w:rPr>
          <w:rFonts w:cs="Times New Roman"/>
          <w:sz w:val="24"/>
          <w:szCs w:val="24"/>
        </w:rPr>
        <w:t xml:space="preserve"> barriers to reporting </w:t>
      </w:r>
      <w:r w:rsidR="004814EB">
        <w:rPr>
          <w:rFonts w:cs="Times New Roman"/>
          <w:sz w:val="24"/>
          <w:szCs w:val="24"/>
        </w:rPr>
        <w:t>using</w:t>
      </w:r>
      <w:r w:rsidR="00D91122" w:rsidRPr="004814EB">
        <w:rPr>
          <w:rFonts w:cs="Times New Roman"/>
          <w:sz w:val="24"/>
          <w:szCs w:val="24"/>
        </w:rPr>
        <w:t xml:space="preserve"> spontaneous reporting schemes.  </w:t>
      </w:r>
      <w:proofErr w:type="gramStart"/>
      <w:r w:rsidR="00D91122" w:rsidRPr="004814EB">
        <w:rPr>
          <w:rFonts w:cs="Times New Roman"/>
          <w:sz w:val="24"/>
          <w:szCs w:val="24"/>
        </w:rPr>
        <w:t xml:space="preserve">These include service pressures and time constraints, difficulty recognising ADRs (especially in intensive care environments), reluctance to report mild ADRs and tendency to report only </w:t>
      </w:r>
      <w:r w:rsidR="00250AF2">
        <w:rPr>
          <w:rFonts w:cs="Times New Roman"/>
          <w:sz w:val="24"/>
          <w:szCs w:val="24"/>
        </w:rPr>
        <w:lastRenderedPageBreak/>
        <w:t xml:space="preserve">ADRs associated with </w:t>
      </w:r>
      <w:r w:rsidR="00D91122" w:rsidRPr="004814EB">
        <w:rPr>
          <w:rFonts w:cs="Times New Roman"/>
          <w:sz w:val="24"/>
          <w:szCs w:val="24"/>
        </w:rPr>
        <w:t>new drugs, or serious reactions, a lack of education over the implications of ADR for patients and health care services or a belief that as an ADR can be anticipated, or has previously been recognised that it need not be reported.</w:t>
      </w:r>
      <w:proofErr w:type="gramEnd"/>
      <w:r w:rsidR="00D91122" w:rsidRPr="004814EB">
        <w:rPr>
          <w:rFonts w:cs="Times New Roman"/>
          <w:sz w:val="24"/>
          <w:szCs w:val="24"/>
        </w:rPr>
        <w:t xml:space="preserve">  </w:t>
      </w:r>
      <w:r w:rsidR="004814EB">
        <w:rPr>
          <w:rFonts w:cs="Times New Roman"/>
          <w:sz w:val="24"/>
          <w:szCs w:val="24"/>
        </w:rPr>
        <w:t>A</w:t>
      </w:r>
      <w:r w:rsidR="00D91122" w:rsidRPr="004814EB">
        <w:rPr>
          <w:rFonts w:cs="Times New Roman"/>
          <w:sz w:val="24"/>
          <w:szCs w:val="24"/>
        </w:rPr>
        <w:t xml:space="preserve">ll spontaneous reporting schemes used around the world, suffer from massive under-reporting, with estimates that up to 95% of all ADRs </w:t>
      </w:r>
      <w:proofErr w:type="gramStart"/>
      <w:r w:rsidR="00D91122" w:rsidRPr="004814EB">
        <w:rPr>
          <w:rFonts w:cs="Times New Roman"/>
          <w:sz w:val="24"/>
          <w:szCs w:val="24"/>
        </w:rPr>
        <w:t>are not reported</w:t>
      </w:r>
      <w:proofErr w:type="gramEnd"/>
      <w:r w:rsidR="00D91122" w:rsidRPr="004814EB">
        <w:rPr>
          <w:rFonts w:cs="Times New Roman"/>
          <w:sz w:val="24"/>
          <w:szCs w:val="24"/>
        </w:rPr>
        <w:t xml:space="preserve">. This appears to be </w:t>
      </w:r>
      <w:r w:rsidR="004814EB">
        <w:rPr>
          <w:rFonts w:cs="Times New Roman"/>
          <w:sz w:val="24"/>
          <w:szCs w:val="24"/>
        </w:rPr>
        <w:t xml:space="preserve">as </w:t>
      </w:r>
      <w:r w:rsidR="00D91122" w:rsidRPr="004814EB">
        <w:rPr>
          <w:rFonts w:cs="Times New Roman"/>
          <w:sz w:val="24"/>
          <w:szCs w:val="24"/>
        </w:rPr>
        <w:t xml:space="preserve">true in paediatrics as </w:t>
      </w:r>
      <w:r w:rsidR="004814EB">
        <w:rPr>
          <w:rFonts w:cs="Times New Roman"/>
          <w:sz w:val="24"/>
          <w:szCs w:val="24"/>
        </w:rPr>
        <w:t>the rest of medicine</w:t>
      </w:r>
      <w:r w:rsidR="00D91122" w:rsidRPr="004814EB">
        <w:rPr>
          <w:rFonts w:cs="Times New Roman"/>
          <w:sz w:val="24"/>
          <w:szCs w:val="24"/>
        </w:rPr>
        <w:t>.  Within the UK, chil</w:t>
      </w:r>
      <w:r w:rsidR="004F655C" w:rsidRPr="004814EB">
        <w:rPr>
          <w:rFonts w:cs="Times New Roman"/>
          <w:sz w:val="24"/>
          <w:szCs w:val="24"/>
        </w:rPr>
        <w:t xml:space="preserve">dren receive 5% of the </w:t>
      </w:r>
      <w:r w:rsidR="005C2516">
        <w:rPr>
          <w:rFonts w:cs="Times New Roman"/>
          <w:sz w:val="24"/>
          <w:szCs w:val="24"/>
        </w:rPr>
        <w:t xml:space="preserve">approximately </w:t>
      </w:r>
      <w:r w:rsidR="00BF13FB">
        <w:rPr>
          <w:rFonts w:cs="Times New Roman"/>
          <w:sz w:val="24"/>
          <w:szCs w:val="24"/>
        </w:rPr>
        <w:t>1 billion prescri</w:t>
      </w:r>
      <w:r w:rsidR="005C2516">
        <w:rPr>
          <w:rFonts w:cs="Times New Roman"/>
          <w:sz w:val="24"/>
          <w:szCs w:val="24"/>
        </w:rPr>
        <w:t>ptions</w:t>
      </w:r>
      <w:r w:rsidR="007A0158">
        <w:rPr>
          <w:rFonts w:cs="Times New Roman"/>
          <w:sz w:val="24"/>
          <w:szCs w:val="24"/>
        </w:rPr>
        <w:t>. If only 0.01% of all prescri</w:t>
      </w:r>
      <w:r w:rsidR="005C2516">
        <w:rPr>
          <w:rFonts w:cs="Times New Roman"/>
          <w:sz w:val="24"/>
          <w:szCs w:val="24"/>
        </w:rPr>
        <w:t>ptions</w:t>
      </w:r>
      <w:r w:rsidR="007A0158">
        <w:rPr>
          <w:rFonts w:cs="Times New Roman"/>
          <w:sz w:val="24"/>
          <w:szCs w:val="24"/>
        </w:rPr>
        <w:t xml:space="preserve"> in children caused an ADR, and all ADRs were reported, we would estimate that the Yellow card scheme would receive 1300 reports per day</w:t>
      </w:r>
      <w:r w:rsidR="007A0158" w:rsidRPr="004814EB">
        <w:rPr>
          <w:rFonts w:cs="Times New Roman"/>
          <w:sz w:val="24"/>
          <w:szCs w:val="24"/>
        </w:rPr>
        <w:t xml:space="preserve">, but the Yellow Card </w:t>
      </w:r>
      <w:r w:rsidR="007A0158">
        <w:rPr>
          <w:rFonts w:cs="Times New Roman"/>
          <w:sz w:val="24"/>
          <w:szCs w:val="24"/>
        </w:rPr>
        <w:t>S</w:t>
      </w:r>
      <w:r w:rsidR="007A0158" w:rsidRPr="004814EB">
        <w:rPr>
          <w:rFonts w:cs="Times New Roman"/>
          <w:sz w:val="24"/>
          <w:szCs w:val="24"/>
        </w:rPr>
        <w:t xml:space="preserve">cheme only received </w:t>
      </w:r>
      <w:r w:rsidR="007A0158">
        <w:rPr>
          <w:rFonts w:cs="Times New Roman"/>
          <w:sz w:val="24"/>
          <w:szCs w:val="24"/>
        </w:rPr>
        <w:t>6</w:t>
      </w:r>
      <w:r w:rsidR="007A0158" w:rsidRPr="004814EB">
        <w:rPr>
          <w:rFonts w:cs="Times New Roman"/>
          <w:sz w:val="24"/>
          <w:szCs w:val="24"/>
        </w:rPr>
        <w:t xml:space="preserve"> report</w:t>
      </w:r>
      <w:r w:rsidR="007A0158">
        <w:rPr>
          <w:rFonts w:cs="Times New Roman"/>
          <w:sz w:val="24"/>
          <w:szCs w:val="24"/>
        </w:rPr>
        <w:t>s</w:t>
      </w:r>
      <w:r w:rsidR="007A0158" w:rsidRPr="004814EB">
        <w:rPr>
          <w:rFonts w:cs="Times New Roman"/>
          <w:sz w:val="24"/>
          <w:szCs w:val="24"/>
        </w:rPr>
        <w:t xml:space="preserve"> of a suspected ADR </w:t>
      </w:r>
      <w:r w:rsidR="007A0158">
        <w:rPr>
          <w:rFonts w:cs="Times New Roman"/>
          <w:sz w:val="24"/>
          <w:szCs w:val="24"/>
        </w:rPr>
        <w:t>per day</w:t>
      </w:r>
      <w:r w:rsidR="007A0158" w:rsidRPr="004814EB">
        <w:rPr>
          <w:rFonts w:cs="Times New Roman"/>
          <w:sz w:val="24"/>
          <w:szCs w:val="24"/>
        </w:rPr>
        <w:t xml:space="preserve"> between 2000-2009 </w:t>
      </w:r>
      <w:r w:rsidR="00266215" w:rsidRPr="004814EB">
        <w:rPr>
          <w:rFonts w:cs="Times New Roman"/>
          <w:sz w:val="24"/>
          <w:szCs w:val="24"/>
        </w:rPr>
        <w:fldChar w:fldCharType="begin"/>
      </w:r>
      <w:r w:rsidR="007A0158">
        <w:rPr>
          <w:rFonts w:cs="Times New Roman"/>
          <w:sz w:val="24"/>
          <w:szCs w:val="24"/>
        </w:rPr>
        <w:instrText xml:space="preserve"> ADDIN EN.CITE &lt;EndNote&gt;&lt;Cite&gt;&lt;Author&gt;Hawcutt&lt;/Author&gt;&lt;Year&gt;2012&lt;/Year&gt;&lt;RecNum&gt;51&lt;/RecNum&gt;&lt;DisplayText&gt;[2]&lt;/DisplayText&gt;&lt;record&gt;&lt;rec-number&gt;51&lt;/rec-number&gt;&lt;foreign-keys&gt;&lt;key app="EN" db-id="pee209pevv2057etadqpdwsyfpzezpwrrsdw"&gt;51&lt;/key&gt;&lt;/foreign-keys&gt;&lt;ref-type name="Journal Article"&gt;17&lt;/ref-type&gt;&lt;contributors&gt;&lt;authors&gt;&lt;author&gt;Hawcutt, Daniel B&lt;/author&gt;&lt;author&gt;Mainie, Pramod&lt;/author&gt;&lt;author&gt;Riordan, Andrew&lt;/author&gt;&lt;author&gt;Smyth, Rosalind L&lt;/author&gt;&lt;author&gt;Pirmohamed, Munir&lt;/author&gt;&lt;/authors&gt;&lt;/contributors&gt;&lt;titles&gt;&lt;title&gt;Reported paediatric adverse drug reactions in the UK 2000–2009&lt;/title&gt;&lt;secondary-title&gt;British journal of clinical pharmacology&lt;/secondary-title&gt;&lt;/titles&gt;&lt;periodical&gt;&lt;full-title&gt;British journal of clinical pharmacology&lt;/full-title&gt;&lt;/periodical&gt;&lt;pages&gt;437-446&lt;/pages&gt;&lt;volume&gt;73&lt;/volume&gt;&lt;number&gt;3&lt;/number&gt;&lt;dates&gt;&lt;year&gt;2012&lt;/year&gt;&lt;/dates&gt;&lt;isbn&gt;1365-2125&lt;/isbn&gt;&lt;urls&gt;&lt;/urls&gt;&lt;/record&gt;&lt;/Cite&gt;&lt;/EndNote&gt;</w:instrText>
      </w:r>
      <w:r w:rsidR="00266215" w:rsidRPr="004814EB">
        <w:rPr>
          <w:rFonts w:cs="Times New Roman"/>
          <w:sz w:val="24"/>
          <w:szCs w:val="24"/>
        </w:rPr>
        <w:fldChar w:fldCharType="separate"/>
      </w:r>
      <w:r w:rsidR="007A0158">
        <w:rPr>
          <w:rFonts w:cs="Times New Roman"/>
          <w:noProof/>
          <w:sz w:val="24"/>
          <w:szCs w:val="24"/>
        </w:rPr>
        <w:t>[</w:t>
      </w:r>
      <w:hyperlink w:anchor="_ENREF_2" w:tooltip="Hawcutt, 2012 #51" w:history="1">
        <w:r w:rsidR="007A0158">
          <w:rPr>
            <w:rFonts w:cs="Times New Roman"/>
            <w:noProof/>
            <w:sz w:val="24"/>
            <w:szCs w:val="24"/>
          </w:rPr>
          <w:t>2</w:t>
        </w:r>
      </w:hyperlink>
      <w:r w:rsidR="007A0158">
        <w:rPr>
          <w:rFonts w:cs="Times New Roman"/>
          <w:noProof/>
          <w:sz w:val="24"/>
          <w:szCs w:val="24"/>
        </w:rPr>
        <w:t>]</w:t>
      </w:r>
      <w:r w:rsidR="00266215" w:rsidRPr="004814EB">
        <w:rPr>
          <w:rFonts w:cs="Times New Roman"/>
          <w:sz w:val="24"/>
          <w:szCs w:val="24"/>
        </w:rPr>
        <w:fldChar w:fldCharType="end"/>
      </w:r>
      <w:r w:rsidR="007A0158" w:rsidRPr="004814EB">
        <w:rPr>
          <w:rFonts w:cs="Times New Roman"/>
          <w:sz w:val="24"/>
          <w:szCs w:val="24"/>
        </w:rPr>
        <w:t xml:space="preserve">. </w:t>
      </w:r>
      <w:r w:rsidR="00D91122" w:rsidRPr="004814EB">
        <w:rPr>
          <w:rFonts w:cs="Times New Roman"/>
          <w:sz w:val="24"/>
          <w:szCs w:val="24"/>
        </w:rPr>
        <w:t xml:space="preserve">Closer analysis of the UK paediatric </w:t>
      </w:r>
      <w:r w:rsidR="00B273FC">
        <w:rPr>
          <w:rFonts w:cs="Times New Roman"/>
          <w:sz w:val="24"/>
          <w:szCs w:val="24"/>
        </w:rPr>
        <w:t>Y</w:t>
      </w:r>
      <w:r w:rsidR="00D91122" w:rsidRPr="004814EB">
        <w:rPr>
          <w:rFonts w:cs="Times New Roman"/>
          <w:sz w:val="24"/>
          <w:szCs w:val="24"/>
        </w:rPr>
        <w:t xml:space="preserve">ellow </w:t>
      </w:r>
      <w:r w:rsidR="00B273FC">
        <w:rPr>
          <w:rFonts w:cs="Times New Roman"/>
          <w:sz w:val="24"/>
          <w:szCs w:val="24"/>
        </w:rPr>
        <w:t>C</w:t>
      </w:r>
      <w:r w:rsidR="00D91122" w:rsidRPr="004814EB">
        <w:rPr>
          <w:rFonts w:cs="Times New Roman"/>
          <w:sz w:val="24"/>
          <w:szCs w:val="24"/>
        </w:rPr>
        <w:t xml:space="preserve">ard reports received over this </w:t>
      </w:r>
      <w:proofErr w:type="gramStart"/>
      <w:r w:rsidR="00D91122" w:rsidRPr="004814EB">
        <w:rPr>
          <w:rFonts w:cs="Times New Roman"/>
          <w:sz w:val="24"/>
          <w:szCs w:val="24"/>
        </w:rPr>
        <w:t>time period</w:t>
      </w:r>
      <w:proofErr w:type="gramEnd"/>
      <w:r w:rsidR="00D91122" w:rsidRPr="004814EB">
        <w:rPr>
          <w:rFonts w:cs="Times New Roman"/>
          <w:sz w:val="24"/>
          <w:szCs w:val="24"/>
        </w:rPr>
        <w:t xml:space="preserve"> has also shown that:</w:t>
      </w:r>
    </w:p>
    <w:p w:rsidR="00D91122" w:rsidRPr="004814EB" w:rsidRDefault="00D91122" w:rsidP="00D91122">
      <w:pPr>
        <w:pStyle w:val="ListParagraph"/>
        <w:numPr>
          <w:ilvl w:val="0"/>
          <w:numId w:val="3"/>
        </w:numPr>
        <w:jc w:val="both"/>
        <w:rPr>
          <w:rFonts w:cs="Times New Roman"/>
          <w:sz w:val="24"/>
          <w:szCs w:val="24"/>
        </w:rPr>
      </w:pPr>
      <w:r w:rsidRPr="004814EB">
        <w:rPr>
          <w:rFonts w:cs="Times New Roman"/>
          <w:sz w:val="24"/>
          <w:szCs w:val="24"/>
        </w:rPr>
        <w:t xml:space="preserve">The rate of reporting is different depending of the class of drug.  For example vaccines are reported more frequently than other medications, comprising 69% of all suspected ADR reports </w:t>
      </w:r>
      <w:r w:rsidR="00266215" w:rsidRPr="004814EB">
        <w:rPr>
          <w:rFonts w:cs="Times New Roman"/>
          <w:sz w:val="24"/>
          <w:szCs w:val="24"/>
        </w:rPr>
        <w:fldChar w:fldCharType="begin"/>
      </w:r>
      <w:r w:rsidR="004F6EC9">
        <w:rPr>
          <w:rFonts w:cs="Times New Roman"/>
          <w:sz w:val="24"/>
          <w:szCs w:val="24"/>
        </w:rPr>
        <w:instrText xml:space="preserve"> ADDIN EN.CITE &lt;EndNote&gt;&lt;Cite&gt;&lt;Author&gt;Hawcutt&lt;/Author&gt;&lt;Year&gt;2012&lt;/Year&gt;&lt;RecNum&gt;51&lt;/RecNum&gt;&lt;DisplayText&gt;[2]&lt;/DisplayText&gt;&lt;record&gt;&lt;rec-number&gt;51&lt;/rec-number&gt;&lt;foreign-keys&gt;&lt;key app="EN" db-id="pee209pevv2057etadqpdwsyfpzezpwrrsdw"&gt;51&lt;/key&gt;&lt;/foreign-keys&gt;&lt;ref-type name="Journal Article"&gt;17&lt;/ref-type&gt;&lt;contributors&gt;&lt;authors&gt;&lt;author&gt;Hawcutt, Daniel B&lt;/author&gt;&lt;author&gt;Mainie, Pramod&lt;/author&gt;&lt;author&gt;Riordan, Andrew&lt;/author&gt;&lt;author&gt;Smyth, Rosalind L&lt;/author&gt;&lt;author&gt;Pirmohamed, Munir&lt;/author&gt;&lt;/authors&gt;&lt;/contributors&gt;&lt;titles&gt;&lt;title&gt;Reported paediatric adverse drug reactions in the UK 2000–2009&lt;/title&gt;&lt;secondary-title&gt;British journal of clinical pharmacology&lt;/secondary-title&gt;&lt;/titles&gt;&lt;periodical&gt;&lt;full-title&gt;British journal of clinical pharmacology&lt;/full-title&gt;&lt;/periodical&gt;&lt;pages&gt;437-446&lt;/pages&gt;&lt;volume&gt;73&lt;/volume&gt;&lt;number&gt;3&lt;/number&gt;&lt;dates&gt;&lt;year&gt;2012&lt;/year&gt;&lt;/dates&gt;&lt;isbn&gt;1365-2125&lt;/isbn&gt;&lt;urls&gt;&lt;/urls&gt;&lt;/record&gt;&lt;/Cite&gt;&lt;/EndNote&gt;</w:instrText>
      </w:r>
      <w:r w:rsidR="00266215" w:rsidRPr="004814EB">
        <w:rPr>
          <w:rFonts w:cs="Times New Roman"/>
          <w:sz w:val="24"/>
          <w:szCs w:val="24"/>
        </w:rPr>
        <w:fldChar w:fldCharType="separate"/>
      </w:r>
      <w:r w:rsidR="004F6EC9">
        <w:rPr>
          <w:rFonts w:cs="Times New Roman"/>
          <w:noProof/>
          <w:sz w:val="24"/>
          <w:szCs w:val="24"/>
        </w:rPr>
        <w:t>[</w:t>
      </w:r>
      <w:hyperlink w:anchor="_ENREF_2" w:tooltip="Hawcutt, 2012 #51" w:history="1">
        <w:r w:rsidR="004F6EC9">
          <w:rPr>
            <w:rFonts w:cs="Times New Roman"/>
            <w:noProof/>
            <w:sz w:val="24"/>
            <w:szCs w:val="24"/>
          </w:rPr>
          <w:t>2</w:t>
        </w:r>
      </w:hyperlink>
      <w:r w:rsidR="004F6EC9">
        <w:rPr>
          <w:rFonts w:cs="Times New Roman"/>
          <w:noProof/>
          <w:sz w:val="24"/>
          <w:szCs w:val="24"/>
        </w:rPr>
        <w:t>]</w:t>
      </w:r>
      <w:r w:rsidR="00266215" w:rsidRPr="004814EB">
        <w:rPr>
          <w:rFonts w:cs="Times New Roman"/>
          <w:sz w:val="24"/>
          <w:szCs w:val="24"/>
        </w:rPr>
        <w:fldChar w:fldCharType="end"/>
      </w:r>
    </w:p>
    <w:p w:rsidR="00D91122" w:rsidRPr="004814EB" w:rsidRDefault="00D91122" w:rsidP="00D91122">
      <w:pPr>
        <w:pStyle w:val="ListParagraph"/>
        <w:numPr>
          <w:ilvl w:val="0"/>
          <w:numId w:val="3"/>
        </w:numPr>
        <w:jc w:val="both"/>
        <w:rPr>
          <w:rFonts w:cs="Times New Roman"/>
          <w:sz w:val="24"/>
          <w:szCs w:val="24"/>
        </w:rPr>
      </w:pPr>
      <w:r w:rsidRPr="004814EB">
        <w:rPr>
          <w:rFonts w:cs="Times New Roman"/>
          <w:sz w:val="24"/>
          <w:szCs w:val="24"/>
        </w:rPr>
        <w:t xml:space="preserve">For non-vaccines, </w:t>
      </w:r>
      <w:r w:rsidR="00AF196E">
        <w:rPr>
          <w:rFonts w:cs="Times New Roman"/>
          <w:sz w:val="24"/>
          <w:szCs w:val="24"/>
        </w:rPr>
        <w:t>despite</w:t>
      </w:r>
      <w:r w:rsidR="00AF196E" w:rsidRPr="004814EB">
        <w:rPr>
          <w:rFonts w:cs="Times New Roman"/>
          <w:sz w:val="24"/>
          <w:szCs w:val="24"/>
        </w:rPr>
        <w:t xml:space="preserve"> </w:t>
      </w:r>
      <w:r w:rsidRPr="004814EB">
        <w:rPr>
          <w:rFonts w:cs="Times New Roman"/>
          <w:sz w:val="24"/>
          <w:szCs w:val="24"/>
        </w:rPr>
        <w:t xml:space="preserve">the advice at the time </w:t>
      </w:r>
      <w:r w:rsidR="00AF196E">
        <w:rPr>
          <w:rFonts w:cs="Times New Roman"/>
          <w:sz w:val="24"/>
          <w:szCs w:val="24"/>
        </w:rPr>
        <w:t>being</w:t>
      </w:r>
      <w:r w:rsidR="00AF196E" w:rsidRPr="004814EB">
        <w:rPr>
          <w:rFonts w:cs="Times New Roman"/>
          <w:sz w:val="24"/>
          <w:szCs w:val="24"/>
        </w:rPr>
        <w:t xml:space="preserve"> </w:t>
      </w:r>
      <w:r w:rsidRPr="004814EB">
        <w:rPr>
          <w:rFonts w:cs="Times New Roman"/>
          <w:sz w:val="24"/>
          <w:szCs w:val="24"/>
        </w:rPr>
        <w:t xml:space="preserve">to report </w:t>
      </w:r>
      <w:r w:rsidRPr="005C2516">
        <w:rPr>
          <w:rFonts w:cs="Times New Roman"/>
          <w:b/>
          <w:sz w:val="24"/>
          <w:szCs w:val="24"/>
        </w:rPr>
        <w:t>all suspected ADRs</w:t>
      </w:r>
      <w:r w:rsidRPr="004814EB">
        <w:rPr>
          <w:rFonts w:cs="Times New Roman"/>
          <w:sz w:val="24"/>
          <w:szCs w:val="24"/>
        </w:rPr>
        <w:t xml:space="preserve">, </w:t>
      </w:r>
      <w:r w:rsidR="00AF196E">
        <w:rPr>
          <w:rFonts w:cs="Times New Roman"/>
          <w:sz w:val="24"/>
          <w:szCs w:val="24"/>
        </w:rPr>
        <w:t xml:space="preserve">mild clinically insignificant symptoms </w:t>
      </w:r>
      <w:proofErr w:type="gramStart"/>
      <w:r w:rsidR="00AF196E">
        <w:rPr>
          <w:rFonts w:cs="Times New Roman"/>
          <w:sz w:val="24"/>
          <w:szCs w:val="24"/>
        </w:rPr>
        <w:t>were not commonly reported</w:t>
      </w:r>
      <w:proofErr w:type="gramEnd"/>
      <w:r w:rsidR="00AF196E">
        <w:rPr>
          <w:rFonts w:cs="Times New Roman"/>
          <w:sz w:val="24"/>
          <w:szCs w:val="24"/>
        </w:rPr>
        <w:t xml:space="preserve">, while clinically severe symptoms were amongst the most common. </w:t>
      </w:r>
      <w:r w:rsidRPr="004814EB">
        <w:rPr>
          <w:rFonts w:cs="Times New Roman"/>
          <w:sz w:val="24"/>
          <w:szCs w:val="24"/>
        </w:rPr>
        <w:t xml:space="preserve">For example, “aggression” and “convulsion” were the fifth and sixth most commonly reported suspected ADRs in this group </w:t>
      </w:r>
      <w:r w:rsidR="00266215" w:rsidRPr="004814EB">
        <w:rPr>
          <w:rFonts w:cs="Times New Roman"/>
          <w:sz w:val="24"/>
          <w:szCs w:val="24"/>
        </w:rPr>
        <w:fldChar w:fldCharType="begin"/>
      </w:r>
      <w:r w:rsidR="004F6EC9">
        <w:rPr>
          <w:rFonts w:cs="Times New Roman"/>
          <w:sz w:val="24"/>
          <w:szCs w:val="24"/>
        </w:rPr>
        <w:instrText xml:space="preserve"> ADDIN EN.CITE &lt;EndNote&gt;&lt;Cite&gt;&lt;Author&gt;Hawcutt&lt;/Author&gt;&lt;Year&gt;2012&lt;/Year&gt;&lt;RecNum&gt;51&lt;/RecNum&gt;&lt;DisplayText&gt;[2]&lt;/DisplayText&gt;&lt;record&gt;&lt;rec-number&gt;51&lt;/rec-number&gt;&lt;foreign-keys&gt;&lt;key app="EN" db-id="pee209pevv2057etadqpdwsyfpzezpwrrsdw"&gt;51&lt;/key&gt;&lt;/foreign-keys&gt;&lt;ref-type name="Journal Article"&gt;17&lt;/ref-type&gt;&lt;contributors&gt;&lt;authors&gt;&lt;author&gt;Hawcutt, Daniel B&lt;/author&gt;&lt;author&gt;Mainie, Pramod&lt;/author&gt;&lt;author&gt;Riordan, Andrew&lt;/author&gt;&lt;author&gt;Smyth, Rosalind L&lt;/author&gt;&lt;author&gt;Pirmohamed, Munir&lt;/author&gt;&lt;/authors&gt;&lt;/contributors&gt;&lt;titles&gt;&lt;title&gt;Reported paediatric adverse drug reactions in the UK 2000–2009&lt;/title&gt;&lt;secondary-title&gt;British journal of clinical pharmacology&lt;/secondary-title&gt;&lt;/titles&gt;&lt;periodical&gt;&lt;full-title&gt;British journal of clinical pharmacology&lt;/full-title&gt;&lt;/periodical&gt;&lt;pages&gt;437-446&lt;/pages&gt;&lt;volume&gt;73&lt;/volume&gt;&lt;number&gt;3&lt;/number&gt;&lt;dates&gt;&lt;year&gt;2012&lt;/year&gt;&lt;/dates&gt;&lt;isbn&gt;1365-2125&lt;/isbn&gt;&lt;urls&gt;&lt;/urls&gt;&lt;/record&gt;&lt;/Cite&gt;&lt;/EndNote&gt;</w:instrText>
      </w:r>
      <w:r w:rsidR="00266215" w:rsidRPr="004814EB">
        <w:rPr>
          <w:rFonts w:cs="Times New Roman"/>
          <w:sz w:val="24"/>
          <w:szCs w:val="24"/>
        </w:rPr>
        <w:fldChar w:fldCharType="separate"/>
      </w:r>
      <w:r w:rsidR="004F6EC9">
        <w:rPr>
          <w:rFonts w:cs="Times New Roman"/>
          <w:noProof/>
          <w:sz w:val="24"/>
          <w:szCs w:val="24"/>
        </w:rPr>
        <w:t>[</w:t>
      </w:r>
      <w:hyperlink w:anchor="_ENREF_2" w:tooltip="Hawcutt, 2012 #51" w:history="1">
        <w:r w:rsidR="004F6EC9">
          <w:rPr>
            <w:rFonts w:cs="Times New Roman"/>
            <w:noProof/>
            <w:sz w:val="24"/>
            <w:szCs w:val="24"/>
          </w:rPr>
          <w:t>2</w:t>
        </w:r>
      </w:hyperlink>
      <w:r w:rsidR="004F6EC9">
        <w:rPr>
          <w:rFonts w:cs="Times New Roman"/>
          <w:noProof/>
          <w:sz w:val="24"/>
          <w:szCs w:val="24"/>
        </w:rPr>
        <w:t>]</w:t>
      </w:r>
      <w:r w:rsidR="00266215" w:rsidRPr="004814EB">
        <w:rPr>
          <w:rFonts w:cs="Times New Roman"/>
          <w:sz w:val="24"/>
          <w:szCs w:val="24"/>
        </w:rPr>
        <w:fldChar w:fldCharType="end"/>
      </w:r>
      <w:r w:rsidRPr="004814EB">
        <w:rPr>
          <w:rFonts w:cs="Times New Roman"/>
          <w:sz w:val="24"/>
          <w:szCs w:val="24"/>
        </w:rPr>
        <w:t xml:space="preserve">.  </w:t>
      </w:r>
    </w:p>
    <w:p w:rsidR="00D91122" w:rsidRPr="004814EB" w:rsidRDefault="00E473F9" w:rsidP="00D91122">
      <w:pPr>
        <w:jc w:val="both"/>
        <w:rPr>
          <w:rFonts w:cs="Times New Roman"/>
          <w:sz w:val="24"/>
          <w:szCs w:val="24"/>
        </w:rPr>
      </w:pPr>
      <w:r w:rsidRPr="00CB3B3A">
        <w:rPr>
          <w:rFonts w:cs="Times New Roman"/>
          <w:sz w:val="24"/>
          <w:szCs w:val="24"/>
        </w:rPr>
        <w:t>The small number of spontaneous reports of ADRs received associated with paediatric patients does not mean that there is not a clinical problem to address</w:t>
      </w:r>
      <w:r w:rsidR="00D91122" w:rsidRPr="004814EB">
        <w:rPr>
          <w:rFonts w:cs="Times New Roman"/>
          <w:sz w:val="24"/>
          <w:szCs w:val="24"/>
        </w:rPr>
        <w:t>.  Prospective data on ADR occurrence has helped to establish the extent of the problem in paediatric patients</w:t>
      </w:r>
      <w:r w:rsidR="004F655C" w:rsidRPr="004814EB">
        <w:rPr>
          <w:rFonts w:cs="Times New Roman"/>
          <w:sz w:val="24"/>
          <w:szCs w:val="24"/>
        </w:rPr>
        <w:t xml:space="preserve">, showing </w:t>
      </w:r>
      <w:r w:rsidR="000D4D15" w:rsidRPr="004814EB">
        <w:rPr>
          <w:rFonts w:cs="Times New Roman"/>
          <w:sz w:val="24"/>
          <w:szCs w:val="24"/>
        </w:rPr>
        <w:t xml:space="preserve">that 3% of paediatric hospital admissions are directly attributable to ADRs </w:t>
      </w:r>
      <w:r w:rsidR="00266215" w:rsidRPr="004814EB">
        <w:rPr>
          <w:rFonts w:cs="Times New Roman"/>
          <w:sz w:val="24"/>
          <w:szCs w:val="24"/>
        </w:rPr>
        <w:fldChar w:fldCharType="begin"/>
      </w:r>
      <w:r w:rsidR="004F6EC9">
        <w:rPr>
          <w:rFonts w:cs="Times New Roman"/>
          <w:sz w:val="24"/>
          <w:szCs w:val="24"/>
        </w:rPr>
        <w:instrText xml:space="preserve"> ADDIN EN.CITE &lt;EndNote&gt;&lt;Cite&gt;&lt;Author&gt;Gallagher&lt;/Author&gt;&lt;Year&gt;2012&lt;/Year&gt;&lt;RecNum&gt;48&lt;/RecNum&gt;&lt;DisplayText&gt;[3]&lt;/DisplayText&gt;&lt;record&gt;&lt;rec-number&gt;48&lt;/rec-number&gt;&lt;foreign-keys&gt;&lt;key app="EN" db-id="pee209pevv2057etadqpdwsyfpzezpwrrsdw"&gt;48&lt;/key&gt;&lt;/foreign-keys&gt;&lt;ref-type name="Journal Article"&gt;17&lt;/ref-type&gt;&lt;contributors&gt;&lt;authors&gt;&lt;author&gt;Gallagher, Ruairi M&lt;/author&gt;&lt;author&gt;Mason, Jennifer R&lt;/author&gt;&lt;author&gt;Bird, Kim A&lt;/author&gt;&lt;author&gt;Kirkham, Jamie J&lt;/author&gt;&lt;author&gt;Peak, Matthew&lt;/author&gt;&lt;author&gt;Williamson, Paula R&lt;/author&gt;&lt;author&gt;Nunn, Anthony J&lt;/author&gt;&lt;author&gt;Turner, Mark A&lt;/author&gt;&lt;author&gt;Pirmohamed, Munir&lt;/author&gt;&lt;author&gt;Smyth, Rosalind L&lt;/author&gt;&lt;/authors&gt;&lt;/contributors&gt;&lt;titles&gt;&lt;title&gt;Adverse drug reactions causing admission to a paediatric hospital&lt;/title&gt;&lt;secondary-title&gt;PloS one&lt;/secondary-title&gt;&lt;/titles&gt;&lt;periodical&gt;&lt;full-title&gt;PloS one&lt;/full-title&gt;&lt;/periodical&gt;&lt;pages&gt;e50127&lt;/pages&gt;&lt;volume&gt;7&lt;/volume&gt;&lt;number&gt;12&lt;/number&gt;&lt;dates&gt;&lt;year&gt;2012&lt;/year&gt;&lt;/dates&gt;&lt;isbn&gt;1932-6203&lt;/isbn&gt;&lt;urls&gt;&lt;/urls&gt;&lt;/record&gt;&lt;/Cite&gt;&lt;/EndNote&gt;</w:instrText>
      </w:r>
      <w:r w:rsidR="00266215" w:rsidRPr="004814EB">
        <w:rPr>
          <w:rFonts w:cs="Times New Roman"/>
          <w:sz w:val="24"/>
          <w:szCs w:val="24"/>
        </w:rPr>
        <w:fldChar w:fldCharType="separate"/>
      </w:r>
      <w:r w:rsidR="004F6EC9">
        <w:rPr>
          <w:rFonts w:cs="Times New Roman"/>
          <w:noProof/>
          <w:sz w:val="24"/>
          <w:szCs w:val="24"/>
        </w:rPr>
        <w:t>[</w:t>
      </w:r>
      <w:hyperlink w:anchor="_ENREF_3" w:tooltip="Gallagher, 2012 #48" w:history="1">
        <w:r w:rsidR="004F6EC9">
          <w:rPr>
            <w:rFonts w:cs="Times New Roman"/>
            <w:noProof/>
            <w:sz w:val="24"/>
            <w:szCs w:val="24"/>
          </w:rPr>
          <w:t>3</w:t>
        </w:r>
      </w:hyperlink>
      <w:r w:rsidR="004F6EC9">
        <w:rPr>
          <w:rFonts w:cs="Times New Roman"/>
          <w:noProof/>
          <w:sz w:val="24"/>
          <w:szCs w:val="24"/>
        </w:rPr>
        <w:t>]</w:t>
      </w:r>
      <w:r w:rsidR="00266215" w:rsidRPr="004814EB">
        <w:rPr>
          <w:rFonts w:cs="Times New Roman"/>
          <w:sz w:val="24"/>
          <w:szCs w:val="24"/>
        </w:rPr>
        <w:fldChar w:fldCharType="end"/>
      </w:r>
      <w:r w:rsidR="004F655C" w:rsidRPr="004814EB">
        <w:rPr>
          <w:rFonts w:cs="Times New Roman"/>
          <w:sz w:val="24"/>
          <w:szCs w:val="24"/>
        </w:rPr>
        <w:t>, while</w:t>
      </w:r>
      <w:r w:rsidR="000D4D15" w:rsidRPr="004814EB">
        <w:rPr>
          <w:rFonts w:cs="Times New Roman"/>
          <w:sz w:val="24"/>
          <w:szCs w:val="24"/>
        </w:rPr>
        <w:t xml:space="preserve"> 1</w:t>
      </w:r>
      <w:r w:rsidR="004F655C" w:rsidRPr="004814EB">
        <w:rPr>
          <w:rFonts w:cs="Times New Roman"/>
          <w:sz w:val="24"/>
          <w:szCs w:val="24"/>
        </w:rPr>
        <w:t>8</w:t>
      </w:r>
      <w:r w:rsidR="000D4D15" w:rsidRPr="004814EB">
        <w:rPr>
          <w:rFonts w:cs="Times New Roman"/>
          <w:sz w:val="24"/>
          <w:szCs w:val="24"/>
        </w:rPr>
        <w:t xml:space="preserve">% of </w:t>
      </w:r>
      <w:r w:rsidR="004F655C" w:rsidRPr="004814EB">
        <w:rPr>
          <w:rFonts w:cs="Times New Roman"/>
          <w:sz w:val="24"/>
          <w:szCs w:val="24"/>
        </w:rPr>
        <w:t xml:space="preserve">paediatric </w:t>
      </w:r>
      <w:r w:rsidR="000D4D15" w:rsidRPr="004814EB">
        <w:rPr>
          <w:rFonts w:cs="Times New Roman"/>
          <w:sz w:val="24"/>
          <w:szCs w:val="24"/>
        </w:rPr>
        <w:t>hospital inpatient stays were complicated by</w:t>
      </w:r>
      <w:r w:rsidR="00D91122" w:rsidRPr="004814EB">
        <w:rPr>
          <w:rFonts w:cs="Times New Roman"/>
          <w:sz w:val="24"/>
          <w:szCs w:val="24"/>
        </w:rPr>
        <w:t xml:space="preserve"> </w:t>
      </w:r>
      <w:r w:rsidR="004814EB">
        <w:rPr>
          <w:rFonts w:cs="Times New Roman"/>
          <w:sz w:val="24"/>
          <w:szCs w:val="24"/>
        </w:rPr>
        <w:t>an ADR</w:t>
      </w:r>
      <w:r w:rsidR="004F655C" w:rsidRPr="004814EB">
        <w:rPr>
          <w:rFonts w:cs="Times New Roman"/>
          <w:sz w:val="24"/>
          <w:szCs w:val="24"/>
        </w:rPr>
        <w:t xml:space="preserve"> </w:t>
      </w:r>
      <w:r w:rsidR="00266215" w:rsidRPr="004814EB">
        <w:rPr>
          <w:rFonts w:cs="Times New Roman"/>
          <w:sz w:val="24"/>
          <w:szCs w:val="24"/>
        </w:rPr>
        <w:fldChar w:fldCharType="begin"/>
      </w:r>
      <w:r w:rsidR="004F6EC9">
        <w:rPr>
          <w:rFonts w:cs="Times New Roman"/>
          <w:sz w:val="24"/>
          <w:szCs w:val="24"/>
        </w:rPr>
        <w:instrText xml:space="preserve"> ADDIN EN.CITE &lt;EndNote&gt;&lt;Cite&gt;&lt;Author&gt;Thiesen&lt;/Author&gt;&lt;Year&gt;2013&lt;/Year&gt;&lt;RecNum&gt;47&lt;/RecNum&gt;&lt;DisplayText&gt;[4]&lt;/DisplayText&gt;&lt;record&gt;&lt;rec-number&gt;47&lt;/rec-number&gt;&lt;foreign-keys&gt;&lt;key app="EN" db-id="pee209pevv2057etadqpdwsyfpzezpwrrsdw"&gt;47&lt;/key&gt;&lt;/foreign-keys&gt;&lt;ref-type name="Journal Article"&gt;17&lt;/ref-type&gt;&lt;contributors&gt;&lt;authors&gt;&lt;author&gt;Thiesen, Signe&lt;/author&gt;&lt;author&gt;Conroy, Elizabeth J&lt;/author&gt;&lt;author&gt;Bellis, Jennifer R&lt;/author&gt;&lt;author&gt;Bracken, Louise E&lt;/author&gt;&lt;author&gt;Mannix, Helena L&lt;/author&gt;&lt;author&gt;Bird, Kim A&lt;/author&gt;&lt;author&gt;Duncan, Jennifer C&lt;/author&gt;&lt;author&gt;Cresswell, Lynne&lt;/author&gt;&lt;author&gt;Kirkham, Jamie J&lt;/author&gt;&lt;author&gt;Peak, Matthew&lt;/author&gt;&lt;/authors&gt;&lt;/contributors&gt;&lt;titles&gt;&lt;title&gt;Incidence, characteristics and risk factors of adverse drug reactions in hospitalized children–a prospective observational cohort study of 6,601 admissions&lt;/title&gt;&lt;secondary-title&gt;BMC medicine&lt;/secondary-title&gt;&lt;/titles&gt;&lt;periodical&gt;&lt;full-title&gt;BMC medicine&lt;/full-title&gt;&lt;/periodical&gt;&lt;pages&gt;237&lt;/pages&gt;&lt;volume&gt;11&lt;/volume&gt;&lt;number&gt;1&lt;/number&gt;&lt;dates&gt;&lt;year&gt;2013&lt;/year&gt;&lt;/dates&gt;&lt;isbn&gt;1741-7015&lt;/isbn&gt;&lt;urls&gt;&lt;/urls&gt;&lt;/record&gt;&lt;/Cite&gt;&lt;/EndNote&gt;</w:instrText>
      </w:r>
      <w:r w:rsidR="00266215" w:rsidRPr="004814EB">
        <w:rPr>
          <w:rFonts w:cs="Times New Roman"/>
          <w:sz w:val="24"/>
          <w:szCs w:val="24"/>
        </w:rPr>
        <w:fldChar w:fldCharType="separate"/>
      </w:r>
      <w:r w:rsidR="004F6EC9">
        <w:rPr>
          <w:rFonts w:cs="Times New Roman"/>
          <w:noProof/>
          <w:sz w:val="24"/>
          <w:szCs w:val="24"/>
        </w:rPr>
        <w:t>[</w:t>
      </w:r>
      <w:hyperlink w:anchor="_ENREF_4" w:tooltip="Thiesen, 2013 #47" w:history="1">
        <w:r w:rsidR="004F6EC9">
          <w:rPr>
            <w:rFonts w:cs="Times New Roman"/>
            <w:noProof/>
            <w:sz w:val="24"/>
            <w:szCs w:val="24"/>
          </w:rPr>
          <w:t>4</w:t>
        </w:r>
      </w:hyperlink>
      <w:r w:rsidR="004F6EC9">
        <w:rPr>
          <w:rFonts w:cs="Times New Roman"/>
          <w:noProof/>
          <w:sz w:val="24"/>
          <w:szCs w:val="24"/>
        </w:rPr>
        <w:t>]</w:t>
      </w:r>
      <w:r w:rsidR="00266215" w:rsidRPr="004814EB">
        <w:rPr>
          <w:rFonts w:cs="Times New Roman"/>
          <w:sz w:val="24"/>
          <w:szCs w:val="24"/>
        </w:rPr>
        <w:fldChar w:fldCharType="end"/>
      </w:r>
      <w:r w:rsidR="009A2C8C" w:rsidRPr="004814EB">
        <w:rPr>
          <w:rFonts w:cs="Times New Roman"/>
          <w:sz w:val="24"/>
          <w:szCs w:val="24"/>
        </w:rPr>
        <w:t>.</w:t>
      </w:r>
    </w:p>
    <w:p w:rsidR="002A4007" w:rsidRDefault="009A2C8C" w:rsidP="009A2C8C">
      <w:pPr>
        <w:jc w:val="both"/>
        <w:rPr>
          <w:rFonts w:cs="Times New Roman"/>
          <w:sz w:val="24"/>
          <w:szCs w:val="24"/>
        </w:rPr>
      </w:pPr>
      <w:proofErr w:type="gramStart"/>
      <w:r w:rsidRPr="004814EB">
        <w:rPr>
          <w:rFonts w:cs="Times New Roman"/>
          <w:sz w:val="24"/>
          <w:szCs w:val="24"/>
        </w:rPr>
        <w:t xml:space="preserve">These ADRs will not necessarily be the same as those seen in adults as there are key differences in children including </w:t>
      </w:r>
      <w:proofErr w:type="spellStart"/>
      <w:r w:rsidRPr="004814EB">
        <w:rPr>
          <w:rFonts w:cs="Times New Roman"/>
          <w:sz w:val="24"/>
          <w:szCs w:val="24"/>
        </w:rPr>
        <w:t>i</w:t>
      </w:r>
      <w:proofErr w:type="spellEnd"/>
      <w:r w:rsidRPr="004814EB">
        <w:rPr>
          <w:rFonts w:cs="Times New Roman"/>
          <w:sz w:val="24"/>
          <w:szCs w:val="24"/>
        </w:rPr>
        <w:t>) altered pharmacokinetics (especially in the very young), ii) increased use of medicines as either ‘off</w:t>
      </w:r>
      <w:r w:rsidR="0000108A">
        <w:rPr>
          <w:rFonts w:cs="Times New Roman"/>
          <w:sz w:val="24"/>
          <w:szCs w:val="24"/>
        </w:rPr>
        <w:t>-</w:t>
      </w:r>
      <w:r w:rsidRPr="004814EB">
        <w:rPr>
          <w:rFonts w:cs="Times New Roman"/>
          <w:sz w:val="24"/>
          <w:szCs w:val="24"/>
        </w:rPr>
        <w:t xml:space="preserve">label’ or as unlicensed products (which may be associated with higher rates of ADRs in children </w:t>
      </w:r>
      <w:r w:rsidR="00266215" w:rsidRPr="004814EB">
        <w:rPr>
          <w:rFonts w:cs="Times New Roman"/>
          <w:sz w:val="24"/>
          <w:szCs w:val="24"/>
        </w:rPr>
        <w:fldChar w:fldCharType="begin"/>
      </w:r>
      <w:r w:rsidR="004F6EC9">
        <w:rPr>
          <w:rFonts w:cs="Times New Roman"/>
          <w:sz w:val="24"/>
          <w:szCs w:val="24"/>
        </w:rPr>
        <w:instrText xml:space="preserve"> ADDIN EN.CITE &lt;EndNote&gt;&lt;Cite&gt;&lt;Author&gt;Turner&lt;/Author&gt;&lt;Year&gt;1999&lt;/Year&gt;&lt;RecNum&gt;52&lt;/RecNum&gt;&lt;DisplayText&gt;[5]&lt;/DisplayText&gt;&lt;record&gt;&lt;rec-number&gt;52&lt;/rec-number&gt;&lt;foreign-keys&gt;&lt;key app="EN" db-id="pee209pevv2057etadqpdwsyfpzezpwrrsdw"&gt;52&lt;/key&gt;&lt;/foreign-keys&gt;&lt;ref-type name="Journal Article"&gt;17&lt;/ref-type&gt;&lt;contributors&gt;&lt;authors&gt;&lt;author&gt;Turner, SEAN&lt;/author&gt;&lt;author&gt;Nunn, AJ&lt;/author&gt;&lt;author&gt;Fielding, K&lt;/author&gt;&lt;author&gt;Choonara, IMTI&lt;/author&gt;&lt;/authors&gt;&lt;/contributors&gt;&lt;titles&gt;&lt;title&gt;Adverse drug reactions to unlicensed and off‐label drugs on paediatric wards: a prospective study&lt;/title&gt;&lt;secondary-title&gt;Acta Paediatrica&lt;/secondary-title&gt;&lt;/titles&gt;&lt;periodical&gt;&lt;full-title&gt;Acta Paediatrica&lt;/full-title&gt;&lt;/periodical&gt;&lt;pages&gt;965-968&lt;/pages&gt;&lt;volume&gt;88&lt;/volume&gt;&lt;number&gt;9&lt;/number&gt;&lt;dates&gt;&lt;year&gt;1999&lt;/year&gt;&lt;/dates&gt;&lt;isbn&gt;1651-2227&lt;/isbn&gt;&lt;urls&gt;&lt;/urls&gt;&lt;/record&gt;&lt;/Cite&gt;&lt;/EndNote&gt;</w:instrText>
      </w:r>
      <w:r w:rsidR="00266215" w:rsidRPr="004814EB">
        <w:rPr>
          <w:rFonts w:cs="Times New Roman"/>
          <w:sz w:val="24"/>
          <w:szCs w:val="24"/>
        </w:rPr>
        <w:fldChar w:fldCharType="separate"/>
      </w:r>
      <w:r w:rsidR="004F6EC9">
        <w:rPr>
          <w:rFonts w:cs="Times New Roman"/>
          <w:noProof/>
          <w:sz w:val="24"/>
          <w:szCs w:val="24"/>
        </w:rPr>
        <w:t>[</w:t>
      </w:r>
      <w:hyperlink w:anchor="_ENREF_5" w:tooltip="Turner, 1999 #52" w:history="1">
        <w:r w:rsidR="004F6EC9">
          <w:rPr>
            <w:rFonts w:cs="Times New Roman"/>
            <w:noProof/>
            <w:sz w:val="24"/>
            <w:szCs w:val="24"/>
          </w:rPr>
          <w:t>5</w:t>
        </w:r>
      </w:hyperlink>
      <w:r w:rsidR="004F6EC9">
        <w:rPr>
          <w:rFonts w:cs="Times New Roman"/>
          <w:noProof/>
          <w:sz w:val="24"/>
          <w:szCs w:val="24"/>
        </w:rPr>
        <w:t>]</w:t>
      </w:r>
      <w:r w:rsidR="00266215" w:rsidRPr="004814EB">
        <w:rPr>
          <w:rFonts w:cs="Times New Roman"/>
          <w:sz w:val="24"/>
          <w:szCs w:val="24"/>
        </w:rPr>
        <w:fldChar w:fldCharType="end"/>
      </w:r>
      <w:r w:rsidRPr="004814EB">
        <w:rPr>
          <w:rFonts w:cs="Times New Roman"/>
          <w:sz w:val="24"/>
          <w:szCs w:val="24"/>
        </w:rPr>
        <w:t xml:space="preserve">, iii) paediatric specific ADRs (for example growth suppression, Grey Baby Syndrome, Reye’s Syndrome) iv) use of different formulations </w:t>
      </w:r>
      <w:r w:rsidR="004814EB">
        <w:rPr>
          <w:rFonts w:cs="Times New Roman"/>
          <w:sz w:val="24"/>
          <w:szCs w:val="24"/>
        </w:rPr>
        <w:t>and/or</w:t>
      </w:r>
      <w:r w:rsidRPr="004814EB">
        <w:rPr>
          <w:rFonts w:cs="Times New Roman"/>
          <w:sz w:val="24"/>
          <w:szCs w:val="24"/>
        </w:rPr>
        <w:t xml:space="preserve"> </w:t>
      </w:r>
      <w:r w:rsidR="00AF196E">
        <w:rPr>
          <w:rFonts w:cs="Times New Roman"/>
          <w:sz w:val="24"/>
          <w:szCs w:val="24"/>
        </w:rPr>
        <w:t xml:space="preserve">sensitivity to </w:t>
      </w:r>
      <w:proofErr w:type="spellStart"/>
      <w:r w:rsidRPr="004814EB">
        <w:rPr>
          <w:rFonts w:cs="Times New Roman"/>
          <w:sz w:val="24"/>
          <w:szCs w:val="24"/>
        </w:rPr>
        <w:t>excipients</w:t>
      </w:r>
      <w:proofErr w:type="spellEnd"/>
      <w:r w:rsidRPr="004814EB">
        <w:rPr>
          <w:rFonts w:cs="Times New Roman"/>
          <w:sz w:val="24"/>
          <w:szCs w:val="24"/>
        </w:rPr>
        <w:t>, and v) different diseases being treated.</w:t>
      </w:r>
      <w:proofErr w:type="gramEnd"/>
      <w:r w:rsidRPr="004814EB">
        <w:rPr>
          <w:rFonts w:cs="Times New Roman"/>
          <w:sz w:val="24"/>
          <w:szCs w:val="24"/>
        </w:rPr>
        <w:t xml:space="preserve">  </w:t>
      </w:r>
    </w:p>
    <w:p w:rsidR="003070CD" w:rsidRPr="005C706F" w:rsidRDefault="002A4007" w:rsidP="002B55B0">
      <w:pPr>
        <w:jc w:val="both"/>
        <w:rPr>
          <w:rFonts w:cs="Times New Roman"/>
          <w:sz w:val="24"/>
          <w:szCs w:val="24"/>
        </w:rPr>
      </w:pPr>
      <w:r w:rsidRPr="005C706F">
        <w:rPr>
          <w:rFonts w:cs="Times New Roman"/>
          <w:sz w:val="24"/>
          <w:szCs w:val="24"/>
        </w:rPr>
        <w:t xml:space="preserve">Spontaneous reports about ADRs in children have resulted in changes in the prescribing of many medicines in children and neonates.  </w:t>
      </w:r>
      <w:proofErr w:type="gramStart"/>
      <w:r w:rsidRPr="005C706F">
        <w:rPr>
          <w:rFonts w:cs="Times New Roman"/>
          <w:sz w:val="24"/>
          <w:szCs w:val="24"/>
        </w:rPr>
        <w:t xml:space="preserve">In terms of lives saved, it is likely that the spontaneous reports and other scientific evidence that led to the advice not to prescribe aspirin to children in 1986 has probably had the greatest effect, </w:t>
      </w:r>
      <w:r w:rsidR="00B44683" w:rsidRPr="005C706F">
        <w:rPr>
          <w:rFonts w:cs="Times New Roman"/>
          <w:sz w:val="24"/>
          <w:szCs w:val="24"/>
        </w:rPr>
        <w:t xml:space="preserve">virtually eliminating Reyes syndrome in the UK, and </w:t>
      </w:r>
      <w:r w:rsidRPr="005C706F">
        <w:rPr>
          <w:rFonts w:cs="Times New Roman"/>
          <w:sz w:val="24"/>
          <w:szCs w:val="24"/>
        </w:rPr>
        <w:t>pr</w:t>
      </w:r>
      <w:r w:rsidR="00B44683" w:rsidRPr="005C706F">
        <w:rPr>
          <w:rFonts w:cs="Times New Roman"/>
          <w:sz w:val="24"/>
          <w:szCs w:val="24"/>
        </w:rPr>
        <w:t>obably preventing</w:t>
      </w:r>
      <w:r w:rsidRPr="005C706F">
        <w:rPr>
          <w:rFonts w:cs="Times New Roman"/>
          <w:sz w:val="24"/>
          <w:szCs w:val="24"/>
        </w:rPr>
        <w:t xml:space="preserve"> </w:t>
      </w:r>
      <w:r w:rsidR="00B44683" w:rsidRPr="005C706F">
        <w:rPr>
          <w:rFonts w:cs="Times New Roman"/>
          <w:sz w:val="24"/>
          <w:szCs w:val="24"/>
        </w:rPr>
        <w:t>more than a</w:t>
      </w:r>
      <w:r w:rsidRPr="005C706F">
        <w:rPr>
          <w:rFonts w:cs="Times New Roman"/>
          <w:sz w:val="24"/>
          <w:szCs w:val="24"/>
        </w:rPr>
        <w:t xml:space="preserve"> 1000 cases</w:t>
      </w:r>
      <w:r w:rsidR="00B44683" w:rsidRPr="005C706F">
        <w:rPr>
          <w:rFonts w:cs="Times New Roman"/>
          <w:sz w:val="24"/>
          <w:szCs w:val="24"/>
        </w:rPr>
        <w:t xml:space="preserve"> in the last 30 years (based on the incidence in the 1980’s).</w:t>
      </w:r>
      <w:proofErr w:type="gramEnd"/>
      <w:r w:rsidR="00B44683" w:rsidRPr="005C706F">
        <w:rPr>
          <w:rFonts w:cs="Times New Roman"/>
          <w:sz w:val="24"/>
          <w:szCs w:val="24"/>
        </w:rPr>
        <w:t xml:space="preserve">  </w:t>
      </w:r>
      <w:r w:rsidRPr="005C706F">
        <w:rPr>
          <w:rFonts w:cs="Times New Roman"/>
          <w:sz w:val="24"/>
          <w:szCs w:val="24"/>
        </w:rPr>
        <w:t xml:space="preserve">There </w:t>
      </w:r>
      <w:r w:rsidR="00B44683" w:rsidRPr="005C706F">
        <w:rPr>
          <w:rFonts w:cs="Times New Roman"/>
          <w:sz w:val="24"/>
          <w:szCs w:val="24"/>
        </w:rPr>
        <w:t xml:space="preserve">are many other changes based on spontaneous ADR reports that affect children.  Review of the </w:t>
      </w:r>
      <w:r w:rsidR="00141202" w:rsidRPr="005C706F">
        <w:rPr>
          <w:rFonts w:cs="Times New Roman"/>
          <w:sz w:val="24"/>
          <w:szCs w:val="24"/>
        </w:rPr>
        <w:t>MHRA publication “Drug Safety Update”</w:t>
      </w:r>
      <w:r w:rsidRPr="005C706F">
        <w:rPr>
          <w:rFonts w:cs="Times New Roman"/>
          <w:sz w:val="24"/>
          <w:szCs w:val="24"/>
        </w:rPr>
        <w:t xml:space="preserve"> (</w:t>
      </w:r>
      <w:hyperlink r:id="rId8" w:history="1">
        <w:r w:rsidR="00B44683" w:rsidRPr="005C706F">
          <w:rPr>
            <w:rStyle w:val="Hyperlink"/>
            <w:rFonts w:cs="Times New Roman"/>
            <w:color w:val="auto"/>
            <w:sz w:val="24"/>
            <w:szCs w:val="24"/>
          </w:rPr>
          <w:t>https://www.gov.uk/drug-safety-update</w:t>
        </w:r>
      </w:hyperlink>
      <w:r w:rsidR="00B44683" w:rsidRPr="005C706F">
        <w:rPr>
          <w:rFonts w:cs="Times New Roman"/>
          <w:sz w:val="24"/>
          <w:szCs w:val="24"/>
        </w:rPr>
        <w:t xml:space="preserve">), </w:t>
      </w:r>
      <w:r w:rsidR="00141202" w:rsidRPr="005C706F">
        <w:rPr>
          <w:rFonts w:cs="Times New Roman"/>
          <w:sz w:val="24"/>
          <w:szCs w:val="24"/>
        </w:rPr>
        <w:t xml:space="preserve">used by the agency to inform </w:t>
      </w:r>
      <w:r w:rsidR="00141202" w:rsidRPr="005C706F">
        <w:rPr>
          <w:rFonts w:cs="Times New Roman"/>
          <w:sz w:val="24"/>
          <w:szCs w:val="24"/>
        </w:rPr>
        <w:lastRenderedPageBreak/>
        <w:t xml:space="preserve">medical professionals about new and important issues in pharmacovigilance, </w:t>
      </w:r>
      <w:r w:rsidR="00B44683" w:rsidRPr="005C706F">
        <w:rPr>
          <w:rFonts w:cs="Times New Roman"/>
          <w:sz w:val="24"/>
          <w:szCs w:val="24"/>
        </w:rPr>
        <w:t xml:space="preserve">shows that </w:t>
      </w:r>
      <w:r w:rsidR="00141202" w:rsidRPr="005C706F">
        <w:rPr>
          <w:rFonts w:cs="Times New Roman"/>
          <w:sz w:val="24"/>
          <w:szCs w:val="24"/>
        </w:rPr>
        <w:t xml:space="preserve">33% of the alerts have relevance to children.   </w:t>
      </w:r>
    </w:p>
    <w:p w:rsidR="009F69FE" w:rsidRPr="004814EB" w:rsidRDefault="009A2C8C" w:rsidP="002B55B0">
      <w:pPr>
        <w:jc w:val="both"/>
        <w:rPr>
          <w:rFonts w:cs="Times New Roman"/>
          <w:sz w:val="24"/>
          <w:szCs w:val="24"/>
        </w:rPr>
      </w:pPr>
      <w:r w:rsidRPr="004814EB">
        <w:rPr>
          <w:rFonts w:cs="Times New Roman"/>
          <w:sz w:val="24"/>
          <w:szCs w:val="24"/>
        </w:rPr>
        <w:t xml:space="preserve">Recently </w:t>
      </w:r>
      <w:r w:rsidR="00C7132B" w:rsidRPr="004814EB">
        <w:rPr>
          <w:rFonts w:cs="Times New Roman"/>
          <w:sz w:val="24"/>
          <w:szCs w:val="24"/>
        </w:rPr>
        <w:t xml:space="preserve">the </w:t>
      </w:r>
      <w:r w:rsidR="00F57F3E" w:rsidRPr="004814EB">
        <w:rPr>
          <w:rFonts w:cs="Times New Roman"/>
          <w:sz w:val="24"/>
          <w:szCs w:val="24"/>
        </w:rPr>
        <w:t xml:space="preserve">advice from the Medicines and Healthcare </w:t>
      </w:r>
      <w:r w:rsidR="00B27B77">
        <w:rPr>
          <w:rFonts w:cs="Times New Roman"/>
          <w:sz w:val="24"/>
          <w:szCs w:val="24"/>
        </w:rPr>
        <w:t xml:space="preserve">products </w:t>
      </w:r>
      <w:r w:rsidR="00F57F3E" w:rsidRPr="004814EB">
        <w:rPr>
          <w:rFonts w:cs="Times New Roman"/>
          <w:sz w:val="24"/>
          <w:szCs w:val="24"/>
        </w:rPr>
        <w:t xml:space="preserve">Regulatory Agency (MHRA) for when to submit a Yellow Card in children </w:t>
      </w:r>
      <w:r w:rsidRPr="004814EB">
        <w:rPr>
          <w:rFonts w:cs="Times New Roman"/>
          <w:sz w:val="24"/>
          <w:szCs w:val="24"/>
        </w:rPr>
        <w:t xml:space="preserve">within the UK </w:t>
      </w:r>
      <w:r w:rsidR="00F57F3E" w:rsidRPr="004814EB">
        <w:rPr>
          <w:rFonts w:cs="Times New Roman"/>
          <w:sz w:val="24"/>
          <w:szCs w:val="24"/>
        </w:rPr>
        <w:t>has</w:t>
      </w:r>
      <w:r w:rsidR="00C7132B" w:rsidRPr="004814EB">
        <w:rPr>
          <w:rFonts w:cs="Times New Roman"/>
          <w:sz w:val="24"/>
          <w:szCs w:val="24"/>
        </w:rPr>
        <w:t xml:space="preserve"> changed.</w:t>
      </w:r>
      <w:r w:rsidR="00C66B3F" w:rsidRPr="004814EB">
        <w:rPr>
          <w:rFonts w:cs="Times New Roman"/>
          <w:sz w:val="24"/>
          <w:szCs w:val="24"/>
        </w:rPr>
        <w:t xml:space="preserve"> </w:t>
      </w:r>
      <w:r w:rsidR="00F57F3E" w:rsidRPr="004814EB">
        <w:rPr>
          <w:rFonts w:cs="Times New Roman"/>
          <w:sz w:val="24"/>
          <w:szCs w:val="24"/>
        </w:rPr>
        <w:t xml:space="preserve">Until August 2014, the MHRA asked for all suspected ADRs in patients age </w:t>
      </w:r>
      <w:proofErr w:type="gramStart"/>
      <w:r w:rsidR="00E473F9">
        <w:rPr>
          <w:rFonts w:cs="Times New Roman"/>
          <w:sz w:val="24"/>
          <w:szCs w:val="24"/>
        </w:rPr>
        <w:t>under</w:t>
      </w:r>
      <w:proofErr w:type="gramEnd"/>
      <w:r w:rsidR="00E473F9">
        <w:rPr>
          <w:rFonts w:cs="Times New Roman"/>
          <w:sz w:val="24"/>
          <w:szCs w:val="24"/>
        </w:rPr>
        <w:t xml:space="preserve"> </w:t>
      </w:r>
      <w:r w:rsidR="00F57F3E" w:rsidRPr="004814EB">
        <w:rPr>
          <w:rFonts w:cs="Times New Roman"/>
          <w:sz w:val="24"/>
          <w:szCs w:val="24"/>
        </w:rPr>
        <w:t>1</w:t>
      </w:r>
      <w:r w:rsidR="00C66B3F" w:rsidRPr="004814EB">
        <w:rPr>
          <w:rFonts w:cs="Times New Roman"/>
          <w:sz w:val="24"/>
          <w:szCs w:val="24"/>
        </w:rPr>
        <w:t>8</w:t>
      </w:r>
      <w:r w:rsidR="00F57F3E" w:rsidRPr="004814EB">
        <w:rPr>
          <w:rFonts w:cs="Times New Roman"/>
          <w:sz w:val="24"/>
          <w:szCs w:val="24"/>
        </w:rPr>
        <w:t xml:space="preserve"> years to be reported.  The rationale for th</w:t>
      </w:r>
      <w:r w:rsidR="003402EC" w:rsidRPr="004814EB">
        <w:rPr>
          <w:rFonts w:cs="Times New Roman"/>
          <w:sz w:val="24"/>
          <w:szCs w:val="24"/>
        </w:rPr>
        <w:t>e</w:t>
      </w:r>
      <w:r w:rsidR="00F57F3E" w:rsidRPr="004814EB">
        <w:rPr>
          <w:rFonts w:cs="Times New Roman"/>
          <w:sz w:val="24"/>
          <w:szCs w:val="24"/>
        </w:rPr>
        <w:t xml:space="preserve"> </w:t>
      </w:r>
      <w:r w:rsidR="003402EC" w:rsidRPr="004814EB">
        <w:rPr>
          <w:rFonts w:cs="Times New Roman"/>
          <w:sz w:val="24"/>
          <w:szCs w:val="24"/>
        </w:rPr>
        <w:t xml:space="preserve">previous advice </w:t>
      </w:r>
      <w:r w:rsidR="00F57F3E" w:rsidRPr="004814EB">
        <w:rPr>
          <w:rFonts w:cs="Times New Roman"/>
          <w:sz w:val="24"/>
          <w:szCs w:val="24"/>
        </w:rPr>
        <w:t xml:space="preserve">was to maximise the number of reports received, as children </w:t>
      </w:r>
      <w:proofErr w:type="gramStart"/>
      <w:r w:rsidR="00F57F3E" w:rsidRPr="004814EB">
        <w:rPr>
          <w:rFonts w:cs="Times New Roman"/>
          <w:sz w:val="24"/>
          <w:szCs w:val="24"/>
        </w:rPr>
        <w:t>were historically excluded</w:t>
      </w:r>
      <w:proofErr w:type="gramEnd"/>
      <w:r w:rsidR="00F57F3E" w:rsidRPr="004814EB">
        <w:rPr>
          <w:rFonts w:cs="Times New Roman"/>
          <w:sz w:val="24"/>
          <w:szCs w:val="24"/>
        </w:rPr>
        <w:t xml:space="preserve"> from the standard drug development process, leading to a lack of </w:t>
      </w:r>
      <w:r w:rsidR="00B27B77">
        <w:rPr>
          <w:rFonts w:cs="Times New Roman"/>
          <w:sz w:val="24"/>
          <w:szCs w:val="24"/>
        </w:rPr>
        <w:t xml:space="preserve">safety </w:t>
      </w:r>
      <w:r w:rsidR="00F57F3E" w:rsidRPr="004814EB">
        <w:rPr>
          <w:rFonts w:cs="Times New Roman"/>
          <w:sz w:val="24"/>
          <w:szCs w:val="24"/>
        </w:rPr>
        <w:t xml:space="preserve">information on ADRs in this population. </w:t>
      </w:r>
      <w:proofErr w:type="gramStart"/>
      <w:r w:rsidR="004814EB">
        <w:rPr>
          <w:rFonts w:cs="Times New Roman"/>
          <w:sz w:val="24"/>
          <w:szCs w:val="24"/>
        </w:rPr>
        <w:t>However</w:t>
      </w:r>
      <w:proofErr w:type="gramEnd"/>
      <w:r w:rsidR="004814EB">
        <w:rPr>
          <w:rFonts w:cs="Times New Roman"/>
          <w:sz w:val="24"/>
          <w:szCs w:val="24"/>
        </w:rPr>
        <w:t xml:space="preserve"> it has been recognised that this was impractical, and may even have deterred reporting</w:t>
      </w:r>
      <w:r w:rsidR="004F6EC9">
        <w:rPr>
          <w:rFonts w:cs="Times New Roman"/>
          <w:sz w:val="24"/>
          <w:szCs w:val="24"/>
        </w:rPr>
        <w:t>.</w:t>
      </w:r>
    </w:p>
    <w:p w:rsidR="00B92171" w:rsidRPr="004814EB" w:rsidRDefault="009F69FE" w:rsidP="002B55B0">
      <w:pPr>
        <w:jc w:val="both"/>
        <w:rPr>
          <w:rFonts w:cs="Times New Roman"/>
          <w:sz w:val="24"/>
          <w:szCs w:val="24"/>
        </w:rPr>
      </w:pPr>
      <w:r w:rsidRPr="004814EB">
        <w:rPr>
          <w:rFonts w:cs="Times New Roman"/>
          <w:sz w:val="24"/>
          <w:szCs w:val="24"/>
        </w:rPr>
        <w:t xml:space="preserve">The updated advice from the MHRA for which </w:t>
      </w:r>
      <w:r w:rsidR="004814EB">
        <w:rPr>
          <w:rFonts w:cs="Times New Roman"/>
          <w:sz w:val="24"/>
          <w:szCs w:val="24"/>
        </w:rPr>
        <w:t xml:space="preserve">suspected </w:t>
      </w:r>
      <w:r w:rsidRPr="004814EB">
        <w:rPr>
          <w:rFonts w:cs="Times New Roman"/>
          <w:sz w:val="24"/>
          <w:szCs w:val="24"/>
        </w:rPr>
        <w:t xml:space="preserve">reactions </w:t>
      </w:r>
      <w:r w:rsidR="004814EB">
        <w:rPr>
          <w:rFonts w:cs="Times New Roman"/>
          <w:sz w:val="24"/>
          <w:szCs w:val="24"/>
        </w:rPr>
        <w:t xml:space="preserve">in children </w:t>
      </w:r>
      <w:r w:rsidRPr="004814EB">
        <w:rPr>
          <w:rFonts w:cs="Times New Roman"/>
          <w:sz w:val="24"/>
          <w:szCs w:val="24"/>
        </w:rPr>
        <w:t xml:space="preserve">they would now like to </w:t>
      </w:r>
      <w:proofErr w:type="gramStart"/>
      <w:r w:rsidR="004814EB">
        <w:rPr>
          <w:rFonts w:cs="Times New Roman"/>
          <w:sz w:val="24"/>
          <w:szCs w:val="24"/>
        </w:rPr>
        <w:t>be reported</w:t>
      </w:r>
      <w:proofErr w:type="gramEnd"/>
      <w:r w:rsidR="004814EB">
        <w:rPr>
          <w:rFonts w:cs="Times New Roman"/>
          <w:sz w:val="24"/>
          <w:szCs w:val="24"/>
        </w:rPr>
        <w:t xml:space="preserve"> is</w:t>
      </w:r>
      <w:r w:rsidRPr="004814EB">
        <w:rPr>
          <w:rFonts w:cs="Times New Roman"/>
          <w:sz w:val="24"/>
          <w:szCs w:val="24"/>
        </w:rPr>
        <w:t>:</w:t>
      </w:r>
    </w:p>
    <w:p w:rsidR="009F69FE" w:rsidRPr="004814EB" w:rsidRDefault="009F69FE" w:rsidP="009F69FE">
      <w:pPr>
        <w:pStyle w:val="ListParagraph"/>
        <w:numPr>
          <w:ilvl w:val="0"/>
          <w:numId w:val="4"/>
        </w:numPr>
        <w:jc w:val="both"/>
        <w:rPr>
          <w:rFonts w:cs="Times New Roman"/>
          <w:sz w:val="24"/>
          <w:szCs w:val="24"/>
        </w:rPr>
      </w:pPr>
      <w:r w:rsidRPr="004814EB">
        <w:rPr>
          <w:rFonts w:cs="Times New Roman"/>
          <w:sz w:val="24"/>
          <w:szCs w:val="24"/>
        </w:rPr>
        <w:t xml:space="preserve">All suspected ADRs that are serious or result in harm. Serious reactions are those that are fatal, </w:t>
      </w:r>
      <w:proofErr w:type="gramStart"/>
      <w:r w:rsidRPr="004814EB">
        <w:rPr>
          <w:rFonts w:cs="Times New Roman"/>
          <w:sz w:val="24"/>
          <w:szCs w:val="24"/>
        </w:rPr>
        <w:t>life-threatening</w:t>
      </w:r>
      <w:proofErr w:type="gramEnd"/>
      <w:r w:rsidRPr="004814EB">
        <w:rPr>
          <w:rFonts w:cs="Times New Roman"/>
          <w:sz w:val="24"/>
          <w:szCs w:val="24"/>
        </w:rPr>
        <w:t>, disabling or incapacitating, those that cause a congenital abnormality or result in hospitalisation, and those that are considered medically significant for any other reason.</w:t>
      </w:r>
    </w:p>
    <w:p w:rsidR="009F69FE" w:rsidRDefault="009F69FE" w:rsidP="009F69FE">
      <w:pPr>
        <w:pStyle w:val="ListParagraph"/>
        <w:numPr>
          <w:ilvl w:val="0"/>
          <w:numId w:val="4"/>
        </w:numPr>
        <w:jc w:val="both"/>
        <w:rPr>
          <w:rFonts w:cs="Times New Roman"/>
          <w:sz w:val="24"/>
          <w:szCs w:val="24"/>
        </w:rPr>
      </w:pPr>
      <w:r w:rsidRPr="004814EB">
        <w:rPr>
          <w:rFonts w:cs="Times New Roman"/>
          <w:sz w:val="24"/>
          <w:szCs w:val="24"/>
        </w:rPr>
        <w:t>All suspected ADRs associated with new drugs and vaccines identified by the black triangle symbol (</w:t>
      </w:r>
      <w:r w:rsidRPr="004814EB">
        <w:rPr>
          <w:rFonts w:ascii="Arial" w:hAnsi="Arial" w:cs="Arial"/>
          <w:sz w:val="24"/>
          <w:szCs w:val="24"/>
        </w:rPr>
        <w:t>▼</w:t>
      </w:r>
      <w:r w:rsidRPr="004814EB">
        <w:rPr>
          <w:rFonts w:cs="Times New Roman"/>
          <w:sz w:val="24"/>
          <w:szCs w:val="24"/>
        </w:rPr>
        <w:t>).</w:t>
      </w:r>
      <w:r w:rsidR="006B4823" w:rsidRPr="004814EB">
        <w:rPr>
          <w:rFonts w:cs="Times New Roman"/>
          <w:sz w:val="24"/>
          <w:szCs w:val="24"/>
        </w:rPr>
        <w:t xml:space="preserve"> </w:t>
      </w:r>
      <w:proofErr w:type="gramStart"/>
      <w:r w:rsidR="006B4823" w:rsidRPr="004814EB">
        <w:rPr>
          <w:rFonts w:cs="Times New Roman"/>
          <w:sz w:val="24"/>
          <w:szCs w:val="24"/>
        </w:rPr>
        <w:t>Black triangle drugs are either</w:t>
      </w:r>
      <w:proofErr w:type="gramEnd"/>
      <w:r w:rsidR="006B4823" w:rsidRPr="004814EB">
        <w:rPr>
          <w:rFonts w:cs="Times New Roman"/>
          <w:sz w:val="24"/>
          <w:szCs w:val="24"/>
        </w:rPr>
        <w:t xml:space="preserve"> new to the market, or the UK/European regulators have requested additional post marketing surveillance. </w:t>
      </w:r>
    </w:p>
    <w:p w:rsidR="00E473F9" w:rsidRPr="004814EB" w:rsidRDefault="00CB3B3A" w:rsidP="00CB3B3A">
      <w:pPr>
        <w:jc w:val="both"/>
        <w:rPr>
          <w:rFonts w:cs="Times New Roman"/>
          <w:sz w:val="24"/>
          <w:szCs w:val="24"/>
        </w:rPr>
      </w:pPr>
      <w:r w:rsidRPr="00CB3B3A">
        <w:rPr>
          <w:rFonts w:cs="Times New Roman"/>
          <w:sz w:val="24"/>
          <w:szCs w:val="24"/>
        </w:rPr>
        <w:t xml:space="preserve">This includes suspected </w:t>
      </w:r>
      <w:r w:rsidR="005C4F8C">
        <w:rPr>
          <w:rFonts w:cs="Times New Roman"/>
          <w:sz w:val="24"/>
          <w:szCs w:val="24"/>
        </w:rPr>
        <w:t>ADRs</w:t>
      </w:r>
      <w:r w:rsidRPr="00CB3B3A">
        <w:rPr>
          <w:rFonts w:cs="Times New Roman"/>
          <w:sz w:val="24"/>
          <w:szCs w:val="24"/>
        </w:rPr>
        <w:t xml:space="preserve"> associated with misuse, overdose, </w:t>
      </w:r>
      <w:proofErr w:type="gramStart"/>
      <w:r w:rsidRPr="00CB3B3A">
        <w:rPr>
          <w:rFonts w:cs="Times New Roman"/>
          <w:sz w:val="24"/>
          <w:szCs w:val="24"/>
        </w:rPr>
        <w:t>medication</w:t>
      </w:r>
      <w:proofErr w:type="gramEnd"/>
      <w:r w:rsidRPr="00CB3B3A">
        <w:rPr>
          <w:rFonts w:cs="Times New Roman"/>
          <w:sz w:val="24"/>
          <w:szCs w:val="24"/>
        </w:rPr>
        <w:t xml:space="preserve"> errors or from use of unlicensed and off-label medicines. </w:t>
      </w:r>
    </w:p>
    <w:p w:rsidR="009A2C8C" w:rsidRPr="004814EB" w:rsidRDefault="003402EC" w:rsidP="002B55B0">
      <w:pPr>
        <w:jc w:val="both"/>
        <w:rPr>
          <w:rFonts w:cs="Times New Roman"/>
          <w:sz w:val="24"/>
          <w:szCs w:val="24"/>
        </w:rPr>
      </w:pPr>
      <w:r w:rsidRPr="004814EB">
        <w:rPr>
          <w:rFonts w:cs="Times New Roman"/>
          <w:sz w:val="24"/>
          <w:szCs w:val="24"/>
        </w:rPr>
        <w:t xml:space="preserve">This brings the advice for children into line with that for adults.  </w:t>
      </w:r>
      <w:r w:rsidR="001757E3">
        <w:rPr>
          <w:rFonts w:cs="Times New Roman"/>
          <w:sz w:val="24"/>
          <w:szCs w:val="24"/>
        </w:rPr>
        <w:t xml:space="preserve">A </w:t>
      </w:r>
      <w:r w:rsidR="006934D8">
        <w:rPr>
          <w:rFonts w:cs="Times New Roman"/>
          <w:sz w:val="24"/>
          <w:szCs w:val="24"/>
        </w:rPr>
        <w:t>Y</w:t>
      </w:r>
      <w:r w:rsidR="001757E3">
        <w:rPr>
          <w:rFonts w:cs="Times New Roman"/>
          <w:sz w:val="24"/>
          <w:szCs w:val="24"/>
        </w:rPr>
        <w:t xml:space="preserve">ellow </w:t>
      </w:r>
      <w:r w:rsidR="006934D8">
        <w:rPr>
          <w:rFonts w:cs="Times New Roman"/>
          <w:sz w:val="24"/>
          <w:szCs w:val="24"/>
        </w:rPr>
        <w:t>C</w:t>
      </w:r>
      <w:r w:rsidR="001757E3">
        <w:rPr>
          <w:rFonts w:cs="Times New Roman"/>
          <w:sz w:val="24"/>
          <w:szCs w:val="24"/>
        </w:rPr>
        <w:t xml:space="preserve">ard </w:t>
      </w:r>
      <w:r w:rsidR="009A2C8C" w:rsidRPr="004814EB">
        <w:rPr>
          <w:rFonts w:cs="Times New Roman"/>
          <w:sz w:val="24"/>
          <w:szCs w:val="24"/>
        </w:rPr>
        <w:t xml:space="preserve">report may </w:t>
      </w:r>
      <w:r w:rsidR="004814EB">
        <w:rPr>
          <w:rFonts w:cs="Times New Roman"/>
          <w:sz w:val="24"/>
          <w:szCs w:val="24"/>
        </w:rPr>
        <w:t>b</w:t>
      </w:r>
      <w:r w:rsidR="009A2C8C" w:rsidRPr="004814EB">
        <w:rPr>
          <w:rFonts w:cs="Times New Roman"/>
          <w:sz w:val="24"/>
          <w:szCs w:val="24"/>
        </w:rPr>
        <w:t xml:space="preserve">e completed by anyone (clinician, nurse, allied health professional, parent, </w:t>
      </w:r>
      <w:proofErr w:type="gramStart"/>
      <w:r w:rsidR="009A2C8C" w:rsidRPr="004814EB">
        <w:rPr>
          <w:rFonts w:cs="Times New Roman"/>
          <w:sz w:val="24"/>
          <w:szCs w:val="24"/>
        </w:rPr>
        <w:t>patient</w:t>
      </w:r>
      <w:proofErr w:type="gramEnd"/>
      <w:r w:rsidR="009A2C8C" w:rsidRPr="004814EB">
        <w:rPr>
          <w:rFonts w:cs="Times New Roman"/>
          <w:sz w:val="24"/>
          <w:szCs w:val="24"/>
        </w:rPr>
        <w:t xml:space="preserve">) who </w:t>
      </w:r>
      <w:r w:rsidR="009A2C8C" w:rsidRPr="004814EB">
        <w:rPr>
          <w:rFonts w:cs="Times New Roman"/>
          <w:b/>
          <w:sz w:val="24"/>
          <w:szCs w:val="24"/>
        </w:rPr>
        <w:t>SUSPECTS</w:t>
      </w:r>
      <w:r w:rsidR="009A2C8C" w:rsidRPr="004814EB">
        <w:rPr>
          <w:rFonts w:cs="Times New Roman"/>
          <w:sz w:val="24"/>
          <w:szCs w:val="24"/>
        </w:rPr>
        <w:t xml:space="preserve"> that a medicine has caused an ADR.  This report can be completed online (</w:t>
      </w:r>
      <w:hyperlink r:id="rId9" w:history="1">
        <w:r w:rsidR="0071694A">
          <w:rPr>
            <w:rStyle w:val="Hyperlink"/>
            <w:rFonts w:cs="Times New Roman"/>
            <w:sz w:val="24"/>
            <w:szCs w:val="24"/>
          </w:rPr>
          <w:t>mhra.gov.uk/yellowcard</w:t>
        </w:r>
      </w:hyperlink>
      <w:r w:rsidR="009A2C8C" w:rsidRPr="004814EB">
        <w:rPr>
          <w:rFonts w:cs="Times New Roman"/>
          <w:sz w:val="24"/>
          <w:szCs w:val="24"/>
        </w:rPr>
        <w:t>)</w:t>
      </w:r>
      <w:r w:rsidR="00090EE8" w:rsidRPr="004814EB">
        <w:rPr>
          <w:rFonts w:cs="Times New Roman"/>
          <w:sz w:val="24"/>
          <w:szCs w:val="24"/>
        </w:rPr>
        <w:t xml:space="preserve">, </w:t>
      </w:r>
      <w:r w:rsidR="00D27F76" w:rsidRPr="004814EB">
        <w:rPr>
          <w:rFonts w:cs="Times New Roman"/>
          <w:sz w:val="24"/>
          <w:szCs w:val="24"/>
        </w:rPr>
        <w:t>using</w:t>
      </w:r>
      <w:r w:rsidR="00090EE8" w:rsidRPr="004814EB">
        <w:rPr>
          <w:rFonts w:cs="Times New Roman"/>
          <w:sz w:val="24"/>
          <w:szCs w:val="24"/>
        </w:rPr>
        <w:t xml:space="preserve"> </w:t>
      </w:r>
      <w:r w:rsidR="009A2C8C" w:rsidRPr="004814EB">
        <w:rPr>
          <w:rFonts w:cs="Times New Roman"/>
          <w:sz w:val="24"/>
          <w:szCs w:val="24"/>
        </w:rPr>
        <w:t xml:space="preserve">a </w:t>
      </w:r>
      <w:r w:rsidR="00D27F76" w:rsidRPr="004814EB">
        <w:rPr>
          <w:rFonts w:cs="Times New Roman"/>
          <w:sz w:val="24"/>
          <w:szCs w:val="24"/>
        </w:rPr>
        <w:t>Yellow C</w:t>
      </w:r>
      <w:r w:rsidR="00090EE8" w:rsidRPr="004814EB">
        <w:rPr>
          <w:rFonts w:cs="Times New Roman"/>
          <w:sz w:val="24"/>
          <w:szCs w:val="24"/>
        </w:rPr>
        <w:t>ard (available in BNF</w:t>
      </w:r>
      <w:r w:rsidR="009A2C8C" w:rsidRPr="004814EB">
        <w:rPr>
          <w:rFonts w:cs="Times New Roman"/>
          <w:sz w:val="24"/>
          <w:szCs w:val="24"/>
        </w:rPr>
        <w:t>/</w:t>
      </w:r>
      <w:proofErr w:type="spellStart"/>
      <w:r w:rsidR="009A2C8C" w:rsidRPr="004814EB">
        <w:rPr>
          <w:rFonts w:cs="Times New Roman"/>
          <w:sz w:val="24"/>
          <w:szCs w:val="24"/>
        </w:rPr>
        <w:t>BNFc</w:t>
      </w:r>
      <w:proofErr w:type="spellEnd"/>
      <w:r w:rsidR="009A2C8C" w:rsidRPr="004814EB">
        <w:rPr>
          <w:rFonts w:cs="Times New Roman"/>
          <w:sz w:val="24"/>
          <w:szCs w:val="24"/>
        </w:rPr>
        <w:t xml:space="preserve"> or MIMS Companion)</w:t>
      </w:r>
      <w:r w:rsidR="00090EE8" w:rsidRPr="004814EB">
        <w:rPr>
          <w:rFonts w:cs="Times New Roman"/>
          <w:sz w:val="24"/>
          <w:szCs w:val="24"/>
        </w:rPr>
        <w:t xml:space="preserve">, or </w:t>
      </w:r>
      <w:r w:rsidR="0071694A">
        <w:rPr>
          <w:rFonts w:cs="Times New Roman"/>
          <w:sz w:val="24"/>
          <w:szCs w:val="24"/>
        </w:rPr>
        <w:t xml:space="preserve">forms </w:t>
      </w:r>
      <w:r w:rsidR="00E473F9">
        <w:rPr>
          <w:rFonts w:cs="Times New Roman"/>
          <w:sz w:val="24"/>
          <w:szCs w:val="24"/>
        </w:rPr>
        <w:t xml:space="preserve">can be </w:t>
      </w:r>
      <w:r w:rsidR="0071694A">
        <w:rPr>
          <w:rFonts w:cs="Times New Roman"/>
          <w:sz w:val="24"/>
          <w:szCs w:val="24"/>
        </w:rPr>
        <w:t>obtain</w:t>
      </w:r>
      <w:r w:rsidR="00E473F9">
        <w:rPr>
          <w:rFonts w:cs="Times New Roman"/>
          <w:sz w:val="24"/>
          <w:szCs w:val="24"/>
        </w:rPr>
        <w:t>ed</w:t>
      </w:r>
      <w:r w:rsidR="0071694A">
        <w:rPr>
          <w:rFonts w:cs="Times New Roman"/>
          <w:sz w:val="24"/>
          <w:szCs w:val="24"/>
        </w:rPr>
        <w:t xml:space="preserve"> </w:t>
      </w:r>
      <w:r w:rsidR="00090EE8" w:rsidRPr="004814EB">
        <w:rPr>
          <w:rFonts w:cs="Times New Roman"/>
          <w:sz w:val="24"/>
          <w:szCs w:val="24"/>
        </w:rPr>
        <w:t>by email</w:t>
      </w:r>
      <w:r w:rsidR="00E473F9">
        <w:rPr>
          <w:rFonts w:cs="Times New Roman"/>
          <w:sz w:val="24"/>
          <w:szCs w:val="24"/>
        </w:rPr>
        <w:t>ing</w:t>
      </w:r>
      <w:r w:rsidR="00090EE8" w:rsidRPr="004814EB">
        <w:rPr>
          <w:rFonts w:cs="Times New Roman"/>
          <w:sz w:val="24"/>
          <w:szCs w:val="24"/>
        </w:rPr>
        <w:t xml:space="preserve"> (yellowcard@mhra.gsi.g</w:t>
      </w:r>
      <w:r w:rsidR="0071694A">
        <w:rPr>
          <w:rFonts w:cs="Times New Roman"/>
          <w:sz w:val="24"/>
          <w:szCs w:val="24"/>
        </w:rPr>
        <w:t>o</w:t>
      </w:r>
      <w:r w:rsidR="00090EE8" w:rsidRPr="004814EB">
        <w:rPr>
          <w:rFonts w:cs="Times New Roman"/>
          <w:sz w:val="24"/>
          <w:szCs w:val="24"/>
        </w:rPr>
        <w:t>v.uk)</w:t>
      </w:r>
      <w:r w:rsidR="00D27F76" w:rsidRPr="004814EB">
        <w:rPr>
          <w:rFonts w:cs="Times New Roman"/>
          <w:sz w:val="24"/>
          <w:szCs w:val="24"/>
        </w:rPr>
        <w:t xml:space="preserve">. </w:t>
      </w:r>
      <w:r w:rsidR="009A2C8C" w:rsidRPr="004814EB">
        <w:rPr>
          <w:rFonts w:cs="Times New Roman"/>
          <w:sz w:val="24"/>
          <w:szCs w:val="24"/>
        </w:rPr>
        <w:t>A</w:t>
      </w:r>
      <w:r w:rsidR="004814EB" w:rsidRPr="004814EB">
        <w:rPr>
          <w:rFonts w:cs="Times New Roman"/>
          <w:sz w:val="24"/>
          <w:szCs w:val="24"/>
        </w:rPr>
        <w:t>n up to date list of the black triangle drugs (</w:t>
      </w:r>
      <w:r w:rsidR="004814EB" w:rsidRPr="004814EB">
        <w:rPr>
          <w:rFonts w:ascii="Arial" w:hAnsi="Arial" w:cs="Arial"/>
          <w:sz w:val="24"/>
          <w:szCs w:val="24"/>
        </w:rPr>
        <w:t>▼</w:t>
      </w:r>
      <w:r w:rsidR="004814EB" w:rsidRPr="004814EB">
        <w:rPr>
          <w:rFonts w:cs="Times New Roman"/>
          <w:sz w:val="24"/>
          <w:szCs w:val="24"/>
        </w:rPr>
        <w:t xml:space="preserve">) </w:t>
      </w:r>
      <w:proofErr w:type="gramStart"/>
      <w:r w:rsidR="004814EB" w:rsidRPr="004814EB">
        <w:rPr>
          <w:rFonts w:cs="Times New Roman"/>
          <w:sz w:val="24"/>
          <w:szCs w:val="24"/>
        </w:rPr>
        <w:t>can be obtained</w:t>
      </w:r>
      <w:proofErr w:type="gramEnd"/>
      <w:r w:rsidR="004814EB" w:rsidRPr="004814EB">
        <w:rPr>
          <w:rFonts w:cs="Times New Roman"/>
          <w:sz w:val="24"/>
          <w:szCs w:val="24"/>
        </w:rPr>
        <w:t xml:space="preserve"> </w:t>
      </w:r>
      <w:r w:rsidR="003813C8">
        <w:rPr>
          <w:rFonts w:cs="Times New Roman"/>
          <w:sz w:val="24"/>
          <w:szCs w:val="24"/>
        </w:rPr>
        <w:t xml:space="preserve">either from the </w:t>
      </w:r>
      <w:r w:rsidR="00E473F9">
        <w:rPr>
          <w:rFonts w:cs="Times New Roman"/>
          <w:sz w:val="24"/>
          <w:szCs w:val="24"/>
        </w:rPr>
        <w:t>European Medicines Agency website,</w:t>
      </w:r>
      <w:r w:rsidR="004814EB" w:rsidRPr="004814EB">
        <w:rPr>
          <w:rFonts w:cs="Times New Roman"/>
          <w:sz w:val="24"/>
          <w:szCs w:val="24"/>
        </w:rPr>
        <w:t xml:space="preserve"> </w:t>
      </w:r>
      <w:r w:rsidR="003813C8">
        <w:rPr>
          <w:rFonts w:cs="Times New Roman"/>
          <w:sz w:val="24"/>
          <w:szCs w:val="24"/>
        </w:rPr>
        <w:t>the MHRA website (</w:t>
      </w:r>
      <w:r w:rsidR="003813C8" w:rsidRPr="003813C8">
        <w:rPr>
          <w:rFonts w:cs="Times New Roman"/>
          <w:sz w:val="24"/>
          <w:szCs w:val="24"/>
        </w:rPr>
        <w:t>mhra.gov.uk/</w:t>
      </w:r>
      <w:proofErr w:type="spellStart"/>
      <w:r w:rsidR="003813C8" w:rsidRPr="003813C8">
        <w:rPr>
          <w:rFonts w:cs="Times New Roman"/>
          <w:sz w:val="24"/>
          <w:szCs w:val="24"/>
        </w:rPr>
        <w:t>blacktriangle</w:t>
      </w:r>
      <w:proofErr w:type="spellEnd"/>
      <w:r w:rsidR="003813C8">
        <w:rPr>
          <w:rFonts w:cs="Times New Roman"/>
          <w:sz w:val="24"/>
          <w:szCs w:val="24"/>
        </w:rPr>
        <w:t xml:space="preserve">), </w:t>
      </w:r>
      <w:r w:rsidR="004814EB" w:rsidRPr="004814EB">
        <w:rPr>
          <w:rFonts w:cs="Times New Roman"/>
          <w:sz w:val="24"/>
          <w:szCs w:val="24"/>
        </w:rPr>
        <w:t>an up to date BNF/</w:t>
      </w:r>
      <w:proofErr w:type="spellStart"/>
      <w:r w:rsidR="004814EB" w:rsidRPr="004814EB">
        <w:rPr>
          <w:rFonts w:cs="Times New Roman"/>
          <w:sz w:val="24"/>
          <w:szCs w:val="24"/>
        </w:rPr>
        <w:t>BNFc</w:t>
      </w:r>
      <w:proofErr w:type="spellEnd"/>
      <w:r w:rsidR="003813C8">
        <w:rPr>
          <w:rFonts w:cs="Times New Roman"/>
          <w:sz w:val="24"/>
          <w:szCs w:val="24"/>
        </w:rPr>
        <w:t>,</w:t>
      </w:r>
      <w:r w:rsidR="004814EB" w:rsidRPr="004814EB">
        <w:rPr>
          <w:rFonts w:cs="Times New Roman"/>
          <w:sz w:val="24"/>
          <w:szCs w:val="24"/>
        </w:rPr>
        <w:t xml:space="preserve"> or by looking at the summary of product characteristics online for the medicine.</w:t>
      </w:r>
      <w:r w:rsidR="0007274D">
        <w:rPr>
          <w:rFonts w:cs="Times New Roman"/>
          <w:sz w:val="24"/>
          <w:szCs w:val="24"/>
        </w:rPr>
        <w:t xml:space="preserve"> </w:t>
      </w:r>
    </w:p>
    <w:p w:rsidR="00011D87" w:rsidRPr="004814EB" w:rsidRDefault="007A0158" w:rsidP="002B55B0">
      <w:pPr>
        <w:jc w:val="both"/>
        <w:rPr>
          <w:sz w:val="24"/>
          <w:szCs w:val="24"/>
        </w:rPr>
      </w:pPr>
      <w:r w:rsidRPr="005C706F">
        <w:rPr>
          <w:sz w:val="24"/>
          <w:szCs w:val="24"/>
        </w:rPr>
        <w:t>This is a very positive</w:t>
      </w:r>
      <w:r w:rsidR="004814EB" w:rsidRPr="005C706F">
        <w:rPr>
          <w:sz w:val="24"/>
          <w:szCs w:val="24"/>
        </w:rPr>
        <w:t xml:space="preserve"> </w:t>
      </w:r>
      <w:proofErr w:type="gramStart"/>
      <w:r w:rsidR="004814EB" w:rsidRPr="005C706F">
        <w:rPr>
          <w:sz w:val="24"/>
          <w:szCs w:val="24"/>
        </w:rPr>
        <w:t>change</w:t>
      </w:r>
      <w:r w:rsidRPr="005C706F">
        <w:rPr>
          <w:sz w:val="24"/>
          <w:szCs w:val="24"/>
        </w:rPr>
        <w:t>, that</w:t>
      </w:r>
      <w:proofErr w:type="gramEnd"/>
      <w:r w:rsidRPr="005C706F">
        <w:rPr>
          <w:sz w:val="24"/>
          <w:szCs w:val="24"/>
        </w:rPr>
        <w:t xml:space="preserve"> is</w:t>
      </w:r>
      <w:r>
        <w:rPr>
          <w:sz w:val="24"/>
          <w:szCs w:val="24"/>
        </w:rPr>
        <w:t xml:space="preserve"> likely to </w:t>
      </w:r>
      <w:r w:rsidR="004814EB" w:rsidRPr="004814EB">
        <w:rPr>
          <w:sz w:val="24"/>
          <w:szCs w:val="24"/>
        </w:rPr>
        <w:t>improve the quality and quantity of the spontaneous reports received by the MHRA in the UK</w:t>
      </w:r>
      <w:r w:rsidR="00842C61">
        <w:rPr>
          <w:sz w:val="24"/>
          <w:szCs w:val="24"/>
        </w:rPr>
        <w:t>.</w:t>
      </w:r>
      <w:r>
        <w:rPr>
          <w:sz w:val="24"/>
          <w:szCs w:val="24"/>
        </w:rPr>
        <w:t xml:space="preserve"> </w:t>
      </w:r>
    </w:p>
    <w:p w:rsidR="004F655C" w:rsidRDefault="004F655C" w:rsidP="002B55B0">
      <w:pPr>
        <w:jc w:val="both"/>
        <w:rPr>
          <w:b/>
        </w:rPr>
      </w:pPr>
    </w:p>
    <w:p w:rsidR="004F655C" w:rsidRDefault="004F655C" w:rsidP="002B55B0">
      <w:pPr>
        <w:jc w:val="both"/>
        <w:rPr>
          <w:b/>
        </w:rPr>
      </w:pPr>
    </w:p>
    <w:p w:rsidR="004F6EC9" w:rsidRPr="004F6EC9" w:rsidRDefault="00266215" w:rsidP="004F6EC9">
      <w:pPr>
        <w:spacing w:after="0" w:line="240" w:lineRule="auto"/>
        <w:ind w:left="720" w:hanging="720"/>
        <w:jc w:val="both"/>
        <w:rPr>
          <w:rFonts w:ascii="Calibri" w:hAnsi="Calibri"/>
          <w:b/>
          <w:noProof/>
        </w:rPr>
      </w:pPr>
      <w:r>
        <w:rPr>
          <w:b/>
        </w:rPr>
        <w:fldChar w:fldCharType="begin"/>
      </w:r>
      <w:r w:rsidR="004F655C">
        <w:rPr>
          <w:b/>
        </w:rPr>
        <w:instrText xml:space="preserve"> ADDIN EN.REFLIST </w:instrText>
      </w:r>
      <w:r>
        <w:rPr>
          <w:b/>
        </w:rPr>
        <w:fldChar w:fldCharType="separate"/>
      </w:r>
      <w:bookmarkStart w:id="0" w:name="_ENREF_1"/>
      <w:r w:rsidR="004F6EC9" w:rsidRPr="004F6EC9">
        <w:rPr>
          <w:rFonts w:ascii="Calibri" w:hAnsi="Calibri"/>
          <w:b/>
          <w:noProof/>
        </w:rPr>
        <w:t>1.</w:t>
      </w:r>
      <w:r w:rsidR="004F6EC9" w:rsidRPr="004F6EC9">
        <w:rPr>
          <w:rFonts w:ascii="Calibri" w:hAnsi="Calibri"/>
          <w:b/>
          <w:noProof/>
        </w:rPr>
        <w:tab/>
        <w:t xml:space="preserve">Centre, U.M. </w:t>
      </w:r>
      <w:r w:rsidR="004F6EC9" w:rsidRPr="004F6EC9">
        <w:rPr>
          <w:rFonts w:ascii="Calibri" w:hAnsi="Calibri"/>
          <w:b/>
          <w:i/>
          <w:noProof/>
        </w:rPr>
        <w:t>Glossary of terms used in Pharmacovigilance</w:t>
      </w:r>
      <w:r w:rsidR="004F6EC9" w:rsidRPr="004F6EC9">
        <w:rPr>
          <w:rFonts w:ascii="Calibri" w:hAnsi="Calibri"/>
          <w:b/>
          <w:noProof/>
        </w:rPr>
        <w:t xml:space="preserve">. 2015 28th January 2015 [cited 2015 February 24th]; Available from: </w:t>
      </w:r>
      <w:hyperlink r:id="rId10" w:history="1">
        <w:r w:rsidR="004F6EC9" w:rsidRPr="004F6EC9">
          <w:rPr>
            <w:rStyle w:val="Hyperlink"/>
            <w:rFonts w:ascii="Calibri" w:hAnsi="Calibri"/>
            <w:b/>
            <w:noProof/>
          </w:rPr>
          <w:t>http://www.who-umc.org/graphics/28401.pdf</w:t>
        </w:r>
      </w:hyperlink>
      <w:r w:rsidR="004F6EC9" w:rsidRPr="004F6EC9">
        <w:rPr>
          <w:rFonts w:ascii="Calibri" w:hAnsi="Calibri"/>
          <w:b/>
          <w:noProof/>
        </w:rPr>
        <w:t>.</w:t>
      </w:r>
      <w:bookmarkEnd w:id="0"/>
    </w:p>
    <w:p w:rsidR="004F6EC9" w:rsidRPr="004F6EC9" w:rsidRDefault="004F6EC9" w:rsidP="004F6EC9">
      <w:pPr>
        <w:spacing w:after="0" w:line="240" w:lineRule="auto"/>
        <w:ind w:left="720" w:hanging="720"/>
        <w:jc w:val="both"/>
        <w:rPr>
          <w:rFonts w:ascii="Calibri" w:hAnsi="Calibri"/>
          <w:b/>
          <w:noProof/>
        </w:rPr>
      </w:pPr>
      <w:bookmarkStart w:id="1" w:name="_ENREF_2"/>
      <w:r w:rsidRPr="004F6EC9">
        <w:rPr>
          <w:rFonts w:ascii="Calibri" w:hAnsi="Calibri"/>
          <w:b/>
          <w:noProof/>
        </w:rPr>
        <w:t>2.</w:t>
      </w:r>
      <w:r w:rsidRPr="004F6EC9">
        <w:rPr>
          <w:rFonts w:ascii="Calibri" w:hAnsi="Calibri"/>
          <w:b/>
          <w:noProof/>
        </w:rPr>
        <w:tab/>
        <w:t xml:space="preserve">Hawcutt, D.B., et al., </w:t>
      </w:r>
      <w:r w:rsidRPr="004F6EC9">
        <w:rPr>
          <w:rFonts w:ascii="Calibri" w:hAnsi="Calibri"/>
          <w:b/>
          <w:i/>
          <w:noProof/>
        </w:rPr>
        <w:t>Reported paediatric adverse drug reactions in the UK 2000–2009.</w:t>
      </w:r>
      <w:r w:rsidRPr="004F6EC9">
        <w:rPr>
          <w:rFonts w:ascii="Calibri" w:hAnsi="Calibri"/>
          <w:b/>
          <w:noProof/>
        </w:rPr>
        <w:t xml:space="preserve"> British journal of clinical pharmacology, 2012. 73(3): p. 437-446.</w:t>
      </w:r>
      <w:bookmarkEnd w:id="1"/>
    </w:p>
    <w:p w:rsidR="004F6EC9" w:rsidRPr="004F6EC9" w:rsidRDefault="004F6EC9" w:rsidP="004F6EC9">
      <w:pPr>
        <w:spacing w:after="0" w:line="240" w:lineRule="auto"/>
        <w:ind w:left="720" w:hanging="720"/>
        <w:jc w:val="both"/>
        <w:rPr>
          <w:rFonts w:ascii="Calibri" w:hAnsi="Calibri"/>
          <w:b/>
          <w:noProof/>
        </w:rPr>
      </w:pPr>
      <w:bookmarkStart w:id="2" w:name="_ENREF_3"/>
      <w:r w:rsidRPr="004F6EC9">
        <w:rPr>
          <w:rFonts w:ascii="Calibri" w:hAnsi="Calibri"/>
          <w:b/>
          <w:noProof/>
        </w:rPr>
        <w:lastRenderedPageBreak/>
        <w:t>3.</w:t>
      </w:r>
      <w:r w:rsidRPr="004F6EC9">
        <w:rPr>
          <w:rFonts w:ascii="Calibri" w:hAnsi="Calibri"/>
          <w:b/>
          <w:noProof/>
        </w:rPr>
        <w:tab/>
        <w:t xml:space="preserve">Gallagher, R.M., et al., </w:t>
      </w:r>
      <w:r w:rsidRPr="004F6EC9">
        <w:rPr>
          <w:rFonts w:ascii="Calibri" w:hAnsi="Calibri"/>
          <w:b/>
          <w:i/>
          <w:noProof/>
        </w:rPr>
        <w:t>Adverse drug reactions causing admission to a paediatric hospital.</w:t>
      </w:r>
      <w:r w:rsidRPr="004F6EC9">
        <w:rPr>
          <w:rFonts w:ascii="Calibri" w:hAnsi="Calibri"/>
          <w:b/>
          <w:noProof/>
        </w:rPr>
        <w:t xml:space="preserve"> PloS one, 2012. 7(12): p. e50127.</w:t>
      </w:r>
      <w:bookmarkEnd w:id="2"/>
    </w:p>
    <w:p w:rsidR="004F6EC9" w:rsidRPr="004F6EC9" w:rsidRDefault="004F6EC9" w:rsidP="004F6EC9">
      <w:pPr>
        <w:spacing w:after="0" w:line="240" w:lineRule="auto"/>
        <w:ind w:left="720" w:hanging="720"/>
        <w:jc w:val="both"/>
        <w:rPr>
          <w:rFonts w:ascii="Calibri" w:hAnsi="Calibri"/>
          <w:b/>
          <w:noProof/>
        </w:rPr>
      </w:pPr>
      <w:bookmarkStart w:id="3" w:name="_ENREF_4"/>
      <w:r w:rsidRPr="004F6EC9">
        <w:rPr>
          <w:rFonts w:ascii="Calibri" w:hAnsi="Calibri"/>
          <w:b/>
          <w:noProof/>
        </w:rPr>
        <w:t>4.</w:t>
      </w:r>
      <w:r w:rsidRPr="004F6EC9">
        <w:rPr>
          <w:rFonts w:ascii="Calibri" w:hAnsi="Calibri"/>
          <w:b/>
          <w:noProof/>
        </w:rPr>
        <w:tab/>
        <w:t xml:space="preserve">Thiesen, S., et al., </w:t>
      </w:r>
      <w:r w:rsidRPr="004F6EC9">
        <w:rPr>
          <w:rFonts w:ascii="Calibri" w:hAnsi="Calibri"/>
          <w:b/>
          <w:i/>
          <w:noProof/>
        </w:rPr>
        <w:t>Incidence, characteristics and risk factors of adverse drug reactions in hospitalized children–a prospective observational cohort study of 6,601 admissions.</w:t>
      </w:r>
      <w:r w:rsidRPr="004F6EC9">
        <w:rPr>
          <w:rFonts w:ascii="Calibri" w:hAnsi="Calibri"/>
          <w:b/>
          <w:noProof/>
        </w:rPr>
        <w:t xml:space="preserve"> BMC medicine, 2013. 11(1): p. 237.</w:t>
      </w:r>
      <w:bookmarkEnd w:id="3"/>
    </w:p>
    <w:p w:rsidR="004F6EC9" w:rsidRPr="004F6EC9" w:rsidRDefault="004F6EC9" w:rsidP="004F6EC9">
      <w:pPr>
        <w:spacing w:line="240" w:lineRule="auto"/>
        <w:ind w:left="720" w:hanging="720"/>
        <w:jc w:val="both"/>
        <w:rPr>
          <w:rFonts w:ascii="Calibri" w:hAnsi="Calibri"/>
          <w:b/>
          <w:noProof/>
        </w:rPr>
      </w:pPr>
      <w:bookmarkStart w:id="4" w:name="_ENREF_5"/>
      <w:r w:rsidRPr="004F6EC9">
        <w:rPr>
          <w:rFonts w:ascii="Calibri" w:hAnsi="Calibri"/>
          <w:b/>
          <w:noProof/>
        </w:rPr>
        <w:t>5.</w:t>
      </w:r>
      <w:r w:rsidRPr="004F6EC9">
        <w:rPr>
          <w:rFonts w:ascii="Calibri" w:hAnsi="Calibri"/>
          <w:b/>
          <w:noProof/>
        </w:rPr>
        <w:tab/>
        <w:t xml:space="preserve">Turner, S., et al., </w:t>
      </w:r>
      <w:r w:rsidRPr="004F6EC9">
        <w:rPr>
          <w:rFonts w:ascii="Calibri" w:hAnsi="Calibri"/>
          <w:b/>
          <w:i/>
          <w:noProof/>
        </w:rPr>
        <w:t>Adverse drug reactions to unlicensed and off‐label drugs on paediatric wards: a prospective study.</w:t>
      </w:r>
      <w:r w:rsidRPr="004F6EC9">
        <w:rPr>
          <w:rFonts w:ascii="Calibri" w:hAnsi="Calibri"/>
          <w:b/>
          <w:noProof/>
        </w:rPr>
        <w:t xml:space="preserve"> Acta Paediatrica, 1999. 88(9): p. 965-968.</w:t>
      </w:r>
      <w:bookmarkEnd w:id="4"/>
    </w:p>
    <w:p w:rsidR="004F6EC9" w:rsidRDefault="004F6EC9" w:rsidP="004F6EC9">
      <w:pPr>
        <w:spacing w:line="240" w:lineRule="auto"/>
        <w:jc w:val="both"/>
        <w:rPr>
          <w:rFonts w:ascii="Calibri" w:hAnsi="Calibri"/>
          <w:b/>
          <w:noProof/>
        </w:rPr>
      </w:pPr>
    </w:p>
    <w:p w:rsidR="00D27F76" w:rsidRPr="00D27F76" w:rsidRDefault="00266215" w:rsidP="002B55B0">
      <w:pPr>
        <w:jc w:val="both"/>
        <w:rPr>
          <w:b/>
        </w:rPr>
      </w:pPr>
      <w:r>
        <w:rPr>
          <w:b/>
        </w:rPr>
        <w:fldChar w:fldCharType="end"/>
      </w:r>
    </w:p>
    <w:sectPr w:rsidR="00D27F76" w:rsidRPr="00D27F76" w:rsidSect="00F97A5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80D" w:rsidRDefault="0016280D" w:rsidP="00B87057">
      <w:pPr>
        <w:spacing w:after="0" w:line="240" w:lineRule="auto"/>
      </w:pPr>
      <w:r>
        <w:separator/>
      </w:r>
    </w:p>
  </w:endnote>
  <w:endnote w:type="continuationSeparator" w:id="0">
    <w:p w:rsidR="0016280D" w:rsidRDefault="0016280D" w:rsidP="00B87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917599"/>
      <w:docPartObj>
        <w:docPartGallery w:val="Page Numbers (Bottom of Page)"/>
        <w:docPartUnique/>
      </w:docPartObj>
    </w:sdtPr>
    <w:sdtContent>
      <w:p w:rsidR="00B87057" w:rsidRDefault="00266215">
        <w:pPr>
          <w:pStyle w:val="Footer"/>
        </w:pPr>
        <w:r>
          <w:rPr>
            <w:noProof/>
            <w:lang w:eastAsia="en-GB"/>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87057" w:rsidRDefault="00266215">
                    <w:pPr>
                      <w:jc w:val="center"/>
                    </w:pPr>
                    <w:r>
                      <w:fldChar w:fldCharType="begin"/>
                    </w:r>
                    <w:r w:rsidR="00B87057">
                      <w:instrText xml:space="preserve"> PAGE    \* MERGEFORMAT </w:instrText>
                    </w:r>
                    <w:r>
                      <w:fldChar w:fldCharType="separate"/>
                    </w:r>
                    <w:r w:rsidR="001C17D8">
                      <w:rPr>
                        <w:noProof/>
                      </w:rPr>
                      <w:t>4</w:t>
                    </w:r>
                    <w:r>
                      <w:rPr>
                        <w:noProof/>
                      </w:rPr>
                      <w:fldChar w:fldCharType="end"/>
                    </w:r>
                  </w:p>
                </w:txbxContent>
              </v:textbox>
              <w10:wrap anchorx="margin" anchory="margin"/>
            </v:shape>
          </w:pict>
        </w:r>
        <w:r>
          <w:rPr>
            <w:noProof/>
            <w:lang w:eastAsia="en-GB"/>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80D" w:rsidRDefault="0016280D" w:rsidP="00B87057">
      <w:pPr>
        <w:spacing w:after="0" w:line="240" w:lineRule="auto"/>
      </w:pPr>
      <w:r>
        <w:separator/>
      </w:r>
    </w:p>
  </w:footnote>
  <w:footnote w:type="continuationSeparator" w:id="0">
    <w:p w:rsidR="0016280D" w:rsidRDefault="0016280D" w:rsidP="00B87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A82"/>
    <w:multiLevelType w:val="hybridMultilevel"/>
    <w:tmpl w:val="F738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EC3E5B"/>
    <w:multiLevelType w:val="hybridMultilevel"/>
    <w:tmpl w:val="E8EE78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5D2DD2"/>
    <w:multiLevelType w:val="hybridMultilevel"/>
    <w:tmpl w:val="12382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80537E"/>
    <w:multiLevelType w:val="multilevel"/>
    <w:tmpl w:val="B532B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hdrShapeDefaults>
    <o:shapedefaults v:ext="edit" spidmax="7170"/>
    <o:shapelayout v:ext="edit">
      <o:idmap v:ext="edit" data="2"/>
      <o:rules v:ext="edit">
        <o:r id="V:Rule2" type="connector" idref="#AutoShape 21"/>
      </o:rules>
    </o:shapelayout>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ee209pevv2057etadqpdwsyfpzezpwrrsdw&quot;&gt;My EndNote Library&lt;record-ids&gt;&lt;item&gt;47&lt;/item&gt;&lt;item&gt;48&lt;/item&gt;&lt;item&gt;51&lt;/item&gt;&lt;item&gt;52&lt;/item&gt;&lt;item&gt;64&lt;/item&gt;&lt;/record-ids&gt;&lt;/item&gt;&lt;/Libraries&gt;"/>
  </w:docVars>
  <w:rsids>
    <w:rsidRoot w:val="000F3931"/>
    <w:rsid w:val="0000108A"/>
    <w:rsid w:val="00004303"/>
    <w:rsid w:val="00011D87"/>
    <w:rsid w:val="00032B2B"/>
    <w:rsid w:val="0007274D"/>
    <w:rsid w:val="00090EE8"/>
    <w:rsid w:val="000C75E3"/>
    <w:rsid w:val="000D4D15"/>
    <w:rsid w:val="000F3931"/>
    <w:rsid w:val="00141202"/>
    <w:rsid w:val="00147E71"/>
    <w:rsid w:val="001627DB"/>
    <w:rsid w:val="0016280D"/>
    <w:rsid w:val="001757E3"/>
    <w:rsid w:val="00185668"/>
    <w:rsid w:val="001B76F9"/>
    <w:rsid w:val="001C17D8"/>
    <w:rsid w:val="001C50FE"/>
    <w:rsid w:val="002142FC"/>
    <w:rsid w:val="002148E4"/>
    <w:rsid w:val="00250AF2"/>
    <w:rsid w:val="00266215"/>
    <w:rsid w:val="0029683E"/>
    <w:rsid w:val="002A4007"/>
    <w:rsid w:val="002B55B0"/>
    <w:rsid w:val="002D48F5"/>
    <w:rsid w:val="002F3FCF"/>
    <w:rsid w:val="003070CD"/>
    <w:rsid w:val="00335BA6"/>
    <w:rsid w:val="003402EC"/>
    <w:rsid w:val="00344CAC"/>
    <w:rsid w:val="0037180D"/>
    <w:rsid w:val="003813C8"/>
    <w:rsid w:val="003E5211"/>
    <w:rsid w:val="00410A0F"/>
    <w:rsid w:val="00452E61"/>
    <w:rsid w:val="004814EB"/>
    <w:rsid w:val="00495B21"/>
    <w:rsid w:val="004B5FD9"/>
    <w:rsid w:val="004C4BCB"/>
    <w:rsid w:val="004E6FA9"/>
    <w:rsid w:val="004F655C"/>
    <w:rsid w:val="004F6EC9"/>
    <w:rsid w:val="005008F7"/>
    <w:rsid w:val="00561615"/>
    <w:rsid w:val="005C2516"/>
    <w:rsid w:val="005C4F8C"/>
    <w:rsid w:val="005C706F"/>
    <w:rsid w:val="0061486A"/>
    <w:rsid w:val="00651B94"/>
    <w:rsid w:val="00653A40"/>
    <w:rsid w:val="006733B6"/>
    <w:rsid w:val="006934D8"/>
    <w:rsid w:val="006B4823"/>
    <w:rsid w:val="0071694A"/>
    <w:rsid w:val="00717C0D"/>
    <w:rsid w:val="0072363F"/>
    <w:rsid w:val="007A0158"/>
    <w:rsid w:val="007E02E3"/>
    <w:rsid w:val="00842C61"/>
    <w:rsid w:val="008464B1"/>
    <w:rsid w:val="00976792"/>
    <w:rsid w:val="00994262"/>
    <w:rsid w:val="009A2C8C"/>
    <w:rsid w:val="009B24BD"/>
    <w:rsid w:val="009F3450"/>
    <w:rsid w:val="009F69FE"/>
    <w:rsid w:val="00A0098A"/>
    <w:rsid w:val="00A01011"/>
    <w:rsid w:val="00A06E35"/>
    <w:rsid w:val="00A2750A"/>
    <w:rsid w:val="00A3267F"/>
    <w:rsid w:val="00A72C9A"/>
    <w:rsid w:val="00A836A2"/>
    <w:rsid w:val="00AE58A1"/>
    <w:rsid w:val="00AF0FA6"/>
    <w:rsid w:val="00AF196E"/>
    <w:rsid w:val="00B03F5E"/>
    <w:rsid w:val="00B054C0"/>
    <w:rsid w:val="00B273FC"/>
    <w:rsid w:val="00B27B77"/>
    <w:rsid w:val="00B41672"/>
    <w:rsid w:val="00B44683"/>
    <w:rsid w:val="00B530C9"/>
    <w:rsid w:val="00B87057"/>
    <w:rsid w:val="00B87357"/>
    <w:rsid w:val="00B92171"/>
    <w:rsid w:val="00BF13FB"/>
    <w:rsid w:val="00C03160"/>
    <w:rsid w:val="00C039A6"/>
    <w:rsid w:val="00C049D2"/>
    <w:rsid w:val="00C55F45"/>
    <w:rsid w:val="00C65F4E"/>
    <w:rsid w:val="00C66B3F"/>
    <w:rsid w:val="00C7132B"/>
    <w:rsid w:val="00C8047B"/>
    <w:rsid w:val="00CB3B3A"/>
    <w:rsid w:val="00D005BA"/>
    <w:rsid w:val="00D27F76"/>
    <w:rsid w:val="00D64850"/>
    <w:rsid w:val="00D7017C"/>
    <w:rsid w:val="00D81469"/>
    <w:rsid w:val="00D91122"/>
    <w:rsid w:val="00DA3916"/>
    <w:rsid w:val="00DC5113"/>
    <w:rsid w:val="00DE1974"/>
    <w:rsid w:val="00DE1FF8"/>
    <w:rsid w:val="00E2012B"/>
    <w:rsid w:val="00E473F9"/>
    <w:rsid w:val="00E5647F"/>
    <w:rsid w:val="00E80916"/>
    <w:rsid w:val="00EB55C5"/>
    <w:rsid w:val="00F121C6"/>
    <w:rsid w:val="00F57F3E"/>
    <w:rsid w:val="00F97A54"/>
    <w:rsid w:val="00FA43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469"/>
    <w:rPr>
      <w:color w:val="0000FF" w:themeColor="hyperlink"/>
      <w:u w:val="single"/>
    </w:rPr>
  </w:style>
  <w:style w:type="paragraph" w:styleId="BalloonText">
    <w:name w:val="Balloon Text"/>
    <w:basedOn w:val="Normal"/>
    <w:link w:val="BalloonTextChar"/>
    <w:uiPriority w:val="99"/>
    <w:semiHidden/>
    <w:unhideWhenUsed/>
    <w:rsid w:val="00D27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76"/>
    <w:rPr>
      <w:rFonts w:ascii="Tahoma" w:hAnsi="Tahoma" w:cs="Tahoma"/>
      <w:sz w:val="16"/>
      <w:szCs w:val="16"/>
    </w:rPr>
  </w:style>
  <w:style w:type="paragraph" w:styleId="ListParagraph">
    <w:name w:val="List Paragraph"/>
    <w:basedOn w:val="Normal"/>
    <w:uiPriority w:val="34"/>
    <w:qFormat/>
    <w:rsid w:val="00C049D2"/>
    <w:pPr>
      <w:ind w:left="720"/>
      <w:contextualSpacing/>
    </w:pPr>
  </w:style>
  <w:style w:type="paragraph" w:styleId="Header">
    <w:name w:val="header"/>
    <w:basedOn w:val="Normal"/>
    <w:link w:val="HeaderChar"/>
    <w:uiPriority w:val="99"/>
    <w:unhideWhenUsed/>
    <w:rsid w:val="00B87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057"/>
  </w:style>
  <w:style w:type="paragraph" w:styleId="Footer">
    <w:name w:val="footer"/>
    <w:basedOn w:val="Normal"/>
    <w:link w:val="FooterChar"/>
    <w:uiPriority w:val="99"/>
    <w:unhideWhenUsed/>
    <w:rsid w:val="00B87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057"/>
  </w:style>
  <w:style w:type="character" w:styleId="CommentReference">
    <w:name w:val="annotation reference"/>
    <w:basedOn w:val="DefaultParagraphFont"/>
    <w:uiPriority w:val="99"/>
    <w:semiHidden/>
    <w:unhideWhenUsed/>
    <w:rsid w:val="00A0098A"/>
    <w:rPr>
      <w:sz w:val="16"/>
      <w:szCs w:val="16"/>
    </w:rPr>
  </w:style>
  <w:style w:type="paragraph" w:styleId="CommentText">
    <w:name w:val="annotation text"/>
    <w:basedOn w:val="Normal"/>
    <w:link w:val="CommentTextChar"/>
    <w:uiPriority w:val="99"/>
    <w:semiHidden/>
    <w:unhideWhenUsed/>
    <w:rsid w:val="00A0098A"/>
    <w:pPr>
      <w:spacing w:line="240" w:lineRule="auto"/>
    </w:pPr>
    <w:rPr>
      <w:sz w:val="20"/>
      <w:szCs w:val="20"/>
    </w:rPr>
  </w:style>
  <w:style w:type="character" w:customStyle="1" w:styleId="CommentTextChar">
    <w:name w:val="Comment Text Char"/>
    <w:basedOn w:val="DefaultParagraphFont"/>
    <w:link w:val="CommentText"/>
    <w:uiPriority w:val="99"/>
    <w:semiHidden/>
    <w:rsid w:val="00A0098A"/>
    <w:rPr>
      <w:sz w:val="20"/>
      <w:szCs w:val="20"/>
    </w:rPr>
  </w:style>
  <w:style w:type="paragraph" w:styleId="CommentSubject">
    <w:name w:val="annotation subject"/>
    <w:basedOn w:val="CommentText"/>
    <w:next w:val="CommentText"/>
    <w:link w:val="CommentSubjectChar"/>
    <w:uiPriority w:val="99"/>
    <w:semiHidden/>
    <w:unhideWhenUsed/>
    <w:rsid w:val="00A0098A"/>
    <w:rPr>
      <w:b/>
      <w:bCs/>
    </w:rPr>
  </w:style>
  <w:style w:type="character" w:customStyle="1" w:styleId="CommentSubjectChar">
    <w:name w:val="Comment Subject Char"/>
    <w:basedOn w:val="CommentTextChar"/>
    <w:link w:val="CommentSubject"/>
    <w:uiPriority w:val="99"/>
    <w:semiHidden/>
    <w:rsid w:val="00A0098A"/>
    <w:rPr>
      <w:b/>
      <w:bCs/>
      <w:sz w:val="20"/>
      <w:szCs w:val="20"/>
    </w:rPr>
  </w:style>
  <w:style w:type="paragraph" w:styleId="Revision">
    <w:name w:val="Revision"/>
    <w:hidden/>
    <w:uiPriority w:val="99"/>
    <w:semiHidden/>
    <w:rsid w:val="0007274D"/>
    <w:pPr>
      <w:spacing w:after="0" w:line="240" w:lineRule="auto"/>
    </w:pPr>
  </w:style>
  <w:style w:type="paragraph" w:customStyle="1" w:styleId="Default">
    <w:name w:val="Default"/>
    <w:rsid w:val="00004303"/>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FollowedHyperlink">
    <w:name w:val="FollowedHyperlink"/>
    <w:basedOn w:val="DefaultParagraphFont"/>
    <w:uiPriority w:val="99"/>
    <w:semiHidden/>
    <w:unhideWhenUsed/>
    <w:rsid w:val="00C65F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469"/>
    <w:rPr>
      <w:color w:val="0000FF" w:themeColor="hyperlink"/>
      <w:u w:val="single"/>
    </w:rPr>
  </w:style>
  <w:style w:type="paragraph" w:styleId="BalloonText">
    <w:name w:val="Balloon Text"/>
    <w:basedOn w:val="Normal"/>
    <w:link w:val="BalloonTextChar"/>
    <w:uiPriority w:val="99"/>
    <w:semiHidden/>
    <w:unhideWhenUsed/>
    <w:rsid w:val="00D27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76"/>
    <w:rPr>
      <w:rFonts w:ascii="Tahoma" w:hAnsi="Tahoma" w:cs="Tahoma"/>
      <w:sz w:val="16"/>
      <w:szCs w:val="16"/>
    </w:rPr>
  </w:style>
  <w:style w:type="paragraph" w:styleId="ListParagraph">
    <w:name w:val="List Paragraph"/>
    <w:basedOn w:val="Normal"/>
    <w:uiPriority w:val="34"/>
    <w:qFormat/>
    <w:rsid w:val="00C049D2"/>
    <w:pPr>
      <w:ind w:left="720"/>
      <w:contextualSpacing/>
    </w:pPr>
  </w:style>
  <w:style w:type="paragraph" w:styleId="Header">
    <w:name w:val="header"/>
    <w:basedOn w:val="Normal"/>
    <w:link w:val="HeaderChar"/>
    <w:uiPriority w:val="99"/>
    <w:unhideWhenUsed/>
    <w:rsid w:val="00B87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057"/>
  </w:style>
  <w:style w:type="paragraph" w:styleId="Footer">
    <w:name w:val="footer"/>
    <w:basedOn w:val="Normal"/>
    <w:link w:val="FooterChar"/>
    <w:uiPriority w:val="99"/>
    <w:unhideWhenUsed/>
    <w:rsid w:val="00B87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057"/>
  </w:style>
  <w:style w:type="character" w:styleId="CommentReference">
    <w:name w:val="annotation reference"/>
    <w:basedOn w:val="DefaultParagraphFont"/>
    <w:uiPriority w:val="99"/>
    <w:semiHidden/>
    <w:unhideWhenUsed/>
    <w:rsid w:val="00A0098A"/>
    <w:rPr>
      <w:sz w:val="16"/>
      <w:szCs w:val="16"/>
    </w:rPr>
  </w:style>
  <w:style w:type="paragraph" w:styleId="CommentText">
    <w:name w:val="annotation text"/>
    <w:basedOn w:val="Normal"/>
    <w:link w:val="CommentTextChar"/>
    <w:uiPriority w:val="99"/>
    <w:semiHidden/>
    <w:unhideWhenUsed/>
    <w:rsid w:val="00A0098A"/>
    <w:pPr>
      <w:spacing w:line="240" w:lineRule="auto"/>
    </w:pPr>
    <w:rPr>
      <w:sz w:val="20"/>
      <w:szCs w:val="20"/>
    </w:rPr>
  </w:style>
  <w:style w:type="character" w:customStyle="1" w:styleId="CommentTextChar">
    <w:name w:val="Comment Text Char"/>
    <w:basedOn w:val="DefaultParagraphFont"/>
    <w:link w:val="CommentText"/>
    <w:uiPriority w:val="99"/>
    <w:semiHidden/>
    <w:rsid w:val="00A0098A"/>
    <w:rPr>
      <w:sz w:val="20"/>
      <w:szCs w:val="20"/>
    </w:rPr>
  </w:style>
  <w:style w:type="paragraph" w:styleId="CommentSubject">
    <w:name w:val="annotation subject"/>
    <w:basedOn w:val="CommentText"/>
    <w:next w:val="CommentText"/>
    <w:link w:val="CommentSubjectChar"/>
    <w:uiPriority w:val="99"/>
    <w:semiHidden/>
    <w:unhideWhenUsed/>
    <w:rsid w:val="00A0098A"/>
    <w:rPr>
      <w:b/>
      <w:bCs/>
    </w:rPr>
  </w:style>
  <w:style w:type="character" w:customStyle="1" w:styleId="CommentSubjectChar">
    <w:name w:val="Comment Subject Char"/>
    <w:basedOn w:val="CommentTextChar"/>
    <w:link w:val="CommentSubject"/>
    <w:uiPriority w:val="99"/>
    <w:semiHidden/>
    <w:rsid w:val="00A0098A"/>
    <w:rPr>
      <w:b/>
      <w:bCs/>
      <w:sz w:val="20"/>
      <w:szCs w:val="20"/>
    </w:rPr>
  </w:style>
  <w:style w:type="paragraph" w:styleId="Revision">
    <w:name w:val="Revision"/>
    <w:hidden/>
    <w:uiPriority w:val="99"/>
    <w:semiHidden/>
    <w:rsid w:val="0007274D"/>
    <w:pPr>
      <w:spacing w:after="0" w:line="240" w:lineRule="auto"/>
    </w:pPr>
  </w:style>
  <w:style w:type="paragraph" w:customStyle="1" w:styleId="Default">
    <w:name w:val="Default"/>
    <w:rsid w:val="00004303"/>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FollowedHyperlink">
    <w:name w:val="FollowedHyperlink"/>
    <w:basedOn w:val="DefaultParagraphFont"/>
    <w:uiPriority w:val="99"/>
    <w:semiHidden/>
    <w:unhideWhenUsed/>
    <w:rsid w:val="00C65F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261123">
      <w:bodyDiv w:val="1"/>
      <w:marLeft w:val="0"/>
      <w:marRight w:val="0"/>
      <w:marTop w:val="0"/>
      <w:marBottom w:val="0"/>
      <w:divBdr>
        <w:top w:val="none" w:sz="0" w:space="0" w:color="auto"/>
        <w:left w:val="none" w:sz="0" w:space="0" w:color="auto"/>
        <w:bottom w:val="none" w:sz="0" w:space="0" w:color="auto"/>
        <w:right w:val="none" w:sz="0" w:space="0" w:color="auto"/>
      </w:divBdr>
      <w:divsChild>
        <w:div w:id="215287331">
          <w:marLeft w:val="0"/>
          <w:marRight w:val="0"/>
          <w:marTop w:val="0"/>
          <w:marBottom w:val="0"/>
          <w:divBdr>
            <w:top w:val="none" w:sz="0" w:space="0" w:color="auto"/>
            <w:left w:val="none" w:sz="0" w:space="0" w:color="auto"/>
            <w:bottom w:val="none" w:sz="0" w:space="0" w:color="auto"/>
            <w:right w:val="none" w:sz="0" w:space="0" w:color="auto"/>
          </w:divBdr>
          <w:divsChild>
            <w:div w:id="189488061">
              <w:marLeft w:val="0"/>
              <w:marRight w:val="0"/>
              <w:marTop w:val="0"/>
              <w:marBottom w:val="0"/>
              <w:divBdr>
                <w:top w:val="none" w:sz="0" w:space="0" w:color="auto"/>
                <w:left w:val="none" w:sz="0" w:space="0" w:color="auto"/>
                <w:bottom w:val="none" w:sz="0" w:space="0" w:color="auto"/>
                <w:right w:val="none" w:sz="0" w:space="0" w:color="auto"/>
              </w:divBdr>
              <w:divsChild>
                <w:div w:id="1726023524">
                  <w:marLeft w:val="0"/>
                  <w:marRight w:val="0"/>
                  <w:marTop w:val="0"/>
                  <w:marBottom w:val="0"/>
                  <w:divBdr>
                    <w:top w:val="none" w:sz="0" w:space="0" w:color="auto"/>
                    <w:left w:val="none" w:sz="0" w:space="0" w:color="auto"/>
                    <w:bottom w:val="none" w:sz="0" w:space="0" w:color="auto"/>
                    <w:right w:val="none" w:sz="0" w:space="0" w:color="auto"/>
                  </w:divBdr>
                  <w:divsChild>
                    <w:div w:id="947928121">
                      <w:marLeft w:val="0"/>
                      <w:marRight w:val="0"/>
                      <w:marTop w:val="0"/>
                      <w:marBottom w:val="0"/>
                      <w:divBdr>
                        <w:top w:val="none" w:sz="0" w:space="0" w:color="auto"/>
                        <w:left w:val="none" w:sz="0" w:space="0" w:color="auto"/>
                        <w:bottom w:val="none" w:sz="0" w:space="0" w:color="auto"/>
                        <w:right w:val="none" w:sz="0" w:space="0" w:color="auto"/>
                      </w:divBdr>
                      <w:divsChild>
                        <w:div w:id="41708536">
                          <w:marLeft w:val="0"/>
                          <w:marRight w:val="0"/>
                          <w:marTop w:val="0"/>
                          <w:marBottom w:val="0"/>
                          <w:divBdr>
                            <w:top w:val="none" w:sz="0" w:space="0" w:color="auto"/>
                            <w:left w:val="none" w:sz="0" w:space="0" w:color="auto"/>
                            <w:bottom w:val="none" w:sz="0" w:space="0" w:color="auto"/>
                            <w:right w:val="none" w:sz="0" w:space="0" w:color="auto"/>
                          </w:divBdr>
                          <w:divsChild>
                            <w:div w:id="1202479668">
                              <w:marLeft w:val="0"/>
                              <w:marRight w:val="0"/>
                              <w:marTop w:val="0"/>
                              <w:marBottom w:val="0"/>
                              <w:divBdr>
                                <w:top w:val="none" w:sz="0" w:space="0" w:color="auto"/>
                                <w:left w:val="none" w:sz="0" w:space="0" w:color="auto"/>
                                <w:bottom w:val="none" w:sz="0" w:space="0" w:color="auto"/>
                                <w:right w:val="none" w:sz="0" w:space="0" w:color="auto"/>
                              </w:divBdr>
                              <w:divsChild>
                                <w:div w:id="836578109">
                                  <w:marLeft w:val="0"/>
                                  <w:marRight w:val="0"/>
                                  <w:marTop w:val="0"/>
                                  <w:marBottom w:val="0"/>
                                  <w:divBdr>
                                    <w:top w:val="none" w:sz="0" w:space="0" w:color="auto"/>
                                    <w:left w:val="none" w:sz="0" w:space="0" w:color="auto"/>
                                    <w:bottom w:val="none" w:sz="0" w:space="0" w:color="auto"/>
                                    <w:right w:val="none" w:sz="0" w:space="0" w:color="auto"/>
                                  </w:divBdr>
                                  <w:divsChild>
                                    <w:div w:id="1192451063">
                                      <w:marLeft w:val="0"/>
                                      <w:marRight w:val="0"/>
                                      <w:marTop w:val="0"/>
                                      <w:marBottom w:val="0"/>
                                      <w:divBdr>
                                        <w:top w:val="none" w:sz="0" w:space="0" w:color="auto"/>
                                        <w:left w:val="none" w:sz="0" w:space="0" w:color="auto"/>
                                        <w:bottom w:val="none" w:sz="0" w:space="0" w:color="auto"/>
                                        <w:right w:val="none" w:sz="0" w:space="0" w:color="auto"/>
                                      </w:divBdr>
                                      <w:divsChild>
                                        <w:div w:id="1164668581">
                                          <w:marLeft w:val="0"/>
                                          <w:marRight w:val="0"/>
                                          <w:marTop w:val="0"/>
                                          <w:marBottom w:val="0"/>
                                          <w:divBdr>
                                            <w:top w:val="none" w:sz="0" w:space="0" w:color="auto"/>
                                            <w:left w:val="none" w:sz="0" w:space="0" w:color="auto"/>
                                            <w:bottom w:val="none" w:sz="0" w:space="0" w:color="auto"/>
                                            <w:right w:val="none" w:sz="0" w:space="0" w:color="auto"/>
                                          </w:divBdr>
                                          <w:divsChild>
                                            <w:div w:id="201401562">
                                              <w:marLeft w:val="0"/>
                                              <w:marRight w:val="0"/>
                                              <w:marTop w:val="0"/>
                                              <w:marBottom w:val="0"/>
                                              <w:divBdr>
                                                <w:top w:val="none" w:sz="0" w:space="0" w:color="auto"/>
                                                <w:left w:val="none" w:sz="0" w:space="0" w:color="auto"/>
                                                <w:bottom w:val="none" w:sz="0" w:space="0" w:color="auto"/>
                                                <w:right w:val="none" w:sz="0" w:space="0" w:color="auto"/>
                                              </w:divBdr>
                                              <w:divsChild>
                                                <w:div w:id="786388771">
                                                  <w:marLeft w:val="0"/>
                                                  <w:marRight w:val="0"/>
                                                  <w:marTop w:val="0"/>
                                                  <w:marBottom w:val="0"/>
                                                  <w:divBdr>
                                                    <w:top w:val="none" w:sz="0" w:space="0" w:color="auto"/>
                                                    <w:left w:val="none" w:sz="0" w:space="0" w:color="auto"/>
                                                    <w:bottom w:val="none" w:sz="0" w:space="0" w:color="auto"/>
                                                    <w:right w:val="none" w:sz="0" w:space="0" w:color="auto"/>
                                                  </w:divBdr>
                                                  <w:divsChild>
                                                    <w:div w:id="1066955795">
                                                      <w:marLeft w:val="0"/>
                                                      <w:marRight w:val="0"/>
                                                      <w:marTop w:val="0"/>
                                                      <w:marBottom w:val="0"/>
                                                      <w:divBdr>
                                                        <w:top w:val="none" w:sz="0" w:space="0" w:color="auto"/>
                                                        <w:left w:val="none" w:sz="0" w:space="0" w:color="auto"/>
                                                        <w:bottom w:val="none" w:sz="0" w:space="0" w:color="auto"/>
                                                        <w:right w:val="none" w:sz="0" w:space="0" w:color="auto"/>
                                                      </w:divBdr>
                                                      <w:divsChild>
                                                        <w:div w:id="1622416317">
                                                          <w:marLeft w:val="0"/>
                                                          <w:marRight w:val="0"/>
                                                          <w:marTop w:val="0"/>
                                                          <w:marBottom w:val="0"/>
                                                          <w:divBdr>
                                                            <w:top w:val="none" w:sz="0" w:space="0" w:color="auto"/>
                                                            <w:left w:val="none" w:sz="0" w:space="0" w:color="auto"/>
                                                            <w:bottom w:val="none" w:sz="0" w:space="0" w:color="auto"/>
                                                            <w:right w:val="none" w:sz="0" w:space="0" w:color="auto"/>
                                                          </w:divBdr>
                                                          <w:divsChild>
                                                            <w:div w:id="106894520">
                                                              <w:marLeft w:val="0"/>
                                                              <w:marRight w:val="0"/>
                                                              <w:marTop w:val="0"/>
                                                              <w:marBottom w:val="0"/>
                                                              <w:divBdr>
                                                                <w:top w:val="none" w:sz="0" w:space="0" w:color="auto"/>
                                                                <w:left w:val="none" w:sz="0" w:space="0" w:color="auto"/>
                                                                <w:bottom w:val="none" w:sz="0" w:space="0" w:color="auto"/>
                                                                <w:right w:val="none" w:sz="0" w:space="0" w:color="auto"/>
                                                              </w:divBdr>
                                                              <w:divsChild>
                                                                <w:div w:id="678040367">
                                                                  <w:marLeft w:val="0"/>
                                                                  <w:marRight w:val="0"/>
                                                                  <w:marTop w:val="0"/>
                                                                  <w:marBottom w:val="0"/>
                                                                  <w:divBdr>
                                                                    <w:top w:val="none" w:sz="0" w:space="0" w:color="auto"/>
                                                                    <w:left w:val="none" w:sz="0" w:space="0" w:color="auto"/>
                                                                    <w:bottom w:val="none" w:sz="0" w:space="0" w:color="auto"/>
                                                                    <w:right w:val="none" w:sz="0" w:space="0" w:color="auto"/>
                                                                  </w:divBdr>
                                                                  <w:divsChild>
                                                                    <w:div w:id="1657684674">
                                                                      <w:marLeft w:val="0"/>
                                                                      <w:marRight w:val="0"/>
                                                                      <w:marTop w:val="0"/>
                                                                      <w:marBottom w:val="0"/>
                                                                      <w:divBdr>
                                                                        <w:top w:val="none" w:sz="0" w:space="0" w:color="auto"/>
                                                                        <w:left w:val="none" w:sz="0" w:space="0" w:color="auto"/>
                                                                        <w:bottom w:val="none" w:sz="0" w:space="0" w:color="auto"/>
                                                                        <w:right w:val="none" w:sz="0" w:space="0" w:color="auto"/>
                                                                      </w:divBdr>
                                                                      <w:divsChild>
                                                                        <w:div w:id="1292205748">
                                                                          <w:marLeft w:val="0"/>
                                                                          <w:marRight w:val="0"/>
                                                                          <w:marTop w:val="0"/>
                                                                          <w:marBottom w:val="0"/>
                                                                          <w:divBdr>
                                                                            <w:top w:val="none" w:sz="0" w:space="0" w:color="auto"/>
                                                                            <w:left w:val="none" w:sz="0" w:space="0" w:color="auto"/>
                                                                            <w:bottom w:val="none" w:sz="0" w:space="0" w:color="auto"/>
                                                                            <w:right w:val="none" w:sz="0" w:space="0" w:color="auto"/>
                                                                          </w:divBdr>
                                                                          <w:divsChild>
                                                                            <w:div w:id="79454510">
                                                                              <w:marLeft w:val="0"/>
                                                                              <w:marRight w:val="0"/>
                                                                              <w:marTop w:val="0"/>
                                                                              <w:marBottom w:val="0"/>
                                                                              <w:divBdr>
                                                                                <w:top w:val="none" w:sz="0" w:space="0" w:color="auto"/>
                                                                                <w:left w:val="none" w:sz="0" w:space="0" w:color="auto"/>
                                                                                <w:bottom w:val="none" w:sz="0" w:space="0" w:color="auto"/>
                                                                                <w:right w:val="none" w:sz="0" w:space="0" w:color="auto"/>
                                                                              </w:divBdr>
                                                                              <w:divsChild>
                                                                                <w:div w:id="899514344">
                                                                                  <w:marLeft w:val="0"/>
                                                                                  <w:marRight w:val="0"/>
                                                                                  <w:marTop w:val="0"/>
                                                                                  <w:marBottom w:val="0"/>
                                                                                  <w:divBdr>
                                                                                    <w:top w:val="none" w:sz="0" w:space="0" w:color="auto"/>
                                                                                    <w:left w:val="none" w:sz="0" w:space="0" w:color="auto"/>
                                                                                    <w:bottom w:val="none" w:sz="0" w:space="0" w:color="auto"/>
                                                                                    <w:right w:val="none" w:sz="0" w:space="0" w:color="auto"/>
                                                                                  </w:divBdr>
                                                                                  <w:divsChild>
                                                                                    <w:div w:id="1474978754">
                                                                                      <w:marLeft w:val="0"/>
                                                                                      <w:marRight w:val="0"/>
                                                                                      <w:marTop w:val="0"/>
                                                                                      <w:marBottom w:val="0"/>
                                                                                      <w:divBdr>
                                                                                        <w:top w:val="none" w:sz="0" w:space="0" w:color="auto"/>
                                                                                        <w:left w:val="none" w:sz="0" w:space="0" w:color="auto"/>
                                                                                        <w:bottom w:val="none" w:sz="0" w:space="0" w:color="auto"/>
                                                                                        <w:right w:val="none" w:sz="0" w:space="0" w:color="auto"/>
                                                                                      </w:divBdr>
                                                                                      <w:divsChild>
                                                                                        <w:div w:id="1058406762">
                                                                                          <w:marLeft w:val="0"/>
                                                                                          <w:marRight w:val="0"/>
                                                                                          <w:marTop w:val="0"/>
                                                                                          <w:marBottom w:val="0"/>
                                                                                          <w:divBdr>
                                                                                            <w:top w:val="none" w:sz="0" w:space="0" w:color="auto"/>
                                                                                            <w:left w:val="none" w:sz="0" w:space="0" w:color="auto"/>
                                                                                            <w:bottom w:val="none" w:sz="0" w:space="0" w:color="auto"/>
                                                                                            <w:right w:val="none" w:sz="0" w:space="0" w:color="auto"/>
                                                                                          </w:divBdr>
                                                                                          <w:divsChild>
                                                                                            <w:div w:id="10349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rug-safety-upd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ho-umc.org/graphics/28401.pdf" TargetMode="External"/><Relationship Id="rId4" Type="http://schemas.openxmlformats.org/officeDocument/2006/relationships/settings" Target="settings.xml"/><Relationship Id="rId9" Type="http://schemas.openxmlformats.org/officeDocument/2006/relationships/hyperlink" Target="http://www.mhra.gov.uk/yellowcar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BC25-8B70-4EDC-ACD9-6A5994E3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Chris</dc:creator>
  <cp:lastModifiedBy>Dan</cp:lastModifiedBy>
  <cp:revision>3</cp:revision>
  <dcterms:created xsi:type="dcterms:W3CDTF">2015-03-02T20:59:00Z</dcterms:created>
  <dcterms:modified xsi:type="dcterms:W3CDTF">2015-03-02T21:39:00Z</dcterms:modified>
</cp:coreProperties>
</file>