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049C7" w14:textId="51F7878B" w:rsidR="00942CA3" w:rsidRPr="00003C55" w:rsidRDefault="00E1729F" w:rsidP="00487D2E">
      <w:pPr>
        <w:spacing w:after="200" w:line="360" w:lineRule="auto"/>
        <w:rPr>
          <w:b/>
          <w:sz w:val="28"/>
          <w:szCs w:val="28"/>
          <w:lang w:val="en-GB"/>
        </w:rPr>
      </w:pPr>
      <w:r>
        <w:rPr>
          <w:b/>
          <w:sz w:val="28"/>
          <w:szCs w:val="28"/>
          <w:lang w:val="en-GB"/>
        </w:rPr>
        <w:t xml:space="preserve">A comparison of </w:t>
      </w:r>
      <w:r w:rsidR="009663A1">
        <w:rPr>
          <w:b/>
          <w:sz w:val="28"/>
          <w:szCs w:val="28"/>
          <w:lang w:val="en-GB"/>
        </w:rPr>
        <w:t>survival</w:t>
      </w:r>
      <w:r>
        <w:rPr>
          <w:b/>
          <w:sz w:val="28"/>
          <w:szCs w:val="28"/>
          <w:lang w:val="en-GB"/>
        </w:rPr>
        <w:t xml:space="preserve"> between on-pump and off-pump </w:t>
      </w:r>
      <w:r w:rsidR="009D1B1D" w:rsidRPr="009D1B1D">
        <w:rPr>
          <w:b/>
          <w:sz w:val="28"/>
          <w:szCs w:val="28"/>
          <w:lang w:val="en-GB"/>
        </w:rPr>
        <w:t>left internal mammary artery bypass graft</w:t>
      </w:r>
      <w:r w:rsidR="009D1B1D">
        <w:rPr>
          <w:b/>
          <w:sz w:val="28"/>
          <w:szCs w:val="28"/>
          <w:lang w:val="en-GB"/>
        </w:rPr>
        <w:t xml:space="preserve"> </w:t>
      </w:r>
      <w:r>
        <w:rPr>
          <w:b/>
          <w:sz w:val="28"/>
          <w:szCs w:val="28"/>
          <w:lang w:val="en-GB"/>
        </w:rPr>
        <w:t>surgery for isolated</w:t>
      </w:r>
      <w:r w:rsidR="00881E44">
        <w:rPr>
          <w:b/>
          <w:sz w:val="28"/>
          <w:szCs w:val="28"/>
          <w:lang w:val="en-GB"/>
        </w:rPr>
        <w:t xml:space="preserve"> left anterior descending </w:t>
      </w:r>
      <w:r>
        <w:rPr>
          <w:b/>
          <w:sz w:val="28"/>
          <w:szCs w:val="28"/>
          <w:lang w:val="en-GB"/>
        </w:rPr>
        <w:t xml:space="preserve">coronary </w:t>
      </w:r>
      <w:r w:rsidR="00881E44">
        <w:rPr>
          <w:b/>
          <w:sz w:val="28"/>
          <w:szCs w:val="28"/>
          <w:lang w:val="en-GB"/>
        </w:rPr>
        <w:t>artery</w:t>
      </w:r>
      <w:r>
        <w:rPr>
          <w:b/>
          <w:sz w:val="28"/>
          <w:szCs w:val="28"/>
          <w:lang w:val="en-GB"/>
        </w:rPr>
        <w:t xml:space="preserve"> disease</w:t>
      </w:r>
      <w:r w:rsidR="00881E44">
        <w:rPr>
          <w:b/>
          <w:sz w:val="28"/>
          <w:szCs w:val="28"/>
          <w:lang w:val="en-GB"/>
        </w:rPr>
        <w:t>:</w:t>
      </w:r>
      <w:r>
        <w:rPr>
          <w:b/>
          <w:sz w:val="28"/>
          <w:szCs w:val="28"/>
          <w:lang w:val="en-GB"/>
        </w:rPr>
        <w:t xml:space="preserve"> </w:t>
      </w:r>
      <w:r w:rsidR="00771A3F">
        <w:rPr>
          <w:b/>
          <w:sz w:val="28"/>
          <w:szCs w:val="28"/>
          <w:lang w:val="en-GB"/>
        </w:rPr>
        <w:t>An</w:t>
      </w:r>
      <w:r w:rsidR="00942CA3" w:rsidRPr="00003C55">
        <w:rPr>
          <w:b/>
          <w:sz w:val="28"/>
          <w:szCs w:val="28"/>
          <w:lang w:val="en-GB"/>
        </w:rPr>
        <w:t xml:space="preserve"> analysis of the UK National Adult Cardiac Surgery Audit Registry</w:t>
      </w:r>
    </w:p>
    <w:p w14:paraId="31BB28AB" w14:textId="624325B9" w:rsidR="00942CA3" w:rsidRPr="00C75A7E" w:rsidRDefault="00942CA3" w:rsidP="00487D2E">
      <w:pPr>
        <w:spacing w:after="200" w:line="360" w:lineRule="auto"/>
        <w:rPr>
          <w:lang w:val="en-GB"/>
        </w:rPr>
      </w:pPr>
      <w:r w:rsidRPr="00C75A7E">
        <w:rPr>
          <w:lang w:val="en-GB"/>
        </w:rPr>
        <w:t>Graeme L Hickey</w:t>
      </w:r>
      <w:r w:rsidRPr="00C75A7E">
        <w:rPr>
          <w:vertAlign w:val="superscript"/>
          <w:lang w:val="en-GB"/>
        </w:rPr>
        <w:t>1,2,</w:t>
      </w:r>
      <w:r w:rsidRPr="00C75A7E">
        <w:rPr>
          <w:lang w:val="en-GB"/>
        </w:rPr>
        <w:t xml:space="preserve">, </w:t>
      </w:r>
      <w:r w:rsidRPr="00C75A7E">
        <w:rPr>
          <w:color w:val="000000"/>
        </w:rPr>
        <w:t>Mark Pullan</w:t>
      </w:r>
      <w:r w:rsidRPr="00C75A7E">
        <w:rPr>
          <w:color w:val="000000"/>
          <w:vertAlign w:val="superscript"/>
        </w:rPr>
        <w:t>4</w:t>
      </w:r>
      <w:r w:rsidRPr="00C75A7E">
        <w:rPr>
          <w:lang w:val="en-GB"/>
        </w:rPr>
        <w:t xml:space="preserve">, </w:t>
      </w:r>
      <w:r w:rsidRPr="00C75A7E">
        <w:rPr>
          <w:color w:val="000000"/>
          <w:lang w:val="en-GB"/>
        </w:rPr>
        <w:t>Aung Oo</w:t>
      </w:r>
      <w:r w:rsidRPr="00C75A7E">
        <w:rPr>
          <w:color w:val="000000"/>
          <w:vertAlign w:val="superscript"/>
          <w:lang w:val="en-GB"/>
        </w:rPr>
        <w:t>4</w:t>
      </w:r>
      <w:r w:rsidRPr="00C75A7E">
        <w:rPr>
          <w:lang w:val="en-GB"/>
        </w:rPr>
        <w:t xml:space="preserve">, </w:t>
      </w:r>
      <w:r w:rsidRPr="00C75A7E">
        <w:rPr>
          <w:color w:val="000000"/>
          <w:lang w:val="en-GB"/>
        </w:rPr>
        <w:t>Neeraj Mediratta</w:t>
      </w:r>
      <w:r w:rsidRPr="00C75A7E">
        <w:rPr>
          <w:color w:val="000000"/>
          <w:vertAlign w:val="superscript"/>
          <w:lang w:val="en-GB"/>
        </w:rPr>
        <w:t>4</w:t>
      </w:r>
      <w:r w:rsidRPr="00C75A7E">
        <w:rPr>
          <w:lang w:val="en-GB"/>
        </w:rPr>
        <w:t xml:space="preserve">, </w:t>
      </w:r>
      <w:r w:rsidRPr="00C75A7E">
        <w:rPr>
          <w:color w:val="000000"/>
          <w:lang w:val="en-GB"/>
        </w:rPr>
        <w:t>John Chalmers</w:t>
      </w:r>
      <w:r w:rsidRPr="00C75A7E">
        <w:rPr>
          <w:color w:val="000000"/>
          <w:vertAlign w:val="superscript"/>
          <w:lang w:val="en-GB"/>
        </w:rPr>
        <w:t>4</w:t>
      </w:r>
      <w:r w:rsidRPr="00C75A7E">
        <w:rPr>
          <w:lang w:val="en-GB"/>
        </w:rPr>
        <w:t xml:space="preserve">, </w:t>
      </w:r>
      <w:r w:rsidR="009D2646">
        <w:rPr>
          <w:lang w:val="en-GB"/>
        </w:rPr>
        <w:t>Ben Bridgewater</w:t>
      </w:r>
      <w:r w:rsidR="009D2646" w:rsidRPr="009D2646">
        <w:rPr>
          <w:vertAlign w:val="superscript"/>
          <w:lang w:val="en-GB"/>
        </w:rPr>
        <w:t>2,5</w:t>
      </w:r>
      <w:r w:rsidR="009D2646">
        <w:rPr>
          <w:lang w:val="en-GB"/>
        </w:rPr>
        <w:t xml:space="preserve">, </w:t>
      </w:r>
      <w:r w:rsidRPr="00C75A7E">
        <w:rPr>
          <w:color w:val="000000"/>
          <w:lang w:val="en-GB"/>
        </w:rPr>
        <w:t>Michael Poullis</w:t>
      </w:r>
      <w:r w:rsidRPr="00C75A7E">
        <w:rPr>
          <w:color w:val="000000"/>
          <w:vertAlign w:val="superscript"/>
          <w:lang w:val="en-GB"/>
        </w:rPr>
        <w:t>4</w:t>
      </w:r>
      <w:r w:rsidRPr="00C75A7E">
        <w:rPr>
          <w:color w:val="000000"/>
          <w:lang w:val="en-GB"/>
        </w:rPr>
        <w:t>*</w:t>
      </w:r>
    </w:p>
    <w:p w14:paraId="7413E5A2" w14:textId="77777777" w:rsidR="00942CA3" w:rsidRPr="00C75A7E" w:rsidRDefault="00942CA3" w:rsidP="00487D2E">
      <w:pPr>
        <w:spacing w:after="200" w:line="360" w:lineRule="auto"/>
        <w:rPr>
          <w:color w:val="000000"/>
          <w:lang w:val="en-GB"/>
        </w:rPr>
      </w:pPr>
    </w:p>
    <w:p w14:paraId="3A5D7CED" w14:textId="2017CA1F" w:rsidR="00942CA3" w:rsidRPr="00C75A7E" w:rsidRDefault="00942CA3" w:rsidP="00487D2E">
      <w:pPr>
        <w:spacing w:after="200" w:line="360" w:lineRule="auto"/>
        <w:rPr>
          <w:color w:val="000000"/>
          <w:lang w:val="en-GB"/>
        </w:rPr>
      </w:pPr>
      <w:r w:rsidRPr="00C75A7E">
        <w:rPr>
          <w:color w:val="000000"/>
          <w:vertAlign w:val="superscript"/>
          <w:lang w:val="en-GB"/>
        </w:rPr>
        <w:t>1</w:t>
      </w:r>
      <w:r w:rsidRPr="00C75A7E">
        <w:rPr>
          <w:color w:val="000000"/>
          <w:lang w:val="en-GB"/>
        </w:rPr>
        <w:t xml:space="preserve"> University of Liverpool, Department of </w:t>
      </w:r>
      <w:r w:rsidR="00AC489F">
        <w:rPr>
          <w:color w:val="000000"/>
          <w:lang w:val="en-GB"/>
        </w:rPr>
        <w:t>Biostatistics</w:t>
      </w:r>
      <w:r w:rsidRPr="00C75A7E">
        <w:rPr>
          <w:color w:val="000000"/>
          <w:lang w:val="en-GB"/>
        </w:rPr>
        <w:t>, Waterhouse Building (Block F), 1-5 Brownlow Street, Liverpool, L69 3GL, UK</w:t>
      </w:r>
    </w:p>
    <w:p w14:paraId="2F8E5A5A" w14:textId="77777777" w:rsidR="00942CA3" w:rsidRPr="00C75A7E" w:rsidRDefault="00942CA3" w:rsidP="00487D2E">
      <w:pPr>
        <w:spacing w:after="200" w:line="360" w:lineRule="auto"/>
        <w:rPr>
          <w:color w:val="000000"/>
          <w:lang w:val="en-GB"/>
        </w:rPr>
      </w:pPr>
      <w:r w:rsidRPr="00C75A7E">
        <w:rPr>
          <w:color w:val="000000"/>
          <w:vertAlign w:val="superscript"/>
          <w:lang w:val="en-GB"/>
        </w:rPr>
        <w:t>2</w:t>
      </w:r>
      <w:r w:rsidRPr="00C75A7E">
        <w:rPr>
          <w:color w:val="000000"/>
          <w:lang w:val="en-GB"/>
        </w:rPr>
        <w:t xml:space="preserve"> University College London, National Institute for Cardiovascular Outcomes Research (NICOR), 170 Tottenham Court Road, London, W1T 7HA, UK</w:t>
      </w:r>
    </w:p>
    <w:p w14:paraId="032D08C3" w14:textId="77777777" w:rsidR="00942CA3" w:rsidRPr="00C75A7E" w:rsidRDefault="00942CA3" w:rsidP="00487D2E">
      <w:pPr>
        <w:spacing w:after="200" w:line="360" w:lineRule="auto"/>
        <w:rPr>
          <w:color w:val="000000"/>
          <w:lang w:val="en-GB"/>
        </w:rPr>
      </w:pPr>
      <w:r w:rsidRPr="00C75A7E">
        <w:rPr>
          <w:color w:val="000000"/>
          <w:vertAlign w:val="superscript"/>
          <w:lang w:val="en-GB"/>
        </w:rPr>
        <w:t>3</w:t>
      </w:r>
      <w:r w:rsidRPr="00C75A7E">
        <w:rPr>
          <w:color w:val="000000"/>
          <w:lang w:val="en-GB"/>
        </w:rPr>
        <w:t xml:space="preserve"> University of Manchester, Manchester Academic Health Science Centre, University Hospital of South Manchester, Academic Surgery Unit, Southmoor Road, Manchester, M23 9LT, UK</w:t>
      </w:r>
    </w:p>
    <w:p w14:paraId="71B5E10D" w14:textId="77777777" w:rsidR="00942CA3" w:rsidRDefault="00942CA3" w:rsidP="00487D2E">
      <w:pPr>
        <w:spacing w:after="200" w:line="360" w:lineRule="auto"/>
        <w:rPr>
          <w:color w:val="000000"/>
        </w:rPr>
      </w:pPr>
      <w:r w:rsidRPr="00C75A7E">
        <w:rPr>
          <w:color w:val="000000"/>
          <w:vertAlign w:val="superscript"/>
        </w:rPr>
        <w:t>4</w:t>
      </w:r>
      <w:r w:rsidRPr="00C75A7E">
        <w:rPr>
          <w:color w:val="000000"/>
        </w:rPr>
        <w:t xml:space="preserve"> Department of Cardiothoracic Surgery, Liverpool Heart &amp; Chest Hospital, Thomas Drive, Liverpool, L14 3PE, UK</w:t>
      </w:r>
    </w:p>
    <w:p w14:paraId="22C1B3AD" w14:textId="0A06AB6C" w:rsidR="009D2646" w:rsidRPr="00C75A7E" w:rsidRDefault="009D2646" w:rsidP="00487D2E">
      <w:pPr>
        <w:spacing w:after="200" w:line="360" w:lineRule="auto"/>
        <w:rPr>
          <w:color w:val="000000"/>
        </w:rPr>
      </w:pPr>
      <w:r w:rsidRPr="00330412">
        <w:rPr>
          <w:color w:val="000000"/>
          <w:vertAlign w:val="superscript"/>
        </w:rPr>
        <w:t>5</w:t>
      </w:r>
      <w:r>
        <w:rPr>
          <w:color w:val="000000"/>
        </w:rPr>
        <w:t xml:space="preserve"> </w:t>
      </w:r>
      <w:r w:rsidR="00330412" w:rsidRPr="00330412">
        <w:rPr>
          <w:color w:val="000000"/>
        </w:rPr>
        <w:t>University of Manchester, Manchester Academic Health Science Centre, University Hospital of South Manchester, Department of Cardiothoracic Surgery, Southmoor Road, Manchester, M23 9LT, UK</w:t>
      </w:r>
      <w:bookmarkStart w:id="0" w:name="_GoBack"/>
      <w:bookmarkEnd w:id="0"/>
    </w:p>
    <w:p w14:paraId="6987A31D" w14:textId="77777777" w:rsidR="00942CA3" w:rsidRPr="00C75A7E" w:rsidRDefault="00942CA3" w:rsidP="00487D2E">
      <w:pPr>
        <w:spacing w:after="200" w:line="360" w:lineRule="auto"/>
        <w:rPr>
          <w:color w:val="000000"/>
        </w:rPr>
      </w:pPr>
    </w:p>
    <w:p w14:paraId="52114EB7" w14:textId="4E1E2D64" w:rsidR="00A456DA" w:rsidRDefault="00942CA3" w:rsidP="00BD5F41">
      <w:pPr>
        <w:spacing w:after="200" w:line="360" w:lineRule="auto"/>
        <w:rPr>
          <w:b/>
          <w:color w:val="000000"/>
        </w:rPr>
      </w:pPr>
      <w:r w:rsidRPr="00C75A7E">
        <w:rPr>
          <w:b/>
          <w:color w:val="000000"/>
        </w:rPr>
        <w:t>* Corresponding Author</w:t>
      </w:r>
      <w:r w:rsidR="00A456DA">
        <w:rPr>
          <w:b/>
          <w:color w:val="000000"/>
        </w:rPr>
        <w:t xml:space="preserve">: </w:t>
      </w:r>
      <w:r w:rsidRPr="00C75A7E">
        <w:rPr>
          <w:color w:val="000000"/>
        </w:rPr>
        <w:t>Mr. Michael Poullis</w:t>
      </w:r>
      <w:r w:rsidR="00A456DA">
        <w:rPr>
          <w:color w:val="000000"/>
        </w:rPr>
        <w:t>,</w:t>
      </w:r>
      <w:r w:rsidR="00A456DA" w:rsidRPr="00A456DA">
        <w:rPr>
          <w:b/>
          <w:color w:val="000000"/>
        </w:rPr>
        <w:t xml:space="preserve"> Address: </w:t>
      </w:r>
      <w:r w:rsidRPr="00C75A7E">
        <w:rPr>
          <w:color w:val="000000"/>
        </w:rPr>
        <w:t>L</w:t>
      </w:r>
      <w:r w:rsidR="00A456DA">
        <w:rPr>
          <w:color w:val="000000"/>
        </w:rPr>
        <w:t>iverpool Heart &amp; Chest Hospital,</w:t>
      </w:r>
      <w:r w:rsidRPr="00C75A7E">
        <w:rPr>
          <w:color w:val="000000"/>
        </w:rPr>
        <w:t xml:space="preserve"> Thomas Drive, Liverpool, L14 3PE, UK</w:t>
      </w:r>
      <w:r w:rsidR="00A456DA">
        <w:rPr>
          <w:color w:val="000000"/>
        </w:rPr>
        <w:t xml:space="preserve">, </w:t>
      </w:r>
      <w:r w:rsidRPr="00C75A7E">
        <w:rPr>
          <w:b/>
          <w:color w:val="000000"/>
          <w:lang w:val="fr-FR"/>
        </w:rPr>
        <w:t>Email</w:t>
      </w:r>
      <w:r w:rsidRPr="00C75A7E">
        <w:rPr>
          <w:color w:val="000000"/>
          <w:lang w:val="fr-FR"/>
        </w:rPr>
        <w:t xml:space="preserve">: </w:t>
      </w:r>
      <w:hyperlink r:id="rId9" w:history="1">
        <w:r w:rsidR="00A456DA" w:rsidRPr="00A456DA">
          <w:rPr>
            <w:rStyle w:val="Hyperlink"/>
            <w:color w:val="auto"/>
            <w:u w:val="none"/>
            <w:lang w:val="fr-FR"/>
          </w:rPr>
          <w:t>mpoullis@hotmail.com</w:t>
        </w:r>
      </w:hyperlink>
      <w:r w:rsidR="00A456DA" w:rsidRPr="00A456DA">
        <w:t xml:space="preserve">, </w:t>
      </w:r>
      <w:r w:rsidRPr="00A456DA">
        <w:rPr>
          <w:b/>
          <w:lang w:val="fr-FR"/>
        </w:rPr>
        <w:t>Tel</w:t>
      </w:r>
      <w:r w:rsidRPr="00C75A7E">
        <w:rPr>
          <w:color w:val="000000"/>
          <w:lang w:val="fr-FR"/>
        </w:rPr>
        <w:t>: +44 (0)151 228 1616</w:t>
      </w:r>
      <w:r w:rsidR="00A456DA">
        <w:rPr>
          <w:color w:val="000000"/>
        </w:rPr>
        <w:t xml:space="preserve">, </w:t>
      </w:r>
      <w:r w:rsidRPr="00C75A7E">
        <w:rPr>
          <w:b/>
          <w:color w:val="000000"/>
          <w:lang w:val="fr-FR"/>
        </w:rPr>
        <w:t xml:space="preserve">Fax: </w:t>
      </w:r>
      <w:r w:rsidRPr="00C75A7E">
        <w:rPr>
          <w:color w:val="000000"/>
          <w:lang w:val="fr-FR"/>
        </w:rPr>
        <w:t>+44 (0)151 293 2254</w:t>
      </w:r>
    </w:p>
    <w:p w14:paraId="0458BFB1" w14:textId="4BB1CCF2" w:rsidR="00BD5F41" w:rsidRDefault="00BD5F41" w:rsidP="00BD5F41">
      <w:pPr>
        <w:spacing w:after="200" w:line="360" w:lineRule="auto"/>
        <w:rPr>
          <w:color w:val="000000"/>
        </w:rPr>
      </w:pPr>
      <w:r w:rsidRPr="00C75A7E">
        <w:rPr>
          <w:b/>
          <w:color w:val="000000"/>
        </w:rPr>
        <w:t>Word count:</w:t>
      </w:r>
      <w:r w:rsidR="005006A1">
        <w:rPr>
          <w:color w:val="000000"/>
        </w:rPr>
        <w:t xml:space="preserve"> </w:t>
      </w:r>
      <w:r w:rsidR="00161637">
        <w:rPr>
          <w:color w:val="000000"/>
        </w:rPr>
        <w:t>4470</w:t>
      </w:r>
    </w:p>
    <w:p w14:paraId="34A1D614" w14:textId="5DDADF4E" w:rsidR="000B348E" w:rsidRDefault="00BD5F41" w:rsidP="009D1B1D">
      <w:pPr>
        <w:spacing w:after="200" w:line="360" w:lineRule="auto"/>
        <w:rPr>
          <w:b/>
          <w:color w:val="000000"/>
        </w:rPr>
      </w:pPr>
      <w:r>
        <w:rPr>
          <w:b/>
          <w:color w:val="000000"/>
        </w:rPr>
        <w:t>Number of tables</w:t>
      </w:r>
      <w:r w:rsidRPr="00C75A7E">
        <w:rPr>
          <w:b/>
          <w:color w:val="000000"/>
        </w:rPr>
        <w:t>:</w:t>
      </w:r>
      <w:r w:rsidR="005006A1">
        <w:rPr>
          <w:color w:val="000000"/>
        </w:rPr>
        <w:t xml:space="preserve"> </w:t>
      </w:r>
      <w:r>
        <w:rPr>
          <w:color w:val="000000"/>
        </w:rPr>
        <w:t>2</w:t>
      </w:r>
      <w:r w:rsidR="00330412">
        <w:rPr>
          <w:b/>
          <w:color w:val="000000"/>
        </w:rPr>
        <w:t xml:space="preserve">; </w:t>
      </w:r>
      <w:r>
        <w:rPr>
          <w:b/>
          <w:color w:val="000000"/>
        </w:rPr>
        <w:t>Number of figures</w:t>
      </w:r>
      <w:r w:rsidRPr="00C75A7E">
        <w:rPr>
          <w:b/>
          <w:color w:val="000000"/>
        </w:rPr>
        <w:t>:</w:t>
      </w:r>
      <w:r w:rsidR="005006A1">
        <w:rPr>
          <w:color w:val="000000"/>
        </w:rPr>
        <w:t xml:space="preserve"> </w:t>
      </w:r>
      <w:r w:rsidR="000C3EA6">
        <w:rPr>
          <w:color w:val="000000"/>
        </w:rPr>
        <w:t>5</w:t>
      </w:r>
      <w:r w:rsidR="000B348E">
        <w:rPr>
          <w:b/>
          <w:color w:val="000000"/>
        </w:rPr>
        <w:br w:type="page"/>
      </w:r>
    </w:p>
    <w:p w14:paraId="39B80C3E" w14:textId="057A01C0" w:rsidR="00942CA3" w:rsidRPr="00C75A7E" w:rsidRDefault="00942CA3" w:rsidP="00487D2E">
      <w:pPr>
        <w:spacing w:after="200" w:line="360" w:lineRule="auto"/>
        <w:rPr>
          <w:b/>
          <w:color w:val="000000"/>
          <w:lang w:val="en-GB"/>
        </w:rPr>
      </w:pPr>
      <w:r w:rsidRPr="00C75A7E">
        <w:rPr>
          <w:b/>
          <w:color w:val="000000"/>
          <w:lang w:val="en-GB"/>
        </w:rPr>
        <w:lastRenderedPageBreak/>
        <w:t>ABSTRACT</w:t>
      </w:r>
    </w:p>
    <w:p w14:paraId="63878E30" w14:textId="7F1036E7" w:rsidR="00942CA3" w:rsidRPr="00A456DA" w:rsidRDefault="00942CA3" w:rsidP="00487D2E">
      <w:pPr>
        <w:spacing w:after="200" w:line="360" w:lineRule="auto"/>
        <w:rPr>
          <w:b/>
          <w:color w:val="000000"/>
          <w:lang w:val="en-GB"/>
        </w:rPr>
      </w:pPr>
      <w:r w:rsidRPr="00C75A7E">
        <w:rPr>
          <w:b/>
          <w:color w:val="000000"/>
          <w:lang w:val="en-GB"/>
        </w:rPr>
        <w:t>Objective</w:t>
      </w:r>
      <w:r w:rsidR="00A456DA">
        <w:rPr>
          <w:b/>
          <w:color w:val="000000"/>
          <w:lang w:val="en-GB"/>
        </w:rPr>
        <w:t xml:space="preserve">: </w:t>
      </w:r>
      <w:r w:rsidRPr="00C75A7E">
        <w:rPr>
          <w:color w:val="000000"/>
          <w:lang w:val="en-GB"/>
        </w:rPr>
        <w:t xml:space="preserve">To determine if </w:t>
      </w:r>
      <w:r w:rsidR="001675FE">
        <w:rPr>
          <w:color w:val="000000"/>
          <w:lang w:val="en-GB"/>
        </w:rPr>
        <w:t>the use of cardiopulmonary bypass is</w:t>
      </w:r>
      <w:r w:rsidRPr="00C75A7E">
        <w:rPr>
          <w:color w:val="000000"/>
          <w:lang w:val="en-GB"/>
        </w:rPr>
        <w:t xml:space="preserve"> associated with all-cause in-hospital and mid-term </w:t>
      </w:r>
      <w:r w:rsidR="008C650B">
        <w:rPr>
          <w:color w:val="000000"/>
          <w:lang w:val="en-GB"/>
        </w:rPr>
        <w:t>survival</w:t>
      </w:r>
      <w:r w:rsidR="008C650B" w:rsidRPr="00C75A7E">
        <w:rPr>
          <w:color w:val="000000"/>
          <w:lang w:val="en-GB"/>
        </w:rPr>
        <w:t xml:space="preserve"> </w:t>
      </w:r>
      <w:r w:rsidRPr="00C75A7E">
        <w:rPr>
          <w:color w:val="000000"/>
          <w:lang w:val="en-GB"/>
        </w:rPr>
        <w:t xml:space="preserve">for </w:t>
      </w:r>
      <w:r w:rsidR="00E31E39">
        <w:rPr>
          <w:color w:val="000000"/>
          <w:lang w:val="en-GB"/>
        </w:rPr>
        <w:t xml:space="preserve">patients undergoing </w:t>
      </w:r>
      <w:r w:rsidR="00F1559E">
        <w:rPr>
          <w:color w:val="000000"/>
          <w:lang w:val="en-GB"/>
        </w:rPr>
        <w:t>left internal mammary artery (</w:t>
      </w:r>
      <w:r w:rsidR="00E31E39">
        <w:rPr>
          <w:color w:val="000000"/>
          <w:lang w:val="en-GB"/>
        </w:rPr>
        <w:t>LIMA</w:t>
      </w:r>
      <w:r w:rsidR="00F1559E">
        <w:rPr>
          <w:color w:val="000000"/>
          <w:lang w:val="en-GB"/>
        </w:rPr>
        <w:t xml:space="preserve">) </w:t>
      </w:r>
      <w:r w:rsidR="00E31E39">
        <w:rPr>
          <w:color w:val="000000"/>
          <w:lang w:val="en-GB"/>
        </w:rPr>
        <w:t>to</w:t>
      </w:r>
      <w:r w:rsidR="00F1559E">
        <w:rPr>
          <w:color w:val="000000"/>
          <w:lang w:val="en-GB"/>
        </w:rPr>
        <w:t xml:space="preserve"> left anterior descending (</w:t>
      </w:r>
      <w:r w:rsidRPr="00C75A7E">
        <w:rPr>
          <w:color w:val="000000"/>
          <w:lang w:val="en-GB"/>
        </w:rPr>
        <w:t>LAD</w:t>
      </w:r>
      <w:r w:rsidR="00F1559E">
        <w:rPr>
          <w:color w:val="000000"/>
          <w:lang w:val="en-GB"/>
        </w:rPr>
        <w:t>)</w:t>
      </w:r>
      <w:r w:rsidRPr="00C75A7E">
        <w:rPr>
          <w:color w:val="000000"/>
          <w:lang w:val="en-GB"/>
        </w:rPr>
        <w:t xml:space="preserve"> </w:t>
      </w:r>
      <w:r w:rsidR="00B25D57">
        <w:rPr>
          <w:color w:val="000000"/>
          <w:lang w:val="en-GB"/>
        </w:rPr>
        <w:t xml:space="preserve">coronary artery bypass </w:t>
      </w:r>
      <w:r w:rsidRPr="00C75A7E">
        <w:rPr>
          <w:color w:val="000000"/>
          <w:lang w:val="en-GB"/>
        </w:rPr>
        <w:t>grafting</w:t>
      </w:r>
      <w:r w:rsidR="00B25D57">
        <w:rPr>
          <w:color w:val="000000"/>
          <w:lang w:val="en-GB"/>
        </w:rPr>
        <w:t xml:space="preserve"> (CABG)</w:t>
      </w:r>
      <w:r w:rsidR="0008456B">
        <w:rPr>
          <w:color w:val="000000"/>
          <w:lang w:val="en-GB"/>
        </w:rPr>
        <w:t xml:space="preserve"> for single </w:t>
      </w:r>
      <w:r w:rsidR="000079D1">
        <w:rPr>
          <w:color w:val="000000"/>
          <w:lang w:val="en-GB"/>
        </w:rPr>
        <w:t xml:space="preserve">coronary </w:t>
      </w:r>
      <w:r w:rsidR="0008456B">
        <w:rPr>
          <w:color w:val="000000"/>
          <w:lang w:val="en-GB"/>
        </w:rPr>
        <w:t>vessel disease</w:t>
      </w:r>
      <w:r w:rsidRPr="00C75A7E">
        <w:rPr>
          <w:color w:val="000000"/>
          <w:lang w:val="en-GB"/>
        </w:rPr>
        <w:t>.</w:t>
      </w:r>
    </w:p>
    <w:p w14:paraId="162C13A2" w14:textId="4E6FE77A" w:rsidR="00942CA3" w:rsidRPr="00A456DA" w:rsidRDefault="00942CA3" w:rsidP="00487D2E">
      <w:pPr>
        <w:spacing w:after="200" w:line="360" w:lineRule="auto"/>
        <w:rPr>
          <w:b/>
          <w:color w:val="000000"/>
          <w:lang w:val="en-GB"/>
        </w:rPr>
      </w:pPr>
      <w:r w:rsidRPr="00C75A7E">
        <w:rPr>
          <w:b/>
          <w:color w:val="000000"/>
          <w:lang w:val="en-GB"/>
        </w:rPr>
        <w:t>Methods</w:t>
      </w:r>
      <w:r w:rsidR="00A456DA">
        <w:rPr>
          <w:b/>
          <w:color w:val="000000"/>
          <w:lang w:val="en-GB"/>
        </w:rPr>
        <w:t xml:space="preserve">: </w:t>
      </w:r>
      <w:r w:rsidR="00B25D57">
        <w:rPr>
          <w:color w:val="000000"/>
        </w:rPr>
        <w:t>Data from the National Adult Cardiac Surgery Audit registry for all elective and urgent isolated CABG procedures</w:t>
      </w:r>
      <w:r w:rsidR="00671D25">
        <w:rPr>
          <w:color w:val="000000"/>
        </w:rPr>
        <w:t xml:space="preserve"> performed between April-2003 and March-2013</w:t>
      </w:r>
      <w:r w:rsidR="00B25D57">
        <w:rPr>
          <w:color w:val="000000"/>
        </w:rPr>
        <w:t xml:space="preserve"> in first-time cardiac surgery patients </w:t>
      </w:r>
      <w:r w:rsidR="00671D25">
        <w:rPr>
          <w:color w:val="000000"/>
        </w:rPr>
        <w:t>were</w:t>
      </w:r>
      <w:r w:rsidR="00B25D57">
        <w:rPr>
          <w:color w:val="000000"/>
        </w:rPr>
        <w:t xml:space="preserve"> extracted. </w:t>
      </w:r>
      <w:r w:rsidR="004160A5">
        <w:rPr>
          <w:color w:val="000000"/>
        </w:rPr>
        <w:t>Experienced s</w:t>
      </w:r>
      <w:r w:rsidR="00EC5E79">
        <w:rPr>
          <w:color w:val="000000"/>
        </w:rPr>
        <w:t xml:space="preserve">urgeons </w:t>
      </w:r>
      <w:r w:rsidR="00E12039">
        <w:rPr>
          <w:color w:val="000000"/>
        </w:rPr>
        <w:t xml:space="preserve">(those with ≥300 records) </w:t>
      </w:r>
      <w:r w:rsidR="00EC5E79">
        <w:rPr>
          <w:color w:val="000000"/>
        </w:rPr>
        <w:t xml:space="preserve">were </w:t>
      </w:r>
      <w:r w:rsidR="002B3EE7">
        <w:rPr>
          <w:color w:val="000000"/>
        </w:rPr>
        <w:t>classified</w:t>
      </w:r>
      <w:r w:rsidR="00EC5E79">
        <w:rPr>
          <w:color w:val="000000"/>
        </w:rPr>
        <w:t xml:space="preserve"> </w:t>
      </w:r>
      <w:r w:rsidR="007130B9">
        <w:rPr>
          <w:color w:val="000000"/>
        </w:rPr>
        <w:t>by their technique preference</w:t>
      </w:r>
      <w:r w:rsidR="000A67A3">
        <w:rPr>
          <w:color w:val="000000"/>
        </w:rPr>
        <w:t xml:space="preserve"> (as ‘off-pump preference’, ‘mixed practice’, ‘on-pump preference’)</w:t>
      </w:r>
      <w:r w:rsidR="00EC5E79">
        <w:rPr>
          <w:color w:val="000000"/>
        </w:rPr>
        <w:t xml:space="preserve"> </w:t>
      </w:r>
      <w:r w:rsidR="002B3EE7">
        <w:rPr>
          <w:color w:val="000000"/>
        </w:rPr>
        <w:t xml:space="preserve">based on their entire </w:t>
      </w:r>
      <w:r w:rsidR="00FE33BF">
        <w:rPr>
          <w:color w:val="000000"/>
        </w:rPr>
        <w:t xml:space="preserve">isolated </w:t>
      </w:r>
      <w:r w:rsidR="002B3EE7">
        <w:rPr>
          <w:color w:val="000000"/>
        </w:rPr>
        <w:t>CABG data</w:t>
      </w:r>
      <w:r w:rsidR="00EC5E79">
        <w:rPr>
          <w:color w:val="000000"/>
        </w:rPr>
        <w:t xml:space="preserve">. </w:t>
      </w:r>
      <w:r w:rsidR="00E2434E">
        <w:rPr>
          <w:color w:val="000000"/>
        </w:rPr>
        <w:t>In-hospital mortality and time-to-death</w:t>
      </w:r>
      <w:r w:rsidR="009E5042">
        <w:rPr>
          <w:color w:val="000000"/>
        </w:rPr>
        <w:t xml:space="preserve"> </w:t>
      </w:r>
      <w:r w:rsidR="00E2434E">
        <w:rPr>
          <w:color w:val="000000"/>
        </w:rPr>
        <w:t>were</w:t>
      </w:r>
      <w:r w:rsidR="00144A7A">
        <w:t xml:space="preserve"> </w:t>
      </w:r>
      <w:r w:rsidR="00E857CC">
        <w:t>analyzed</w:t>
      </w:r>
      <w:r w:rsidR="00144A7A">
        <w:t xml:space="preserve"> </w:t>
      </w:r>
      <w:r w:rsidR="00034B1D">
        <w:t xml:space="preserve">using </w:t>
      </w:r>
      <w:r w:rsidR="00CA13CA">
        <w:t>logistic and Cox proportional hazards regression</w:t>
      </w:r>
      <w:r w:rsidR="00583D2C">
        <w:t xml:space="preserve"> models respectively</w:t>
      </w:r>
      <w:r w:rsidR="00CA13CA">
        <w:t>.</w:t>
      </w:r>
    </w:p>
    <w:p w14:paraId="16FB31D4" w14:textId="3C062FE4" w:rsidR="007F605C" w:rsidRPr="00A456DA" w:rsidRDefault="00942CA3" w:rsidP="00487D2E">
      <w:pPr>
        <w:spacing w:after="200" w:line="360" w:lineRule="auto"/>
        <w:rPr>
          <w:b/>
          <w:color w:val="000000"/>
          <w:lang w:val="en-GB"/>
        </w:rPr>
      </w:pPr>
      <w:r w:rsidRPr="00C75A7E">
        <w:rPr>
          <w:b/>
          <w:color w:val="000000"/>
          <w:lang w:val="en-GB"/>
        </w:rPr>
        <w:t>Results</w:t>
      </w:r>
      <w:r w:rsidR="00A456DA">
        <w:rPr>
          <w:b/>
          <w:color w:val="000000"/>
          <w:lang w:val="en-GB"/>
        </w:rPr>
        <w:t xml:space="preserve">: </w:t>
      </w:r>
      <w:r w:rsidR="00E31E39">
        <w:rPr>
          <w:lang w:val="en-GB"/>
        </w:rPr>
        <w:t>From a</w:t>
      </w:r>
      <w:r w:rsidR="007F605C">
        <w:rPr>
          <w:lang w:val="en-GB"/>
        </w:rPr>
        <w:t xml:space="preserve"> total of </w:t>
      </w:r>
      <w:r w:rsidR="0090762D">
        <w:rPr>
          <w:lang w:val="en-GB"/>
        </w:rPr>
        <w:t>3402</w:t>
      </w:r>
      <w:r w:rsidR="00E31E39">
        <w:rPr>
          <w:lang w:val="en-GB"/>
        </w:rPr>
        <w:t xml:space="preserve"> records, </w:t>
      </w:r>
      <w:r w:rsidR="0086369C">
        <w:rPr>
          <w:lang w:val="en-GB"/>
        </w:rPr>
        <w:t>65.5% were performed off-pump. T</w:t>
      </w:r>
      <w:r w:rsidR="008C18C3">
        <w:rPr>
          <w:lang w:val="en-GB"/>
        </w:rPr>
        <w:t xml:space="preserve">here were </w:t>
      </w:r>
      <w:r w:rsidR="0090762D">
        <w:rPr>
          <w:lang w:val="en-GB"/>
        </w:rPr>
        <w:t>16 (0.47</w:t>
      </w:r>
      <w:r w:rsidR="008C18C3" w:rsidRPr="00C75A7E">
        <w:rPr>
          <w:lang w:val="en-GB"/>
        </w:rPr>
        <w:t xml:space="preserve">%) in-hospital deaths: </w:t>
      </w:r>
      <w:r w:rsidR="0090762D">
        <w:rPr>
          <w:lang w:val="en-GB"/>
        </w:rPr>
        <w:t>6 (0.51</w:t>
      </w:r>
      <w:r w:rsidR="008C18C3" w:rsidRPr="00C75A7E">
        <w:rPr>
          <w:lang w:val="en-GB"/>
        </w:rPr>
        <w:t xml:space="preserve">%) in the on-pump group and </w:t>
      </w:r>
      <w:r w:rsidR="0090762D">
        <w:rPr>
          <w:lang w:val="en-GB"/>
        </w:rPr>
        <w:t>10 (0.45</w:t>
      </w:r>
      <w:r w:rsidR="008C18C3" w:rsidRPr="00C75A7E">
        <w:rPr>
          <w:lang w:val="en-GB"/>
        </w:rPr>
        <w:t>%) in the off-pump group. The</w:t>
      </w:r>
      <w:r w:rsidR="00E31E39">
        <w:rPr>
          <w:lang w:val="en-GB"/>
        </w:rPr>
        <w:t xml:space="preserve"> </w:t>
      </w:r>
      <w:r w:rsidR="0090762D">
        <w:rPr>
          <w:lang w:val="en-GB"/>
        </w:rPr>
        <w:t>risk-</w:t>
      </w:r>
      <w:r w:rsidR="00E31E39">
        <w:rPr>
          <w:lang w:val="en-GB"/>
        </w:rPr>
        <w:t>adjusted</w:t>
      </w:r>
      <w:r w:rsidR="008C18C3" w:rsidRPr="00C75A7E">
        <w:rPr>
          <w:lang w:val="en-GB"/>
        </w:rPr>
        <w:t xml:space="preserve"> odds ratio</w:t>
      </w:r>
      <w:r w:rsidR="0008354B">
        <w:rPr>
          <w:lang w:val="en-GB"/>
        </w:rPr>
        <w:t xml:space="preserve"> of in-hospital mortality</w:t>
      </w:r>
      <w:r w:rsidR="008C18C3" w:rsidRPr="00C75A7E">
        <w:rPr>
          <w:lang w:val="en-GB"/>
        </w:rPr>
        <w:t xml:space="preserve"> in t</w:t>
      </w:r>
      <w:r w:rsidR="0090762D">
        <w:rPr>
          <w:lang w:val="en-GB"/>
        </w:rPr>
        <w:t>he direction of</w:t>
      </w:r>
      <w:r w:rsidR="0075788A">
        <w:rPr>
          <w:lang w:val="en-GB"/>
        </w:rPr>
        <w:t xml:space="preserve"> on-pump was 1.09 (95% CI: 0.39 to </w:t>
      </w:r>
      <w:r w:rsidR="0090762D">
        <w:rPr>
          <w:lang w:val="en-GB"/>
        </w:rPr>
        <w:t>3.04</w:t>
      </w:r>
      <w:r w:rsidR="008C18C3" w:rsidRPr="00C75A7E">
        <w:rPr>
          <w:lang w:val="en-GB"/>
        </w:rPr>
        <w:t xml:space="preserve">; </w:t>
      </w:r>
      <w:r w:rsidR="008C18C3" w:rsidRPr="00C75A7E">
        <w:rPr>
          <w:i/>
          <w:lang w:val="en-GB"/>
        </w:rPr>
        <w:t>P</w:t>
      </w:r>
      <w:r w:rsidR="0090762D">
        <w:rPr>
          <w:lang w:val="en-GB"/>
        </w:rPr>
        <w:t>=0.86</w:t>
      </w:r>
      <w:r w:rsidR="008C18C3" w:rsidRPr="00C75A7E">
        <w:rPr>
          <w:lang w:val="en-GB"/>
        </w:rPr>
        <w:t>).</w:t>
      </w:r>
      <w:r w:rsidR="000D4C78">
        <w:rPr>
          <w:lang w:val="en-GB"/>
        </w:rPr>
        <w:t xml:space="preserve"> </w:t>
      </w:r>
      <w:r w:rsidR="0008354B" w:rsidRPr="00C75A7E">
        <w:rPr>
          <w:lang w:val="en-GB"/>
        </w:rPr>
        <w:t xml:space="preserve">The </w:t>
      </w:r>
      <w:r w:rsidR="00106E32">
        <w:rPr>
          <w:lang w:val="en-GB"/>
        </w:rPr>
        <w:t xml:space="preserve">overall </w:t>
      </w:r>
      <w:r w:rsidR="00AF0A7F">
        <w:rPr>
          <w:lang w:val="en-GB"/>
        </w:rPr>
        <w:t>5</w:t>
      </w:r>
      <w:r w:rsidR="0008354B" w:rsidRPr="00C75A7E">
        <w:rPr>
          <w:lang w:val="en-GB"/>
        </w:rPr>
        <w:t xml:space="preserve">-year survival in </w:t>
      </w:r>
      <w:r w:rsidR="0090762D">
        <w:rPr>
          <w:lang w:val="en-GB"/>
        </w:rPr>
        <w:t xml:space="preserve">the </w:t>
      </w:r>
      <w:r w:rsidR="00547EB3">
        <w:rPr>
          <w:lang w:val="en-GB"/>
        </w:rPr>
        <w:t>on- and off-pump</w:t>
      </w:r>
      <w:r w:rsidR="0008354B" w:rsidRPr="00C75A7E">
        <w:rPr>
          <w:lang w:val="en-GB"/>
        </w:rPr>
        <w:t xml:space="preserve"> group</w:t>
      </w:r>
      <w:r w:rsidR="00AF0A7F">
        <w:rPr>
          <w:lang w:val="en-GB"/>
        </w:rPr>
        <w:t>s</w:t>
      </w:r>
      <w:r w:rsidR="0008354B" w:rsidRPr="00C75A7E">
        <w:rPr>
          <w:lang w:val="en-GB"/>
        </w:rPr>
        <w:t xml:space="preserve"> was </w:t>
      </w:r>
      <w:r w:rsidR="0090762D">
        <w:rPr>
          <w:lang w:val="en-GB"/>
        </w:rPr>
        <w:t>93.1</w:t>
      </w:r>
      <w:r w:rsidR="0008354B">
        <w:rPr>
          <w:lang w:val="en-GB"/>
        </w:rPr>
        <w:t>%</w:t>
      </w:r>
      <w:r w:rsidR="0090762D">
        <w:rPr>
          <w:lang w:val="en-GB"/>
        </w:rPr>
        <w:t xml:space="preserve"> and 93.4% </w:t>
      </w:r>
      <w:r w:rsidR="00620346">
        <w:rPr>
          <w:lang w:val="en-GB"/>
        </w:rPr>
        <w:t>respectively</w:t>
      </w:r>
      <w:r w:rsidR="0008354B" w:rsidRPr="00C75A7E">
        <w:rPr>
          <w:lang w:val="en-GB"/>
        </w:rPr>
        <w:t xml:space="preserve">. </w:t>
      </w:r>
      <w:r w:rsidR="000D4C78">
        <w:rPr>
          <w:lang w:val="en-GB"/>
        </w:rPr>
        <w:t>T</w:t>
      </w:r>
      <w:r w:rsidR="000D4C78" w:rsidRPr="00C75A7E">
        <w:rPr>
          <w:lang w:val="en-GB"/>
        </w:rPr>
        <w:t>he</w:t>
      </w:r>
      <w:r w:rsidR="000D4C78">
        <w:rPr>
          <w:lang w:val="en-GB"/>
        </w:rPr>
        <w:t xml:space="preserve"> </w:t>
      </w:r>
      <w:r w:rsidR="00E31E39">
        <w:rPr>
          <w:lang w:val="en-GB"/>
        </w:rPr>
        <w:t xml:space="preserve">adjusted </w:t>
      </w:r>
      <w:r w:rsidR="000D4C78" w:rsidRPr="00C75A7E">
        <w:rPr>
          <w:lang w:val="en-GB"/>
        </w:rPr>
        <w:t>hazard ratio</w:t>
      </w:r>
      <w:r w:rsidR="0008354B">
        <w:rPr>
          <w:lang w:val="en-GB"/>
        </w:rPr>
        <w:t xml:space="preserve"> for mortality</w:t>
      </w:r>
      <w:r w:rsidR="00E31E39">
        <w:rPr>
          <w:lang w:val="en-GB"/>
        </w:rPr>
        <w:t xml:space="preserve"> </w:t>
      </w:r>
      <w:r w:rsidR="000D4C78" w:rsidRPr="00C75A7E">
        <w:rPr>
          <w:lang w:val="en-GB"/>
        </w:rPr>
        <w:t>in the direction of on-p</w:t>
      </w:r>
      <w:r w:rsidR="00640A61">
        <w:rPr>
          <w:lang w:val="en-GB"/>
        </w:rPr>
        <w:t>ump CABG was 1.1</w:t>
      </w:r>
      <w:r w:rsidR="00C04811">
        <w:rPr>
          <w:lang w:val="en-GB"/>
        </w:rPr>
        <w:t>5</w:t>
      </w:r>
      <w:r w:rsidR="00640A61">
        <w:rPr>
          <w:lang w:val="en-GB"/>
        </w:rPr>
        <w:t xml:space="preserve"> (95% CI: 0.</w:t>
      </w:r>
      <w:r w:rsidR="00C04811">
        <w:rPr>
          <w:lang w:val="en-GB"/>
        </w:rPr>
        <w:t>89</w:t>
      </w:r>
      <w:r w:rsidR="000D4C78">
        <w:rPr>
          <w:lang w:val="en-GB"/>
        </w:rPr>
        <w:t xml:space="preserve"> to </w:t>
      </w:r>
      <w:r w:rsidR="000D4C78" w:rsidRPr="00C75A7E">
        <w:rPr>
          <w:lang w:val="en-GB"/>
        </w:rPr>
        <w:t>1.</w:t>
      </w:r>
      <w:r w:rsidR="00C04811">
        <w:rPr>
          <w:lang w:val="en-GB"/>
        </w:rPr>
        <w:t>49</w:t>
      </w:r>
      <w:r w:rsidR="000D4C78">
        <w:rPr>
          <w:lang w:val="en-GB"/>
        </w:rPr>
        <w:t xml:space="preserve">; </w:t>
      </w:r>
      <w:r w:rsidR="000D4C78" w:rsidRPr="000F5D19">
        <w:rPr>
          <w:i/>
          <w:lang w:val="en-GB"/>
        </w:rPr>
        <w:t>P</w:t>
      </w:r>
      <w:r w:rsidR="00640A61">
        <w:rPr>
          <w:lang w:val="en-GB"/>
        </w:rPr>
        <w:t>=0.2</w:t>
      </w:r>
      <w:r w:rsidR="00C04811">
        <w:rPr>
          <w:lang w:val="en-GB"/>
        </w:rPr>
        <w:t>8</w:t>
      </w:r>
      <w:r w:rsidR="000D4C78" w:rsidRPr="00C75A7E">
        <w:rPr>
          <w:lang w:val="en-GB"/>
        </w:rPr>
        <w:t>)</w:t>
      </w:r>
      <w:r w:rsidR="000D4C78">
        <w:rPr>
          <w:lang w:val="en-GB"/>
        </w:rPr>
        <w:t>.</w:t>
      </w:r>
      <w:r w:rsidR="0008354B">
        <w:rPr>
          <w:lang w:val="en-GB"/>
        </w:rPr>
        <w:t xml:space="preserve"> </w:t>
      </w:r>
      <w:r w:rsidR="00122855">
        <w:rPr>
          <w:lang w:val="en-GB"/>
        </w:rPr>
        <w:t xml:space="preserve">Comparing off-pump cases performed by </w:t>
      </w:r>
      <w:r w:rsidR="003660DA">
        <w:rPr>
          <w:lang w:val="en-GB"/>
        </w:rPr>
        <w:t xml:space="preserve">experienced CABG </w:t>
      </w:r>
      <w:r w:rsidR="00122855">
        <w:rPr>
          <w:lang w:val="en-GB"/>
        </w:rPr>
        <w:t>surgeons</w:t>
      </w:r>
      <w:r w:rsidR="003660DA">
        <w:rPr>
          <w:lang w:val="en-GB"/>
        </w:rPr>
        <w:t xml:space="preserve"> with a preference for the off-pump technique</w:t>
      </w:r>
      <w:r w:rsidR="00122855">
        <w:rPr>
          <w:lang w:val="en-GB"/>
        </w:rPr>
        <w:t xml:space="preserve"> to on-pump cases performed by surgeons</w:t>
      </w:r>
      <w:r w:rsidR="00C92150">
        <w:rPr>
          <w:lang w:val="en-GB"/>
        </w:rPr>
        <w:t xml:space="preserve"> </w:t>
      </w:r>
      <w:r w:rsidR="003660DA">
        <w:rPr>
          <w:lang w:val="en-GB"/>
        </w:rPr>
        <w:t xml:space="preserve">with a preference for the on-pump technique </w:t>
      </w:r>
      <w:r w:rsidR="00C92150">
        <w:rPr>
          <w:lang w:val="en-GB"/>
        </w:rPr>
        <w:t>indicated a significant difference (</w:t>
      </w:r>
      <w:r w:rsidR="000556DF" w:rsidRPr="00C75A7E">
        <w:t>HR for on-pump</w:t>
      </w:r>
      <w:r w:rsidR="00243EF3">
        <w:t>=</w:t>
      </w:r>
      <w:r w:rsidR="00640A61">
        <w:t>1.7</w:t>
      </w:r>
      <w:r w:rsidR="007A6BEF">
        <w:t>2</w:t>
      </w:r>
      <w:r w:rsidR="00640A61">
        <w:t>; 95% CI: 1.</w:t>
      </w:r>
      <w:r w:rsidR="007A6BEF">
        <w:t>19</w:t>
      </w:r>
      <w:r w:rsidR="00640A61">
        <w:t xml:space="preserve"> to 2.</w:t>
      </w:r>
      <w:r w:rsidR="007A6BEF">
        <w:t>47</w:t>
      </w:r>
      <w:r w:rsidR="000556DF" w:rsidRPr="00C75A7E">
        <w:t xml:space="preserve">; </w:t>
      </w:r>
      <w:r w:rsidR="000556DF" w:rsidRPr="00C75A7E">
        <w:rPr>
          <w:i/>
        </w:rPr>
        <w:t>P</w:t>
      </w:r>
      <w:r w:rsidR="00243EF3">
        <w:t>=</w:t>
      </w:r>
      <w:r w:rsidR="00640A61">
        <w:t>0.00</w:t>
      </w:r>
      <w:r w:rsidR="007A6BEF">
        <w:t>4</w:t>
      </w:r>
      <w:r w:rsidR="00640A61">
        <w:rPr>
          <w:lang w:val="en-GB"/>
        </w:rPr>
        <w:t>)</w:t>
      </w:r>
      <w:r w:rsidR="000556DF">
        <w:rPr>
          <w:lang w:val="en-GB"/>
        </w:rPr>
        <w:t>.</w:t>
      </w:r>
    </w:p>
    <w:p w14:paraId="6E790D93" w14:textId="1D00087F" w:rsidR="00942CA3" w:rsidRPr="000B0FD9" w:rsidRDefault="00942CA3" w:rsidP="000B0FD9">
      <w:pPr>
        <w:spacing w:after="200" w:line="360" w:lineRule="auto"/>
        <w:ind w:firstLine="720"/>
        <w:rPr>
          <w:lang w:val="en-GB"/>
        </w:rPr>
      </w:pPr>
      <w:r w:rsidRPr="00C75A7E">
        <w:rPr>
          <w:b/>
          <w:color w:val="000000"/>
          <w:lang w:val="en-GB"/>
        </w:rPr>
        <w:t>Conclusion</w:t>
      </w:r>
      <w:r w:rsidR="003133D4">
        <w:rPr>
          <w:b/>
          <w:color w:val="000000"/>
          <w:lang w:val="en-GB"/>
        </w:rPr>
        <w:t>s</w:t>
      </w:r>
      <w:r w:rsidR="00A456DA">
        <w:rPr>
          <w:b/>
          <w:color w:val="000000"/>
          <w:lang w:val="en-GB"/>
        </w:rPr>
        <w:t xml:space="preserve">: </w:t>
      </w:r>
      <w:r w:rsidR="000B0FD9">
        <w:rPr>
          <w:lang w:val="en-GB"/>
        </w:rPr>
        <w:t>Elective and urgent first-time CABG for isolated LAD disease is associated with excellent mid-term survival in the England and Wales population, conferring 5-year survival of 93.1% and 93.4% in the on-pump and off-pump groups respectively. There was no difference in risk-adjusted survival between on-pump and off-pump techniques when analysing all procedures; however supportive analysis demonstrated that off-</w:t>
      </w:r>
      <w:r w:rsidR="000B0FD9" w:rsidRPr="00EC6D07">
        <w:rPr>
          <w:lang w:val="en-GB"/>
        </w:rPr>
        <w:t xml:space="preserve">pump surgery </w:t>
      </w:r>
      <w:r w:rsidR="000B0FD9">
        <w:rPr>
          <w:lang w:val="en-GB"/>
        </w:rPr>
        <w:t>performed by experienced surgeons with a preference for the off-pump technique in their CABG caseload is associated with improved</w:t>
      </w:r>
      <w:r w:rsidR="000B0FD9" w:rsidRPr="00EC6D07">
        <w:rPr>
          <w:lang w:val="en-GB"/>
        </w:rPr>
        <w:t xml:space="preserve"> mid</w:t>
      </w:r>
      <w:r w:rsidR="000B0FD9">
        <w:rPr>
          <w:lang w:val="en-GB"/>
        </w:rPr>
        <w:t>-</w:t>
      </w:r>
      <w:r w:rsidR="000B0FD9" w:rsidRPr="00EC6D07">
        <w:rPr>
          <w:lang w:val="en-GB"/>
        </w:rPr>
        <w:t xml:space="preserve">term survival </w:t>
      </w:r>
      <w:r w:rsidR="000B0FD9">
        <w:rPr>
          <w:lang w:val="en-GB"/>
        </w:rPr>
        <w:t>when compared to on-</w:t>
      </w:r>
      <w:r w:rsidR="000B0FD9" w:rsidRPr="00EC6D07">
        <w:rPr>
          <w:lang w:val="en-GB"/>
        </w:rPr>
        <w:t xml:space="preserve">pump surgery </w:t>
      </w:r>
      <w:r w:rsidR="000B0FD9">
        <w:rPr>
          <w:lang w:val="en-GB"/>
        </w:rPr>
        <w:t>performed by surgeons with a preference for the on-pump technique</w:t>
      </w:r>
      <w:r w:rsidR="000B0FD9" w:rsidRPr="00EC6D07">
        <w:rPr>
          <w:lang w:val="en-GB"/>
        </w:rPr>
        <w:t>.</w:t>
      </w:r>
    </w:p>
    <w:p w14:paraId="350AB6DD" w14:textId="2552B3A6" w:rsidR="00942CA3" w:rsidRPr="003133D4" w:rsidRDefault="003133D4" w:rsidP="00487D2E">
      <w:pPr>
        <w:spacing w:after="200" w:line="360" w:lineRule="auto"/>
        <w:rPr>
          <w:color w:val="000000"/>
        </w:rPr>
      </w:pPr>
      <w:r w:rsidRPr="00C75A7E">
        <w:rPr>
          <w:b/>
          <w:color w:val="000000"/>
        </w:rPr>
        <w:t>Word count</w:t>
      </w:r>
      <w:r>
        <w:rPr>
          <w:b/>
          <w:color w:val="000000"/>
        </w:rPr>
        <w:t xml:space="preserve"> (abstract)</w:t>
      </w:r>
      <w:r w:rsidRPr="00C75A7E">
        <w:rPr>
          <w:b/>
          <w:color w:val="000000"/>
        </w:rPr>
        <w:t>:</w:t>
      </w:r>
      <w:r w:rsidR="005006A1">
        <w:rPr>
          <w:color w:val="000000"/>
        </w:rPr>
        <w:t xml:space="preserve"> </w:t>
      </w:r>
      <w:r w:rsidR="00611FA7">
        <w:rPr>
          <w:color w:val="000000"/>
        </w:rPr>
        <w:t>332</w:t>
      </w:r>
    </w:p>
    <w:p w14:paraId="4371D61E" w14:textId="77777777" w:rsidR="00FD1843" w:rsidRDefault="00942CA3" w:rsidP="00487D2E">
      <w:pPr>
        <w:spacing w:after="200" w:line="360" w:lineRule="auto"/>
        <w:rPr>
          <w:color w:val="000000"/>
        </w:rPr>
      </w:pPr>
      <w:r w:rsidRPr="00C75A7E">
        <w:rPr>
          <w:b/>
          <w:color w:val="000000"/>
        </w:rPr>
        <w:lastRenderedPageBreak/>
        <w:t>Keywords:</w:t>
      </w:r>
      <w:r w:rsidRPr="00C75A7E">
        <w:rPr>
          <w:color w:val="000000"/>
        </w:rPr>
        <w:t xml:space="preserve"> Coronary artery bypass grafting, </w:t>
      </w:r>
      <w:r w:rsidR="001675FE">
        <w:rPr>
          <w:color w:val="000000"/>
        </w:rPr>
        <w:t xml:space="preserve">left internal mammary artery, left anterior descending, </w:t>
      </w:r>
      <w:r w:rsidRPr="00C75A7E">
        <w:rPr>
          <w:color w:val="000000"/>
        </w:rPr>
        <w:t>survival, off-pump</w:t>
      </w:r>
    </w:p>
    <w:p w14:paraId="265E4FA9" w14:textId="01300821" w:rsidR="00942CA3" w:rsidRPr="00BD5F41" w:rsidRDefault="00942CA3" w:rsidP="00487D2E">
      <w:pPr>
        <w:spacing w:after="200" w:line="360" w:lineRule="auto"/>
        <w:rPr>
          <w:color w:val="000000"/>
        </w:rPr>
      </w:pPr>
      <w:r w:rsidRPr="00C75A7E">
        <w:br w:type="page"/>
      </w:r>
      <w:r w:rsidRPr="00C75A7E">
        <w:rPr>
          <w:b/>
        </w:rPr>
        <w:lastRenderedPageBreak/>
        <w:t>INTRODUCTION</w:t>
      </w:r>
    </w:p>
    <w:p w14:paraId="0B22C629" w14:textId="6003F2F0" w:rsidR="00942CA3" w:rsidRPr="00C75A7E" w:rsidRDefault="00942CA3" w:rsidP="00487D2E">
      <w:pPr>
        <w:spacing w:after="200" w:line="360" w:lineRule="auto"/>
        <w:ind w:firstLine="720"/>
        <w:rPr>
          <w:lang w:val="en-GB"/>
        </w:rPr>
      </w:pPr>
      <w:r w:rsidRPr="00C75A7E">
        <w:rPr>
          <w:lang w:val="en-GB"/>
        </w:rPr>
        <w:t xml:space="preserve">Debate </w:t>
      </w:r>
      <w:r w:rsidR="00EC422C" w:rsidRPr="00C75A7E">
        <w:rPr>
          <w:lang w:val="en-GB"/>
        </w:rPr>
        <w:t>still ensues</w:t>
      </w:r>
      <w:r w:rsidRPr="00C75A7E">
        <w:rPr>
          <w:lang w:val="en-GB"/>
        </w:rPr>
        <w:t xml:space="preserve"> with regard to the merits or detrimental effects of off-pump versus on-pump coronary artery bypass surgery (CABG)</w:t>
      </w:r>
      <w:r w:rsidR="007B6FA6">
        <w:rPr>
          <w:lang w:val="en-GB"/>
        </w:rPr>
        <w:t xml:space="preserve"> </w:t>
      </w:r>
      <w:r w:rsidR="005F3F54" w:rsidRPr="00C75A7E">
        <w:rPr>
          <w:lang w:val="en-GB"/>
        </w:rPr>
        <w:fldChar w:fldCharType="begin" w:fldLock="1"/>
      </w:r>
      <w:r w:rsidR="00C8628B">
        <w:rPr>
          <w:lang w:val="en-GB"/>
        </w:rPr>
        <w:instrText>ADDIN CSL_CITATION { "citationItems" : [ { "id" : "ITEM-1", "itemData" : { "ISSN" : "1524-4539", "PMID" : "22592900", "abstract" : "BACKGROUND: The Department of Veterans Affairs Randomized On/Off Bypass (ROOBY) trial compared clinical and angiographic outcomes in off-pump versus on-pump coronary artery bypass graft (CABG) surgery to ascertain the relative efficacy of the 2 techniques. METHODS AND RESULTS: From February 2002 to May 2007, the ROOBY trial randomized 2203 patients to off-pump versus on-pump CABG. Follow-up angiography was obtained in 685 off-pump (62%) and 685 on-pump (62%) patients. Angiograms were analyzed (blinded to treatment) for FitzGibbon classification (A=widely patent, B=flow limited, O=occluded) and effective revascularization. Effective revascularization was defined as follows: All 3 major coronary territories with significant disease were revascularized by a FitzGibbon A-quality graft to the major diseased artery, and there were no new postanastomotic lesions. Off-pump CABG resulted in lower FitzGibbon A patency rates than on-pump CABG for arterial conduits (85.8% versus 91.4%; P=0.003) and saphenous vein grafts (72.7% versus 80.4%; P&lt;0.001). Fewer off-pump patients were effectively revascularized (50.1% versus 63.9% on-pump; P&lt;0.001). Within each major coronary territory, effective revascularization was worse off pump than on pump (all P\u22640.001). The 1-year adverse cardiac event rate was 16.4% in patients with ineffective revascularization versus 5.9% in patients with effective revascularization (P&lt;0.001). CONCLUSIONS: Off-pump CABG resulted in significantly lower FitzGibbon A patency for arterial and saphenous vein graft conduits and less effective revascularization than on-pump CABG. At 1 year, patients with less effective revascularization had higher adverse event rates. CLINICAL TRIAL REGISTRATION: URL: http://www.clinicaltrials.gov. Unique identifier: NCT00032630.", "author" : [ { "dropping-particle" : "", "family" : "Hattler", "given" : "Brack", "non-dropping-particle" : "", "parse-names" : false, "suffix" : "" }, { "dropping-particle" : "", "family" : "Messenger", "given" : "John C", "non-dropping-particle" : "", "parse-names" : false, "suffix" : "" }, { "dropping-particle" : "", "family" : "Shroyer", "given" : "A Laurie", "non-dropping-particle" : "", "parse-names" : false, "suffix" : "" }, { "dropping-particle" : "", "family" : "Collins", "given" : "Joseph F", "non-dropping-particle" : "", "parse-names" : false, "suffix" : "" }, { "dropping-particle" : "", "family" : "Haugen", "given" : "Scott J", "non-dropping-particle" : "", "parse-names" : false, "suffix" : "" }, { "dropping-particle" : "", "family" : "Garcia", "given" : "Joel A", "non-dropping-particle" : "", "parse-names" : false, "suffix" : "" }, { "dropping-particle" : "", "family" : "Baltz", "given" : "Janet H", "non-dropping-particle" : "", "parse-names" : false, "suffix" : "" }, { "dropping-particle" : "", "family" : "Cleveland", "given" : "Joseph C", "non-dropping-particle" : "", "parse-names" : false, "suffix" : "" }, { "dropping-particle" : "", "family" : "Novitzky", "given" : "Dimitri", "non-dropping-particle" : "", "parse-names" : false, "suffix" : "" }, { "dropping-particle" : "", "family" : "Grover", "given" : "Frederick L", "non-dropping-particle" : "", "parse-names" : false, "suffix" : "" } ], "container-title" : "Circulation", "id" : "ITEM-1", "issue" : "23", "issued" : { "date-parts" : [ [ "2012", "6", "12" ] ] }, "page" : "2827-35", "title" : "Off-Pump coronary artery bypass surgery is associated with worse arterial and saphenous vein graft patency and less effective revascularization: Results from the Veterans Affairs Randomized On/Off Bypass (ROOBY) trial", "type" : "article-journal", "volume" : "125" }, "uris" : [ "http://www.mendeley.com/documents/?uuid=45790e77-ad70-446a-bbc0-7c398898d65e" ] }, { "id" : "ITEM-2", "itemData" : { "ISSN" : "1533-4406", "PMID" : "23477676", "abstract" : "BACKGROUND: Previously, we reported that there was no significant difference at 30 days in the rate of a primary composite outcome of death, myocardial infarction, stroke, or new renal failure requiring dialysis between patients who underwent coronary-artery bypass grafting (CABG) performed with a beating-heart technique (off-pump) and those who underwent CABG performed with cardiopulmonary bypass (on-pump). We now report results on quality of life and cognitive function and on clinical outcomes at 1 year. METHODS: We enrolled 4752 patients with coronary artery disease who were scheduled to undergo CABG and randomly assigned them to undergo the procedure off-pump or on-pump. Patients were enrolled at 79 centers in 19 countries. We assessed quality of life and cognitive function at discharge, at 30 days, and at 1 year and clinical outcomes at 1 year. RESULTS: At 1 year, there was no significant difference in the rate of the primary composite outcome between off-pump and on-pump CABG (12.1% and 13.3%, respectively; hazard ratio with off-pump CABG, 0.91; 95% confidence interval [CI], 0.77 to 1.07; P=0.24). The rate of the primary outcome was also similar in the two groups in the period between 31 days and 1 year (hazard ratio, 0.79; 95% CI, 0.55 to 1.13; P=0.19). The rate of repeat coronary revascularization at 1 year was 1.4% in the off-pump group and 0.8% in the on-pump group (hazard ratio, 1.66; 95% CI, 0.95 to 2.89; P=0.07). There were no significant differences between the two groups at 1 year in measures of quality of life or neurocognitive function. CONCLUSIONS: At 1 year after CABG, there was no significant difference between off-pump and on-pump CABG with respect to the primary composite outcome, the rate of repeat coronary revascularization, quality of life, or neurocognitive function. (Funded by the Canadian Institutes of Health Research; CORONARY ClinicalTrials.gov number, NCT00463294.).", "author" : [ { "dropping-particle" : "", "family" : "Lamy", "given" : "Andr\u00e9", "non-dropping-particle" : "", "parse-names" : false, "suffix" : "" }, { "dropping-particle" : "", "family" : "Devereaux", "given" : "P J", "non-dropping-particle" : "", "parse-names" : false, "suffix" : "" }, { "dropping-particle" : "", "family" : "Prabhakaran", "given" : "Dorairaj", "non-dropping-particle" : "", "parse-names" : false, "suffix" : "" }, { "dropping-particle" : "", "family" : "Taggart", "given" : "David P", "non-dropping-particle" : "", "parse-names" : false, "suffix" : "" }, { "dropping-particle" : "", "family" : "Hu", "given" : "Shengshou", "non-dropping-particle" : "", "parse-names" : false, "suffix" : "" }, { "dropping-particle" : "", "family" : "Paolasso", "given" : "Ernesto", "non-dropping-particle" : "", "parse-names" : false, "suffix" : "" }, { "dropping-particle" : "", "family" : "Straka", "given" : "Zbynek", "non-dropping-particle" : "", "parse-names" : false, "suffix" : "" }, { "dropping-particle" : "", "family" : "Piegas", "given" : "Leopoldo S", "non-dropping-particle" : "", "parse-names" : false, "suffix" : "" }, { "dropping-particle" : "", "family" : "Akar", "given" : "Ahmet Ruchan", "non-dropping-particle" : "", "parse-names" : false, "suffix" : "" }, { "dropping-particle" : "", "family" : "Jain", "given" : "Anil R", "non-dropping-particle" : "", "parse-names" : false, "suffix" : "" }, { "dropping-particle" : "", "family" : "Noiseux", "given" : "Nicolas", "non-dropping-particle" : "", "parse-names" : false, "suffix" : "" }, { "dropping-particle" : "", "family" : "Padmanabhan", "given" : "Chandrasekar", "non-dropping-particle" : "", "parse-names" : false, "suffix" : "" }, { "dropping-particle" : "", "family" : "Bahamondes", "given" : "Juan-Carlos", "non-dropping-particle" : "", "parse-names" : false, "suffix" : "" }, { "dropping-particle" : "", "family" : "Novick", "given" : "Richard J", "non-dropping-particle" : "", "parse-names" : false, "suffix" : "" }, { "dropping-particle" : "", "family" : "Vaijyanath", "given" : "Prashant", "non-dropping-particle" : "", "parse-names" : false, "suffix" : "" }, { "dropping-particle" : "", "family" : "Reddy", "given" : "Sukesh Kumar", "non-dropping-particle" : "", "parse-names" : false, "suffix" : "" }, { "dropping-particle" : "", "family" : "Tao", "given" : "Liang", "non-dropping-particle" : "", "parse-names" : false, "suffix" : "" }, { "dropping-particle" : "", "family" : "Olavegogeascoechea", "given" : "Pablo A", "non-dropping-particle" : "", "parse-names" : false, "suffix" : "" }, { "dropping-particle" : "", "family" : "Airan", "given" : "Balram", "non-dropping-particle" : "", "parse-names" : false, "suffix" : "" }, { "dropping-particle" : "", "family" : "Sulling", "given" : "Toomas-Andres", "non-dropping-particle" : "", "parse-names" : false, "suffix" : "" }, { "dropping-particle" : "", "family" : "Whitlock", "given" : "Richard P", "non-dropping-particle" : "", "parse-names" : false, "suffix" : "" }, { "dropping-particle" : "", "family" : "Ou", "given" : "Yongning", "non-dropping-particle" : "", "parse-names" : false, "suffix" : "" }, { "dropping-particle" : "", "family" : "Pogue", "given" : "Janice", "non-dropping-particle" : "", "parse-names" : false, "suffix" : "" }, { "dropping-particle" : "", "family" : "Chrolavicius", "given" : "Susan", "non-dropping-particle" : "", "parse-names" : false, "suffix" : "" }, { "dropping-particle" : "", "family" : "Yusuf", "given" : "Salim", "non-dropping-particle" : "", "parse-names" : false, "suffix" : "" } ], "container-title" : "The New England Journal of Medicine", "id" : "ITEM-2", "issue" : "13", "issued" : { "date-parts" : [ [ "2013", "3", "28" ] ] }, "page" : "1179-88", "title" : "Effects of off-pump and on-pump coronary-artery bypass grafting at 1 year", "type" : "article-journal", "volume" : "368" }, "uris" : [ "http://www.mendeley.com/documents/?uuid=a02eb25a-e5ad-466e-b083-278146b44094" ] }, { "id" : "ITEM-3", "itemData" : { "ISSN" : "1533-4406", "PMID" : "22449296", "abstract" : "BACKGROUND: The relative benefits and risks of performing coronary-artery bypass grafting (CABG) with a beating-heart technique (off-pump CABG), as compared with cardiopulmonary bypass (on-pump CABG), are not clearly established. METHODS: At 79 centers in 19 countries, we randomly assigned 4752 patients in whom CABG was planned to undergo the procedure off-pump or on-pump. The first coprimary outcome was a composite of death, nonfatal stroke, nonfatal myocardial infarction, or new renal failure requiring dialysis at 30 days after randomization. RESULTS: There was no significant difference in the rate of the primary composite outcome between off-pump and on-pump CABG (9.8% vs. 10.3%; hazard ratio for the off-pump group, 0.95; 95% confidence interval [CI], 0.79 to 1.14; P=0.59) or in any of its individual components. The use of off-pump CABG, as compared with on-pump CABG, significantly reduced the rates of blood-product transfusion (50.7% vs. 63.3%; relative risk, 0.80; 95% CI, 0.75 to 0.85; P&lt;0.001), reoperation for perioperative bleeding (1.4% vs. 2.4%; relative risk, 0.61; 95% CI, 0.40 to 0.93; P=0.02), acute kidney injury (28.0% vs. 32.1%; relative risk, 0.87; 95% CI, 0.80 to 0.96; P=0.01), and respiratory complications (5.9% vs. 7.5%; relative risk, 0.79; 95% CI, 0.63 to 0.98; P=0.03) but increased the rate of early repeat revascularizations (0.7% vs. 0.2%; hazard ratio, 4.01; 95% CI, 1.34 to 12.0; P=0.01). CONCLUSIONS: There was no significant difference between off-pump and on-pump CABG with respect to the 30-day rate of death, myocardial infarction, stroke, or renal failure requiring dialysis. The use of off-pump CABG resulted in reduced rates of transfusion, reoperation for perioperative bleeding, respiratory complications, and acute kidney injury but also resulted in an increased risk of early revascularization. (Funded by the Canadian Institutes of Health Research; CORONARY ClinicalTrials.gov number, NCT00463294.).", "author" : [ { "dropping-particle" : "", "family" : "Lamy", "given" : "Andr\u00e9", "non-dropping-particle" : "", "parse-names" : false, "suffix" : "" }, { "dropping-particle" : "", "family" : "Devereaux", "given" : "P J", "non-dropping-particle" : "", "parse-names" : false, "suffix" : "" }, { "dropping-particle" : "", "family" : "Prabhakaran", "given" : "Dorairaj", "non-dropping-particle" : "", "parse-names" : false, "suffix" : "" }, { "dropping-particle" : "", "family" : "Taggart", "given" : "David P", "non-dropping-particle" : "", "parse-names" : false, "suffix" : "" }, { "dropping-particle" : "", "family" : "Hu", "given" : "Shengshou", "non-dropping-particle" : "", "parse-names" : false, "suffix" : "" }, { "dropping-particle" : "", "family" : "Paolasso", "given" : "Ernesto", "non-dropping-particle" : "", "parse-names" : false, "suffix" : "" }, { "dropping-particle" : "", "family" : "Straka", "given" : "Zbynek", "non-dropping-particle" : "", "parse-names" : false, "suffix" : "" }, { "dropping-particle" : "", "family" : "Piegas", "given" : "Leopoldo S", "non-dropping-particle" : "", "parse-names" : false, "suffix" : "" }, { "dropping-particle" : "", "family" : "Akar", "given" : "Ahmet Ruchan", "non-dropping-particle" : "", "parse-names" : false, "suffix" : "" }, { "dropping-particle" : "", "family" : "Jain", "given" : "Anil R", "non-dropping-particle" : "", "parse-names" : false, "suffix" : "" }, { "dropping-particle" : "", "family" : "Noiseux", "given" : "Nicolas", "non-dropping-particle" : "", "parse-names" : false, "suffix" : "" }, { "dropping-particle" : "", "family" : "Padmanabhan", "given" : "Chandrasekar", "non-dropping-particle" : "", "parse-names" : false, "suffix" : "" }, { "dropping-particle" : "", "family" : "Bahamondes", "given" : "Juan-Carlos", "non-dropping-particle" : "", "parse-names" : false, "suffix" : "" }, { "dropping-particle" : "", "family" : "Novick", "given" : "Richard J", "non-dropping-particle" : "", "parse-names" : false, "suffix" : "" }, { "dropping-particle" : "", "family" : "Vaijyanath", "given" : "Prashant", "non-dropping-particle" : "", "parse-names" : false, "suffix" : "" }, { "dropping-particle" : "", "family" : "Reddy", "given" : "Sukesh", "non-dropping-particle" : "", "parse-names" : false, "suffix" : "" }, { "dropping-particle" : "", "family" : "Tao", "given" : "Liang", "non-dropping-particle" : "", "parse-names" : false, "suffix" : "" }, { "dropping-particle" : "", "family" : "Olavegogeascoechea", "given" : "Pablo A", "non-dropping-particle" : "", "parse-names" : false, "suffix" : "" }, { "dropping-particle" : "", "family" : "Airan", "given" : "Balram", "non-dropping-particle" : "", "parse-names" : false, "suffix" : "" }, { "dropping-particle" : "", "family" : "Sulling", "given" : "Toomas-Andres", "non-dropping-particle" : "", "parse-names" : false, "suffix" : "" }, { "dropping-particle" : "", "family" : "Whitlock", "given" : "Richard P", "non-dropping-particle" : "", "parse-names" : false, "suffix" : "" }, { "dropping-particle" : "", "family" : "Ou", "given" : "Yongning", "non-dropping-particle" : "", "parse-names" : false, "suffix" : "" }, { "dropping-particle" : "", "family" : "Ng", "given" : "Jennifer", "non-dropping-particle" : "", "parse-names" : false, "suffix" : "" }, { "dropping-particle" : "", "family" : "Chrolavicius", "given" : "Susan", "non-dropping-particle" : "", "parse-names" : false, "suffix" : "" }, { "dropping-particle" : "", "family" : "Yusuf", "given" : "Salim", "non-dropping-particle" : "", "parse-names" : false, "suffix" : "" } ], "container-title" : "The New England Journal of Medicine", "id" : "ITEM-3", "issue" : "16", "issued" : { "date-parts" : [ [ "2012", "4", "19" ] ] }, "page" : "1489-97", "title" : "Off-pump or on-pump coronary-artery bypass grafting at 30 days", "type" : "article-journal", "volume" : "366" }, "uris" : [ "http://www.mendeley.com/documents/?uuid=fba41767-81f8-4bca-9eae-02d46c802efd" ] }, { "id" : "ITEM-4", "itemData" : { "ISSN" : "1533-4406", "PMID" : "23477657", "abstract" : "BACKGROUND: The benefits of coronary-artery bypass grafting (CABG) without cardiopulmonary bypass in the elderly are still undetermined. METHODS: We randomly assigned patients 75 years of age or older who were scheduled for elective first-time CABG to undergo the procedure either without cardiopulmonary bypass (off-pump CABG) or with it (on-pump CABG). The primary end point was a composite of death, stroke, myocardial infarction, repeat revascularization, or new renal-replacement therapy at 30 days and at 12 months after surgery. RESULTS: A total of 2539 patients underwent randomization. At 30 days after surgery, there was no significant difference between patients who underwent off-pump surgery and those who underwent on-pump surgery in terms of the composite outcome (7.8% vs. 8.2%; odds ratio, 0.95; 95% confidence interval [CI], 0.71 to 1.28; P=0.74) or four of the components (death, stroke, myocardial infarction, or new renal-replacement therapy). Repeat revascularization occurred more frequently after off-pump CABG than after on-pump CABG (1.3% vs. 0.4%; odds ratio, 2.42; 95% CI, 1.03 to 5.72; P=0.04). At 12 months, there was no significant between-group difference in the composite end point (13.1% vs. 14.0%; hazard ratio, 0.93; 95% CI, 0.76 to 1.16; P=0.48) or in any of the individual components. Similar results were obtained in a per-protocol analysis that excluded the 177 patients who crossed over from the assigned treatment to the other treatment. CONCLUSIONS: In patients 75 years of age or older, there was no significant difference between on-pump and off-pump CABG with regard to the composite outcome of death, stroke, myocardial infarction, repeat revascularization, or new renal-replacement therapy within 30 days and within 12 months after surgery. (Funded by Maquet; GOPCABE ClinicalTrials.gov number, NCT00719667.).", "author" : [ { "dropping-particle" : "", "family" : "Diegeler", "given" : "Anno", "non-dropping-particle" : "", "parse-names" : false, "suffix" : "" }, { "dropping-particle" : "", "family" : "B\u00f6rgermann", "given" : "Jochen", "non-dropping-particle" : "", "parse-names" : false, "suffix" : "" }, { "dropping-particle" : "", "family" : "Kappert", "given" : "Utz", "non-dropping-particle" : "", "parse-names" : false, "suffix" : "" }, { "dropping-particle" : "", "family" : "Breuer", "given" : "Martin", "non-dropping-particle" : "", "parse-names" : false, "suffix" : "" }, { "dropping-particle" : "", "family" : "B\u00f6ning", "given" : "Andreas", "non-dropping-particle" : "", "parse-names" : false, "suffix" : "" }, { "dropping-particle" : "", "family" : "Ursulescu", "given" : "Adrian", "non-dropping-particle" : "", "parse-names" : false, "suffix" : "" }, { "dropping-particle" : "", "family" : "Rastan", "given" : "Ardawan", "non-dropping-particle" : "", "parse-names" : false, "suffix" : "" }, { "dropping-particle" : "", "family" : "Holzhey", "given" : "David", "non-dropping-particle" : "", "parse-names" : false, "suffix" : "" }, { "dropping-particle" : "", "family" : "Treede", "given" : "Hendrik", "non-dropping-particle" : "", "parse-names" : false, "suffix" : "" }, { "dropping-particle" : "", "family" : "Rie\u00df", "given" : "Friedrich-Christian", "non-dropping-particle" : "", "parse-names" : false, "suffix" : "" }, { "dropping-particle" : "", "family" : "Veeckmann", "given" : "Philippe", "non-dropping-particle" : "", "parse-names" : false, "suffix" : "" }, { "dropping-particle" : "", "family" : "Asfoor", "given" : "Amjad", "non-dropping-particle" : "", "parse-names" : false, "suffix" : "" }, { "dropping-particle" : "", "family" : "Reents", "given" : "Wilko", "non-dropping-particle" : "", "parse-names" : false, "suffix" : "" }, { "dropping-particle" : "", "family" : "Zacher", "given" : "Michael", "non-dropping-particle" : "", "parse-names" : false, "suffix" : "" }, { "dropping-particle" : "", "family" : "Hilker", "given" : "Michael", "non-dropping-particle" : "", "parse-names" : false, "suffix" : "" } ], "container-title" : "The New England Journal of Medicine", "id" : "ITEM-4", "issue" : "13", "issued" : { "date-parts" : [ [ "2013", "3", "28" ] ] }, "page" : "1189-98", "title" : "Off-pump versus on-pump coronary-artery bypass grafting in elderly patients", "type" : "article-journal", "volume" : "368" }, "uris" : [ "http://www.mendeley.com/documents/?uuid=101ab253-0410-4ea5-a803-921dbdcc5043" ] } ], "mendeley" : { "formattedCitation" : "[1\u20134]", "plainTextFormattedCitation" : "[1\u20134]", "previouslyFormattedCitation" : "[1\u20134]" }, "properties" : { "noteIndex" : 0 }, "schema" : "https://github.com/citation-style-language/schema/raw/master/csl-citation.json" }</w:instrText>
      </w:r>
      <w:r w:rsidR="005F3F54" w:rsidRPr="00C75A7E">
        <w:rPr>
          <w:lang w:val="en-GB"/>
        </w:rPr>
        <w:fldChar w:fldCharType="separate"/>
      </w:r>
      <w:r w:rsidR="00A456DA" w:rsidRPr="00A456DA">
        <w:rPr>
          <w:noProof/>
          <w:lang w:val="en-GB"/>
        </w:rPr>
        <w:t>[1–4]</w:t>
      </w:r>
      <w:r w:rsidR="005F3F54" w:rsidRPr="00C75A7E">
        <w:rPr>
          <w:lang w:val="en-GB"/>
        </w:rPr>
        <w:fldChar w:fldCharType="end"/>
      </w:r>
      <w:r w:rsidR="007B6FA6">
        <w:rPr>
          <w:lang w:val="en-GB"/>
        </w:rPr>
        <w:t>.</w:t>
      </w:r>
      <w:r w:rsidRPr="00C75A7E">
        <w:rPr>
          <w:lang w:val="en-GB"/>
        </w:rPr>
        <w:fldChar w:fldCharType="begin"/>
      </w:r>
      <w:r w:rsidRPr="00C75A7E">
        <w:rPr>
          <w:lang w:val="en-GB"/>
        </w:rPr>
        <w:instrText xml:space="preserve"> QUOTE "" </w:instrText>
      </w:r>
      <w:r w:rsidRPr="00C75A7E">
        <w:rPr>
          <w:vanish/>
          <w:lang w:val="en-GB"/>
        </w:rPr>
        <w:fldChar w:fldCharType="begin"/>
      </w:r>
      <w:r w:rsidRPr="00C75A7E">
        <w:rPr>
          <w:vanish/>
          <w:lang w:val="en-GB"/>
        </w:rPr>
        <w:instrText xml:space="preserve"> ADDIN REFMAN ÿ\11\05‘\19\01\00\00\00\00\01\00\00;C:\5CProgram Files\5CReference Manager 9\5Creferences\5Clima to lad\03\00\019"Lamy, Devereaux, et al. 2012 9 /id\00"\00 </w:instrText>
      </w:r>
      <w:r w:rsidRPr="00C75A7E">
        <w:rPr>
          <w:vanish/>
          <w:lang w:val="en-GB"/>
        </w:rPr>
        <w:fldChar w:fldCharType="end"/>
      </w:r>
      <w:r w:rsidRPr="00C75A7E">
        <w:rPr>
          <w:lang w:val="en-GB"/>
        </w:rPr>
        <w:fldChar w:fldCharType="end"/>
      </w:r>
      <w:r w:rsidRPr="00C75A7E">
        <w:rPr>
          <w:lang w:val="en-GB"/>
        </w:rPr>
        <w:fldChar w:fldCharType="begin"/>
      </w:r>
      <w:r w:rsidRPr="00C75A7E">
        <w:rPr>
          <w:lang w:val="en-GB"/>
        </w:rPr>
        <w:instrText xml:space="preserve"> QUOTE "" </w:instrText>
      </w:r>
      <w:r w:rsidRPr="00C75A7E">
        <w:rPr>
          <w:vanish/>
          <w:lang w:val="en-GB"/>
        </w:rPr>
        <w:fldChar w:fldCharType="begin"/>
      </w:r>
      <w:r w:rsidRPr="00C75A7E">
        <w:rPr>
          <w:vanish/>
          <w:lang w:val="en-GB"/>
        </w:rPr>
        <w:instrText xml:space="preserve"> ADDIN REFMAN ÿ\11\05‘\19\01\00\00\00\00\01\00\00;C:\5CProgram Files\5CReference Manager 9\5Creferences\5Clima to lad\03\00\0210(Diegeler, Borgermann, et al. 2013 10 /id\00(\00 </w:instrText>
      </w:r>
      <w:r w:rsidRPr="00C75A7E">
        <w:rPr>
          <w:vanish/>
          <w:lang w:val="en-GB"/>
        </w:rPr>
        <w:fldChar w:fldCharType="end"/>
      </w:r>
      <w:r w:rsidRPr="00C75A7E">
        <w:rPr>
          <w:lang w:val="en-GB"/>
        </w:rPr>
        <w:fldChar w:fldCharType="end"/>
      </w:r>
      <w:r w:rsidRPr="00C75A7E">
        <w:rPr>
          <w:lang w:val="en-GB"/>
        </w:rPr>
        <w:fldChar w:fldCharType="begin"/>
      </w:r>
      <w:r w:rsidRPr="00C75A7E">
        <w:rPr>
          <w:lang w:val="en-GB"/>
        </w:rPr>
        <w:instrText xml:space="preserve"> QUOTE "" </w:instrText>
      </w:r>
      <w:r w:rsidRPr="00C75A7E">
        <w:rPr>
          <w:vanish/>
          <w:lang w:val="en-GB"/>
        </w:rPr>
        <w:fldChar w:fldCharType="begin"/>
      </w:r>
      <w:r w:rsidRPr="00C75A7E">
        <w:rPr>
          <w:vanish/>
          <w:lang w:val="en-GB"/>
        </w:rPr>
        <w:instrText xml:space="preserve"> ADDIN REFMAN ÿ\11\05‘\19\01\00\00\00\00\01\00\00;C:\5CProgram Files\5CReference Manager 9\5Creferences\5Clima to lad\03\00\0211#Lamy, Devereaux, et al. 2013 11 /id\00#\00 </w:instrText>
      </w:r>
      <w:r w:rsidRPr="00C75A7E">
        <w:rPr>
          <w:vanish/>
          <w:lang w:val="en-GB"/>
        </w:rPr>
        <w:fldChar w:fldCharType="end"/>
      </w:r>
      <w:r w:rsidRPr="00C75A7E">
        <w:rPr>
          <w:lang w:val="en-GB"/>
        </w:rPr>
        <w:fldChar w:fldCharType="end"/>
      </w:r>
      <w:r w:rsidRPr="00C75A7E">
        <w:rPr>
          <w:lang w:val="en-GB"/>
        </w:rPr>
        <w:t xml:space="preserve"> To date this has been exclusively with regard to multi-vessel disease. The left internal mammary artery (LIMA) to left anterior descending artery (LAD) is the </w:t>
      </w:r>
      <w:r w:rsidR="009C62A3">
        <w:rPr>
          <w:lang w:val="en-GB"/>
        </w:rPr>
        <w:t>main</w:t>
      </w:r>
      <w:r w:rsidRPr="00C75A7E">
        <w:rPr>
          <w:lang w:val="en-GB"/>
        </w:rPr>
        <w:t xml:space="preserve"> prognostic component of a CABG operation and is a primary reason why CABG surgery has not yet been overtaken by coronary artery stenting</w:t>
      </w:r>
      <w:r w:rsidR="0055001F">
        <w:rPr>
          <w:lang w:val="en-GB"/>
        </w:rPr>
        <w:t xml:space="preserve"> </w:t>
      </w:r>
      <w:r w:rsidR="0055001F" w:rsidRPr="00C75A7E">
        <w:rPr>
          <w:lang w:val="en-GB"/>
        </w:rPr>
        <w:fldChar w:fldCharType="begin" w:fldLock="1"/>
      </w:r>
      <w:r w:rsidR="00FE3E0A">
        <w:rPr>
          <w:lang w:val="en-GB"/>
        </w:rPr>
        <w:instrText>ADDIN CSL_CITATION { "citationItems" : [ { "id" : "ITEM-1", "itemData" : { "ISSN" : "0009-7322", "PMID" : "6965898", "abstract" : "A consecutive series of 100 patients receiving left internal mammary artery grafts and a consecutive series of 100 patients receiving saphenous vein grafts as treatment of isolated left anterior descending coronary artery stenosis were reviewed to determine survival, graft patency, disease progression and New York Heart Association functional class. The mean follow-up was 67 months, and the mean catheterization interval was 20 months. Recommendations for revascularization can be made selectively to patients with critical isolated left anterior descending stenoses who have limiting symptoms and large areas of viable myocardium at risk.", "author" : [ { "dropping-particle" : "", "family" : "Lytle", "given" : "Bruce W", "non-dropping-particle" : "", "parse-names" : false, "suffix" : "" }, { "dropping-particle" : "", "family" : "Loop", "given" : "F D", "non-dropping-particle" : "", "parse-names" : false, "suffix" : "" }, { "dropping-particle" : "", "family" : "Thurer", "given" : "R L", "non-dropping-particle" : "", "parse-names" : false, "suffix" : "" }, { "dropping-particle" : "", "family" : "Groves", "given" : "L K", "non-dropping-particle" : "", "parse-names" : false, "suffix" : "" }, { "dropping-particle" : "", "family" : "Taylor", "given" : "P C", "non-dropping-particle" : "", "parse-names" : false, "suffix" : "" }, { "dropping-particle" : "", "family" : "Cosgrove", "given" : "Delos M", "non-dropping-particle" : "", "parse-names" : false, "suffix" : "" } ], "container-title" : "Circulation", "id" : "ITEM-1", "issue" : "5", "issued" : { "date-parts" : [ [ "1980", "5" ] ] }, "page" : "869-74", "title" : "Isolated left anterior descending coronary atherosclerosis: long-term comparison of internal mammary artery and venous autografts", "type" : "article-journal", "volume" : "61" }, "uris" : [ "http://www.mendeley.com/documents/?uuid=962bce8a-7602-4e15-bd39-89655900e4f7" ] } ], "mendeley" : { "formattedCitation" : "[5]", "plainTextFormattedCitation" : "[5]", "previouslyFormattedCitation" : "[5]" }, "properties" : { "noteIndex" : 0 }, "schema" : "https://github.com/citation-style-language/schema/raw/master/csl-citation.json" }</w:instrText>
      </w:r>
      <w:r w:rsidR="0055001F" w:rsidRPr="00C75A7E">
        <w:rPr>
          <w:lang w:val="en-GB"/>
        </w:rPr>
        <w:fldChar w:fldCharType="separate"/>
      </w:r>
      <w:r w:rsidR="0055001F" w:rsidRPr="00A456DA">
        <w:rPr>
          <w:noProof/>
          <w:lang w:val="en-GB"/>
        </w:rPr>
        <w:t>[5]</w:t>
      </w:r>
      <w:r w:rsidR="0055001F" w:rsidRPr="00C75A7E">
        <w:rPr>
          <w:lang w:val="en-GB"/>
        </w:rPr>
        <w:fldChar w:fldCharType="end"/>
      </w:r>
      <w:r w:rsidRPr="00C75A7E">
        <w:rPr>
          <w:lang w:val="en-GB"/>
        </w:rPr>
        <w:t xml:space="preserve">. </w:t>
      </w:r>
    </w:p>
    <w:p w14:paraId="5018DC79" w14:textId="70C2B407" w:rsidR="00942CA3" w:rsidRPr="00C75A7E" w:rsidRDefault="00942CA3" w:rsidP="00487D2E">
      <w:pPr>
        <w:spacing w:after="200" w:line="360" w:lineRule="auto"/>
        <w:ind w:firstLine="720"/>
        <w:rPr>
          <w:lang w:val="en-GB"/>
        </w:rPr>
      </w:pPr>
      <w:r w:rsidRPr="00C75A7E">
        <w:rPr>
          <w:lang w:val="en-GB"/>
        </w:rPr>
        <w:t xml:space="preserve">Comparing </w:t>
      </w:r>
      <w:r w:rsidR="00EC422C" w:rsidRPr="00C75A7E">
        <w:rPr>
          <w:lang w:val="en-GB"/>
        </w:rPr>
        <w:t>outcomes between patients undergoing on-pump surgery for multi-</w:t>
      </w:r>
      <w:r w:rsidRPr="00C75A7E">
        <w:rPr>
          <w:lang w:val="en-GB"/>
        </w:rPr>
        <w:t xml:space="preserve">vessel </w:t>
      </w:r>
      <w:r w:rsidR="00EC422C" w:rsidRPr="00C75A7E">
        <w:rPr>
          <w:lang w:val="en-GB"/>
        </w:rPr>
        <w:t>disease with those undergoing off-</w:t>
      </w:r>
      <w:r w:rsidRPr="00C75A7E">
        <w:rPr>
          <w:lang w:val="en-GB"/>
        </w:rPr>
        <w:t>pump surgery is frequently confounded by surgical and patient factors, such as saphenous vein quality, radial artery usage, composite and sequential grafting, aortic calcification, and extent of c</w:t>
      </w:r>
      <w:r w:rsidR="00B743DA">
        <w:rPr>
          <w:lang w:val="en-GB"/>
        </w:rPr>
        <w:t>oronary atheroma. Isolated LIMA-to-</w:t>
      </w:r>
      <w:r w:rsidRPr="00C75A7E">
        <w:rPr>
          <w:lang w:val="en-GB"/>
        </w:rPr>
        <w:t xml:space="preserve">LAD </w:t>
      </w:r>
      <w:r w:rsidR="00EC422C" w:rsidRPr="00C75A7E">
        <w:rPr>
          <w:lang w:val="en-GB"/>
        </w:rPr>
        <w:t>surgery</w:t>
      </w:r>
      <w:r w:rsidRPr="00C75A7E">
        <w:rPr>
          <w:lang w:val="en-GB"/>
        </w:rPr>
        <w:t xml:space="preserve"> </w:t>
      </w:r>
      <w:r w:rsidR="005C2D3F">
        <w:rPr>
          <w:lang w:val="en-GB"/>
        </w:rPr>
        <w:t xml:space="preserve">for single vessel disease </w:t>
      </w:r>
      <w:r w:rsidR="00A97121">
        <w:rPr>
          <w:lang w:val="en-GB"/>
        </w:rPr>
        <w:t xml:space="preserve">should, in principle, </w:t>
      </w:r>
      <w:r w:rsidRPr="00C75A7E">
        <w:rPr>
          <w:lang w:val="en-GB"/>
        </w:rPr>
        <w:t>eliminate many of these confounding factors, potentially enabling the simple comparison of the on</w:t>
      </w:r>
      <w:r w:rsidR="00EC422C" w:rsidRPr="00C75A7E">
        <w:rPr>
          <w:lang w:val="en-GB"/>
        </w:rPr>
        <w:t>-</w:t>
      </w:r>
      <w:r w:rsidRPr="00C75A7E">
        <w:rPr>
          <w:lang w:val="en-GB"/>
        </w:rPr>
        <w:t xml:space="preserve"> or off</w:t>
      </w:r>
      <w:r w:rsidR="00EC422C" w:rsidRPr="00C75A7E">
        <w:rPr>
          <w:lang w:val="en-GB"/>
        </w:rPr>
        <w:t>-</w:t>
      </w:r>
      <w:r w:rsidRPr="00C75A7E">
        <w:rPr>
          <w:lang w:val="en-GB"/>
        </w:rPr>
        <w:t xml:space="preserve"> pump technique to be made, as no top ends, sequential or composite grafting is </w:t>
      </w:r>
      <w:r w:rsidR="001223DA">
        <w:rPr>
          <w:lang w:val="en-GB"/>
        </w:rPr>
        <w:t>required</w:t>
      </w:r>
      <w:r w:rsidRPr="00C75A7E">
        <w:rPr>
          <w:lang w:val="en-GB"/>
        </w:rPr>
        <w:t>.</w:t>
      </w:r>
    </w:p>
    <w:p w14:paraId="64CEF608" w14:textId="692E152A" w:rsidR="00942CA3" w:rsidRPr="00C75A7E" w:rsidRDefault="00524D2F" w:rsidP="00487D2E">
      <w:pPr>
        <w:spacing w:after="200" w:line="360" w:lineRule="auto"/>
        <w:ind w:firstLine="720"/>
        <w:rPr>
          <w:lang w:val="en-GB"/>
        </w:rPr>
      </w:pPr>
      <w:r>
        <w:rPr>
          <w:lang w:val="en-GB"/>
        </w:rPr>
        <w:t>Our objective is</w:t>
      </w:r>
      <w:r w:rsidR="00942CA3" w:rsidRPr="00C75A7E">
        <w:rPr>
          <w:lang w:val="en-GB"/>
        </w:rPr>
        <w:t xml:space="preserve"> to investigate if in-hospital mortality and mid-term </w:t>
      </w:r>
      <w:r w:rsidR="008C650B">
        <w:rPr>
          <w:lang w:val="en-GB"/>
        </w:rPr>
        <w:t xml:space="preserve">survival </w:t>
      </w:r>
      <w:r w:rsidR="00221F79">
        <w:rPr>
          <w:lang w:val="en-GB"/>
        </w:rPr>
        <w:t xml:space="preserve">(up to 10-years) </w:t>
      </w:r>
      <w:r w:rsidR="008C650B">
        <w:rPr>
          <w:lang w:val="en-GB"/>
        </w:rPr>
        <w:t xml:space="preserve">of </w:t>
      </w:r>
      <w:r w:rsidR="00942CA3" w:rsidRPr="00C75A7E">
        <w:rPr>
          <w:lang w:val="en-GB"/>
        </w:rPr>
        <w:t>all-cause morta</w:t>
      </w:r>
      <w:r w:rsidR="00B743DA">
        <w:rPr>
          <w:lang w:val="en-GB"/>
        </w:rPr>
        <w:t>lity following isolated LIMA-to-</w:t>
      </w:r>
      <w:r w:rsidR="00942CA3" w:rsidRPr="00C75A7E">
        <w:rPr>
          <w:lang w:val="en-GB"/>
        </w:rPr>
        <w:t xml:space="preserve">LAD surgery </w:t>
      </w:r>
      <w:r w:rsidR="00413A39">
        <w:rPr>
          <w:lang w:val="en-GB"/>
        </w:rPr>
        <w:t xml:space="preserve">for single coronary vessel disease </w:t>
      </w:r>
      <w:r w:rsidR="00942CA3" w:rsidRPr="00C75A7E">
        <w:rPr>
          <w:lang w:val="en-GB"/>
        </w:rPr>
        <w:t>were significantly associated with the use o</w:t>
      </w:r>
      <w:r w:rsidR="005F3F54" w:rsidRPr="00C75A7E">
        <w:rPr>
          <w:lang w:val="en-GB"/>
        </w:rPr>
        <w:t>f cardiopulmonary bypass or not</w:t>
      </w:r>
      <w:r w:rsidR="00942CA3" w:rsidRPr="00C75A7E">
        <w:rPr>
          <w:lang w:val="en-GB"/>
        </w:rPr>
        <w:t xml:space="preserve"> by retrospectively analysing the United Kingdom </w:t>
      </w:r>
      <w:r w:rsidR="00591353">
        <w:rPr>
          <w:lang w:val="en-GB"/>
        </w:rPr>
        <w:t xml:space="preserve">National </w:t>
      </w:r>
      <w:r w:rsidR="005F3F54" w:rsidRPr="00C75A7E">
        <w:rPr>
          <w:lang w:val="en-GB"/>
        </w:rPr>
        <w:t>Adult Cardiac S</w:t>
      </w:r>
      <w:r w:rsidR="00942CA3" w:rsidRPr="00C75A7E">
        <w:rPr>
          <w:lang w:val="en-GB"/>
        </w:rPr>
        <w:t xml:space="preserve">urgery </w:t>
      </w:r>
      <w:r w:rsidR="005F3F54" w:rsidRPr="00C75A7E">
        <w:rPr>
          <w:lang w:val="en-GB"/>
        </w:rPr>
        <w:t xml:space="preserve">Audit </w:t>
      </w:r>
      <w:r w:rsidR="00591353">
        <w:rPr>
          <w:lang w:val="en-GB"/>
        </w:rPr>
        <w:t xml:space="preserve">(NACSA) </w:t>
      </w:r>
      <w:r w:rsidR="005F3F54" w:rsidRPr="00C75A7E">
        <w:rPr>
          <w:lang w:val="en-GB"/>
        </w:rPr>
        <w:t>registry</w:t>
      </w:r>
      <w:r w:rsidR="00942CA3" w:rsidRPr="00C75A7E">
        <w:rPr>
          <w:lang w:val="en-GB"/>
        </w:rPr>
        <w:t>.</w:t>
      </w:r>
    </w:p>
    <w:p w14:paraId="72C17635" w14:textId="788170BE" w:rsidR="00942CA3" w:rsidRPr="00C75A7E" w:rsidRDefault="00942CA3" w:rsidP="00487D2E">
      <w:pPr>
        <w:spacing w:after="200" w:line="360" w:lineRule="auto"/>
        <w:rPr>
          <w:b/>
          <w:lang w:val="en-GB"/>
        </w:rPr>
      </w:pPr>
      <w:r w:rsidRPr="00C75A7E">
        <w:rPr>
          <w:b/>
          <w:lang w:val="en-GB"/>
        </w:rPr>
        <w:br w:type="page"/>
      </w:r>
      <w:r w:rsidRPr="00C75A7E">
        <w:rPr>
          <w:b/>
          <w:lang w:val="en-GB"/>
        </w:rPr>
        <w:lastRenderedPageBreak/>
        <w:t xml:space="preserve"> METHODS</w:t>
      </w:r>
    </w:p>
    <w:p w14:paraId="02E0BF47" w14:textId="22813FD5" w:rsidR="00942CA3" w:rsidRPr="00C75A7E" w:rsidRDefault="00942CA3" w:rsidP="00487D2E">
      <w:pPr>
        <w:spacing w:after="200" w:line="360" w:lineRule="auto"/>
        <w:rPr>
          <w:b/>
        </w:rPr>
      </w:pPr>
      <w:r w:rsidRPr="00C75A7E">
        <w:rPr>
          <w:b/>
        </w:rPr>
        <w:t>Data extraction and preprocessing</w:t>
      </w:r>
    </w:p>
    <w:p w14:paraId="78640C3F" w14:textId="18CF2123" w:rsidR="00BC6962" w:rsidRDefault="00BC6962" w:rsidP="00487D2E">
      <w:pPr>
        <w:spacing w:after="200" w:line="360" w:lineRule="auto"/>
        <w:ind w:firstLine="720"/>
      </w:pPr>
      <w:r>
        <w:t>D</w:t>
      </w:r>
      <w:r w:rsidR="00942CA3" w:rsidRPr="00C75A7E">
        <w:t xml:space="preserve">ata were extracted from The National Institute for Cardiovascular Outcomes Research (NICOR) </w:t>
      </w:r>
      <w:r w:rsidR="004C7C71">
        <w:t>NACSA</w:t>
      </w:r>
      <w:r w:rsidR="00942CA3" w:rsidRPr="00C75A7E">
        <w:t xml:space="preserve"> registry (version 4.1.2) on 1</w:t>
      </w:r>
      <w:r w:rsidR="00E919B0">
        <w:t>0</w:t>
      </w:r>
      <w:r w:rsidR="00942CA3" w:rsidRPr="00C75A7E">
        <w:t xml:space="preserve">th </w:t>
      </w:r>
      <w:r w:rsidR="00E919B0">
        <w:t>October</w:t>
      </w:r>
      <w:r w:rsidR="00E919B0" w:rsidRPr="00C75A7E">
        <w:t xml:space="preserve"> </w:t>
      </w:r>
      <w:r w:rsidR="00942CA3" w:rsidRPr="00C75A7E">
        <w:t xml:space="preserve">2014 for all adult cardiac surgery procedures performed in the United Kingdom. </w:t>
      </w:r>
      <w:r w:rsidR="0099293E">
        <w:t xml:space="preserve">All data for one private hospital was deleted prior to any analysis </w:t>
      </w:r>
      <w:r w:rsidR="00140257">
        <w:t>as</w:t>
      </w:r>
      <w:r w:rsidR="0099293E">
        <w:t xml:space="preserve"> it was awaiting validation at the time of extraction. </w:t>
      </w:r>
      <w:r w:rsidR="00712A11">
        <w:t>R</w:t>
      </w:r>
      <w:r w:rsidR="00942CA3" w:rsidRPr="00C75A7E">
        <w:t>eproducible cleaning algorithms were applied to the database, which are regularly updated as required</w:t>
      </w:r>
      <w:r w:rsidR="0055001F">
        <w:t xml:space="preserve"> </w:t>
      </w:r>
      <w:r w:rsidR="009279C2" w:rsidRPr="00C75A7E">
        <w:fldChar w:fldCharType="begin" w:fldLock="1"/>
      </w:r>
      <w:r w:rsidR="000C0F7B">
        <w:instrText>ADDIN CSL_CITATION { "citationItems" : [ { "id" : "ITEM-1", "itemData" : { "ISSN" : "1873-734X", "PMID" : "23371972", "abstract" : "Clinical registries will have an increasingly important role to play in health-care, with a number already established in cardiac surgery. This review covers the fundamentals of establishing and managing clinical registries, including legal and ethical frameworks along with intellectual property attribution. Also discussed are important issues relating to the processing of data, data extraction and conducting analyses using registry data.", "author" : [ { "dropping-particle" : "", "family" : "Hickey", "given" : "Graeme L", "non-dropping-particle" : "", "parse-names" : false, "suffix" : "" }, { "dropping-particle" : "", "family" : "Grant", "given" : "Stuart W", "non-dropping-particle" : "", "parse-names" : false, "suffix" : "" }, { "dropping-particle" : "", "family" : "Cosgriff", "given" : "Rebecca", "non-dropping-particle" : "", "parse-names" : false, "suffix" : "" }, { "dropping-particle" : "", "family" : "Dimarakis", "given" : "Ioannis", "non-dropping-particle" : "", "parse-names" : false, "suffix" : "" }, { "dropping-particle" : "", "family" : "Pagano", "given" : "Domenico", "non-dropping-particle" : "", "parse-names" : false, "suffix" : "" }, { "dropping-particle" : "", "family" : "Kappetein", "given" : "Arie Pieter", "non-dropping-particle" : "", "parse-names" : false, "suffix" : "" }, { "dropping-particle" : "", "family" : "Bridgewater", "given" : "Ben", "non-dropping-particle" : "", "parse-names" : false, "suffix" : "" } ], "container-title" : "European Journal of Cardio-Thoracic Surgery", "id" : "ITEM-1", "issue" : "4", "issued" : { "date-parts" : [ [ "2013" ] ] }, "page" : "605-14", "title" : "Clinical registries: governance, management, analysis and applications", "type" : "article-journal", "volume" : "44" }, "uris" : [ "http://www.mendeley.com/documents/?uuid=61e3026e-ea83-41c5-9a17-b1874fb93a56" ] } ], "mendeley" : { "formattedCitation" : "[6]", "plainTextFormattedCitation" : "[6]", "previouslyFormattedCitation" : "[6]" }, "properties" : { "noteIndex" : 0 }, "schema" : "https://github.com/citation-style-language/schema/raw/master/csl-citation.json" }</w:instrText>
      </w:r>
      <w:r w:rsidR="009279C2" w:rsidRPr="00C75A7E">
        <w:fldChar w:fldCharType="separate"/>
      </w:r>
      <w:r w:rsidR="00A456DA" w:rsidRPr="00A456DA">
        <w:rPr>
          <w:noProof/>
        </w:rPr>
        <w:t>[6]</w:t>
      </w:r>
      <w:r w:rsidR="009279C2" w:rsidRPr="00C75A7E">
        <w:fldChar w:fldCharType="end"/>
      </w:r>
      <w:r w:rsidR="0055001F">
        <w:t>.</w:t>
      </w:r>
      <w:r w:rsidR="00942CA3" w:rsidRPr="00C75A7E">
        <w:t xml:space="preserve"> Briefly, duplicate records and non-adult cardiac surgery entries were removed; transcriptional discrepancies harmonized; and clinical </w:t>
      </w:r>
      <w:r w:rsidR="00712A11">
        <w:t>conflicts</w:t>
      </w:r>
      <w:r w:rsidR="00942CA3" w:rsidRPr="00C75A7E">
        <w:t xml:space="preserve"> and extreme values corrected or removed. The data is returned regularly to each unit for local validation as part of the </w:t>
      </w:r>
      <w:r w:rsidR="00712A11">
        <w:t>NASCA</w:t>
      </w:r>
      <w:r w:rsidR="00942CA3" w:rsidRPr="00C75A7E">
        <w:t xml:space="preserve"> in the United Kingdom</w:t>
      </w:r>
      <w:r w:rsidR="0055001F">
        <w:t xml:space="preserve"> </w:t>
      </w:r>
      <w:r w:rsidR="009279C2" w:rsidRPr="00C75A7E">
        <w:fldChar w:fldCharType="begin" w:fldLock="1"/>
      </w:r>
      <w:r w:rsidR="00C8628B">
        <w:instrText>ADDIN CSL_CITATION { "citationItems" : [ { "id" : "ITEM-1", "itemData" : { "DOI" : "10.1093/ejcts/ezt476", "ISSN" : "1873-734X", "PMID" : "24071864", "abstract" : "The Society for Cardiothoracic Surgery in Great Britain and Ireland (SCTS) has published named mortality data since 2001. The importance of accurate and robust clinical outcome reporting has been emphasized by a number of high-profile cases in England. In this article, we give a technical review of the United Kingdom National Adult Cardiac Surgery Governance Analysis 2008-11. The statistical and analytical assumptions and methods are discussed in order to add an additional layer of transparency to the clinical governance process and precipitate scrutiny with the aim of optimizing future analyses.", "author" : [ { "dropping-particle" : "", "family" : "Hickey", "given" : "Graeme L", "non-dropping-particle" : "", "parse-names" : false, "suffix" : "" }, { "dropping-particle" : "", "family" : "Cosgriff", "given" : "Rebecca", "non-dropping-particle" : "", "parse-names" : false, "suffix" : "" }, { "dropping-particle" : "", "family" : "Grant", "given" : "Stuart W", "non-dropping-particle" : "", "parse-names" : false, "suffix" : "" }, { "dropping-particle" : "", "family" : "Cooper", "given" : "Graham", "non-dropping-particle" : "", "parse-names" : false, "suffix" : "" }, { "dropping-particle" : "", "family" : "Deanfield", "given" : "John", "non-dropping-particle" : "", "parse-names" : false, "suffix" : "" }, { "dropping-particle" : "", "family" : "Roxburgh", "given" : "James C", "non-dropping-particle" : "", "parse-names" : false, "suffix" : "" }, { "dropping-particle" : "", "family" : "Bridgewater", "given" : "Ben", "non-dropping-particle" : "", "parse-names" : false, "suffix" : "" } ], "container-title" : "European Journal of Cardio-Thoracic Surgery", "id" : "ITEM-1", "issue" : "2", "issued" : { "date-parts" : [ [ "2014", "2" ] ] }, "page" : "225-33", "title" : "A technical review of the United Kingdom National Adult Cardiac Surgery Governance Analysis 2008-11", "type" : "article-journal", "volume" : "45" }, "uris" : [ "http://www.mendeley.com/documents/?uuid=46c19306-416f-4f5e-94fa-42a86d90af04" ] } ], "mendeley" : { "formattedCitation" : "[7]", "plainTextFormattedCitation" : "[7]", "previouslyFormattedCitation" : "[7]" }, "properties" : { "noteIndex" : 0 }, "schema" : "https://github.com/citation-style-language/schema/raw/master/csl-citation.json" }</w:instrText>
      </w:r>
      <w:r w:rsidR="009279C2" w:rsidRPr="00C75A7E">
        <w:fldChar w:fldCharType="separate"/>
      </w:r>
      <w:r w:rsidR="00A456DA" w:rsidRPr="00A456DA">
        <w:rPr>
          <w:noProof/>
        </w:rPr>
        <w:t>[7]</w:t>
      </w:r>
      <w:r w:rsidR="009279C2" w:rsidRPr="00C75A7E">
        <w:fldChar w:fldCharType="end"/>
      </w:r>
      <w:r w:rsidR="0055001F">
        <w:t>.</w:t>
      </w:r>
      <w:r w:rsidR="00EF2BBE">
        <w:t xml:space="preserve"> </w:t>
      </w:r>
    </w:p>
    <w:p w14:paraId="3FDA4373" w14:textId="31592A3E" w:rsidR="00BC6962" w:rsidRPr="00BC6962" w:rsidRDefault="00BC6962" w:rsidP="00BC6962">
      <w:pPr>
        <w:spacing w:after="200" w:line="360" w:lineRule="auto"/>
        <w:rPr>
          <w:b/>
        </w:rPr>
      </w:pPr>
      <w:r w:rsidRPr="00BC6962">
        <w:rPr>
          <w:b/>
        </w:rPr>
        <w:t>Study design</w:t>
      </w:r>
    </w:p>
    <w:p w14:paraId="0316A930" w14:textId="5D36F5C8" w:rsidR="00942CA3" w:rsidRPr="00C75A7E" w:rsidRDefault="00BC6962" w:rsidP="00487D2E">
      <w:pPr>
        <w:spacing w:after="200" w:line="360" w:lineRule="auto"/>
        <w:ind w:firstLine="720"/>
      </w:pPr>
      <w:r>
        <w:t xml:space="preserve">This is a cross-sectional observational study, which </w:t>
      </w:r>
      <w:r w:rsidR="00A71D6B">
        <w:t xml:space="preserve">was approved </w:t>
      </w:r>
      <w:r w:rsidR="00B80C24">
        <w:t xml:space="preserve">by </w:t>
      </w:r>
      <w:r w:rsidR="00A71D6B">
        <w:t xml:space="preserve">the NICOR NACSA Research Board (study reference </w:t>
      </w:r>
      <w:r w:rsidR="00A71D6B" w:rsidRPr="00A71D6B">
        <w:t>13-ACS-21</w:t>
      </w:r>
      <w:r w:rsidR="00A71D6B">
        <w:t>)</w:t>
      </w:r>
      <w:r w:rsidR="00B80C24">
        <w:t>, and the need to obtain</w:t>
      </w:r>
      <w:r w:rsidR="00373EAC">
        <w:t xml:space="preserve"> informed consent from patients was waived as </w:t>
      </w:r>
      <w:r w:rsidR="00E74961">
        <w:t>patient identifiable information was either removed or</w:t>
      </w:r>
      <w:r w:rsidR="00373EAC">
        <w:t xml:space="preserve"> </w:t>
      </w:r>
      <w:r w:rsidR="00F826E7" w:rsidRPr="008F012B">
        <w:t>pseudonymised</w:t>
      </w:r>
      <w:r w:rsidR="00373EAC">
        <w:t>.</w:t>
      </w:r>
    </w:p>
    <w:p w14:paraId="1765583B" w14:textId="34E81BBE" w:rsidR="00942CA3" w:rsidRPr="00C75A7E" w:rsidRDefault="00942CA3" w:rsidP="00487D2E">
      <w:pPr>
        <w:spacing w:after="200" w:line="360" w:lineRule="auto"/>
        <w:ind w:firstLine="720"/>
      </w:pPr>
      <w:r w:rsidRPr="00C75A7E">
        <w:t xml:space="preserve">The initial inclusion criteria for this study were: 1) first-time cardiac </w:t>
      </w:r>
      <w:r w:rsidRPr="00B722A2">
        <w:t>surgery</w:t>
      </w:r>
      <w:r w:rsidRPr="00C75A7E">
        <w:t>; 2) isolated CABG surgery; 3) elective or urgent procedure; 4) performed in England and Wales; 5) operation performed between 1st April 2003 and 31st March 2013</w:t>
      </w:r>
      <w:r w:rsidR="00B329EC">
        <w:t>; 6) responsible consultant surgeon identifiable</w:t>
      </w:r>
      <w:r w:rsidR="00155AE7">
        <w:t xml:space="preserve"> </w:t>
      </w:r>
      <w:r w:rsidR="00155AE7" w:rsidRPr="00C75A7E">
        <w:t>(identified by a unique General Medical Council registration number in the registry)</w:t>
      </w:r>
      <w:r w:rsidRPr="00C75A7E">
        <w:t xml:space="preserve">. At this stage, for each responsible consultant cardiac surgeon we determined the total number of cases matching the aforementioned inclusion criteria, and the proportion of cases performed off-pump. Following this intermediary calculation, we applied </w:t>
      </w:r>
      <w:r w:rsidR="0060215C">
        <w:t>our final inclusion criterion: 7</w:t>
      </w:r>
      <w:r w:rsidRPr="00C75A7E">
        <w:t>) surgery</w:t>
      </w:r>
      <w:r w:rsidR="00413A39">
        <w:t xml:space="preserve"> for single vessel disease</w:t>
      </w:r>
      <w:r w:rsidRPr="00C75A7E">
        <w:t xml:space="preserve"> </w:t>
      </w:r>
      <w:r w:rsidR="00413A39">
        <w:t>using</w:t>
      </w:r>
      <w:r w:rsidR="00413A39" w:rsidRPr="00C75A7E">
        <w:t xml:space="preserve"> </w:t>
      </w:r>
      <w:r w:rsidRPr="00C75A7E">
        <w:t>a single pedicle LIMA graft going to either the proximal, mid- or distal LAD.</w:t>
      </w:r>
      <w:r w:rsidR="00E1483A">
        <w:t xml:space="preserve"> Free LIMA, saphenous vein grafts and other arteries were not included.</w:t>
      </w:r>
      <w:r w:rsidRPr="00C75A7E">
        <w:t xml:space="preserve"> Exclusion criteria for this study were records with: 1) missing CPB status, or 2) missing discharge status.</w:t>
      </w:r>
      <w:r w:rsidR="00B30230">
        <w:t xml:space="preserve"> Data from Scotland, Northern Ireland and the Republic of Ireland were not included as post-discharge mortality tracking</w:t>
      </w:r>
      <w:r w:rsidR="00FE33BF">
        <w:t xml:space="preserve"> data wa</w:t>
      </w:r>
      <w:r w:rsidR="00B30230">
        <w:t>s not available.</w:t>
      </w:r>
    </w:p>
    <w:p w14:paraId="25F685FB" w14:textId="77777777" w:rsidR="00942CA3" w:rsidRPr="00C75A7E" w:rsidRDefault="00942CA3" w:rsidP="00487D2E">
      <w:pPr>
        <w:spacing w:after="200" w:line="360" w:lineRule="auto"/>
        <w:rPr>
          <w:b/>
        </w:rPr>
      </w:pPr>
      <w:r w:rsidRPr="00C75A7E">
        <w:rPr>
          <w:b/>
        </w:rPr>
        <w:lastRenderedPageBreak/>
        <w:t>Study variables</w:t>
      </w:r>
    </w:p>
    <w:p w14:paraId="7D7EA306" w14:textId="6D9E5F2E" w:rsidR="00942CA3" w:rsidRPr="00C75A7E" w:rsidRDefault="00942CA3" w:rsidP="00487D2E">
      <w:pPr>
        <w:spacing w:after="200" w:line="360" w:lineRule="auto"/>
        <w:ind w:firstLine="720"/>
      </w:pPr>
      <w:r w:rsidRPr="00C75A7E">
        <w:t xml:space="preserve">For each operation, data are recorded on </w:t>
      </w:r>
      <w:r w:rsidR="001223DA">
        <w:t xml:space="preserve">administrative factors, </w:t>
      </w:r>
      <w:r w:rsidRPr="00C75A7E">
        <w:t>patient characteristics, comorbidities, surgical team, intra-operative factors, and post-operative outcomes. For this study we extracted data on patient age at time of operation (years); gender; body mass index (BMI; defined as weight [kg] / height</w:t>
      </w:r>
      <w:r w:rsidRPr="00C75A7E">
        <w:rPr>
          <w:vertAlign w:val="superscript"/>
        </w:rPr>
        <w:t>2</w:t>
      </w:r>
      <w:r w:rsidRPr="00C75A7E">
        <w:t xml:space="preserve"> [m</w:t>
      </w:r>
      <w:r w:rsidRPr="00C75A7E">
        <w:rPr>
          <w:vertAlign w:val="superscript"/>
        </w:rPr>
        <w:t>2</w:t>
      </w:r>
      <w:r w:rsidRPr="00C75A7E">
        <w:t xml:space="preserve">]); operative urgency; dyspnoea (NYHA grade); history of neurological dysfunction; diabetes (diet or insulin controlled); history of hypertension; recent myocardial infarction (defined as within 90-days of surgery); serum creatinine &gt;200 µmol/l; history of pulmonary disease; extracardiac arteriopathy; </w:t>
      </w:r>
      <w:r w:rsidR="00557A9D">
        <w:t>previous percutaneous coronary intervention (PCI)</w:t>
      </w:r>
      <w:r w:rsidR="00472C1A">
        <w:t>;</w:t>
      </w:r>
      <w:r w:rsidR="00557A9D">
        <w:t xml:space="preserve"> </w:t>
      </w:r>
      <w:r w:rsidRPr="00C75A7E">
        <w:t>preoperative heart rhythm (atrial fibrillation or flutter</w:t>
      </w:r>
      <w:r w:rsidR="001223DA">
        <w:t xml:space="preserve"> vs. all other rhythms</w:t>
      </w:r>
      <w:r w:rsidRPr="00C75A7E">
        <w:t xml:space="preserve">); left ventricular ejection fraction (LVEF; classified as &lt;30%, 30-50%, and &gt;50%); critical preoperative state (defined as per the EuroSCORE group); </w:t>
      </w:r>
      <w:r w:rsidRPr="00C75A7E">
        <w:rPr>
          <w:color w:val="000000"/>
        </w:rPr>
        <w:t>preoperative use of IV nitrates or heparin for treatment of unstable angina</w:t>
      </w:r>
      <w:r w:rsidRPr="00C75A7E">
        <w:t xml:space="preserve">. </w:t>
      </w:r>
    </w:p>
    <w:p w14:paraId="7E4117AF" w14:textId="4AE755C7" w:rsidR="00942CA3" w:rsidRPr="00C75A7E" w:rsidRDefault="00F02503" w:rsidP="00487D2E">
      <w:pPr>
        <w:spacing w:after="200" w:line="360" w:lineRule="auto"/>
        <w:ind w:firstLine="720"/>
      </w:pPr>
      <w:r>
        <w:t>As expected with a national clinical registry, there were missing data. Reasons include inputting invalid choices, which were mapped to missing data</w:t>
      </w:r>
      <w:r w:rsidR="00FE33BF">
        <w:t xml:space="preserve"> during the pre-processing stage</w:t>
      </w:r>
      <w:r>
        <w:t xml:space="preserve">, and incomplete data form filling. </w:t>
      </w:r>
      <w:r w:rsidR="00942CA3" w:rsidRPr="00C75A7E">
        <w:t xml:space="preserve">There </w:t>
      </w:r>
      <w:r w:rsidR="0060215C">
        <w:t>were</w:t>
      </w:r>
      <w:r w:rsidR="00942CA3" w:rsidRPr="00C75A7E">
        <w:t xml:space="preserve"> few missing data (all &gt;95% complete</w:t>
      </w:r>
      <w:r w:rsidR="0060215C">
        <w:t xml:space="preserve"> with the exception of BMI</w:t>
      </w:r>
      <w:r w:rsidR="00942CA3" w:rsidRPr="00C75A7E">
        <w:t xml:space="preserve">). Missing data were therefore imputed as follows: continuous variables were replaced by the median values of the observed data; categorical (and binary) data were replaced by the mode (i.e. most frequent value) of the observed data. </w:t>
      </w:r>
    </w:p>
    <w:p w14:paraId="2236942E" w14:textId="68B46EE1" w:rsidR="009279C2" w:rsidRPr="00C75A7E" w:rsidRDefault="00942CA3" w:rsidP="00487D2E">
      <w:pPr>
        <w:spacing w:after="200" w:line="360" w:lineRule="auto"/>
        <w:ind w:firstLine="720"/>
      </w:pPr>
      <w:r w:rsidRPr="00C75A7E">
        <w:t>Administrative data was also extracted including: patient procedure and discharge dates, admission hospital, and responsible consultant cardiac surgeon. For each record we also calculated the logistic EuroSCORE</w:t>
      </w:r>
      <w:r w:rsidR="0055001F">
        <w:t xml:space="preserve"> </w:t>
      </w:r>
      <w:r w:rsidR="009279C2" w:rsidRPr="00C75A7E">
        <w:fldChar w:fldCharType="begin" w:fldLock="1"/>
      </w:r>
      <w:r w:rsidR="00C8628B">
        <w:instrText>ADDIN CSL_CITATION { "citationItems" : [ { "id" : "ITEM-1", "itemData" : { "ISSN" : "0195668X", "author" : [ { "dropping-particle" : "", "family" : "Roques", "given" : "Fran\u00e7ois", "non-dropping-particle" : "", "parse-names" : false, "suffix" : "" } ], "container-title" : "European Heart Journal", "id" : "ITEM-1", "issue" : "9", "issued" : { "date-parts" : [ [ "2003", "5" ] ] }, "page" : "1-2", "title" : "The logistic EuroSCORE", "type" : "article-journal", "volume" : "24" }, "uris" : [ "http://www.mendeley.com/documents/?uuid=7a4a4fa4-3be5-4cfe-95f6-4780a53d6c95" ] } ], "mendeley" : { "formattedCitation" : "[8]", "plainTextFormattedCitation" : "[8]", "previouslyFormattedCitation" : "[8]" }, "properties" : { "noteIndex" : 0 }, "schema" : "https://github.com/citation-style-language/schema/raw/master/csl-citation.json" }</w:instrText>
      </w:r>
      <w:r w:rsidR="009279C2" w:rsidRPr="00C75A7E">
        <w:fldChar w:fldCharType="separate"/>
      </w:r>
      <w:r w:rsidR="00A456DA" w:rsidRPr="00A456DA">
        <w:rPr>
          <w:noProof/>
        </w:rPr>
        <w:t>[8]</w:t>
      </w:r>
      <w:r w:rsidR="009279C2" w:rsidRPr="00C75A7E">
        <w:fldChar w:fldCharType="end"/>
      </w:r>
      <w:r w:rsidR="0055001F">
        <w:t>.</w:t>
      </w:r>
      <w:r w:rsidRPr="00C75A7E">
        <w:t xml:space="preserve"> Further details of variable definitions are available at </w:t>
      </w:r>
      <w:hyperlink r:id="rId10" w:history="1">
        <w:r w:rsidR="009279C2" w:rsidRPr="00C75A7E">
          <w:rPr>
            <w:rStyle w:val="Hyperlink"/>
          </w:rPr>
          <w:t>http://www.ucl.ac.uk/nicor/audits/adultcardiac/datasets</w:t>
        </w:r>
      </w:hyperlink>
      <w:r w:rsidR="009279C2" w:rsidRPr="00C75A7E">
        <w:t xml:space="preserve"> (last accessed 4th February 2015).</w:t>
      </w:r>
    </w:p>
    <w:p w14:paraId="22DF6914" w14:textId="77777777" w:rsidR="00942CA3" w:rsidRPr="00C75A7E" w:rsidRDefault="00942CA3" w:rsidP="00487D2E">
      <w:pPr>
        <w:spacing w:after="200" w:line="360" w:lineRule="auto"/>
        <w:rPr>
          <w:b/>
        </w:rPr>
      </w:pPr>
      <w:r w:rsidRPr="00C75A7E">
        <w:rPr>
          <w:b/>
        </w:rPr>
        <w:t>Study outcomes</w:t>
      </w:r>
    </w:p>
    <w:p w14:paraId="6FCED8DD" w14:textId="49D5FA15" w:rsidR="00942CA3" w:rsidRPr="00C75A7E" w:rsidRDefault="00942CA3" w:rsidP="00487D2E">
      <w:pPr>
        <w:spacing w:after="200" w:line="360" w:lineRule="auto"/>
        <w:ind w:firstLine="720"/>
      </w:pPr>
      <w:r w:rsidRPr="00C75A7E">
        <w:t xml:space="preserve">The primary outcome for this study was mid-term survival from all-cause mortality. The secondary outcome was in-hospital mortality, defined as death due to any cause during admission to the base hospital for cardiac surgery. Patients who died in-hospital on the day of surgery were recorded as having a nominal survival time of 0.5 days. Follow-up data up until the point of discharge was collected by the NACSA clinical registry system and post-discharge survival data was collected by linking the records via patient NHS numbers to the Office for </w:t>
      </w:r>
      <w:r w:rsidRPr="00C75A7E">
        <w:lastRenderedPageBreak/>
        <w:t>National Statistics (ONS) death registry, which records all deaths in England and Wales.</w:t>
      </w:r>
      <w:r w:rsidR="0045759D">
        <w:t xml:space="preserve"> </w:t>
      </w:r>
      <w:r w:rsidR="005A3F2C">
        <w:t>The final date of follow-up was 30</w:t>
      </w:r>
      <w:r w:rsidR="005A3F2C" w:rsidRPr="005A3F2C">
        <w:rPr>
          <w:vertAlign w:val="superscript"/>
        </w:rPr>
        <w:t>th</w:t>
      </w:r>
      <w:r w:rsidR="005A3F2C">
        <w:t xml:space="preserve"> July 2013.</w:t>
      </w:r>
      <w:r w:rsidRPr="00C75A7E">
        <w:t xml:space="preserve"> Data on cause of death was unavailable. An attempt to back-fill missing in-hospital mortality data was made by record linkage to the ONS registry</w:t>
      </w:r>
      <w:r w:rsidR="00937BCF">
        <w:t xml:space="preserve"> prior to applying the extraction criteria</w:t>
      </w:r>
      <w:r w:rsidRPr="00C75A7E">
        <w:t>.</w:t>
      </w:r>
    </w:p>
    <w:p w14:paraId="6D6283C1" w14:textId="77777777" w:rsidR="00942CA3" w:rsidRPr="00C75A7E" w:rsidRDefault="00942CA3" w:rsidP="00487D2E">
      <w:pPr>
        <w:spacing w:after="200" w:line="360" w:lineRule="auto"/>
        <w:rPr>
          <w:b/>
        </w:rPr>
      </w:pPr>
      <w:r w:rsidRPr="00C75A7E">
        <w:rPr>
          <w:b/>
        </w:rPr>
        <w:t>Statistical analysis</w:t>
      </w:r>
    </w:p>
    <w:p w14:paraId="77656B7C" w14:textId="0BB66F70" w:rsidR="00942CA3" w:rsidRPr="00C75A7E" w:rsidRDefault="00942CA3" w:rsidP="00487D2E">
      <w:pPr>
        <w:spacing w:after="200" w:line="360" w:lineRule="auto"/>
        <w:ind w:firstLine="720"/>
      </w:pPr>
      <w:r w:rsidRPr="00C75A7E">
        <w:t>Patient and operative data were contrasted between th</w:t>
      </w:r>
      <w:r w:rsidR="005006A1">
        <w:t xml:space="preserve">e on-pump and off-pump groups. </w:t>
      </w:r>
      <w:r w:rsidRPr="00C75A7E">
        <w:t xml:space="preserve">The independent samples Student </w:t>
      </w:r>
      <w:r w:rsidRPr="00C75A7E">
        <w:rPr>
          <w:i/>
        </w:rPr>
        <w:t>t</w:t>
      </w:r>
      <w:r w:rsidRPr="00C75A7E">
        <w:t xml:space="preserve">-test or Mann-Whitney </w:t>
      </w:r>
      <w:r w:rsidRPr="00C75A7E">
        <w:rPr>
          <w:i/>
        </w:rPr>
        <w:t>U</w:t>
      </w:r>
      <w:r w:rsidRPr="00C75A7E">
        <w:t xml:space="preserve">-test was used to compare approximately normal and non-normal continuous </w:t>
      </w:r>
      <w:r w:rsidR="00B3019E">
        <w:t>variables respectively. The chi-</w:t>
      </w:r>
      <w:r w:rsidRPr="00C75A7E">
        <w:t>square</w:t>
      </w:r>
      <w:r w:rsidR="00B3019E">
        <w:t>d</w:t>
      </w:r>
      <w:r w:rsidRPr="00C75A7E">
        <w:t xml:space="preserve"> test </w:t>
      </w:r>
      <w:r w:rsidR="00046C82" w:rsidRPr="00C75A7E">
        <w:t xml:space="preserve">for independence </w:t>
      </w:r>
      <w:r w:rsidR="00046C82">
        <w:t xml:space="preserve">with Yates’ continuity correction </w:t>
      </w:r>
      <w:r w:rsidRPr="00C75A7E">
        <w:t>was used to</w:t>
      </w:r>
      <w:r w:rsidR="00C3508A">
        <w:t xml:space="preserve"> compare categorical </w:t>
      </w:r>
      <w:r w:rsidRPr="00C75A7E">
        <w:t>variables. To quantify the actual degree of imbalance between the on- and off-pump groups for each variable, we also calculated the standardized difference as:</w:t>
      </w:r>
      <w:r w:rsidR="009C3275" w:rsidRPr="00C75A7E">
        <w:rPr>
          <w:position w:val="-4"/>
        </w:rPr>
        <w:object w:dxaOrig="180" w:dyaOrig="260" w14:anchorId="059FE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3.75pt" o:ole="">
            <v:imagedata r:id="rId11" o:title=""/>
          </v:shape>
          <o:OLEObject Type="Embed" ProgID="Equation.3" ShapeID="_x0000_i1025" DrawAspect="Content" ObjectID="_1377879924" r:id="rId12"/>
        </w:object>
      </w:r>
    </w:p>
    <w:p w14:paraId="1F92249C" w14:textId="33436178" w:rsidR="001A0C27" w:rsidRPr="00C75A7E" w:rsidRDefault="001A0C27" w:rsidP="00487D2E">
      <w:pPr>
        <w:spacing w:after="200" w:line="360" w:lineRule="auto"/>
        <w:jc w:val="center"/>
      </w:pPr>
      <m:oMath>
        <m:r>
          <w:rPr>
            <w:rFonts w:ascii="Cambria Math" w:hAnsi="Cambria Math"/>
          </w:rPr>
          <m:t>∆=100(</m:t>
        </m:r>
        <m:sSub>
          <m:sSubPr>
            <m:ctrlPr>
              <w:rPr>
                <w:rFonts w:ascii="Cambria Math" w:eastAsiaTheme="minorEastAsia" w:hAnsi="Cambria Math"/>
                <w:i/>
              </w:rPr>
            </m:ctrlPr>
          </m:sSubPr>
          <m:e>
            <m:acc>
              <m:accPr>
                <m:chr m:val="̅"/>
                <m:ctrlPr>
                  <w:rPr>
                    <w:rFonts w:ascii="Cambria Math" w:hAnsi="Cambria Math"/>
                    <w:i/>
                  </w:rPr>
                </m:ctrlPr>
              </m:accPr>
              <m:e>
                <m:r>
                  <w:rPr>
                    <w:rFonts w:ascii="Cambria Math" w:hAnsi="Cambria Math"/>
                  </w:rPr>
                  <m:t>x</m:t>
                </m:r>
              </m:e>
            </m:acc>
          </m:e>
          <m:sub>
            <m:r>
              <m:rPr>
                <m:nor/>
              </m:rPr>
              <m:t>on</m:t>
            </m:r>
          </m:sub>
        </m:sSub>
        <m:r>
          <w:rPr>
            <w:rFonts w:ascii="Cambria Math" w:hAnsi="Cambria Math"/>
          </w:rPr>
          <m:t xml:space="preserve"> - </m:t>
        </m:r>
        <m:sSub>
          <m:sSubPr>
            <m:ctrlPr>
              <w:rPr>
                <w:rFonts w:ascii="Cambria Math" w:eastAsiaTheme="minorEastAsia" w:hAnsi="Cambria Math"/>
                <w:i/>
              </w:rPr>
            </m:ctrlPr>
          </m:sSubPr>
          <m:e>
            <m:acc>
              <m:accPr>
                <m:chr m:val="̅"/>
                <m:ctrlPr>
                  <w:rPr>
                    <w:rFonts w:ascii="Cambria Math" w:hAnsi="Cambria Math"/>
                    <w:i/>
                  </w:rPr>
                </m:ctrlPr>
              </m:accPr>
              <m:e>
                <m:r>
                  <w:rPr>
                    <w:rFonts w:ascii="Cambria Math" w:hAnsi="Cambria Math"/>
                  </w:rPr>
                  <m:t>x</m:t>
                </m:r>
              </m:e>
            </m:acc>
          </m:e>
          <m:sub>
            <m:r>
              <m:rPr>
                <m:nor/>
              </m:rPr>
              <m:t>off</m:t>
            </m:r>
          </m:sub>
        </m:sSub>
        <m:r>
          <w:rPr>
            <w:rFonts w:ascii="Cambria Math" w:hAnsi="Cambria Math"/>
          </w:rPr>
          <m:t>) / √</m:t>
        </m:r>
        <m:d>
          <m:dPr>
            <m:begChr m:val="{"/>
            <m:endChr m:val="}"/>
            <m:ctrlPr>
              <w:rPr>
                <w:rFonts w:ascii="Cambria Math" w:eastAsiaTheme="minorEastAsia" w:hAnsi="Cambria Math"/>
                <w:i/>
              </w:rPr>
            </m:ctrlPr>
          </m:dPr>
          <m:e>
            <m:r>
              <w:rPr>
                <w:rFonts w:ascii="Cambria Math" w:hAnsi="Cambria Math"/>
              </w:rPr>
              <m:t>(</m:t>
            </m:r>
            <m:sSubSup>
              <m:sSubSupPr>
                <m:ctrlPr>
                  <w:rPr>
                    <w:rFonts w:ascii="Cambria Math" w:eastAsiaTheme="minorEastAsia" w:hAnsi="Cambria Math"/>
                    <w:i/>
                  </w:rPr>
                </m:ctrlPr>
              </m:sSubSupPr>
              <m:e>
                <m:r>
                  <w:rPr>
                    <w:rFonts w:ascii="Cambria Math" w:hAnsi="Cambria Math"/>
                  </w:rPr>
                  <m:t>s</m:t>
                </m:r>
              </m:e>
              <m:sub>
                <m:r>
                  <m:rPr>
                    <m:nor/>
                  </m:rPr>
                  <m:t>on</m:t>
                </m:r>
              </m:sub>
              <m:sup>
                <m:r>
                  <w:rPr>
                    <w:rFonts w:ascii="Cambria Math" w:hAnsi="Cambria Math"/>
                  </w:rPr>
                  <m:t>2</m:t>
                </m:r>
              </m:sup>
            </m:sSubSup>
            <m:r>
              <w:rPr>
                <w:rFonts w:ascii="Cambria Math" w:hAnsi="Cambria Math"/>
              </w:rPr>
              <m:t xml:space="preserve">+ </m:t>
            </m:r>
            <m:sSubSup>
              <m:sSubSupPr>
                <m:ctrlPr>
                  <w:rPr>
                    <w:rFonts w:ascii="Cambria Math" w:eastAsiaTheme="minorEastAsia" w:hAnsi="Cambria Math"/>
                    <w:i/>
                  </w:rPr>
                </m:ctrlPr>
              </m:sSubSupPr>
              <m:e>
                <m:r>
                  <w:rPr>
                    <w:rFonts w:ascii="Cambria Math" w:hAnsi="Cambria Math"/>
                  </w:rPr>
                  <m:t>s</m:t>
                </m:r>
              </m:e>
              <m:sub>
                <m:r>
                  <m:rPr>
                    <m:nor/>
                  </m:rPr>
                  <m:t>off</m:t>
                </m:r>
              </m:sub>
              <m:sup>
                <m:r>
                  <w:rPr>
                    <w:rFonts w:ascii="Cambria Math" w:hAnsi="Cambria Math"/>
                  </w:rPr>
                  <m:t>2</m:t>
                </m:r>
              </m:sup>
            </m:sSubSup>
            <m:r>
              <w:rPr>
                <w:rFonts w:ascii="Cambria Math" w:hAnsi="Cambria Math"/>
              </w:rPr>
              <m:t>)/2</m:t>
            </m:r>
          </m:e>
        </m:d>
      </m:oMath>
      <w:r w:rsidRPr="00C75A7E">
        <w:t>,</w:t>
      </w:r>
    </w:p>
    <w:p w14:paraId="1975CB30" w14:textId="700B7217" w:rsidR="00942CA3" w:rsidRPr="00C75A7E" w:rsidRDefault="001A0C27" w:rsidP="00487D2E">
      <w:pPr>
        <w:spacing w:after="200" w:line="360" w:lineRule="auto"/>
      </w:pPr>
      <w:r w:rsidRPr="00C75A7E">
        <w:t xml:space="preserve">where </w:t>
      </w:r>
      <m:oMath>
        <m:sSub>
          <m:sSubPr>
            <m:ctrlPr>
              <w:rPr>
                <w:rFonts w:ascii="Cambria Math" w:eastAsiaTheme="minorEastAsia" w:hAnsi="Cambria Math"/>
                <w:i/>
              </w:rPr>
            </m:ctrlPr>
          </m:sSubPr>
          <m:e>
            <m:acc>
              <m:accPr>
                <m:chr m:val="̅"/>
                <m:ctrlPr>
                  <w:rPr>
                    <w:rFonts w:ascii="Cambria Math" w:hAnsi="Cambria Math"/>
                    <w:i/>
                  </w:rPr>
                </m:ctrlPr>
              </m:accPr>
              <m:e>
                <m:r>
                  <w:rPr>
                    <w:rFonts w:ascii="Cambria Math" w:hAnsi="Cambria Math"/>
                  </w:rPr>
                  <m:t>x</m:t>
                </m:r>
              </m:e>
            </m:acc>
          </m:e>
          <m:sub>
            <m:r>
              <m:rPr>
                <m:nor/>
              </m:rPr>
              <m:t>off</m:t>
            </m:r>
          </m:sub>
        </m:sSub>
      </m:oMath>
      <w:r w:rsidRPr="00C75A7E">
        <w:t xml:space="preserve"> and </w:t>
      </w:r>
      <m:oMath>
        <m:sSub>
          <m:sSubPr>
            <m:ctrlPr>
              <w:rPr>
                <w:rFonts w:ascii="Cambria Math" w:eastAsiaTheme="minorEastAsia" w:hAnsi="Cambria Math"/>
                <w:i/>
              </w:rPr>
            </m:ctrlPr>
          </m:sSubPr>
          <m:e>
            <m:acc>
              <m:accPr>
                <m:chr m:val="̅"/>
                <m:ctrlPr>
                  <w:rPr>
                    <w:rFonts w:ascii="Cambria Math" w:hAnsi="Cambria Math"/>
                    <w:i/>
                  </w:rPr>
                </m:ctrlPr>
              </m:accPr>
              <m:e>
                <m:r>
                  <w:rPr>
                    <w:rFonts w:ascii="Cambria Math" w:hAnsi="Cambria Math"/>
                  </w:rPr>
                  <m:t>x</m:t>
                </m:r>
              </m:e>
            </m:acc>
          </m:e>
          <m:sub>
            <m:r>
              <m:rPr>
                <m:nor/>
              </m:rPr>
              <m:t>on</m:t>
            </m:r>
          </m:sub>
        </m:sSub>
      </m:oMath>
      <w:r w:rsidRPr="00C75A7E">
        <w:t xml:space="preserve"> denotes the sample means for the off- and on-pump groups respectively, </w:t>
      </w:r>
      <w:r w:rsidR="00A31744" w:rsidRPr="00C75A7E">
        <w:t xml:space="preserve">and </w:t>
      </w:r>
      <m:oMath>
        <m:sSubSup>
          <m:sSubSupPr>
            <m:ctrlPr>
              <w:rPr>
                <w:rFonts w:ascii="Cambria Math" w:eastAsia="MS Mincho" w:hAnsi="Cambria Math"/>
                <w:i/>
              </w:rPr>
            </m:ctrlPr>
          </m:sSubSupPr>
          <m:e>
            <m:r>
              <w:rPr>
                <w:rFonts w:ascii="Cambria Math" w:hAnsi="Cambria Math"/>
              </w:rPr>
              <m:t>s</m:t>
            </m:r>
          </m:e>
          <m:sub>
            <m:r>
              <m:rPr>
                <m:nor/>
              </m:rPr>
              <m:t>off</m:t>
            </m:r>
          </m:sub>
          <m:sup>
            <m:r>
              <w:rPr>
                <w:rFonts w:ascii="Cambria Math" w:hAnsi="Cambria Math"/>
              </w:rPr>
              <m:t>2</m:t>
            </m:r>
          </m:sup>
        </m:sSubSup>
      </m:oMath>
      <w:r w:rsidR="00A31744" w:rsidRPr="00C75A7E">
        <w:t xml:space="preserve"> and</w:t>
      </w:r>
      <m:oMath>
        <m:r>
          <w:rPr>
            <w:rFonts w:ascii="Cambria Math" w:eastAsia="MS Mincho" w:hAnsi="Cambria Math"/>
          </w:rPr>
          <m:t xml:space="preserve"> </m:t>
        </m:r>
        <m:sSubSup>
          <m:sSubSupPr>
            <m:ctrlPr>
              <w:rPr>
                <w:rFonts w:ascii="Cambria Math" w:eastAsia="MS Mincho" w:hAnsi="Cambria Math"/>
                <w:i/>
              </w:rPr>
            </m:ctrlPr>
          </m:sSubSupPr>
          <m:e>
            <m:r>
              <w:rPr>
                <w:rFonts w:ascii="Cambria Math" w:hAnsi="Cambria Math"/>
              </w:rPr>
              <m:t>s</m:t>
            </m:r>
          </m:e>
          <m:sub>
            <m:r>
              <m:rPr>
                <m:nor/>
              </m:rPr>
              <m:t>on</m:t>
            </m:r>
          </m:sub>
          <m:sup>
            <m:r>
              <w:rPr>
                <w:rFonts w:ascii="Cambria Math" w:hAnsi="Cambria Math"/>
              </w:rPr>
              <m:t>2</m:t>
            </m:r>
          </m:sup>
        </m:sSubSup>
      </m:oMath>
      <w:r w:rsidR="00A31744" w:rsidRPr="00C75A7E">
        <w:t xml:space="preserve"> </w:t>
      </w:r>
      <w:r w:rsidR="00942CA3" w:rsidRPr="00C75A7E">
        <w:t>the respective sample variances. Typically, variables with absolute standardized differences &lt;10% are considered to be adequately balanced</w:t>
      </w:r>
      <w:r w:rsidR="0055001F">
        <w:t xml:space="preserve"> </w:t>
      </w:r>
      <w:r w:rsidR="003231F5" w:rsidRPr="00C75A7E">
        <w:fldChar w:fldCharType="begin" w:fldLock="1"/>
      </w:r>
      <w:r w:rsidR="00C8628B">
        <w:instrText>ADDIN CSL_CITATION { "citationItems" : [ { "id" : "ITEM-1", "itemData" : { "ISSN" : "0895-4356", "PMID" : "11297888", "abstract" : "We determined whether adherence to recommendations for coronary angiography more than 12 h after symptom onset but prior to hospital discharge after acute myocardial infarction (AMI) resulted in better survival. Using propensity scores, we created a matched retrospective sample of 19,568 Medicare patients hospitalized with AMI during 1994-1995 in the United States. Twenty-nine percent, 36%, and 34% of patients were judged necessary, appropriate, or uncertain, respectively, for angiography while 60% of those judged necessary received the procedure during the hospitalization. The 3-year survival benefit was largest for patients rated necessary [mean survival difference (95% CI): 17.6% (15.1, 20.1)] and smallest for those rated uncertain [8.8% (6.8, 10.7)]. Angiography recommendations appear to select patients who are likely to benefit from the procedure and the consequent interventions. Because of the magnitude of the benefit and of the number of patients involved, steps should be taken to replicate these findings.", "author" : [ { "dropping-particle" : "", "family" : "Normand", "given" : "Sharon-Lise T", "non-dropping-particle" : "", "parse-names" : false, "suffix" : "" }, { "dropping-particle" : "", "family" : "Landrum", "given" : "M B", "non-dropping-particle" : "", "parse-names" : false, "suffix" : "" }, { "dropping-particle" : "", "family" : "Guadagnoli", "given" : "E", "non-dropping-particle" : "", "parse-names" : false, "suffix" : "" }, { "dropping-particle" : "", "family" : "Ayanian", "given" : "J Z", "non-dropping-particle" : "", "parse-names" : false, "suffix" : "" }, { "dropping-particle" : "", "family" : "Ryan", "given" : "T J", "non-dropping-particle" : "", "parse-names" : false, "suffix" : "" }, { "dropping-particle" : "", "family" : "Cleary", "given" : "P D", "non-dropping-particle" : "", "parse-names" : false, "suffix" : "" }, { "dropping-particle" : "", "family" : "McNeil", "given" : "Barbara J", "non-dropping-particle" : "", "parse-names" : false, "suffix" : "" } ], "container-title" : "Journal of Clinical Epidemiology", "id" : "ITEM-1", "issue" : "4", "issued" : { "date-parts" : [ [ "2001", "4" ] ] }, "page" : "387-98", "title" : "Validating recommendations for coronary angiography following acute myocardial infarction in the elderly: A matched analysis using propensity scores", "type" : "article-journal", "volume" : "54" }, "uris" : [ "http://www.mendeley.com/documents/?uuid=e9b670f4-845c-4d76-8ee4-4f9ab8f9e5cc" ] } ], "mendeley" : { "formattedCitation" : "[9]", "plainTextFormattedCitation" : "[9]", "previouslyFormattedCitation" : "[9]" }, "properties" : { "noteIndex" : 0 }, "schema" : "https://github.com/citation-style-language/schema/raw/master/csl-citation.json" }</w:instrText>
      </w:r>
      <w:r w:rsidR="003231F5" w:rsidRPr="00C75A7E">
        <w:fldChar w:fldCharType="separate"/>
      </w:r>
      <w:r w:rsidR="00A456DA" w:rsidRPr="00A456DA">
        <w:rPr>
          <w:noProof/>
        </w:rPr>
        <w:t>[9]</w:t>
      </w:r>
      <w:r w:rsidR="003231F5" w:rsidRPr="00C75A7E">
        <w:fldChar w:fldCharType="end"/>
      </w:r>
      <w:r w:rsidR="0055001F">
        <w:t>.</w:t>
      </w:r>
    </w:p>
    <w:p w14:paraId="5700BD76" w14:textId="61C551D3" w:rsidR="00942CA3" w:rsidRPr="00C75A7E" w:rsidRDefault="00942CA3" w:rsidP="00487D2E">
      <w:pPr>
        <w:spacing w:after="200" w:line="360" w:lineRule="auto"/>
        <w:ind w:firstLine="720"/>
      </w:pPr>
      <w:r w:rsidRPr="00C75A7E">
        <w:t>We estimated survival curves, stratified by CPB use (on-pump vs. off-pump), using the Kaplan-Meier method. All variables were initially included in a multivariable Cox proportional hazards regression model</w:t>
      </w:r>
      <w:r w:rsidR="0055001F">
        <w:t xml:space="preserve"> </w:t>
      </w:r>
      <w:r w:rsidR="003231F5" w:rsidRPr="00C75A7E">
        <w:fldChar w:fldCharType="begin" w:fldLock="1"/>
      </w:r>
      <w:r w:rsidR="000C0F7B">
        <w:instrText>ADDIN CSL_CITATION { "citationItems" : [ { "id" : "ITEM-1", "itemData" : { "author" : [ { "dropping-particle" : "", "family" : "Cox", "given" : "David R", "non-dropping-particle" : "", "parse-names" : false, "suffix" : "" } ], "container-title" : "Journal of the Royal Statistical Society. Series B: Statistical Methodology", "id" : "ITEM-1", "issue" : "2", "issued" : { "date-parts" : [ [ "1972" ] ] }, "page" : "187-220", "title" : "Regression models and life-tables", "type" : "article-journal", "volume" : "34" }, "uris" : [ "http://www.mendeley.com/documents/?uuid=3a6e7a12-c985-48ea-91d2-1b298b19429d" ] } ], "mendeley" : { "formattedCitation" : "[10]", "plainTextFormattedCitation" : "[10]", "previouslyFormattedCitation" : "[10]" }, "properties" : { "noteIndex" : 0 }, "schema" : "https://github.com/citation-style-language/schema/raw/master/csl-citation.json" }</w:instrText>
      </w:r>
      <w:r w:rsidR="003231F5" w:rsidRPr="00C75A7E">
        <w:fldChar w:fldCharType="separate"/>
      </w:r>
      <w:r w:rsidR="00A456DA" w:rsidRPr="00A456DA">
        <w:rPr>
          <w:noProof/>
        </w:rPr>
        <w:t>[10]</w:t>
      </w:r>
      <w:r w:rsidR="003231F5" w:rsidRPr="00C75A7E">
        <w:fldChar w:fldCharType="end"/>
      </w:r>
      <w:r w:rsidR="0055001F">
        <w:t>.</w:t>
      </w:r>
      <w:r w:rsidRPr="00C75A7E">
        <w:t xml:space="preserve"> </w:t>
      </w:r>
      <w:r w:rsidR="0017115C">
        <w:t>I</w:t>
      </w:r>
      <w:r w:rsidR="0017115C" w:rsidRPr="00C75A7E">
        <w:t>n order to capture the non-line</w:t>
      </w:r>
      <w:r w:rsidR="0017115C">
        <w:t xml:space="preserve">ar association with the outcome, </w:t>
      </w:r>
      <w:r w:rsidRPr="00C75A7E">
        <w:t>BMI was included as a restri</w:t>
      </w:r>
      <w:r w:rsidR="00292CAE">
        <w:t>cted cubic spline on 4-knots placed at the 5</w:t>
      </w:r>
      <w:r w:rsidR="00292CAE" w:rsidRPr="00292CAE">
        <w:rPr>
          <w:vertAlign w:val="superscript"/>
        </w:rPr>
        <w:t>th</w:t>
      </w:r>
      <w:r w:rsidR="00292CAE">
        <w:t>, 35</w:t>
      </w:r>
      <w:r w:rsidR="00292CAE" w:rsidRPr="00292CAE">
        <w:rPr>
          <w:vertAlign w:val="superscript"/>
        </w:rPr>
        <w:t>th</w:t>
      </w:r>
      <w:r w:rsidR="00292CAE">
        <w:t>, 65</w:t>
      </w:r>
      <w:r w:rsidR="00292CAE" w:rsidRPr="00292CAE">
        <w:rPr>
          <w:vertAlign w:val="superscript"/>
        </w:rPr>
        <w:t>th</w:t>
      </w:r>
      <w:r w:rsidR="00292CAE">
        <w:t xml:space="preserve"> and 95</w:t>
      </w:r>
      <w:r w:rsidR="00292CAE" w:rsidRPr="00292CAE">
        <w:rPr>
          <w:vertAlign w:val="superscript"/>
        </w:rPr>
        <w:t>th</w:t>
      </w:r>
      <w:r w:rsidR="00292CAE">
        <w:t xml:space="preserve"> percentiles</w:t>
      </w:r>
      <w:r w:rsidRPr="00C75A7E">
        <w:t xml:space="preserve">. Variables corresponding to statistically non-significant and </w:t>
      </w:r>
      <w:r w:rsidR="00C57A9C">
        <w:t>clinically</w:t>
      </w:r>
      <w:r w:rsidR="00B3019E">
        <w:t xml:space="preserve"> </w:t>
      </w:r>
      <w:r w:rsidRPr="00C75A7E">
        <w:t>counterintuitive coefficients were eliminated from the model, and it was re-fitted. In order to assess linearity in log hazard for patient age at time of surgery, graphical plots of Martingale residuals</w:t>
      </w:r>
      <w:r w:rsidR="003231F5" w:rsidRPr="00C75A7E">
        <w:t xml:space="preserve"> </w:t>
      </w:r>
      <w:r w:rsidRPr="00C75A7E">
        <w:t>were plotted against age, and a LOWESS smoothing curve overlaid</w:t>
      </w:r>
      <w:r w:rsidR="0055001F">
        <w:t xml:space="preserve"> </w:t>
      </w:r>
      <w:r w:rsidR="00CC0610" w:rsidRPr="00C75A7E">
        <w:fldChar w:fldCharType="begin" w:fldLock="1"/>
      </w:r>
      <w:r w:rsidR="00C8628B">
        <w:instrText>ADDIN CSL_CITATION { "citationItems" : [ { "id" : "ITEM-1", "itemData" : { "author" : [ { "dropping-particle" : "", "family" : "Therneau", "given" : "Terry M", "non-dropping-particle" : "", "parse-names" : false, "suffix" : "" }, { "dropping-particle" : "", "family" : "Grambsch", "given" : "Patricia M", "non-dropping-particle" : "", "parse-names" : false, "suffix" : "" }, { "dropping-particle" : "", "family" : "Fleming", "given" : "Thomas R", "non-dropping-particle" : "", "parse-names" : false, "suffix" : "" } ], "container-title" : "Biometrika", "id" : "ITEM-1", "issue" : "1", "issued" : { "date-parts" : [ [ "1990" ] ] }, "page" : "147-160", "title" : "Martingale-based residuals for survival models", "type" : "article-journal", "volume" : "77" }, "uris" : [ "http://www.mendeley.com/documents/?uuid=9a7d1eca-e4b1-4cc4-8eb7-d9e6e3784fcd" ] } ], "mendeley" : { "formattedCitation" : "[11]", "plainTextFormattedCitation" : "[11]", "previouslyFormattedCitation" : "[11]" }, "properties" : { "noteIndex" : 0 }, "schema" : "https://github.com/citation-style-language/schema/raw/master/csl-citation.json" }</w:instrText>
      </w:r>
      <w:r w:rsidR="00CC0610" w:rsidRPr="00C75A7E">
        <w:fldChar w:fldCharType="separate"/>
      </w:r>
      <w:r w:rsidR="00A456DA" w:rsidRPr="00A456DA">
        <w:rPr>
          <w:noProof/>
        </w:rPr>
        <w:t>[11]</w:t>
      </w:r>
      <w:r w:rsidR="00CC0610" w:rsidRPr="00C75A7E">
        <w:fldChar w:fldCharType="end"/>
      </w:r>
      <w:r w:rsidR="0055001F">
        <w:t>.</w:t>
      </w:r>
      <w:r w:rsidRPr="00C75A7E">
        <w:t xml:space="preserve"> As indicated, a piecewise linear spline was appr</w:t>
      </w:r>
      <w:r w:rsidR="000D0CD1">
        <w:t>opriate with a single knot at 70</w:t>
      </w:r>
      <w:r w:rsidRPr="00C75A7E">
        <w:t>-years. The proportional hazards assumption was checked in the final model using graphical inspection of scaled Schoenfeld residuals plotted against time, and also by the Grambsch and Therneau test</w:t>
      </w:r>
      <w:r w:rsidR="0055001F">
        <w:t xml:space="preserve"> </w:t>
      </w:r>
      <w:r w:rsidR="003231F5" w:rsidRPr="00C75A7E">
        <w:fldChar w:fldCharType="begin" w:fldLock="1"/>
      </w:r>
      <w:r w:rsidR="00C8628B">
        <w:instrText>ADDIN CSL_CITATION { "citationItems" : [ { "id" : "ITEM-1", "itemData" : { "author" : [ { "dropping-particle" : "", "family" : "Grambsch", "given" : "Patricia M", "non-dropping-particle" : "", "parse-names" : false, "suffix" : "" }, { "dropping-particle" : "", "family" : "Therneau", "given" : "Terry M", "non-dropping-particle" : "", "parse-names" : false, "suffix" : "" } ], "container-title" : "Biometrika", "id" : "ITEM-1", "issue" : "3", "issued" : { "date-parts" : [ [ "1994" ] ] }, "page" : "515-526", "title" : "Proportional hazard tests and diagnostics based on weighted residuals", "type" : "article-journal", "volume" : "81" }, "uris" : [ "http://www.mendeley.com/documents/?uuid=19ebe5df-a10e-4501-8138-e446413eb5b2" ] } ], "mendeley" : { "formattedCitation" : "[12]", "plainTextFormattedCitation" : "[12]", "previouslyFormattedCitation" : "[12]" }, "properties" : { "noteIndex" : 0 }, "schema" : "https://github.com/citation-style-language/schema/raw/master/csl-citation.json" }</w:instrText>
      </w:r>
      <w:r w:rsidR="003231F5" w:rsidRPr="00C75A7E">
        <w:fldChar w:fldCharType="separate"/>
      </w:r>
      <w:r w:rsidR="00A456DA" w:rsidRPr="00A456DA">
        <w:rPr>
          <w:noProof/>
        </w:rPr>
        <w:t>[12]</w:t>
      </w:r>
      <w:r w:rsidR="003231F5" w:rsidRPr="00C75A7E">
        <w:fldChar w:fldCharType="end"/>
      </w:r>
      <w:r w:rsidR="0055001F">
        <w:t>.</w:t>
      </w:r>
      <w:r w:rsidRPr="00C75A7E">
        <w:t xml:space="preserve"> The final model is summarized by reporting the hazard ratios and 95% confidence intervals.</w:t>
      </w:r>
    </w:p>
    <w:p w14:paraId="2A650E65" w14:textId="2B7BB0C1" w:rsidR="003231F5" w:rsidRPr="00C75A7E" w:rsidRDefault="00942CA3" w:rsidP="00487D2E">
      <w:pPr>
        <w:spacing w:after="200" w:line="360" w:lineRule="auto"/>
        <w:ind w:firstLine="720"/>
      </w:pPr>
      <w:r w:rsidRPr="00C75A7E">
        <w:lastRenderedPageBreak/>
        <w:t xml:space="preserve">By the nature of data inclusion, there was expected to be few in-hospital deaths, which would translate into a small event per variable ratio for a saturated </w:t>
      </w:r>
      <w:r w:rsidR="00075BB1">
        <w:t xml:space="preserve">binary outcome regression </w:t>
      </w:r>
      <w:r w:rsidRPr="00C75A7E">
        <w:t xml:space="preserve">model. Therefore we only included two variables in </w:t>
      </w:r>
      <w:r w:rsidR="00075BB1">
        <w:t>a</w:t>
      </w:r>
      <w:r w:rsidRPr="00C75A7E">
        <w:t xml:space="preserve"> multivariable logistic regression model for modelling in-hospital</w:t>
      </w:r>
      <w:r w:rsidR="00BC7421">
        <w:t>: logit (log-</w:t>
      </w:r>
      <w:r w:rsidRPr="00C75A7E">
        <w:t>odds) transformed logistic EuroSCORE and CPB status. The odds ratios and 95% confidence intervals are reported for each.</w:t>
      </w:r>
      <w:r w:rsidR="003231F5" w:rsidRPr="00C75A7E">
        <w:t xml:space="preserve"> </w:t>
      </w:r>
    </w:p>
    <w:p w14:paraId="5FBA0E51" w14:textId="297929FC" w:rsidR="00942CA3" w:rsidRPr="00C75A7E" w:rsidRDefault="00942CA3" w:rsidP="00487D2E">
      <w:pPr>
        <w:spacing w:after="200" w:line="360" w:lineRule="auto"/>
        <w:ind w:firstLine="720"/>
      </w:pPr>
      <w:r w:rsidRPr="00C75A7E">
        <w:t>All analyses and data cleaning were performed in R</w:t>
      </w:r>
      <w:r w:rsidR="007E2DEE">
        <w:t xml:space="preserve"> (V</w:t>
      </w:r>
      <w:r w:rsidRPr="00C75A7E">
        <w:t>ersion 3.1.2</w:t>
      </w:r>
      <w:r w:rsidR="007E2DEE">
        <w:t xml:space="preserve">; </w:t>
      </w:r>
      <w:r w:rsidR="007E2DEE" w:rsidRPr="007E2DEE">
        <w:t>R Foundation for Statistical Computing</w:t>
      </w:r>
      <w:r w:rsidR="007E2DEE">
        <w:t xml:space="preserve">, Vienna, Austria; </w:t>
      </w:r>
      <w:hyperlink r:id="rId13" w:history="1">
        <w:r w:rsidR="007E2DEE" w:rsidRPr="00345581">
          <w:rPr>
            <w:rStyle w:val="Hyperlink"/>
          </w:rPr>
          <w:t>http://www.R-project.org/</w:t>
        </w:r>
      </w:hyperlink>
      <w:r w:rsidR="007E2DEE">
        <w:t>)</w:t>
      </w:r>
      <w:r w:rsidR="0055001F">
        <w:t>.</w:t>
      </w:r>
      <w:r w:rsidR="003231F5" w:rsidRPr="00C75A7E">
        <w:t xml:space="preserve"> Survival analysis was </w:t>
      </w:r>
      <w:r w:rsidRPr="00C75A7E">
        <w:t>performed using the survival package (version 2.37-7)</w:t>
      </w:r>
      <w:r w:rsidR="0055001F">
        <w:t xml:space="preserve"> </w:t>
      </w:r>
      <w:r w:rsidR="0095522F" w:rsidRPr="00C75A7E">
        <w:fldChar w:fldCharType="begin" w:fldLock="1"/>
      </w:r>
      <w:r w:rsidR="00D05821">
        <w:instrText>ADDIN CSL_CITATION { "citationItems" : [ { "id" : "ITEM-1", "itemData" : { "ISBN" : "0387987843", "abstract" : "This is a book for statistical practitioners, particularly those who design and analyze studies for survival and event history data. Its goal is to extend the toolkit beyond the basic triad provided by most statistical packages: the Kaplan-Meier estimator, log-rank test, and Cox regression model. Building on recent developments motivated by counting process and martingale theory, it shows the reader how to extend the Cox model to analyse multiple/correlated event data using marginal and random effects (frailty) models. It covers the use of residuals and diagnostic plots to identify influential or outlying observations, assess proportional hazards and examine other aspects of goodness of fit. Other topics include time-dependent covariates and strata, discontinuous intervals of risk, multiple time scales, smoothing and regression splines, and the computation of expected survival curves. A knowledge of counting processes and martingales is not assumed as the early chapters provide an introduction to this area. The focus of the book is on actual data examples, the analysis and interpretation of the results, and computation. The methods are now readily available in SAS and S-Plus and this book gives a hands-on introduction, showing how to implement them in both packages, with worked examples for many data sets. The authors call on their extensive experience and give practical advice, including pitfalls to be avoided. Terry Therneau is Head of the Section of Biostatistics, Mayo Clinic, Rochester, Minnesota. He is actively involved in medical consulting, with emphasis in the areas of chronic liver disease, physical medicine, hematology, and laboratory medicine, and is an author on numerous papers in medical and statistical journals. He wrote two of the original SAS procedures for survival analysis (coxregr and survtest), as well as the majority of the S-Plus survival functions. Patricia Grambsch is Associate Professor in the Division of Biostatistics, School of Public Health, University of Minnesota. She has collaborated extensively with physicians and public health researchers in chronic liver disease, cancer prevention, hypertension clinical trials and psychiatric research. She is a fellow the American Statistical Association and the author of many papers in medical and statistical journals.", "author" : [ { "dropping-particle" : "", "family" : "Therneau", "given" : "Terry M", "non-dropping-particle" : "", "parse-names" : false, "suffix" : "" }, { "dropping-particle" : "", "family" : "Grambsch", "given" : "Patricia M", "non-dropping-particle" : "", "parse-names" : false, "suffix" : "" } ], "id" : "ITEM-1", "issued" : { "date-parts" : [ [ "2000" ] ] }, "number-of-pages" : "350", "publisher" : "Springer-Verlag", "publisher-place" : "New Jersey", "title" : "Modeling Survival Data: Extending the Cox Model", "type" : "book" }, "uris" : [ "http://www.mendeley.com/documents/?uuid=4457dddd-1985-4032-bce4-539c3af31af9" ] } ], "mendeley" : { "formattedCitation" : "[13]", "plainTextFormattedCitation" : "[13]", "previouslyFormattedCitation" : "[13]" }, "properties" : { "noteIndex" : 0 }, "schema" : "https://github.com/citation-style-language/schema/raw/master/csl-citation.json" }</w:instrText>
      </w:r>
      <w:r w:rsidR="0095522F" w:rsidRPr="00C75A7E">
        <w:fldChar w:fldCharType="separate"/>
      </w:r>
      <w:r w:rsidR="00FE3E0A" w:rsidRPr="00FE3E0A">
        <w:rPr>
          <w:noProof/>
        </w:rPr>
        <w:t>[13]</w:t>
      </w:r>
      <w:r w:rsidR="0095522F" w:rsidRPr="00C75A7E">
        <w:fldChar w:fldCharType="end"/>
      </w:r>
      <w:r w:rsidR="0055001F">
        <w:t>.</w:t>
      </w:r>
      <w:r w:rsidRPr="00C75A7E">
        <w:t xml:space="preserve"> Restricted cubic splines were calculated using the Hmisc package (version 3.14-5)</w:t>
      </w:r>
      <w:r w:rsidR="0055001F">
        <w:t xml:space="preserve"> </w:t>
      </w:r>
      <w:r w:rsidR="0095522F" w:rsidRPr="00C75A7E">
        <w:fldChar w:fldCharType="begin" w:fldLock="1"/>
      </w:r>
      <w:r w:rsidR="00D05821">
        <w:instrText>ADDIN CSL_CITATION { "citationItems" : [ { "id" : "ITEM-1", "itemData" : { "author" : [ { "dropping-particle" : "", "family" : "Harrell Jr", "given" : "Frank E", "non-dropping-particle" : "", "parse-names" : false, "suffix" : "" } ], "id" : "ITEM-1", "issued" : { "date-parts" : [ [ "2001" ] ] }, "publisher" : "Springer", "publisher-place" : "New York", "title" : "Regression Modeling Strategies: With Applications to Linear Models, Logistic Regression, and Survival Analysis", "type" : "book" }, "uris" : [ "http://www.mendeley.com/documents/?uuid=385b25f6-64c6-487a-9032-07a4726ebb3a" ] } ], "mendeley" : { "formattedCitation" : "[14]", "plainTextFormattedCitation" : "[14]", "previouslyFormattedCitation" : "[14]" }, "properties" : { "noteIndex" : 0 }, "schema" : "https://github.com/citation-style-language/schema/raw/master/csl-citation.json" }</w:instrText>
      </w:r>
      <w:r w:rsidR="0095522F" w:rsidRPr="00C75A7E">
        <w:fldChar w:fldCharType="separate"/>
      </w:r>
      <w:r w:rsidR="00FE3E0A" w:rsidRPr="00FE3E0A">
        <w:rPr>
          <w:noProof/>
        </w:rPr>
        <w:t>[14]</w:t>
      </w:r>
      <w:r w:rsidR="0095522F" w:rsidRPr="00C75A7E">
        <w:fldChar w:fldCharType="end"/>
      </w:r>
      <w:r w:rsidR="0055001F">
        <w:t>.</w:t>
      </w:r>
      <w:r w:rsidRPr="00C75A7E">
        <w:t xml:space="preserve"> In all cases, a </w:t>
      </w:r>
      <w:r w:rsidRPr="00C75A7E">
        <w:rPr>
          <w:i/>
        </w:rPr>
        <w:t>P</w:t>
      </w:r>
      <w:r w:rsidRPr="00C75A7E">
        <w:t>-value &lt;0.05 was considered statistically significant.</w:t>
      </w:r>
    </w:p>
    <w:p w14:paraId="7FC4144F" w14:textId="3CD19FBE" w:rsidR="00942CA3" w:rsidRPr="00C75A7E" w:rsidRDefault="00A81B9D" w:rsidP="00487D2E">
      <w:pPr>
        <w:spacing w:after="200" w:line="360" w:lineRule="auto"/>
        <w:rPr>
          <w:b/>
        </w:rPr>
      </w:pPr>
      <w:r>
        <w:rPr>
          <w:b/>
        </w:rPr>
        <w:t>S</w:t>
      </w:r>
      <w:r w:rsidR="009D685E">
        <w:rPr>
          <w:b/>
        </w:rPr>
        <w:t xml:space="preserve">upportive </w:t>
      </w:r>
      <w:r w:rsidR="00942CA3" w:rsidRPr="00C75A7E">
        <w:rPr>
          <w:b/>
        </w:rPr>
        <w:t>analyses</w:t>
      </w:r>
    </w:p>
    <w:p w14:paraId="204C2791" w14:textId="3254552D" w:rsidR="00942CA3" w:rsidRPr="00C75A7E" w:rsidRDefault="00942CA3" w:rsidP="00487D2E">
      <w:pPr>
        <w:spacing w:after="200" w:line="360" w:lineRule="auto"/>
        <w:ind w:firstLine="720"/>
      </w:pPr>
      <w:r w:rsidRPr="00C75A7E">
        <w:t xml:space="preserve">Whilst there is heterogeneity in CPB practice between consultant surgeons, many adopt </w:t>
      </w:r>
      <w:r w:rsidR="00120371">
        <w:t xml:space="preserve">a </w:t>
      </w:r>
      <w:r w:rsidRPr="00C75A7E">
        <w:t xml:space="preserve">preference. </w:t>
      </w:r>
      <w:r w:rsidR="00E51EC5">
        <w:t>A supportive</w:t>
      </w:r>
      <w:r w:rsidRPr="00C75A7E">
        <w:t xml:space="preserve"> analysis was performed</w:t>
      </w:r>
      <w:r w:rsidR="00E51EC5">
        <w:t xml:space="preserve"> to assess whether there was a treatment effect for surgery performed according to the responsible consultant surgeons preferred technique</w:t>
      </w:r>
      <w:r w:rsidRPr="00C75A7E">
        <w:t xml:space="preserve">. Based on </w:t>
      </w:r>
      <w:r w:rsidR="0026188A">
        <w:t>all</w:t>
      </w:r>
      <w:r w:rsidRPr="00C75A7E">
        <w:t xml:space="preserve"> </w:t>
      </w:r>
      <w:r w:rsidR="00B3019E" w:rsidRPr="00C75A7E">
        <w:t>isolated CABG (elective and urgent) procedures</w:t>
      </w:r>
      <w:r w:rsidR="00A6688B">
        <w:t xml:space="preserve"> for </w:t>
      </w:r>
      <w:r w:rsidR="00A6688B" w:rsidRPr="00C75A7E">
        <w:t>first-time cardiac surgery</w:t>
      </w:r>
      <w:r w:rsidR="00A6688B">
        <w:t xml:space="preserve"> patients</w:t>
      </w:r>
      <w:r w:rsidR="00B3019E" w:rsidRPr="00C75A7E">
        <w:t xml:space="preserve"> in England and Wales during the study period</w:t>
      </w:r>
      <w:r w:rsidR="00C7775E">
        <w:t xml:space="preserve"> (irrespective of the number of grafts or conduit types)</w:t>
      </w:r>
      <w:r w:rsidRPr="00C75A7E">
        <w:t>, surgeons were categorized as one of the following groups:</w:t>
      </w:r>
    </w:p>
    <w:p w14:paraId="2496ABBC" w14:textId="2C3D05BF" w:rsidR="00942CA3" w:rsidRPr="00C75A7E" w:rsidRDefault="00396258" w:rsidP="00487D2E">
      <w:pPr>
        <w:numPr>
          <w:ilvl w:val="0"/>
          <w:numId w:val="3"/>
        </w:numPr>
        <w:spacing w:after="200" w:line="360" w:lineRule="auto"/>
      </w:pPr>
      <w:r>
        <w:t>Preference for off-pump</w:t>
      </w:r>
      <w:r w:rsidR="00942CA3" w:rsidRPr="00C75A7E">
        <w:t xml:space="preserve">: off-pump rate </w:t>
      </w:r>
      <w:r w:rsidR="00B3019E">
        <w:t>≥</w:t>
      </w:r>
      <w:r w:rsidR="00942CA3" w:rsidRPr="00C75A7E">
        <w:t>80%;</w:t>
      </w:r>
    </w:p>
    <w:p w14:paraId="43471EC4" w14:textId="11123DE6" w:rsidR="00942CA3" w:rsidRPr="00C75A7E" w:rsidRDefault="00396258" w:rsidP="00487D2E">
      <w:pPr>
        <w:numPr>
          <w:ilvl w:val="0"/>
          <w:numId w:val="3"/>
        </w:numPr>
        <w:spacing w:after="200" w:line="360" w:lineRule="auto"/>
      </w:pPr>
      <w:r>
        <w:t>Preference for on-pump</w:t>
      </w:r>
      <w:r w:rsidR="00942CA3" w:rsidRPr="00C75A7E">
        <w:t xml:space="preserve">: off-pump rate </w:t>
      </w:r>
      <w:r w:rsidR="00B3019E">
        <w:t>≤</w:t>
      </w:r>
      <w:r w:rsidR="00942CA3" w:rsidRPr="00C75A7E">
        <w:t>20%;</w:t>
      </w:r>
    </w:p>
    <w:p w14:paraId="1A742C62" w14:textId="694DC700" w:rsidR="00942CA3" w:rsidRPr="00C75A7E" w:rsidRDefault="00A41DF1" w:rsidP="00487D2E">
      <w:pPr>
        <w:numPr>
          <w:ilvl w:val="0"/>
          <w:numId w:val="3"/>
        </w:numPr>
        <w:spacing w:after="200" w:line="360" w:lineRule="auto"/>
      </w:pPr>
      <w:r>
        <w:t>Mixed practice</w:t>
      </w:r>
      <w:r w:rsidR="00942CA3" w:rsidRPr="00C75A7E">
        <w:t xml:space="preserve">: off-pump rate between </w:t>
      </w:r>
      <w:r w:rsidR="00B3019E">
        <w:t>&gt;</w:t>
      </w:r>
      <w:r w:rsidR="00942CA3" w:rsidRPr="00C75A7E">
        <w:t xml:space="preserve">20% and </w:t>
      </w:r>
      <w:r w:rsidR="00B3019E">
        <w:t>&lt;</w:t>
      </w:r>
      <w:r w:rsidR="00942CA3" w:rsidRPr="00C75A7E">
        <w:t>80%.</w:t>
      </w:r>
    </w:p>
    <w:p w14:paraId="75D763A5" w14:textId="6C902862" w:rsidR="00942CA3" w:rsidRPr="00C75A7E" w:rsidRDefault="00492D08" w:rsidP="00487D2E">
      <w:pPr>
        <w:spacing w:after="200" w:line="360" w:lineRule="auto"/>
      </w:pPr>
      <w:r>
        <w:t xml:space="preserve">The thresholds of ≥80% for classifying a surgeon </w:t>
      </w:r>
      <w:r w:rsidR="0078020D">
        <w:t>preference</w:t>
      </w:r>
      <w:r>
        <w:t xml:space="preserve"> were predefined. </w:t>
      </w:r>
      <w:r w:rsidR="00942CA3" w:rsidRPr="00C75A7E">
        <w:t xml:space="preserve">For surgeons </w:t>
      </w:r>
      <w:r w:rsidR="00A6688B">
        <w:t>w</w:t>
      </w:r>
      <w:r w:rsidR="00D42310">
        <w:t xml:space="preserve">ith experience in isolated CABG, </w:t>
      </w:r>
      <w:r w:rsidR="00947F72">
        <w:t xml:space="preserve">defined here to be those </w:t>
      </w:r>
      <w:r w:rsidR="00942CA3" w:rsidRPr="00C75A7E">
        <w:t>contributing 300 or more</w:t>
      </w:r>
      <w:r w:rsidR="0026188A">
        <w:t xml:space="preserve"> such cases</w:t>
      </w:r>
      <w:r w:rsidR="008B4D89">
        <w:t xml:space="preserve"> to the NACSA registry during the study period</w:t>
      </w:r>
      <w:r w:rsidR="00942CA3" w:rsidRPr="00C75A7E">
        <w:t xml:space="preserve">, we performed two </w:t>
      </w:r>
      <w:r w:rsidR="00A81B9D">
        <w:t>supportive</w:t>
      </w:r>
      <w:r w:rsidR="00942CA3" w:rsidRPr="00C75A7E">
        <w:t xml:space="preserve"> analyses:</w:t>
      </w:r>
    </w:p>
    <w:p w14:paraId="6316AC0C" w14:textId="53F7AAF2" w:rsidR="00942CA3" w:rsidRPr="00C75A7E" w:rsidRDefault="00942CA3" w:rsidP="00487D2E">
      <w:pPr>
        <w:numPr>
          <w:ilvl w:val="0"/>
          <w:numId w:val="2"/>
        </w:numPr>
        <w:spacing w:after="200" w:line="360" w:lineRule="auto"/>
      </w:pPr>
      <w:r w:rsidRPr="00C75A7E">
        <w:t xml:space="preserve">Comparing the </w:t>
      </w:r>
      <w:r w:rsidR="00FF4D95">
        <w:t xml:space="preserve">survival in </w:t>
      </w:r>
      <w:r w:rsidRPr="00C75A7E">
        <w:t xml:space="preserve">off-pump </w:t>
      </w:r>
      <w:r w:rsidR="00FF4D95">
        <w:t>cases</w:t>
      </w:r>
      <w:r w:rsidRPr="00C75A7E">
        <w:t xml:space="preserve"> performed by surgeons</w:t>
      </w:r>
      <w:r w:rsidR="0031082F">
        <w:t xml:space="preserve"> with a preference for the off-pump technique</w:t>
      </w:r>
      <w:r w:rsidRPr="00C75A7E">
        <w:t xml:space="preserve"> to on-pump </w:t>
      </w:r>
      <w:r w:rsidR="00FF4D95">
        <w:t>cases</w:t>
      </w:r>
      <w:r w:rsidRPr="00C75A7E">
        <w:t xml:space="preserve"> performed by </w:t>
      </w:r>
      <w:r w:rsidR="00CC0610">
        <w:t>surgeons</w:t>
      </w:r>
      <w:r w:rsidR="0031082F">
        <w:t xml:space="preserve"> with a preference for the on-pump technique</w:t>
      </w:r>
      <w:r w:rsidR="00CC0610">
        <w:t xml:space="preserve">. </w:t>
      </w:r>
      <w:r w:rsidR="00FF4D95">
        <w:t>Cases</w:t>
      </w:r>
      <w:r w:rsidR="0026188A">
        <w:t xml:space="preserve"> corresponding to </w:t>
      </w:r>
      <w:r w:rsidR="00C831E5">
        <w:t xml:space="preserve">either (i) </w:t>
      </w:r>
      <w:r w:rsidR="0026188A">
        <w:t>o</w:t>
      </w:r>
      <w:r w:rsidRPr="00C75A7E">
        <w:t>n-pump surgery performed by surgeons</w:t>
      </w:r>
      <w:r w:rsidR="0030294D">
        <w:t xml:space="preserve"> with a preference for the off-pump technique</w:t>
      </w:r>
      <w:r w:rsidRPr="00C75A7E">
        <w:t xml:space="preserve">, </w:t>
      </w:r>
      <w:r w:rsidR="00C831E5">
        <w:t xml:space="preserve">(ii) </w:t>
      </w:r>
      <w:r w:rsidRPr="00C75A7E">
        <w:t xml:space="preserve">off-pump surgery performed </w:t>
      </w:r>
      <w:r w:rsidRPr="00C75A7E">
        <w:lastRenderedPageBreak/>
        <w:t>by surgeons</w:t>
      </w:r>
      <w:r w:rsidR="0030294D">
        <w:t xml:space="preserve"> with a preference for the on-pump technique, and </w:t>
      </w:r>
      <w:r w:rsidR="00CE0B9E">
        <w:t xml:space="preserve">(iii) </w:t>
      </w:r>
      <w:r w:rsidR="0030294D">
        <w:t>all surgery performed by mixed practice</w:t>
      </w:r>
      <w:r w:rsidR="00FF4D95">
        <w:t xml:space="preserve"> surgeons </w:t>
      </w:r>
      <w:r w:rsidRPr="00C75A7E">
        <w:t>we</w:t>
      </w:r>
      <w:r w:rsidR="00CC0610">
        <w:t>re excluded.</w:t>
      </w:r>
    </w:p>
    <w:p w14:paraId="77D332FB" w14:textId="0746E846" w:rsidR="00942CA3" w:rsidRPr="00C75A7E" w:rsidRDefault="00EC073E" w:rsidP="00487D2E">
      <w:pPr>
        <w:numPr>
          <w:ilvl w:val="0"/>
          <w:numId w:val="2"/>
        </w:numPr>
        <w:spacing w:after="200" w:line="360" w:lineRule="auto"/>
      </w:pPr>
      <w:r>
        <w:t xml:space="preserve">Comparing the survival between the three categories of </w:t>
      </w:r>
      <w:r w:rsidR="00321BF2">
        <w:t xml:space="preserve">surgeon </w:t>
      </w:r>
      <w:r w:rsidR="00837389">
        <w:t>preference</w:t>
      </w:r>
      <w:r w:rsidR="00BF4BEA">
        <w:t xml:space="preserve"> within the off-pump surgery group only</w:t>
      </w:r>
      <w:r w:rsidR="00942CA3" w:rsidRPr="00C75A7E">
        <w:t>.</w:t>
      </w:r>
      <w:r w:rsidR="0061399B">
        <w:t xml:space="preserve"> All on-pump cases were excluded.</w:t>
      </w:r>
    </w:p>
    <w:p w14:paraId="16D9ABD6" w14:textId="68546122" w:rsidR="00942CA3" w:rsidRPr="00A81B9D" w:rsidRDefault="00942CA3" w:rsidP="00487D2E">
      <w:pPr>
        <w:spacing w:after="200" w:line="360" w:lineRule="auto"/>
        <w:rPr>
          <w:b/>
          <w:lang w:val="en-GB"/>
        </w:rPr>
      </w:pPr>
      <w:r w:rsidRPr="00C75A7E">
        <w:t>The first analysis aims to address the question of whether there are any differences in outcome between CPB</w:t>
      </w:r>
      <w:r w:rsidR="006409E5">
        <w:t xml:space="preserve"> </w:t>
      </w:r>
      <w:r w:rsidR="00BA631F">
        <w:t>techniques</w:t>
      </w:r>
      <w:r w:rsidRPr="00C75A7E">
        <w:t xml:space="preserve"> when performed by experienced surgeons using their preferred operative technique. The second analysis attempts to </w:t>
      </w:r>
      <w:r w:rsidR="000E2DC6">
        <w:t xml:space="preserve">tease out whether </w:t>
      </w:r>
      <w:r w:rsidR="00A6688B">
        <w:t>preference for</w:t>
      </w:r>
      <w:r w:rsidR="0004133A">
        <w:t xml:space="preserve"> the off-pump technique</w:t>
      </w:r>
      <w:r w:rsidR="00A6688B">
        <w:t xml:space="preserve"> in experienced surgeons</w:t>
      </w:r>
      <w:r w:rsidR="000E2DC6">
        <w:t xml:space="preserve"> is associated with survival</w:t>
      </w:r>
      <w:r w:rsidR="00D42310">
        <w:t xml:space="preserve"> specifically in the off</w:t>
      </w:r>
      <w:r w:rsidR="0004133A">
        <w:t>-pump</w:t>
      </w:r>
      <w:r w:rsidR="00D42310">
        <w:t xml:space="preserve"> surgery cases</w:t>
      </w:r>
      <w:r w:rsidRPr="00C75A7E">
        <w:t xml:space="preserve">. </w:t>
      </w:r>
      <w:r w:rsidR="0004133A">
        <w:t xml:space="preserve">Whilst the first </w:t>
      </w:r>
      <w:r w:rsidR="00BC1375">
        <w:t xml:space="preserve">supportive </w:t>
      </w:r>
      <w:r w:rsidR="0004133A">
        <w:t xml:space="preserve">analysis was predefined, the second was performed following the findings of the </w:t>
      </w:r>
      <w:r w:rsidR="00A81B9D">
        <w:t xml:space="preserve">first </w:t>
      </w:r>
      <w:r w:rsidR="005B1068">
        <w:t>analysis</w:t>
      </w:r>
      <w:r w:rsidR="00404FC6">
        <w:t xml:space="preserve"> and should therefore be interpreted with caution</w:t>
      </w:r>
      <w:r w:rsidR="00A81B9D">
        <w:t>.</w:t>
      </w:r>
      <w:r w:rsidRPr="00C75A7E">
        <w:rPr>
          <w:b/>
          <w:lang w:val="en-GB"/>
        </w:rPr>
        <w:br w:type="page"/>
      </w:r>
      <w:r w:rsidRPr="00C75A7E">
        <w:rPr>
          <w:b/>
          <w:lang w:val="en-GB"/>
        </w:rPr>
        <w:lastRenderedPageBreak/>
        <w:t>RESULTS</w:t>
      </w:r>
    </w:p>
    <w:p w14:paraId="37A1E5A4" w14:textId="77777777" w:rsidR="00942CA3" w:rsidRPr="00C75A7E" w:rsidRDefault="00942CA3" w:rsidP="00487D2E">
      <w:pPr>
        <w:spacing w:after="200" w:line="360" w:lineRule="auto"/>
        <w:rPr>
          <w:b/>
          <w:lang w:val="en-GB"/>
        </w:rPr>
      </w:pPr>
      <w:r w:rsidRPr="00C75A7E">
        <w:rPr>
          <w:b/>
          <w:lang w:val="en-GB"/>
        </w:rPr>
        <w:t>Data</w:t>
      </w:r>
    </w:p>
    <w:p w14:paraId="58F3A78F" w14:textId="32255CA9" w:rsidR="00942CA3" w:rsidRPr="00C75A7E" w:rsidRDefault="00942CA3" w:rsidP="00487D2E">
      <w:pPr>
        <w:spacing w:after="200" w:line="360" w:lineRule="auto"/>
        <w:ind w:firstLine="720"/>
        <w:rPr>
          <w:lang w:val="en-GB"/>
        </w:rPr>
      </w:pPr>
      <w:r w:rsidRPr="00C75A7E">
        <w:rPr>
          <w:lang w:val="en-GB"/>
        </w:rPr>
        <w:t>A total of 173,</w:t>
      </w:r>
      <w:r w:rsidR="00814B02">
        <w:rPr>
          <w:lang w:val="en-GB"/>
        </w:rPr>
        <w:t>244</w:t>
      </w:r>
      <w:r w:rsidR="00FF7652" w:rsidRPr="00C75A7E">
        <w:rPr>
          <w:lang w:val="en-GB"/>
        </w:rPr>
        <w:t xml:space="preserve"> </w:t>
      </w:r>
      <w:r w:rsidRPr="00C75A7E">
        <w:rPr>
          <w:lang w:val="en-GB"/>
        </w:rPr>
        <w:t>records met the initial inclusion criteria. Of these, 326</w:t>
      </w:r>
      <w:r w:rsidR="00814B02">
        <w:rPr>
          <w:lang w:val="en-GB"/>
        </w:rPr>
        <w:t>6</w:t>
      </w:r>
      <w:r w:rsidRPr="00C75A7E">
        <w:rPr>
          <w:lang w:val="en-GB"/>
        </w:rPr>
        <w:t xml:space="preserve"> (1.9%) </w:t>
      </w:r>
      <w:r w:rsidR="00BC507A">
        <w:rPr>
          <w:lang w:val="en-GB"/>
        </w:rPr>
        <w:t>records did not have data for whether CPB was used or not</w:t>
      </w:r>
      <w:r w:rsidRPr="00C75A7E">
        <w:rPr>
          <w:lang w:val="en-GB"/>
        </w:rPr>
        <w:t xml:space="preserve">, and they were assumed as on-pump for the purposes of calculating the overall off-pump surgery rate. </w:t>
      </w:r>
      <w:r w:rsidR="00A46156">
        <w:rPr>
          <w:lang w:val="en-GB"/>
        </w:rPr>
        <w:t xml:space="preserve">The overall rate of off-pump use </w:t>
      </w:r>
      <w:r w:rsidR="00F94D46">
        <w:rPr>
          <w:lang w:val="en-GB"/>
        </w:rPr>
        <w:t xml:space="preserve">in the isolated first-time surgery CABG group </w:t>
      </w:r>
      <w:r w:rsidR="00A46156">
        <w:rPr>
          <w:lang w:val="en-GB"/>
        </w:rPr>
        <w:t xml:space="preserve">was </w:t>
      </w:r>
      <w:r w:rsidR="00F94D46">
        <w:rPr>
          <w:lang w:val="en-GB"/>
        </w:rPr>
        <w:t>18.1</w:t>
      </w:r>
      <w:r w:rsidR="00A46156">
        <w:rPr>
          <w:lang w:val="en-GB"/>
        </w:rPr>
        <w:t xml:space="preserve">%. </w:t>
      </w:r>
      <w:r w:rsidRPr="00C75A7E">
        <w:rPr>
          <w:lang w:val="en-GB"/>
        </w:rPr>
        <w:t xml:space="preserve">We then filtered </w:t>
      </w:r>
      <w:r w:rsidR="00814B02">
        <w:rPr>
          <w:lang w:val="en-GB"/>
        </w:rPr>
        <w:t>3456</w:t>
      </w:r>
      <w:r w:rsidR="00E919B0" w:rsidRPr="00C75A7E">
        <w:rPr>
          <w:lang w:val="en-GB"/>
        </w:rPr>
        <w:t xml:space="preserve"> </w:t>
      </w:r>
      <w:r w:rsidRPr="00C75A7E">
        <w:rPr>
          <w:lang w:val="en-GB"/>
        </w:rPr>
        <w:t xml:space="preserve">records that met the criteria of being a single </w:t>
      </w:r>
      <w:r w:rsidR="00880E7B">
        <w:rPr>
          <w:lang w:val="en-GB"/>
        </w:rPr>
        <w:t xml:space="preserve">pedicle </w:t>
      </w:r>
      <w:r w:rsidRPr="00C75A7E">
        <w:rPr>
          <w:lang w:val="en-GB"/>
        </w:rPr>
        <w:t>LIMA graft to the LAD</w:t>
      </w:r>
      <w:r w:rsidR="00B7380B">
        <w:rPr>
          <w:lang w:val="en-GB"/>
        </w:rPr>
        <w:t xml:space="preserve"> for single vessel disease</w:t>
      </w:r>
      <w:r w:rsidRPr="00C75A7E">
        <w:rPr>
          <w:lang w:val="en-GB"/>
        </w:rPr>
        <w:t xml:space="preserve">. We excluded </w:t>
      </w:r>
      <w:r w:rsidR="00E10F5A">
        <w:rPr>
          <w:lang w:val="en-GB"/>
        </w:rPr>
        <w:t>52</w:t>
      </w:r>
      <w:r w:rsidRPr="00C75A7E">
        <w:rPr>
          <w:lang w:val="en-GB"/>
        </w:rPr>
        <w:t xml:space="preserve"> records for missing CPB status followed by </w:t>
      </w:r>
      <w:r w:rsidR="00442408">
        <w:rPr>
          <w:lang w:val="en-GB"/>
        </w:rPr>
        <w:t>2</w:t>
      </w:r>
      <w:r w:rsidRPr="00C75A7E">
        <w:rPr>
          <w:lang w:val="en-GB"/>
        </w:rPr>
        <w:t xml:space="preserve"> record</w:t>
      </w:r>
      <w:r w:rsidR="00442408">
        <w:rPr>
          <w:lang w:val="en-GB"/>
        </w:rPr>
        <w:t>s</w:t>
      </w:r>
      <w:r w:rsidRPr="00C75A7E">
        <w:rPr>
          <w:lang w:val="en-GB"/>
        </w:rPr>
        <w:t xml:space="preserve"> for missing </w:t>
      </w:r>
      <w:r w:rsidR="00442408">
        <w:rPr>
          <w:lang w:val="en-GB"/>
        </w:rPr>
        <w:t>outcome data</w:t>
      </w:r>
      <w:r w:rsidRPr="00C75A7E">
        <w:rPr>
          <w:lang w:val="en-GB"/>
        </w:rPr>
        <w:t xml:space="preserve"> (</w:t>
      </w:r>
      <w:r w:rsidR="00442408">
        <w:rPr>
          <w:lang w:val="en-GB"/>
        </w:rPr>
        <w:t xml:space="preserve">one had missing status at discharge and the other had missing discharge </w:t>
      </w:r>
      <w:r w:rsidR="00FC7055">
        <w:rPr>
          <w:lang w:val="en-GB"/>
        </w:rPr>
        <w:t xml:space="preserve">date, neither of which had </w:t>
      </w:r>
      <w:r w:rsidR="00442408">
        <w:rPr>
          <w:lang w:val="en-GB"/>
        </w:rPr>
        <w:t>ONS tracking data</w:t>
      </w:r>
      <w:r w:rsidRPr="00C75A7E">
        <w:rPr>
          <w:lang w:val="en-GB"/>
        </w:rPr>
        <w:t xml:space="preserve">). A final dataset of </w:t>
      </w:r>
      <w:r w:rsidR="00A81B9D">
        <w:rPr>
          <w:lang w:val="en-GB"/>
        </w:rPr>
        <w:t>3402</w:t>
      </w:r>
      <w:r w:rsidR="00E10F5A" w:rsidRPr="00C75A7E">
        <w:rPr>
          <w:lang w:val="en-GB"/>
        </w:rPr>
        <w:t xml:space="preserve"> </w:t>
      </w:r>
      <w:r w:rsidRPr="00C75A7E">
        <w:rPr>
          <w:lang w:val="en-GB"/>
        </w:rPr>
        <w:t>records spanning 37 hospit</w:t>
      </w:r>
      <w:r w:rsidR="00FC7055">
        <w:rPr>
          <w:lang w:val="en-GB"/>
        </w:rPr>
        <w:t>als and 260</w:t>
      </w:r>
      <w:r w:rsidRPr="00C75A7E">
        <w:rPr>
          <w:lang w:val="en-GB"/>
        </w:rPr>
        <w:t xml:space="preserve"> unique </w:t>
      </w:r>
      <w:r w:rsidR="0026188A">
        <w:rPr>
          <w:lang w:val="en-GB"/>
        </w:rPr>
        <w:t xml:space="preserve">responsible </w:t>
      </w:r>
      <w:r w:rsidRPr="00C75A7E">
        <w:rPr>
          <w:lang w:val="en-GB"/>
        </w:rPr>
        <w:t>consultant surgeons was then analysed</w:t>
      </w:r>
      <w:r w:rsidR="0026188A">
        <w:rPr>
          <w:lang w:val="en-GB"/>
        </w:rPr>
        <w:t xml:space="preserve"> (</w:t>
      </w:r>
      <w:r w:rsidR="0026188A" w:rsidRPr="0026188A">
        <w:rPr>
          <w:b/>
          <w:lang w:val="en-GB"/>
        </w:rPr>
        <w:t>Figure 1</w:t>
      </w:r>
      <w:r w:rsidR="0026188A">
        <w:rPr>
          <w:lang w:val="en-GB"/>
        </w:rPr>
        <w:t>)</w:t>
      </w:r>
      <w:r w:rsidRPr="00C75A7E">
        <w:rPr>
          <w:lang w:val="en-GB"/>
        </w:rPr>
        <w:t xml:space="preserve">. </w:t>
      </w:r>
      <w:r w:rsidR="00A46156">
        <w:rPr>
          <w:lang w:val="en-GB"/>
        </w:rPr>
        <w:t xml:space="preserve">The overall rate of off-pump use was </w:t>
      </w:r>
      <w:r w:rsidR="00F94D46">
        <w:rPr>
          <w:lang w:val="en-GB"/>
        </w:rPr>
        <w:t>6</w:t>
      </w:r>
      <w:r w:rsidR="007A5AEE">
        <w:rPr>
          <w:lang w:val="en-GB"/>
        </w:rPr>
        <w:t>5.5</w:t>
      </w:r>
      <w:r w:rsidR="00A46156">
        <w:rPr>
          <w:lang w:val="en-GB"/>
        </w:rPr>
        <w:t xml:space="preserve">% in the core study dataset. </w:t>
      </w:r>
      <w:r w:rsidRPr="00C75A7E">
        <w:rPr>
          <w:lang w:val="en-GB"/>
        </w:rPr>
        <w:t xml:space="preserve">There were </w:t>
      </w:r>
      <w:r w:rsidR="00E76B4B">
        <w:rPr>
          <w:lang w:val="en-GB"/>
        </w:rPr>
        <w:t>little</w:t>
      </w:r>
      <w:r w:rsidR="00E76B4B" w:rsidRPr="00C75A7E">
        <w:rPr>
          <w:lang w:val="en-GB"/>
        </w:rPr>
        <w:t xml:space="preserve"> </w:t>
      </w:r>
      <w:r w:rsidRPr="00C75A7E">
        <w:rPr>
          <w:lang w:val="en-GB"/>
        </w:rPr>
        <w:t>missing data</w:t>
      </w:r>
      <w:r w:rsidR="00E76B4B">
        <w:rPr>
          <w:lang w:val="en-GB"/>
        </w:rPr>
        <w:t xml:space="preserve"> for clinical variables of interest</w:t>
      </w:r>
      <w:r w:rsidRPr="00C75A7E">
        <w:rPr>
          <w:lang w:val="en-GB"/>
        </w:rPr>
        <w:t xml:space="preserve">, with all variables </w:t>
      </w:r>
      <w:r w:rsidR="00E76B4B">
        <w:rPr>
          <w:lang w:val="en-GB"/>
        </w:rPr>
        <w:t>≤2</w:t>
      </w:r>
      <w:r w:rsidRPr="00C75A7E">
        <w:rPr>
          <w:lang w:val="en-GB"/>
        </w:rPr>
        <w:t xml:space="preserve">% </w:t>
      </w:r>
      <w:r w:rsidR="00016094">
        <w:rPr>
          <w:lang w:val="en-GB"/>
        </w:rPr>
        <w:t xml:space="preserve">missing </w:t>
      </w:r>
      <w:r w:rsidRPr="00C75A7E">
        <w:rPr>
          <w:lang w:val="en-GB"/>
        </w:rPr>
        <w:t>except BMI (</w:t>
      </w:r>
      <w:r w:rsidR="00E76B4B">
        <w:rPr>
          <w:lang w:val="en-GB"/>
        </w:rPr>
        <w:t>5.2</w:t>
      </w:r>
      <w:r w:rsidRPr="00C75A7E">
        <w:rPr>
          <w:lang w:val="en-GB"/>
        </w:rPr>
        <w:t xml:space="preserve">%). EuroSCORE could only be calculated for </w:t>
      </w:r>
      <w:r w:rsidR="00016094">
        <w:rPr>
          <w:lang w:val="en-GB"/>
        </w:rPr>
        <w:t>83.6</w:t>
      </w:r>
      <w:r w:rsidRPr="00C75A7E">
        <w:rPr>
          <w:lang w:val="en-GB"/>
        </w:rPr>
        <w:t>% of records, mainly due to a large number of missing pulmonary hypertension data (1</w:t>
      </w:r>
      <w:r w:rsidR="00E76B4B">
        <w:rPr>
          <w:lang w:val="en-GB"/>
        </w:rPr>
        <w:t>1.0</w:t>
      </w:r>
      <w:r w:rsidRPr="00C75A7E">
        <w:rPr>
          <w:lang w:val="en-GB"/>
        </w:rPr>
        <w:t>%).</w:t>
      </w:r>
    </w:p>
    <w:p w14:paraId="166FF0C5" w14:textId="75D41684" w:rsidR="00942CA3" w:rsidRPr="00C75A7E" w:rsidRDefault="00942CA3" w:rsidP="00487D2E">
      <w:pPr>
        <w:spacing w:after="200" w:line="360" w:lineRule="auto"/>
        <w:ind w:firstLine="720"/>
        <w:rPr>
          <w:lang w:val="en-GB"/>
        </w:rPr>
      </w:pPr>
      <w:r w:rsidRPr="00C75A7E">
        <w:rPr>
          <w:lang w:val="en-GB"/>
        </w:rPr>
        <w:t xml:space="preserve">Patient and operative characteristics are compared between the on- and off-pump surgery groups in </w:t>
      </w:r>
      <w:r w:rsidRPr="00C75A7E">
        <w:rPr>
          <w:b/>
          <w:lang w:val="en-GB"/>
        </w:rPr>
        <w:t>Table 1</w:t>
      </w:r>
      <w:r w:rsidRPr="00C75A7E">
        <w:rPr>
          <w:lang w:val="en-GB"/>
        </w:rPr>
        <w:t>. Patient age</w:t>
      </w:r>
      <w:r w:rsidR="007E185B">
        <w:rPr>
          <w:lang w:val="en-GB"/>
        </w:rPr>
        <w:t xml:space="preserve"> </w:t>
      </w:r>
      <w:r w:rsidR="00C43512">
        <w:rPr>
          <w:lang w:val="en-GB"/>
        </w:rPr>
        <w:t>(</w:t>
      </w:r>
      <w:r w:rsidR="00C43512" w:rsidRPr="00C43512">
        <w:rPr>
          <w:i/>
          <w:lang w:val="en-GB"/>
        </w:rPr>
        <w:t>P</w:t>
      </w:r>
      <w:r w:rsidR="00A038E0">
        <w:rPr>
          <w:lang w:val="en-GB"/>
        </w:rPr>
        <w:t>=0.026</w:t>
      </w:r>
      <w:r w:rsidR="00C43512">
        <w:rPr>
          <w:lang w:val="en-GB"/>
        </w:rPr>
        <w:t xml:space="preserve">) </w:t>
      </w:r>
      <w:r w:rsidR="00683797">
        <w:rPr>
          <w:lang w:val="en-GB"/>
        </w:rPr>
        <w:t xml:space="preserve">and left ventricular function </w:t>
      </w:r>
      <w:r w:rsidR="00C43512">
        <w:rPr>
          <w:lang w:val="en-GB"/>
        </w:rPr>
        <w:t>(</w:t>
      </w:r>
      <w:r w:rsidR="00C43512" w:rsidRPr="00C43512">
        <w:rPr>
          <w:i/>
          <w:lang w:val="en-GB"/>
        </w:rPr>
        <w:t>P</w:t>
      </w:r>
      <w:r w:rsidR="00C43512">
        <w:rPr>
          <w:lang w:val="en-GB"/>
        </w:rPr>
        <w:t xml:space="preserve">=0.018) </w:t>
      </w:r>
      <w:r w:rsidR="00683797">
        <w:rPr>
          <w:lang w:val="en-GB"/>
        </w:rPr>
        <w:t>were</w:t>
      </w:r>
      <w:r w:rsidR="007E185B">
        <w:rPr>
          <w:lang w:val="en-GB"/>
        </w:rPr>
        <w:t xml:space="preserve"> the only variable</w:t>
      </w:r>
      <w:r w:rsidR="007E269E">
        <w:rPr>
          <w:lang w:val="en-GB"/>
        </w:rPr>
        <w:t>s</w:t>
      </w:r>
      <w:r w:rsidR="007E185B">
        <w:rPr>
          <w:lang w:val="en-GB"/>
        </w:rPr>
        <w:t xml:space="preserve"> that showed a statistically</w:t>
      </w:r>
      <w:r w:rsidR="00A81B9D">
        <w:rPr>
          <w:color w:val="000000"/>
        </w:rPr>
        <w:t xml:space="preserve"> significant difference</w:t>
      </w:r>
      <w:r w:rsidRPr="00C75A7E">
        <w:rPr>
          <w:color w:val="000000"/>
        </w:rPr>
        <w:t xml:space="preserve"> between groups</w:t>
      </w:r>
      <w:r w:rsidRPr="00C75A7E">
        <w:rPr>
          <w:lang w:val="en-GB"/>
        </w:rPr>
        <w:t>. However, all variables were adequately balanced (</w:t>
      </w:r>
      <w:r w:rsidR="00916F8B">
        <w:rPr>
          <w:lang w:val="en-GB"/>
        </w:rPr>
        <w:t>|</w:t>
      </w:r>
      <w:r w:rsidRPr="00C75A7E">
        <w:rPr>
          <w:lang w:val="en-GB"/>
        </w:rPr>
        <w:t>Δ</w:t>
      </w:r>
      <w:r w:rsidR="00916F8B">
        <w:rPr>
          <w:lang w:val="en-GB"/>
        </w:rPr>
        <w:t>|</w:t>
      </w:r>
      <w:r w:rsidRPr="00C75A7E">
        <w:rPr>
          <w:lang w:val="en-GB"/>
        </w:rPr>
        <w:t xml:space="preserve"> &lt; 10%). Smoothed density histograms of patient age and BMI (</w:t>
      </w:r>
      <w:r w:rsidRPr="00C75A7E">
        <w:rPr>
          <w:b/>
          <w:lang w:val="en-GB"/>
        </w:rPr>
        <w:t xml:space="preserve">Figure </w:t>
      </w:r>
      <w:r w:rsidR="000C3EA6">
        <w:rPr>
          <w:b/>
          <w:lang w:val="en-GB"/>
        </w:rPr>
        <w:t>2</w:t>
      </w:r>
      <w:r w:rsidRPr="00C75A7E">
        <w:rPr>
          <w:lang w:val="en-GB"/>
        </w:rPr>
        <w:t>) illustrate the similarity and common support of both variables. The bypass times and cross-clamp times in the o</w:t>
      </w:r>
      <w:r w:rsidR="003972B1">
        <w:rPr>
          <w:lang w:val="en-GB"/>
        </w:rPr>
        <w:t>n-pump group were recorded in 93.3% and 92.1</w:t>
      </w:r>
      <w:r w:rsidRPr="00C75A7E">
        <w:rPr>
          <w:lang w:val="en-GB"/>
        </w:rPr>
        <w:t>% of records respectively. For the complete data</w:t>
      </w:r>
      <w:r w:rsidR="0026188A">
        <w:rPr>
          <w:lang w:val="en-GB"/>
        </w:rPr>
        <w:t xml:space="preserve"> only</w:t>
      </w:r>
      <w:r w:rsidRPr="00C75A7E">
        <w:rPr>
          <w:lang w:val="en-GB"/>
        </w:rPr>
        <w:t>, the mean (standard d</w:t>
      </w:r>
      <w:r w:rsidR="007A5AEE">
        <w:rPr>
          <w:lang w:val="en-GB"/>
        </w:rPr>
        <w:t>eviation; SD) bypass time was 35.6 (15.1</w:t>
      </w:r>
      <w:r w:rsidRPr="00C75A7E">
        <w:rPr>
          <w:lang w:val="en-GB"/>
        </w:rPr>
        <w:t>) minutes. Similarly, the mea</w:t>
      </w:r>
      <w:r w:rsidR="007A5AEE">
        <w:rPr>
          <w:lang w:val="en-GB"/>
        </w:rPr>
        <w:t>n (SD) cross-clamp time was 21.0 (9.7</w:t>
      </w:r>
      <w:r w:rsidRPr="00C75A7E">
        <w:rPr>
          <w:lang w:val="en-GB"/>
        </w:rPr>
        <w:t>) minutes.</w:t>
      </w:r>
    </w:p>
    <w:p w14:paraId="5F74648B" w14:textId="5E608873" w:rsidR="00942CA3" w:rsidRPr="00C75A7E" w:rsidRDefault="00942CA3" w:rsidP="00487D2E">
      <w:pPr>
        <w:spacing w:after="200" w:line="360" w:lineRule="auto"/>
        <w:rPr>
          <w:b/>
          <w:lang w:val="en-GB"/>
        </w:rPr>
      </w:pPr>
      <w:r w:rsidRPr="00C75A7E">
        <w:rPr>
          <w:b/>
          <w:lang w:val="en-GB"/>
        </w:rPr>
        <w:t xml:space="preserve">Mid-term </w:t>
      </w:r>
      <w:r w:rsidR="008C650B">
        <w:rPr>
          <w:b/>
          <w:lang w:val="en-GB"/>
        </w:rPr>
        <w:t>survival</w:t>
      </w:r>
    </w:p>
    <w:p w14:paraId="0F42246E" w14:textId="4F31007D" w:rsidR="00942CA3" w:rsidRPr="00C75A7E" w:rsidRDefault="00942CA3" w:rsidP="00487D2E">
      <w:pPr>
        <w:spacing w:after="200" w:line="360" w:lineRule="auto"/>
        <w:ind w:firstLine="720"/>
        <w:rPr>
          <w:lang w:val="en-GB"/>
        </w:rPr>
      </w:pPr>
      <w:r w:rsidRPr="00C75A7E">
        <w:rPr>
          <w:lang w:val="en-GB"/>
        </w:rPr>
        <w:t>ONS trac</w:t>
      </w:r>
      <w:r w:rsidR="00A038E0">
        <w:rPr>
          <w:lang w:val="en-GB"/>
        </w:rPr>
        <w:t>king was complete for 3321</w:t>
      </w:r>
      <w:r w:rsidR="007A5AEE">
        <w:rPr>
          <w:lang w:val="en-GB"/>
        </w:rPr>
        <w:t xml:space="preserve"> (97.6</w:t>
      </w:r>
      <w:r w:rsidRPr="00C75A7E">
        <w:rPr>
          <w:lang w:val="en-GB"/>
        </w:rPr>
        <w:t xml:space="preserve">%) records. </w:t>
      </w:r>
      <w:r w:rsidR="00442408">
        <w:rPr>
          <w:lang w:val="en-GB"/>
        </w:rPr>
        <w:t>Of those</w:t>
      </w:r>
      <w:r w:rsidRPr="00C75A7E">
        <w:rPr>
          <w:lang w:val="en-GB"/>
        </w:rPr>
        <w:t xml:space="preserve"> patients without post-discharge follow-up </w:t>
      </w:r>
      <w:r w:rsidR="00442408">
        <w:rPr>
          <w:lang w:val="en-GB"/>
        </w:rPr>
        <w:t>data</w:t>
      </w:r>
      <w:r w:rsidRPr="00C75A7E">
        <w:rPr>
          <w:lang w:val="en-GB"/>
        </w:rPr>
        <w:t xml:space="preserve">, </w:t>
      </w:r>
      <w:r w:rsidR="00442408">
        <w:rPr>
          <w:lang w:val="en-GB"/>
        </w:rPr>
        <w:t>a</w:t>
      </w:r>
      <w:r w:rsidR="007A5AEE">
        <w:rPr>
          <w:lang w:val="en-GB"/>
        </w:rPr>
        <w:t xml:space="preserve">ll </w:t>
      </w:r>
      <w:r w:rsidR="00442408">
        <w:rPr>
          <w:lang w:val="en-GB"/>
        </w:rPr>
        <w:t>patient</w:t>
      </w:r>
      <w:r w:rsidR="00FC7055">
        <w:rPr>
          <w:lang w:val="en-GB"/>
        </w:rPr>
        <w:t>s</w:t>
      </w:r>
      <w:r w:rsidR="00442408">
        <w:rPr>
          <w:lang w:val="en-GB"/>
        </w:rPr>
        <w:t xml:space="preserve"> </w:t>
      </w:r>
      <w:r w:rsidR="00FC7055">
        <w:rPr>
          <w:lang w:val="en-GB"/>
        </w:rPr>
        <w:t>had time-to-death</w:t>
      </w:r>
      <w:r w:rsidR="00442408">
        <w:rPr>
          <w:lang w:val="en-GB"/>
        </w:rPr>
        <w:t xml:space="preserve"> righ</w:t>
      </w:r>
      <w:r w:rsidR="00FC7055">
        <w:rPr>
          <w:lang w:val="en-GB"/>
        </w:rPr>
        <w:t>t-censored at date of discharge</w:t>
      </w:r>
      <w:r w:rsidRPr="00C75A7E">
        <w:rPr>
          <w:lang w:val="en-GB"/>
        </w:rPr>
        <w:t>. The medi</w:t>
      </w:r>
      <w:r w:rsidR="00D50598">
        <w:rPr>
          <w:lang w:val="en-GB"/>
        </w:rPr>
        <w:t>an follow-up time was 5.0 years, with a maximum follow-up of 10.3 years</w:t>
      </w:r>
      <w:r w:rsidR="009D40A2">
        <w:rPr>
          <w:lang w:val="en-GB"/>
        </w:rPr>
        <w:t xml:space="preserve">, over which time 258 </w:t>
      </w:r>
      <w:r w:rsidR="0081127B">
        <w:rPr>
          <w:lang w:val="en-GB"/>
        </w:rPr>
        <w:t>patients</w:t>
      </w:r>
      <w:r w:rsidR="009D40A2">
        <w:rPr>
          <w:lang w:val="en-GB"/>
        </w:rPr>
        <w:t xml:space="preserve"> </w:t>
      </w:r>
      <w:r w:rsidR="0081127B">
        <w:rPr>
          <w:lang w:val="en-GB"/>
        </w:rPr>
        <w:t>died (16 of who died in-hospital)</w:t>
      </w:r>
      <w:r w:rsidRPr="00C75A7E">
        <w:rPr>
          <w:lang w:val="en-GB"/>
        </w:rPr>
        <w:t>.</w:t>
      </w:r>
    </w:p>
    <w:p w14:paraId="777C5411" w14:textId="745A589F" w:rsidR="00942CA3" w:rsidRPr="00C75A7E" w:rsidRDefault="00942CA3" w:rsidP="00487D2E">
      <w:pPr>
        <w:spacing w:after="200" w:line="360" w:lineRule="auto"/>
        <w:ind w:firstLine="720"/>
        <w:rPr>
          <w:lang w:val="en-GB"/>
        </w:rPr>
      </w:pPr>
      <w:r w:rsidRPr="00C75A7E">
        <w:rPr>
          <w:lang w:val="en-GB"/>
        </w:rPr>
        <w:lastRenderedPageBreak/>
        <w:t>There was no difference in survivorship between on-pump and off-pump surgery (</w:t>
      </w:r>
      <w:r w:rsidR="00C83A78">
        <w:rPr>
          <w:lang w:val="en-GB"/>
        </w:rPr>
        <w:t xml:space="preserve">log-rank test </w:t>
      </w:r>
      <w:r w:rsidRPr="00C75A7E">
        <w:rPr>
          <w:i/>
          <w:lang w:val="en-GB"/>
        </w:rPr>
        <w:t>P</w:t>
      </w:r>
      <w:r w:rsidR="00243EF3">
        <w:rPr>
          <w:i/>
          <w:lang w:val="en-GB"/>
        </w:rPr>
        <w:t>=</w:t>
      </w:r>
      <w:r w:rsidR="00A038E0">
        <w:rPr>
          <w:lang w:val="en-GB"/>
        </w:rPr>
        <w:t>0.50</w:t>
      </w:r>
      <w:r w:rsidRPr="00C75A7E">
        <w:rPr>
          <w:lang w:val="en-GB"/>
        </w:rPr>
        <w:t xml:space="preserve">; </w:t>
      </w:r>
      <w:r w:rsidRPr="00C75A7E">
        <w:rPr>
          <w:b/>
          <w:lang w:val="en-GB"/>
        </w:rPr>
        <w:t xml:space="preserve">Figure </w:t>
      </w:r>
      <w:r w:rsidR="000C3EA6">
        <w:rPr>
          <w:b/>
          <w:lang w:val="en-GB"/>
        </w:rPr>
        <w:t>3</w:t>
      </w:r>
      <w:r w:rsidR="00C83A78" w:rsidRPr="00C83A78">
        <w:rPr>
          <w:lang w:val="en-GB"/>
        </w:rPr>
        <w:t>; unadjusted HR</w:t>
      </w:r>
      <w:r w:rsidR="00C83A78">
        <w:rPr>
          <w:lang w:val="en-GB"/>
        </w:rPr>
        <w:t xml:space="preserve"> 1.09 [95% CI: 0.85 to 1.41]</w:t>
      </w:r>
      <w:r w:rsidRPr="00C75A7E">
        <w:rPr>
          <w:lang w:val="en-GB"/>
        </w:rPr>
        <w:t>). The 1-</w:t>
      </w:r>
      <w:r w:rsidR="00686A08">
        <w:rPr>
          <w:lang w:val="en-GB"/>
        </w:rPr>
        <w:t xml:space="preserve"> and</w:t>
      </w:r>
      <w:r w:rsidRPr="00C75A7E">
        <w:rPr>
          <w:lang w:val="en-GB"/>
        </w:rPr>
        <w:t xml:space="preserve"> 5-year surv</w:t>
      </w:r>
      <w:r w:rsidR="00610E13">
        <w:rPr>
          <w:lang w:val="en-GB"/>
        </w:rPr>
        <w:t>ival in the on-pump group was 98.4</w:t>
      </w:r>
      <w:r w:rsidRPr="00C75A7E">
        <w:rPr>
          <w:lang w:val="en-GB"/>
        </w:rPr>
        <w:t>%</w:t>
      </w:r>
      <w:r w:rsidR="00686A08">
        <w:rPr>
          <w:lang w:val="en-GB"/>
        </w:rPr>
        <w:t xml:space="preserve"> and </w:t>
      </w:r>
      <w:r w:rsidR="00610E13">
        <w:rPr>
          <w:lang w:val="en-GB"/>
        </w:rPr>
        <w:t>93.1</w:t>
      </w:r>
      <w:r w:rsidRPr="00C75A7E">
        <w:rPr>
          <w:lang w:val="en-GB"/>
        </w:rPr>
        <w:t>%</w:t>
      </w:r>
      <w:r w:rsidR="00686A08">
        <w:rPr>
          <w:lang w:val="en-GB"/>
        </w:rPr>
        <w:t xml:space="preserve"> </w:t>
      </w:r>
      <w:r w:rsidRPr="00C75A7E">
        <w:rPr>
          <w:lang w:val="en-GB"/>
        </w:rPr>
        <w:t>respectively. Correspondingly, the 1-</w:t>
      </w:r>
      <w:r w:rsidR="00686A08">
        <w:rPr>
          <w:lang w:val="en-GB"/>
        </w:rPr>
        <w:t xml:space="preserve"> and</w:t>
      </w:r>
      <w:r w:rsidRPr="00C75A7E">
        <w:rPr>
          <w:lang w:val="en-GB"/>
        </w:rPr>
        <w:t xml:space="preserve"> 5-year survi</w:t>
      </w:r>
      <w:r w:rsidR="00610E13">
        <w:rPr>
          <w:lang w:val="en-GB"/>
        </w:rPr>
        <w:t>val in the off-pump group was 98.4</w:t>
      </w:r>
      <w:r w:rsidRPr="00C75A7E">
        <w:rPr>
          <w:lang w:val="en-GB"/>
        </w:rPr>
        <w:t>%</w:t>
      </w:r>
      <w:r w:rsidR="00A413A4">
        <w:rPr>
          <w:lang w:val="en-GB"/>
        </w:rPr>
        <w:t xml:space="preserve"> and</w:t>
      </w:r>
      <w:r w:rsidR="00A038E0">
        <w:rPr>
          <w:lang w:val="en-GB"/>
        </w:rPr>
        <w:t xml:space="preserve"> 93.4</w:t>
      </w:r>
      <w:r w:rsidRPr="00C75A7E">
        <w:rPr>
          <w:lang w:val="en-GB"/>
        </w:rPr>
        <w:t xml:space="preserve">% respectively. </w:t>
      </w:r>
    </w:p>
    <w:p w14:paraId="77B214A5" w14:textId="19C69C82" w:rsidR="00942CA3" w:rsidRPr="00C75A7E" w:rsidRDefault="00942CA3" w:rsidP="002A5345">
      <w:pPr>
        <w:spacing w:after="200" w:line="360" w:lineRule="auto"/>
        <w:ind w:firstLine="720"/>
        <w:rPr>
          <w:lang w:val="en-GB"/>
        </w:rPr>
      </w:pPr>
      <w:r w:rsidRPr="00C75A7E">
        <w:rPr>
          <w:lang w:val="en-GB"/>
        </w:rPr>
        <w:t xml:space="preserve">In the development of the multivariable Cox proportional hazards regression model, four variables were eliminated: history of hypertension, recent MI, critical preoperative state, and preoperative use of </w:t>
      </w:r>
      <w:r w:rsidRPr="00C75A7E">
        <w:rPr>
          <w:color w:val="000000"/>
        </w:rPr>
        <w:t>IV nitrates or heparin for treatment of unstable angina</w:t>
      </w:r>
      <w:r w:rsidRPr="00C75A7E">
        <w:rPr>
          <w:lang w:val="en-GB"/>
        </w:rPr>
        <w:t>. Age was modelled using a piecewise lin</w:t>
      </w:r>
      <w:r w:rsidR="002A5345">
        <w:rPr>
          <w:lang w:val="en-GB"/>
        </w:rPr>
        <w:t>ear spline with a knot at age 70-</w:t>
      </w:r>
      <w:r w:rsidRPr="00C75A7E">
        <w:rPr>
          <w:lang w:val="en-GB"/>
        </w:rPr>
        <w:t xml:space="preserve">years based on graphical assessment of the smoothed Martingale residual plots. The final model is summarised in </w:t>
      </w:r>
      <w:r w:rsidRPr="00C75A7E">
        <w:rPr>
          <w:b/>
          <w:lang w:val="en-GB"/>
        </w:rPr>
        <w:t>Table 2</w:t>
      </w:r>
      <w:r w:rsidRPr="00C75A7E">
        <w:rPr>
          <w:lang w:val="en-GB"/>
        </w:rPr>
        <w:t>, indicating that the hazard ratio in the direction of on-p</w:t>
      </w:r>
      <w:r w:rsidR="002A5345">
        <w:rPr>
          <w:lang w:val="en-GB"/>
        </w:rPr>
        <w:t xml:space="preserve">ump CABG </w:t>
      </w:r>
      <w:r w:rsidR="002B1CC0">
        <w:rPr>
          <w:lang w:val="en-GB"/>
        </w:rPr>
        <w:t xml:space="preserve">(reference level: off-pump CABG) </w:t>
      </w:r>
      <w:r w:rsidR="002A5345">
        <w:rPr>
          <w:lang w:val="en-GB"/>
        </w:rPr>
        <w:t>was 1.1</w:t>
      </w:r>
      <w:r w:rsidR="009F23BB">
        <w:rPr>
          <w:lang w:val="en-GB"/>
        </w:rPr>
        <w:t>5</w:t>
      </w:r>
      <w:r w:rsidR="002A5345">
        <w:rPr>
          <w:lang w:val="en-GB"/>
        </w:rPr>
        <w:t xml:space="preserve"> (95% CI: 0.</w:t>
      </w:r>
      <w:r w:rsidR="009F23BB">
        <w:rPr>
          <w:lang w:val="en-GB"/>
        </w:rPr>
        <w:t>89</w:t>
      </w:r>
      <w:r w:rsidR="000F5D19">
        <w:rPr>
          <w:lang w:val="en-GB"/>
        </w:rPr>
        <w:t xml:space="preserve"> to </w:t>
      </w:r>
      <w:r w:rsidR="002A5345">
        <w:rPr>
          <w:lang w:val="en-GB"/>
        </w:rPr>
        <w:t>1.</w:t>
      </w:r>
      <w:r w:rsidR="009F23BB">
        <w:rPr>
          <w:lang w:val="en-GB"/>
        </w:rPr>
        <w:t>49</w:t>
      </w:r>
      <w:r w:rsidR="000F5D19">
        <w:rPr>
          <w:lang w:val="en-GB"/>
        </w:rPr>
        <w:t xml:space="preserve">; </w:t>
      </w:r>
      <w:r w:rsidR="000F5D19" w:rsidRPr="000F5D19">
        <w:rPr>
          <w:i/>
          <w:lang w:val="en-GB"/>
        </w:rPr>
        <w:t>P</w:t>
      </w:r>
      <w:r w:rsidR="00A038E0">
        <w:rPr>
          <w:lang w:val="en-GB"/>
        </w:rPr>
        <w:t>=0.2</w:t>
      </w:r>
      <w:r w:rsidR="009F23BB">
        <w:rPr>
          <w:lang w:val="en-GB"/>
        </w:rPr>
        <w:t>8</w:t>
      </w:r>
      <w:r w:rsidRPr="00C75A7E">
        <w:rPr>
          <w:lang w:val="en-GB"/>
        </w:rPr>
        <w:t>). All variables in the final model were significantly associated with the mortality hazard rate, except CPB status</w:t>
      </w:r>
      <w:r w:rsidR="002A5345">
        <w:rPr>
          <w:lang w:val="en-GB"/>
        </w:rPr>
        <w:t>, operative urgency,</w:t>
      </w:r>
      <w:r w:rsidRPr="00C75A7E">
        <w:rPr>
          <w:lang w:val="en-GB"/>
        </w:rPr>
        <w:t xml:space="preserve"> </w:t>
      </w:r>
      <w:r w:rsidR="00E50634">
        <w:rPr>
          <w:lang w:val="en-GB"/>
        </w:rPr>
        <w:t xml:space="preserve">history of pulmonary disease, </w:t>
      </w:r>
      <w:r w:rsidRPr="00C75A7E">
        <w:rPr>
          <w:lang w:val="en-GB"/>
        </w:rPr>
        <w:t xml:space="preserve">and </w:t>
      </w:r>
      <w:r w:rsidR="002A5345">
        <w:rPr>
          <w:lang w:val="en-GB"/>
        </w:rPr>
        <w:t>extracardiac arteriopathy</w:t>
      </w:r>
      <w:r w:rsidRPr="00C75A7E">
        <w:rPr>
          <w:lang w:val="en-GB"/>
        </w:rPr>
        <w:t>. There was no evidence to reject proportional hazards assumption (</w:t>
      </w:r>
      <w:r w:rsidRPr="00C75A7E">
        <w:t xml:space="preserve">Grambsch-Therneau </w:t>
      </w:r>
      <w:r w:rsidRPr="00C75A7E">
        <w:rPr>
          <w:lang w:val="en-GB"/>
        </w:rPr>
        <w:t xml:space="preserve">global test, </w:t>
      </w:r>
      <w:r w:rsidRPr="00C75A7E">
        <w:rPr>
          <w:i/>
          <w:lang w:val="en-GB"/>
        </w:rPr>
        <w:t>P</w:t>
      </w:r>
      <w:r w:rsidR="00A038E0">
        <w:rPr>
          <w:lang w:val="en-GB"/>
        </w:rPr>
        <w:t>=0.</w:t>
      </w:r>
      <w:r w:rsidR="006E5D0F">
        <w:rPr>
          <w:lang w:val="en-GB"/>
        </w:rPr>
        <w:t>71</w:t>
      </w:r>
      <w:r w:rsidRPr="00C75A7E">
        <w:rPr>
          <w:lang w:val="en-GB"/>
        </w:rPr>
        <w:t xml:space="preserve">; individual tests </w:t>
      </w:r>
      <w:r w:rsidRPr="00C75A7E">
        <w:rPr>
          <w:i/>
          <w:lang w:val="en-GB"/>
        </w:rPr>
        <w:t>P</w:t>
      </w:r>
      <w:r w:rsidRPr="00C75A7E">
        <w:rPr>
          <w:lang w:val="en-GB"/>
        </w:rPr>
        <w:t>&gt;0.05 for all variables).</w:t>
      </w:r>
    </w:p>
    <w:p w14:paraId="05CF038B" w14:textId="77777777" w:rsidR="00942CA3" w:rsidRPr="00C75A7E" w:rsidRDefault="00942CA3" w:rsidP="00487D2E">
      <w:pPr>
        <w:spacing w:after="200" w:line="360" w:lineRule="auto"/>
        <w:rPr>
          <w:b/>
          <w:lang w:val="en-GB"/>
        </w:rPr>
      </w:pPr>
      <w:r w:rsidRPr="00C75A7E">
        <w:rPr>
          <w:b/>
          <w:lang w:val="en-GB"/>
        </w:rPr>
        <w:t>In-hospital mortality</w:t>
      </w:r>
    </w:p>
    <w:p w14:paraId="71C799E0" w14:textId="2D96D11A" w:rsidR="00942CA3" w:rsidRPr="00C75A7E" w:rsidRDefault="00942CA3" w:rsidP="00487D2E">
      <w:pPr>
        <w:spacing w:after="200" w:line="360" w:lineRule="auto"/>
        <w:ind w:firstLine="720"/>
        <w:rPr>
          <w:lang w:val="en-GB"/>
        </w:rPr>
      </w:pPr>
      <w:r w:rsidRPr="00C75A7E">
        <w:rPr>
          <w:lang w:val="en-GB"/>
        </w:rPr>
        <w:t xml:space="preserve">Since records with missing discharge status constituted an exclusion criterion, no records were missing. There were a total of </w:t>
      </w:r>
      <w:r w:rsidR="003278C2">
        <w:rPr>
          <w:lang w:val="en-GB"/>
        </w:rPr>
        <w:t>16 (0.47</w:t>
      </w:r>
      <w:r w:rsidRPr="00C75A7E">
        <w:rPr>
          <w:lang w:val="en-GB"/>
        </w:rPr>
        <w:t xml:space="preserve">%) in-hospital deaths: </w:t>
      </w:r>
      <w:r w:rsidR="003278C2">
        <w:rPr>
          <w:lang w:val="en-GB"/>
        </w:rPr>
        <w:t>6 (0.51</w:t>
      </w:r>
      <w:r w:rsidRPr="00C75A7E">
        <w:rPr>
          <w:lang w:val="en-GB"/>
        </w:rPr>
        <w:t xml:space="preserve">%) in the on-pump group and </w:t>
      </w:r>
      <w:r w:rsidR="003278C2">
        <w:rPr>
          <w:lang w:val="en-GB"/>
        </w:rPr>
        <w:t>10 (0.45</w:t>
      </w:r>
      <w:r w:rsidRPr="00C75A7E">
        <w:rPr>
          <w:lang w:val="en-GB"/>
        </w:rPr>
        <w:t>%) in the off-pump group. The adjusted odds ratio in t</w:t>
      </w:r>
      <w:r w:rsidR="003278C2">
        <w:rPr>
          <w:lang w:val="en-GB"/>
        </w:rPr>
        <w:t>he direction of on-pump was 1.09 (95% CI: 0.39-3.04</w:t>
      </w:r>
      <w:r w:rsidRPr="00C75A7E">
        <w:rPr>
          <w:lang w:val="en-GB"/>
        </w:rPr>
        <w:t xml:space="preserve">; </w:t>
      </w:r>
      <w:r w:rsidRPr="00C75A7E">
        <w:rPr>
          <w:i/>
          <w:lang w:val="en-GB"/>
        </w:rPr>
        <w:t>P</w:t>
      </w:r>
      <w:r w:rsidR="003278C2">
        <w:rPr>
          <w:lang w:val="en-GB"/>
        </w:rPr>
        <w:t>=0.86</w:t>
      </w:r>
      <w:r w:rsidRPr="00C75A7E">
        <w:rPr>
          <w:lang w:val="en-GB"/>
        </w:rPr>
        <w:t>). The coefficient for the logit transformed logistic EuroSCORE (equivalent to the log-odds ratio</w:t>
      </w:r>
      <w:r w:rsidR="003278C2">
        <w:rPr>
          <w:lang w:val="en-GB"/>
        </w:rPr>
        <w:t>) was 1.11 (95%CI: 0.</w:t>
      </w:r>
      <w:r w:rsidR="000F5D19">
        <w:rPr>
          <w:lang w:val="en-GB"/>
        </w:rPr>
        <w:t>6</w:t>
      </w:r>
      <w:r w:rsidR="003278C2">
        <w:rPr>
          <w:lang w:val="en-GB"/>
        </w:rPr>
        <w:t>0 to 1.62</w:t>
      </w:r>
      <w:r w:rsidR="000F5D19">
        <w:rPr>
          <w:lang w:val="en-GB"/>
        </w:rPr>
        <w:t xml:space="preserve">; </w:t>
      </w:r>
      <w:r w:rsidR="000F5D19" w:rsidRPr="000F5D19">
        <w:rPr>
          <w:i/>
          <w:lang w:val="en-GB"/>
        </w:rPr>
        <w:t>P</w:t>
      </w:r>
      <w:r w:rsidR="009A79FE">
        <w:rPr>
          <w:lang w:val="en-GB"/>
        </w:rPr>
        <w:t>&lt;0.001</w:t>
      </w:r>
      <w:r w:rsidR="000F5D19">
        <w:rPr>
          <w:lang w:val="en-GB"/>
        </w:rPr>
        <w:t>).</w:t>
      </w:r>
    </w:p>
    <w:p w14:paraId="116710ED" w14:textId="50F865A7" w:rsidR="00942CA3" w:rsidRPr="00C75A7E" w:rsidRDefault="00333780" w:rsidP="00487D2E">
      <w:pPr>
        <w:spacing w:after="200" w:line="360" w:lineRule="auto"/>
        <w:rPr>
          <w:b/>
          <w:lang w:val="en-GB"/>
        </w:rPr>
      </w:pPr>
      <w:r>
        <w:rPr>
          <w:b/>
          <w:lang w:val="en-GB"/>
        </w:rPr>
        <w:t>Supportive</w:t>
      </w:r>
      <w:r w:rsidR="00942CA3" w:rsidRPr="00C75A7E">
        <w:rPr>
          <w:b/>
          <w:lang w:val="en-GB"/>
        </w:rPr>
        <w:t xml:space="preserve"> </w:t>
      </w:r>
      <w:r w:rsidR="00C45388">
        <w:rPr>
          <w:b/>
          <w:lang w:val="en-GB"/>
        </w:rPr>
        <w:t>analyse</w:t>
      </w:r>
      <w:r w:rsidR="00942CA3" w:rsidRPr="00C75A7E">
        <w:rPr>
          <w:b/>
          <w:lang w:val="en-GB"/>
        </w:rPr>
        <w:t>s</w:t>
      </w:r>
    </w:p>
    <w:p w14:paraId="3A0112F7" w14:textId="6CA43891" w:rsidR="00942CA3" w:rsidRPr="00C75A7E" w:rsidRDefault="00773251" w:rsidP="00487D2E">
      <w:pPr>
        <w:spacing w:after="200" w:line="360" w:lineRule="auto"/>
        <w:ind w:firstLine="720"/>
      </w:pPr>
      <w:r>
        <w:t>There were 202 (77.7</w:t>
      </w:r>
      <w:r w:rsidR="00942CA3" w:rsidRPr="00C75A7E">
        <w:t>%) surgeons that contributed 300 or more first-time cardiac surgery isolated CABG (elective and urgent) procedures in England and Wales during the study period. T</w:t>
      </w:r>
      <w:r>
        <w:t>hese s</w:t>
      </w:r>
      <w:r w:rsidR="007F5EC4">
        <w:t>urgeons accounted for 94.6</w:t>
      </w:r>
      <w:r w:rsidR="00942CA3" w:rsidRPr="00C75A7E">
        <w:t>% (</w:t>
      </w:r>
      <w:r w:rsidR="00942CA3" w:rsidRPr="00C75A7E">
        <w:rPr>
          <w:i/>
        </w:rPr>
        <w:t>n</w:t>
      </w:r>
      <w:r w:rsidR="00243EF3">
        <w:t>=</w:t>
      </w:r>
      <w:r>
        <w:t>3217</w:t>
      </w:r>
      <w:r w:rsidR="00942CA3" w:rsidRPr="00C75A7E">
        <w:t>) of all records in the LIMA-LAD dataset. After applyi</w:t>
      </w:r>
      <w:r w:rsidR="00FE5E4D">
        <w:t>ng our classification rules, 152</w:t>
      </w:r>
      <w:r w:rsidR="000B2774">
        <w:t xml:space="preserve"> surgeons</w:t>
      </w:r>
      <w:r w:rsidR="00FE5E4D">
        <w:t xml:space="preserve"> (75.2%; contributing 55.5</w:t>
      </w:r>
      <w:r w:rsidR="00942CA3" w:rsidRPr="00C75A7E">
        <w:t xml:space="preserve">% of study data) were classed </w:t>
      </w:r>
      <w:r w:rsidR="000B2774">
        <w:t>as having a preference for the on-pump technique</w:t>
      </w:r>
      <w:r w:rsidR="00FE5E4D">
        <w:t>; 22</w:t>
      </w:r>
      <w:r w:rsidR="000B2774">
        <w:t xml:space="preserve"> surgeons</w:t>
      </w:r>
      <w:r w:rsidR="00FE5E4D">
        <w:t xml:space="preserve"> (10.9%; contributing 25.0</w:t>
      </w:r>
      <w:r w:rsidR="00942CA3" w:rsidRPr="00C75A7E">
        <w:t xml:space="preserve">% of study data) </w:t>
      </w:r>
      <w:r w:rsidR="000B2774" w:rsidRPr="00C75A7E">
        <w:t xml:space="preserve">were classed </w:t>
      </w:r>
      <w:r w:rsidR="000B2774">
        <w:t>as having a preference for the off-pump technique</w:t>
      </w:r>
      <w:r w:rsidR="00942CA3" w:rsidRPr="00C75A7E">
        <w:t xml:space="preserve">; </w:t>
      </w:r>
      <w:r w:rsidR="00FE5E4D">
        <w:t>and 28</w:t>
      </w:r>
      <w:r w:rsidR="000B2774">
        <w:t xml:space="preserve"> surgeons</w:t>
      </w:r>
      <w:r w:rsidR="00FE5E4D">
        <w:t xml:space="preserve"> (13.9%; contributing 19.5</w:t>
      </w:r>
      <w:r w:rsidR="00942CA3" w:rsidRPr="00C75A7E">
        <w:t xml:space="preserve">% of study data) as </w:t>
      </w:r>
      <w:r w:rsidR="000B2774">
        <w:t xml:space="preserve">having a </w:t>
      </w:r>
      <w:r w:rsidR="00942CA3" w:rsidRPr="00C75A7E">
        <w:t xml:space="preserve">mixed practice. </w:t>
      </w:r>
      <w:r w:rsidR="00942CA3" w:rsidRPr="00C75A7E">
        <w:rPr>
          <w:b/>
        </w:rPr>
        <w:t xml:space="preserve">Figure </w:t>
      </w:r>
      <w:r w:rsidR="000C3EA6">
        <w:rPr>
          <w:b/>
        </w:rPr>
        <w:t>4</w:t>
      </w:r>
      <w:r w:rsidR="000C3EA6" w:rsidRPr="00C75A7E">
        <w:t xml:space="preserve"> </w:t>
      </w:r>
      <w:r w:rsidR="00942CA3" w:rsidRPr="00C75A7E">
        <w:t>shows the dist</w:t>
      </w:r>
      <w:r w:rsidR="000F5D19">
        <w:t>ribution of the off-pump rate of</w:t>
      </w:r>
      <w:r w:rsidR="009903C1">
        <w:t xml:space="preserve"> the 202</w:t>
      </w:r>
      <w:r w:rsidR="004503DD">
        <w:t xml:space="preserve"> expert</w:t>
      </w:r>
      <w:r w:rsidR="00942CA3" w:rsidRPr="00C75A7E">
        <w:t xml:space="preserve"> surgeons.</w:t>
      </w:r>
      <w:r w:rsidR="00117233">
        <w:t xml:space="preserve"> </w:t>
      </w:r>
      <w:r w:rsidR="00117233">
        <w:rPr>
          <w:lang w:val="en-GB"/>
        </w:rPr>
        <w:t xml:space="preserve">The median surgeon </w:t>
      </w:r>
      <w:r w:rsidR="004503DD">
        <w:rPr>
          <w:lang w:val="en-GB"/>
        </w:rPr>
        <w:t>LIMA-to-</w:t>
      </w:r>
      <w:r w:rsidR="004503DD">
        <w:rPr>
          <w:lang w:val="en-GB"/>
        </w:rPr>
        <w:lastRenderedPageBreak/>
        <w:t xml:space="preserve">LAD </w:t>
      </w:r>
      <w:r w:rsidR="00117233">
        <w:rPr>
          <w:lang w:val="en-GB"/>
        </w:rPr>
        <w:t>volume</w:t>
      </w:r>
      <w:r w:rsidR="004503DD">
        <w:rPr>
          <w:lang w:val="en-GB"/>
        </w:rPr>
        <w:t xml:space="preserve"> for single vessel disease</w:t>
      </w:r>
      <w:r w:rsidR="00117233">
        <w:rPr>
          <w:lang w:val="en-GB"/>
        </w:rPr>
        <w:t xml:space="preserve"> in the ‘</w:t>
      </w:r>
      <w:r w:rsidR="004503DD">
        <w:rPr>
          <w:lang w:val="en-GB"/>
        </w:rPr>
        <w:t>off-pump preference</w:t>
      </w:r>
      <w:r w:rsidR="006D637F">
        <w:rPr>
          <w:lang w:val="en-GB"/>
        </w:rPr>
        <w:t xml:space="preserve"> group was 26, 1</w:t>
      </w:r>
      <w:r w:rsidR="004503DD">
        <w:rPr>
          <w:lang w:val="en-GB"/>
        </w:rPr>
        <w:t>8 in the mixed practice</w:t>
      </w:r>
      <w:r w:rsidR="00117233">
        <w:rPr>
          <w:lang w:val="en-GB"/>
        </w:rPr>
        <w:t xml:space="preserve"> group and </w:t>
      </w:r>
      <w:r w:rsidR="006D637F">
        <w:rPr>
          <w:lang w:val="en-GB"/>
        </w:rPr>
        <w:t>9</w:t>
      </w:r>
      <w:r w:rsidR="004503DD">
        <w:rPr>
          <w:lang w:val="en-GB"/>
        </w:rPr>
        <w:t xml:space="preserve"> in the </w:t>
      </w:r>
      <w:r w:rsidR="00117233">
        <w:rPr>
          <w:lang w:val="en-GB"/>
        </w:rPr>
        <w:t xml:space="preserve">on-pump </w:t>
      </w:r>
      <w:r w:rsidR="004503DD">
        <w:rPr>
          <w:lang w:val="en-GB"/>
        </w:rPr>
        <w:t>preference group</w:t>
      </w:r>
      <w:r w:rsidR="00017EAB">
        <w:rPr>
          <w:lang w:val="en-GB"/>
        </w:rPr>
        <w:t>.</w:t>
      </w:r>
    </w:p>
    <w:p w14:paraId="5641506A" w14:textId="167F90DF" w:rsidR="00942CA3" w:rsidRDefault="00942CA3" w:rsidP="00487D2E">
      <w:pPr>
        <w:spacing w:after="200" w:line="360" w:lineRule="auto"/>
        <w:ind w:firstLine="720"/>
      </w:pPr>
      <w:r w:rsidRPr="00C75A7E">
        <w:t xml:space="preserve">From a possible </w:t>
      </w:r>
      <w:r w:rsidR="0083598F">
        <w:t>152</w:t>
      </w:r>
      <w:r w:rsidR="00D971DB">
        <w:t xml:space="preserve"> expert CABG</w:t>
      </w:r>
      <w:r w:rsidRPr="00C75A7E">
        <w:t xml:space="preserve"> surgeons </w:t>
      </w:r>
      <w:r w:rsidR="00563AF3">
        <w:t>in the on-pump preference group</w:t>
      </w:r>
      <w:r w:rsidRPr="00C75A7E">
        <w:t xml:space="preserve">, only </w:t>
      </w:r>
      <w:r w:rsidR="0083598F">
        <w:t>136</w:t>
      </w:r>
      <w:r w:rsidRPr="00C75A7E">
        <w:t xml:space="preserve"> fe</w:t>
      </w:r>
      <w:r w:rsidR="0083598F">
        <w:t xml:space="preserve">atured in this </w:t>
      </w:r>
      <w:r w:rsidR="00C27909">
        <w:t xml:space="preserve">supportive </w:t>
      </w:r>
      <w:r w:rsidR="0083598F">
        <w:t>analysis due to 16</w:t>
      </w:r>
      <w:r w:rsidRPr="00C75A7E">
        <w:t xml:space="preserve"> not contributing any on-pump data to the LIMA-LAD study dataset. </w:t>
      </w:r>
      <w:r w:rsidR="00E5049D">
        <w:t>In total,</w:t>
      </w:r>
      <w:r w:rsidRPr="00C75A7E">
        <w:t xml:space="preserve"> </w:t>
      </w:r>
      <w:r w:rsidR="0083598F">
        <w:t>1832</w:t>
      </w:r>
      <w:r w:rsidRPr="00C75A7E">
        <w:t xml:space="preserve"> records were extracted</w:t>
      </w:r>
      <w:r w:rsidR="00E5049D">
        <w:t xml:space="preserve"> for the first supportive analysis</w:t>
      </w:r>
      <w:r w:rsidRPr="00C75A7E">
        <w:t xml:space="preserve">. </w:t>
      </w:r>
      <w:r w:rsidR="00793C19">
        <w:rPr>
          <w:lang w:val="en-GB"/>
        </w:rPr>
        <w:t>The 1- and 5-</w:t>
      </w:r>
      <w:r w:rsidR="004D47FF" w:rsidRPr="00C75A7E">
        <w:rPr>
          <w:lang w:val="en-GB"/>
        </w:rPr>
        <w:t>year surviv</w:t>
      </w:r>
      <w:r w:rsidR="001E39D6">
        <w:rPr>
          <w:lang w:val="en-GB"/>
        </w:rPr>
        <w:t xml:space="preserve">al </w:t>
      </w:r>
      <w:r w:rsidR="00F94809">
        <w:rPr>
          <w:lang w:val="en-GB"/>
        </w:rPr>
        <w:t>in the on-pump group was 98.2</w:t>
      </w:r>
      <w:r w:rsidR="00793C19">
        <w:rPr>
          <w:lang w:val="en-GB"/>
        </w:rPr>
        <w:t xml:space="preserve">% and </w:t>
      </w:r>
      <w:r w:rsidR="00F94809">
        <w:rPr>
          <w:lang w:val="en-GB"/>
        </w:rPr>
        <w:t>92.6</w:t>
      </w:r>
      <w:r w:rsidR="001E39D6">
        <w:rPr>
          <w:lang w:val="en-GB"/>
        </w:rPr>
        <w:t xml:space="preserve">% </w:t>
      </w:r>
      <w:r w:rsidR="004D47FF" w:rsidRPr="00C75A7E">
        <w:rPr>
          <w:lang w:val="en-GB"/>
        </w:rPr>
        <w:t>respective</w:t>
      </w:r>
      <w:r w:rsidR="00793C19">
        <w:rPr>
          <w:lang w:val="en-GB"/>
        </w:rPr>
        <w:t>ly. Correspondingly, the 1- and 5</w:t>
      </w:r>
      <w:r w:rsidR="004D47FF" w:rsidRPr="00C75A7E">
        <w:rPr>
          <w:lang w:val="en-GB"/>
        </w:rPr>
        <w:t>-year survi</w:t>
      </w:r>
      <w:r w:rsidR="001E39D6">
        <w:rPr>
          <w:lang w:val="en-GB"/>
        </w:rPr>
        <w:t xml:space="preserve">val </w:t>
      </w:r>
      <w:r w:rsidR="00F94809">
        <w:rPr>
          <w:lang w:val="en-GB"/>
        </w:rPr>
        <w:t>in the off-pump group was 99.0</w:t>
      </w:r>
      <w:r w:rsidR="00793C19">
        <w:rPr>
          <w:lang w:val="en-GB"/>
        </w:rPr>
        <w:t>% and</w:t>
      </w:r>
      <w:r w:rsidR="00F94809">
        <w:rPr>
          <w:lang w:val="en-GB"/>
        </w:rPr>
        <w:t xml:space="preserve"> 95.6</w:t>
      </w:r>
      <w:r w:rsidR="001E39D6">
        <w:rPr>
          <w:lang w:val="en-GB"/>
        </w:rPr>
        <w:t>%</w:t>
      </w:r>
      <w:r w:rsidR="004D47FF" w:rsidRPr="00C75A7E">
        <w:rPr>
          <w:lang w:val="en-GB"/>
        </w:rPr>
        <w:t xml:space="preserve"> respectively</w:t>
      </w:r>
      <w:r w:rsidR="00E94AC2">
        <w:rPr>
          <w:lang w:val="en-GB"/>
        </w:rPr>
        <w:t xml:space="preserve"> (</w:t>
      </w:r>
      <w:r w:rsidR="00E94AC2" w:rsidRPr="00E94AC2">
        <w:rPr>
          <w:b/>
          <w:lang w:val="en-GB"/>
        </w:rPr>
        <w:t>Figure 5</w:t>
      </w:r>
      <w:r w:rsidR="00E94AC2">
        <w:rPr>
          <w:lang w:val="en-GB"/>
        </w:rPr>
        <w:t>, top panel)</w:t>
      </w:r>
      <w:r w:rsidR="004D47FF" w:rsidRPr="00C75A7E">
        <w:rPr>
          <w:lang w:val="en-GB"/>
        </w:rPr>
        <w:t>.</w:t>
      </w:r>
      <w:r w:rsidR="004D47FF">
        <w:rPr>
          <w:lang w:val="en-GB"/>
        </w:rPr>
        <w:t xml:space="preserve"> </w:t>
      </w:r>
      <w:r w:rsidR="00C6566A">
        <w:rPr>
          <w:lang w:val="en-GB"/>
        </w:rPr>
        <w:t xml:space="preserve">Based on the log-rank test, the survival </w:t>
      </w:r>
      <w:r w:rsidR="00F42FDC">
        <w:rPr>
          <w:lang w:val="en-GB"/>
        </w:rPr>
        <w:t>distributions</w:t>
      </w:r>
      <w:r w:rsidR="00C6566A">
        <w:rPr>
          <w:lang w:val="en-GB"/>
        </w:rPr>
        <w:t xml:space="preserve"> were </w:t>
      </w:r>
      <w:r w:rsidR="00F42FDC">
        <w:rPr>
          <w:lang w:val="en-GB"/>
        </w:rPr>
        <w:t>significantly</w:t>
      </w:r>
      <w:r w:rsidR="00C6566A">
        <w:rPr>
          <w:lang w:val="en-GB"/>
        </w:rPr>
        <w:t xml:space="preserve"> different (</w:t>
      </w:r>
      <w:r w:rsidR="00C6566A" w:rsidRPr="000D7282">
        <w:rPr>
          <w:i/>
          <w:lang w:val="en-GB"/>
        </w:rPr>
        <w:t>P</w:t>
      </w:r>
      <w:r w:rsidR="00C6566A">
        <w:rPr>
          <w:lang w:val="en-GB"/>
        </w:rPr>
        <w:t xml:space="preserve">=0.031; unadjusted HR 1.48 [95% CI: 1.03 to 2.12]). </w:t>
      </w:r>
      <w:r w:rsidRPr="00C75A7E">
        <w:t>We refit</w:t>
      </w:r>
      <w:r w:rsidR="00BC7421">
        <w:t>ted</w:t>
      </w:r>
      <w:r w:rsidRPr="00C75A7E">
        <w:t xml:space="preserve"> the above Cox proportional</w:t>
      </w:r>
      <w:r w:rsidR="00F94809">
        <w:t xml:space="preserve"> hazards regression model with</w:t>
      </w:r>
      <w:r w:rsidRPr="00C75A7E">
        <w:t xml:space="preserve"> slig</w:t>
      </w:r>
      <w:r w:rsidR="000F5D19">
        <w:t>ht modification</w:t>
      </w:r>
      <w:r w:rsidR="00F94809">
        <w:t>s</w:t>
      </w:r>
      <w:r w:rsidR="000F5D19">
        <w:t xml:space="preserve"> </w:t>
      </w:r>
      <w:r w:rsidR="00F94809">
        <w:t>of</w:t>
      </w:r>
      <w:r w:rsidR="000F5D19">
        <w:t xml:space="preserve"> age </w:t>
      </w:r>
      <w:r w:rsidR="00F94809">
        <w:t>being</w:t>
      </w:r>
      <w:r w:rsidR="000F5D19">
        <w:t xml:space="preserve"> included as a linear </w:t>
      </w:r>
      <w:r w:rsidR="00F94809">
        <w:t xml:space="preserve">term </w:t>
      </w:r>
      <w:r w:rsidR="00956CD7">
        <w:t xml:space="preserve">only </w:t>
      </w:r>
      <w:r w:rsidR="00F94809">
        <w:t>and removal of extracardiac arteriopathy</w:t>
      </w:r>
      <w:r w:rsidRPr="00C75A7E">
        <w:t>. We infer from the model that on-pump surgery is associated with increased hazards (HR for on-pump</w:t>
      </w:r>
      <w:r w:rsidR="00243EF3">
        <w:t>=</w:t>
      </w:r>
      <w:r w:rsidR="003E51DC">
        <w:t>1.7</w:t>
      </w:r>
      <w:r w:rsidR="009F23BB">
        <w:t>2</w:t>
      </w:r>
      <w:r w:rsidR="00F94809">
        <w:t>; 95% CI: 1.</w:t>
      </w:r>
      <w:r w:rsidR="009F23BB">
        <w:t>19</w:t>
      </w:r>
      <w:r w:rsidR="00C6566A">
        <w:t xml:space="preserve"> to </w:t>
      </w:r>
      <w:r w:rsidR="003E51DC">
        <w:t>2.</w:t>
      </w:r>
      <w:r w:rsidR="009F23BB">
        <w:t>47</w:t>
      </w:r>
      <w:r w:rsidRPr="00C75A7E">
        <w:t xml:space="preserve">; </w:t>
      </w:r>
      <w:r w:rsidRPr="00C75A7E">
        <w:rPr>
          <w:i/>
        </w:rPr>
        <w:t>P</w:t>
      </w:r>
      <w:r w:rsidR="00243EF3">
        <w:t>=</w:t>
      </w:r>
      <w:r w:rsidRPr="00C75A7E">
        <w:t>0</w:t>
      </w:r>
      <w:r w:rsidR="003E51DC">
        <w:t>.00</w:t>
      </w:r>
      <w:r w:rsidR="009F23BB">
        <w:t>4</w:t>
      </w:r>
      <w:r w:rsidRPr="00C75A7E">
        <w:t>). There was no evidence to reject the proportional hazards assumption (</w:t>
      </w:r>
      <w:r w:rsidRPr="00C75A7E">
        <w:rPr>
          <w:i/>
        </w:rPr>
        <w:t>P</w:t>
      </w:r>
      <w:r w:rsidR="003E51DC">
        <w:t>=0.</w:t>
      </w:r>
      <w:r w:rsidR="009F23BB">
        <w:t>27</w:t>
      </w:r>
      <w:r w:rsidRPr="00C75A7E">
        <w:t>).</w:t>
      </w:r>
    </w:p>
    <w:p w14:paraId="7D170874" w14:textId="5C3D9F48" w:rsidR="003364B8" w:rsidRPr="004C5D6D" w:rsidRDefault="003364B8" w:rsidP="004C5D6D">
      <w:pPr>
        <w:spacing w:after="200" w:line="360" w:lineRule="auto"/>
        <w:ind w:firstLine="720"/>
      </w:pPr>
      <w:r>
        <w:t xml:space="preserve">For the second </w:t>
      </w:r>
      <w:r w:rsidR="004764D7">
        <w:t>supportive</w:t>
      </w:r>
      <w:r w:rsidR="00640A61">
        <w:t xml:space="preserve"> </w:t>
      </w:r>
      <w:r>
        <w:t xml:space="preserve">analysis we restricted the data to </w:t>
      </w:r>
      <w:r w:rsidR="000709CA">
        <w:t xml:space="preserve">the 2138 </w:t>
      </w:r>
      <w:r>
        <w:t xml:space="preserve">off-pump surgery cases </w:t>
      </w:r>
      <w:r w:rsidR="00FD2D68">
        <w:t xml:space="preserve">performed by </w:t>
      </w:r>
      <w:r w:rsidR="00956CD7">
        <w:t xml:space="preserve">all </w:t>
      </w:r>
      <w:r w:rsidR="00FD2D68">
        <w:t>expert CABG surgeons</w:t>
      </w:r>
      <w:r>
        <w:t>.</w:t>
      </w:r>
      <w:r w:rsidR="000709CA">
        <w:t xml:space="preserve"> These were performed by 22 </w:t>
      </w:r>
      <w:r w:rsidR="00165175">
        <w:t>surgeons</w:t>
      </w:r>
      <w:r w:rsidR="000709CA">
        <w:t xml:space="preserve"> (793 records</w:t>
      </w:r>
      <w:r w:rsidR="00DF0A86">
        <w:t>; 37.1%</w:t>
      </w:r>
      <w:r w:rsidR="000709CA">
        <w:t>)</w:t>
      </w:r>
      <w:r w:rsidR="00165175">
        <w:t xml:space="preserve"> with a preference for the off-pump technique</w:t>
      </w:r>
      <w:r w:rsidR="000709CA">
        <w:t xml:space="preserve">, 28 </w:t>
      </w:r>
      <w:r w:rsidR="00165175">
        <w:t xml:space="preserve">surgeons </w:t>
      </w:r>
      <w:r w:rsidR="000709CA">
        <w:t>(598 records</w:t>
      </w:r>
      <w:r w:rsidR="00DF0A86">
        <w:t>; 28.0%</w:t>
      </w:r>
      <w:r w:rsidR="000709CA">
        <w:t>)</w:t>
      </w:r>
      <w:r w:rsidR="00165175">
        <w:t xml:space="preserve"> with a mixed practice,</w:t>
      </w:r>
      <w:r w:rsidR="000709CA">
        <w:t xml:space="preserve"> and 94 </w:t>
      </w:r>
      <w:r w:rsidR="00165175">
        <w:t>surgeons</w:t>
      </w:r>
      <w:r w:rsidR="000709CA">
        <w:t xml:space="preserve"> (747 records; </w:t>
      </w:r>
      <w:r w:rsidR="00DF0A86">
        <w:t>34.9%</w:t>
      </w:r>
      <w:r w:rsidR="000709CA">
        <w:t>)</w:t>
      </w:r>
      <w:r w:rsidR="00165175">
        <w:t xml:space="preserve"> with a preference for the on-pump technique</w:t>
      </w:r>
      <w:r w:rsidR="000709CA">
        <w:t xml:space="preserve">. </w:t>
      </w:r>
      <w:r w:rsidR="00DF0A86">
        <w:t>The 1-year and 5-year surviv</w:t>
      </w:r>
      <w:r w:rsidR="00025AAE">
        <w:t>al rates were 99.0% and 95.6% (expert off-pump preference), 97.9% and 93.3% (mixed practice</w:t>
      </w:r>
      <w:r w:rsidR="00DF0A86">
        <w:t>), and 98.2% and 91.9</w:t>
      </w:r>
      <w:r w:rsidR="00025AAE">
        <w:t>% (expert on-pump preference</w:t>
      </w:r>
      <w:r w:rsidR="00DF0A86">
        <w:t>)</w:t>
      </w:r>
      <w:r w:rsidR="00C45388" w:rsidRPr="00C45388">
        <w:rPr>
          <w:lang w:val="en-GB"/>
        </w:rPr>
        <w:t xml:space="preserve"> </w:t>
      </w:r>
      <w:r w:rsidR="00C45388">
        <w:rPr>
          <w:lang w:val="en-GB"/>
        </w:rPr>
        <w:t>(</w:t>
      </w:r>
      <w:r w:rsidR="00C45388" w:rsidRPr="00E94AC2">
        <w:rPr>
          <w:b/>
          <w:lang w:val="en-GB"/>
        </w:rPr>
        <w:t>Figure 5</w:t>
      </w:r>
      <w:r w:rsidR="00C45388">
        <w:rPr>
          <w:lang w:val="en-GB"/>
        </w:rPr>
        <w:t>, bottom panel)</w:t>
      </w:r>
      <w:r w:rsidR="00DF0A86">
        <w:t>.</w:t>
      </w:r>
      <w:r w:rsidR="004C5D6D">
        <w:t xml:space="preserve"> </w:t>
      </w:r>
      <w:r w:rsidR="00C40105">
        <w:t>Based on the log-rank test, the survival distributions were not significantly different (</w:t>
      </w:r>
      <w:r w:rsidR="00C40105" w:rsidRPr="004F7071">
        <w:rPr>
          <w:i/>
        </w:rPr>
        <w:t>P</w:t>
      </w:r>
      <w:r w:rsidR="00C40105">
        <w:t>=0.15)</w:t>
      </w:r>
      <w:r w:rsidR="006C0AA8">
        <w:t>, nor after excluding mixed practice surgeons (</w:t>
      </w:r>
      <w:r w:rsidR="006C0AA8" w:rsidRPr="006C0AA8">
        <w:rPr>
          <w:i/>
        </w:rPr>
        <w:t>P</w:t>
      </w:r>
      <w:r w:rsidR="006C0AA8">
        <w:t>=0.064)</w:t>
      </w:r>
      <w:r w:rsidR="00C40105">
        <w:t xml:space="preserve">. </w:t>
      </w:r>
      <w:r w:rsidR="004C5D6D" w:rsidRPr="00C75A7E">
        <w:t>We refit</w:t>
      </w:r>
      <w:r w:rsidR="004C5D6D">
        <w:t>ted</w:t>
      </w:r>
      <w:r w:rsidR="004C5D6D" w:rsidRPr="00C75A7E">
        <w:t xml:space="preserve"> the Cox proportional</w:t>
      </w:r>
      <w:r w:rsidR="004C5D6D">
        <w:t xml:space="preserve"> hazards regression model</w:t>
      </w:r>
      <w:r w:rsidR="00710028">
        <w:t xml:space="preserve"> fitted to the complete dataset</w:t>
      </w:r>
      <w:r w:rsidR="004C5D6D">
        <w:t xml:space="preserve"> with</w:t>
      </w:r>
      <w:r w:rsidR="004C5D6D" w:rsidRPr="00C75A7E">
        <w:t xml:space="preserve"> slig</w:t>
      </w:r>
      <w:r w:rsidR="004C5D6D">
        <w:t xml:space="preserve">ht modifications of age being included as a linear term </w:t>
      </w:r>
      <w:r w:rsidR="00956CD7">
        <w:t xml:space="preserve">only </w:t>
      </w:r>
      <w:r w:rsidR="004C5D6D">
        <w:t xml:space="preserve">and </w:t>
      </w:r>
      <w:r w:rsidR="00710028">
        <w:t>stratifying the baseline hazard function by operative urgency</w:t>
      </w:r>
      <w:r w:rsidR="004C5D6D" w:rsidRPr="00C75A7E">
        <w:t xml:space="preserve">. We infer from the model that </w:t>
      </w:r>
      <w:r w:rsidR="00F86F43">
        <w:t>relative to a reference level of the responsible consultant surgeon having a preference for the off-pump technique</w:t>
      </w:r>
      <w:r w:rsidR="009F0017">
        <w:t xml:space="preserve">, </w:t>
      </w:r>
      <w:r w:rsidR="00F86F43">
        <w:t>those with a mixed practice</w:t>
      </w:r>
      <w:r w:rsidR="00832638">
        <w:t xml:space="preserve"> (HR = </w:t>
      </w:r>
      <w:r w:rsidR="00D81EE9">
        <w:t>1.6</w:t>
      </w:r>
      <w:r w:rsidR="007A6BEF">
        <w:t>1</w:t>
      </w:r>
      <w:r w:rsidR="00832638">
        <w:t xml:space="preserve">, 95% CI: </w:t>
      </w:r>
      <w:r w:rsidR="00D81EE9">
        <w:t>1.06 to 2.4</w:t>
      </w:r>
      <w:r w:rsidR="007A6BEF">
        <w:t>5</w:t>
      </w:r>
      <w:r w:rsidR="00251F75">
        <w:t xml:space="preserve">; </w:t>
      </w:r>
      <w:r w:rsidR="00251F75" w:rsidRPr="00251F75">
        <w:rPr>
          <w:i/>
        </w:rPr>
        <w:t>P</w:t>
      </w:r>
      <w:r w:rsidR="00251F75">
        <w:t>=</w:t>
      </w:r>
      <w:r w:rsidR="00D81EE9">
        <w:t>0.02</w:t>
      </w:r>
      <w:r w:rsidR="007A6BEF">
        <w:t>7</w:t>
      </w:r>
      <w:r w:rsidR="00832638">
        <w:t>)</w:t>
      </w:r>
      <w:r w:rsidR="00251F75">
        <w:t xml:space="preserve"> </w:t>
      </w:r>
      <w:r w:rsidR="00F86F43">
        <w:t>or preference for the on-pump technique</w:t>
      </w:r>
      <w:r w:rsidR="00251F75">
        <w:t xml:space="preserve"> (HR = </w:t>
      </w:r>
      <w:r w:rsidR="00D81EE9">
        <w:t>1.50</w:t>
      </w:r>
      <w:r w:rsidR="00251F75">
        <w:t xml:space="preserve">, 95% CI: </w:t>
      </w:r>
      <w:r w:rsidR="00D81EE9">
        <w:t>1.0</w:t>
      </w:r>
      <w:r w:rsidR="007A6BEF">
        <w:t>2</w:t>
      </w:r>
      <w:r w:rsidR="00D81EE9">
        <w:t xml:space="preserve"> to 2.2</w:t>
      </w:r>
      <w:r w:rsidR="007A6BEF">
        <w:t>0</w:t>
      </w:r>
      <w:r w:rsidR="00D81EE9">
        <w:t xml:space="preserve">; </w:t>
      </w:r>
      <w:r w:rsidR="00251F75" w:rsidRPr="00251F75">
        <w:rPr>
          <w:i/>
        </w:rPr>
        <w:t>P</w:t>
      </w:r>
      <w:r w:rsidR="00251F75">
        <w:t>=</w:t>
      </w:r>
      <w:r w:rsidR="00D81EE9">
        <w:t>0.03</w:t>
      </w:r>
      <w:r w:rsidR="007A6BEF">
        <w:t>7</w:t>
      </w:r>
      <w:r w:rsidR="00251F75">
        <w:t>) are both</w:t>
      </w:r>
      <w:r w:rsidR="004C5D6D" w:rsidRPr="00C75A7E">
        <w:t xml:space="preserve"> associated with increased hazards. There was no evidence to reject the proportional hazards assumption (</w:t>
      </w:r>
      <w:r w:rsidR="004C5D6D" w:rsidRPr="00C75A7E">
        <w:rPr>
          <w:i/>
        </w:rPr>
        <w:t>P</w:t>
      </w:r>
      <w:r w:rsidR="00D46FDE">
        <w:t>=0.</w:t>
      </w:r>
      <w:r w:rsidR="007A6BEF">
        <w:t>90</w:t>
      </w:r>
      <w:r w:rsidR="004C5D6D" w:rsidRPr="00C75A7E">
        <w:t>).</w:t>
      </w:r>
    </w:p>
    <w:p w14:paraId="5D95D84A" w14:textId="288A7D63" w:rsidR="00942CA3" w:rsidRPr="00C75A7E" w:rsidRDefault="00942CA3" w:rsidP="00487D2E">
      <w:pPr>
        <w:spacing w:after="200" w:line="360" w:lineRule="auto"/>
        <w:rPr>
          <w:lang w:val="en-GB"/>
        </w:rPr>
      </w:pPr>
      <w:r w:rsidRPr="00C75A7E">
        <w:rPr>
          <w:b/>
          <w:lang w:val="en-GB"/>
        </w:rPr>
        <w:br w:type="page"/>
      </w:r>
      <w:r w:rsidR="00CC0610">
        <w:rPr>
          <w:b/>
          <w:lang w:val="en-GB"/>
        </w:rPr>
        <w:lastRenderedPageBreak/>
        <w:t>DISCUSSION</w:t>
      </w:r>
    </w:p>
    <w:p w14:paraId="4781A5E0" w14:textId="6D40CD58" w:rsidR="00942CA3" w:rsidRPr="00C75A7E" w:rsidRDefault="00236293" w:rsidP="00487D2E">
      <w:pPr>
        <w:spacing w:after="200" w:line="360" w:lineRule="auto"/>
        <w:ind w:firstLine="720"/>
        <w:rPr>
          <w:lang w:val="en-GB"/>
        </w:rPr>
      </w:pPr>
      <w:r>
        <w:rPr>
          <w:lang w:val="en-GB"/>
        </w:rPr>
        <w:t xml:space="preserve">Elective and urgent first-time CABG for isolated LAD disease is associated with excellent mid-term survival in the England and Wales population, regardless of bypass technique, conferring </w:t>
      </w:r>
      <w:r w:rsidR="00EA69C1">
        <w:rPr>
          <w:lang w:val="en-GB"/>
        </w:rPr>
        <w:t xml:space="preserve">5-year </w:t>
      </w:r>
      <w:r>
        <w:rPr>
          <w:lang w:val="en-GB"/>
        </w:rPr>
        <w:t xml:space="preserve">survival of 93.1% and 93.4% in the on-pump and off-pump groups respectively. </w:t>
      </w:r>
      <w:r w:rsidR="000E0659">
        <w:rPr>
          <w:lang w:val="en-GB"/>
        </w:rPr>
        <w:t xml:space="preserve">Although the on-pump technique is more frequently applied in general isolated CABG practice, a large proportion of cases are performed off-pump for LIMA-to-LAD bypass surgery of single vessel disease. </w:t>
      </w:r>
      <w:r>
        <w:rPr>
          <w:lang w:val="en-GB"/>
        </w:rPr>
        <w:t>There was no difference in risk-adjusted survival between on-pump and off-pump techniques when analysing all procedures. Supportive analysis demonstrated that o</w:t>
      </w:r>
      <w:r w:rsidR="00C75A7E" w:rsidRPr="000174F2">
        <w:rPr>
          <w:lang w:val="en-GB"/>
        </w:rPr>
        <w:t xml:space="preserve">ff-pump surgery </w:t>
      </w:r>
      <w:r w:rsidRPr="000174F2">
        <w:rPr>
          <w:lang w:val="en-GB"/>
        </w:rPr>
        <w:t xml:space="preserve">performed by </w:t>
      </w:r>
      <w:r>
        <w:rPr>
          <w:lang w:val="en-GB"/>
        </w:rPr>
        <w:t>surgeons with a preference for the off-pump technique in isolated CABG surgery</w:t>
      </w:r>
      <w:r w:rsidRPr="000174F2">
        <w:rPr>
          <w:lang w:val="en-GB"/>
        </w:rPr>
        <w:t xml:space="preserve"> </w:t>
      </w:r>
      <w:r w:rsidR="00C75A7E" w:rsidRPr="000174F2">
        <w:rPr>
          <w:lang w:val="en-GB"/>
        </w:rPr>
        <w:t>is associated with better mid-</w:t>
      </w:r>
      <w:r w:rsidR="00942CA3" w:rsidRPr="000174F2">
        <w:rPr>
          <w:lang w:val="en-GB"/>
        </w:rPr>
        <w:t>term survival for isolated LAD dis</w:t>
      </w:r>
      <w:r w:rsidR="00C75A7E" w:rsidRPr="000174F2">
        <w:rPr>
          <w:lang w:val="en-GB"/>
        </w:rPr>
        <w:t xml:space="preserve">ease when compared to on-pump surgery performed by </w:t>
      </w:r>
      <w:r w:rsidR="00F86F43">
        <w:rPr>
          <w:lang w:val="en-GB"/>
        </w:rPr>
        <w:t>surgeons with a</w:t>
      </w:r>
      <w:r>
        <w:rPr>
          <w:lang w:val="en-GB"/>
        </w:rPr>
        <w:t>n</w:t>
      </w:r>
      <w:r w:rsidR="00F86F43">
        <w:rPr>
          <w:lang w:val="en-GB"/>
        </w:rPr>
        <w:t xml:space="preserve"> on-pump preference</w:t>
      </w:r>
      <w:r w:rsidR="0054517C">
        <w:rPr>
          <w:lang w:val="en-GB"/>
        </w:rPr>
        <w:t>.</w:t>
      </w:r>
    </w:p>
    <w:p w14:paraId="2D580125" w14:textId="358E293D" w:rsidR="00942CA3" w:rsidRPr="00C75A7E" w:rsidRDefault="003A055B" w:rsidP="00487D2E">
      <w:pPr>
        <w:spacing w:after="200" w:line="360" w:lineRule="auto"/>
        <w:ind w:firstLine="720"/>
        <w:rPr>
          <w:lang w:val="en-GB"/>
        </w:rPr>
      </w:pPr>
      <w:r>
        <w:rPr>
          <w:lang w:val="en-GB"/>
        </w:rPr>
        <w:t>Neither</w:t>
      </w:r>
      <w:r w:rsidRPr="00D06745">
        <w:rPr>
          <w:lang w:val="en-GB"/>
        </w:rPr>
        <w:t xml:space="preserve"> of the recent large randomised trials with regard to off-pump surgery have sufficient number of isolated LIMA</w:t>
      </w:r>
      <w:r>
        <w:rPr>
          <w:lang w:val="en-GB"/>
        </w:rPr>
        <w:t>-</w:t>
      </w:r>
      <w:r w:rsidRPr="00D06745">
        <w:rPr>
          <w:lang w:val="en-GB"/>
        </w:rPr>
        <w:t>to</w:t>
      </w:r>
      <w:r>
        <w:rPr>
          <w:lang w:val="en-GB"/>
        </w:rPr>
        <w:t>-</w:t>
      </w:r>
      <w:r w:rsidRPr="00D06745">
        <w:rPr>
          <w:lang w:val="en-GB"/>
        </w:rPr>
        <w:t>LAD grafts to allow analysis</w:t>
      </w:r>
      <w:r>
        <w:rPr>
          <w:lang w:val="en-GB"/>
        </w:rPr>
        <w:t>; hence one must appeal to observational data</w:t>
      </w:r>
      <w:r w:rsidRPr="00D06745">
        <w:rPr>
          <w:lang w:val="en-GB"/>
        </w:rPr>
        <w:t>.</w:t>
      </w:r>
      <w:r>
        <w:rPr>
          <w:lang w:val="en-GB"/>
        </w:rPr>
        <w:t xml:space="preserve"> </w:t>
      </w:r>
      <w:r w:rsidR="00D02854" w:rsidRPr="00D06745">
        <w:rPr>
          <w:lang w:val="en-GB"/>
        </w:rPr>
        <w:t xml:space="preserve">Single </w:t>
      </w:r>
      <w:r w:rsidR="00942CA3" w:rsidRPr="00D06745">
        <w:rPr>
          <w:lang w:val="en-GB"/>
        </w:rPr>
        <w:t>institutions are</w:t>
      </w:r>
      <w:r w:rsidR="00D02854" w:rsidRPr="00D06745">
        <w:rPr>
          <w:lang w:val="en-GB"/>
        </w:rPr>
        <w:t xml:space="preserve"> not</w:t>
      </w:r>
      <w:r w:rsidR="00942CA3" w:rsidRPr="00D06745">
        <w:rPr>
          <w:lang w:val="en-GB"/>
        </w:rPr>
        <w:t xml:space="preserve"> large enough to undertake the current study</w:t>
      </w:r>
      <w:r w:rsidR="005D42EE">
        <w:rPr>
          <w:lang w:val="en-GB"/>
        </w:rPr>
        <w:t xml:space="preserve"> owing to the low rate of isolated LIMA</w:t>
      </w:r>
      <w:r w:rsidR="00B743DA">
        <w:rPr>
          <w:lang w:val="en-GB"/>
        </w:rPr>
        <w:t>-</w:t>
      </w:r>
      <w:r w:rsidR="005D42EE">
        <w:rPr>
          <w:lang w:val="en-GB"/>
        </w:rPr>
        <w:t>to</w:t>
      </w:r>
      <w:r w:rsidR="00B743DA">
        <w:rPr>
          <w:lang w:val="en-GB"/>
        </w:rPr>
        <w:t>-</w:t>
      </w:r>
      <w:r w:rsidR="005D42EE">
        <w:rPr>
          <w:lang w:val="en-GB"/>
        </w:rPr>
        <w:t xml:space="preserve">LAD grafts </w:t>
      </w:r>
      <w:r w:rsidR="00D055FB">
        <w:rPr>
          <w:lang w:val="en-GB"/>
        </w:rPr>
        <w:t>performed for single vessel disease</w:t>
      </w:r>
      <w:r w:rsidR="00085594">
        <w:rPr>
          <w:lang w:val="en-GB"/>
        </w:rPr>
        <w:t>. Only 2</w:t>
      </w:r>
      <w:r w:rsidR="005D42EE">
        <w:rPr>
          <w:lang w:val="en-GB"/>
        </w:rPr>
        <w:t>% of elective and urgent first-time cardiac surgery patients undergoing isolated CABG had a single pedicle LIMA</w:t>
      </w:r>
      <w:r w:rsidR="00B743DA">
        <w:rPr>
          <w:lang w:val="en-GB"/>
        </w:rPr>
        <w:t>-</w:t>
      </w:r>
      <w:r w:rsidR="005D42EE">
        <w:rPr>
          <w:lang w:val="en-GB"/>
        </w:rPr>
        <w:t>to</w:t>
      </w:r>
      <w:r w:rsidR="00B743DA">
        <w:rPr>
          <w:lang w:val="en-GB"/>
        </w:rPr>
        <w:t>-</w:t>
      </w:r>
      <w:r w:rsidR="005D42EE">
        <w:rPr>
          <w:lang w:val="en-GB"/>
        </w:rPr>
        <w:t>LAD graft</w:t>
      </w:r>
      <w:r w:rsidR="00A07203">
        <w:rPr>
          <w:lang w:val="en-GB"/>
        </w:rPr>
        <w:t xml:space="preserve"> for single vessel disease</w:t>
      </w:r>
      <w:r w:rsidR="005D42EE">
        <w:rPr>
          <w:lang w:val="en-GB"/>
        </w:rPr>
        <w:t>.</w:t>
      </w:r>
      <w:r w:rsidR="009D7EF2">
        <w:rPr>
          <w:lang w:val="en-GB"/>
        </w:rPr>
        <w:t xml:space="preserve"> There</w:t>
      </w:r>
      <w:r w:rsidR="00CC4A50">
        <w:rPr>
          <w:lang w:val="en-GB"/>
        </w:rPr>
        <w:t>fore</w:t>
      </w:r>
      <w:r w:rsidR="009D7EF2">
        <w:rPr>
          <w:lang w:val="en-GB"/>
        </w:rPr>
        <w:t xml:space="preserve"> it is </w:t>
      </w:r>
      <w:r w:rsidR="00CC4A50">
        <w:rPr>
          <w:lang w:val="en-GB"/>
        </w:rPr>
        <w:t>logical that one must</w:t>
      </w:r>
      <w:r w:rsidR="009D7EF2">
        <w:rPr>
          <w:lang w:val="en-GB"/>
        </w:rPr>
        <w:t xml:space="preserve"> </w:t>
      </w:r>
      <w:r w:rsidR="00D02854" w:rsidRPr="00D06745">
        <w:rPr>
          <w:lang w:val="en-GB"/>
        </w:rPr>
        <w:t>exploit multi-centre national registries</w:t>
      </w:r>
      <w:r w:rsidR="00CC4A50">
        <w:rPr>
          <w:lang w:val="en-GB"/>
        </w:rPr>
        <w:t xml:space="preserve"> in order to address this research hypothesis</w:t>
      </w:r>
      <w:r w:rsidR="00942CA3" w:rsidRPr="00D06745">
        <w:rPr>
          <w:lang w:val="en-GB"/>
        </w:rPr>
        <w:t xml:space="preserve">. </w:t>
      </w:r>
      <w:r w:rsidR="00ED623F">
        <w:rPr>
          <w:lang w:val="en-GB"/>
        </w:rPr>
        <w:t>T</w:t>
      </w:r>
      <w:r w:rsidR="00D06745">
        <w:rPr>
          <w:lang w:val="en-GB"/>
        </w:rPr>
        <w:t>his study</w:t>
      </w:r>
      <w:r w:rsidR="00ED623F">
        <w:rPr>
          <w:lang w:val="en-GB"/>
        </w:rPr>
        <w:t>, however,</w:t>
      </w:r>
      <w:r w:rsidR="00D06745">
        <w:rPr>
          <w:lang w:val="en-GB"/>
        </w:rPr>
        <w:t xml:space="preserve"> presents </w:t>
      </w:r>
      <w:r w:rsidR="00213089">
        <w:rPr>
          <w:lang w:val="en-GB"/>
        </w:rPr>
        <w:t>3402</w:t>
      </w:r>
      <w:r w:rsidR="00D06745">
        <w:rPr>
          <w:lang w:val="en-GB"/>
        </w:rPr>
        <w:t xml:space="preserve"> records</w:t>
      </w:r>
      <w:r w:rsidR="00013DD4">
        <w:rPr>
          <w:lang w:val="en-GB"/>
        </w:rPr>
        <w:t xml:space="preserve"> with follow-up</w:t>
      </w:r>
      <w:r w:rsidR="00ED623F">
        <w:rPr>
          <w:lang w:val="en-GB"/>
        </w:rPr>
        <w:t xml:space="preserve"> data</w:t>
      </w:r>
      <w:r w:rsidR="00013DD4">
        <w:rPr>
          <w:lang w:val="en-GB"/>
        </w:rPr>
        <w:t xml:space="preserve"> of up to 10-years</w:t>
      </w:r>
      <w:r w:rsidR="00D06745">
        <w:rPr>
          <w:lang w:val="en-GB"/>
        </w:rPr>
        <w:t>.</w:t>
      </w:r>
      <w:r w:rsidR="001E48E3">
        <w:rPr>
          <w:lang w:val="en-GB"/>
        </w:rPr>
        <w:t xml:space="preserve"> Interestingly, the rate of off-pump surgery in the overall first-time surgery isolated CABG group was 18.1%; however, it was </w:t>
      </w:r>
      <w:r w:rsidR="00BE203C">
        <w:rPr>
          <w:lang w:val="en-GB"/>
        </w:rPr>
        <w:t>considerably</w:t>
      </w:r>
      <w:r w:rsidR="001E48E3">
        <w:rPr>
          <w:lang w:val="en-GB"/>
        </w:rPr>
        <w:t xml:space="preserve"> higher in the core LIMA-to-LAD analysis dataset</w:t>
      </w:r>
      <w:r w:rsidR="00085594">
        <w:rPr>
          <w:lang w:val="en-GB"/>
        </w:rPr>
        <w:t xml:space="preserve"> (65.5</w:t>
      </w:r>
      <w:r w:rsidR="00BE203C">
        <w:rPr>
          <w:lang w:val="en-GB"/>
        </w:rPr>
        <w:t>%</w:t>
      </w:r>
      <w:r w:rsidR="001E48E3">
        <w:rPr>
          <w:lang w:val="en-GB"/>
        </w:rPr>
        <w:t xml:space="preserve">). </w:t>
      </w:r>
      <w:r w:rsidR="00BE203C">
        <w:rPr>
          <w:lang w:val="en-GB"/>
        </w:rPr>
        <w:t xml:space="preserve">The </w:t>
      </w:r>
      <w:r w:rsidR="00E12EA2">
        <w:rPr>
          <w:lang w:val="en-GB"/>
        </w:rPr>
        <w:t>reason for the observed disproportionality is unclear, but seems</w:t>
      </w:r>
      <w:r w:rsidR="00BE203C">
        <w:rPr>
          <w:lang w:val="en-GB"/>
        </w:rPr>
        <w:t xml:space="preserve"> to be driven </w:t>
      </w:r>
      <w:r w:rsidR="00382DCB">
        <w:rPr>
          <w:lang w:val="en-GB"/>
        </w:rPr>
        <w:t xml:space="preserve">in part </w:t>
      </w:r>
      <w:r w:rsidR="00BE203C">
        <w:rPr>
          <w:lang w:val="en-GB"/>
        </w:rPr>
        <w:t xml:space="preserve">by </w:t>
      </w:r>
      <w:r w:rsidR="00213089">
        <w:rPr>
          <w:lang w:val="en-GB"/>
        </w:rPr>
        <w:t>the surgeons who typically have a preference for the on-pump technique or who are mixed practice</w:t>
      </w:r>
      <w:r w:rsidR="00BE203C">
        <w:rPr>
          <w:lang w:val="en-GB"/>
        </w:rPr>
        <w:t xml:space="preserve"> </w:t>
      </w:r>
      <w:r w:rsidR="00E12EA2">
        <w:rPr>
          <w:lang w:val="en-GB"/>
        </w:rPr>
        <w:t>favour</w:t>
      </w:r>
      <w:r w:rsidR="00F51FEE">
        <w:rPr>
          <w:lang w:val="en-GB"/>
        </w:rPr>
        <w:t>ing</w:t>
      </w:r>
      <w:r w:rsidR="00E12EA2">
        <w:rPr>
          <w:lang w:val="en-GB"/>
        </w:rPr>
        <w:t xml:space="preserve"> the off-pump technique when performing isolated LIMA-to-LAD CABG surgery</w:t>
      </w:r>
      <w:r w:rsidR="00085594">
        <w:rPr>
          <w:lang w:val="en-GB"/>
        </w:rPr>
        <w:t xml:space="preserve"> for single vessel disease</w:t>
      </w:r>
      <w:r w:rsidR="00E12EA2">
        <w:rPr>
          <w:lang w:val="en-GB"/>
        </w:rPr>
        <w:t>.</w:t>
      </w:r>
    </w:p>
    <w:p w14:paraId="75CFF46F" w14:textId="6A1299A9" w:rsidR="001D5034" w:rsidRDefault="001B2D9F" w:rsidP="00DA2BC8">
      <w:pPr>
        <w:spacing w:after="200" w:line="360" w:lineRule="auto"/>
        <w:ind w:firstLine="720"/>
        <w:rPr>
          <w:lang w:val="en-GB"/>
        </w:rPr>
      </w:pPr>
      <w:r w:rsidRPr="00C75A7E">
        <w:rPr>
          <w:lang w:val="en-GB"/>
        </w:rPr>
        <w:t>Comparison between on- and off-pump CABG procedures is frequently clouded</w:t>
      </w:r>
      <w:r>
        <w:rPr>
          <w:lang w:val="en-GB"/>
        </w:rPr>
        <w:t xml:space="preserve"> by differing surgical ethoses—</w:t>
      </w:r>
      <w:r w:rsidRPr="00C75A7E">
        <w:rPr>
          <w:lang w:val="en-GB"/>
        </w:rPr>
        <w:t>single</w:t>
      </w:r>
      <w:r>
        <w:rPr>
          <w:lang w:val="en-GB"/>
        </w:rPr>
        <w:t xml:space="preserve"> </w:t>
      </w:r>
      <w:r w:rsidRPr="00C75A7E">
        <w:rPr>
          <w:lang w:val="en-GB"/>
        </w:rPr>
        <w:t>vers</w:t>
      </w:r>
      <w:r>
        <w:rPr>
          <w:lang w:val="en-GB"/>
        </w:rPr>
        <w:t>u</w:t>
      </w:r>
      <w:r w:rsidRPr="00C75A7E">
        <w:rPr>
          <w:lang w:val="en-GB"/>
        </w:rPr>
        <w:t xml:space="preserve">s bilateral mammary grafts; use of the radial artery; graft number; composite </w:t>
      </w:r>
      <w:r w:rsidR="00CB3FE6">
        <w:rPr>
          <w:lang w:val="en-GB"/>
        </w:rPr>
        <w:t xml:space="preserve">grafting; </w:t>
      </w:r>
      <w:r w:rsidRPr="00C75A7E">
        <w:rPr>
          <w:lang w:val="en-GB"/>
        </w:rPr>
        <w:t>endoscopic vein harvest</w:t>
      </w:r>
      <w:r>
        <w:rPr>
          <w:lang w:val="en-GB"/>
        </w:rPr>
        <w:t>;</w:t>
      </w:r>
      <w:r w:rsidRPr="00C75A7E">
        <w:rPr>
          <w:lang w:val="en-GB"/>
        </w:rPr>
        <w:t xml:space="preserve"> etc.</w:t>
      </w:r>
      <w:r>
        <w:rPr>
          <w:lang w:val="en-GB"/>
        </w:rPr>
        <w:t xml:space="preserve"> Studying isolated LIMA-to-</w:t>
      </w:r>
      <w:r w:rsidRPr="00C75A7E">
        <w:rPr>
          <w:lang w:val="en-GB"/>
        </w:rPr>
        <w:t xml:space="preserve">LAD surgery </w:t>
      </w:r>
      <w:r w:rsidR="000F6BD5">
        <w:rPr>
          <w:lang w:val="en-GB"/>
        </w:rPr>
        <w:t xml:space="preserve">for single vessel disease </w:t>
      </w:r>
      <w:r w:rsidRPr="00C75A7E">
        <w:rPr>
          <w:lang w:val="en-GB"/>
        </w:rPr>
        <w:t xml:space="preserve">eliminates </w:t>
      </w:r>
      <w:r>
        <w:rPr>
          <w:lang w:val="en-GB"/>
        </w:rPr>
        <w:t xml:space="preserve">much </w:t>
      </w:r>
      <w:r w:rsidR="00942E72">
        <w:rPr>
          <w:lang w:val="en-GB"/>
        </w:rPr>
        <w:t xml:space="preserve">of the expected </w:t>
      </w:r>
      <w:r w:rsidR="00F0089C">
        <w:rPr>
          <w:lang w:val="en-GB"/>
        </w:rPr>
        <w:t>confounding common to comparison of on- and off-pump techniques</w:t>
      </w:r>
      <w:r w:rsidRPr="00C75A7E">
        <w:rPr>
          <w:lang w:val="en-GB"/>
        </w:rPr>
        <w:t>.</w:t>
      </w:r>
      <w:r>
        <w:rPr>
          <w:lang w:val="en-GB"/>
        </w:rPr>
        <w:t xml:space="preserve"> We found that the data were adequately balanced </w:t>
      </w:r>
      <w:r>
        <w:rPr>
          <w:lang w:val="en-GB"/>
        </w:rPr>
        <w:lastRenderedPageBreak/>
        <w:t xml:space="preserve">between the on- and off-pump groups, which suggest that there was no gross selection bias on measured variables. Therefore a propensity-score based analysis was </w:t>
      </w:r>
      <w:r w:rsidR="00EA69C1">
        <w:rPr>
          <w:lang w:val="en-GB"/>
        </w:rPr>
        <w:t xml:space="preserve">not </w:t>
      </w:r>
      <w:r>
        <w:rPr>
          <w:lang w:val="en-GB"/>
        </w:rPr>
        <w:t xml:space="preserve">considered. </w:t>
      </w:r>
      <w:r w:rsidR="00CE7E95">
        <w:rPr>
          <w:lang w:val="en-GB"/>
        </w:rPr>
        <w:t xml:space="preserve">However, we would note that indication for CPB use is not recorded in the NACSA registry. </w:t>
      </w:r>
      <w:r w:rsidR="001D5034">
        <w:rPr>
          <w:lang w:val="en-GB"/>
        </w:rPr>
        <w:t xml:space="preserve">Furthermore, we removed most haemodynamically unstable patients on the basis of operative urgency. A total of </w:t>
      </w:r>
      <w:r w:rsidR="00F0089C">
        <w:rPr>
          <w:lang w:val="en-GB"/>
        </w:rPr>
        <w:t>34</w:t>
      </w:r>
      <w:r w:rsidR="001D5034">
        <w:rPr>
          <w:lang w:val="en-GB"/>
        </w:rPr>
        <w:t xml:space="preserve"> patients </w:t>
      </w:r>
      <w:r w:rsidR="00F0089C">
        <w:rPr>
          <w:lang w:val="en-GB"/>
        </w:rPr>
        <w:t xml:space="preserve">(1.0%) </w:t>
      </w:r>
      <w:r w:rsidR="001D5034">
        <w:rPr>
          <w:lang w:val="en-GB"/>
        </w:rPr>
        <w:t xml:space="preserve">in a critical preoperative state were included, however they were balanced between the </w:t>
      </w:r>
      <w:r w:rsidR="003D47C5">
        <w:rPr>
          <w:lang w:val="en-GB"/>
        </w:rPr>
        <w:t>on- and off-pump groups.</w:t>
      </w:r>
    </w:p>
    <w:p w14:paraId="2430B7B8" w14:textId="4E453D0E" w:rsidR="00942CA3" w:rsidRPr="00C75A7E" w:rsidRDefault="00942CA3" w:rsidP="00DA2BC8">
      <w:pPr>
        <w:spacing w:after="200" w:line="360" w:lineRule="auto"/>
        <w:ind w:firstLine="720"/>
        <w:rPr>
          <w:lang w:val="en-GB"/>
        </w:rPr>
      </w:pPr>
      <w:r w:rsidRPr="00C75A7E">
        <w:rPr>
          <w:lang w:val="en-GB"/>
        </w:rPr>
        <w:t xml:space="preserve">Debate continues in the setting of isolated LAD disease with regard to stenting or </w:t>
      </w:r>
      <w:r w:rsidR="00B475C7">
        <w:rPr>
          <w:lang w:val="en-GB"/>
        </w:rPr>
        <w:t xml:space="preserve">invasive </w:t>
      </w:r>
      <w:r w:rsidRPr="00C75A7E">
        <w:rPr>
          <w:lang w:val="en-GB"/>
        </w:rPr>
        <w:t>surgery</w:t>
      </w:r>
      <w:r w:rsidR="00206F2C">
        <w:rPr>
          <w:lang w:val="en-GB"/>
        </w:rPr>
        <w:t xml:space="preserve"> </w:t>
      </w:r>
      <w:r w:rsidR="0076582C">
        <w:rPr>
          <w:lang w:val="en-GB"/>
        </w:rPr>
        <w:fldChar w:fldCharType="begin" w:fldLock="1"/>
      </w:r>
      <w:r w:rsidR="000C0F7B">
        <w:rPr>
          <w:lang w:val="en-GB"/>
        </w:rPr>
        <w:instrText>ADDIN CSL_CITATION { "citationItems" : [ { "id" : "ITEM-1", "itemData" : { "DOI" : "10.1161/01.CIR.100.suppl_2.II-114", "ISSN" : "0009-7322", "abstract" : "Background--Single-vessel coronary artery disease is usually treated with PTCA; however, this approach when applied to the left anterior descending coronary artery (LAD) is hampered by high restenosis rates, often approaching 50%. Coronary stenting (STENT) and left internal mammary artery bypass grafting of the LAD (LIMA-LAD) are other options that have been successfully used for single-vessel LAD disease. The optimal mode of revascularization for patients with isolated single-vessel LAD disease is unclear. The purpose of the present study was to examine PTCA versus STENT versus LIMA-LAD with respect to short- and intermediate-term outcomes. Methods and Results--This was an observational retrospective cohort study comparing in-hospital and intermediate-term outcomes and functional class among patients with isolated single-vessel LAD disease revascularization. Consecutive eligible patients were grouped according to their initial revascularization procedure and systematically followed up. A total of 704 patients qualified for the study: 469 in the PTCA group, 137 in the STENT group, and 98 in the LIMA-LAD group. Follow-up data were complete for 97% of patients and averaged 27{+/-}13 months. In-hospital mortality for the PTCA, STENT, and LIMA-LAD groups was 1.1%, 0%, and 0% (P=0.51), respectively. Median hospital stays after the procedure for the respective treatment groups were 1, 1, and 5 days (P&lt;0.001), and occurrences of in-hospital myocardial infarction were 0.9%, 1.5%, and 1.0% (P=NS). Repeat revascularization procedures were performed in 30%, 24%, and 5% of the PTCA, STENT, and LIMA-LAD groups (P=&lt;0.001 for LIMA-LAD versus other groups, P=0.11 for PTCA versus STENT). Actuarial 2-year mortality was 3.9%, 2.6%, and 1% in the PTCA, STENT, and LIMA-LAD groups (P=0.33). Conclusions--Revascularization for isolated LAD disease using PTCA, STENT, or LIMA-LAD results in low in-hospital adverse event rates and good long-term results. Repeat procedures are required less often after LIMA-LAD than after either PTCA or STENT. Long-term mortality was not statistically different, but the trend was for the lowest mortality with LIMA-LAD, a somewhat higher mortality with STENT, and the highest mortality with PTCA.", "author" : [ { "dropping-particle" : "", "family" : "O'Keefe", "given" : "J H", "non-dropping-particle" : "", "parse-names" : false, "suffix" : "" }, { "dropping-particle" : "", "family" : "Kreamer", "given" : "T R", "non-dropping-particle" : "", "parse-names" : false, "suffix" : "" }, { "dropping-particle" : "", "family" : "Jones", "given" : "P G", "non-dropping-particle" : "", "parse-names" : false, "suffix" : "" }, { "dropping-particle" : "", "family" : "Vacek", "given" : "J L", "non-dropping-particle" : "", "parse-names" : false, "suffix" : "" }, { "dropping-particle" : "", "family" : "Gorton", "given" : "M E", "non-dropping-particle" : "", "parse-names" : false, "suffix" : "" }, { "dropping-particle" : "", "family" : "Muehlebach", "given" : "G F", "non-dropping-particle" : "", "parse-names" : false, "suffix" : "" }, { "dropping-particle" : "", "family" : "Rutherford", "given" : "B D", "non-dropping-particle" : "", "parse-names" : false, "suffix" : "" }, { "dropping-particle" : "", "family" : "McCallister", "given" : "B D", "non-dropping-particle" : "", "parse-names" : false, "suffix" : "" } ], "container-title" : "Circulation", "id" : "ITEM-1", "issue" : "Supplement 2", "issued" : { "date-parts" : [ [ "1999", "11", "9" ] ] }, "page" : "II-114-II-118", "title" : "Isolated left anterior descending coronary artery disease : percutaneous transluminal Coronary angioplasty versus stenting versus left internal mammary artery bypass grafting", "type" : "article-journal", "volume" : "100" }, "uris" : [ "http://www.mendeley.com/documents/?uuid=59cbdb77-1fe1-4bf5-a933-eb07da37cac1" ] }, { "id" : "ITEM-2", "itemData" : { "DOI" : "10.1016/j.jacc.2014.09.074", "ISSN" : "1558-3597", "PMID" : "25541122", "abstract" : "BACKGROUND: Few recent studies have compared the outcomes of coronary artery bypass graft (CABG) surgery with percutaneous coronary interventions (PCIs) in patients with isolated (single vessel) proximal left anterior descending (PLAD) coronary artery disease in the era of drug-eluting stents (DES). OBJECTIVES: The goal of this study was to compare outcomes in patients with PLAD who underwent CABG and PCI with DES. METHODS: New York's Percutaneous Coronary Interventions Reporting System was used to identify and track all patients who underwent CABG surgery and received DES for isolated PLAD disease between January 1, 2008 and December 31, 2010, and who were followed-up through December 31, 2011. A total of 5,340 of 6,064 (88%) patients received DES. Patients were matched to vital statistics data to obtain mortality after discharge and matched to New York's administrative data to obtain readmissions for myocardial infarction (MI) and stroke. To minimize selection bias, patients were propensity matched into 715 CABG and/or DES pairs, and 3 outcome measures were compared across the pairs. RESULTS: Kaplan-Meier estimates for CABG and DES did not significantly differ for mortality or mortality, MI, and/or stroke, but repeat revascularization rates were lower for CABG (7.09% vs. 12.98%; p = 0.0007). After further adjustment with Cox proportional hazards models, there were still no significant differences in 3-year mortality rates (CABG and/or DES adjusted hazard ratio (AHR): 1.14; 95% confidence interval [CI]: 0.70 to 1.85) or mortality, MI, and/or stroke rates (AHR: 1.15; 95% CI: 0.76 to 1.73), and the repeat revascularization rate remained significantly lower for CABG patients (AHR: 0.54; 95% CI: 0.36 to 0.81). CONCLUSIONS: Despite the higher rating in current guidelines of CABG (Class IIa vs. Class IIb) for patients with isolated PLAD disease, there were no differences in mortality or mortality, MI, and/or stroke, although CABG patients had significantly lower repeat revascularization rates.", "author" : [ { "dropping-particle" : "", "family" : "Hannan", "given" : "Edward L", "non-dropping-particle" : "", "parse-names" : false, "suffix" : "" }, { "dropping-particle" : "", "family" : "Zhong", "given" : "Ye", "non-dropping-particle" : "", "parse-names" : false, "suffix" : "" }, { "dropping-particle" : "", "family" : "Walford", "given" : "Gary", "non-dropping-particle" : "", "parse-names" : false, "suffix" : "" }, { "dropping-particle" : "", "family" : "Holmes", "given" : "David R", "non-dropping-particle" : "", "parse-names" : false, "suffix" : "" }, { "dropping-particle" : "", "family" : "Venditti", "given" : "Ferdinand J", "non-dropping-particle" : "", "parse-names" : false, "suffix" : "" }, { "dropping-particle" : "", "family" : "Berger", "given" : "Peter B", "non-dropping-particle" : "", "parse-names" : false, "suffix" : "" }, { "dropping-particle" : "", "family" : "Jacobs", "given" : "Alice K", "non-dropping-particle" : "", "parse-names" : false, "suffix" : "" }, { "dropping-particle" : "", "family" : "Stamato", "given" : "Nicholas J", "non-dropping-particle" : "", "parse-names" : false, "suffix" : "" }, { "dropping-particle" : "", "family" : "Curtis", "given" : "Jeptha P", "non-dropping-particle" : "", "parse-names" : false, "suffix" : "" }, { "dropping-particle" : "", "family" : "Sharma", "given" : "Samin", "non-dropping-particle" : "", "parse-names" : false, "suffix" : "" }, { "dropping-particle" : "", "family" : "King", "given" : "Spencer B", "non-dropping-particle" : "", "parse-names" : false, "suffix" : "" } ], "container-title" : "Journal of the American College of Cardiology", "id" : "ITEM-2", "issue" : "25", "issued" : { "date-parts" : [ [ "2014", "12" ] ] }, "page" : "2717-26", "title" : "Coronary artery bypass graft surgery versus drug-eluting stents for patients with isolated proximal left anterior descending disease", "type" : "article-journal", "volume" : "64" }, "uris" : [ "http://www.mendeley.com/documents/?uuid=9268d5fc-8707-45ef-9572-4493d19b7443" ] } ], "mendeley" : { "formattedCitation" : "[15,16]", "plainTextFormattedCitation" : "[15,16]", "previouslyFormattedCitation" : "[15,16]" }, "properties" : { "noteIndex" : 0 }, "schema" : "https://github.com/citation-style-language/schema/raw/master/csl-citation.json" }</w:instrText>
      </w:r>
      <w:r w:rsidR="0076582C">
        <w:rPr>
          <w:lang w:val="en-GB"/>
        </w:rPr>
        <w:fldChar w:fldCharType="separate"/>
      </w:r>
      <w:r w:rsidR="0076582C" w:rsidRPr="0076582C">
        <w:rPr>
          <w:noProof/>
          <w:lang w:val="en-GB"/>
        </w:rPr>
        <w:t>[15,16]</w:t>
      </w:r>
      <w:r w:rsidR="0076582C">
        <w:rPr>
          <w:lang w:val="en-GB"/>
        </w:rPr>
        <w:fldChar w:fldCharType="end"/>
      </w:r>
      <w:r w:rsidRPr="00C75A7E">
        <w:rPr>
          <w:lang w:val="en-GB"/>
        </w:rPr>
        <w:fldChar w:fldCharType="begin"/>
      </w:r>
      <w:r w:rsidRPr="00C75A7E">
        <w:rPr>
          <w:lang w:val="en-GB"/>
        </w:rPr>
        <w:instrText xml:space="preserve"> QUOTE "" </w:instrText>
      </w:r>
      <w:r w:rsidRPr="00C75A7E">
        <w:rPr>
          <w:vanish/>
          <w:lang w:val="en-GB"/>
        </w:rPr>
        <w:fldChar w:fldCharType="begin"/>
      </w:r>
      <w:r w:rsidRPr="00C75A7E">
        <w:rPr>
          <w:vanish/>
          <w:lang w:val="en-GB"/>
        </w:rPr>
        <w:instrText xml:space="preserve"> ADDIN REFMAN ÿ\11\05‘\19\01\00\00\00\00\01\00\00;C:\5CProgram Files\5CReference Manager 9\5Creferences\5Clima to lad\03\00\012$Jaffery, Kowalski, et al. 2007 2 /id\00$\00 </w:instrText>
      </w:r>
      <w:r w:rsidRPr="00C75A7E">
        <w:rPr>
          <w:vanish/>
          <w:lang w:val="en-GB"/>
        </w:rPr>
        <w:fldChar w:fldCharType="end"/>
      </w:r>
      <w:r w:rsidRPr="00C75A7E">
        <w:rPr>
          <w:lang w:val="en-GB"/>
        </w:rPr>
        <w:fldChar w:fldCharType="end"/>
      </w:r>
      <w:r w:rsidRPr="00C75A7E">
        <w:rPr>
          <w:lang w:val="en-GB"/>
        </w:rPr>
        <w:fldChar w:fldCharType="begin"/>
      </w:r>
      <w:r w:rsidRPr="00C75A7E">
        <w:rPr>
          <w:lang w:val="en-GB"/>
        </w:rPr>
        <w:instrText xml:space="preserve"> QUOTE "" </w:instrText>
      </w:r>
      <w:r w:rsidRPr="00C75A7E">
        <w:rPr>
          <w:vanish/>
          <w:lang w:val="en-GB"/>
        </w:rPr>
        <w:fldChar w:fldCharType="begin"/>
      </w:r>
      <w:r w:rsidRPr="00C75A7E">
        <w:rPr>
          <w:vanish/>
          <w:lang w:val="en-GB"/>
        </w:rPr>
        <w:instrText xml:space="preserve"> ADDIN REFMAN ÿ\11\05‘\19\01\00\00\00\00\01\00\00;C:\5CProgram Files\5CReference Manager 9\5Creferences\5Clima to lad\03\00\013 Ben Gal, Mohr, et al. 2006 3 /id\00 \00 </w:instrText>
      </w:r>
      <w:r w:rsidRPr="00C75A7E">
        <w:rPr>
          <w:vanish/>
          <w:lang w:val="en-GB"/>
        </w:rPr>
        <w:fldChar w:fldCharType="end"/>
      </w:r>
      <w:r w:rsidRPr="00C75A7E">
        <w:rPr>
          <w:lang w:val="en-GB"/>
        </w:rPr>
        <w:fldChar w:fldCharType="end"/>
      </w:r>
      <w:r w:rsidRPr="00C75A7E">
        <w:rPr>
          <w:lang w:val="en-GB"/>
        </w:rPr>
        <w:fldChar w:fldCharType="begin"/>
      </w:r>
      <w:r w:rsidRPr="00C75A7E">
        <w:rPr>
          <w:lang w:val="en-GB"/>
        </w:rPr>
        <w:instrText xml:space="preserve"> QUOTE "" </w:instrText>
      </w:r>
      <w:r w:rsidRPr="00C75A7E">
        <w:rPr>
          <w:vanish/>
          <w:lang w:val="en-GB"/>
        </w:rPr>
        <w:fldChar w:fldCharType="begin"/>
      </w:r>
      <w:r w:rsidRPr="00C75A7E">
        <w:rPr>
          <w:vanish/>
          <w:lang w:val="en-GB"/>
        </w:rPr>
        <w:instrText xml:space="preserve"> ADDIN REFMAN ÿ\11\05‘\19\01\00\00\00\00\01\00\00;C:\5CProgram Files\5CReference Manager 9\5Creferences\5Clima to lad\03\00\015#Reeves, Angelini, et al. 2004 5 /id\00#\00 </w:instrText>
      </w:r>
      <w:r w:rsidRPr="00C75A7E">
        <w:rPr>
          <w:vanish/>
          <w:lang w:val="en-GB"/>
        </w:rPr>
        <w:fldChar w:fldCharType="end"/>
      </w:r>
      <w:r w:rsidRPr="00C75A7E">
        <w:rPr>
          <w:lang w:val="en-GB"/>
        </w:rPr>
        <w:fldChar w:fldCharType="end"/>
      </w:r>
      <w:r w:rsidRPr="00C75A7E">
        <w:rPr>
          <w:lang w:val="en-GB"/>
        </w:rPr>
        <w:t xml:space="preserve">. Surgery is associated with a higher long term survival, </w:t>
      </w:r>
      <w:r w:rsidR="00ED623F">
        <w:rPr>
          <w:lang w:val="en-GB"/>
        </w:rPr>
        <w:t xml:space="preserve">and </w:t>
      </w:r>
      <w:r w:rsidRPr="00C75A7E">
        <w:rPr>
          <w:lang w:val="en-GB"/>
        </w:rPr>
        <w:t>less incidence of recurrent events and re-interventions</w:t>
      </w:r>
      <w:r w:rsidR="007C169C">
        <w:rPr>
          <w:lang w:val="en-GB"/>
        </w:rPr>
        <w:t xml:space="preserve"> </w:t>
      </w:r>
      <w:r w:rsidR="007C169C">
        <w:rPr>
          <w:lang w:val="en-GB"/>
        </w:rPr>
        <w:fldChar w:fldCharType="begin" w:fldLock="1"/>
      </w:r>
      <w:r w:rsidR="00D05821">
        <w:rPr>
          <w:lang w:val="en-GB"/>
        </w:rPr>
        <w:instrText>ADDIN CSL_CITATION { "citationItems" : [ { "id" : "ITEM-1", "itemData" : { "ISSN" : "1873-734X", "PMID" : "23674655", "author" : [ { "dropping-particle" : "", "family" : "Davierwala", "given" : "Piroze", "non-dropping-particle" : "", "parse-names" : false, "suffix" : "" }, { "dropping-particle" : "", "family" : "Mohr", "given" : "Friedrich-Wilhelm", "non-dropping-particle" : "", "parse-names" : false, "suffix" : "" } ], "container-title" : "European Journal of Cardio-Thoracic Surgery", "id" : "ITEM-1", "issue" : "1", "issued" : { "date-parts" : [ [ "2013", "7" ] ] }, "page" : "1-3", "title" : "Five years after the SYNTAX trial: what have we learnt?", "type" : "article-journal", "volume" : "44" }, "uris" : [ "http://www.mendeley.com/documents/?uuid=32af4a98-e69d-4ae5-b779-eeb8efa8eea4" ] } ], "mendeley" : { "formattedCitation" : "[17]", "plainTextFormattedCitation" : "[17]", "previouslyFormattedCitation" : "[17]" }, "properties" : { "noteIndex" : 0 }, "schema" : "https://github.com/citation-style-language/schema/raw/master/csl-citation.json" }</w:instrText>
      </w:r>
      <w:r w:rsidR="007C169C">
        <w:rPr>
          <w:lang w:val="en-GB"/>
        </w:rPr>
        <w:fldChar w:fldCharType="separate"/>
      </w:r>
      <w:r w:rsidR="00FE3E0A" w:rsidRPr="00FE3E0A">
        <w:rPr>
          <w:noProof/>
          <w:lang w:val="en-GB"/>
        </w:rPr>
        <w:t>[17]</w:t>
      </w:r>
      <w:r w:rsidR="007C169C">
        <w:rPr>
          <w:lang w:val="en-GB"/>
        </w:rPr>
        <w:fldChar w:fldCharType="end"/>
      </w:r>
      <w:r w:rsidR="00A616C7">
        <w:rPr>
          <w:lang w:val="en-GB"/>
        </w:rPr>
        <w:t>.</w:t>
      </w:r>
      <w:r w:rsidRPr="00C75A7E">
        <w:rPr>
          <w:lang w:val="en-GB"/>
        </w:rPr>
        <w:fldChar w:fldCharType="begin"/>
      </w:r>
      <w:r w:rsidRPr="00C75A7E">
        <w:rPr>
          <w:lang w:val="en-GB"/>
        </w:rPr>
        <w:instrText xml:space="preserve"> QUOTE "" </w:instrText>
      </w:r>
      <w:r w:rsidRPr="00C75A7E">
        <w:rPr>
          <w:vanish/>
          <w:lang w:val="en-GB"/>
        </w:rPr>
        <w:fldChar w:fldCharType="begin"/>
      </w:r>
      <w:r w:rsidRPr="00C75A7E">
        <w:rPr>
          <w:vanish/>
          <w:lang w:val="en-GB"/>
        </w:rPr>
        <w:instrText xml:space="preserve"> ADDIN REFMAN ÿ\11\05‘\19\01\00\00\00\00\01\00\00;C:\5CProgram Files\5CReference Manager 9\5Creferences\5Clima to lad\03\00\0216\1DDavierwala &amp; Mohr 2013 16 /id\00\1D\00 </w:instrText>
      </w:r>
      <w:r w:rsidRPr="00C75A7E">
        <w:rPr>
          <w:vanish/>
          <w:lang w:val="en-GB"/>
        </w:rPr>
        <w:fldChar w:fldCharType="end"/>
      </w:r>
      <w:r w:rsidRPr="00C75A7E">
        <w:rPr>
          <w:lang w:val="en-GB"/>
        </w:rPr>
        <w:fldChar w:fldCharType="end"/>
      </w:r>
      <w:r w:rsidRPr="00C75A7E">
        <w:rPr>
          <w:lang w:val="en-GB"/>
        </w:rPr>
        <w:t xml:space="preserve"> Unfortunately surgery is invasive and associated with a higher initial morbidity and mortality than stenting. To minimise the risk of </w:t>
      </w:r>
      <w:r w:rsidR="00B743DA">
        <w:rPr>
          <w:lang w:val="en-GB"/>
        </w:rPr>
        <w:t>surgery</w:t>
      </w:r>
      <w:r w:rsidR="00C9669E">
        <w:rPr>
          <w:lang w:val="en-GB"/>
        </w:rPr>
        <w:t>,</w:t>
      </w:r>
      <w:r w:rsidR="00B743DA">
        <w:rPr>
          <w:lang w:val="en-GB"/>
        </w:rPr>
        <w:t xml:space="preserve"> minimally invasive LIMA-to-</w:t>
      </w:r>
      <w:r w:rsidRPr="00C75A7E">
        <w:rPr>
          <w:lang w:val="en-GB"/>
        </w:rPr>
        <w:t>L</w:t>
      </w:r>
      <w:r w:rsidR="00BC7421">
        <w:rPr>
          <w:lang w:val="en-GB"/>
        </w:rPr>
        <w:t>AD has been proposed and studied</w:t>
      </w:r>
      <w:r w:rsidRPr="00C75A7E">
        <w:rPr>
          <w:lang w:val="en-GB"/>
        </w:rPr>
        <w:t xml:space="preserve"> as an alternative to conventional sternotomy</w:t>
      </w:r>
      <w:r w:rsidR="004D2DCA">
        <w:rPr>
          <w:lang w:val="en-GB"/>
        </w:rPr>
        <w:t xml:space="preserve"> </w:t>
      </w:r>
      <w:r w:rsidR="00431408">
        <w:rPr>
          <w:lang w:val="en-GB"/>
        </w:rPr>
        <w:fldChar w:fldCharType="begin" w:fldLock="1"/>
      </w:r>
      <w:r w:rsidR="00D05821">
        <w:rPr>
          <w:lang w:val="en-GB"/>
        </w:rPr>
        <w:instrText>ADDIN CSL_CITATION { "citationItems" : [ { "id" : "ITEM-1", "itemData" : { "ISSN" : "1010-7940", "PMID" : "10814909", "abstract" : "BACKGROUND: Percutaneous coronary angioplasty (PTCA) and stent implantation have become the first-line intervention for patients with isolated proximal LAD-lesions. Minimally invasive direct coronary artery bypass surgery (MIDCAB) has recently been developed to reduce surgical invasiveness for single LAD revascularization. This study focus on the question whether MIDCAB could be an alternative treatment for isolated proximal LAD lesions. METHODS: Starting in 1996, MIDCAB was performed in 618 patients. Angiography was performed before discharge and repeated after 6 months at follow-up examination. In an ongoing randomized trial 150 patients with an indication for treatment of a LAD lesion have been included to compare the mid-term outcome after PTCA (n=79) vs. MIDCAB (n=71). RESULTS: In 618 MIDCAB procedures 30-day mortality was 0.6%, perioperative myocardial infarction rate was 1.6%. The conversion rate to sternotomy was 3.4%. The learning curve was demonstrated by a patency rate of 96.0% in 1997, 98.0% in 1998 and 99.1% in 1999, respectively. At 6 months patency rate was 94.4% in 1997 and 97.0% in 1998. The rate of severe stenosis &gt;75% dropped from 5.4% in 1997 to 3.4% in 1998. The over all rate of reinterventions was 5.6%. The preliminary result of the randomized trial revealed a difference in the number of perioperative adverse events, 11.4% in the MIDCAB group vs. 6.3% in the PTCA group (P&lt;0.05). At 6 months follow-up 88. 7% of the MIDCAB patients were free from angina vs. 58.2% of the PTCA patients (P&lt;0.02). Restenosis and a positive stress test was diagnosed in 27.9% of the PTCA patients vs. 8.4% of the MIDCAB patients (P&lt;0.02). Reintervention was necessary in 27.9% of the patients after PTCA vs. 8.4% of the patients after MIDCAB. CONCLUSION: MIDCAB is a safe and effective but technically demanding procedure. Perioperative adverse events may be expected, but early as well as mid-term patency rate are good. When compared to PTCA, the freedom from angina and the need for additional revascularization procedures after 6 months is statistically better for patients having MIDCAB surgery. Thus, MIDCAB is considered a valuable alternative for isolated proximal high grade LAD lesions.", "author" : [ { "dropping-particle" : "", "family" : "Diegeler", "given" : "A", "non-dropping-particle" : "", "parse-names" : false, "suffix" : "" }, { "dropping-particle" : "", "family" : "Spyrantis", "given" : "N", "non-dropping-particle" : "", "parse-names" : false, "suffix" : "" }, { "dropping-particle" : "", "family" : "Matin", "given" : "M", "non-dropping-particle" : "", "parse-names" : false, "suffix" : "" }, { "dropping-particle" : "", "family" : "Falk", "given" : "V", "non-dropping-particle" : "", "parse-names" : false, "suffix" : "" }, { "dropping-particle" : "", "family" : "Hambrecht", "given" : "R", "non-dropping-particle" : "", "parse-names" : false, "suffix" : "" }, { "dropping-particle" : "", "family" : "Autschbach", "given" : "R", "non-dropping-particle" : "", "parse-names" : false, "suffix" : "" }, { "dropping-particle" : "", "family" : "Mohr", "given" : "F W", "non-dropping-particle" : "", "parse-names" : false, "suffix" : "" }, { "dropping-particle" : "", "family" : "Schuler", "given" : "G", "non-dropping-particle" : "", "parse-names" : false, "suffix" : "" } ], "container-title" : "European Journal of Cardio-Thoracic Surgery", "id" : "ITEM-1", "issue" : "5", "issued" : { "date-parts" : [ [ "2000", "5" ] ] }, "page" : "501-4", "title" : "The revival of surgical treatment for isolated proximal high grade LAD lesions by minimally invasive coronary artery bypass grafting", "type" : "article-journal", "volume" : "17" }, "uris" : [ "http://www.mendeley.com/documents/?uuid=327355a0-9ad4-42ee-b3c6-899e01d0f613" ] } ], "mendeley" : { "formattedCitation" : "[18]", "plainTextFormattedCitation" : "[18]", "previouslyFormattedCitation" : "[18]" }, "properties" : { "noteIndex" : 0 }, "schema" : "https://github.com/citation-style-language/schema/raw/master/csl-citation.json" }</w:instrText>
      </w:r>
      <w:r w:rsidR="00431408">
        <w:rPr>
          <w:lang w:val="en-GB"/>
        </w:rPr>
        <w:fldChar w:fldCharType="separate"/>
      </w:r>
      <w:r w:rsidR="00FE3E0A" w:rsidRPr="00FE3E0A">
        <w:rPr>
          <w:noProof/>
          <w:lang w:val="en-GB"/>
        </w:rPr>
        <w:t>[18]</w:t>
      </w:r>
      <w:r w:rsidR="00431408">
        <w:rPr>
          <w:lang w:val="en-GB"/>
        </w:rPr>
        <w:fldChar w:fldCharType="end"/>
      </w:r>
      <w:r w:rsidR="004D2DCA">
        <w:rPr>
          <w:lang w:val="en-GB"/>
        </w:rPr>
        <w:t>.</w:t>
      </w:r>
      <w:r w:rsidRPr="00C75A7E">
        <w:rPr>
          <w:lang w:val="en-GB"/>
        </w:rPr>
        <w:t xml:space="preserve"> These proce</w:t>
      </w:r>
      <w:r w:rsidR="00431408">
        <w:rPr>
          <w:lang w:val="en-GB"/>
        </w:rPr>
        <w:t>dures are usually performed off-</w:t>
      </w:r>
      <w:r w:rsidRPr="00C75A7E">
        <w:rPr>
          <w:lang w:val="en-GB"/>
        </w:rPr>
        <w:t>pump.</w:t>
      </w:r>
    </w:p>
    <w:p w14:paraId="38854C81" w14:textId="27BA417E" w:rsidR="00942CA3" w:rsidRDefault="00942CA3" w:rsidP="00835A9E">
      <w:pPr>
        <w:spacing w:after="200" w:line="360" w:lineRule="auto"/>
        <w:ind w:firstLine="720"/>
        <w:rPr>
          <w:lang w:val="en-GB"/>
        </w:rPr>
      </w:pPr>
      <w:r w:rsidRPr="000A5642">
        <w:rPr>
          <w:lang w:val="en-GB"/>
        </w:rPr>
        <w:t>No significant difference in hospital mortality was found</w:t>
      </w:r>
      <w:r w:rsidR="00D57444">
        <w:rPr>
          <w:lang w:val="en-GB"/>
        </w:rPr>
        <w:t xml:space="preserve">; however the number of </w:t>
      </w:r>
      <w:r w:rsidR="00664B4D">
        <w:rPr>
          <w:lang w:val="en-GB"/>
        </w:rPr>
        <w:t>operative deaths</w:t>
      </w:r>
      <w:r w:rsidR="00D57444">
        <w:rPr>
          <w:lang w:val="en-GB"/>
        </w:rPr>
        <w:t xml:space="preserve"> was small</w:t>
      </w:r>
      <w:r w:rsidRPr="000A5642">
        <w:rPr>
          <w:lang w:val="en-GB"/>
        </w:rPr>
        <w:t xml:space="preserve">. </w:t>
      </w:r>
      <w:r w:rsidR="00BE745A">
        <w:rPr>
          <w:lang w:val="en-GB"/>
        </w:rPr>
        <w:t>There is a need to</w:t>
      </w:r>
      <w:r w:rsidRPr="000A5642">
        <w:rPr>
          <w:lang w:val="en-GB"/>
        </w:rPr>
        <w:t xml:space="preserve"> mo</w:t>
      </w:r>
      <w:r w:rsidR="00C15F82">
        <w:rPr>
          <w:lang w:val="en-GB"/>
        </w:rPr>
        <w:t>ve away from in-</w:t>
      </w:r>
      <w:r w:rsidR="005D42EE">
        <w:rPr>
          <w:lang w:val="en-GB"/>
        </w:rPr>
        <w:t>hospital and 30-</w:t>
      </w:r>
      <w:r w:rsidRPr="000A5642">
        <w:rPr>
          <w:lang w:val="en-GB"/>
        </w:rPr>
        <w:t>day mortality towards mid</w:t>
      </w:r>
      <w:r w:rsidR="00835A9E">
        <w:rPr>
          <w:lang w:val="en-GB"/>
        </w:rPr>
        <w:t>- and long-</w:t>
      </w:r>
      <w:r w:rsidRPr="000A5642">
        <w:rPr>
          <w:lang w:val="en-GB"/>
        </w:rPr>
        <w:t xml:space="preserve">term survival analysis, as the majority of patients with single vessel disease </w:t>
      </w:r>
      <w:r w:rsidR="0093453E" w:rsidRPr="000A5642">
        <w:rPr>
          <w:lang w:val="en-GB"/>
        </w:rPr>
        <w:t xml:space="preserve">will expectedly </w:t>
      </w:r>
      <w:r w:rsidRPr="000A5642">
        <w:rPr>
          <w:lang w:val="en-GB"/>
        </w:rPr>
        <w:t>do well initially regardless of treatment strategy.</w:t>
      </w:r>
      <w:r w:rsidR="00C50EF1" w:rsidRPr="000A5642">
        <w:rPr>
          <w:lang w:val="en-GB"/>
        </w:rPr>
        <w:t xml:space="preserve"> </w:t>
      </w:r>
      <w:r w:rsidR="00835A9E">
        <w:rPr>
          <w:lang w:val="en-GB"/>
        </w:rPr>
        <w:t xml:space="preserve">Furthermore, </w:t>
      </w:r>
      <w:r w:rsidR="00835A9E" w:rsidRPr="000A5642">
        <w:rPr>
          <w:lang w:val="en-GB"/>
        </w:rPr>
        <w:t>in the absence of long-term patency and re-</w:t>
      </w:r>
      <w:r w:rsidR="00835A9E" w:rsidRPr="00C75A7E">
        <w:rPr>
          <w:lang w:val="en-GB"/>
        </w:rPr>
        <w:t>intervention data</w:t>
      </w:r>
      <w:r w:rsidR="00835A9E">
        <w:rPr>
          <w:lang w:val="en-GB"/>
        </w:rPr>
        <w:t xml:space="preserve">, mid-term </w:t>
      </w:r>
      <w:r w:rsidR="008C650B">
        <w:rPr>
          <w:lang w:val="en-GB"/>
        </w:rPr>
        <w:t>survival</w:t>
      </w:r>
      <w:r w:rsidR="008C650B" w:rsidRPr="00C75A7E">
        <w:rPr>
          <w:lang w:val="en-GB"/>
        </w:rPr>
        <w:t xml:space="preserve"> </w:t>
      </w:r>
      <w:r w:rsidR="00835A9E" w:rsidRPr="00C75A7E">
        <w:rPr>
          <w:lang w:val="en-GB"/>
        </w:rPr>
        <w:t>is the most useful endpoint.</w:t>
      </w:r>
      <w:r w:rsidR="00835A9E">
        <w:rPr>
          <w:lang w:val="en-GB"/>
        </w:rPr>
        <w:t xml:space="preserve"> </w:t>
      </w:r>
      <w:r w:rsidR="00C50EF1" w:rsidRPr="000A5642">
        <w:rPr>
          <w:lang w:val="en-GB"/>
        </w:rPr>
        <w:t>Stroke remains the most devastating mor</w:t>
      </w:r>
      <w:r w:rsidR="007909FE">
        <w:rPr>
          <w:lang w:val="en-GB"/>
        </w:rPr>
        <w:t>bidity associated with CABG</w:t>
      </w:r>
      <w:r w:rsidR="00DA2BC8">
        <w:rPr>
          <w:lang w:val="en-GB"/>
        </w:rPr>
        <w:t>, and o</w:t>
      </w:r>
      <w:r w:rsidR="007909FE">
        <w:rPr>
          <w:lang w:val="en-GB"/>
        </w:rPr>
        <w:t>n-</w:t>
      </w:r>
      <w:r w:rsidR="00C50EF1" w:rsidRPr="000A5642">
        <w:rPr>
          <w:lang w:val="en-GB"/>
        </w:rPr>
        <w:t xml:space="preserve">pump surgery </w:t>
      </w:r>
      <w:r w:rsidR="00334012">
        <w:rPr>
          <w:lang w:val="en-GB"/>
        </w:rPr>
        <w:t>has been shown previously to be</w:t>
      </w:r>
      <w:r w:rsidR="00334012" w:rsidRPr="000A5642">
        <w:rPr>
          <w:lang w:val="en-GB"/>
        </w:rPr>
        <w:t xml:space="preserve"> </w:t>
      </w:r>
      <w:r w:rsidR="00C50EF1" w:rsidRPr="000A5642">
        <w:rPr>
          <w:lang w:val="en-GB"/>
        </w:rPr>
        <w:t>associated with an increased risk of stroke compared to the no aortic touch technique</w:t>
      </w:r>
      <w:r w:rsidR="005C12B0">
        <w:rPr>
          <w:lang w:val="en-GB"/>
        </w:rPr>
        <w:t xml:space="preserve"> </w:t>
      </w:r>
      <w:r w:rsidR="00C50EF1" w:rsidRPr="000A5642">
        <w:rPr>
          <w:lang w:val="en-GB"/>
        </w:rPr>
        <w:fldChar w:fldCharType="begin" w:fldLock="1"/>
      </w:r>
      <w:r w:rsidR="000C0F7B">
        <w:rPr>
          <w:lang w:val="en-GB"/>
        </w:rPr>
        <w:instrText>ADDIN CSL_CITATION { "citationItems" : [ { "id" : "ITEM-1", "itemData" : { "ISSN" : "1010-7940", "PMID" : "12142195", "abstract" : "OBJECTIVE: Off-pump coronary artery bypass (OPCAB) surgery is being increasingly reported to show better outcomes compared to conventional on bypass grafting. We examined the effect of OPCAB on in-hospital mortality and morbidity, while adjusting for patient and disease characteristics, in four institutions in the North West of England. METHODS: Between April 1997 and March 2001, 10,941 consecutive patients underwent isolated coronary artery bypass surgery at these four institutions. Of these, 7.7% were performed off-pump. We used logistic regression to examine the effect of OPCAB on in-hospital mortality and morbidity after adjusting for potentially confounding variables. RESULTS: The crude odds ratio (OR) for death (off-pump versus on-pump coronary bypass grafting) was 0.48 (95% confidence interval, CI 0.26-0.92; P=0.023). After adjustment for all major risk factors, the OR for death was 0.59 (95% CI 0.31-1.12; P=0.105). Off-pump patients had a substantially reduced risk of post-operative stroke (0.6 versus 2.3%, respectively; adjusted OR 0.26 (95% CI 0.09-0.70; P=0.008) and a significant reduction in post-operative hospital stay. Other morbidity outcomes were similar in both groups. CONCLUSIONS: Off-pump coronary artery bypass incurs no increased risk of in-hospital mortality. In contrast, there is a significant reduction in morbidity in patients undergoing off-pump coronary bypass grafting when compared to that performed on cardiopulmonary bypass.", "author" : [ { "dropping-particle" : "", "family" : "Patel", "given" : "N C", "non-dropping-particle" : "", "parse-names" : false, "suffix" : "" }, { "dropping-particle" : "", "family" : "Grayson", "given" : "Antony D", "non-dropping-particle" : "", "parse-names" : false, "suffix" : "" }, { "dropping-particle" : "", "family" : "Jackson", "given" : "Mark", "non-dropping-particle" : "", "parse-names" : false, "suffix" : "" }, { "dropping-particle" : "", "family" : "Au", "given" : "John", "non-dropping-particle" : "", "parse-names" : false, "suffix" : "" }, { "dropping-particle" : "", "family" : "Yonan", "given" : "N", "non-dropping-particle" : "", "parse-names" : false, "suffix" : "" }, { "dropping-particle" : "", "family" : "Hasan", "given" : "R", "non-dropping-particle" : "", "parse-names" : false, "suffix" : "" }, { "dropping-particle" : "", "family" : "Fabri", "given" : "B M", "non-dropping-particle" : "", "parse-names" : false, "suffix" : "" } ], "container-title" : "European Journal of Cardio-Thoracic Surgery", "id" : "ITEM-1", "issue" : "2", "issued" : { "date-parts" : [ [ "2002", "8" ] ] }, "page" : "255-60", "title" : "The effect off-pump coronary artery bypass surgery on in-hospital mortality and morbidity", "type" : "article-journal", "volume" : "22" }, "uris" : [ "http://www.mendeley.com/documents/?uuid=dbcc2c51-8df4-4a3a-a7ae-3d7c614c05d0" ] }, { "id" : "ITEM-2", "itemData" : { "ISSN" : "1097-685X", "PMID" : "25293356", "abstract" : "OBJECTIVE: The purpose of this study was to determine whether the incidence of postoperative stroke could be reduced by eliminating aortic clamping during coronary artery bypass grafting. METHODS: From 2002 to 2013, 12,079 patients underwent primary, isolated coronary artery bypass grafting at a single US academic institution. Aortic manipulation was completely avoided by using in situ internal thoracic arteries for inflow in 1552 patients (12.9%) (no-touch), a clampless facilitating device for proximal anastomoses in 1548 patients (12.8%), and aortic clamping in 8979 patients (74.3%). These strategies were assessed in a logistic regression model controlling for relevant variables. RESULTS: The overall incidence of postoperative stroke was 1.4% (n = 165), with an unadjusted incidence of 0.6% (n = 10) in the no-touch group, 1.2% (n = 18) in the clampless facilitating device group, and 1.5% (n = 137) in the clamp group (P &lt; .01 for no-touch vs clamp). The ratio of observed to expected stroke rate increased as the degree of aortic manipulation increased, from 0.48 in the no-touch group, to 0.61 in the clampless facilitating device group, and to 0.95 in the clamp group. Aortic clamping was independently associated with an increase in postoperative stroke compared with a no-touch technique (adjusted odds ratio, 2.50; P &lt; .01). When separated by cardiopulmonary bypass use, both the off-pump partial clamp and the on-pump crossclamp techniques increased the risk of postoperative stroke compared with no-touch (adjusted odds ratio, 2.52, P &lt; .01; and adjusted odds ratio, 4.25, P &lt; .001, respectively). CONCLUSIONS: A no-aortic touch technique has the lowest risk for postoperative stroke for patients undergoing coronary artery bypass grafting. Clamping the aorta during coronary artery bypass grafting increases the risk of postoperative stroke, regardless of the severity of aortic disease.", "author" : [ { "dropping-particle" : "", "family" : "Moss", "given" : "Emmanuel", "non-dropping-particle" : "", "parse-names" : false, "suffix" : "" }, { "dropping-particle" : "", "family" : "Puskas", "given" : "John D", "non-dropping-particle" : "", "parse-names" : false, "suffix" : "" }, { "dropping-particle" : "", "family" : "Thourani", "given" : "Vinod H", "non-dropping-particle" : "", "parse-names" : false, "suffix" : "" }, { "dropping-particle" : "", "family" : "Kilgo", "given" : "Patrick", "non-dropping-particle" : "", "parse-names" : false, "suffix" : "" }, { "dropping-particle" : "", "family" : "Chen", "given" : "Edward P", "non-dropping-particle" : "", "parse-names" : false, "suffix" : "" }, { "dropping-particle" : "", "family" : "Leshnower", "given" : "Bradley G", "non-dropping-particle" : "", "parse-names" : false, "suffix" : "" }, { "dropping-particle" : "", "family" : "Lattouf", "given" : "Omar M", "non-dropping-particle" : "", "parse-names" : false, "suffix" : "" }, { "dropping-particle" : "", "family" : "Guyton", "given" : "Robert A", "non-dropping-particle" : "", "parse-names" : false, "suffix" : "" }, { "dropping-particle" : "", "family" : "Glas", "given" : "Kathryn E", "non-dropping-particle" : "", "parse-names" : false, "suffix" : "" }, { "dropping-particle" : "", "family" : "Halkos", "given" : "Michael E", "non-dropping-particle" : "", "parse-names" : false, "suffix" : "" } ], "container-title" : "The Journal of Thoracic and Cardiovascular Surgery", "id" : "ITEM-2", "issue" : "1", "issued" : { "date-parts" : [ [ "2015", "1" ] ] }, "page" : "175-80", "title" : "Avoiding aortic clamping during coronary artery bypass grafting reduces postoperative stroke", "type" : "article-journal", "volume" : "149" }, "uris" : [ "http://www.mendeley.com/documents/?uuid=0adb4f23-00df-4d29-8214-783e84fa9f14" ] }, { "id" : "ITEM-3", "itemData" : { "ISSN" : "1540-8191", "PMID" : "20078710", "abstract" : "BACKGROUND: There are many options for proximal anastomosis during off-pump coronary artery bypass grafting (CABG), but the efficacies of these procedures have not been well clarified. Therefore, we examined the clinical impact of our strategy to modify the proximal anastomosis procedure for aortic atherosclerosis. METHODS: We retrospectively reviewed 535 consecutive patients undergoing off-pump CABG between 2004 and 2007. The patients were divided into three groups depending upon the type of proximal anastomosis procedure: 241 patients with normal or mild atherosclerosis underwent partial clamping (clamp group), 81 patients with moderate atherosclerosis underwent the procedure with Heartstring (Guidant Corporation, Santa Clara, CA, USA), 28 patients underwent with Enclose II (Novare Surgical Systems, Inc., Cupertino, CA, USA) (device group), and 185 patients underwent the procedure without clamping, including six with severe atherosclerosis (no-touch group). RESULTS: There were seven in-hospital mortalities (1.3%) and five strokes (0.9%). There was no difference in the mortality rate (clamp, 1.2%; device, 1.8%; no-touch, 1.1%; p = 0.42) or stroke rate (clamp, 0.8%; device, 2.8%; no-touch, 0.5%; p = 0.09) among the three groups. Graft patency was similar regardless of the method (clamp, 94.7%; Heartstring, 96.7%; Enclosed II, 96.0%; p = 0.80). CONCLUSIONS: Our strategy to modify the proximal anastomosis procedure resulted in a low stroke rate. Aortic clamping could be performed safely in patients with normal or mild atherosclerotic aorta. In patients with moderate atherosclerosis, the result of an anastomotic device may need a further investigation.", "author" : [ { "dropping-particle" : "", "family" : "Manabe", "given" : "Susumu", "non-dropping-particle" : "", "parse-names" : false, "suffix" : "" }, { "dropping-particle" : "", "family" : "Fukui", "given" : "Toshihiro", "non-dropping-particle" : "", "parse-names" : false, "suffix" : "" }, { "dropping-particle" : "", "family" : "Miyajima", "given" : "Keisuke", "non-dropping-particle" : "", "parse-names" : false, "suffix" : "" }, { "dropping-particle" : "", "family" : "Watanabe", "given" : "Yoshiyuki", "non-dropping-particle" : "", "parse-names" : false, "suffix" : "" }, { "dropping-particle" : "", "family" : "Matsuyama", "given" : "Shigefumi", "non-dropping-particle" : "", "parse-names" : false, "suffix" : "" }, { "dropping-particle" : "", "family" : "Shimokawa", "given" : "Tomoki", "non-dropping-particle" : "", "parse-names" : false, "suffix" : "" }, { "dropping-particle" : "", "family" : "Takanashi", "given" : "Shuichiro", "non-dropping-particle" : "", "parse-names" : false, "suffix" : "" } ], "container-title" : "Journal of Cardiac Surgery", "id" : "ITEM-3", "issue" : "6", "issued" : { "date-parts" : [ [ "2009", "1" ] ] }, "page" : "644-9", "title" : "Impact of proximal anastomosis procedures on stroke in off-pump coronary artery bypass grafting", "type" : "article-journal", "volume" : "24" }, "uris" : [ "http://www.mendeley.com/documents/?uuid=7fc9d916-4473-4f63-97da-ab2eada2c8b5" ] } ], "mendeley" : { "formattedCitation" : "[19\u201321]", "plainTextFormattedCitation" : "[19\u201321]", "previouslyFormattedCitation" : "[19\u201321]" }, "properties" : { "noteIndex" : 0 }, "schema" : "https://github.com/citation-style-language/schema/raw/master/csl-citation.json" }</w:instrText>
      </w:r>
      <w:r w:rsidR="00C50EF1" w:rsidRPr="000A5642">
        <w:rPr>
          <w:lang w:val="en-GB"/>
        </w:rPr>
        <w:fldChar w:fldCharType="separate"/>
      </w:r>
      <w:r w:rsidR="00FE3E0A" w:rsidRPr="00FE3E0A">
        <w:rPr>
          <w:noProof/>
          <w:lang w:val="en-GB"/>
        </w:rPr>
        <w:t>[19–21]</w:t>
      </w:r>
      <w:r w:rsidR="00C50EF1" w:rsidRPr="000A5642">
        <w:rPr>
          <w:lang w:val="en-GB"/>
        </w:rPr>
        <w:fldChar w:fldCharType="end"/>
      </w:r>
      <w:r w:rsidR="005C12B0">
        <w:rPr>
          <w:lang w:val="en-GB"/>
        </w:rPr>
        <w:t>.</w:t>
      </w:r>
      <w:r w:rsidR="00D2500B">
        <w:rPr>
          <w:lang w:val="en-GB"/>
        </w:rPr>
        <w:t xml:space="preserve"> </w:t>
      </w:r>
      <w:r w:rsidR="00D07510">
        <w:rPr>
          <w:lang w:val="en-GB"/>
        </w:rPr>
        <w:t xml:space="preserve">Unfortunately, </w:t>
      </w:r>
      <w:r w:rsidR="00D2500B">
        <w:rPr>
          <w:lang w:val="en-GB"/>
        </w:rPr>
        <w:t>w</w:t>
      </w:r>
      <w:r w:rsidR="00C50EF1" w:rsidRPr="000A5642">
        <w:rPr>
          <w:lang w:val="en-GB"/>
        </w:rPr>
        <w:t>e do not have validated data to veri</w:t>
      </w:r>
      <w:r w:rsidR="00D2500B">
        <w:rPr>
          <w:lang w:val="en-GB"/>
        </w:rPr>
        <w:t>fy this in the current series</w:t>
      </w:r>
      <w:r w:rsidR="00D07510">
        <w:rPr>
          <w:lang w:val="en-GB"/>
        </w:rPr>
        <w:t>, nor examine other postoperative morbidity outcomes</w:t>
      </w:r>
      <w:r w:rsidR="00815C99">
        <w:rPr>
          <w:lang w:val="en-GB"/>
        </w:rPr>
        <w:t>.</w:t>
      </w:r>
    </w:p>
    <w:p w14:paraId="79D42BEC" w14:textId="4360A9E9" w:rsidR="005B4852" w:rsidRDefault="00C15F82" w:rsidP="00C67BE8">
      <w:pPr>
        <w:spacing w:after="200" w:line="360" w:lineRule="auto"/>
        <w:ind w:firstLine="720"/>
        <w:rPr>
          <w:lang w:val="en-GB"/>
        </w:rPr>
      </w:pPr>
      <w:r>
        <w:rPr>
          <w:lang w:val="en-GB"/>
        </w:rPr>
        <w:t xml:space="preserve">A </w:t>
      </w:r>
      <w:r w:rsidR="00C9669E">
        <w:rPr>
          <w:lang w:val="en-GB"/>
        </w:rPr>
        <w:t>supportive analysi</w:t>
      </w:r>
      <w:r w:rsidR="00C9669E" w:rsidRPr="00C75A7E">
        <w:rPr>
          <w:lang w:val="en-GB"/>
        </w:rPr>
        <w:t>s</w:t>
      </w:r>
      <w:r w:rsidR="000874EA" w:rsidRPr="00C75A7E">
        <w:rPr>
          <w:lang w:val="en-GB"/>
        </w:rPr>
        <w:t xml:space="preserve"> </w:t>
      </w:r>
      <w:r w:rsidR="00D1250E">
        <w:rPr>
          <w:lang w:val="en-GB"/>
        </w:rPr>
        <w:t>w</w:t>
      </w:r>
      <w:r w:rsidR="00C9669E">
        <w:rPr>
          <w:lang w:val="en-GB"/>
        </w:rPr>
        <w:t>as</w:t>
      </w:r>
      <w:r w:rsidR="000874EA" w:rsidRPr="00C75A7E">
        <w:rPr>
          <w:lang w:val="en-GB"/>
        </w:rPr>
        <w:t xml:space="preserve"> performed that analyse</w:t>
      </w:r>
      <w:r>
        <w:rPr>
          <w:lang w:val="en-GB"/>
        </w:rPr>
        <w:t>d</w:t>
      </w:r>
      <w:r w:rsidR="000874EA" w:rsidRPr="00C75A7E">
        <w:rPr>
          <w:lang w:val="en-GB"/>
        </w:rPr>
        <w:t xml:space="preserve"> data for </w:t>
      </w:r>
      <w:r w:rsidR="00D1250E">
        <w:rPr>
          <w:lang w:val="en-GB"/>
        </w:rPr>
        <w:t xml:space="preserve">experienced </w:t>
      </w:r>
      <w:r w:rsidR="009713CA">
        <w:rPr>
          <w:lang w:val="en-GB"/>
        </w:rPr>
        <w:t xml:space="preserve">CABG </w:t>
      </w:r>
      <w:r w:rsidR="000874EA" w:rsidRPr="00C75A7E">
        <w:rPr>
          <w:lang w:val="en-GB"/>
        </w:rPr>
        <w:t xml:space="preserve">surgeons who adopt </w:t>
      </w:r>
      <w:r>
        <w:rPr>
          <w:lang w:val="en-GB"/>
        </w:rPr>
        <w:t>a technical preference</w:t>
      </w:r>
      <w:r w:rsidR="000874EA" w:rsidRPr="00C75A7E">
        <w:rPr>
          <w:lang w:val="en-GB"/>
        </w:rPr>
        <w:t xml:space="preserve"> </w:t>
      </w:r>
      <w:r w:rsidR="00C44FC5">
        <w:rPr>
          <w:lang w:val="en-GB"/>
        </w:rPr>
        <w:t>for</w:t>
      </w:r>
      <w:r w:rsidR="000874EA" w:rsidRPr="00C75A7E">
        <w:rPr>
          <w:lang w:val="en-GB"/>
        </w:rPr>
        <w:t xml:space="preserve"> their isolated CABG practice</w:t>
      </w:r>
      <w:r w:rsidR="006535DF">
        <w:rPr>
          <w:lang w:val="en-GB"/>
        </w:rPr>
        <w:t>, showing that</w:t>
      </w:r>
      <w:r w:rsidR="00C67BE8">
        <w:t xml:space="preserve"> off-pump cases performed by surgeons with </w:t>
      </w:r>
      <w:r w:rsidR="00976140">
        <w:t>a preference for the off-pump technique</w:t>
      </w:r>
      <w:r w:rsidR="006535DF">
        <w:t xml:space="preserve"> compared</w:t>
      </w:r>
      <w:r w:rsidR="00976140">
        <w:t xml:space="preserve"> to </w:t>
      </w:r>
      <w:r w:rsidR="00C67BE8">
        <w:t>on-pump cases performed by surgeons</w:t>
      </w:r>
      <w:r w:rsidR="00976140">
        <w:t xml:space="preserve"> with a preference for the on-pump</w:t>
      </w:r>
      <w:r w:rsidR="00C67BE8">
        <w:t xml:space="preserve"> </w:t>
      </w:r>
      <w:r w:rsidR="00976140">
        <w:t xml:space="preserve">technique </w:t>
      </w:r>
      <w:r w:rsidR="006535DF">
        <w:t xml:space="preserve">led to a </w:t>
      </w:r>
      <w:r w:rsidR="00E95ADE">
        <w:t>significant</w:t>
      </w:r>
      <w:r w:rsidR="000505B8">
        <w:t>ly</w:t>
      </w:r>
      <w:r w:rsidR="006535DF">
        <w:t xml:space="preserve"> lower hazard of death. Such a comparison </w:t>
      </w:r>
      <w:r w:rsidR="00510398">
        <w:t>might</w:t>
      </w:r>
      <w:r w:rsidR="00C67BE8" w:rsidRPr="00603C0A">
        <w:t xml:space="preserve"> </w:t>
      </w:r>
      <w:r w:rsidR="00C67BE8">
        <w:t xml:space="preserve">further </w:t>
      </w:r>
      <w:r w:rsidR="00C67BE8" w:rsidRPr="00603C0A">
        <w:t>help reduce surgeon bias with regard to case selection</w:t>
      </w:r>
      <w:r w:rsidR="00211667">
        <w:t>, b</w:t>
      </w:r>
      <w:r w:rsidR="006B037F">
        <w:t>ut r</w:t>
      </w:r>
      <w:r w:rsidR="00594E2E">
        <w:rPr>
          <w:lang w:val="en-GB"/>
        </w:rPr>
        <w:t xml:space="preserve">eferral bias is a possibility with isolated LIMA-to-LAD patients. </w:t>
      </w:r>
      <w:r w:rsidR="0090618D">
        <w:rPr>
          <w:lang w:val="en-GB"/>
        </w:rPr>
        <w:t xml:space="preserve">The </w:t>
      </w:r>
      <w:r>
        <w:rPr>
          <w:lang w:val="en-GB"/>
        </w:rPr>
        <w:t xml:space="preserve">data </w:t>
      </w:r>
      <w:r w:rsidR="0090618D">
        <w:rPr>
          <w:lang w:val="en-GB"/>
        </w:rPr>
        <w:t xml:space="preserve">partially supports this </w:t>
      </w:r>
      <w:r w:rsidR="0013539F">
        <w:rPr>
          <w:lang w:val="en-GB"/>
        </w:rPr>
        <w:t>hypothesis since the median</w:t>
      </w:r>
      <w:r w:rsidR="0090618D">
        <w:rPr>
          <w:lang w:val="en-GB"/>
        </w:rPr>
        <w:t xml:space="preserve"> </w:t>
      </w:r>
      <w:r w:rsidR="00E510ED">
        <w:rPr>
          <w:lang w:val="en-GB"/>
        </w:rPr>
        <w:t>surgeon</w:t>
      </w:r>
      <w:r w:rsidR="0013539F">
        <w:rPr>
          <w:lang w:val="en-GB"/>
        </w:rPr>
        <w:t xml:space="preserve"> </w:t>
      </w:r>
      <w:r w:rsidR="005B4852">
        <w:rPr>
          <w:lang w:val="en-GB"/>
        </w:rPr>
        <w:t xml:space="preserve">isolated LIMA-to-LAD </w:t>
      </w:r>
      <w:r w:rsidR="0013539F">
        <w:rPr>
          <w:lang w:val="en-GB"/>
        </w:rPr>
        <w:t>volume</w:t>
      </w:r>
      <w:r w:rsidR="0090618D">
        <w:rPr>
          <w:lang w:val="en-GB"/>
        </w:rPr>
        <w:t xml:space="preserve"> in the </w:t>
      </w:r>
      <w:r w:rsidR="002A2236">
        <w:rPr>
          <w:lang w:val="en-GB"/>
        </w:rPr>
        <w:t>off-pump preference</w:t>
      </w:r>
      <w:r w:rsidR="0090618D">
        <w:rPr>
          <w:lang w:val="en-GB"/>
        </w:rPr>
        <w:t xml:space="preserve"> group was </w:t>
      </w:r>
      <w:r w:rsidR="00EF0119">
        <w:rPr>
          <w:lang w:val="en-GB"/>
        </w:rPr>
        <w:t>26</w:t>
      </w:r>
      <w:r w:rsidR="0090618D">
        <w:rPr>
          <w:lang w:val="en-GB"/>
        </w:rPr>
        <w:t xml:space="preserve">, </w:t>
      </w:r>
      <w:r w:rsidR="00EF0119">
        <w:rPr>
          <w:lang w:val="en-GB"/>
        </w:rPr>
        <w:t>18</w:t>
      </w:r>
      <w:r w:rsidR="002A2236">
        <w:rPr>
          <w:lang w:val="en-GB"/>
        </w:rPr>
        <w:t xml:space="preserve"> in the mixed practice</w:t>
      </w:r>
      <w:r w:rsidR="006824C8">
        <w:rPr>
          <w:lang w:val="en-GB"/>
        </w:rPr>
        <w:t xml:space="preserve"> group and </w:t>
      </w:r>
      <w:r w:rsidR="00EF0119">
        <w:rPr>
          <w:lang w:val="en-GB"/>
        </w:rPr>
        <w:t>9</w:t>
      </w:r>
      <w:r w:rsidR="00FE2200">
        <w:rPr>
          <w:lang w:val="en-GB"/>
        </w:rPr>
        <w:t xml:space="preserve"> in the </w:t>
      </w:r>
      <w:r w:rsidR="002A2236">
        <w:rPr>
          <w:lang w:val="en-GB"/>
        </w:rPr>
        <w:t>on-pump preference group</w:t>
      </w:r>
      <w:r w:rsidR="00FE2200">
        <w:rPr>
          <w:lang w:val="en-GB"/>
        </w:rPr>
        <w:t>.</w:t>
      </w:r>
      <w:r w:rsidR="0090618D">
        <w:rPr>
          <w:lang w:val="en-GB"/>
        </w:rPr>
        <w:t xml:space="preserve"> </w:t>
      </w:r>
      <w:r w:rsidR="000505B8">
        <w:rPr>
          <w:lang w:val="en-GB"/>
        </w:rPr>
        <w:t>T</w:t>
      </w:r>
      <w:r w:rsidR="00015F72">
        <w:rPr>
          <w:lang w:val="en-GB"/>
        </w:rPr>
        <w:t xml:space="preserve">he corresponding overall median volumes </w:t>
      </w:r>
      <w:r w:rsidR="000505B8">
        <w:rPr>
          <w:lang w:val="en-GB"/>
        </w:rPr>
        <w:t>for the same surgeons across</w:t>
      </w:r>
      <w:r w:rsidR="00015F72">
        <w:rPr>
          <w:lang w:val="en-GB"/>
        </w:rPr>
        <w:t xml:space="preserve"> all </w:t>
      </w:r>
      <w:r w:rsidR="00015F72">
        <w:rPr>
          <w:lang w:val="en-GB"/>
        </w:rPr>
        <w:lastRenderedPageBreak/>
        <w:t>isolated CABG procedures were 830, 797, 731 in the off-pump, mixed practice and on-pump preference groups respectively</w:t>
      </w:r>
      <w:r w:rsidR="00246C16">
        <w:rPr>
          <w:lang w:val="en-GB"/>
        </w:rPr>
        <w:t xml:space="preserve"> (</w:t>
      </w:r>
      <w:r w:rsidR="00246C16" w:rsidRPr="00246C16">
        <w:rPr>
          <w:b/>
          <w:lang w:val="en-GB"/>
        </w:rPr>
        <w:t>Figure 4</w:t>
      </w:r>
      <w:r w:rsidR="00246C16">
        <w:rPr>
          <w:lang w:val="en-GB"/>
        </w:rPr>
        <w:t>)</w:t>
      </w:r>
      <w:r w:rsidR="00015F72">
        <w:rPr>
          <w:lang w:val="en-GB"/>
        </w:rPr>
        <w:t xml:space="preserve">. </w:t>
      </w:r>
      <w:r w:rsidR="00302F51">
        <w:rPr>
          <w:lang w:val="en-GB"/>
        </w:rPr>
        <w:t>The relatively larger volumes for</w:t>
      </w:r>
      <w:r w:rsidR="005B4852">
        <w:rPr>
          <w:lang w:val="en-GB"/>
        </w:rPr>
        <w:t xml:space="preserve"> surgeons with preference for the off-pump technique </w:t>
      </w:r>
      <w:r w:rsidR="00302F51">
        <w:rPr>
          <w:lang w:val="en-GB"/>
        </w:rPr>
        <w:t>might correspond to better experience, and therefore ability to make</w:t>
      </w:r>
      <w:r w:rsidR="00C651E1">
        <w:rPr>
          <w:lang w:val="en-GB"/>
        </w:rPr>
        <w:t xml:space="preserve"> better anastomoses</w:t>
      </w:r>
      <w:r w:rsidR="00015F72">
        <w:rPr>
          <w:lang w:val="en-GB"/>
        </w:rPr>
        <w:t>.</w:t>
      </w:r>
      <w:r w:rsidR="002372D3">
        <w:rPr>
          <w:lang w:val="en-GB"/>
        </w:rPr>
        <w:t xml:space="preserve"> Whilst others have demonstrated volume-outcome relationships in CABG, this was beyond the scope of </w:t>
      </w:r>
      <w:r w:rsidR="00B60F99">
        <w:rPr>
          <w:lang w:val="en-GB"/>
        </w:rPr>
        <w:t>the</w:t>
      </w:r>
      <w:r w:rsidR="002372D3">
        <w:rPr>
          <w:lang w:val="en-GB"/>
        </w:rPr>
        <w:t xml:space="preserve"> research</w:t>
      </w:r>
      <w:r w:rsidR="00B60F99">
        <w:rPr>
          <w:lang w:val="en-GB"/>
        </w:rPr>
        <w:t xml:space="preserve"> presented here</w:t>
      </w:r>
      <w:r w:rsidR="000C0F7B">
        <w:rPr>
          <w:lang w:val="en-GB"/>
        </w:rPr>
        <w:t xml:space="preserve"> </w:t>
      </w:r>
      <w:r w:rsidR="000C0F7B">
        <w:rPr>
          <w:lang w:val="en-GB"/>
        </w:rPr>
        <w:fldChar w:fldCharType="begin" w:fldLock="1"/>
      </w:r>
      <w:r w:rsidR="000C0F7B">
        <w:rPr>
          <w:lang w:val="en-GB"/>
        </w:rPr>
        <w:instrText>ADDIN CSL_CITATION { "citationItems" : [ { "id" : "ITEM-1", "itemData" : { "DOI" : "10.1161/01.CIR.0000084551.52010.3B", "ISSN" : "1524-4539", "PMID" : "12885743", "abstract" : "BACKGROUND: Studies that are the basis of recommended volume thresholds for CABG surgery are outdated and not reflective of recent advances in the field. This study examines both hospital and surgeon volume-mortality relations for CABG surgery through the use of a population-based clinical data set. METHODS AND RESULTS: Data from New York's clinical CABG surgery registry from 1997 to 1999 (total number of procedures, 57 150) were used to examine the individual and combined impact of annual hospital volume and annual surgeon volume on in-hospital mortality rates after adjusting for differences in severity of illness. Significantly lower risk-adjusted mortality rates occurred above all annual hospital volume thresholds between 200 and 800 and above all surgeon volume thresholds between 50 and 200. The number needed to treat (NNT) at higher-volume providers to avoid a death was minimized for a hospital threshold volume of 100 (NNT=50) and a surgeon threshold volume of 50 (NNT=118). The risk-adjusted mortality rate (RAMR) for patients undergoing surgery performed by surgeons with volumes of &gt; or =125 in hospitals with volumes of &gt; or =600 was 1.89%. The RAMR was significantly higher (2.67%) for patients undergoing surgery performed by surgeons with volumes of &lt;125 in hospitals with volumes of &lt;600. CONCLUSIONS: Higher-volume surgeons and hospitals continue to have lower risk-adjusted mortality rates, and patients undergoing surgery performed by higher-volume surgeons in higher-volume hospitals have the lowest mortality rates.", "author" : [ { "dropping-particle" : "", "family" : "Hannan", "given" : "Edward L", "non-dropping-particle" : "", "parse-names" : false, "suffix" : "" }, { "dropping-particle" : "", "family" : "Wu", "given" : "Chuntao", "non-dropping-particle" : "", "parse-names" : false, "suffix" : "" }, { "dropping-particle" : "", "family" : "Ryan", "given" : "Thomas J", "non-dropping-particle" : "", "parse-names" : false, "suffix" : "" }, { "dropping-particle" : "", "family" : "Bennett", "given" : "Edward", "non-dropping-particle" : "", "parse-names" : false, "suffix" : "" }, { "dropping-particle" : "", "family" : "Culliford", "given" : "Alfred T", "non-dropping-particle" : "", "parse-names" : false, "suffix" : "" }, { "dropping-particle" : "", "family" : "Gold", "given" : "Jeffrey P", "non-dropping-particle" : "", "parse-names" : false, "suffix" : "" }, { "dropping-particle" : "", "family" : "Hartman", "given" : "Alan", "non-dropping-particle" : "", "parse-names" : false, "suffix" : "" }, { "dropping-particle" : "", "family" : "Isom", "given" : "O Wayne", "non-dropping-particle" : "", "parse-names" : false, "suffix" : "" }, { "dropping-particle" : "", "family" : "Jones", "given" : "Robert H", "non-dropping-particle" : "", "parse-names" : false, "suffix" : "" }, { "dropping-particle" : "", "family" : "McNeil", "given" : "Barbara J", "non-dropping-particle" : "", "parse-names" : false, "suffix" : "" }, { "dropping-particle" : "", "family" : "Rose", "given" : "Eric", "non-dropping-particle" : "", "parse-names" : false, "suffix" : "" }, { "dropping-particle" : "", "family" : "Subramanian", "given" : "Valavanur", "non-dropping-particle" : "", "parse-names" : false, "suffix" : "" } ], "container-title" : "Circulation", "id" : "ITEM-1", "issue" : "7", "issued" : { "date-parts" : [ [ "2003", "8", "19" ] ] }, "page" : "795-801", "title" : "Do hospitals and surgeons with higher coronary artery bypass graft surgery volumes still have lower risk-adjusted mortality rates?", "type" : "article-journal", "volume" : "108" }, "uris" : [ "http://www.mendeley.com/documents/?uuid=f806e761-b44c-4481-a55a-e8e78c3c66bc" ] } ], "mendeley" : { "formattedCitation" : "[22]", "plainTextFormattedCitation" : "[22]" }, "properties" : { "noteIndex" : 0 }, "schema" : "https://github.com/citation-style-language/schema/raw/master/csl-citation.json" }</w:instrText>
      </w:r>
      <w:r w:rsidR="000C0F7B">
        <w:rPr>
          <w:lang w:val="en-GB"/>
        </w:rPr>
        <w:fldChar w:fldCharType="separate"/>
      </w:r>
      <w:r w:rsidR="000C0F7B" w:rsidRPr="000C0F7B">
        <w:rPr>
          <w:noProof/>
          <w:lang w:val="en-GB"/>
        </w:rPr>
        <w:t>[22]</w:t>
      </w:r>
      <w:r w:rsidR="000C0F7B">
        <w:rPr>
          <w:lang w:val="en-GB"/>
        </w:rPr>
        <w:fldChar w:fldCharType="end"/>
      </w:r>
      <w:r w:rsidR="002372D3">
        <w:rPr>
          <w:lang w:val="en-GB"/>
        </w:rPr>
        <w:t>.</w:t>
      </w:r>
    </w:p>
    <w:p w14:paraId="02336ACE" w14:textId="73617F03" w:rsidR="00DA2BC8" w:rsidRDefault="00021BAD" w:rsidP="00C67BE8">
      <w:pPr>
        <w:spacing w:after="200" w:line="360" w:lineRule="auto"/>
        <w:ind w:firstLine="720"/>
        <w:rPr>
          <w:lang w:val="en-GB"/>
        </w:rPr>
      </w:pPr>
      <w:r>
        <w:rPr>
          <w:lang w:val="en-GB"/>
        </w:rPr>
        <w:t>R</w:t>
      </w:r>
      <w:r w:rsidR="000874EA" w:rsidRPr="00C75A7E">
        <w:rPr>
          <w:lang w:val="en-GB"/>
        </w:rPr>
        <w:t>easons for w</w:t>
      </w:r>
      <w:r w:rsidR="00BD04A6">
        <w:rPr>
          <w:lang w:val="en-GB"/>
        </w:rPr>
        <w:t>hy experienced surgeons might deviate from their standard CABG preference</w:t>
      </w:r>
      <w:r w:rsidR="000874EA" w:rsidRPr="00C75A7E">
        <w:rPr>
          <w:lang w:val="en-GB"/>
        </w:rPr>
        <w:t xml:space="preserve"> can never be fully captured in a national registry such as the one analysed. </w:t>
      </w:r>
      <w:r w:rsidR="00F974EA">
        <w:rPr>
          <w:lang w:val="en-GB"/>
        </w:rPr>
        <w:t xml:space="preserve">In particular, it is unclear why a large percentage </w:t>
      </w:r>
      <w:r w:rsidR="003C2780">
        <w:rPr>
          <w:lang w:val="en-GB"/>
        </w:rPr>
        <w:t>(42</w:t>
      </w:r>
      <w:r w:rsidR="001E48E3">
        <w:rPr>
          <w:lang w:val="en-GB"/>
        </w:rPr>
        <w:t xml:space="preserve">%) </w:t>
      </w:r>
      <w:r w:rsidR="00F974EA">
        <w:rPr>
          <w:lang w:val="en-GB"/>
        </w:rPr>
        <w:t xml:space="preserve">of cases performed by </w:t>
      </w:r>
      <w:r w:rsidR="00350347">
        <w:rPr>
          <w:lang w:val="en-GB"/>
        </w:rPr>
        <w:t>experienced surgeons with a preference for the on-pump technique</w:t>
      </w:r>
      <w:r w:rsidR="00F974EA">
        <w:rPr>
          <w:lang w:val="en-GB"/>
        </w:rPr>
        <w:t xml:space="preserve"> were performed using the o</w:t>
      </w:r>
      <w:r w:rsidR="00DA2BC8">
        <w:rPr>
          <w:lang w:val="en-GB"/>
        </w:rPr>
        <w:t xml:space="preserve">ff-pump </w:t>
      </w:r>
      <w:r w:rsidR="00F974EA">
        <w:rPr>
          <w:lang w:val="en-GB"/>
        </w:rPr>
        <w:t>technique, which</w:t>
      </w:r>
      <w:r w:rsidR="00DA2BC8">
        <w:rPr>
          <w:lang w:val="en-GB"/>
        </w:rPr>
        <w:t xml:space="preserve"> is generally regarded as </w:t>
      </w:r>
      <w:r w:rsidR="0058663B">
        <w:rPr>
          <w:lang w:val="en-GB"/>
        </w:rPr>
        <w:t xml:space="preserve">being </w:t>
      </w:r>
      <w:r w:rsidR="00DA2BC8">
        <w:rPr>
          <w:lang w:val="en-GB"/>
        </w:rPr>
        <w:t>more technically demanding</w:t>
      </w:r>
      <w:r w:rsidR="0058663B">
        <w:rPr>
          <w:lang w:val="en-GB"/>
        </w:rPr>
        <w:t>.</w:t>
      </w:r>
      <w:r w:rsidR="00550F18">
        <w:rPr>
          <w:lang w:val="en-GB"/>
        </w:rPr>
        <w:t xml:space="preserve"> </w:t>
      </w:r>
      <w:r w:rsidR="00A46156">
        <w:rPr>
          <w:lang w:val="en-GB"/>
        </w:rPr>
        <w:t xml:space="preserve">The observed disproportionality might be due to the perceived benefits of the off-pump technique in this group of patients, or possibly unmeasured variables. </w:t>
      </w:r>
      <w:proofErr w:type="gramStart"/>
      <w:r w:rsidR="003C2780">
        <w:rPr>
          <w:lang w:val="en-GB"/>
        </w:rPr>
        <w:t>Whilst</w:t>
      </w:r>
      <w:r w:rsidR="00550F18">
        <w:rPr>
          <w:lang w:val="en-GB"/>
        </w:rPr>
        <w:t xml:space="preserve"> the </w:t>
      </w:r>
      <w:r w:rsidR="00727169">
        <w:rPr>
          <w:lang w:val="en-GB"/>
        </w:rPr>
        <w:t>pre</w:t>
      </w:r>
      <w:r w:rsidR="00FA59E5">
        <w:rPr>
          <w:lang w:val="en-GB"/>
        </w:rPr>
        <w:t>-</w:t>
      </w:r>
      <w:r w:rsidR="00727169">
        <w:rPr>
          <w:lang w:val="en-GB"/>
        </w:rPr>
        <w:t xml:space="preserve">specified </w:t>
      </w:r>
      <w:r w:rsidR="00550F18">
        <w:rPr>
          <w:lang w:val="en-GB"/>
        </w:rPr>
        <w:t xml:space="preserve">aim of this </w:t>
      </w:r>
      <w:r w:rsidR="00601F56">
        <w:rPr>
          <w:lang w:val="en-GB"/>
        </w:rPr>
        <w:t>supportive</w:t>
      </w:r>
      <w:r w:rsidR="00550F18">
        <w:rPr>
          <w:lang w:val="en-GB"/>
        </w:rPr>
        <w:t xml:space="preserve"> analysis was to compare the</w:t>
      </w:r>
      <w:r w:rsidR="003C2780">
        <w:rPr>
          <w:lang w:val="en-GB"/>
        </w:rPr>
        <w:t xml:space="preserve"> technique and </w:t>
      </w:r>
      <w:r w:rsidR="00550F18">
        <w:rPr>
          <w:lang w:val="en-GB"/>
        </w:rPr>
        <w:t>not the ability of individual surgeons</w:t>
      </w:r>
      <w:r w:rsidR="003C2780">
        <w:rPr>
          <w:lang w:val="en-GB"/>
        </w:rPr>
        <w:t xml:space="preserve">, we </w:t>
      </w:r>
      <w:r w:rsidR="00323D0C">
        <w:rPr>
          <w:lang w:val="en-GB"/>
        </w:rPr>
        <w:t xml:space="preserve">followed-up with a </w:t>
      </w:r>
      <w:r w:rsidR="00601F56">
        <w:rPr>
          <w:lang w:val="en-GB"/>
        </w:rPr>
        <w:t xml:space="preserve">further </w:t>
      </w:r>
      <w:r w:rsidR="00323D0C">
        <w:rPr>
          <w:lang w:val="en-GB"/>
        </w:rPr>
        <w:t xml:space="preserve">analysis comparing </w:t>
      </w:r>
      <w:r w:rsidR="00601F56">
        <w:rPr>
          <w:lang w:val="en-GB"/>
        </w:rPr>
        <w:t>technique</w:t>
      </w:r>
      <w:r w:rsidR="00323D0C">
        <w:rPr>
          <w:lang w:val="en-GB"/>
        </w:rPr>
        <w:t xml:space="preserve"> preference </w:t>
      </w:r>
      <w:r w:rsidR="004E0A09">
        <w:rPr>
          <w:lang w:val="en-GB"/>
        </w:rPr>
        <w:t>in</w:t>
      </w:r>
      <w:r w:rsidR="00323D0C">
        <w:rPr>
          <w:lang w:val="en-GB"/>
        </w:rPr>
        <w:t xml:space="preserve"> the </w:t>
      </w:r>
      <w:r w:rsidR="00601F56">
        <w:rPr>
          <w:lang w:val="en-GB"/>
        </w:rPr>
        <w:t xml:space="preserve">experienced </w:t>
      </w:r>
      <w:r w:rsidR="00A37DDD">
        <w:rPr>
          <w:lang w:val="en-GB"/>
        </w:rPr>
        <w:t xml:space="preserve">CABG surgeons for </w:t>
      </w:r>
      <w:r w:rsidR="00323D0C">
        <w:rPr>
          <w:lang w:val="en-GB"/>
        </w:rPr>
        <w:t>off-pump cases only</w:t>
      </w:r>
      <w:r w:rsidR="00550F18">
        <w:rPr>
          <w:lang w:val="en-GB"/>
        </w:rPr>
        <w:t>.</w:t>
      </w:r>
      <w:proofErr w:type="gramEnd"/>
      <w:r w:rsidR="004E0A09">
        <w:rPr>
          <w:lang w:val="en-GB"/>
        </w:rPr>
        <w:t xml:space="preserve"> </w:t>
      </w:r>
      <w:r w:rsidR="008C2BF9">
        <w:rPr>
          <w:lang w:val="en-GB"/>
        </w:rPr>
        <w:t>It was shown that a surgical preference towards on-pump surgery is associated with worse outcome.</w:t>
      </w:r>
    </w:p>
    <w:p w14:paraId="485085C7" w14:textId="77777777" w:rsidR="00384DDE" w:rsidRPr="00253613" w:rsidRDefault="00384DDE" w:rsidP="00384DDE">
      <w:pPr>
        <w:spacing w:after="200" w:line="360" w:lineRule="auto"/>
        <w:rPr>
          <w:b/>
          <w:lang w:val="en-GB"/>
        </w:rPr>
      </w:pPr>
      <w:r w:rsidRPr="00253613">
        <w:rPr>
          <w:b/>
          <w:lang w:val="en-GB"/>
        </w:rPr>
        <w:t>Study limitations</w:t>
      </w:r>
    </w:p>
    <w:p w14:paraId="7D01BAA9" w14:textId="576E2103" w:rsidR="000874EA" w:rsidRPr="00550F18" w:rsidRDefault="00DA2BC8" w:rsidP="00C67BE8">
      <w:pPr>
        <w:spacing w:after="200" w:line="360" w:lineRule="auto"/>
        <w:ind w:firstLine="720"/>
      </w:pPr>
      <w:r>
        <w:rPr>
          <w:lang w:val="en-GB"/>
        </w:rPr>
        <w:t>W</w:t>
      </w:r>
      <w:r w:rsidR="00C57A9C" w:rsidRPr="00C75A7E">
        <w:rPr>
          <w:lang w:val="en-GB"/>
        </w:rPr>
        <w:t xml:space="preserve">hilst we have captured CPB status of the data, </w:t>
      </w:r>
      <w:r w:rsidR="00C57A9C">
        <w:rPr>
          <w:lang w:val="en-GB"/>
        </w:rPr>
        <w:t>conversions</w:t>
      </w:r>
      <w:r w:rsidR="00C57A9C" w:rsidRPr="00C75A7E">
        <w:rPr>
          <w:lang w:val="en-GB"/>
        </w:rPr>
        <w:t xml:space="preserve"> from off-pump to </w:t>
      </w:r>
      <w:r w:rsidR="00C57A9C">
        <w:rPr>
          <w:lang w:val="en-GB"/>
        </w:rPr>
        <w:t xml:space="preserve">on-pump </w:t>
      </w:r>
      <w:r w:rsidR="00C2199B">
        <w:rPr>
          <w:lang w:val="en-GB"/>
        </w:rPr>
        <w:t>are not recorded, which might introduce a slight bias in the benefit of the off-pump group</w:t>
      </w:r>
      <w:r w:rsidR="00C57A9C" w:rsidRPr="000A5642">
        <w:rPr>
          <w:lang w:val="en-GB"/>
        </w:rPr>
        <w:t xml:space="preserve">. </w:t>
      </w:r>
      <w:r w:rsidR="000874EA" w:rsidRPr="000A5642">
        <w:rPr>
          <w:lang w:val="en-GB"/>
        </w:rPr>
        <w:t>No adjustment was made for site of LAD grafted (proximal, middle, or distal), distal ru</w:t>
      </w:r>
      <w:r w:rsidR="005C12B0">
        <w:rPr>
          <w:lang w:val="en-GB"/>
        </w:rPr>
        <w:t>noff, and distal target quality,</w:t>
      </w:r>
      <w:r w:rsidR="00D2500B">
        <w:rPr>
          <w:lang w:val="en-GB"/>
        </w:rPr>
        <w:t xml:space="preserve"> the latter owing to</w:t>
      </w:r>
      <w:r w:rsidR="000874EA" w:rsidRPr="000A5642">
        <w:rPr>
          <w:lang w:val="en-GB"/>
        </w:rPr>
        <w:t xml:space="preserve"> no accurate way of quantifying this </w:t>
      </w:r>
      <w:r w:rsidR="00D2500B">
        <w:rPr>
          <w:lang w:val="en-GB"/>
        </w:rPr>
        <w:t>being</w:t>
      </w:r>
      <w:r w:rsidR="000874EA" w:rsidRPr="000A5642">
        <w:rPr>
          <w:lang w:val="en-GB"/>
        </w:rPr>
        <w:t xml:space="preserve"> available. We d</w:t>
      </w:r>
      <w:r w:rsidR="00BE32AD">
        <w:rPr>
          <w:lang w:val="en-GB"/>
        </w:rPr>
        <w:t>id not include free LIMA grafts owi</w:t>
      </w:r>
      <w:r w:rsidR="00B9425D">
        <w:rPr>
          <w:lang w:val="en-GB"/>
        </w:rPr>
        <w:t>ng to so few being included (1.7</w:t>
      </w:r>
      <w:r w:rsidR="00BE32AD">
        <w:rPr>
          <w:lang w:val="en-GB"/>
        </w:rPr>
        <w:t>% of all single vessel grafts to the LAD were recorded as free LIMA conduits)</w:t>
      </w:r>
      <w:r w:rsidR="000874EA" w:rsidRPr="000A5642">
        <w:rPr>
          <w:lang w:val="en-GB"/>
        </w:rPr>
        <w:t xml:space="preserve">, despite previous work </w:t>
      </w:r>
      <w:r w:rsidR="00D2500B">
        <w:rPr>
          <w:lang w:val="en-GB"/>
        </w:rPr>
        <w:t>indicating no difference in mid-</w:t>
      </w:r>
      <w:r w:rsidR="000874EA" w:rsidRPr="000A5642">
        <w:rPr>
          <w:lang w:val="en-GB"/>
        </w:rPr>
        <w:t>term outcomes</w:t>
      </w:r>
      <w:r w:rsidR="00A456DA">
        <w:rPr>
          <w:lang w:val="en-GB"/>
        </w:rPr>
        <w:t xml:space="preserve"> </w:t>
      </w:r>
      <w:r w:rsidR="000A5642" w:rsidRPr="000A5642">
        <w:rPr>
          <w:lang w:val="en-GB"/>
        </w:rPr>
        <w:fldChar w:fldCharType="begin" w:fldLock="1"/>
      </w:r>
      <w:r w:rsidR="000C0F7B">
        <w:rPr>
          <w:lang w:val="en-GB"/>
        </w:rPr>
        <w:instrText>ADDIN CSL_CITATION { "citationItems" : [ { "id" : "ITEM-1", "itemData" : { "ISSN" : "0022-5223", "PMID" : "2877121", "abstract" : "Free internal mammary artery grafts were placed in 156 patients (1971 to 1985). Preoperative clinical and angiographic variables were similar to those of other series of isolated coronary bypass grafts. Of 244 total internal mammary artery grafts, 166 were in the aorta-coronary position and were performed mainly because of unsuitable saphenous veins or to gain additional graft length. One patient (0.6%) died during hospitalization. Perioperative complications included respiratory dysfunction in 16 (10.3%), reoperation for bleeding in 13 (8.0%), stroke in four (2.6%), myocardial infarction in three (1.9%), and wound complications in two (1.3%). Morbidity occurred significantly more often in the 1971 to 1975 period. Subsequently, eight (7%) had reoperation (6 to 158 months; mean 99 months). After a 98 month mean follow-up, the 10 year actuarial survival rate (including all causes of death) was 73.3%. Of 40 free grafts restudied within 18 months of operation, 31 (77%) were patent. The higher rate of early closure is attributed to technical problems early in our experience, especially construction of the aortic anastomosis. However, 32 of 35 (91%) free grafts studied after more than 18 months (mean 94 months) were open. Fifty of 58 (86%) free internal mammary artery grafts placed to the anterior descending coronary artery, seven of nine (78%) to the circumflex, and six of eight (75.0%) to the right coronary artery were patent. Sequential catheterization showed that of 24 free grafts open at 9 months, 24 remained patent at 80 months; when six of these were restudied at 93 months (third catheterization) and two (fourth catheterization) at 125 months, all were patent. These late studies of free internal mammary artery grafts showed no evidence of graft atherosclerosis. Free internal mammary artery grafts, like in situ internal mammary artery grafts, appear to have relative immunity from atherosclerosis. These findings expand the versatility of internal mammary artery grafting and justify wider use of free internal mammary artery grafts.", "author" : [ { "dropping-particle" : "", "family" : "Loop", "given" : "F D", "non-dropping-particle" : "", "parse-names" : false, "suffix" : "" }, { "dropping-particle" : "", "family" : "Lytle", "given" : "Bruce W", "non-dropping-particle" : "", "parse-names" : false, "suffix" : "" }, { "dropping-particle" : "", "family" : "Cosgrove", "given" : "Delos M", "non-dropping-particle" : "", "parse-names" : false, "suffix" : "" }, { "dropping-particle" : "", "family" : "Golding", "given" : "L A", "non-dropping-particle" : "", "parse-names" : false, "suffix" : "" }, { "dropping-particle" : "", "family" : "Taylor", "given" : "P C", "non-dropping-particle" : "", "parse-names" : false, "suffix" : "" }, { "dropping-particle" : "", "family" : "Stewart", "given" : "R W", "non-dropping-particle" : "", "parse-names" : false, "suffix" : "" } ], "container-title" : "The Journal of Thoracic and Cardiovascular Surgery", "id" : "ITEM-1", "issue" : "5", "issued" : { "date-parts" : [ [ "1986", "11" ] ] }, "page" : "827-31", "title" : "Free (aorta-coronary) internal mammary artery graft. Late results.", "type" : "article-journal", "volume" : "92" }, "uris" : [ "http://www.mendeley.com/documents/?uuid=f4e28035-50ef-4e5c-ba05-bd5c1f6daeb0" ] } ], "mendeley" : { "formattedCitation" : "[23]", "plainTextFormattedCitation" : "[23]", "previouslyFormattedCitation" : "[22]" }, "properties" : { "noteIndex" : 0 }, "schema" : "https://github.com/citation-style-language/schema/raw/master/csl-citation.json" }</w:instrText>
      </w:r>
      <w:r w:rsidR="000A5642" w:rsidRPr="000A5642">
        <w:rPr>
          <w:lang w:val="en-GB"/>
        </w:rPr>
        <w:fldChar w:fldCharType="separate"/>
      </w:r>
      <w:r w:rsidR="000C0F7B" w:rsidRPr="000C0F7B">
        <w:rPr>
          <w:noProof/>
          <w:lang w:val="en-GB"/>
        </w:rPr>
        <w:t>[23]</w:t>
      </w:r>
      <w:r w:rsidR="000A5642" w:rsidRPr="000A5642">
        <w:rPr>
          <w:lang w:val="en-GB"/>
        </w:rPr>
        <w:fldChar w:fldCharType="end"/>
      </w:r>
      <w:r w:rsidR="00A456DA">
        <w:rPr>
          <w:lang w:val="en-GB"/>
        </w:rPr>
        <w:t>.</w:t>
      </w:r>
      <w:r w:rsidR="00815C99">
        <w:rPr>
          <w:lang w:val="en-GB"/>
        </w:rPr>
        <w:t xml:space="preserve"> We do not have data on the technique of LIMA harvest.</w:t>
      </w:r>
      <w:r w:rsidR="00DA5411">
        <w:rPr>
          <w:lang w:val="en-GB"/>
        </w:rPr>
        <w:t xml:space="preserve"> Furthermore, the NACSA registry does not </w:t>
      </w:r>
      <w:r w:rsidR="00E52AB9">
        <w:rPr>
          <w:lang w:val="en-GB"/>
        </w:rPr>
        <w:t>permit</w:t>
      </w:r>
      <w:r w:rsidR="00DA5411">
        <w:rPr>
          <w:lang w:val="en-GB"/>
        </w:rPr>
        <w:t xml:space="preserve"> surgeons to record whether the LIMA was skeletonized</w:t>
      </w:r>
      <w:r w:rsidR="00E52AB9">
        <w:rPr>
          <w:lang w:val="en-GB"/>
        </w:rPr>
        <w:t xml:space="preserve"> or not</w:t>
      </w:r>
      <w:r w:rsidR="00D852A1">
        <w:rPr>
          <w:lang w:val="en-GB"/>
        </w:rPr>
        <w:t>.</w:t>
      </w:r>
    </w:p>
    <w:p w14:paraId="0CE48350" w14:textId="76227E0F" w:rsidR="00F733FB" w:rsidRPr="00F76CF0" w:rsidRDefault="00F733FB" w:rsidP="00F733FB">
      <w:pPr>
        <w:spacing w:after="200" w:line="360" w:lineRule="auto"/>
        <w:ind w:firstLine="720"/>
      </w:pPr>
      <w:r w:rsidRPr="00F76CF0">
        <w:rPr>
          <w:lang w:val="en-GB"/>
        </w:rPr>
        <w:t>Previous randomised trials with regard to on- or off-pump surgery have been criticised due to the relative inexperience of a number of the surgeons performing the procedures</w:t>
      </w:r>
      <w:r>
        <w:rPr>
          <w:lang w:val="en-GB"/>
        </w:rPr>
        <w:t xml:space="preserve"> </w:t>
      </w:r>
      <w:r w:rsidRPr="00F76CF0">
        <w:rPr>
          <w:lang w:val="en-GB"/>
        </w:rPr>
        <w:fldChar w:fldCharType="begin" w:fldLock="1"/>
      </w:r>
      <w:r w:rsidR="00C8628B">
        <w:rPr>
          <w:lang w:val="en-GB"/>
        </w:rPr>
        <w:instrText>ADDIN CSL_CITATION { "citationItems" : [ { "id" : "ITEM-1", "itemData" : { "ISSN" : "1524-4539", "PMID" : "22592900", "abstract" : "BACKGROUND: The Department of Veterans Affairs Randomized On/Off Bypass (ROOBY) trial compared clinical and angiographic outcomes in off-pump versus on-pump coronary artery bypass graft (CABG) surgery to ascertain the relative efficacy of the 2 techniques. METHODS AND RESULTS: From February 2002 to May 2007, the ROOBY trial randomized 2203 patients to off-pump versus on-pump CABG. Follow-up angiography was obtained in 685 off-pump (62%) and 685 on-pump (62%) patients. Angiograms were analyzed (blinded to treatment) for FitzGibbon classification (A=widely patent, B=flow limited, O=occluded) and effective revascularization. Effective revascularization was defined as follows: All 3 major coronary territories with significant disease were revascularized by a FitzGibbon A-quality graft to the major diseased artery, and there were no new postanastomotic lesions. Off-pump CABG resulted in lower FitzGibbon A patency rates than on-pump CABG for arterial conduits (85.8% versus 91.4%; P=0.003) and saphenous vein grafts (72.7% versus 80.4%; P&lt;0.001). Fewer off-pump patients were effectively revascularized (50.1% versus 63.9% on-pump; P&lt;0.001). Within each major coronary territory, effective revascularization was worse off pump than on pump (all P\u22640.001). The 1-year adverse cardiac event rate was 16.4% in patients with ineffective revascularization versus 5.9% in patients with effective revascularization (P&lt;0.001). CONCLUSIONS: Off-pump CABG resulted in significantly lower FitzGibbon A patency for arterial and saphenous vein graft conduits and less effective revascularization than on-pump CABG. At 1 year, patients with less effective revascularization had higher adverse event rates. CLINICAL TRIAL REGISTRATION: URL: http://www.clinicaltrials.gov. Unique identifier: NCT00032630.", "author" : [ { "dropping-particle" : "", "family" : "Hattler", "given" : "Brack", "non-dropping-particle" : "", "parse-names" : false, "suffix" : "" }, { "dropping-particle" : "", "family" : "Messenger", "given" : "John C", "non-dropping-particle" : "", "parse-names" : false, "suffix" : "" }, { "dropping-particle" : "", "family" : "Shroyer", "given" : "A Laurie", "non-dropping-particle" : "", "parse-names" : false, "suffix" : "" }, { "dropping-particle" : "", "family" : "Collins", "given" : "Joseph F", "non-dropping-particle" : "", "parse-names" : false, "suffix" : "" }, { "dropping-particle" : "", "family" : "Haugen", "given" : "Scott J", "non-dropping-particle" : "", "parse-names" : false, "suffix" : "" }, { "dropping-particle" : "", "family" : "Garcia", "given" : "Joel A", "non-dropping-particle" : "", "parse-names" : false, "suffix" : "" }, { "dropping-particle" : "", "family" : "Baltz", "given" : "Janet H", "non-dropping-particle" : "", "parse-names" : false, "suffix" : "" }, { "dropping-particle" : "", "family" : "Cleveland", "given" : "Joseph C", "non-dropping-particle" : "", "parse-names" : false, "suffix" : "" }, { "dropping-particle" : "", "family" : "Novitzky", "given" : "Dimitri", "non-dropping-particle" : "", "parse-names" : false, "suffix" : "" }, { "dropping-particle" : "", "family" : "Grover", "given" : "Frederick L", "non-dropping-particle" : "", "parse-names" : false, "suffix" : "" } ], "container-title" : "Circulation", "id" : "ITEM-1", "issue" : "23", "issued" : { "date-parts" : [ [ "2012", "6", "12" ] ] }, "page" : "2827-35", "title" : "Off-Pump coronary artery bypass surgery is associated with worse arterial and saphenous vein graft patency and less effective revascularization: Results from the Veterans Affairs Randomized On/Off Bypass (ROOBY) trial", "type" : "article-journal", "volume" : "125" }, "uris" : [ "http://www.mendeley.com/documents/?uuid=45790e77-ad70-446a-bbc0-7c398898d65e" ] } ], "mendeley" : { "formattedCitation" : "[1]", "plainTextFormattedCitation" : "[1]", "previouslyFormattedCitation" : "[1]" }, "properties" : { "noteIndex" : 0 }, "schema" : "https://github.com/citation-style-language/schema/raw/master/csl-citation.json" }</w:instrText>
      </w:r>
      <w:r w:rsidRPr="00F76CF0">
        <w:rPr>
          <w:lang w:val="en-GB"/>
        </w:rPr>
        <w:fldChar w:fldCharType="separate"/>
      </w:r>
      <w:r w:rsidRPr="00A456DA">
        <w:rPr>
          <w:noProof/>
          <w:lang w:val="en-GB"/>
        </w:rPr>
        <w:t>[1]</w:t>
      </w:r>
      <w:r w:rsidRPr="00F76CF0">
        <w:rPr>
          <w:lang w:val="en-GB"/>
        </w:rPr>
        <w:fldChar w:fldCharType="end"/>
      </w:r>
      <w:r>
        <w:rPr>
          <w:lang w:val="en-GB"/>
        </w:rPr>
        <w:t>.</w:t>
      </w:r>
      <w:r w:rsidRPr="00F76CF0">
        <w:rPr>
          <w:lang w:val="en-GB"/>
        </w:rPr>
        <w:t xml:space="preserve"> </w:t>
      </w:r>
      <w:r w:rsidRPr="00F76CF0">
        <w:t>The iss</w:t>
      </w:r>
      <w:r>
        <w:t>ue of surgeon experience in off-</w:t>
      </w:r>
      <w:r w:rsidRPr="00F76CF0">
        <w:t xml:space="preserve">pump surgery in multi-vessel disease has been previously </w:t>
      </w:r>
      <w:r w:rsidRPr="00F76CF0">
        <w:lastRenderedPageBreak/>
        <w:t>addressed in the GOPCABE study</w:t>
      </w:r>
      <w:r>
        <w:t xml:space="preserve"> </w:t>
      </w:r>
      <w:r w:rsidRPr="00F76CF0">
        <w:fldChar w:fldCharType="begin" w:fldLock="1"/>
      </w:r>
      <w:r w:rsidR="00C8628B">
        <w:instrText>ADDIN CSL_CITATION { "citationItems" : [ { "id" : "ITEM-1", "itemData" : { "ISSN" : "1533-4406", "PMID" : "23477657", "abstract" : "BACKGROUND: The benefits of coronary-artery bypass grafting (CABG) without cardiopulmonary bypass in the elderly are still undetermined. METHODS: We randomly assigned patients 75 years of age or older who were scheduled for elective first-time CABG to undergo the procedure either without cardiopulmonary bypass (off-pump CABG) or with it (on-pump CABG). The primary end point was a composite of death, stroke, myocardial infarction, repeat revascularization, or new renal-replacement therapy at 30 days and at 12 months after surgery. RESULTS: A total of 2539 patients underwent randomization. At 30 days after surgery, there was no significant difference between patients who underwent off-pump surgery and those who underwent on-pump surgery in terms of the composite outcome (7.8% vs. 8.2%; odds ratio, 0.95; 95% confidence interval [CI], 0.71 to 1.28; P=0.74) or four of the components (death, stroke, myocardial infarction, or new renal-replacement therapy). Repeat revascularization occurred more frequently after off-pump CABG than after on-pump CABG (1.3% vs. 0.4%; odds ratio, 2.42; 95% CI, 1.03 to 5.72; P=0.04). At 12 months, there was no significant between-group difference in the composite end point (13.1% vs. 14.0%; hazard ratio, 0.93; 95% CI, 0.76 to 1.16; P=0.48) or in any of the individual components. Similar results were obtained in a per-protocol analysis that excluded the 177 patients who crossed over from the assigned treatment to the other treatment. CONCLUSIONS: In patients 75 years of age or older, there was no significant difference between on-pump and off-pump CABG with regard to the composite outcome of death, stroke, myocardial infarction, repeat revascularization, or new renal-replacement therapy within 30 days and within 12 months after surgery. (Funded by Maquet; GOPCABE ClinicalTrials.gov number, NCT00719667.).", "author" : [ { "dropping-particle" : "", "family" : "Diegeler", "given" : "Anno", "non-dropping-particle" : "", "parse-names" : false, "suffix" : "" }, { "dropping-particle" : "", "family" : "B\u00f6rgermann", "given" : "Jochen", "non-dropping-particle" : "", "parse-names" : false, "suffix" : "" }, { "dropping-particle" : "", "family" : "Kappert", "given" : "Utz", "non-dropping-particle" : "", "parse-names" : false, "suffix" : "" }, { "dropping-particle" : "", "family" : "Breuer", "given" : "Martin", "non-dropping-particle" : "", "parse-names" : false, "suffix" : "" }, { "dropping-particle" : "", "family" : "B\u00f6ning", "given" : "Andreas", "non-dropping-particle" : "", "parse-names" : false, "suffix" : "" }, { "dropping-particle" : "", "family" : "Ursulescu", "given" : "Adrian", "non-dropping-particle" : "", "parse-names" : false, "suffix" : "" }, { "dropping-particle" : "", "family" : "Rastan", "given" : "Ardawan", "non-dropping-particle" : "", "parse-names" : false, "suffix" : "" }, { "dropping-particle" : "", "family" : "Holzhey", "given" : "David", "non-dropping-particle" : "", "parse-names" : false, "suffix" : "" }, { "dropping-particle" : "", "family" : "Treede", "given" : "Hendrik", "non-dropping-particle" : "", "parse-names" : false, "suffix" : "" }, { "dropping-particle" : "", "family" : "Rie\u00df", "given" : "Friedrich-Christian", "non-dropping-particle" : "", "parse-names" : false, "suffix" : "" }, { "dropping-particle" : "", "family" : "Veeckmann", "given" : "Philippe", "non-dropping-particle" : "", "parse-names" : false, "suffix" : "" }, { "dropping-particle" : "", "family" : "Asfoor", "given" : "Amjad", "non-dropping-particle" : "", "parse-names" : false, "suffix" : "" }, { "dropping-particle" : "", "family" : "Reents", "given" : "Wilko", "non-dropping-particle" : "", "parse-names" : false, "suffix" : "" }, { "dropping-particle" : "", "family" : "Zacher", "given" : "Michael", "non-dropping-particle" : "", "parse-names" : false, "suffix" : "" }, { "dropping-particle" : "", "family" : "Hilker", "given" : "Michael", "non-dropping-particle" : "", "parse-names" : false, "suffix" : "" } ], "container-title" : "The New England Journal of Medicine", "id" : "ITEM-1", "issue" : "13", "issued" : { "date-parts" : [ [ "2013", "3", "28" ] ] }, "page" : "1189-98", "title" : "Off-pump versus on-pump coronary-artery bypass grafting in elderly patients", "type" : "article-journal", "volume" : "368" }, "uris" : [ "http://www.mendeley.com/documents/?uuid=101ab253-0410-4ea5-a803-921dbdcc5043" ] } ], "mendeley" : { "formattedCitation" : "[4]", "plainTextFormattedCitation" : "[4]", "previouslyFormattedCitation" : "[4]" }, "properties" : { "noteIndex" : 0 }, "schema" : "https://github.com/citation-style-language/schema/raw/master/csl-citation.json" }</w:instrText>
      </w:r>
      <w:r w:rsidRPr="00F76CF0">
        <w:fldChar w:fldCharType="separate"/>
      </w:r>
      <w:r w:rsidRPr="00A456DA">
        <w:rPr>
          <w:noProof/>
        </w:rPr>
        <w:t>[4]</w:t>
      </w:r>
      <w:r w:rsidRPr="00F76CF0">
        <w:fldChar w:fldCharType="end"/>
      </w:r>
      <w:r>
        <w:t>.</w:t>
      </w:r>
      <w:r w:rsidRPr="00F76CF0">
        <w:t xml:space="preserve"> </w:t>
      </w:r>
      <w:r w:rsidRPr="00F76CF0">
        <w:rPr>
          <w:lang w:val="en-GB"/>
        </w:rPr>
        <w:t xml:space="preserve">No </w:t>
      </w:r>
      <w:r>
        <w:rPr>
          <w:lang w:val="en-GB"/>
        </w:rPr>
        <w:t xml:space="preserve">universally accepted </w:t>
      </w:r>
      <w:r w:rsidRPr="00F76CF0">
        <w:rPr>
          <w:lang w:val="en-GB"/>
        </w:rPr>
        <w:t xml:space="preserve">definition exists that defines a surgeon as experienced. </w:t>
      </w:r>
      <w:r>
        <w:rPr>
          <w:lang w:val="en-GB"/>
        </w:rPr>
        <w:t xml:space="preserve">By extracting all </w:t>
      </w:r>
      <w:r w:rsidRPr="00F76CF0">
        <w:t xml:space="preserve">first-time cardiac surgery isolated CABG (elective and urgent) </w:t>
      </w:r>
      <w:r>
        <w:t>records</w:t>
      </w:r>
      <w:r w:rsidRPr="00F76CF0">
        <w:t xml:space="preserve"> in England and Wales during the study period</w:t>
      </w:r>
      <w:r>
        <w:t xml:space="preserve"> from the NACSA registry—not just on the LIMA-to-LAD </w:t>
      </w:r>
      <w:r w:rsidR="00414E00">
        <w:t xml:space="preserve">for single vessel disease </w:t>
      </w:r>
      <w:r>
        <w:t>study data subset—</w:t>
      </w:r>
      <w:r>
        <w:rPr>
          <w:lang w:val="en-GB"/>
        </w:rPr>
        <w:t>w</w:t>
      </w:r>
      <w:r w:rsidRPr="00F76CF0">
        <w:rPr>
          <w:lang w:val="en-GB"/>
        </w:rPr>
        <w:t>e</w:t>
      </w:r>
      <w:r>
        <w:rPr>
          <w:lang w:val="en-GB"/>
        </w:rPr>
        <w:t xml:space="preserve"> classified surgeons </w:t>
      </w:r>
      <w:r w:rsidRPr="00F76CF0">
        <w:t>as ‘experienced</w:t>
      </w:r>
      <w:r>
        <w:t xml:space="preserve">’ </w:t>
      </w:r>
      <w:r w:rsidR="00674CA0">
        <w:t>as</w:t>
      </w:r>
      <w:r>
        <w:rPr>
          <w:lang w:val="en-GB"/>
        </w:rPr>
        <w:t xml:space="preserve"> a contribution of </w:t>
      </w:r>
      <w:r w:rsidRPr="00F76CF0">
        <w:t>300 or more</w:t>
      </w:r>
      <w:r>
        <w:t xml:space="preserve"> records to the NACSA registry during the study period</w:t>
      </w:r>
      <w:r w:rsidRPr="00F76CF0">
        <w:t>.</w:t>
      </w:r>
      <w:r>
        <w:t xml:space="preserve"> </w:t>
      </w:r>
      <w:r w:rsidR="00DC760A">
        <w:t xml:space="preserve">We note that not all surgeons have contributed data to each of the 10 study years, for reasons including retirement </w:t>
      </w:r>
      <w:r w:rsidR="009A30DA">
        <w:t xml:space="preserve">before the study end date </w:t>
      </w:r>
      <w:r w:rsidR="00DC760A">
        <w:t>and qualification as a consultant after the study start date</w:t>
      </w:r>
      <w:r w:rsidR="00FE3E0A">
        <w:t xml:space="preserve"> </w:t>
      </w:r>
      <w:r w:rsidR="00FE3E0A">
        <w:fldChar w:fldCharType="begin" w:fldLock="1"/>
      </w:r>
      <w:r w:rsidR="000C0F7B">
        <w:instrText>ADDIN CSL_CITATION { "citationItems" : [ { "id" : "ITEM-1", "itemData" : { "DOI" : "10.1177/0141076814538788", "ISSN" : "0141-0768", "author" : [ { "dropping-particle" : "", "family" : "Hickey", "given" : "Graeme L", "non-dropping-particle" : "", "parse-names" : false, "suffix" : "" }, { "dropping-particle" : "", "family" : "Grant", "given" : "Stuart W", "non-dropping-particle" : "", "parse-names" : false, "suffix" : "" }, { "dropping-particle" : "", "family" : "Freemantle", "given" : "Nick", "non-dropping-particle" : "", "parse-names" : false, "suffix" : "" }, { "dropping-particle" : "", "family" : "Cunningham", "given" : "David", "non-dropping-particle" : "", "parse-names" : false, "suffix" : "" }, { "dropping-particle" : "", "family" : "Munsch", "given" : "Chris M", "non-dropping-particle" : "", "parse-names" : false, "suffix" : "" }, { "dropping-particle" : "", "family" : "Livesey", "given" : "Steven", "non-dropping-particle" : "", "parse-names" : false, "suffix" : "" }, { "dropping-particle" : "", "family" : "Roxburgh", "given" : "James C", "non-dropping-particle" : "", "parse-names" : false, "suffix" : "" }, { "dropping-particle" : "", "family" : "Buchan", "given" : "Iain", "non-dropping-particle" : "", "parse-names" : false, "suffix" : "" }, { "dropping-particle" : "", "family" : "Bridgewater", "given" : "Ben", "non-dropping-particle" : "", "parse-names" : false, "suffix" : "" } ], "container-title" : "Journal of the Royal Society of Medicine", "id" : "ITEM-1", "issue" : "9", "issued" : { "date-parts" : [ [ "2014" ] ] }, "page" : "355-364", "title" : "Surgeon length of service and risk-adjusted outcomes: linked observational analysis of the UK National Adult Cardiac Surgery Audit Registry and General Medical Council Register", "type" : "article-journal", "volume" : "107" }, "uris" : [ "http://www.mendeley.com/documents/?uuid=93923174-ff04-4bda-ae5e-28c5758bbd00" ] } ], "mendeley" : { "formattedCitation" : "[24]", "plainTextFormattedCitation" : "[24]", "previouslyFormattedCitation" : "[23]" }, "properties" : { "noteIndex" : 0 }, "schema" : "https://github.com/citation-style-language/schema/raw/master/csl-citation.json" }</w:instrText>
      </w:r>
      <w:r w:rsidR="00FE3E0A">
        <w:fldChar w:fldCharType="separate"/>
      </w:r>
      <w:r w:rsidR="000C0F7B" w:rsidRPr="000C0F7B">
        <w:rPr>
          <w:noProof/>
        </w:rPr>
        <w:t>[24]</w:t>
      </w:r>
      <w:r w:rsidR="00FE3E0A">
        <w:fldChar w:fldCharType="end"/>
      </w:r>
      <w:r w:rsidR="00674CA0">
        <w:t>; hence some experienced surgeons might have been excluded</w:t>
      </w:r>
      <w:r w:rsidR="00DC760A">
        <w:t xml:space="preserve">. </w:t>
      </w:r>
      <w:r w:rsidRPr="00F76CF0">
        <w:t xml:space="preserve">The use of total case load </w:t>
      </w:r>
      <w:r w:rsidR="00340C3C">
        <w:t>might allow for</w:t>
      </w:r>
      <w:r w:rsidRPr="00F76CF0">
        <w:t xml:space="preserve"> the confounding effect of institutional and surgeon volumes to be addresse</w:t>
      </w:r>
      <w:r w:rsidR="003C7DEE">
        <w:t xml:space="preserve">d </w:t>
      </w:r>
      <w:r w:rsidR="007B5EC0">
        <w:fldChar w:fldCharType="begin" w:fldLock="1"/>
      </w:r>
      <w:r w:rsidR="000C0F7B">
        <w:instrText>ADDIN CSL_CITATION { "citationItems" : [ { "id" : "ITEM-1", "itemData" : { "ISSN" : "1569-9285", "PMID" : "23125306", "abstract" : "A best evidence topic was written according to a structured protocol. The question addressed was whether there is a surgeon or hospital volume-outcome relationship in patients undergoing off-pump coronary artery bypass surgery. A total of 281 papers were found using the reported searches, of which six represented the best evidence to answer the clinical question. The authors, date, journal, study type, population, main outcome measures and results are tabulated. The studies found analysed the outcomes of off-pump coronary artery bypass surgery in relation to surgeon or hospital volume and evaluated the presence of a volume-outcome relationship. Reported measures included mortality and major adverse cardiovascular and cerebrovascular events. The methodological quality and strength of each study for exploring volume-outcome relationships were quantitatively assessed using a predefined scoring system. Three studies analysed surgeon volume and three studies analysed hospital volume. The two largest and most recent studies presented a significant volume-outcome relationship in mortality and postoperative complications. Perhaps owing to the smaller sample size, this significant relationship in mortality was not observed in the four smaller studies; however, one of these studies demonstrated a significantly positive relationship for postoperative complications and another study demonstrated a similar significant relationship for the number of grafts and the degree of completeness of revascularization. While the volume-outcome relationship in coronary artery bypass graft surgery is very well-documented, the technically challenging nature of off-pump surgery, the length of the learning curve associated with the operation and the higher risk profile of patients undergoing off-pump surgery in comparison with routine on-pump surgery render these results difficult to interpret. Although our review does support the idea of a volume-outcome relationship in off-pump coronary artery bypass surgery, this relationship may not be so clearly defined and requires further analysis by higher-quality studies.", "author" : [ { "dropping-particle" : "", "family" : "Sepehripour", "given" : "Amir H", "non-dropping-particle" : "", "parse-names" : false, "suffix" : "" }, { "dropping-particle" : "", "family" : "Athanasiou", "given" : "Thanos", "non-dropping-particle" : "", "parse-names" : false, "suffix" : "" } ], "container-title" : "Interactive Cardiovascular and Thoracic Surgery", "id" : "ITEM-1", "issue" : "2", "issued" : { "date-parts" : [ [ "2013", "2" ] ] }, "page" : "202-7", "title" : "Is there a surgeon or hospital volume-outcome relationship in off-pump coronary artery bypass surgery?", "type" : "article-journal", "volume" : "16" }, "uris" : [ "http://www.mendeley.com/documents/?uuid=f4db981d-2611-4071-8573-84e7d7016098" ] } ], "mendeley" : { "formattedCitation" : "[25]", "plainTextFormattedCitation" : "[25]", "previouslyFormattedCitation" : "[24]" }, "properties" : { "noteIndex" : 0 }, "schema" : "https://github.com/citation-style-language/schema/raw/master/csl-citation.json" }</w:instrText>
      </w:r>
      <w:r w:rsidR="007B5EC0">
        <w:fldChar w:fldCharType="separate"/>
      </w:r>
      <w:r w:rsidR="000C0F7B" w:rsidRPr="000C0F7B">
        <w:rPr>
          <w:noProof/>
        </w:rPr>
        <w:t>[25]</w:t>
      </w:r>
      <w:r w:rsidR="007B5EC0">
        <w:fldChar w:fldCharType="end"/>
      </w:r>
      <w:r>
        <w:t>.</w:t>
      </w:r>
      <w:r w:rsidR="00021BAD">
        <w:t xml:space="preserve"> Whilst the choices for the off-pump rate thresholds </w:t>
      </w:r>
      <w:r w:rsidR="00A413E6">
        <w:t xml:space="preserve">for preference definition </w:t>
      </w:r>
      <w:r w:rsidR="00021BAD">
        <w:t xml:space="preserve">and the minimum volume were predefined before analyzing the data, they </w:t>
      </w:r>
      <w:r w:rsidR="00524D0B">
        <w:t>reflect</w:t>
      </w:r>
      <w:r w:rsidR="00021BAD">
        <w:t xml:space="preserve"> a single subjective view</w:t>
      </w:r>
      <w:r w:rsidR="001F073B">
        <w:t>, and different definitions would potentially lead to different inferences</w:t>
      </w:r>
      <w:r w:rsidR="00021BAD">
        <w:t>.</w:t>
      </w:r>
      <w:r w:rsidR="00A67DDA">
        <w:t xml:space="preserve"> Further</w:t>
      </w:r>
      <w:r w:rsidR="002B4C0E">
        <w:t>more, preference was calculated as a proportion from the total non-emergency CABG caseload of each surgeon without consideration of whether differing case-mixes might be associated with the propensity to use one technique over another.</w:t>
      </w:r>
    </w:p>
    <w:p w14:paraId="7662ABBC" w14:textId="7E528B80" w:rsidR="000B0602" w:rsidRDefault="00942CA3" w:rsidP="00BA6D0D">
      <w:pPr>
        <w:spacing w:after="200" w:line="360" w:lineRule="auto"/>
        <w:ind w:firstLine="720"/>
        <w:rPr>
          <w:lang w:val="en-GB"/>
        </w:rPr>
      </w:pPr>
      <w:r w:rsidRPr="00C75A7E">
        <w:rPr>
          <w:lang w:val="en-GB"/>
        </w:rPr>
        <w:t xml:space="preserve">Like all observational data analyses, </w:t>
      </w:r>
      <w:r w:rsidR="00253613">
        <w:rPr>
          <w:lang w:val="en-GB"/>
        </w:rPr>
        <w:t>m</w:t>
      </w:r>
      <w:r w:rsidRPr="00C75A7E">
        <w:rPr>
          <w:lang w:val="en-GB"/>
        </w:rPr>
        <w:t xml:space="preserve">issing data and, more broadly, data quality are </w:t>
      </w:r>
      <w:r w:rsidR="0040211D">
        <w:rPr>
          <w:lang w:val="en-GB"/>
        </w:rPr>
        <w:t>common issues that apply</w:t>
      </w:r>
      <w:r w:rsidRPr="00C75A7E">
        <w:rPr>
          <w:lang w:val="en-GB"/>
        </w:rPr>
        <w:t xml:space="preserve"> here</w:t>
      </w:r>
      <w:r w:rsidR="0040211D">
        <w:rPr>
          <w:lang w:val="en-GB"/>
        </w:rPr>
        <w:t xml:space="preserve"> also. T</w:t>
      </w:r>
      <w:r w:rsidRPr="00C75A7E">
        <w:rPr>
          <w:lang w:val="en-GB"/>
        </w:rPr>
        <w:t xml:space="preserve">he </w:t>
      </w:r>
      <w:r w:rsidR="00B9425D">
        <w:rPr>
          <w:lang w:val="en-GB"/>
        </w:rPr>
        <w:t>amount</w:t>
      </w:r>
      <w:r w:rsidRPr="000A5642">
        <w:rPr>
          <w:lang w:val="en-GB"/>
        </w:rPr>
        <w:t xml:space="preserve"> of missing </w:t>
      </w:r>
      <w:r w:rsidR="00B9425D">
        <w:rPr>
          <w:lang w:val="en-GB"/>
        </w:rPr>
        <w:t xml:space="preserve">clinical </w:t>
      </w:r>
      <w:r w:rsidRPr="000A5642">
        <w:rPr>
          <w:lang w:val="en-GB"/>
        </w:rPr>
        <w:t xml:space="preserve">data </w:t>
      </w:r>
      <w:r w:rsidR="00B9425D">
        <w:rPr>
          <w:lang w:val="en-GB"/>
        </w:rPr>
        <w:t>in the final study dataset were</w:t>
      </w:r>
      <w:r w:rsidR="00124092" w:rsidRPr="000A5642">
        <w:rPr>
          <w:lang w:val="en-GB"/>
        </w:rPr>
        <w:t xml:space="preserve"> </w:t>
      </w:r>
      <w:r w:rsidRPr="000A5642">
        <w:rPr>
          <w:lang w:val="en-GB"/>
        </w:rPr>
        <w:t>qu</w:t>
      </w:r>
      <w:r w:rsidR="00BE32AD">
        <w:rPr>
          <w:lang w:val="en-GB"/>
        </w:rPr>
        <w:t>ite low for a national registry</w:t>
      </w:r>
      <w:r w:rsidRPr="000A5642">
        <w:rPr>
          <w:lang w:val="en-GB"/>
        </w:rPr>
        <w:t>, partly due to the fact that this</w:t>
      </w:r>
      <w:r w:rsidRPr="00C75A7E">
        <w:rPr>
          <w:lang w:val="en-GB"/>
        </w:rPr>
        <w:t xml:space="preserve"> registry is used as part of </w:t>
      </w:r>
      <w:r w:rsidR="009D5EAC">
        <w:rPr>
          <w:lang w:val="en-GB"/>
        </w:rPr>
        <w:t xml:space="preserve">the </w:t>
      </w:r>
      <w:r w:rsidRPr="00C75A7E">
        <w:rPr>
          <w:lang w:val="en-GB"/>
        </w:rPr>
        <w:t xml:space="preserve">revalidation process for National Health Service consultant cardiac surgeons in </w:t>
      </w:r>
      <w:r w:rsidR="00124092">
        <w:rPr>
          <w:lang w:val="en-GB"/>
        </w:rPr>
        <w:t>England and Wales</w:t>
      </w:r>
      <w:r w:rsidR="00A2315C">
        <w:rPr>
          <w:lang w:val="en-GB"/>
        </w:rPr>
        <w:t xml:space="preserve"> </w:t>
      </w:r>
      <w:r w:rsidR="00C8628B">
        <w:rPr>
          <w:lang w:val="en-GB"/>
        </w:rPr>
        <w:fldChar w:fldCharType="begin" w:fldLock="1"/>
      </w:r>
      <w:r w:rsidR="000C0F7B">
        <w:rPr>
          <w:lang w:val="en-GB"/>
        </w:rPr>
        <w:instrText>ADDIN CSL_CITATION { "citationItems" : [ { "id" : "ITEM-1", "itemData" : { "ISSN" : "1873-734X", "PMID" : "23371972", "abstract" : "Clinical registries will have an increasingly important role to play in health-care, with a number already established in cardiac surgery. This review covers the fundamentals of establishing and managing clinical registries, including legal and ethical frameworks along with intellectual property attribution. Also discussed are important issues relating to the processing of data, data extraction and conducting analyses using registry data.", "author" : [ { "dropping-particle" : "", "family" : "Hickey", "given" : "Graeme L", "non-dropping-particle" : "", "parse-names" : false, "suffix" : "" }, { "dropping-particle" : "", "family" : "Grant", "given" : "Stuart W", "non-dropping-particle" : "", "parse-names" : false, "suffix" : "" }, { "dropping-particle" : "", "family" : "Cosgriff", "given" : "Rebecca", "non-dropping-particle" : "", "parse-names" : false, "suffix" : "" }, { "dropping-particle" : "", "family" : "Dimarakis", "given" : "Ioannis", "non-dropping-particle" : "", "parse-names" : false, "suffix" : "" }, { "dropping-particle" : "", "family" : "Pagano", "given" : "Domenico", "non-dropping-particle" : "", "parse-names" : false, "suffix" : "" }, { "dropping-particle" : "", "family" : "Kappetein", "given" : "Arie Pieter", "non-dropping-particle" : "", "parse-names" : false, "suffix" : "" }, { "dropping-particle" : "", "family" : "Bridgewater", "given" : "Ben", "non-dropping-particle" : "", "parse-names" : false, "suffix" : "" } ], "container-title" : "European Journal of Cardio-Thoracic Surgery", "id" : "ITEM-1", "issue" : "4", "issued" : { "date-parts" : [ [ "2013" ] ] }, "page" : "605-14", "title" : "Clinical registries: governance, management, analysis and applications", "type" : "article-journal", "volume" : "44" }, "uris" : [ "http://www.mendeley.com/documents/?uuid=61e3026e-ea83-41c5-9a17-b1874fb93a56" ] } ], "mendeley" : { "formattedCitation" : "[6]", "plainTextFormattedCitation" : "[6]", "previouslyFormattedCitation" : "[6]" }, "properties" : { "noteIndex" : 0 }, "schema" : "https://github.com/citation-style-language/schema/raw/master/csl-citation.json" }</w:instrText>
      </w:r>
      <w:r w:rsidR="00C8628B">
        <w:rPr>
          <w:lang w:val="en-GB"/>
        </w:rPr>
        <w:fldChar w:fldCharType="separate"/>
      </w:r>
      <w:r w:rsidR="00C8628B" w:rsidRPr="00C8628B">
        <w:rPr>
          <w:noProof/>
          <w:lang w:val="en-GB"/>
        </w:rPr>
        <w:t>[6]</w:t>
      </w:r>
      <w:r w:rsidR="00C8628B">
        <w:rPr>
          <w:lang w:val="en-GB"/>
        </w:rPr>
        <w:fldChar w:fldCharType="end"/>
      </w:r>
      <w:r w:rsidR="00C44FC5">
        <w:rPr>
          <w:lang w:val="en-GB"/>
        </w:rPr>
        <w:t>.</w:t>
      </w:r>
      <w:r w:rsidRPr="00C75A7E">
        <w:rPr>
          <w:lang w:val="en-GB"/>
        </w:rPr>
        <w:t xml:space="preserve"> Algorithms used to </w:t>
      </w:r>
      <w:r w:rsidR="0096235A" w:rsidRPr="00C75A7E">
        <w:rPr>
          <w:lang w:val="en-GB"/>
        </w:rPr>
        <w:t>pre</w:t>
      </w:r>
      <w:r w:rsidR="00CD4FB7">
        <w:rPr>
          <w:lang w:val="en-GB"/>
        </w:rPr>
        <w:t>-</w:t>
      </w:r>
      <w:r w:rsidR="0096235A" w:rsidRPr="00C75A7E">
        <w:rPr>
          <w:lang w:val="en-GB"/>
        </w:rPr>
        <w:t>process</w:t>
      </w:r>
      <w:r w:rsidRPr="00C75A7E">
        <w:rPr>
          <w:lang w:val="en-GB"/>
        </w:rPr>
        <w:t xml:space="preserve"> the registry undergo regular revision as part of the National Adult Cardiac Surgery Audit programme, and therefore the quality is considered robust</w:t>
      </w:r>
      <w:r w:rsidR="00DE435A">
        <w:rPr>
          <w:lang w:val="en-GB"/>
        </w:rPr>
        <w:t xml:space="preserve"> for research purposes</w:t>
      </w:r>
      <w:r w:rsidRPr="00C75A7E">
        <w:rPr>
          <w:lang w:val="en-GB"/>
        </w:rPr>
        <w:t>.</w:t>
      </w:r>
      <w:r w:rsidR="00386D28">
        <w:rPr>
          <w:lang w:val="en-GB"/>
        </w:rPr>
        <w:t xml:space="preserve"> However, we </w:t>
      </w:r>
      <w:r w:rsidR="00D2500B">
        <w:rPr>
          <w:lang w:val="en-GB"/>
        </w:rPr>
        <w:t>note</w:t>
      </w:r>
      <w:r w:rsidR="00386D28">
        <w:rPr>
          <w:lang w:val="en-GB"/>
        </w:rPr>
        <w:t xml:space="preserve"> that data quality regarding </w:t>
      </w:r>
      <w:r w:rsidR="00A006EB">
        <w:rPr>
          <w:lang w:val="en-GB"/>
        </w:rPr>
        <w:t xml:space="preserve">graft </w:t>
      </w:r>
      <w:r w:rsidR="00386D28">
        <w:rPr>
          <w:lang w:val="en-GB"/>
        </w:rPr>
        <w:t>data is not part of the validation exercises undertaken.</w:t>
      </w:r>
      <w:r w:rsidR="00BA6D0D">
        <w:rPr>
          <w:lang w:val="en-GB"/>
        </w:rPr>
        <w:t xml:space="preserve"> </w:t>
      </w:r>
      <w:r w:rsidR="00A82268">
        <w:rPr>
          <w:lang w:val="en-GB"/>
        </w:rPr>
        <w:t>O</w:t>
      </w:r>
      <w:r w:rsidR="00165B9F">
        <w:rPr>
          <w:lang w:val="en-GB"/>
        </w:rPr>
        <w:t>f these data, r</w:t>
      </w:r>
      <w:r w:rsidR="002448AE">
        <w:rPr>
          <w:lang w:val="en-GB"/>
        </w:rPr>
        <w:t xml:space="preserve">ecords </w:t>
      </w:r>
      <w:r w:rsidR="006E373C">
        <w:rPr>
          <w:lang w:val="en-GB"/>
        </w:rPr>
        <w:t>that contained missing data in</w:t>
      </w:r>
      <w:r w:rsidR="002448AE">
        <w:rPr>
          <w:lang w:val="en-GB"/>
        </w:rPr>
        <w:t xml:space="preserve"> database fields </w:t>
      </w:r>
      <w:r w:rsidR="006E373C">
        <w:rPr>
          <w:lang w:val="en-GB"/>
        </w:rPr>
        <w:t xml:space="preserve">(including vessel disease, graft conduit used, graft site, and number of grafts) </w:t>
      </w:r>
      <w:r w:rsidR="002448AE">
        <w:rPr>
          <w:lang w:val="en-GB"/>
        </w:rPr>
        <w:t>used to filter the complete NACSA registry</w:t>
      </w:r>
      <w:r w:rsidR="00E64A0C" w:rsidRPr="00E64A0C">
        <w:rPr>
          <w:lang w:val="en-GB"/>
        </w:rPr>
        <w:t xml:space="preserve"> </w:t>
      </w:r>
      <w:r w:rsidR="002448AE">
        <w:rPr>
          <w:lang w:val="en-GB"/>
        </w:rPr>
        <w:t xml:space="preserve">were not included. </w:t>
      </w:r>
      <w:r w:rsidR="006E373C">
        <w:rPr>
          <w:lang w:val="en-GB"/>
        </w:rPr>
        <w:t xml:space="preserve">Most notably, 8% of </w:t>
      </w:r>
      <w:r w:rsidR="00C17D76">
        <w:rPr>
          <w:lang w:val="en-GB"/>
        </w:rPr>
        <w:t xml:space="preserve">the initial 173,244 </w:t>
      </w:r>
      <w:r w:rsidR="006E373C">
        <w:rPr>
          <w:lang w:val="en-GB"/>
        </w:rPr>
        <w:t xml:space="preserve">records did not record </w:t>
      </w:r>
      <w:r w:rsidR="005F13DD">
        <w:rPr>
          <w:lang w:val="en-GB"/>
        </w:rPr>
        <w:t xml:space="preserve">extent of </w:t>
      </w:r>
      <w:r w:rsidR="006E373C">
        <w:rPr>
          <w:lang w:val="en-GB"/>
        </w:rPr>
        <w:t xml:space="preserve">vessel disease. </w:t>
      </w:r>
      <w:r w:rsidR="00303D6B">
        <w:rPr>
          <w:lang w:val="en-GB"/>
        </w:rPr>
        <w:t>The</w:t>
      </w:r>
      <w:r w:rsidR="000B0602">
        <w:rPr>
          <w:lang w:val="en-GB"/>
        </w:rPr>
        <w:t xml:space="preserve"> lack of validated operative complications outcome data, and unmeasured </w:t>
      </w:r>
      <w:r w:rsidR="00DF4050">
        <w:rPr>
          <w:lang w:val="en-GB"/>
        </w:rPr>
        <w:t xml:space="preserve">potential </w:t>
      </w:r>
      <w:r w:rsidR="000B0602">
        <w:rPr>
          <w:lang w:val="en-GB"/>
        </w:rPr>
        <w:t xml:space="preserve">confounders </w:t>
      </w:r>
      <w:r w:rsidR="001B2D9F">
        <w:rPr>
          <w:lang w:val="en-GB"/>
        </w:rPr>
        <w:t xml:space="preserve">(e.g. whether minimally invasive surgery was used or not) </w:t>
      </w:r>
      <w:r w:rsidR="000B0602">
        <w:rPr>
          <w:lang w:val="en-GB"/>
        </w:rPr>
        <w:t>limit the conclusions that can be drawn</w:t>
      </w:r>
      <w:r w:rsidR="001D73A7">
        <w:rPr>
          <w:lang w:val="en-GB"/>
        </w:rPr>
        <w:t xml:space="preserve"> also</w:t>
      </w:r>
      <w:r w:rsidR="000B0602">
        <w:rPr>
          <w:lang w:val="en-GB"/>
        </w:rPr>
        <w:t>.</w:t>
      </w:r>
    </w:p>
    <w:p w14:paraId="10CCB5C9" w14:textId="1B5FBED5" w:rsidR="000A5642" w:rsidRDefault="000A5642" w:rsidP="00487D2E">
      <w:pPr>
        <w:spacing w:after="200" w:line="360" w:lineRule="auto"/>
        <w:ind w:firstLine="720"/>
        <w:rPr>
          <w:lang w:val="en-GB"/>
        </w:rPr>
      </w:pPr>
      <w:r>
        <w:rPr>
          <w:lang w:val="en-GB"/>
        </w:rPr>
        <w:br w:type="page"/>
      </w:r>
    </w:p>
    <w:p w14:paraId="28CD18E5" w14:textId="57B26CE6" w:rsidR="00942CA3" w:rsidRPr="00C75A7E" w:rsidRDefault="00942CA3" w:rsidP="00487D2E">
      <w:pPr>
        <w:spacing w:after="200" w:line="360" w:lineRule="auto"/>
        <w:rPr>
          <w:b/>
          <w:color w:val="000000"/>
          <w:lang w:val="en-GB"/>
        </w:rPr>
      </w:pPr>
      <w:r w:rsidRPr="00C75A7E">
        <w:rPr>
          <w:b/>
          <w:color w:val="000000"/>
          <w:lang w:val="en-GB"/>
        </w:rPr>
        <w:lastRenderedPageBreak/>
        <w:t>CONCLUSIONS</w:t>
      </w:r>
    </w:p>
    <w:p w14:paraId="55E84BDF" w14:textId="2BA2E8D5" w:rsidR="00942CA3" w:rsidRPr="00C75A7E" w:rsidRDefault="000D25E7" w:rsidP="009A0494">
      <w:pPr>
        <w:spacing w:after="200" w:line="360" w:lineRule="auto"/>
        <w:ind w:firstLine="720"/>
        <w:rPr>
          <w:lang w:val="en-GB"/>
        </w:rPr>
      </w:pPr>
      <w:r>
        <w:rPr>
          <w:lang w:val="en-GB"/>
        </w:rPr>
        <w:t>Elective and urgent first-time CABG for isolated LAD disease is associated with excellent mid-term survival</w:t>
      </w:r>
      <w:r w:rsidR="00C42698">
        <w:rPr>
          <w:lang w:val="en-GB"/>
        </w:rPr>
        <w:t xml:space="preserve"> in the England and Wales population</w:t>
      </w:r>
      <w:r>
        <w:rPr>
          <w:lang w:val="en-GB"/>
        </w:rPr>
        <w:t xml:space="preserve">, regardless of bypass technique, conferring </w:t>
      </w:r>
      <w:r w:rsidR="009D5EAC">
        <w:rPr>
          <w:lang w:val="en-GB"/>
        </w:rPr>
        <w:t xml:space="preserve">5-year </w:t>
      </w:r>
      <w:r>
        <w:rPr>
          <w:lang w:val="en-GB"/>
        </w:rPr>
        <w:t xml:space="preserve">survival of 93.1% and 93.4% in the on-pump and off-pump groups respectively. </w:t>
      </w:r>
      <w:r w:rsidR="003274D6">
        <w:rPr>
          <w:lang w:val="en-GB"/>
        </w:rPr>
        <w:t xml:space="preserve">There was no difference in risk-adjusted survival between on-pump and off-pump techniques when analysing all procedures. </w:t>
      </w:r>
      <w:r w:rsidR="00D139C9">
        <w:rPr>
          <w:lang w:val="en-GB"/>
        </w:rPr>
        <w:t>Supportive analysis demonstrated that o</w:t>
      </w:r>
      <w:r w:rsidR="007909FE">
        <w:rPr>
          <w:lang w:val="en-GB"/>
        </w:rPr>
        <w:t>ff-</w:t>
      </w:r>
      <w:r w:rsidR="00942CA3" w:rsidRPr="00EC6D07">
        <w:rPr>
          <w:lang w:val="en-GB"/>
        </w:rPr>
        <w:t xml:space="preserve">pump surgery </w:t>
      </w:r>
      <w:r w:rsidR="00C42698">
        <w:rPr>
          <w:lang w:val="en-GB"/>
        </w:rPr>
        <w:t xml:space="preserve">performed by experienced surgeons with a preference for the off-pump technique in their CABG caseload </w:t>
      </w:r>
      <w:r w:rsidR="00D2500B">
        <w:rPr>
          <w:lang w:val="en-GB"/>
        </w:rPr>
        <w:t>is associated with improved</w:t>
      </w:r>
      <w:r w:rsidR="00942CA3" w:rsidRPr="00EC6D07">
        <w:rPr>
          <w:lang w:val="en-GB"/>
        </w:rPr>
        <w:t xml:space="preserve"> mid</w:t>
      </w:r>
      <w:r w:rsidR="00D2500B">
        <w:rPr>
          <w:lang w:val="en-GB"/>
        </w:rPr>
        <w:t>-</w:t>
      </w:r>
      <w:r w:rsidR="00942CA3" w:rsidRPr="00EC6D07">
        <w:rPr>
          <w:lang w:val="en-GB"/>
        </w:rPr>
        <w:t>term survival for isolated LAD dis</w:t>
      </w:r>
      <w:r w:rsidR="007909FE">
        <w:rPr>
          <w:lang w:val="en-GB"/>
        </w:rPr>
        <w:t>ease when compared to on-</w:t>
      </w:r>
      <w:r w:rsidR="00942CA3" w:rsidRPr="00EC6D07">
        <w:rPr>
          <w:lang w:val="en-GB"/>
        </w:rPr>
        <w:t xml:space="preserve">pump surgery </w:t>
      </w:r>
      <w:r w:rsidR="007909FE">
        <w:rPr>
          <w:lang w:val="en-GB"/>
        </w:rPr>
        <w:t xml:space="preserve">performed by </w:t>
      </w:r>
      <w:r w:rsidR="001E0F6C">
        <w:rPr>
          <w:lang w:val="en-GB"/>
        </w:rPr>
        <w:t>surgeons with a preference for the on-pump technique</w:t>
      </w:r>
      <w:r w:rsidR="00942CA3" w:rsidRPr="00EC6D07">
        <w:rPr>
          <w:lang w:val="en-GB"/>
        </w:rPr>
        <w:t>.</w:t>
      </w:r>
    </w:p>
    <w:p w14:paraId="12588862" w14:textId="77777777" w:rsidR="00C75A7E" w:rsidRPr="00C75A7E" w:rsidRDefault="00C75A7E" w:rsidP="00487D2E">
      <w:pPr>
        <w:spacing w:line="360" w:lineRule="auto"/>
        <w:rPr>
          <w:b/>
          <w:color w:val="000000"/>
          <w:lang w:val="en-GB"/>
        </w:rPr>
      </w:pPr>
      <w:r w:rsidRPr="00C75A7E">
        <w:rPr>
          <w:b/>
          <w:color w:val="000000"/>
          <w:lang w:val="en-GB"/>
        </w:rPr>
        <w:br w:type="page"/>
      </w:r>
    </w:p>
    <w:p w14:paraId="4BB397EE" w14:textId="35C2EF06" w:rsidR="00942CA3" w:rsidRPr="00C75A7E" w:rsidRDefault="00942CA3" w:rsidP="00487D2E">
      <w:pPr>
        <w:spacing w:after="200" w:line="360" w:lineRule="auto"/>
        <w:rPr>
          <w:b/>
          <w:color w:val="000000"/>
          <w:lang w:val="en-GB"/>
        </w:rPr>
      </w:pPr>
      <w:r w:rsidRPr="00C75A7E">
        <w:rPr>
          <w:b/>
          <w:color w:val="000000"/>
          <w:lang w:val="en-GB"/>
        </w:rPr>
        <w:lastRenderedPageBreak/>
        <w:t>ACKNOWLEDGEMENTS</w:t>
      </w:r>
    </w:p>
    <w:p w14:paraId="43D87135" w14:textId="77324EF5" w:rsidR="00942CA3" w:rsidRPr="00C75A7E" w:rsidRDefault="00942CA3" w:rsidP="00487D2E">
      <w:pPr>
        <w:spacing w:after="200" w:line="360" w:lineRule="auto"/>
        <w:ind w:firstLine="720"/>
        <w:rPr>
          <w:color w:val="000000"/>
          <w:lang w:val="en-GB"/>
        </w:rPr>
      </w:pPr>
      <w:r w:rsidRPr="00C75A7E">
        <w:rPr>
          <w:color w:val="000000"/>
          <w:lang w:val="en-GB"/>
        </w:rPr>
        <w:t>The authors acknowledge all members of the Society for Cardiothoracic Surgery in Great Britain and Ireland who contribute data to the SCTS database. The National Institute for Cardiovascular Outcomes Research</w:t>
      </w:r>
      <w:r w:rsidR="007A2297">
        <w:rPr>
          <w:color w:val="000000"/>
          <w:lang w:val="en-GB"/>
        </w:rPr>
        <w:t xml:space="preserve"> (NICOR)</w:t>
      </w:r>
      <w:r w:rsidRPr="00C75A7E">
        <w:rPr>
          <w:color w:val="000000"/>
          <w:lang w:val="en-GB"/>
        </w:rPr>
        <w:t xml:space="preserve">, </w:t>
      </w:r>
      <w:r w:rsidR="007A2297">
        <w:rPr>
          <w:color w:val="000000"/>
          <w:lang w:val="en-GB"/>
        </w:rPr>
        <w:t>University College London (</w:t>
      </w:r>
      <w:r w:rsidRPr="00C75A7E">
        <w:rPr>
          <w:color w:val="000000"/>
          <w:lang w:val="en-GB"/>
        </w:rPr>
        <w:t>UCL</w:t>
      </w:r>
      <w:r w:rsidR="007A2297">
        <w:rPr>
          <w:color w:val="000000"/>
          <w:lang w:val="en-GB"/>
        </w:rPr>
        <w:t>),</w:t>
      </w:r>
      <w:r w:rsidRPr="00C75A7E">
        <w:rPr>
          <w:color w:val="000000"/>
          <w:lang w:val="en-GB"/>
        </w:rPr>
        <w:t xml:space="preserve"> London, provided the data for this study.</w:t>
      </w:r>
    </w:p>
    <w:p w14:paraId="617BDFBC" w14:textId="77777777" w:rsidR="00942CA3" w:rsidRPr="00C75A7E" w:rsidRDefault="00942CA3" w:rsidP="00487D2E">
      <w:pPr>
        <w:spacing w:after="200" w:line="360" w:lineRule="auto"/>
        <w:rPr>
          <w:color w:val="000000"/>
          <w:lang w:val="en-GB"/>
        </w:rPr>
      </w:pPr>
    </w:p>
    <w:p w14:paraId="68431532" w14:textId="77777777" w:rsidR="00942CA3" w:rsidRPr="00C75A7E" w:rsidRDefault="00942CA3" w:rsidP="00487D2E">
      <w:pPr>
        <w:spacing w:after="200" w:line="360" w:lineRule="auto"/>
        <w:rPr>
          <w:b/>
          <w:color w:val="000000"/>
          <w:lang w:val="en-GB"/>
        </w:rPr>
      </w:pPr>
      <w:r w:rsidRPr="00C75A7E">
        <w:rPr>
          <w:b/>
          <w:color w:val="000000"/>
          <w:lang w:val="en-GB"/>
        </w:rPr>
        <w:t>FUNDING</w:t>
      </w:r>
    </w:p>
    <w:p w14:paraId="70912090" w14:textId="37F0167A" w:rsidR="00942CA3" w:rsidRPr="00C75A7E" w:rsidRDefault="00711FD7" w:rsidP="00711FD7">
      <w:pPr>
        <w:spacing w:after="200" w:line="360" w:lineRule="auto"/>
        <w:ind w:firstLine="720"/>
        <w:rPr>
          <w:color w:val="000000"/>
          <w:lang w:val="en-GB"/>
        </w:rPr>
      </w:pPr>
      <w:r>
        <w:rPr>
          <w:color w:val="000000"/>
          <w:lang w:val="en-GB"/>
        </w:rPr>
        <w:t>GLH was partly support</w:t>
      </w:r>
      <w:r w:rsidR="00DC5ED4">
        <w:rPr>
          <w:color w:val="000000"/>
          <w:lang w:val="en-GB"/>
        </w:rPr>
        <w:t>ed</w:t>
      </w:r>
      <w:r>
        <w:rPr>
          <w:color w:val="000000"/>
          <w:lang w:val="en-GB"/>
        </w:rPr>
        <w:t xml:space="preserve"> </w:t>
      </w:r>
      <w:r w:rsidR="00DC5ED4">
        <w:rPr>
          <w:color w:val="000000"/>
          <w:lang w:val="en-GB"/>
        </w:rPr>
        <w:t>by</w:t>
      </w:r>
      <w:r>
        <w:rPr>
          <w:color w:val="000000"/>
          <w:lang w:val="en-GB"/>
        </w:rPr>
        <w:t xml:space="preserve"> the </w:t>
      </w:r>
      <w:r w:rsidRPr="00711FD7">
        <w:rPr>
          <w:color w:val="000000"/>
          <w:lang w:val="en-GB"/>
        </w:rPr>
        <w:t>Medical Research Council funded Health e-Research Centre [MR/K006665/1].</w:t>
      </w:r>
    </w:p>
    <w:p w14:paraId="0A9B28C1" w14:textId="77777777" w:rsidR="00942CA3" w:rsidRPr="00C75A7E" w:rsidRDefault="00942CA3" w:rsidP="00487D2E">
      <w:pPr>
        <w:spacing w:after="200" w:line="360" w:lineRule="auto"/>
        <w:rPr>
          <w:color w:val="000000"/>
          <w:lang w:val="en-GB"/>
        </w:rPr>
      </w:pPr>
    </w:p>
    <w:p w14:paraId="7D773213" w14:textId="77777777" w:rsidR="00942CA3" w:rsidRPr="00C75A7E" w:rsidRDefault="00942CA3" w:rsidP="00487D2E">
      <w:pPr>
        <w:spacing w:after="200" w:line="360" w:lineRule="auto"/>
        <w:rPr>
          <w:b/>
          <w:color w:val="000000"/>
          <w:lang w:val="en-GB"/>
        </w:rPr>
      </w:pPr>
      <w:r w:rsidRPr="00C75A7E">
        <w:rPr>
          <w:b/>
          <w:color w:val="000000"/>
          <w:lang w:val="en-GB"/>
        </w:rPr>
        <w:t>CONFLICTS OF INTEREST</w:t>
      </w:r>
    </w:p>
    <w:p w14:paraId="60C90B6C" w14:textId="77777777" w:rsidR="00942CA3" w:rsidRDefault="00942CA3" w:rsidP="00487D2E">
      <w:pPr>
        <w:spacing w:after="200" w:line="360" w:lineRule="auto"/>
        <w:ind w:firstLine="720"/>
        <w:rPr>
          <w:color w:val="000000"/>
          <w:lang w:val="en-GB"/>
        </w:rPr>
      </w:pPr>
      <w:r w:rsidRPr="00C75A7E">
        <w:rPr>
          <w:color w:val="000000"/>
          <w:lang w:val="en-GB"/>
        </w:rPr>
        <w:t>No authors declare any conflicts of interest relevant to this study.</w:t>
      </w:r>
    </w:p>
    <w:p w14:paraId="6A7B2E47" w14:textId="4A2268C3" w:rsidR="00EC6D07" w:rsidRDefault="00EC6D07" w:rsidP="00487D2E">
      <w:pPr>
        <w:spacing w:line="360" w:lineRule="auto"/>
        <w:rPr>
          <w:color w:val="000000"/>
          <w:lang w:val="en-GB"/>
        </w:rPr>
      </w:pPr>
      <w:r>
        <w:rPr>
          <w:color w:val="000000"/>
          <w:lang w:val="en-GB"/>
        </w:rPr>
        <w:br w:type="page"/>
      </w:r>
    </w:p>
    <w:p w14:paraId="2519E0C0" w14:textId="15D007F3" w:rsidR="00EC6D07" w:rsidRPr="00EC6D07" w:rsidRDefault="00EC6D07" w:rsidP="000C0F7B">
      <w:pPr>
        <w:spacing w:after="120" w:line="360" w:lineRule="auto"/>
        <w:rPr>
          <w:b/>
          <w:color w:val="000000"/>
          <w:lang w:val="en-GB"/>
        </w:rPr>
      </w:pPr>
      <w:r w:rsidRPr="00EC6D07">
        <w:rPr>
          <w:b/>
          <w:color w:val="000000"/>
          <w:lang w:val="en-GB"/>
        </w:rPr>
        <w:lastRenderedPageBreak/>
        <w:t>REFERENCES</w:t>
      </w:r>
    </w:p>
    <w:p w14:paraId="211D4DF0" w14:textId="204A1EF7" w:rsidR="000C0F7B" w:rsidRPr="000C0F7B" w:rsidRDefault="00EC6D07" w:rsidP="000C0F7B">
      <w:pPr>
        <w:pStyle w:val="NormalWeb"/>
        <w:spacing w:after="120" w:afterAutospacing="0" w:line="360" w:lineRule="auto"/>
        <w:ind w:left="640" w:hanging="640"/>
        <w:divId w:val="148179303"/>
        <w:rPr>
          <w:rFonts w:ascii="Times New Roman" w:eastAsiaTheme="minorEastAsia" w:hAnsi="Times New Roman"/>
          <w:noProof/>
          <w:sz w:val="24"/>
        </w:rPr>
      </w:pPr>
      <w:r>
        <w:rPr>
          <w:color w:val="000000"/>
        </w:rPr>
        <w:fldChar w:fldCharType="begin" w:fldLock="1"/>
      </w:r>
      <w:r>
        <w:rPr>
          <w:color w:val="000000"/>
        </w:rPr>
        <w:instrText xml:space="preserve">ADDIN Mendeley Bibliography CSL_BIBLIOGRAPHY </w:instrText>
      </w:r>
      <w:r>
        <w:rPr>
          <w:color w:val="000000"/>
        </w:rPr>
        <w:fldChar w:fldCharType="separate"/>
      </w:r>
      <w:r w:rsidR="000C0F7B" w:rsidRPr="000C0F7B">
        <w:rPr>
          <w:rFonts w:ascii="Times New Roman" w:hAnsi="Times New Roman"/>
          <w:noProof/>
          <w:sz w:val="24"/>
        </w:rPr>
        <w:t>[1]</w:t>
      </w:r>
      <w:r w:rsidR="000C0F7B" w:rsidRPr="000C0F7B">
        <w:rPr>
          <w:rFonts w:ascii="Times New Roman" w:hAnsi="Times New Roman"/>
          <w:noProof/>
          <w:sz w:val="24"/>
        </w:rPr>
        <w:tab/>
        <w:t>Hattler B, Messenger JC, Shroyer AL, Collins JF, Haugen SJ, Garcia JA, et al. Off-Pump coronary artery bypass surgery is associated with worse arterial and saphenous vein graft patency and less effective revascularization: Results from the Veterans Affairs Randomized On/Off Bypass (ROOBY) trial. Circulation 2012;125:2827–35.</w:t>
      </w:r>
    </w:p>
    <w:p w14:paraId="7C43A7B5"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[2]</w:t>
      </w:r>
      <w:r w:rsidRPr="000C0F7B">
        <w:rPr>
          <w:rFonts w:ascii="Times New Roman" w:hAnsi="Times New Roman"/>
          <w:noProof/>
          <w:sz w:val="24"/>
        </w:rPr>
        <w:tab/>
        <w:t>Lamy A, Devereaux PJ, Prabhakaran D, Taggart DP, Hu S, Paolasso E, et al. Effects of off-pump and on-pump coronary-artery bypass grafting at 1 year. N Engl J Med 2013;368:1179–88.</w:t>
      </w:r>
    </w:p>
    <w:p w14:paraId="4A85BB72"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[3]</w:t>
      </w:r>
      <w:r w:rsidRPr="000C0F7B">
        <w:rPr>
          <w:rFonts w:ascii="Times New Roman" w:hAnsi="Times New Roman"/>
          <w:noProof/>
          <w:sz w:val="24"/>
        </w:rPr>
        <w:tab/>
        <w:t>Lamy A, Devereaux PJ, Prabhakaran D, Taggart DP, Hu S, Paolasso E, et al. Off-pump or on-pump coronary-artery bypass grafting at 30 days. N Engl J Med 2012;366:1489–97.</w:t>
      </w:r>
    </w:p>
    <w:p w14:paraId="0774E573"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[4]</w:t>
      </w:r>
      <w:r w:rsidRPr="000C0F7B">
        <w:rPr>
          <w:rFonts w:ascii="Times New Roman" w:hAnsi="Times New Roman"/>
          <w:noProof/>
          <w:sz w:val="24"/>
        </w:rPr>
        <w:tab/>
        <w:t>Diegeler A, Börgermann J, Kappert U, Breuer M, Böning A, Ursulescu A, et al. Off-pump versus on-pump coronary-artery bypass grafting in elderly patients. N Engl J Med 2013;368:1189–98.</w:t>
      </w:r>
    </w:p>
    <w:p w14:paraId="2A9328DF"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[5]</w:t>
      </w:r>
      <w:r w:rsidRPr="000C0F7B">
        <w:rPr>
          <w:rFonts w:ascii="Times New Roman" w:hAnsi="Times New Roman"/>
          <w:noProof/>
          <w:sz w:val="24"/>
        </w:rPr>
        <w:tab/>
        <w:t>Lytle BW, Loop FD, Thurer RL, Groves LK, Taylor PC, Cosgrove DM. Isolated left anterior descending coronary atherosclerosis: long-term comparison of internal mammary artery and venous autografts. Circulation 1980;61:869–74.</w:t>
      </w:r>
    </w:p>
    <w:p w14:paraId="6A93C069"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[6]</w:t>
      </w:r>
      <w:r w:rsidRPr="000C0F7B">
        <w:rPr>
          <w:rFonts w:ascii="Times New Roman" w:hAnsi="Times New Roman"/>
          <w:noProof/>
          <w:sz w:val="24"/>
        </w:rPr>
        <w:tab/>
        <w:t>Hickey GL, Grant SW, Cosgriff R, Dimarakis I, Pagano D, Kappetein AP, et al. Clinical registries: governance, management, analysis and applications. Eur J Cardio-Thoracic Surg 2013;44:605–14.</w:t>
      </w:r>
    </w:p>
    <w:p w14:paraId="41496E56"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[7]</w:t>
      </w:r>
      <w:r w:rsidRPr="000C0F7B">
        <w:rPr>
          <w:rFonts w:ascii="Times New Roman" w:hAnsi="Times New Roman"/>
          <w:noProof/>
          <w:sz w:val="24"/>
        </w:rPr>
        <w:tab/>
        <w:t>Hickey GL, Cosgriff R, Grant SW, Cooper G, Deanfield J, Roxburgh JC, et al. A technical review of the United Kingdom National Adult Cardiac Surgery Governance Analysis 2008-11. Eur J Cardio-Thoracic Surg 2014;45:225–33.</w:t>
      </w:r>
    </w:p>
    <w:p w14:paraId="391AAC30"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[8]</w:t>
      </w:r>
      <w:r w:rsidRPr="000C0F7B">
        <w:rPr>
          <w:rFonts w:ascii="Times New Roman" w:hAnsi="Times New Roman"/>
          <w:noProof/>
          <w:sz w:val="24"/>
        </w:rPr>
        <w:tab/>
        <w:t>Roques F. The logistic EuroSCORE. Eur Heart J 2003;24:1–2.</w:t>
      </w:r>
    </w:p>
    <w:p w14:paraId="4F4C8A33"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[9]</w:t>
      </w:r>
      <w:r w:rsidRPr="000C0F7B">
        <w:rPr>
          <w:rFonts w:ascii="Times New Roman" w:hAnsi="Times New Roman"/>
          <w:noProof/>
          <w:sz w:val="24"/>
        </w:rPr>
        <w:tab/>
        <w:t xml:space="preserve">Normand S-LT, Landrum MB, Guadagnoli E, Ayanian JZ, Ryan TJ, Cleary PD, et al. Validating recommendations for coronary angiography following acute myocardial </w:t>
      </w:r>
      <w:r w:rsidRPr="000C0F7B">
        <w:rPr>
          <w:rFonts w:ascii="Times New Roman" w:hAnsi="Times New Roman"/>
          <w:noProof/>
          <w:sz w:val="24"/>
        </w:rPr>
        <w:lastRenderedPageBreak/>
        <w:t>infarction in the elderly: A matched analysis using propensity scores. J Clin Epidemiol 2001;54:387–98.</w:t>
      </w:r>
    </w:p>
    <w:p w14:paraId="465E9B6C"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[10]</w:t>
      </w:r>
      <w:r w:rsidRPr="000C0F7B">
        <w:rPr>
          <w:rFonts w:ascii="Times New Roman" w:hAnsi="Times New Roman"/>
          <w:noProof/>
          <w:sz w:val="24"/>
        </w:rPr>
        <w:tab/>
        <w:t>Cox DR. Regression models and life-tables. J R Stat Soc Ser B Stat Methodol 1972;34:187–220.</w:t>
      </w:r>
    </w:p>
    <w:p w14:paraId="367D505B"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[11]</w:t>
      </w:r>
      <w:r w:rsidRPr="000C0F7B">
        <w:rPr>
          <w:rFonts w:ascii="Times New Roman" w:hAnsi="Times New Roman"/>
          <w:noProof/>
          <w:sz w:val="24"/>
        </w:rPr>
        <w:tab/>
        <w:t>Therneau TM, Grambsch PM, Fleming TR. Martingale-based residuals for survival models. Biometrika 1990;77:147–60.</w:t>
      </w:r>
    </w:p>
    <w:p w14:paraId="00808FE6"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[12]</w:t>
      </w:r>
      <w:r w:rsidRPr="000C0F7B">
        <w:rPr>
          <w:rFonts w:ascii="Times New Roman" w:hAnsi="Times New Roman"/>
          <w:noProof/>
          <w:sz w:val="24"/>
        </w:rPr>
        <w:tab/>
        <w:t>Grambsch PM, Therneau TM. Proportional hazard tests and diagnostics based on weighted residuals. Biometrika 1994;81:515–26.</w:t>
      </w:r>
    </w:p>
    <w:p w14:paraId="5F1D200D"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[13]</w:t>
      </w:r>
      <w:r w:rsidRPr="000C0F7B">
        <w:rPr>
          <w:rFonts w:ascii="Times New Roman" w:hAnsi="Times New Roman"/>
          <w:noProof/>
          <w:sz w:val="24"/>
        </w:rPr>
        <w:tab/>
        <w:t>Therneau TM, Grambsch PM. Modeling Survival Data: Extending the Cox Model. New Jersey: Springer-Verlag; 2000.</w:t>
      </w:r>
    </w:p>
    <w:p w14:paraId="7B638716"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[14]</w:t>
      </w:r>
      <w:r w:rsidRPr="000C0F7B">
        <w:rPr>
          <w:rFonts w:ascii="Times New Roman" w:hAnsi="Times New Roman"/>
          <w:noProof/>
          <w:sz w:val="24"/>
        </w:rPr>
        <w:tab/>
        <w:t>Harrell Jr FE. Regression Modeling Strategies: With Applications to Linear Models, Logistic Regression, and Survival Analysis. New York: Springer; 2001.</w:t>
      </w:r>
    </w:p>
    <w:p w14:paraId="34423FAB"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[15]</w:t>
      </w:r>
      <w:r w:rsidRPr="000C0F7B">
        <w:rPr>
          <w:rFonts w:ascii="Times New Roman" w:hAnsi="Times New Roman"/>
          <w:noProof/>
          <w:sz w:val="24"/>
        </w:rPr>
        <w:tab/>
        <w:t>O’Keefe JH, Kreamer TR, Jones PG, Vacek JL, Gorton ME, Muehlebach GF, et al. Isolated left anterior descending coronary artery disease : percutaneous transluminal Coronary angioplasty versus stenting versus left internal mammary artery bypass grafting. Circulation 1999;100:II – 114 – II – 118.</w:t>
      </w:r>
    </w:p>
    <w:p w14:paraId="6C915384"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[16]</w:t>
      </w:r>
      <w:r w:rsidRPr="000C0F7B">
        <w:rPr>
          <w:rFonts w:ascii="Times New Roman" w:hAnsi="Times New Roman"/>
          <w:noProof/>
          <w:sz w:val="24"/>
        </w:rPr>
        <w:tab/>
        <w:t>Hannan EL, Zhong Y, Walford G, Holmes DR, Venditti FJ, Berger PB, et al. Coronary artery bypass graft surgery versus drug-eluting stents for patients with isolated proximal left anterior descending disease. J Am Coll Cardiol 2014;64:2717–26.</w:t>
      </w:r>
    </w:p>
    <w:p w14:paraId="1E3DEB56"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[17]</w:t>
      </w:r>
      <w:r w:rsidRPr="000C0F7B">
        <w:rPr>
          <w:rFonts w:ascii="Times New Roman" w:hAnsi="Times New Roman"/>
          <w:noProof/>
          <w:sz w:val="24"/>
        </w:rPr>
        <w:tab/>
        <w:t>Davierwala P, Mohr F-W. Five years after the SYNTAX trial: what have we learnt? Eur J Cardio-Thoracic Surg 2013;44:1–3.</w:t>
      </w:r>
    </w:p>
    <w:p w14:paraId="487A09CC"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[18]</w:t>
      </w:r>
      <w:r w:rsidRPr="000C0F7B">
        <w:rPr>
          <w:rFonts w:ascii="Times New Roman" w:hAnsi="Times New Roman"/>
          <w:noProof/>
          <w:sz w:val="24"/>
        </w:rPr>
        <w:tab/>
        <w:t>Diegeler A, Spyrantis N, Matin M, Falk V, Hambrecht R, Autschbach R, et al. The revival of surgical treatment for isolated proximal high grade LAD lesions by minimally invasive coronary artery bypass grafting. Eur J Cardio-Thoracic Surg 2000;17:501–4.</w:t>
      </w:r>
    </w:p>
    <w:p w14:paraId="0CD6C2DC"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lastRenderedPageBreak/>
        <w:t>[19]</w:t>
      </w:r>
      <w:r w:rsidRPr="000C0F7B">
        <w:rPr>
          <w:rFonts w:ascii="Times New Roman" w:hAnsi="Times New Roman"/>
          <w:noProof/>
          <w:sz w:val="24"/>
        </w:rPr>
        <w:tab/>
        <w:t>Patel NC, Grayson AD, Jackson M, Au J, Yonan N, Hasan R, et al. The effect off-pump coronary artery bypass surgery on in-hospital mortality and morbidity. Eur J Cardio-Thoracic Surg 2002;22:255–60.</w:t>
      </w:r>
    </w:p>
    <w:p w14:paraId="25FE2D0B"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[20]</w:t>
      </w:r>
      <w:r w:rsidRPr="000C0F7B">
        <w:rPr>
          <w:rFonts w:ascii="Times New Roman" w:hAnsi="Times New Roman"/>
          <w:noProof/>
          <w:sz w:val="24"/>
        </w:rPr>
        <w:tab/>
        <w:t>Moss E, Puskas JD, Thourani VH, Kilgo P, Chen EP, Leshnower BG, et al. Avoiding aortic clamping during coronary artery bypass grafting reduces postoperative stroke. J Thorac Cardiovasc Surg 2015;149:175–80.</w:t>
      </w:r>
    </w:p>
    <w:p w14:paraId="2312BE8A"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[21]</w:t>
      </w:r>
      <w:r w:rsidRPr="000C0F7B">
        <w:rPr>
          <w:rFonts w:ascii="Times New Roman" w:hAnsi="Times New Roman"/>
          <w:noProof/>
          <w:sz w:val="24"/>
        </w:rPr>
        <w:tab/>
        <w:t>Manabe S, Fukui T, Miyajima K, Watanabe Y, Matsuyama S, Shimokawa T, et al. Impact of proximal anastomosis procedures on stroke in off-pump coronary artery bypass grafting. J Card Surg 2009;24:644–9.</w:t>
      </w:r>
    </w:p>
    <w:p w14:paraId="212468CF"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[22]</w:t>
      </w:r>
      <w:r w:rsidRPr="000C0F7B">
        <w:rPr>
          <w:rFonts w:ascii="Times New Roman" w:hAnsi="Times New Roman"/>
          <w:noProof/>
          <w:sz w:val="24"/>
        </w:rPr>
        <w:tab/>
        <w:t>Hannan EL, Wu C, Ryan TJ, Bennett E, Culliford AT, Gold JP, et al. Do hospitals and surgeons with higher coronary artery bypass graft surgery volumes still have lower risk-adjusted mortality rates? Circulation 2003;108:795–801.</w:t>
      </w:r>
    </w:p>
    <w:p w14:paraId="0CD59B47"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[23]</w:t>
      </w:r>
      <w:r w:rsidRPr="000C0F7B">
        <w:rPr>
          <w:rFonts w:ascii="Times New Roman" w:hAnsi="Times New Roman"/>
          <w:noProof/>
          <w:sz w:val="24"/>
        </w:rPr>
        <w:tab/>
        <w:t>Loop FD, Lytle BW, Cosgrove DM, Golding LA, Taylor PC, Stewart RW. Free (aorta-coronary) internal mammary artery graft. Late results. J Thorac Cardiovasc Surg 1986;92:827–31.</w:t>
      </w:r>
    </w:p>
    <w:p w14:paraId="79B2B09B"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[24]</w:t>
      </w:r>
      <w:r w:rsidRPr="000C0F7B">
        <w:rPr>
          <w:rFonts w:ascii="Times New Roman" w:hAnsi="Times New Roman"/>
          <w:noProof/>
          <w:sz w:val="24"/>
        </w:rPr>
        <w:tab/>
        <w:t>Hickey GL, Grant SW, Freemantle N, Cunningham D, Munsch CM, Livesey S, et al. Surgeon length of service and risk-adjusted outcomes: linked observational analysis of the UK National Adult Cardiac Surgery Audit Registry and General Medical Council Register. J R Soc Med 2014;107:355–64.</w:t>
      </w:r>
    </w:p>
    <w:p w14:paraId="572E24E4" w14:textId="77777777" w:rsidR="000C0F7B" w:rsidRPr="000C0F7B" w:rsidRDefault="000C0F7B" w:rsidP="000C0F7B">
      <w:pPr>
        <w:pStyle w:val="NormalWeb"/>
        <w:spacing w:after="120" w:afterAutospacing="0" w:line="360" w:lineRule="auto"/>
        <w:ind w:left="640" w:hanging="640"/>
        <w:divId w:val="148179303"/>
        <w:rPr>
          <w:rFonts w:ascii="Times New Roman" w:hAnsi="Times New Roman"/>
          <w:noProof/>
          <w:sz w:val="24"/>
        </w:rPr>
      </w:pPr>
      <w:r w:rsidRPr="000C0F7B">
        <w:rPr>
          <w:rFonts w:ascii="Times New Roman" w:hAnsi="Times New Roman"/>
          <w:noProof/>
          <w:sz w:val="24"/>
        </w:rPr>
        <w:t>[25]</w:t>
      </w:r>
      <w:r w:rsidRPr="000C0F7B">
        <w:rPr>
          <w:rFonts w:ascii="Times New Roman" w:hAnsi="Times New Roman"/>
          <w:noProof/>
          <w:sz w:val="24"/>
        </w:rPr>
        <w:tab/>
        <w:t xml:space="preserve">Sepehripour AH, Athanasiou T. Is there a surgeon or hospital volume-outcome relationship in off-pump coronary artery bypass surgery? Interact Cardiovasc Thorac Surg 2013;16:202–7. </w:t>
      </w:r>
    </w:p>
    <w:p w14:paraId="02DDE613" w14:textId="3DF9C370" w:rsidR="00EC6D07" w:rsidRPr="00C75A7E" w:rsidRDefault="00EC6D07" w:rsidP="000C0F7B">
      <w:pPr>
        <w:pStyle w:val="NormalWeb"/>
        <w:spacing w:after="120" w:afterAutospacing="0" w:line="360" w:lineRule="auto"/>
        <w:ind w:left="640" w:hanging="640"/>
        <w:divId w:val="467166633"/>
        <w:rPr>
          <w:color w:val="000000"/>
        </w:rPr>
      </w:pPr>
      <w:r>
        <w:rPr>
          <w:color w:val="000000"/>
        </w:rPr>
        <w:fldChar w:fldCharType="end"/>
      </w:r>
    </w:p>
    <w:p w14:paraId="1BC80647" w14:textId="77777777" w:rsidR="00942CA3" w:rsidRPr="00C75A7E" w:rsidRDefault="00942CA3" w:rsidP="00487D2E">
      <w:pPr>
        <w:spacing w:after="200" w:line="360" w:lineRule="auto"/>
        <w:rPr>
          <w:b/>
          <w:color w:val="000000"/>
          <w:lang w:val="en-GB"/>
        </w:rPr>
      </w:pPr>
      <w:r w:rsidRPr="00C75A7E">
        <w:rPr>
          <w:color w:val="000000"/>
          <w:lang w:val="en-GB"/>
        </w:rPr>
        <w:t xml:space="preserve"> </w:t>
      </w:r>
      <w:r w:rsidRPr="00C75A7E">
        <w:rPr>
          <w:color w:val="000000"/>
          <w:lang w:val="en-GB"/>
        </w:rPr>
        <w:br w:type="page"/>
      </w:r>
      <w:r w:rsidRPr="00C75A7E">
        <w:rPr>
          <w:b/>
          <w:color w:val="000000"/>
          <w:lang w:val="en-GB"/>
        </w:rPr>
        <w:lastRenderedPageBreak/>
        <w:t xml:space="preserve"> </w:t>
      </w:r>
      <w:bookmarkStart w:id="1" w:name="RMRefList_lima_to_lad3"/>
      <w:r w:rsidRPr="00C75A7E">
        <w:rPr>
          <w:b/>
          <w:color w:val="000000"/>
          <w:lang w:val="en-GB"/>
        </w:rPr>
        <w:t>Table 1.</w:t>
      </w:r>
      <w:r w:rsidRPr="00C75A7E">
        <w:rPr>
          <w:color w:val="000000"/>
          <w:lang w:val="en-GB"/>
        </w:rPr>
        <w:t xml:space="preserve"> Patient and operative characteristics data by CPB technique with statistical comparison.</w:t>
      </w:r>
    </w:p>
    <w:tbl>
      <w:tblPr>
        <w:tblW w:w="10155" w:type="dxa"/>
        <w:jc w:val="center"/>
        <w:tblBorders>
          <w:top w:val="single" w:sz="18" w:space="0" w:color="auto"/>
          <w:bottom w:val="single" w:sz="18" w:space="0" w:color="auto"/>
        </w:tblBorders>
        <w:tblLayout w:type="fixed"/>
        <w:tblLook w:val="00A0" w:firstRow="1" w:lastRow="0" w:firstColumn="1" w:lastColumn="0" w:noHBand="0" w:noVBand="0"/>
      </w:tblPr>
      <w:tblGrid>
        <w:gridCol w:w="2802"/>
        <w:gridCol w:w="906"/>
        <w:gridCol w:w="907"/>
        <w:gridCol w:w="906"/>
        <w:gridCol w:w="907"/>
        <w:gridCol w:w="906"/>
        <w:gridCol w:w="907"/>
        <w:gridCol w:w="907"/>
        <w:gridCol w:w="1007"/>
      </w:tblGrid>
      <w:tr w:rsidR="00942CA3" w:rsidRPr="006F5754" w14:paraId="66E43D8D" w14:textId="77777777" w:rsidTr="009F4750">
        <w:trPr>
          <w:trHeight w:val="300"/>
          <w:jc w:val="center"/>
        </w:trPr>
        <w:tc>
          <w:tcPr>
            <w:tcW w:w="2802" w:type="dxa"/>
            <w:tcBorders>
              <w:top w:val="single" w:sz="18" w:space="0" w:color="auto"/>
              <w:bottom w:val="single" w:sz="18" w:space="0" w:color="auto"/>
            </w:tcBorders>
            <w:noWrap/>
          </w:tcPr>
          <w:p w14:paraId="63A595AD" w14:textId="77777777" w:rsidR="00942CA3" w:rsidRPr="006F5754" w:rsidRDefault="00942CA3" w:rsidP="00487D2E">
            <w:pPr>
              <w:spacing w:after="200" w:line="360" w:lineRule="auto"/>
              <w:rPr>
                <w:b/>
                <w:color w:val="000000"/>
              </w:rPr>
            </w:pPr>
          </w:p>
        </w:tc>
        <w:tc>
          <w:tcPr>
            <w:tcW w:w="1813" w:type="dxa"/>
            <w:gridSpan w:val="2"/>
            <w:tcBorders>
              <w:top w:val="single" w:sz="18" w:space="0" w:color="auto"/>
              <w:bottom w:val="single" w:sz="18" w:space="0" w:color="auto"/>
            </w:tcBorders>
            <w:noWrap/>
          </w:tcPr>
          <w:p w14:paraId="626BFD6A" w14:textId="77777777" w:rsidR="00942CA3" w:rsidRPr="006F5754" w:rsidRDefault="00942CA3" w:rsidP="00487D2E">
            <w:pPr>
              <w:spacing w:after="200" w:line="360" w:lineRule="auto"/>
              <w:jc w:val="center"/>
              <w:rPr>
                <w:b/>
                <w:color w:val="000000"/>
              </w:rPr>
            </w:pPr>
            <w:r w:rsidRPr="006F5754">
              <w:rPr>
                <w:b/>
                <w:color w:val="000000"/>
              </w:rPr>
              <w:t>Overall</w:t>
            </w:r>
          </w:p>
        </w:tc>
        <w:tc>
          <w:tcPr>
            <w:tcW w:w="1813" w:type="dxa"/>
            <w:gridSpan w:val="2"/>
            <w:tcBorders>
              <w:top w:val="single" w:sz="18" w:space="0" w:color="auto"/>
              <w:bottom w:val="single" w:sz="18" w:space="0" w:color="auto"/>
            </w:tcBorders>
            <w:noWrap/>
          </w:tcPr>
          <w:p w14:paraId="63E5B71A" w14:textId="77777777" w:rsidR="00942CA3" w:rsidRPr="006F5754" w:rsidRDefault="00942CA3" w:rsidP="00487D2E">
            <w:pPr>
              <w:spacing w:after="200" w:line="360" w:lineRule="auto"/>
              <w:jc w:val="center"/>
              <w:rPr>
                <w:b/>
                <w:color w:val="000000"/>
              </w:rPr>
            </w:pPr>
            <w:r w:rsidRPr="006F5754">
              <w:rPr>
                <w:b/>
                <w:color w:val="000000"/>
              </w:rPr>
              <w:t>On-pump</w:t>
            </w:r>
          </w:p>
        </w:tc>
        <w:tc>
          <w:tcPr>
            <w:tcW w:w="1813" w:type="dxa"/>
            <w:gridSpan w:val="2"/>
            <w:tcBorders>
              <w:top w:val="single" w:sz="18" w:space="0" w:color="auto"/>
              <w:bottom w:val="single" w:sz="18" w:space="0" w:color="auto"/>
            </w:tcBorders>
            <w:noWrap/>
          </w:tcPr>
          <w:p w14:paraId="7EAE5A5A" w14:textId="77777777" w:rsidR="00942CA3" w:rsidRPr="006F5754" w:rsidRDefault="00942CA3" w:rsidP="00487D2E">
            <w:pPr>
              <w:spacing w:after="200" w:line="360" w:lineRule="auto"/>
              <w:jc w:val="center"/>
              <w:rPr>
                <w:b/>
                <w:color w:val="000000"/>
              </w:rPr>
            </w:pPr>
            <w:r w:rsidRPr="006F5754">
              <w:rPr>
                <w:b/>
                <w:color w:val="000000"/>
              </w:rPr>
              <w:t>Off-pump</w:t>
            </w:r>
          </w:p>
        </w:tc>
        <w:tc>
          <w:tcPr>
            <w:tcW w:w="907" w:type="dxa"/>
            <w:tcBorders>
              <w:top w:val="single" w:sz="18" w:space="0" w:color="auto"/>
              <w:bottom w:val="single" w:sz="18" w:space="0" w:color="auto"/>
            </w:tcBorders>
            <w:noWrap/>
          </w:tcPr>
          <w:p w14:paraId="01CD1CD8" w14:textId="77777777" w:rsidR="00942CA3" w:rsidRPr="006F5754" w:rsidRDefault="00942CA3" w:rsidP="00487D2E">
            <w:pPr>
              <w:spacing w:after="200" w:line="360" w:lineRule="auto"/>
              <w:jc w:val="center"/>
              <w:rPr>
                <w:b/>
                <w:i/>
                <w:color w:val="000000"/>
              </w:rPr>
            </w:pPr>
            <w:r w:rsidRPr="006F5754">
              <w:rPr>
                <w:b/>
                <w:color w:val="000000"/>
              </w:rPr>
              <w:t>Δ (%)</w:t>
            </w:r>
          </w:p>
        </w:tc>
        <w:tc>
          <w:tcPr>
            <w:tcW w:w="1007" w:type="dxa"/>
            <w:tcBorders>
              <w:top w:val="single" w:sz="18" w:space="0" w:color="auto"/>
              <w:bottom w:val="single" w:sz="18" w:space="0" w:color="auto"/>
            </w:tcBorders>
          </w:tcPr>
          <w:p w14:paraId="34D83E8C" w14:textId="77777777" w:rsidR="00942CA3" w:rsidRPr="006F5754" w:rsidRDefault="00942CA3" w:rsidP="00487D2E">
            <w:pPr>
              <w:spacing w:after="200" w:line="360" w:lineRule="auto"/>
              <w:jc w:val="center"/>
              <w:rPr>
                <w:b/>
                <w:i/>
                <w:color w:val="000000"/>
              </w:rPr>
            </w:pPr>
            <w:r w:rsidRPr="006F5754">
              <w:rPr>
                <w:b/>
                <w:i/>
                <w:color w:val="000000"/>
              </w:rPr>
              <w:t>P</w:t>
            </w:r>
          </w:p>
        </w:tc>
      </w:tr>
      <w:tr w:rsidR="00942CA3" w:rsidRPr="006F5754" w14:paraId="5239876B" w14:textId="77777777" w:rsidTr="009F4750">
        <w:trPr>
          <w:trHeight w:val="300"/>
          <w:jc w:val="center"/>
        </w:trPr>
        <w:tc>
          <w:tcPr>
            <w:tcW w:w="2802" w:type="dxa"/>
            <w:tcBorders>
              <w:top w:val="single" w:sz="18" w:space="0" w:color="auto"/>
              <w:bottom w:val="single" w:sz="4" w:space="0" w:color="auto"/>
            </w:tcBorders>
            <w:noWrap/>
          </w:tcPr>
          <w:p w14:paraId="5D1A4002" w14:textId="77777777" w:rsidR="00942CA3" w:rsidRPr="006F5754" w:rsidRDefault="00942CA3" w:rsidP="00487D2E">
            <w:pPr>
              <w:spacing w:after="200" w:line="360" w:lineRule="auto"/>
              <w:rPr>
                <w:color w:val="000000"/>
              </w:rPr>
            </w:pPr>
            <w:r w:rsidRPr="006F5754">
              <w:rPr>
                <w:color w:val="000000"/>
              </w:rPr>
              <w:t>Total number</w:t>
            </w:r>
          </w:p>
        </w:tc>
        <w:tc>
          <w:tcPr>
            <w:tcW w:w="1813" w:type="dxa"/>
            <w:gridSpan w:val="2"/>
            <w:tcBorders>
              <w:top w:val="single" w:sz="18" w:space="0" w:color="auto"/>
              <w:bottom w:val="single" w:sz="4" w:space="0" w:color="auto"/>
            </w:tcBorders>
            <w:noWrap/>
          </w:tcPr>
          <w:p w14:paraId="53167B3F" w14:textId="62624CD0" w:rsidR="00942CA3" w:rsidRPr="006F5754" w:rsidRDefault="00942CA3" w:rsidP="00B41C60">
            <w:pPr>
              <w:spacing w:after="200" w:line="360" w:lineRule="auto"/>
              <w:jc w:val="center"/>
              <w:rPr>
                <w:color w:val="000000"/>
              </w:rPr>
            </w:pPr>
            <w:r w:rsidRPr="006F5754">
              <w:rPr>
                <w:i/>
                <w:color w:val="000000"/>
              </w:rPr>
              <w:t>n</w:t>
            </w:r>
            <w:r w:rsidR="00243EF3" w:rsidRPr="006F5754">
              <w:rPr>
                <w:i/>
                <w:color w:val="000000"/>
              </w:rPr>
              <w:t>=</w:t>
            </w:r>
            <w:r w:rsidR="00B41C60" w:rsidRPr="006F5754">
              <w:rPr>
                <w:color w:val="000000"/>
              </w:rPr>
              <w:t>3402</w:t>
            </w:r>
          </w:p>
        </w:tc>
        <w:tc>
          <w:tcPr>
            <w:tcW w:w="1813" w:type="dxa"/>
            <w:gridSpan w:val="2"/>
            <w:tcBorders>
              <w:top w:val="single" w:sz="18" w:space="0" w:color="auto"/>
              <w:bottom w:val="single" w:sz="4" w:space="0" w:color="auto"/>
            </w:tcBorders>
            <w:noWrap/>
          </w:tcPr>
          <w:p w14:paraId="2082F6A8" w14:textId="091BD2D8" w:rsidR="00942CA3" w:rsidRPr="006F5754" w:rsidRDefault="00942CA3" w:rsidP="00B41C60">
            <w:pPr>
              <w:spacing w:after="200" w:line="360" w:lineRule="auto"/>
              <w:jc w:val="center"/>
              <w:rPr>
                <w:color w:val="000000"/>
              </w:rPr>
            </w:pPr>
            <w:r w:rsidRPr="006F5754">
              <w:rPr>
                <w:i/>
                <w:color w:val="000000"/>
              </w:rPr>
              <w:t>n</w:t>
            </w:r>
            <w:r w:rsidR="00243EF3" w:rsidRPr="006F5754">
              <w:rPr>
                <w:i/>
                <w:color w:val="000000"/>
              </w:rPr>
              <w:t>=</w:t>
            </w:r>
            <w:r w:rsidR="00B41C60" w:rsidRPr="006F5754">
              <w:rPr>
                <w:color w:val="000000"/>
              </w:rPr>
              <w:t>1173</w:t>
            </w:r>
          </w:p>
        </w:tc>
        <w:tc>
          <w:tcPr>
            <w:tcW w:w="1813" w:type="dxa"/>
            <w:gridSpan w:val="2"/>
            <w:tcBorders>
              <w:top w:val="single" w:sz="18" w:space="0" w:color="auto"/>
              <w:bottom w:val="single" w:sz="4" w:space="0" w:color="auto"/>
            </w:tcBorders>
            <w:noWrap/>
          </w:tcPr>
          <w:p w14:paraId="5B3D4B8B" w14:textId="07ECFC21" w:rsidR="00942CA3" w:rsidRPr="006F5754" w:rsidRDefault="00942CA3" w:rsidP="00B41C60">
            <w:pPr>
              <w:spacing w:after="200" w:line="360" w:lineRule="auto"/>
              <w:jc w:val="center"/>
              <w:rPr>
                <w:color w:val="000000"/>
              </w:rPr>
            </w:pPr>
            <w:r w:rsidRPr="006F5754">
              <w:rPr>
                <w:i/>
                <w:color w:val="000000"/>
              </w:rPr>
              <w:t>n</w:t>
            </w:r>
            <w:r w:rsidR="00243EF3" w:rsidRPr="006F5754">
              <w:rPr>
                <w:i/>
                <w:color w:val="000000"/>
              </w:rPr>
              <w:t>=</w:t>
            </w:r>
            <w:r w:rsidR="00B41C60" w:rsidRPr="006F5754">
              <w:rPr>
                <w:color w:val="000000"/>
              </w:rPr>
              <w:t>2229</w:t>
            </w:r>
          </w:p>
        </w:tc>
        <w:tc>
          <w:tcPr>
            <w:tcW w:w="907" w:type="dxa"/>
            <w:tcBorders>
              <w:top w:val="single" w:sz="18" w:space="0" w:color="auto"/>
              <w:bottom w:val="single" w:sz="4" w:space="0" w:color="auto"/>
            </w:tcBorders>
            <w:noWrap/>
          </w:tcPr>
          <w:p w14:paraId="5987FC65" w14:textId="77777777" w:rsidR="00942CA3" w:rsidRPr="006F5754" w:rsidRDefault="00942CA3" w:rsidP="00487D2E">
            <w:pPr>
              <w:spacing w:after="200" w:line="360" w:lineRule="auto"/>
              <w:jc w:val="right"/>
              <w:rPr>
                <w:color w:val="000000"/>
              </w:rPr>
            </w:pPr>
          </w:p>
        </w:tc>
        <w:tc>
          <w:tcPr>
            <w:tcW w:w="1007" w:type="dxa"/>
            <w:tcBorders>
              <w:top w:val="single" w:sz="18" w:space="0" w:color="auto"/>
              <w:bottom w:val="single" w:sz="4" w:space="0" w:color="auto"/>
            </w:tcBorders>
          </w:tcPr>
          <w:p w14:paraId="50EA93EB" w14:textId="77777777" w:rsidR="00942CA3" w:rsidRPr="006F5754" w:rsidRDefault="00942CA3" w:rsidP="00487D2E">
            <w:pPr>
              <w:spacing w:after="200" w:line="360" w:lineRule="auto"/>
              <w:jc w:val="right"/>
              <w:rPr>
                <w:color w:val="000000"/>
              </w:rPr>
            </w:pPr>
          </w:p>
        </w:tc>
      </w:tr>
      <w:tr w:rsidR="00942CA3" w:rsidRPr="006F5754" w14:paraId="599ECFA8" w14:textId="77777777" w:rsidTr="009F4750">
        <w:trPr>
          <w:trHeight w:val="300"/>
          <w:jc w:val="center"/>
        </w:trPr>
        <w:tc>
          <w:tcPr>
            <w:tcW w:w="2802" w:type="dxa"/>
            <w:tcBorders>
              <w:top w:val="single" w:sz="4" w:space="0" w:color="auto"/>
            </w:tcBorders>
            <w:noWrap/>
          </w:tcPr>
          <w:p w14:paraId="040D070A" w14:textId="77777777" w:rsidR="00942CA3" w:rsidRPr="006F5754" w:rsidRDefault="00942CA3" w:rsidP="00487D2E">
            <w:pPr>
              <w:spacing w:after="200" w:line="360" w:lineRule="auto"/>
              <w:rPr>
                <w:color w:val="000000"/>
              </w:rPr>
            </w:pPr>
            <w:r w:rsidRPr="006F5754">
              <w:rPr>
                <w:color w:val="000000"/>
              </w:rPr>
              <w:t>Logistic EuroSCORE (%)</w:t>
            </w:r>
          </w:p>
        </w:tc>
        <w:tc>
          <w:tcPr>
            <w:tcW w:w="1813" w:type="dxa"/>
            <w:gridSpan w:val="2"/>
            <w:tcBorders>
              <w:top w:val="single" w:sz="4" w:space="0" w:color="auto"/>
            </w:tcBorders>
            <w:noWrap/>
          </w:tcPr>
          <w:p w14:paraId="02D3C515" w14:textId="165F43C3" w:rsidR="00942CA3" w:rsidRPr="006F5754" w:rsidRDefault="00386362" w:rsidP="00487D2E">
            <w:pPr>
              <w:spacing w:after="200" w:line="360" w:lineRule="auto"/>
              <w:jc w:val="center"/>
              <w:rPr>
                <w:color w:val="000000"/>
              </w:rPr>
            </w:pPr>
            <w:r w:rsidRPr="006F5754">
              <w:rPr>
                <w:color w:val="000000"/>
              </w:rPr>
              <w:t>2.4 ± 2.5</w:t>
            </w:r>
          </w:p>
        </w:tc>
        <w:tc>
          <w:tcPr>
            <w:tcW w:w="1813" w:type="dxa"/>
            <w:gridSpan w:val="2"/>
            <w:tcBorders>
              <w:top w:val="single" w:sz="4" w:space="0" w:color="auto"/>
            </w:tcBorders>
            <w:noWrap/>
          </w:tcPr>
          <w:p w14:paraId="113C5DD2" w14:textId="46CAA602" w:rsidR="00942CA3" w:rsidRPr="006F5754" w:rsidRDefault="00386362" w:rsidP="00487D2E">
            <w:pPr>
              <w:spacing w:after="200" w:line="360" w:lineRule="auto"/>
              <w:jc w:val="center"/>
              <w:rPr>
                <w:color w:val="000000"/>
              </w:rPr>
            </w:pPr>
            <w:r w:rsidRPr="006F5754">
              <w:rPr>
                <w:color w:val="000000"/>
              </w:rPr>
              <w:t>2.4 ± 2.8</w:t>
            </w:r>
          </w:p>
        </w:tc>
        <w:tc>
          <w:tcPr>
            <w:tcW w:w="1813" w:type="dxa"/>
            <w:gridSpan w:val="2"/>
            <w:tcBorders>
              <w:top w:val="single" w:sz="4" w:space="0" w:color="auto"/>
            </w:tcBorders>
            <w:noWrap/>
          </w:tcPr>
          <w:p w14:paraId="53E7F4B1" w14:textId="0A1816A4" w:rsidR="00942CA3" w:rsidRPr="006F5754" w:rsidRDefault="00386362" w:rsidP="00487D2E">
            <w:pPr>
              <w:spacing w:after="200" w:line="360" w:lineRule="auto"/>
              <w:jc w:val="center"/>
              <w:rPr>
                <w:color w:val="000000"/>
              </w:rPr>
            </w:pPr>
            <w:r w:rsidRPr="006F5754">
              <w:rPr>
                <w:color w:val="000000"/>
              </w:rPr>
              <w:t>2.3 ± 2.3</w:t>
            </w:r>
          </w:p>
        </w:tc>
        <w:tc>
          <w:tcPr>
            <w:tcW w:w="907" w:type="dxa"/>
            <w:tcBorders>
              <w:top w:val="single" w:sz="4" w:space="0" w:color="auto"/>
            </w:tcBorders>
            <w:noWrap/>
          </w:tcPr>
          <w:p w14:paraId="04A30C03" w14:textId="1E34284E" w:rsidR="00942CA3" w:rsidRPr="006F5754" w:rsidRDefault="00386362" w:rsidP="00487D2E">
            <w:pPr>
              <w:spacing w:after="200" w:line="360" w:lineRule="auto"/>
              <w:jc w:val="right"/>
              <w:rPr>
                <w:color w:val="000000"/>
              </w:rPr>
            </w:pPr>
            <w:r w:rsidRPr="006F5754">
              <w:rPr>
                <w:color w:val="000000"/>
              </w:rPr>
              <w:t>1.8</w:t>
            </w:r>
          </w:p>
        </w:tc>
        <w:tc>
          <w:tcPr>
            <w:tcW w:w="1007" w:type="dxa"/>
            <w:tcBorders>
              <w:top w:val="single" w:sz="4" w:space="0" w:color="auto"/>
            </w:tcBorders>
          </w:tcPr>
          <w:p w14:paraId="7E107D2B" w14:textId="3CFACFFB" w:rsidR="00942CA3" w:rsidRPr="006F5754" w:rsidRDefault="00522EDB" w:rsidP="00487D2E">
            <w:pPr>
              <w:spacing w:after="200" w:line="360" w:lineRule="auto"/>
              <w:jc w:val="right"/>
              <w:rPr>
                <w:color w:val="000000"/>
              </w:rPr>
            </w:pPr>
            <w:r>
              <w:rPr>
                <w:color w:val="000000"/>
              </w:rPr>
              <w:t>0.965</w:t>
            </w:r>
          </w:p>
        </w:tc>
      </w:tr>
      <w:tr w:rsidR="00942CA3" w:rsidRPr="006F5754" w14:paraId="340BF85A" w14:textId="77777777" w:rsidTr="009F4750">
        <w:trPr>
          <w:trHeight w:val="300"/>
          <w:jc w:val="center"/>
        </w:trPr>
        <w:tc>
          <w:tcPr>
            <w:tcW w:w="2802" w:type="dxa"/>
            <w:noWrap/>
          </w:tcPr>
          <w:p w14:paraId="3C9155BE" w14:textId="77777777" w:rsidR="00942CA3" w:rsidRPr="006F5754" w:rsidRDefault="00942CA3" w:rsidP="00487D2E">
            <w:pPr>
              <w:spacing w:after="200" w:line="360" w:lineRule="auto"/>
              <w:rPr>
                <w:color w:val="000000"/>
              </w:rPr>
            </w:pPr>
            <w:r w:rsidRPr="006F5754">
              <w:rPr>
                <w:color w:val="000000"/>
              </w:rPr>
              <w:t>Age (years)</w:t>
            </w:r>
          </w:p>
        </w:tc>
        <w:tc>
          <w:tcPr>
            <w:tcW w:w="1813" w:type="dxa"/>
            <w:gridSpan w:val="2"/>
            <w:noWrap/>
          </w:tcPr>
          <w:p w14:paraId="2E934193" w14:textId="3AB483E2" w:rsidR="00942CA3" w:rsidRPr="006F5754" w:rsidRDefault="00386362" w:rsidP="00487D2E">
            <w:pPr>
              <w:spacing w:after="200" w:line="360" w:lineRule="auto"/>
              <w:jc w:val="center"/>
              <w:rPr>
                <w:color w:val="000000"/>
              </w:rPr>
            </w:pPr>
            <w:r w:rsidRPr="006F5754">
              <w:rPr>
                <w:color w:val="000000"/>
              </w:rPr>
              <w:t>61.7 ±10.6</w:t>
            </w:r>
          </w:p>
        </w:tc>
        <w:tc>
          <w:tcPr>
            <w:tcW w:w="1813" w:type="dxa"/>
            <w:gridSpan w:val="2"/>
            <w:noWrap/>
          </w:tcPr>
          <w:p w14:paraId="62477F4A" w14:textId="0563329B" w:rsidR="00942CA3" w:rsidRPr="006F5754" w:rsidRDefault="00386362" w:rsidP="00487D2E">
            <w:pPr>
              <w:spacing w:after="200" w:line="360" w:lineRule="auto"/>
              <w:jc w:val="center"/>
              <w:rPr>
                <w:color w:val="000000"/>
              </w:rPr>
            </w:pPr>
            <w:r w:rsidRPr="006F5754">
              <w:rPr>
                <w:color w:val="000000"/>
              </w:rPr>
              <w:t>61.1</w:t>
            </w:r>
            <w:r w:rsidR="00942CA3" w:rsidRPr="006F5754">
              <w:rPr>
                <w:color w:val="000000"/>
              </w:rPr>
              <w:t xml:space="preserve"> ± 10.3</w:t>
            </w:r>
          </w:p>
        </w:tc>
        <w:tc>
          <w:tcPr>
            <w:tcW w:w="1813" w:type="dxa"/>
            <w:gridSpan w:val="2"/>
            <w:noWrap/>
          </w:tcPr>
          <w:p w14:paraId="6BEB2062" w14:textId="3C15A8A5" w:rsidR="00942CA3" w:rsidRPr="006F5754" w:rsidRDefault="00386362" w:rsidP="00487D2E">
            <w:pPr>
              <w:spacing w:after="200" w:line="360" w:lineRule="auto"/>
              <w:jc w:val="center"/>
              <w:rPr>
                <w:color w:val="000000"/>
              </w:rPr>
            </w:pPr>
            <w:r w:rsidRPr="006F5754">
              <w:rPr>
                <w:color w:val="000000"/>
              </w:rPr>
              <w:t>61.9 ± 10.7</w:t>
            </w:r>
          </w:p>
        </w:tc>
        <w:tc>
          <w:tcPr>
            <w:tcW w:w="907" w:type="dxa"/>
            <w:noWrap/>
          </w:tcPr>
          <w:p w14:paraId="36463C06" w14:textId="0EE84B1B" w:rsidR="00942CA3" w:rsidRPr="006F5754" w:rsidRDefault="00386362" w:rsidP="00487D2E">
            <w:pPr>
              <w:spacing w:after="200" w:line="360" w:lineRule="auto"/>
              <w:jc w:val="right"/>
              <w:rPr>
                <w:color w:val="000000"/>
              </w:rPr>
            </w:pPr>
            <w:r w:rsidRPr="006F5754">
              <w:rPr>
                <w:color w:val="000000"/>
              </w:rPr>
              <w:t>-8.1</w:t>
            </w:r>
          </w:p>
        </w:tc>
        <w:tc>
          <w:tcPr>
            <w:tcW w:w="1007" w:type="dxa"/>
          </w:tcPr>
          <w:p w14:paraId="3F7985BA" w14:textId="7345E275" w:rsidR="00942CA3" w:rsidRPr="006F5754" w:rsidRDefault="00522EDB" w:rsidP="00487D2E">
            <w:pPr>
              <w:spacing w:after="200" w:line="360" w:lineRule="auto"/>
              <w:jc w:val="right"/>
              <w:rPr>
                <w:color w:val="000000"/>
              </w:rPr>
            </w:pPr>
            <w:r>
              <w:rPr>
                <w:color w:val="000000"/>
              </w:rPr>
              <w:t>0.026</w:t>
            </w:r>
          </w:p>
        </w:tc>
      </w:tr>
      <w:tr w:rsidR="00942CA3" w:rsidRPr="006F5754" w14:paraId="31E1A48D" w14:textId="77777777" w:rsidTr="009F4750">
        <w:trPr>
          <w:trHeight w:val="300"/>
          <w:jc w:val="center"/>
        </w:trPr>
        <w:tc>
          <w:tcPr>
            <w:tcW w:w="2802" w:type="dxa"/>
            <w:tcBorders>
              <w:bottom w:val="single" w:sz="4" w:space="0" w:color="auto"/>
            </w:tcBorders>
            <w:noWrap/>
          </w:tcPr>
          <w:p w14:paraId="4A436EFC" w14:textId="77777777" w:rsidR="00942CA3" w:rsidRPr="006F5754" w:rsidRDefault="00942CA3" w:rsidP="00487D2E">
            <w:pPr>
              <w:spacing w:after="200" w:line="360" w:lineRule="auto"/>
              <w:rPr>
                <w:color w:val="000000"/>
              </w:rPr>
            </w:pPr>
            <w:r w:rsidRPr="006F5754">
              <w:rPr>
                <w:color w:val="000000"/>
              </w:rPr>
              <w:t xml:space="preserve">BMI </w:t>
            </w:r>
            <w:r w:rsidRPr="006F5754">
              <w:t>(kg/m</w:t>
            </w:r>
            <w:r w:rsidRPr="006F5754">
              <w:rPr>
                <w:vertAlign w:val="superscript"/>
              </w:rPr>
              <w:t>2</w:t>
            </w:r>
            <w:r w:rsidRPr="006F5754">
              <w:t>)</w:t>
            </w:r>
          </w:p>
        </w:tc>
        <w:tc>
          <w:tcPr>
            <w:tcW w:w="1813" w:type="dxa"/>
            <w:gridSpan w:val="2"/>
            <w:tcBorders>
              <w:bottom w:val="single" w:sz="4" w:space="0" w:color="auto"/>
            </w:tcBorders>
            <w:noWrap/>
          </w:tcPr>
          <w:p w14:paraId="18058EAB" w14:textId="1645FCD0" w:rsidR="00942CA3" w:rsidRPr="006F5754" w:rsidRDefault="00386362" w:rsidP="00487D2E">
            <w:pPr>
              <w:spacing w:after="200" w:line="360" w:lineRule="auto"/>
              <w:jc w:val="center"/>
              <w:rPr>
                <w:color w:val="000000"/>
              </w:rPr>
            </w:pPr>
            <w:r w:rsidRPr="006F5754">
              <w:rPr>
                <w:color w:val="000000"/>
              </w:rPr>
              <w:t>28.5</w:t>
            </w:r>
            <w:r w:rsidR="00942CA3" w:rsidRPr="006F5754">
              <w:rPr>
                <w:color w:val="000000"/>
              </w:rPr>
              <w:t xml:space="preserve"> ± 4.6</w:t>
            </w:r>
          </w:p>
        </w:tc>
        <w:tc>
          <w:tcPr>
            <w:tcW w:w="1813" w:type="dxa"/>
            <w:gridSpan w:val="2"/>
            <w:tcBorders>
              <w:bottom w:val="single" w:sz="4" w:space="0" w:color="auto"/>
            </w:tcBorders>
            <w:noWrap/>
          </w:tcPr>
          <w:p w14:paraId="283EF6C9" w14:textId="6FF37891" w:rsidR="00942CA3" w:rsidRPr="006F5754" w:rsidRDefault="00386362" w:rsidP="00487D2E">
            <w:pPr>
              <w:spacing w:after="200" w:line="360" w:lineRule="auto"/>
              <w:jc w:val="center"/>
              <w:rPr>
                <w:color w:val="000000"/>
              </w:rPr>
            </w:pPr>
            <w:r w:rsidRPr="006F5754">
              <w:rPr>
                <w:color w:val="000000"/>
              </w:rPr>
              <w:t>28.7 ± 4.7</w:t>
            </w:r>
          </w:p>
        </w:tc>
        <w:tc>
          <w:tcPr>
            <w:tcW w:w="1813" w:type="dxa"/>
            <w:gridSpan w:val="2"/>
            <w:tcBorders>
              <w:bottom w:val="single" w:sz="4" w:space="0" w:color="auto"/>
            </w:tcBorders>
            <w:noWrap/>
          </w:tcPr>
          <w:p w14:paraId="128E4D7F" w14:textId="77777777" w:rsidR="00942CA3" w:rsidRPr="006F5754" w:rsidRDefault="00942CA3" w:rsidP="00487D2E">
            <w:pPr>
              <w:spacing w:after="200" w:line="360" w:lineRule="auto"/>
              <w:jc w:val="center"/>
              <w:rPr>
                <w:color w:val="000000"/>
              </w:rPr>
            </w:pPr>
            <w:r w:rsidRPr="006F5754">
              <w:rPr>
                <w:color w:val="000000"/>
              </w:rPr>
              <w:t>28.4 ± 4.5</w:t>
            </w:r>
          </w:p>
        </w:tc>
        <w:tc>
          <w:tcPr>
            <w:tcW w:w="907" w:type="dxa"/>
            <w:tcBorders>
              <w:bottom w:val="single" w:sz="4" w:space="0" w:color="auto"/>
            </w:tcBorders>
            <w:noWrap/>
          </w:tcPr>
          <w:p w14:paraId="783FB7C2" w14:textId="014D8940" w:rsidR="00942CA3" w:rsidRPr="006F5754" w:rsidRDefault="00386362" w:rsidP="00487D2E">
            <w:pPr>
              <w:spacing w:after="200" w:line="360" w:lineRule="auto"/>
              <w:jc w:val="right"/>
              <w:rPr>
                <w:color w:val="000000"/>
              </w:rPr>
            </w:pPr>
            <w:r w:rsidRPr="006F5754">
              <w:rPr>
                <w:color w:val="000000"/>
              </w:rPr>
              <w:t>6.1</w:t>
            </w:r>
          </w:p>
        </w:tc>
        <w:tc>
          <w:tcPr>
            <w:tcW w:w="1007" w:type="dxa"/>
            <w:tcBorders>
              <w:bottom w:val="single" w:sz="4" w:space="0" w:color="auto"/>
            </w:tcBorders>
          </w:tcPr>
          <w:p w14:paraId="3F797747" w14:textId="3389DE20" w:rsidR="00942CA3" w:rsidRPr="006F5754" w:rsidRDefault="00522EDB" w:rsidP="00487D2E">
            <w:pPr>
              <w:spacing w:after="200" w:line="360" w:lineRule="auto"/>
              <w:jc w:val="right"/>
              <w:rPr>
                <w:color w:val="000000"/>
              </w:rPr>
            </w:pPr>
            <w:r>
              <w:rPr>
                <w:color w:val="000000"/>
              </w:rPr>
              <w:t>0.090</w:t>
            </w:r>
          </w:p>
        </w:tc>
      </w:tr>
      <w:tr w:rsidR="00942CA3" w:rsidRPr="006F5754" w14:paraId="414EE08B" w14:textId="77777777" w:rsidTr="009F4750">
        <w:trPr>
          <w:trHeight w:val="300"/>
          <w:jc w:val="center"/>
        </w:trPr>
        <w:tc>
          <w:tcPr>
            <w:tcW w:w="2802" w:type="dxa"/>
            <w:tcBorders>
              <w:top w:val="single" w:sz="4" w:space="0" w:color="auto"/>
              <w:bottom w:val="single" w:sz="4" w:space="0" w:color="auto"/>
            </w:tcBorders>
            <w:noWrap/>
            <w:vAlign w:val="center"/>
          </w:tcPr>
          <w:p w14:paraId="3872932F" w14:textId="77777777" w:rsidR="00942CA3" w:rsidRPr="006F5754" w:rsidRDefault="00942CA3" w:rsidP="00487D2E">
            <w:pPr>
              <w:spacing w:after="200" w:line="360" w:lineRule="auto"/>
              <w:jc w:val="center"/>
              <w:rPr>
                <w:b/>
                <w:color w:val="000000"/>
              </w:rPr>
            </w:pPr>
          </w:p>
        </w:tc>
        <w:tc>
          <w:tcPr>
            <w:tcW w:w="906" w:type="dxa"/>
            <w:tcBorders>
              <w:top w:val="single" w:sz="4" w:space="0" w:color="auto"/>
              <w:bottom w:val="single" w:sz="4" w:space="0" w:color="auto"/>
            </w:tcBorders>
            <w:noWrap/>
            <w:vAlign w:val="center"/>
          </w:tcPr>
          <w:p w14:paraId="1E854360" w14:textId="77777777" w:rsidR="00942CA3" w:rsidRPr="006F5754" w:rsidRDefault="00942CA3" w:rsidP="00487D2E">
            <w:pPr>
              <w:spacing w:after="200" w:line="360" w:lineRule="auto"/>
              <w:jc w:val="center"/>
              <w:rPr>
                <w:b/>
                <w:i/>
                <w:color w:val="000000"/>
              </w:rPr>
            </w:pPr>
            <w:r w:rsidRPr="006F5754">
              <w:rPr>
                <w:b/>
                <w:i/>
                <w:color w:val="000000"/>
              </w:rPr>
              <w:t>N</w:t>
            </w:r>
          </w:p>
        </w:tc>
        <w:tc>
          <w:tcPr>
            <w:tcW w:w="907" w:type="dxa"/>
            <w:tcBorders>
              <w:top w:val="single" w:sz="4" w:space="0" w:color="auto"/>
              <w:bottom w:val="single" w:sz="4" w:space="0" w:color="auto"/>
            </w:tcBorders>
            <w:noWrap/>
            <w:vAlign w:val="center"/>
          </w:tcPr>
          <w:p w14:paraId="7976706B" w14:textId="77777777" w:rsidR="00942CA3" w:rsidRPr="006F5754" w:rsidRDefault="00942CA3" w:rsidP="00487D2E">
            <w:pPr>
              <w:spacing w:after="200" w:line="360" w:lineRule="auto"/>
              <w:jc w:val="center"/>
              <w:rPr>
                <w:b/>
                <w:color w:val="000000"/>
              </w:rPr>
            </w:pPr>
            <w:r w:rsidRPr="006F5754">
              <w:rPr>
                <w:b/>
                <w:color w:val="000000"/>
              </w:rPr>
              <w:t>%</w:t>
            </w:r>
          </w:p>
        </w:tc>
        <w:tc>
          <w:tcPr>
            <w:tcW w:w="906" w:type="dxa"/>
            <w:tcBorders>
              <w:top w:val="single" w:sz="4" w:space="0" w:color="auto"/>
              <w:bottom w:val="single" w:sz="4" w:space="0" w:color="auto"/>
            </w:tcBorders>
            <w:noWrap/>
            <w:vAlign w:val="center"/>
          </w:tcPr>
          <w:p w14:paraId="4FC3C210" w14:textId="77777777" w:rsidR="00942CA3" w:rsidRPr="006F5754" w:rsidRDefault="00942CA3" w:rsidP="00487D2E">
            <w:pPr>
              <w:spacing w:after="200" w:line="360" w:lineRule="auto"/>
              <w:jc w:val="center"/>
              <w:rPr>
                <w:b/>
                <w:i/>
                <w:color w:val="000000"/>
              </w:rPr>
            </w:pPr>
            <w:r w:rsidRPr="006F5754">
              <w:rPr>
                <w:b/>
                <w:i/>
                <w:color w:val="000000"/>
              </w:rPr>
              <w:t>N</w:t>
            </w:r>
          </w:p>
        </w:tc>
        <w:tc>
          <w:tcPr>
            <w:tcW w:w="907" w:type="dxa"/>
            <w:tcBorders>
              <w:top w:val="single" w:sz="4" w:space="0" w:color="auto"/>
              <w:bottom w:val="single" w:sz="4" w:space="0" w:color="auto"/>
            </w:tcBorders>
            <w:noWrap/>
            <w:vAlign w:val="center"/>
          </w:tcPr>
          <w:p w14:paraId="23F8D022" w14:textId="77777777" w:rsidR="00942CA3" w:rsidRPr="006F5754" w:rsidRDefault="00942CA3" w:rsidP="00487D2E">
            <w:pPr>
              <w:spacing w:after="200" w:line="360" w:lineRule="auto"/>
              <w:jc w:val="center"/>
              <w:rPr>
                <w:b/>
                <w:color w:val="000000"/>
              </w:rPr>
            </w:pPr>
            <w:r w:rsidRPr="006F5754">
              <w:rPr>
                <w:b/>
                <w:color w:val="000000"/>
              </w:rPr>
              <w:t>%</w:t>
            </w:r>
          </w:p>
        </w:tc>
        <w:tc>
          <w:tcPr>
            <w:tcW w:w="906" w:type="dxa"/>
            <w:tcBorders>
              <w:top w:val="single" w:sz="4" w:space="0" w:color="auto"/>
              <w:bottom w:val="single" w:sz="4" w:space="0" w:color="auto"/>
            </w:tcBorders>
            <w:noWrap/>
            <w:vAlign w:val="center"/>
          </w:tcPr>
          <w:p w14:paraId="1B55668B" w14:textId="77777777" w:rsidR="00942CA3" w:rsidRPr="006F5754" w:rsidRDefault="00942CA3" w:rsidP="00487D2E">
            <w:pPr>
              <w:spacing w:after="200" w:line="360" w:lineRule="auto"/>
              <w:jc w:val="center"/>
              <w:rPr>
                <w:b/>
                <w:i/>
                <w:color w:val="000000"/>
              </w:rPr>
            </w:pPr>
            <w:r w:rsidRPr="006F5754">
              <w:rPr>
                <w:b/>
                <w:i/>
                <w:color w:val="000000"/>
              </w:rPr>
              <w:t>N</w:t>
            </w:r>
          </w:p>
        </w:tc>
        <w:tc>
          <w:tcPr>
            <w:tcW w:w="907" w:type="dxa"/>
            <w:tcBorders>
              <w:top w:val="single" w:sz="4" w:space="0" w:color="auto"/>
              <w:bottom w:val="single" w:sz="4" w:space="0" w:color="auto"/>
            </w:tcBorders>
            <w:noWrap/>
            <w:vAlign w:val="center"/>
          </w:tcPr>
          <w:p w14:paraId="364BB332" w14:textId="77777777" w:rsidR="00942CA3" w:rsidRPr="006F5754" w:rsidRDefault="00942CA3" w:rsidP="00487D2E">
            <w:pPr>
              <w:spacing w:after="200" w:line="360" w:lineRule="auto"/>
              <w:jc w:val="center"/>
              <w:rPr>
                <w:b/>
                <w:color w:val="000000"/>
              </w:rPr>
            </w:pPr>
            <w:r w:rsidRPr="006F5754">
              <w:rPr>
                <w:b/>
                <w:color w:val="000000"/>
              </w:rPr>
              <w:t>%</w:t>
            </w:r>
          </w:p>
        </w:tc>
        <w:tc>
          <w:tcPr>
            <w:tcW w:w="907" w:type="dxa"/>
            <w:tcBorders>
              <w:top w:val="single" w:sz="4" w:space="0" w:color="auto"/>
              <w:bottom w:val="single" w:sz="4" w:space="0" w:color="auto"/>
            </w:tcBorders>
            <w:noWrap/>
            <w:vAlign w:val="center"/>
          </w:tcPr>
          <w:p w14:paraId="112650B2" w14:textId="77777777" w:rsidR="00942CA3" w:rsidRPr="006F5754" w:rsidRDefault="00942CA3" w:rsidP="00487D2E">
            <w:pPr>
              <w:spacing w:after="200" w:line="360" w:lineRule="auto"/>
              <w:jc w:val="center"/>
              <w:rPr>
                <w:b/>
                <w:color w:val="000000"/>
              </w:rPr>
            </w:pPr>
          </w:p>
        </w:tc>
        <w:tc>
          <w:tcPr>
            <w:tcW w:w="1007" w:type="dxa"/>
            <w:tcBorders>
              <w:top w:val="single" w:sz="4" w:space="0" w:color="auto"/>
              <w:bottom w:val="single" w:sz="4" w:space="0" w:color="auto"/>
            </w:tcBorders>
            <w:vAlign w:val="center"/>
          </w:tcPr>
          <w:p w14:paraId="05F273BD" w14:textId="77777777" w:rsidR="00942CA3" w:rsidRPr="006F5754" w:rsidRDefault="00942CA3" w:rsidP="00487D2E">
            <w:pPr>
              <w:spacing w:after="200" w:line="360" w:lineRule="auto"/>
              <w:jc w:val="center"/>
              <w:rPr>
                <w:b/>
                <w:color w:val="000000"/>
              </w:rPr>
            </w:pPr>
          </w:p>
        </w:tc>
      </w:tr>
      <w:tr w:rsidR="0061282E" w:rsidRPr="006F5754" w14:paraId="6D68B3C8" w14:textId="77777777" w:rsidTr="006F5754">
        <w:trPr>
          <w:trHeight w:val="300"/>
          <w:jc w:val="center"/>
        </w:trPr>
        <w:tc>
          <w:tcPr>
            <w:tcW w:w="2802" w:type="dxa"/>
            <w:tcBorders>
              <w:top w:val="single" w:sz="4" w:space="0" w:color="auto"/>
            </w:tcBorders>
            <w:noWrap/>
          </w:tcPr>
          <w:p w14:paraId="0A0907E5" w14:textId="77777777" w:rsidR="0061282E" w:rsidRPr="006F5754" w:rsidRDefault="0061282E" w:rsidP="00487D2E">
            <w:pPr>
              <w:spacing w:after="200" w:line="360" w:lineRule="auto"/>
              <w:rPr>
                <w:color w:val="000000"/>
              </w:rPr>
            </w:pPr>
            <w:r w:rsidRPr="006F5754">
              <w:rPr>
                <w:color w:val="000000"/>
              </w:rPr>
              <w:t>Female</w:t>
            </w:r>
          </w:p>
        </w:tc>
        <w:tc>
          <w:tcPr>
            <w:tcW w:w="906" w:type="dxa"/>
            <w:tcBorders>
              <w:top w:val="single" w:sz="4" w:space="0" w:color="auto"/>
            </w:tcBorders>
            <w:noWrap/>
            <w:vAlign w:val="bottom"/>
          </w:tcPr>
          <w:p w14:paraId="1780960A" w14:textId="31336FE0" w:rsidR="0061282E" w:rsidRPr="006F5754" w:rsidRDefault="0061282E" w:rsidP="00487D2E">
            <w:pPr>
              <w:spacing w:after="200" w:line="360" w:lineRule="auto"/>
              <w:jc w:val="right"/>
              <w:rPr>
                <w:color w:val="000000"/>
              </w:rPr>
            </w:pPr>
            <w:r w:rsidRPr="006F5754">
              <w:rPr>
                <w:color w:val="000000"/>
              </w:rPr>
              <w:t>880</w:t>
            </w:r>
          </w:p>
        </w:tc>
        <w:tc>
          <w:tcPr>
            <w:tcW w:w="907" w:type="dxa"/>
            <w:tcBorders>
              <w:top w:val="single" w:sz="4" w:space="0" w:color="auto"/>
            </w:tcBorders>
            <w:noWrap/>
            <w:vAlign w:val="bottom"/>
          </w:tcPr>
          <w:p w14:paraId="3B08B9CD" w14:textId="16952D0B" w:rsidR="0061282E" w:rsidRPr="006F5754" w:rsidRDefault="0061282E" w:rsidP="00487D2E">
            <w:pPr>
              <w:spacing w:after="200" w:line="360" w:lineRule="auto"/>
              <w:jc w:val="right"/>
              <w:rPr>
                <w:color w:val="000000"/>
              </w:rPr>
            </w:pPr>
            <w:r w:rsidRPr="006F5754">
              <w:rPr>
                <w:color w:val="000000"/>
              </w:rPr>
              <w:t>25.9</w:t>
            </w:r>
            <w:r w:rsidR="00C3508A">
              <w:rPr>
                <w:color w:val="000000"/>
              </w:rPr>
              <w:t>%</w:t>
            </w:r>
          </w:p>
        </w:tc>
        <w:tc>
          <w:tcPr>
            <w:tcW w:w="906" w:type="dxa"/>
            <w:tcBorders>
              <w:top w:val="single" w:sz="4" w:space="0" w:color="auto"/>
            </w:tcBorders>
            <w:noWrap/>
            <w:vAlign w:val="bottom"/>
          </w:tcPr>
          <w:p w14:paraId="58CCC1D7" w14:textId="24133051" w:rsidR="0061282E" w:rsidRPr="006F5754" w:rsidRDefault="0061282E" w:rsidP="00487D2E">
            <w:pPr>
              <w:spacing w:after="200" w:line="360" w:lineRule="auto"/>
              <w:jc w:val="right"/>
              <w:rPr>
                <w:color w:val="000000"/>
              </w:rPr>
            </w:pPr>
            <w:r w:rsidRPr="006F5754">
              <w:rPr>
                <w:color w:val="000000"/>
              </w:rPr>
              <w:t>325</w:t>
            </w:r>
          </w:p>
        </w:tc>
        <w:tc>
          <w:tcPr>
            <w:tcW w:w="907" w:type="dxa"/>
            <w:tcBorders>
              <w:top w:val="single" w:sz="4" w:space="0" w:color="auto"/>
            </w:tcBorders>
            <w:noWrap/>
            <w:vAlign w:val="bottom"/>
          </w:tcPr>
          <w:p w14:paraId="4235432D" w14:textId="3548F9B3" w:rsidR="0061282E" w:rsidRPr="006F5754" w:rsidRDefault="0061282E" w:rsidP="00487D2E">
            <w:pPr>
              <w:spacing w:after="200" w:line="360" w:lineRule="auto"/>
              <w:jc w:val="right"/>
              <w:rPr>
                <w:color w:val="000000"/>
              </w:rPr>
            </w:pPr>
            <w:r w:rsidRPr="006F5754">
              <w:rPr>
                <w:color w:val="000000"/>
              </w:rPr>
              <w:t>27.7</w:t>
            </w:r>
            <w:r w:rsidR="00C3508A">
              <w:rPr>
                <w:color w:val="000000"/>
              </w:rPr>
              <w:t>%</w:t>
            </w:r>
          </w:p>
        </w:tc>
        <w:tc>
          <w:tcPr>
            <w:tcW w:w="906" w:type="dxa"/>
            <w:tcBorders>
              <w:top w:val="single" w:sz="4" w:space="0" w:color="auto"/>
            </w:tcBorders>
            <w:noWrap/>
            <w:vAlign w:val="bottom"/>
          </w:tcPr>
          <w:p w14:paraId="105EE8AC" w14:textId="225FF0FE" w:rsidR="0061282E" w:rsidRPr="006F5754" w:rsidRDefault="0061282E" w:rsidP="00487D2E">
            <w:pPr>
              <w:spacing w:after="200" w:line="360" w:lineRule="auto"/>
              <w:jc w:val="right"/>
              <w:rPr>
                <w:color w:val="000000"/>
              </w:rPr>
            </w:pPr>
            <w:r w:rsidRPr="006F5754">
              <w:rPr>
                <w:color w:val="000000"/>
              </w:rPr>
              <w:t>555</w:t>
            </w:r>
          </w:p>
        </w:tc>
        <w:tc>
          <w:tcPr>
            <w:tcW w:w="907" w:type="dxa"/>
            <w:tcBorders>
              <w:top w:val="single" w:sz="4" w:space="0" w:color="auto"/>
            </w:tcBorders>
            <w:noWrap/>
            <w:vAlign w:val="bottom"/>
          </w:tcPr>
          <w:p w14:paraId="2410C15D" w14:textId="73E0C6D3" w:rsidR="0061282E" w:rsidRPr="006F5754" w:rsidRDefault="0061282E" w:rsidP="00487D2E">
            <w:pPr>
              <w:spacing w:after="200" w:line="360" w:lineRule="auto"/>
              <w:jc w:val="right"/>
              <w:rPr>
                <w:color w:val="000000"/>
              </w:rPr>
            </w:pPr>
            <w:r w:rsidRPr="006F5754">
              <w:rPr>
                <w:color w:val="000000"/>
              </w:rPr>
              <w:t>24.9</w:t>
            </w:r>
            <w:r w:rsidR="00C3508A">
              <w:rPr>
                <w:color w:val="000000"/>
              </w:rPr>
              <w:t>%</w:t>
            </w:r>
          </w:p>
        </w:tc>
        <w:tc>
          <w:tcPr>
            <w:tcW w:w="907" w:type="dxa"/>
            <w:tcBorders>
              <w:top w:val="single" w:sz="4" w:space="0" w:color="auto"/>
            </w:tcBorders>
            <w:noWrap/>
            <w:vAlign w:val="bottom"/>
          </w:tcPr>
          <w:p w14:paraId="31D6CD13" w14:textId="520B52A0" w:rsidR="0061282E" w:rsidRPr="006F5754" w:rsidRDefault="0061282E" w:rsidP="00487D2E">
            <w:pPr>
              <w:spacing w:after="200" w:line="360" w:lineRule="auto"/>
              <w:jc w:val="right"/>
              <w:rPr>
                <w:color w:val="000000"/>
              </w:rPr>
            </w:pPr>
            <w:r w:rsidRPr="006F5754">
              <w:rPr>
                <w:color w:val="000000"/>
              </w:rPr>
              <w:t>6.4</w:t>
            </w:r>
          </w:p>
        </w:tc>
        <w:tc>
          <w:tcPr>
            <w:tcW w:w="1007" w:type="dxa"/>
            <w:tcBorders>
              <w:top w:val="single" w:sz="4" w:space="0" w:color="auto"/>
            </w:tcBorders>
          </w:tcPr>
          <w:p w14:paraId="188625E6" w14:textId="6F171DD3" w:rsidR="0061282E" w:rsidRPr="006F5754" w:rsidRDefault="00522EDB" w:rsidP="00487D2E">
            <w:pPr>
              <w:spacing w:after="200" w:line="360" w:lineRule="auto"/>
              <w:jc w:val="right"/>
              <w:rPr>
                <w:color w:val="000000"/>
              </w:rPr>
            </w:pPr>
            <w:r>
              <w:rPr>
                <w:color w:val="000000"/>
              </w:rPr>
              <w:t>0.083</w:t>
            </w:r>
          </w:p>
        </w:tc>
      </w:tr>
      <w:tr w:rsidR="0061282E" w:rsidRPr="006F5754" w14:paraId="0858FEDE" w14:textId="77777777" w:rsidTr="006F5754">
        <w:trPr>
          <w:trHeight w:val="300"/>
          <w:jc w:val="center"/>
        </w:trPr>
        <w:tc>
          <w:tcPr>
            <w:tcW w:w="2802" w:type="dxa"/>
            <w:noWrap/>
          </w:tcPr>
          <w:p w14:paraId="64C5E794" w14:textId="77777777" w:rsidR="0061282E" w:rsidRPr="006F5754" w:rsidRDefault="0061282E" w:rsidP="00487D2E">
            <w:pPr>
              <w:spacing w:after="200" w:line="360" w:lineRule="auto"/>
              <w:rPr>
                <w:color w:val="000000"/>
              </w:rPr>
            </w:pPr>
            <w:r w:rsidRPr="006F5754">
              <w:rPr>
                <w:color w:val="000000"/>
              </w:rPr>
              <w:t>Preoperative AF</w:t>
            </w:r>
          </w:p>
        </w:tc>
        <w:tc>
          <w:tcPr>
            <w:tcW w:w="906" w:type="dxa"/>
            <w:noWrap/>
            <w:vAlign w:val="bottom"/>
          </w:tcPr>
          <w:p w14:paraId="17521693" w14:textId="5F25A52A" w:rsidR="0061282E" w:rsidRPr="006F5754" w:rsidRDefault="0061282E" w:rsidP="00487D2E">
            <w:pPr>
              <w:spacing w:after="200" w:line="360" w:lineRule="auto"/>
              <w:jc w:val="right"/>
              <w:rPr>
                <w:color w:val="000000"/>
              </w:rPr>
            </w:pPr>
            <w:r w:rsidRPr="006F5754">
              <w:rPr>
                <w:color w:val="000000"/>
              </w:rPr>
              <w:t>69</w:t>
            </w:r>
          </w:p>
        </w:tc>
        <w:tc>
          <w:tcPr>
            <w:tcW w:w="907" w:type="dxa"/>
            <w:noWrap/>
            <w:vAlign w:val="bottom"/>
          </w:tcPr>
          <w:p w14:paraId="4338B7E7" w14:textId="73EDC2F4" w:rsidR="0061282E" w:rsidRPr="006F5754" w:rsidRDefault="0061282E" w:rsidP="00487D2E">
            <w:pPr>
              <w:spacing w:after="200" w:line="360" w:lineRule="auto"/>
              <w:jc w:val="right"/>
              <w:rPr>
                <w:color w:val="000000"/>
              </w:rPr>
            </w:pPr>
            <w:r w:rsidRPr="006F5754">
              <w:rPr>
                <w:color w:val="000000"/>
              </w:rPr>
              <w:t>2</w:t>
            </w:r>
            <w:r w:rsidR="00C3508A">
              <w:rPr>
                <w:color w:val="000000"/>
              </w:rPr>
              <w:t>.0%</w:t>
            </w:r>
          </w:p>
        </w:tc>
        <w:tc>
          <w:tcPr>
            <w:tcW w:w="906" w:type="dxa"/>
            <w:noWrap/>
            <w:vAlign w:val="bottom"/>
          </w:tcPr>
          <w:p w14:paraId="71F40317" w14:textId="78C1F858" w:rsidR="0061282E" w:rsidRPr="006F5754" w:rsidRDefault="0061282E" w:rsidP="00487D2E">
            <w:pPr>
              <w:spacing w:after="200" w:line="360" w:lineRule="auto"/>
              <w:jc w:val="right"/>
              <w:rPr>
                <w:color w:val="000000"/>
              </w:rPr>
            </w:pPr>
            <w:r w:rsidRPr="006F5754">
              <w:rPr>
                <w:color w:val="000000"/>
              </w:rPr>
              <w:t>28</w:t>
            </w:r>
          </w:p>
        </w:tc>
        <w:tc>
          <w:tcPr>
            <w:tcW w:w="907" w:type="dxa"/>
            <w:noWrap/>
            <w:vAlign w:val="bottom"/>
          </w:tcPr>
          <w:p w14:paraId="392771F5" w14:textId="4BA025D6" w:rsidR="0061282E" w:rsidRPr="006F5754" w:rsidRDefault="0061282E" w:rsidP="00487D2E">
            <w:pPr>
              <w:spacing w:after="200" w:line="360" w:lineRule="auto"/>
              <w:jc w:val="right"/>
              <w:rPr>
                <w:color w:val="000000"/>
              </w:rPr>
            </w:pPr>
            <w:r w:rsidRPr="006F5754">
              <w:rPr>
                <w:color w:val="000000"/>
              </w:rPr>
              <w:t>2.4</w:t>
            </w:r>
            <w:r w:rsidR="00C3508A">
              <w:rPr>
                <w:color w:val="000000"/>
              </w:rPr>
              <w:t>%</w:t>
            </w:r>
          </w:p>
        </w:tc>
        <w:tc>
          <w:tcPr>
            <w:tcW w:w="906" w:type="dxa"/>
            <w:noWrap/>
            <w:vAlign w:val="bottom"/>
          </w:tcPr>
          <w:p w14:paraId="394B8D5C" w14:textId="723B6B1A" w:rsidR="0061282E" w:rsidRPr="006F5754" w:rsidRDefault="0061282E" w:rsidP="00487D2E">
            <w:pPr>
              <w:spacing w:after="200" w:line="360" w:lineRule="auto"/>
              <w:jc w:val="right"/>
              <w:rPr>
                <w:color w:val="000000"/>
              </w:rPr>
            </w:pPr>
            <w:r w:rsidRPr="006F5754">
              <w:rPr>
                <w:color w:val="000000"/>
              </w:rPr>
              <w:t>41</w:t>
            </w:r>
          </w:p>
        </w:tc>
        <w:tc>
          <w:tcPr>
            <w:tcW w:w="907" w:type="dxa"/>
            <w:noWrap/>
            <w:vAlign w:val="bottom"/>
          </w:tcPr>
          <w:p w14:paraId="227AD598" w14:textId="113888F6" w:rsidR="0061282E" w:rsidRPr="006F5754" w:rsidRDefault="0061282E" w:rsidP="00487D2E">
            <w:pPr>
              <w:spacing w:after="200" w:line="360" w:lineRule="auto"/>
              <w:jc w:val="right"/>
              <w:rPr>
                <w:color w:val="000000"/>
              </w:rPr>
            </w:pPr>
            <w:r w:rsidRPr="006F5754">
              <w:rPr>
                <w:color w:val="000000"/>
              </w:rPr>
              <w:t>1.8</w:t>
            </w:r>
            <w:r w:rsidR="00C3508A">
              <w:rPr>
                <w:color w:val="000000"/>
              </w:rPr>
              <w:t>%</w:t>
            </w:r>
          </w:p>
        </w:tc>
        <w:tc>
          <w:tcPr>
            <w:tcW w:w="907" w:type="dxa"/>
            <w:noWrap/>
            <w:vAlign w:val="bottom"/>
          </w:tcPr>
          <w:p w14:paraId="5D60F385" w14:textId="674D7E45" w:rsidR="0061282E" w:rsidRPr="006F5754" w:rsidRDefault="0061282E" w:rsidP="00487D2E">
            <w:pPr>
              <w:spacing w:after="200" w:line="360" w:lineRule="auto"/>
              <w:jc w:val="right"/>
              <w:rPr>
                <w:color w:val="000000"/>
              </w:rPr>
            </w:pPr>
            <w:r w:rsidRPr="006F5754">
              <w:rPr>
                <w:color w:val="000000"/>
              </w:rPr>
              <w:t>3.8</w:t>
            </w:r>
          </w:p>
        </w:tc>
        <w:tc>
          <w:tcPr>
            <w:tcW w:w="1007" w:type="dxa"/>
          </w:tcPr>
          <w:p w14:paraId="6B6B2435" w14:textId="0599B76B" w:rsidR="0061282E" w:rsidRPr="006F5754" w:rsidRDefault="00522EDB" w:rsidP="00487D2E">
            <w:pPr>
              <w:spacing w:after="200" w:line="360" w:lineRule="auto"/>
              <w:jc w:val="right"/>
              <w:rPr>
                <w:color w:val="000000"/>
              </w:rPr>
            </w:pPr>
            <w:r>
              <w:rPr>
                <w:color w:val="000000"/>
              </w:rPr>
              <w:t>0.343</w:t>
            </w:r>
          </w:p>
        </w:tc>
      </w:tr>
      <w:tr w:rsidR="0061282E" w:rsidRPr="006F5754" w14:paraId="5401CAC2" w14:textId="77777777" w:rsidTr="006F5754">
        <w:trPr>
          <w:trHeight w:val="300"/>
          <w:jc w:val="center"/>
        </w:trPr>
        <w:tc>
          <w:tcPr>
            <w:tcW w:w="2802" w:type="dxa"/>
            <w:noWrap/>
          </w:tcPr>
          <w:p w14:paraId="593636A1" w14:textId="77777777" w:rsidR="0061282E" w:rsidRPr="006F5754" w:rsidRDefault="0061282E" w:rsidP="00487D2E">
            <w:pPr>
              <w:spacing w:after="200" w:line="360" w:lineRule="auto"/>
              <w:rPr>
                <w:color w:val="000000"/>
              </w:rPr>
            </w:pPr>
            <w:r w:rsidRPr="006F5754">
              <w:rPr>
                <w:color w:val="000000"/>
              </w:rPr>
              <w:t>Urgent</w:t>
            </w:r>
          </w:p>
        </w:tc>
        <w:tc>
          <w:tcPr>
            <w:tcW w:w="906" w:type="dxa"/>
            <w:noWrap/>
            <w:vAlign w:val="bottom"/>
          </w:tcPr>
          <w:p w14:paraId="0FDAB03C" w14:textId="3B3513D4" w:rsidR="0061282E" w:rsidRPr="006F5754" w:rsidRDefault="0061282E" w:rsidP="00487D2E">
            <w:pPr>
              <w:spacing w:after="200" w:line="360" w:lineRule="auto"/>
              <w:jc w:val="right"/>
              <w:rPr>
                <w:color w:val="000000"/>
              </w:rPr>
            </w:pPr>
            <w:r w:rsidRPr="006F5754">
              <w:rPr>
                <w:color w:val="000000"/>
              </w:rPr>
              <w:t>733</w:t>
            </w:r>
          </w:p>
        </w:tc>
        <w:tc>
          <w:tcPr>
            <w:tcW w:w="907" w:type="dxa"/>
            <w:noWrap/>
            <w:vAlign w:val="bottom"/>
          </w:tcPr>
          <w:p w14:paraId="53A796EE" w14:textId="035D012E" w:rsidR="0061282E" w:rsidRPr="006F5754" w:rsidRDefault="0061282E" w:rsidP="00487D2E">
            <w:pPr>
              <w:spacing w:after="200" w:line="360" w:lineRule="auto"/>
              <w:jc w:val="right"/>
              <w:rPr>
                <w:color w:val="000000"/>
              </w:rPr>
            </w:pPr>
            <w:r w:rsidRPr="006F5754">
              <w:rPr>
                <w:color w:val="000000"/>
              </w:rPr>
              <w:t>21.5</w:t>
            </w:r>
            <w:r w:rsidR="00C3508A">
              <w:rPr>
                <w:color w:val="000000"/>
              </w:rPr>
              <w:t>%</w:t>
            </w:r>
          </w:p>
        </w:tc>
        <w:tc>
          <w:tcPr>
            <w:tcW w:w="906" w:type="dxa"/>
            <w:noWrap/>
            <w:vAlign w:val="bottom"/>
          </w:tcPr>
          <w:p w14:paraId="5F561DF2" w14:textId="2E084CB7" w:rsidR="0061282E" w:rsidRPr="006F5754" w:rsidRDefault="0061282E" w:rsidP="00487D2E">
            <w:pPr>
              <w:spacing w:after="200" w:line="360" w:lineRule="auto"/>
              <w:jc w:val="right"/>
              <w:rPr>
                <w:color w:val="000000"/>
              </w:rPr>
            </w:pPr>
            <w:r w:rsidRPr="006F5754">
              <w:rPr>
                <w:color w:val="000000"/>
              </w:rPr>
              <w:t>271</w:t>
            </w:r>
          </w:p>
        </w:tc>
        <w:tc>
          <w:tcPr>
            <w:tcW w:w="907" w:type="dxa"/>
            <w:noWrap/>
            <w:vAlign w:val="bottom"/>
          </w:tcPr>
          <w:p w14:paraId="05C7C5ED" w14:textId="59D86C77" w:rsidR="0061282E" w:rsidRPr="006F5754" w:rsidRDefault="0061282E" w:rsidP="00487D2E">
            <w:pPr>
              <w:spacing w:after="200" w:line="360" w:lineRule="auto"/>
              <w:jc w:val="right"/>
              <w:rPr>
                <w:color w:val="000000"/>
              </w:rPr>
            </w:pPr>
            <w:r w:rsidRPr="006F5754">
              <w:rPr>
                <w:color w:val="000000"/>
              </w:rPr>
              <w:t>23.1</w:t>
            </w:r>
            <w:r w:rsidR="00C3508A">
              <w:rPr>
                <w:color w:val="000000"/>
              </w:rPr>
              <w:t>%</w:t>
            </w:r>
          </w:p>
        </w:tc>
        <w:tc>
          <w:tcPr>
            <w:tcW w:w="906" w:type="dxa"/>
            <w:noWrap/>
            <w:vAlign w:val="bottom"/>
          </w:tcPr>
          <w:p w14:paraId="5C00D5FC" w14:textId="711E8E9C" w:rsidR="0061282E" w:rsidRPr="006F5754" w:rsidRDefault="0061282E" w:rsidP="00487D2E">
            <w:pPr>
              <w:spacing w:after="200" w:line="360" w:lineRule="auto"/>
              <w:jc w:val="right"/>
              <w:rPr>
                <w:color w:val="000000"/>
              </w:rPr>
            </w:pPr>
            <w:r w:rsidRPr="006F5754">
              <w:rPr>
                <w:color w:val="000000"/>
              </w:rPr>
              <w:t>462</w:t>
            </w:r>
          </w:p>
        </w:tc>
        <w:tc>
          <w:tcPr>
            <w:tcW w:w="907" w:type="dxa"/>
            <w:noWrap/>
            <w:vAlign w:val="bottom"/>
          </w:tcPr>
          <w:p w14:paraId="271E09ED" w14:textId="40EB0608" w:rsidR="0061282E" w:rsidRPr="006F5754" w:rsidRDefault="0061282E" w:rsidP="00487D2E">
            <w:pPr>
              <w:spacing w:after="200" w:line="360" w:lineRule="auto"/>
              <w:jc w:val="right"/>
              <w:rPr>
                <w:color w:val="000000"/>
              </w:rPr>
            </w:pPr>
            <w:r w:rsidRPr="006F5754">
              <w:rPr>
                <w:color w:val="000000"/>
              </w:rPr>
              <w:t>20.7</w:t>
            </w:r>
            <w:r w:rsidR="00C3508A">
              <w:rPr>
                <w:color w:val="000000"/>
              </w:rPr>
              <w:t>%</w:t>
            </w:r>
          </w:p>
        </w:tc>
        <w:tc>
          <w:tcPr>
            <w:tcW w:w="907" w:type="dxa"/>
            <w:noWrap/>
            <w:vAlign w:val="bottom"/>
          </w:tcPr>
          <w:p w14:paraId="466F99B8" w14:textId="22A3A38E" w:rsidR="0061282E" w:rsidRPr="006F5754" w:rsidRDefault="0061282E" w:rsidP="00487D2E">
            <w:pPr>
              <w:spacing w:after="200" w:line="360" w:lineRule="auto"/>
              <w:jc w:val="right"/>
              <w:rPr>
                <w:color w:val="000000"/>
              </w:rPr>
            </w:pPr>
            <w:r w:rsidRPr="006F5754">
              <w:rPr>
                <w:color w:val="000000"/>
              </w:rPr>
              <w:t>5.7</w:t>
            </w:r>
          </w:p>
        </w:tc>
        <w:tc>
          <w:tcPr>
            <w:tcW w:w="1007" w:type="dxa"/>
          </w:tcPr>
          <w:p w14:paraId="426912C4" w14:textId="2107DC7C" w:rsidR="0061282E" w:rsidRPr="006F5754" w:rsidRDefault="00522EDB" w:rsidP="00487D2E">
            <w:pPr>
              <w:spacing w:after="200" w:line="360" w:lineRule="auto"/>
              <w:jc w:val="right"/>
              <w:rPr>
                <w:color w:val="000000"/>
              </w:rPr>
            </w:pPr>
            <w:r>
              <w:rPr>
                <w:color w:val="000000"/>
              </w:rPr>
              <w:t>0.119</w:t>
            </w:r>
          </w:p>
        </w:tc>
      </w:tr>
      <w:tr w:rsidR="0061282E" w:rsidRPr="006F5754" w14:paraId="745C1B16" w14:textId="77777777" w:rsidTr="006F5754">
        <w:trPr>
          <w:trHeight w:val="300"/>
          <w:jc w:val="center"/>
        </w:trPr>
        <w:tc>
          <w:tcPr>
            <w:tcW w:w="2802" w:type="dxa"/>
            <w:noWrap/>
          </w:tcPr>
          <w:p w14:paraId="63CC6158" w14:textId="77777777" w:rsidR="0061282E" w:rsidRPr="006F5754" w:rsidRDefault="0061282E" w:rsidP="00487D2E">
            <w:pPr>
              <w:spacing w:after="200" w:line="360" w:lineRule="auto"/>
              <w:rPr>
                <w:color w:val="000000"/>
              </w:rPr>
            </w:pPr>
            <w:r w:rsidRPr="006F5754">
              <w:rPr>
                <w:color w:val="000000"/>
              </w:rPr>
              <w:t>NYHA III/IV</w:t>
            </w:r>
          </w:p>
        </w:tc>
        <w:tc>
          <w:tcPr>
            <w:tcW w:w="906" w:type="dxa"/>
            <w:noWrap/>
            <w:vAlign w:val="bottom"/>
          </w:tcPr>
          <w:p w14:paraId="32BF6A40" w14:textId="6AF0B582" w:rsidR="0061282E" w:rsidRPr="006F5754" w:rsidRDefault="0061282E" w:rsidP="00487D2E">
            <w:pPr>
              <w:spacing w:after="200" w:line="360" w:lineRule="auto"/>
              <w:jc w:val="right"/>
              <w:rPr>
                <w:color w:val="000000"/>
              </w:rPr>
            </w:pPr>
            <w:r w:rsidRPr="006F5754">
              <w:rPr>
                <w:color w:val="000000"/>
              </w:rPr>
              <w:t>645</w:t>
            </w:r>
          </w:p>
        </w:tc>
        <w:tc>
          <w:tcPr>
            <w:tcW w:w="907" w:type="dxa"/>
            <w:noWrap/>
            <w:vAlign w:val="bottom"/>
          </w:tcPr>
          <w:p w14:paraId="745BE7B2" w14:textId="220302FA" w:rsidR="0061282E" w:rsidRPr="006F5754" w:rsidRDefault="0061282E" w:rsidP="00487D2E">
            <w:pPr>
              <w:spacing w:after="200" w:line="360" w:lineRule="auto"/>
              <w:jc w:val="right"/>
              <w:rPr>
                <w:color w:val="000000"/>
              </w:rPr>
            </w:pPr>
            <w:r w:rsidRPr="006F5754">
              <w:rPr>
                <w:color w:val="000000"/>
              </w:rPr>
              <w:t>19</w:t>
            </w:r>
            <w:r w:rsidR="00C3508A">
              <w:rPr>
                <w:color w:val="000000"/>
              </w:rPr>
              <w:t>.0%</w:t>
            </w:r>
          </w:p>
        </w:tc>
        <w:tc>
          <w:tcPr>
            <w:tcW w:w="906" w:type="dxa"/>
            <w:noWrap/>
            <w:vAlign w:val="bottom"/>
          </w:tcPr>
          <w:p w14:paraId="04D49EB0" w14:textId="482D7F65" w:rsidR="0061282E" w:rsidRPr="006F5754" w:rsidRDefault="0061282E" w:rsidP="00487D2E">
            <w:pPr>
              <w:spacing w:after="200" w:line="360" w:lineRule="auto"/>
              <w:jc w:val="right"/>
              <w:rPr>
                <w:color w:val="000000"/>
              </w:rPr>
            </w:pPr>
            <w:r w:rsidRPr="006F5754">
              <w:rPr>
                <w:color w:val="000000"/>
              </w:rPr>
              <w:t>225</w:t>
            </w:r>
          </w:p>
        </w:tc>
        <w:tc>
          <w:tcPr>
            <w:tcW w:w="907" w:type="dxa"/>
            <w:noWrap/>
            <w:vAlign w:val="bottom"/>
          </w:tcPr>
          <w:p w14:paraId="6BD885B3" w14:textId="5EC5F662" w:rsidR="0061282E" w:rsidRPr="006F5754" w:rsidRDefault="0061282E" w:rsidP="00487D2E">
            <w:pPr>
              <w:spacing w:after="200" w:line="360" w:lineRule="auto"/>
              <w:jc w:val="right"/>
              <w:rPr>
                <w:color w:val="000000"/>
              </w:rPr>
            </w:pPr>
            <w:r w:rsidRPr="006F5754">
              <w:rPr>
                <w:color w:val="000000"/>
              </w:rPr>
              <w:t>19.2</w:t>
            </w:r>
            <w:r w:rsidR="00C3508A">
              <w:rPr>
                <w:color w:val="000000"/>
              </w:rPr>
              <w:t>%</w:t>
            </w:r>
          </w:p>
        </w:tc>
        <w:tc>
          <w:tcPr>
            <w:tcW w:w="906" w:type="dxa"/>
            <w:noWrap/>
            <w:vAlign w:val="bottom"/>
          </w:tcPr>
          <w:p w14:paraId="6C8E13F8" w14:textId="61BD2A3B" w:rsidR="0061282E" w:rsidRPr="006F5754" w:rsidRDefault="0061282E" w:rsidP="00487D2E">
            <w:pPr>
              <w:spacing w:after="200" w:line="360" w:lineRule="auto"/>
              <w:jc w:val="right"/>
              <w:rPr>
                <w:color w:val="000000"/>
              </w:rPr>
            </w:pPr>
            <w:r w:rsidRPr="006F5754">
              <w:rPr>
                <w:color w:val="000000"/>
              </w:rPr>
              <w:t>420</w:t>
            </w:r>
          </w:p>
        </w:tc>
        <w:tc>
          <w:tcPr>
            <w:tcW w:w="907" w:type="dxa"/>
            <w:noWrap/>
            <w:vAlign w:val="bottom"/>
          </w:tcPr>
          <w:p w14:paraId="21A0F952" w14:textId="13533162" w:rsidR="0061282E" w:rsidRPr="006F5754" w:rsidRDefault="0061282E" w:rsidP="00487D2E">
            <w:pPr>
              <w:spacing w:after="200" w:line="360" w:lineRule="auto"/>
              <w:jc w:val="right"/>
              <w:rPr>
                <w:color w:val="000000"/>
              </w:rPr>
            </w:pPr>
            <w:r w:rsidRPr="006F5754">
              <w:rPr>
                <w:color w:val="000000"/>
              </w:rPr>
              <w:t>18.8</w:t>
            </w:r>
            <w:r w:rsidR="00C3508A">
              <w:rPr>
                <w:color w:val="000000"/>
              </w:rPr>
              <w:t>%</w:t>
            </w:r>
          </w:p>
        </w:tc>
        <w:tc>
          <w:tcPr>
            <w:tcW w:w="907" w:type="dxa"/>
            <w:noWrap/>
            <w:vAlign w:val="bottom"/>
          </w:tcPr>
          <w:p w14:paraId="37898BBE" w14:textId="54906254" w:rsidR="0061282E" w:rsidRPr="006F5754" w:rsidRDefault="0061282E" w:rsidP="00487D2E">
            <w:pPr>
              <w:spacing w:after="200" w:line="360" w:lineRule="auto"/>
              <w:jc w:val="right"/>
              <w:rPr>
                <w:color w:val="000000"/>
              </w:rPr>
            </w:pPr>
            <w:r w:rsidRPr="006F5754">
              <w:rPr>
                <w:color w:val="000000"/>
              </w:rPr>
              <w:t>0.9</w:t>
            </w:r>
          </w:p>
        </w:tc>
        <w:tc>
          <w:tcPr>
            <w:tcW w:w="1007" w:type="dxa"/>
          </w:tcPr>
          <w:p w14:paraId="32C2C068" w14:textId="7BA60043" w:rsidR="0061282E" w:rsidRPr="006F5754" w:rsidRDefault="00522EDB" w:rsidP="00487D2E">
            <w:pPr>
              <w:spacing w:after="200" w:line="360" w:lineRule="auto"/>
              <w:jc w:val="right"/>
              <w:rPr>
                <w:color w:val="000000"/>
              </w:rPr>
            </w:pPr>
            <w:r>
              <w:rPr>
                <w:color w:val="000000"/>
              </w:rPr>
              <w:t>0.846</w:t>
            </w:r>
          </w:p>
        </w:tc>
      </w:tr>
      <w:tr w:rsidR="0061282E" w:rsidRPr="006F5754" w14:paraId="12197C5F" w14:textId="77777777" w:rsidTr="006F5754">
        <w:trPr>
          <w:trHeight w:val="300"/>
          <w:jc w:val="center"/>
        </w:trPr>
        <w:tc>
          <w:tcPr>
            <w:tcW w:w="2802" w:type="dxa"/>
            <w:noWrap/>
          </w:tcPr>
          <w:p w14:paraId="0C881BDF" w14:textId="77777777" w:rsidR="0061282E" w:rsidRPr="006F5754" w:rsidRDefault="0061282E" w:rsidP="00487D2E">
            <w:pPr>
              <w:spacing w:after="200" w:line="360" w:lineRule="auto"/>
              <w:rPr>
                <w:color w:val="000000"/>
              </w:rPr>
            </w:pPr>
            <w:r w:rsidRPr="006F5754">
              <w:rPr>
                <w:color w:val="000000"/>
              </w:rPr>
              <w:t>History of neurological dysfunction</w:t>
            </w:r>
          </w:p>
        </w:tc>
        <w:tc>
          <w:tcPr>
            <w:tcW w:w="906" w:type="dxa"/>
            <w:noWrap/>
            <w:vAlign w:val="bottom"/>
          </w:tcPr>
          <w:p w14:paraId="5CA1FDAC" w14:textId="546A4558" w:rsidR="0061282E" w:rsidRPr="006F5754" w:rsidRDefault="0061282E" w:rsidP="00487D2E">
            <w:pPr>
              <w:spacing w:after="200" w:line="360" w:lineRule="auto"/>
              <w:jc w:val="right"/>
              <w:rPr>
                <w:color w:val="000000"/>
              </w:rPr>
            </w:pPr>
            <w:r w:rsidRPr="006F5754">
              <w:rPr>
                <w:color w:val="000000"/>
              </w:rPr>
              <w:t>53</w:t>
            </w:r>
          </w:p>
        </w:tc>
        <w:tc>
          <w:tcPr>
            <w:tcW w:w="907" w:type="dxa"/>
            <w:noWrap/>
            <w:vAlign w:val="bottom"/>
          </w:tcPr>
          <w:p w14:paraId="4D8D8A26" w14:textId="6895EC50" w:rsidR="0061282E" w:rsidRPr="006F5754" w:rsidRDefault="0061282E" w:rsidP="00487D2E">
            <w:pPr>
              <w:spacing w:after="200" w:line="360" w:lineRule="auto"/>
              <w:jc w:val="right"/>
              <w:rPr>
                <w:color w:val="000000"/>
              </w:rPr>
            </w:pPr>
            <w:r w:rsidRPr="006F5754">
              <w:rPr>
                <w:color w:val="000000"/>
              </w:rPr>
              <w:t>1.6</w:t>
            </w:r>
            <w:r w:rsidR="00C3508A">
              <w:rPr>
                <w:color w:val="000000"/>
              </w:rPr>
              <w:t>%</w:t>
            </w:r>
          </w:p>
        </w:tc>
        <w:tc>
          <w:tcPr>
            <w:tcW w:w="906" w:type="dxa"/>
            <w:noWrap/>
            <w:vAlign w:val="bottom"/>
          </w:tcPr>
          <w:p w14:paraId="49F9A567" w14:textId="21DBD6D3" w:rsidR="0061282E" w:rsidRPr="006F5754" w:rsidRDefault="0061282E" w:rsidP="00487D2E">
            <w:pPr>
              <w:spacing w:after="200" w:line="360" w:lineRule="auto"/>
              <w:jc w:val="right"/>
              <w:rPr>
                <w:color w:val="000000"/>
              </w:rPr>
            </w:pPr>
            <w:r w:rsidRPr="006F5754">
              <w:rPr>
                <w:color w:val="000000"/>
              </w:rPr>
              <w:t>25</w:t>
            </w:r>
          </w:p>
        </w:tc>
        <w:tc>
          <w:tcPr>
            <w:tcW w:w="907" w:type="dxa"/>
            <w:noWrap/>
            <w:vAlign w:val="bottom"/>
          </w:tcPr>
          <w:p w14:paraId="094B32D8" w14:textId="6B89EFAE" w:rsidR="0061282E" w:rsidRPr="006F5754" w:rsidRDefault="0061282E" w:rsidP="00487D2E">
            <w:pPr>
              <w:spacing w:after="200" w:line="360" w:lineRule="auto"/>
              <w:jc w:val="right"/>
              <w:rPr>
                <w:color w:val="000000"/>
              </w:rPr>
            </w:pPr>
            <w:r w:rsidRPr="006F5754">
              <w:rPr>
                <w:color w:val="000000"/>
              </w:rPr>
              <w:t>2.1</w:t>
            </w:r>
            <w:r w:rsidR="00C3508A">
              <w:rPr>
                <w:color w:val="000000"/>
              </w:rPr>
              <w:t>%</w:t>
            </w:r>
          </w:p>
        </w:tc>
        <w:tc>
          <w:tcPr>
            <w:tcW w:w="906" w:type="dxa"/>
            <w:noWrap/>
            <w:vAlign w:val="bottom"/>
          </w:tcPr>
          <w:p w14:paraId="24EA3474" w14:textId="77A22963" w:rsidR="0061282E" w:rsidRPr="006F5754" w:rsidRDefault="0061282E" w:rsidP="00487D2E">
            <w:pPr>
              <w:spacing w:after="200" w:line="360" w:lineRule="auto"/>
              <w:jc w:val="right"/>
              <w:rPr>
                <w:color w:val="000000"/>
              </w:rPr>
            </w:pPr>
            <w:r w:rsidRPr="006F5754">
              <w:rPr>
                <w:color w:val="000000"/>
              </w:rPr>
              <w:t>28</w:t>
            </w:r>
          </w:p>
        </w:tc>
        <w:tc>
          <w:tcPr>
            <w:tcW w:w="907" w:type="dxa"/>
            <w:noWrap/>
            <w:vAlign w:val="bottom"/>
          </w:tcPr>
          <w:p w14:paraId="47EB1185" w14:textId="799A3339" w:rsidR="0061282E" w:rsidRPr="006F5754" w:rsidRDefault="0061282E" w:rsidP="00487D2E">
            <w:pPr>
              <w:spacing w:after="200" w:line="360" w:lineRule="auto"/>
              <w:jc w:val="right"/>
              <w:rPr>
                <w:color w:val="000000"/>
              </w:rPr>
            </w:pPr>
            <w:r w:rsidRPr="006F5754">
              <w:rPr>
                <w:color w:val="000000"/>
              </w:rPr>
              <w:t>1.3</w:t>
            </w:r>
            <w:r w:rsidR="00C3508A">
              <w:rPr>
                <w:color w:val="000000"/>
              </w:rPr>
              <w:t>%</w:t>
            </w:r>
          </w:p>
        </w:tc>
        <w:tc>
          <w:tcPr>
            <w:tcW w:w="907" w:type="dxa"/>
            <w:noWrap/>
            <w:vAlign w:val="bottom"/>
          </w:tcPr>
          <w:p w14:paraId="200BEAD1" w14:textId="36B0BFFC" w:rsidR="0061282E" w:rsidRPr="006F5754" w:rsidRDefault="0061282E" w:rsidP="00487D2E">
            <w:pPr>
              <w:spacing w:after="200" w:line="360" w:lineRule="auto"/>
              <w:jc w:val="right"/>
              <w:rPr>
                <w:color w:val="000000"/>
              </w:rPr>
            </w:pPr>
            <w:r w:rsidRPr="006F5754">
              <w:rPr>
                <w:color w:val="000000"/>
              </w:rPr>
              <w:t>6.8</w:t>
            </w:r>
          </w:p>
        </w:tc>
        <w:tc>
          <w:tcPr>
            <w:tcW w:w="1007" w:type="dxa"/>
          </w:tcPr>
          <w:p w14:paraId="043C230E" w14:textId="25A798C0" w:rsidR="0061282E" w:rsidRPr="006F5754" w:rsidRDefault="00522EDB" w:rsidP="00487D2E">
            <w:pPr>
              <w:spacing w:after="200" w:line="360" w:lineRule="auto"/>
              <w:jc w:val="right"/>
              <w:rPr>
                <w:color w:val="000000"/>
              </w:rPr>
            </w:pPr>
            <w:r>
              <w:rPr>
                <w:color w:val="000000"/>
              </w:rPr>
              <w:t>0.070</w:t>
            </w:r>
          </w:p>
        </w:tc>
      </w:tr>
      <w:tr w:rsidR="0061282E" w:rsidRPr="006F5754" w14:paraId="2F7208F6" w14:textId="77777777" w:rsidTr="006F5754">
        <w:trPr>
          <w:trHeight w:val="300"/>
          <w:jc w:val="center"/>
        </w:trPr>
        <w:tc>
          <w:tcPr>
            <w:tcW w:w="2802" w:type="dxa"/>
            <w:noWrap/>
          </w:tcPr>
          <w:p w14:paraId="76C50966" w14:textId="77777777" w:rsidR="0061282E" w:rsidRPr="006F5754" w:rsidRDefault="0061282E" w:rsidP="00487D2E">
            <w:pPr>
              <w:spacing w:after="200" w:line="360" w:lineRule="auto"/>
              <w:rPr>
                <w:color w:val="000000"/>
              </w:rPr>
            </w:pPr>
            <w:r w:rsidRPr="006F5754">
              <w:rPr>
                <w:color w:val="000000"/>
              </w:rPr>
              <w:t>Diabetes (</w:t>
            </w:r>
            <w:r w:rsidRPr="006F5754">
              <w:t>insulin or diet controlled</w:t>
            </w:r>
            <w:r w:rsidRPr="006F5754">
              <w:rPr>
                <w:color w:val="000000"/>
              </w:rPr>
              <w:t>)</w:t>
            </w:r>
          </w:p>
        </w:tc>
        <w:tc>
          <w:tcPr>
            <w:tcW w:w="906" w:type="dxa"/>
            <w:noWrap/>
            <w:vAlign w:val="bottom"/>
          </w:tcPr>
          <w:p w14:paraId="00067370" w14:textId="6ECC452D" w:rsidR="0061282E" w:rsidRPr="006F5754" w:rsidRDefault="0061282E" w:rsidP="00487D2E">
            <w:pPr>
              <w:spacing w:after="200" w:line="360" w:lineRule="auto"/>
              <w:jc w:val="right"/>
              <w:rPr>
                <w:color w:val="000000"/>
              </w:rPr>
            </w:pPr>
            <w:r w:rsidRPr="006F5754">
              <w:rPr>
                <w:color w:val="000000"/>
              </w:rPr>
              <w:t>600</w:t>
            </w:r>
          </w:p>
        </w:tc>
        <w:tc>
          <w:tcPr>
            <w:tcW w:w="907" w:type="dxa"/>
            <w:noWrap/>
            <w:vAlign w:val="bottom"/>
          </w:tcPr>
          <w:p w14:paraId="12873A06" w14:textId="5A979B71" w:rsidR="0061282E" w:rsidRPr="006F5754" w:rsidRDefault="0061282E" w:rsidP="00487D2E">
            <w:pPr>
              <w:spacing w:after="200" w:line="360" w:lineRule="auto"/>
              <w:jc w:val="right"/>
              <w:rPr>
                <w:color w:val="000000"/>
              </w:rPr>
            </w:pPr>
            <w:r w:rsidRPr="006F5754">
              <w:rPr>
                <w:color w:val="000000"/>
              </w:rPr>
              <w:t>17.6</w:t>
            </w:r>
            <w:r w:rsidR="00C3508A">
              <w:rPr>
                <w:color w:val="000000"/>
              </w:rPr>
              <w:t>%</w:t>
            </w:r>
          </w:p>
        </w:tc>
        <w:tc>
          <w:tcPr>
            <w:tcW w:w="906" w:type="dxa"/>
            <w:noWrap/>
            <w:vAlign w:val="bottom"/>
          </w:tcPr>
          <w:p w14:paraId="68C9C3B5" w14:textId="601FFBE1" w:rsidR="0061282E" w:rsidRPr="006F5754" w:rsidRDefault="0061282E" w:rsidP="00487D2E">
            <w:pPr>
              <w:spacing w:after="200" w:line="360" w:lineRule="auto"/>
              <w:jc w:val="right"/>
              <w:rPr>
                <w:color w:val="000000"/>
              </w:rPr>
            </w:pPr>
            <w:r w:rsidRPr="006F5754">
              <w:rPr>
                <w:color w:val="000000"/>
              </w:rPr>
              <w:t>207</w:t>
            </w:r>
          </w:p>
        </w:tc>
        <w:tc>
          <w:tcPr>
            <w:tcW w:w="907" w:type="dxa"/>
            <w:noWrap/>
            <w:vAlign w:val="bottom"/>
          </w:tcPr>
          <w:p w14:paraId="1F65E1D9" w14:textId="25BCDD80" w:rsidR="0061282E" w:rsidRPr="006F5754" w:rsidRDefault="0061282E" w:rsidP="00487D2E">
            <w:pPr>
              <w:spacing w:after="200" w:line="360" w:lineRule="auto"/>
              <w:jc w:val="right"/>
              <w:rPr>
                <w:color w:val="000000"/>
              </w:rPr>
            </w:pPr>
            <w:r w:rsidRPr="006F5754">
              <w:rPr>
                <w:color w:val="000000"/>
              </w:rPr>
              <w:t>17.6</w:t>
            </w:r>
            <w:r w:rsidR="00C3508A">
              <w:rPr>
                <w:color w:val="000000"/>
              </w:rPr>
              <w:t>%</w:t>
            </w:r>
          </w:p>
        </w:tc>
        <w:tc>
          <w:tcPr>
            <w:tcW w:w="906" w:type="dxa"/>
            <w:noWrap/>
            <w:vAlign w:val="bottom"/>
          </w:tcPr>
          <w:p w14:paraId="22960319" w14:textId="20E47A0D" w:rsidR="0061282E" w:rsidRPr="006F5754" w:rsidRDefault="0061282E" w:rsidP="00487D2E">
            <w:pPr>
              <w:spacing w:after="200" w:line="360" w:lineRule="auto"/>
              <w:jc w:val="right"/>
              <w:rPr>
                <w:color w:val="000000"/>
              </w:rPr>
            </w:pPr>
            <w:r w:rsidRPr="006F5754">
              <w:rPr>
                <w:color w:val="000000"/>
              </w:rPr>
              <w:t>393</w:t>
            </w:r>
          </w:p>
        </w:tc>
        <w:tc>
          <w:tcPr>
            <w:tcW w:w="907" w:type="dxa"/>
            <w:noWrap/>
            <w:vAlign w:val="bottom"/>
          </w:tcPr>
          <w:p w14:paraId="70019193" w14:textId="2BABFB82" w:rsidR="0061282E" w:rsidRPr="006F5754" w:rsidRDefault="0061282E" w:rsidP="00487D2E">
            <w:pPr>
              <w:spacing w:after="200" w:line="360" w:lineRule="auto"/>
              <w:jc w:val="right"/>
              <w:rPr>
                <w:color w:val="000000"/>
              </w:rPr>
            </w:pPr>
            <w:r w:rsidRPr="006F5754">
              <w:rPr>
                <w:color w:val="000000"/>
              </w:rPr>
              <w:t>17.6</w:t>
            </w:r>
            <w:r w:rsidR="00C3508A">
              <w:rPr>
                <w:color w:val="000000"/>
              </w:rPr>
              <w:t>%</w:t>
            </w:r>
          </w:p>
        </w:tc>
        <w:tc>
          <w:tcPr>
            <w:tcW w:w="907" w:type="dxa"/>
            <w:noWrap/>
            <w:vAlign w:val="bottom"/>
          </w:tcPr>
          <w:p w14:paraId="073A96C9" w14:textId="3C6FFA3D" w:rsidR="0061282E" w:rsidRPr="006F5754" w:rsidRDefault="0061282E" w:rsidP="00487D2E">
            <w:pPr>
              <w:spacing w:after="200" w:line="360" w:lineRule="auto"/>
              <w:jc w:val="right"/>
              <w:rPr>
                <w:color w:val="000000"/>
              </w:rPr>
            </w:pPr>
            <w:r w:rsidRPr="006F5754">
              <w:rPr>
                <w:color w:val="000000"/>
              </w:rPr>
              <w:t>0</w:t>
            </w:r>
            <w:r w:rsidR="00C3508A">
              <w:rPr>
                <w:color w:val="000000"/>
              </w:rPr>
              <w:t>.0</w:t>
            </w:r>
          </w:p>
        </w:tc>
        <w:tc>
          <w:tcPr>
            <w:tcW w:w="1007" w:type="dxa"/>
          </w:tcPr>
          <w:p w14:paraId="6DB76386" w14:textId="2756B629" w:rsidR="0061282E" w:rsidRPr="006F5754" w:rsidRDefault="00C3508A" w:rsidP="00487D2E">
            <w:pPr>
              <w:spacing w:after="200" w:line="360" w:lineRule="auto"/>
              <w:jc w:val="right"/>
              <w:rPr>
                <w:color w:val="000000"/>
              </w:rPr>
            </w:pPr>
            <w:r>
              <w:rPr>
                <w:color w:val="000000"/>
              </w:rPr>
              <w:t>&gt;</w:t>
            </w:r>
            <w:r w:rsidR="00522EDB">
              <w:rPr>
                <w:color w:val="000000"/>
              </w:rPr>
              <w:t>0.</w:t>
            </w:r>
            <w:r>
              <w:rPr>
                <w:color w:val="000000"/>
              </w:rPr>
              <w:t>999</w:t>
            </w:r>
          </w:p>
        </w:tc>
      </w:tr>
      <w:tr w:rsidR="0061282E" w:rsidRPr="006F5754" w14:paraId="2BEE2B97" w14:textId="77777777" w:rsidTr="006F5754">
        <w:trPr>
          <w:trHeight w:val="300"/>
          <w:jc w:val="center"/>
        </w:trPr>
        <w:tc>
          <w:tcPr>
            <w:tcW w:w="2802" w:type="dxa"/>
            <w:noWrap/>
          </w:tcPr>
          <w:p w14:paraId="44CE93D1" w14:textId="77777777" w:rsidR="0061282E" w:rsidRPr="006F5754" w:rsidRDefault="0061282E" w:rsidP="00487D2E">
            <w:pPr>
              <w:spacing w:after="200" w:line="360" w:lineRule="auto"/>
              <w:rPr>
                <w:color w:val="000000"/>
              </w:rPr>
            </w:pPr>
            <w:r w:rsidRPr="006F5754">
              <w:rPr>
                <w:color w:val="000000"/>
              </w:rPr>
              <w:t>History of hypertension</w:t>
            </w:r>
          </w:p>
        </w:tc>
        <w:tc>
          <w:tcPr>
            <w:tcW w:w="906" w:type="dxa"/>
            <w:noWrap/>
            <w:vAlign w:val="bottom"/>
          </w:tcPr>
          <w:p w14:paraId="44099995" w14:textId="4E43143E" w:rsidR="0061282E" w:rsidRPr="006F5754" w:rsidRDefault="0061282E" w:rsidP="00487D2E">
            <w:pPr>
              <w:spacing w:after="200" w:line="360" w:lineRule="auto"/>
              <w:jc w:val="right"/>
              <w:rPr>
                <w:color w:val="000000"/>
              </w:rPr>
            </w:pPr>
            <w:r w:rsidRPr="006F5754">
              <w:rPr>
                <w:color w:val="000000"/>
              </w:rPr>
              <w:t>2269</w:t>
            </w:r>
          </w:p>
        </w:tc>
        <w:tc>
          <w:tcPr>
            <w:tcW w:w="907" w:type="dxa"/>
            <w:noWrap/>
            <w:vAlign w:val="bottom"/>
          </w:tcPr>
          <w:p w14:paraId="3F55CF1B" w14:textId="05332ADA" w:rsidR="0061282E" w:rsidRPr="006F5754" w:rsidRDefault="0061282E" w:rsidP="00487D2E">
            <w:pPr>
              <w:spacing w:after="200" w:line="360" w:lineRule="auto"/>
              <w:jc w:val="right"/>
              <w:rPr>
                <w:color w:val="000000"/>
              </w:rPr>
            </w:pPr>
            <w:r w:rsidRPr="006F5754">
              <w:rPr>
                <w:color w:val="000000"/>
              </w:rPr>
              <w:t>66.7</w:t>
            </w:r>
            <w:r w:rsidR="00C3508A">
              <w:rPr>
                <w:color w:val="000000"/>
              </w:rPr>
              <w:t>%</w:t>
            </w:r>
          </w:p>
        </w:tc>
        <w:tc>
          <w:tcPr>
            <w:tcW w:w="906" w:type="dxa"/>
            <w:noWrap/>
            <w:vAlign w:val="bottom"/>
          </w:tcPr>
          <w:p w14:paraId="59F720D0" w14:textId="0C00F7B5" w:rsidR="0061282E" w:rsidRPr="006F5754" w:rsidRDefault="0061282E" w:rsidP="00487D2E">
            <w:pPr>
              <w:spacing w:after="200" w:line="360" w:lineRule="auto"/>
              <w:jc w:val="right"/>
              <w:rPr>
                <w:color w:val="000000"/>
              </w:rPr>
            </w:pPr>
            <w:r w:rsidRPr="006F5754">
              <w:rPr>
                <w:color w:val="000000"/>
              </w:rPr>
              <w:t>764</w:t>
            </w:r>
          </w:p>
        </w:tc>
        <w:tc>
          <w:tcPr>
            <w:tcW w:w="907" w:type="dxa"/>
            <w:noWrap/>
            <w:vAlign w:val="bottom"/>
          </w:tcPr>
          <w:p w14:paraId="78B2BBE0" w14:textId="598A3191" w:rsidR="0061282E" w:rsidRPr="006F5754" w:rsidRDefault="0061282E" w:rsidP="00487D2E">
            <w:pPr>
              <w:spacing w:after="200" w:line="360" w:lineRule="auto"/>
              <w:jc w:val="right"/>
              <w:rPr>
                <w:color w:val="000000"/>
              </w:rPr>
            </w:pPr>
            <w:r w:rsidRPr="006F5754">
              <w:rPr>
                <w:color w:val="000000"/>
              </w:rPr>
              <w:t>65.1</w:t>
            </w:r>
            <w:r w:rsidR="00C3508A">
              <w:rPr>
                <w:color w:val="000000"/>
              </w:rPr>
              <w:t>%</w:t>
            </w:r>
          </w:p>
        </w:tc>
        <w:tc>
          <w:tcPr>
            <w:tcW w:w="906" w:type="dxa"/>
            <w:noWrap/>
            <w:vAlign w:val="bottom"/>
          </w:tcPr>
          <w:p w14:paraId="7BDE8B4A" w14:textId="108515DA" w:rsidR="0061282E" w:rsidRPr="006F5754" w:rsidRDefault="0061282E" w:rsidP="00487D2E">
            <w:pPr>
              <w:spacing w:after="200" w:line="360" w:lineRule="auto"/>
              <w:jc w:val="right"/>
              <w:rPr>
                <w:color w:val="000000"/>
              </w:rPr>
            </w:pPr>
            <w:r w:rsidRPr="006F5754">
              <w:rPr>
                <w:color w:val="000000"/>
              </w:rPr>
              <w:t>1505</w:t>
            </w:r>
          </w:p>
        </w:tc>
        <w:tc>
          <w:tcPr>
            <w:tcW w:w="907" w:type="dxa"/>
            <w:noWrap/>
            <w:vAlign w:val="bottom"/>
          </w:tcPr>
          <w:p w14:paraId="23928D19" w14:textId="7FDC6FFB" w:rsidR="0061282E" w:rsidRPr="006F5754" w:rsidRDefault="0061282E" w:rsidP="00487D2E">
            <w:pPr>
              <w:spacing w:after="200" w:line="360" w:lineRule="auto"/>
              <w:jc w:val="right"/>
              <w:rPr>
                <w:color w:val="000000"/>
              </w:rPr>
            </w:pPr>
            <w:r w:rsidRPr="006F5754">
              <w:rPr>
                <w:color w:val="000000"/>
              </w:rPr>
              <w:t>67.5</w:t>
            </w:r>
            <w:r w:rsidR="00C3508A">
              <w:rPr>
                <w:color w:val="000000"/>
              </w:rPr>
              <w:t>%</w:t>
            </w:r>
          </w:p>
        </w:tc>
        <w:tc>
          <w:tcPr>
            <w:tcW w:w="907" w:type="dxa"/>
            <w:noWrap/>
            <w:vAlign w:val="bottom"/>
          </w:tcPr>
          <w:p w14:paraId="483BAB42" w14:textId="545ABDA5" w:rsidR="0061282E" w:rsidRPr="006F5754" w:rsidRDefault="0061282E" w:rsidP="00487D2E">
            <w:pPr>
              <w:spacing w:after="200" w:line="360" w:lineRule="auto"/>
              <w:jc w:val="right"/>
              <w:rPr>
                <w:color w:val="000000"/>
              </w:rPr>
            </w:pPr>
            <w:r w:rsidRPr="006F5754">
              <w:rPr>
                <w:color w:val="000000"/>
              </w:rPr>
              <w:t>-5.1</w:t>
            </w:r>
          </w:p>
        </w:tc>
        <w:tc>
          <w:tcPr>
            <w:tcW w:w="1007" w:type="dxa"/>
          </w:tcPr>
          <w:p w14:paraId="3425DF24" w14:textId="5B92EA56" w:rsidR="0061282E" w:rsidRPr="006F5754" w:rsidRDefault="00522EDB" w:rsidP="00487D2E">
            <w:pPr>
              <w:spacing w:after="200" w:line="360" w:lineRule="auto"/>
              <w:jc w:val="right"/>
              <w:rPr>
                <w:color w:val="000000"/>
              </w:rPr>
            </w:pPr>
            <w:r>
              <w:rPr>
                <w:color w:val="000000"/>
              </w:rPr>
              <w:t>0.172</w:t>
            </w:r>
          </w:p>
        </w:tc>
      </w:tr>
      <w:tr w:rsidR="0061282E" w:rsidRPr="006F5754" w14:paraId="53C07651" w14:textId="77777777" w:rsidTr="006F5754">
        <w:trPr>
          <w:trHeight w:val="300"/>
          <w:jc w:val="center"/>
        </w:trPr>
        <w:tc>
          <w:tcPr>
            <w:tcW w:w="2802" w:type="dxa"/>
            <w:noWrap/>
          </w:tcPr>
          <w:p w14:paraId="6B0B0C94" w14:textId="77777777" w:rsidR="0061282E" w:rsidRPr="006F5754" w:rsidRDefault="0061282E" w:rsidP="00487D2E">
            <w:pPr>
              <w:spacing w:after="200" w:line="360" w:lineRule="auto"/>
              <w:rPr>
                <w:color w:val="000000"/>
              </w:rPr>
            </w:pPr>
            <w:r w:rsidRPr="006F5754">
              <w:rPr>
                <w:color w:val="000000"/>
              </w:rPr>
              <w:t>Recent MI</w:t>
            </w:r>
          </w:p>
        </w:tc>
        <w:tc>
          <w:tcPr>
            <w:tcW w:w="906" w:type="dxa"/>
            <w:noWrap/>
            <w:vAlign w:val="bottom"/>
          </w:tcPr>
          <w:p w14:paraId="21EE89F8" w14:textId="4A27F6C6" w:rsidR="0061282E" w:rsidRPr="006F5754" w:rsidRDefault="0061282E" w:rsidP="00487D2E">
            <w:pPr>
              <w:spacing w:after="200" w:line="360" w:lineRule="auto"/>
              <w:jc w:val="right"/>
              <w:rPr>
                <w:color w:val="000000"/>
              </w:rPr>
            </w:pPr>
            <w:r w:rsidRPr="006F5754">
              <w:rPr>
                <w:color w:val="000000"/>
              </w:rPr>
              <w:t>480</w:t>
            </w:r>
          </w:p>
        </w:tc>
        <w:tc>
          <w:tcPr>
            <w:tcW w:w="907" w:type="dxa"/>
            <w:noWrap/>
            <w:vAlign w:val="bottom"/>
          </w:tcPr>
          <w:p w14:paraId="572FC0D7" w14:textId="16FF96C9" w:rsidR="0061282E" w:rsidRPr="006F5754" w:rsidRDefault="0061282E" w:rsidP="00487D2E">
            <w:pPr>
              <w:spacing w:after="200" w:line="360" w:lineRule="auto"/>
              <w:jc w:val="right"/>
              <w:rPr>
                <w:color w:val="000000"/>
              </w:rPr>
            </w:pPr>
            <w:r w:rsidRPr="006F5754">
              <w:rPr>
                <w:color w:val="000000"/>
              </w:rPr>
              <w:t>14.1</w:t>
            </w:r>
            <w:r w:rsidR="00C3508A">
              <w:rPr>
                <w:color w:val="000000"/>
              </w:rPr>
              <w:t>%</w:t>
            </w:r>
          </w:p>
        </w:tc>
        <w:tc>
          <w:tcPr>
            <w:tcW w:w="906" w:type="dxa"/>
            <w:noWrap/>
            <w:vAlign w:val="bottom"/>
          </w:tcPr>
          <w:p w14:paraId="5E05D876" w14:textId="7A80DF54" w:rsidR="0061282E" w:rsidRPr="006F5754" w:rsidRDefault="0061282E" w:rsidP="00487D2E">
            <w:pPr>
              <w:spacing w:after="200" w:line="360" w:lineRule="auto"/>
              <w:jc w:val="right"/>
              <w:rPr>
                <w:color w:val="000000"/>
              </w:rPr>
            </w:pPr>
            <w:r w:rsidRPr="006F5754">
              <w:rPr>
                <w:color w:val="000000"/>
              </w:rPr>
              <w:t>177</w:t>
            </w:r>
          </w:p>
        </w:tc>
        <w:tc>
          <w:tcPr>
            <w:tcW w:w="907" w:type="dxa"/>
            <w:noWrap/>
            <w:vAlign w:val="bottom"/>
          </w:tcPr>
          <w:p w14:paraId="214E1756" w14:textId="259C7F1D" w:rsidR="0061282E" w:rsidRPr="006F5754" w:rsidRDefault="0061282E" w:rsidP="00487D2E">
            <w:pPr>
              <w:spacing w:after="200" w:line="360" w:lineRule="auto"/>
              <w:jc w:val="right"/>
              <w:rPr>
                <w:color w:val="000000"/>
              </w:rPr>
            </w:pPr>
            <w:r w:rsidRPr="006F5754">
              <w:rPr>
                <w:color w:val="000000"/>
              </w:rPr>
              <w:t>15.1</w:t>
            </w:r>
            <w:r w:rsidR="00C3508A">
              <w:rPr>
                <w:color w:val="000000"/>
              </w:rPr>
              <w:t>%</w:t>
            </w:r>
          </w:p>
        </w:tc>
        <w:tc>
          <w:tcPr>
            <w:tcW w:w="906" w:type="dxa"/>
            <w:noWrap/>
            <w:vAlign w:val="bottom"/>
          </w:tcPr>
          <w:p w14:paraId="4BE20A5E" w14:textId="0532103A" w:rsidR="0061282E" w:rsidRPr="006F5754" w:rsidRDefault="0061282E" w:rsidP="00487D2E">
            <w:pPr>
              <w:spacing w:after="200" w:line="360" w:lineRule="auto"/>
              <w:jc w:val="right"/>
              <w:rPr>
                <w:color w:val="000000"/>
              </w:rPr>
            </w:pPr>
            <w:r w:rsidRPr="006F5754">
              <w:rPr>
                <w:color w:val="000000"/>
              </w:rPr>
              <w:t>303</w:t>
            </w:r>
          </w:p>
        </w:tc>
        <w:tc>
          <w:tcPr>
            <w:tcW w:w="907" w:type="dxa"/>
            <w:noWrap/>
            <w:vAlign w:val="bottom"/>
          </w:tcPr>
          <w:p w14:paraId="39B4A6F8" w14:textId="46C0F482" w:rsidR="0061282E" w:rsidRPr="006F5754" w:rsidRDefault="0061282E" w:rsidP="00487D2E">
            <w:pPr>
              <w:spacing w:after="200" w:line="360" w:lineRule="auto"/>
              <w:jc w:val="right"/>
              <w:rPr>
                <w:color w:val="000000"/>
              </w:rPr>
            </w:pPr>
            <w:r w:rsidRPr="006F5754">
              <w:rPr>
                <w:color w:val="000000"/>
              </w:rPr>
              <w:t>13.6</w:t>
            </w:r>
            <w:r w:rsidR="00C3508A">
              <w:rPr>
                <w:color w:val="000000"/>
              </w:rPr>
              <w:t>%</w:t>
            </w:r>
          </w:p>
        </w:tc>
        <w:tc>
          <w:tcPr>
            <w:tcW w:w="907" w:type="dxa"/>
            <w:noWrap/>
            <w:vAlign w:val="bottom"/>
          </w:tcPr>
          <w:p w14:paraId="6276445E" w14:textId="423727C1" w:rsidR="0061282E" w:rsidRPr="006F5754" w:rsidRDefault="0061282E" w:rsidP="00487D2E">
            <w:pPr>
              <w:spacing w:after="200" w:line="360" w:lineRule="auto"/>
              <w:jc w:val="right"/>
              <w:rPr>
                <w:color w:val="000000"/>
              </w:rPr>
            </w:pPr>
            <w:r w:rsidRPr="006F5754">
              <w:rPr>
                <w:color w:val="000000"/>
              </w:rPr>
              <w:t>4.3</w:t>
            </w:r>
          </w:p>
        </w:tc>
        <w:tc>
          <w:tcPr>
            <w:tcW w:w="1007" w:type="dxa"/>
          </w:tcPr>
          <w:p w14:paraId="6E29C6E7" w14:textId="1B0AC615" w:rsidR="0061282E" w:rsidRPr="006F5754" w:rsidRDefault="00522EDB" w:rsidP="00487D2E">
            <w:pPr>
              <w:spacing w:after="200" w:line="360" w:lineRule="auto"/>
              <w:jc w:val="right"/>
              <w:rPr>
                <w:color w:val="000000"/>
              </w:rPr>
            </w:pPr>
            <w:r>
              <w:rPr>
                <w:color w:val="000000"/>
              </w:rPr>
              <w:t>0.255</w:t>
            </w:r>
          </w:p>
        </w:tc>
      </w:tr>
      <w:tr w:rsidR="0061282E" w:rsidRPr="006F5754" w14:paraId="4E48DB22" w14:textId="77777777" w:rsidTr="006F5754">
        <w:trPr>
          <w:trHeight w:val="300"/>
          <w:jc w:val="center"/>
        </w:trPr>
        <w:tc>
          <w:tcPr>
            <w:tcW w:w="2802" w:type="dxa"/>
            <w:noWrap/>
          </w:tcPr>
          <w:p w14:paraId="1987D892" w14:textId="77777777" w:rsidR="0061282E" w:rsidRPr="006F5754" w:rsidRDefault="0061282E" w:rsidP="00487D2E">
            <w:pPr>
              <w:spacing w:after="200" w:line="360" w:lineRule="auto"/>
              <w:rPr>
                <w:color w:val="000000"/>
              </w:rPr>
            </w:pPr>
            <w:r w:rsidRPr="006F5754">
              <w:rPr>
                <w:color w:val="000000"/>
              </w:rPr>
              <w:t>Creatinine &gt;</w:t>
            </w:r>
            <w:r w:rsidRPr="006F5754">
              <w:t>200μmol/</w:t>
            </w:r>
            <w:r w:rsidRPr="006F5754">
              <w:rPr>
                <w:color w:val="000000"/>
              </w:rPr>
              <w:t>/l</w:t>
            </w:r>
          </w:p>
        </w:tc>
        <w:tc>
          <w:tcPr>
            <w:tcW w:w="906" w:type="dxa"/>
            <w:noWrap/>
            <w:vAlign w:val="bottom"/>
          </w:tcPr>
          <w:p w14:paraId="0B8C1609" w14:textId="79D45C66" w:rsidR="0061282E" w:rsidRPr="006F5754" w:rsidRDefault="0061282E" w:rsidP="00487D2E">
            <w:pPr>
              <w:spacing w:after="200" w:line="360" w:lineRule="auto"/>
              <w:jc w:val="right"/>
              <w:rPr>
                <w:color w:val="000000"/>
              </w:rPr>
            </w:pPr>
            <w:r w:rsidRPr="006F5754">
              <w:rPr>
                <w:color w:val="000000"/>
              </w:rPr>
              <w:t>33</w:t>
            </w:r>
          </w:p>
        </w:tc>
        <w:tc>
          <w:tcPr>
            <w:tcW w:w="907" w:type="dxa"/>
            <w:noWrap/>
            <w:vAlign w:val="bottom"/>
          </w:tcPr>
          <w:p w14:paraId="18360534" w14:textId="6648493A" w:rsidR="0061282E" w:rsidRPr="006F5754" w:rsidRDefault="0061282E" w:rsidP="00487D2E">
            <w:pPr>
              <w:spacing w:after="200" w:line="360" w:lineRule="auto"/>
              <w:jc w:val="right"/>
              <w:rPr>
                <w:color w:val="000000"/>
              </w:rPr>
            </w:pPr>
            <w:r w:rsidRPr="006F5754">
              <w:rPr>
                <w:color w:val="000000"/>
              </w:rPr>
              <w:t>1</w:t>
            </w:r>
            <w:r w:rsidR="00C3508A">
              <w:rPr>
                <w:color w:val="000000"/>
              </w:rPr>
              <w:t>.0%</w:t>
            </w:r>
          </w:p>
        </w:tc>
        <w:tc>
          <w:tcPr>
            <w:tcW w:w="906" w:type="dxa"/>
            <w:noWrap/>
            <w:vAlign w:val="bottom"/>
          </w:tcPr>
          <w:p w14:paraId="6B725CA0" w14:textId="19703E16" w:rsidR="0061282E" w:rsidRPr="006F5754" w:rsidRDefault="0061282E" w:rsidP="00487D2E">
            <w:pPr>
              <w:spacing w:after="200" w:line="360" w:lineRule="auto"/>
              <w:jc w:val="right"/>
              <w:rPr>
                <w:color w:val="000000"/>
              </w:rPr>
            </w:pPr>
            <w:r w:rsidRPr="006F5754">
              <w:rPr>
                <w:color w:val="000000"/>
              </w:rPr>
              <w:t>11</w:t>
            </w:r>
          </w:p>
        </w:tc>
        <w:tc>
          <w:tcPr>
            <w:tcW w:w="907" w:type="dxa"/>
            <w:noWrap/>
            <w:vAlign w:val="bottom"/>
          </w:tcPr>
          <w:p w14:paraId="1D5863EF" w14:textId="7FC5438A" w:rsidR="0061282E" w:rsidRPr="006F5754" w:rsidRDefault="0061282E" w:rsidP="00487D2E">
            <w:pPr>
              <w:spacing w:after="200" w:line="360" w:lineRule="auto"/>
              <w:jc w:val="right"/>
              <w:rPr>
                <w:color w:val="000000"/>
              </w:rPr>
            </w:pPr>
            <w:r w:rsidRPr="006F5754">
              <w:rPr>
                <w:color w:val="000000"/>
              </w:rPr>
              <w:t>0.9</w:t>
            </w:r>
            <w:r w:rsidR="00C3508A">
              <w:rPr>
                <w:color w:val="000000"/>
              </w:rPr>
              <w:t>%</w:t>
            </w:r>
          </w:p>
        </w:tc>
        <w:tc>
          <w:tcPr>
            <w:tcW w:w="906" w:type="dxa"/>
            <w:noWrap/>
            <w:vAlign w:val="bottom"/>
          </w:tcPr>
          <w:p w14:paraId="62FE7A66" w14:textId="4795B618" w:rsidR="0061282E" w:rsidRPr="006F5754" w:rsidRDefault="0061282E" w:rsidP="00487D2E">
            <w:pPr>
              <w:spacing w:after="200" w:line="360" w:lineRule="auto"/>
              <w:jc w:val="right"/>
              <w:rPr>
                <w:color w:val="000000"/>
              </w:rPr>
            </w:pPr>
            <w:r w:rsidRPr="006F5754">
              <w:rPr>
                <w:color w:val="000000"/>
              </w:rPr>
              <w:t>22</w:t>
            </w:r>
          </w:p>
        </w:tc>
        <w:tc>
          <w:tcPr>
            <w:tcW w:w="907" w:type="dxa"/>
            <w:noWrap/>
            <w:vAlign w:val="bottom"/>
          </w:tcPr>
          <w:p w14:paraId="57AA8C32" w14:textId="7370F0AC" w:rsidR="0061282E" w:rsidRPr="006F5754" w:rsidRDefault="0061282E" w:rsidP="00487D2E">
            <w:pPr>
              <w:spacing w:after="200" w:line="360" w:lineRule="auto"/>
              <w:jc w:val="right"/>
              <w:rPr>
                <w:color w:val="000000"/>
              </w:rPr>
            </w:pPr>
            <w:r w:rsidRPr="006F5754">
              <w:rPr>
                <w:color w:val="000000"/>
              </w:rPr>
              <w:t>1</w:t>
            </w:r>
            <w:r w:rsidR="00C3508A">
              <w:rPr>
                <w:color w:val="000000"/>
              </w:rPr>
              <w:t>.0%</w:t>
            </w:r>
          </w:p>
        </w:tc>
        <w:tc>
          <w:tcPr>
            <w:tcW w:w="907" w:type="dxa"/>
            <w:noWrap/>
            <w:vAlign w:val="bottom"/>
          </w:tcPr>
          <w:p w14:paraId="44D13EA5" w14:textId="3C4B7D82" w:rsidR="0061282E" w:rsidRPr="006F5754" w:rsidRDefault="0061282E" w:rsidP="00487D2E">
            <w:pPr>
              <w:spacing w:after="200" w:line="360" w:lineRule="auto"/>
              <w:jc w:val="right"/>
              <w:rPr>
                <w:color w:val="000000"/>
              </w:rPr>
            </w:pPr>
            <w:r w:rsidRPr="006F5754">
              <w:rPr>
                <w:color w:val="000000"/>
              </w:rPr>
              <w:t>-0.5</w:t>
            </w:r>
          </w:p>
        </w:tc>
        <w:tc>
          <w:tcPr>
            <w:tcW w:w="1007" w:type="dxa"/>
          </w:tcPr>
          <w:p w14:paraId="2A5D09AC" w14:textId="385EDEC5" w:rsidR="0061282E" w:rsidRPr="006F5754" w:rsidRDefault="00C3508A" w:rsidP="00522EDB">
            <w:pPr>
              <w:spacing w:after="200" w:line="360" w:lineRule="auto"/>
              <w:jc w:val="right"/>
              <w:rPr>
                <w:color w:val="000000"/>
              </w:rPr>
            </w:pPr>
            <w:r>
              <w:rPr>
                <w:color w:val="000000"/>
              </w:rPr>
              <w:t>&gt;0</w:t>
            </w:r>
            <w:r w:rsidR="00522EDB">
              <w:rPr>
                <w:color w:val="000000"/>
              </w:rPr>
              <w:t>.</w:t>
            </w:r>
            <w:r>
              <w:rPr>
                <w:color w:val="000000"/>
              </w:rPr>
              <w:t>999</w:t>
            </w:r>
          </w:p>
        </w:tc>
      </w:tr>
      <w:tr w:rsidR="0061282E" w:rsidRPr="006F5754" w14:paraId="00CBC841" w14:textId="77777777" w:rsidTr="006F5754">
        <w:trPr>
          <w:trHeight w:val="300"/>
          <w:jc w:val="center"/>
        </w:trPr>
        <w:tc>
          <w:tcPr>
            <w:tcW w:w="2802" w:type="dxa"/>
            <w:noWrap/>
          </w:tcPr>
          <w:p w14:paraId="5C0B8469" w14:textId="77777777" w:rsidR="0061282E" w:rsidRPr="006F5754" w:rsidRDefault="0061282E" w:rsidP="00487D2E">
            <w:pPr>
              <w:spacing w:after="200" w:line="360" w:lineRule="auto"/>
              <w:rPr>
                <w:color w:val="000000"/>
              </w:rPr>
            </w:pPr>
            <w:r w:rsidRPr="006F5754">
              <w:rPr>
                <w:color w:val="000000"/>
              </w:rPr>
              <w:t>History of pulmonary disease</w:t>
            </w:r>
          </w:p>
        </w:tc>
        <w:tc>
          <w:tcPr>
            <w:tcW w:w="906" w:type="dxa"/>
            <w:noWrap/>
            <w:vAlign w:val="bottom"/>
          </w:tcPr>
          <w:p w14:paraId="40E3A0E9" w14:textId="18F75878" w:rsidR="0061282E" w:rsidRPr="006F5754" w:rsidRDefault="0061282E" w:rsidP="00487D2E">
            <w:pPr>
              <w:spacing w:after="200" w:line="360" w:lineRule="auto"/>
              <w:jc w:val="right"/>
              <w:rPr>
                <w:color w:val="000000"/>
              </w:rPr>
            </w:pPr>
            <w:r w:rsidRPr="006F5754">
              <w:rPr>
                <w:color w:val="000000"/>
              </w:rPr>
              <w:t>361</w:t>
            </w:r>
          </w:p>
        </w:tc>
        <w:tc>
          <w:tcPr>
            <w:tcW w:w="907" w:type="dxa"/>
            <w:noWrap/>
            <w:vAlign w:val="bottom"/>
          </w:tcPr>
          <w:p w14:paraId="77A0F2A4" w14:textId="7E2E165A" w:rsidR="0061282E" w:rsidRPr="006F5754" w:rsidRDefault="0061282E" w:rsidP="00487D2E">
            <w:pPr>
              <w:spacing w:after="200" w:line="360" w:lineRule="auto"/>
              <w:jc w:val="right"/>
              <w:rPr>
                <w:color w:val="000000"/>
              </w:rPr>
            </w:pPr>
            <w:r w:rsidRPr="006F5754">
              <w:rPr>
                <w:color w:val="000000"/>
              </w:rPr>
              <w:t>10.6</w:t>
            </w:r>
            <w:r w:rsidR="00C3508A">
              <w:rPr>
                <w:color w:val="000000"/>
              </w:rPr>
              <w:t>%</w:t>
            </w:r>
          </w:p>
        </w:tc>
        <w:tc>
          <w:tcPr>
            <w:tcW w:w="906" w:type="dxa"/>
            <w:noWrap/>
            <w:vAlign w:val="bottom"/>
          </w:tcPr>
          <w:p w14:paraId="74898246" w14:textId="68676682" w:rsidR="0061282E" w:rsidRPr="006F5754" w:rsidRDefault="0061282E" w:rsidP="00487D2E">
            <w:pPr>
              <w:spacing w:after="200" w:line="360" w:lineRule="auto"/>
              <w:jc w:val="right"/>
              <w:rPr>
                <w:color w:val="000000"/>
              </w:rPr>
            </w:pPr>
            <w:r w:rsidRPr="006F5754">
              <w:rPr>
                <w:color w:val="000000"/>
              </w:rPr>
              <w:t>115</w:t>
            </w:r>
          </w:p>
        </w:tc>
        <w:tc>
          <w:tcPr>
            <w:tcW w:w="907" w:type="dxa"/>
            <w:noWrap/>
            <w:vAlign w:val="bottom"/>
          </w:tcPr>
          <w:p w14:paraId="5A57ABA4" w14:textId="4DBCF453" w:rsidR="0061282E" w:rsidRPr="006F5754" w:rsidRDefault="0061282E" w:rsidP="00487D2E">
            <w:pPr>
              <w:spacing w:after="200" w:line="360" w:lineRule="auto"/>
              <w:jc w:val="right"/>
              <w:rPr>
                <w:color w:val="000000"/>
              </w:rPr>
            </w:pPr>
            <w:r w:rsidRPr="006F5754">
              <w:rPr>
                <w:color w:val="000000"/>
              </w:rPr>
              <w:t>9.8</w:t>
            </w:r>
            <w:r w:rsidR="00C3508A">
              <w:rPr>
                <w:color w:val="000000"/>
              </w:rPr>
              <w:t>%</w:t>
            </w:r>
          </w:p>
        </w:tc>
        <w:tc>
          <w:tcPr>
            <w:tcW w:w="906" w:type="dxa"/>
            <w:noWrap/>
            <w:vAlign w:val="bottom"/>
          </w:tcPr>
          <w:p w14:paraId="7060A84A" w14:textId="4B1084D0" w:rsidR="0061282E" w:rsidRPr="006F5754" w:rsidRDefault="0061282E" w:rsidP="00487D2E">
            <w:pPr>
              <w:spacing w:after="200" w:line="360" w:lineRule="auto"/>
              <w:jc w:val="right"/>
              <w:rPr>
                <w:color w:val="000000"/>
              </w:rPr>
            </w:pPr>
            <w:r w:rsidRPr="006F5754">
              <w:rPr>
                <w:color w:val="000000"/>
              </w:rPr>
              <w:t>246</w:t>
            </w:r>
          </w:p>
        </w:tc>
        <w:tc>
          <w:tcPr>
            <w:tcW w:w="907" w:type="dxa"/>
            <w:noWrap/>
            <w:vAlign w:val="bottom"/>
          </w:tcPr>
          <w:p w14:paraId="4725066F" w14:textId="4ECDE155" w:rsidR="0061282E" w:rsidRPr="006F5754" w:rsidRDefault="0061282E" w:rsidP="00487D2E">
            <w:pPr>
              <w:spacing w:after="200" w:line="360" w:lineRule="auto"/>
              <w:jc w:val="right"/>
              <w:rPr>
                <w:color w:val="000000"/>
              </w:rPr>
            </w:pPr>
            <w:r w:rsidRPr="006F5754">
              <w:rPr>
                <w:color w:val="000000"/>
              </w:rPr>
              <w:t>11</w:t>
            </w:r>
            <w:r w:rsidR="00C3508A">
              <w:rPr>
                <w:color w:val="000000"/>
              </w:rPr>
              <w:t>.0%</w:t>
            </w:r>
          </w:p>
        </w:tc>
        <w:tc>
          <w:tcPr>
            <w:tcW w:w="907" w:type="dxa"/>
            <w:noWrap/>
            <w:vAlign w:val="bottom"/>
          </w:tcPr>
          <w:p w14:paraId="7274AB5C" w14:textId="4207B322" w:rsidR="0061282E" w:rsidRPr="006F5754" w:rsidRDefault="0061282E" w:rsidP="00487D2E">
            <w:pPr>
              <w:spacing w:after="200" w:line="360" w:lineRule="auto"/>
              <w:jc w:val="right"/>
              <w:rPr>
                <w:color w:val="000000"/>
              </w:rPr>
            </w:pPr>
            <w:r w:rsidRPr="006F5754">
              <w:rPr>
                <w:color w:val="000000"/>
              </w:rPr>
              <w:t>-4</w:t>
            </w:r>
            <w:r w:rsidR="00C3508A">
              <w:rPr>
                <w:color w:val="000000"/>
              </w:rPr>
              <w:t>.0</w:t>
            </w:r>
          </w:p>
        </w:tc>
        <w:tc>
          <w:tcPr>
            <w:tcW w:w="1007" w:type="dxa"/>
          </w:tcPr>
          <w:p w14:paraId="00DEDCDD" w14:textId="72631637" w:rsidR="0061282E" w:rsidRPr="006F5754" w:rsidRDefault="00522EDB" w:rsidP="00487D2E">
            <w:pPr>
              <w:spacing w:after="200" w:line="360" w:lineRule="auto"/>
              <w:jc w:val="right"/>
              <w:rPr>
                <w:color w:val="000000"/>
              </w:rPr>
            </w:pPr>
            <w:r>
              <w:rPr>
                <w:color w:val="000000"/>
              </w:rPr>
              <w:t>0.293</w:t>
            </w:r>
          </w:p>
        </w:tc>
      </w:tr>
      <w:tr w:rsidR="0061282E" w:rsidRPr="006F5754" w14:paraId="09E52EF3" w14:textId="77777777" w:rsidTr="006F5754">
        <w:trPr>
          <w:trHeight w:val="300"/>
          <w:jc w:val="center"/>
        </w:trPr>
        <w:tc>
          <w:tcPr>
            <w:tcW w:w="2802" w:type="dxa"/>
            <w:noWrap/>
          </w:tcPr>
          <w:p w14:paraId="24CE2169" w14:textId="77777777" w:rsidR="0061282E" w:rsidRPr="006F5754" w:rsidRDefault="0061282E" w:rsidP="00487D2E">
            <w:pPr>
              <w:spacing w:after="200" w:line="360" w:lineRule="auto"/>
              <w:rPr>
                <w:color w:val="000000"/>
              </w:rPr>
            </w:pPr>
            <w:r w:rsidRPr="006F5754">
              <w:rPr>
                <w:color w:val="000000"/>
              </w:rPr>
              <w:t>Extracardiac arteriopathy</w:t>
            </w:r>
          </w:p>
        </w:tc>
        <w:tc>
          <w:tcPr>
            <w:tcW w:w="906" w:type="dxa"/>
            <w:noWrap/>
            <w:vAlign w:val="bottom"/>
          </w:tcPr>
          <w:p w14:paraId="12E4762D" w14:textId="5A5648ED" w:rsidR="0061282E" w:rsidRPr="006F5754" w:rsidRDefault="0061282E" w:rsidP="00487D2E">
            <w:pPr>
              <w:spacing w:after="200" w:line="360" w:lineRule="auto"/>
              <w:jc w:val="right"/>
              <w:rPr>
                <w:color w:val="000000"/>
              </w:rPr>
            </w:pPr>
            <w:r w:rsidRPr="006F5754">
              <w:rPr>
                <w:color w:val="000000"/>
              </w:rPr>
              <w:t>226</w:t>
            </w:r>
          </w:p>
        </w:tc>
        <w:tc>
          <w:tcPr>
            <w:tcW w:w="907" w:type="dxa"/>
            <w:noWrap/>
            <w:vAlign w:val="bottom"/>
          </w:tcPr>
          <w:p w14:paraId="619649F1" w14:textId="491C6432" w:rsidR="0061282E" w:rsidRPr="006F5754" w:rsidRDefault="0061282E" w:rsidP="00487D2E">
            <w:pPr>
              <w:spacing w:after="200" w:line="360" w:lineRule="auto"/>
              <w:jc w:val="right"/>
              <w:rPr>
                <w:color w:val="000000"/>
              </w:rPr>
            </w:pPr>
            <w:r w:rsidRPr="006F5754">
              <w:rPr>
                <w:color w:val="000000"/>
              </w:rPr>
              <w:t>6.6</w:t>
            </w:r>
            <w:r w:rsidR="00C3508A">
              <w:rPr>
                <w:color w:val="000000"/>
              </w:rPr>
              <w:t>%</w:t>
            </w:r>
          </w:p>
        </w:tc>
        <w:tc>
          <w:tcPr>
            <w:tcW w:w="906" w:type="dxa"/>
            <w:noWrap/>
            <w:vAlign w:val="bottom"/>
          </w:tcPr>
          <w:p w14:paraId="5D9F7D7A" w14:textId="48E40854" w:rsidR="0061282E" w:rsidRPr="006F5754" w:rsidRDefault="0061282E" w:rsidP="00487D2E">
            <w:pPr>
              <w:spacing w:after="200" w:line="360" w:lineRule="auto"/>
              <w:jc w:val="right"/>
              <w:rPr>
                <w:color w:val="000000"/>
              </w:rPr>
            </w:pPr>
            <w:r w:rsidRPr="006F5754">
              <w:rPr>
                <w:color w:val="000000"/>
              </w:rPr>
              <w:t>89</w:t>
            </w:r>
          </w:p>
        </w:tc>
        <w:tc>
          <w:tcPr>
            <w:tcW w:w="907" w:type="dxa"/>
            <w:noWrap/>
            <w:vAlign w:val="bottom"/>
          </w:tcPr>
          <w:p w14:paraId="4A9D8816" w14:textId="64F60345" w:rsidR="0061282E" w:rsidRPr="006F5754" w:rsidRDefault="0061282E" w:rsidP="00487D2E">
            <w:pPr>
              <w:spacing w:after="200" w:line="360" w:lineRule="auto"/>
              <w:jc w:val="right"/>
              <w:rPr>
                <w:color w:val="000000"/>
              </w:rPr>
            </w:pPr>
            <w:r w:rsidRPr="006F5754">
              <w:rPr>
                <w:color w:val="000000"/>
              </w:rPr>
              <w:t>7.6</w:t>
            </w:r>
            <w:r w:rsidR="00C3508A">
              <w:rPr>
                <w:color w:val="000000"/>
              </w:rPr>
              <w:t>%</w:t>
            </w:r>
          </w:p>
        </w:tc>
        <w:tc>
          <w:tcPr>
            <w:tcW w:w="906" w:type="dxa"/>
            <w:noWrap/>
            <w:vAlign w:val="bottom"/>
          </w:tcPr>
          <w:p w14:paraId="187A9ADF" w14:textId="1522AFFF" w:rsidR="0061282E" w:rsidRPr="006F5754" w:rsidRDefault="0061282E" w:rsidP="00487D2E">
            <w:pPr>
              <w:spacing w:after="200" w:line="360" w:lineRule="auto"/>
              <w:jc w:val="right"/>
              <w:rPr>
                <w:color w:val="000000"/>
              </w:rPr>
            </w:pPr>
            <w:r w:rsidRPr="006F5754">
              <w:rPr>
                <w:color w:val="000000"/>
              </w:rPr>
              <w:t>137</w:t>
            </w:r>
          </w:p>
        </w:tc>
        <w:tc>
          <w:tcPr>
            <w:tcW w:w="907" w:type="dxa"/>
            <w:noWrap/>
            <w:vAlign w:val="bottom"/>
          </w:tcPr>
          <w:p w14:paraId="32941F8D" w14:textId="4B4A549E" w:rsidR="0061282E" w:rsidRPr="006F5754" w:rsidRDefault="0061282E" w:rsidP="00487D2E">
            <w:pPr>
              <w:spacing w:after="200" w:line="360" w:lineRule="auto"/>
              <w:jc w:val="right"/>
              <w:rPr>
                <w:color w:val="000000"/>
              </w:rPr>
            </w:pPr>
            <w:r w:rsidRPr="006F5754">
              <w:rPr>
                <w:color w:val="000000"/>
              </w:rPr>
              <w:t>6.1</w:t>
            </w:r>
            <w:r w:rsidR="00C3508A">
              <w:rPr>
                <w:color w:val="000000"/>
              </w:rPr>
              <w:t>%</w:t>
            </w:r>
          </w:p>
        </w:tc>
        <w:tc>
          <w:tcPr>
            <w:tcW w:w="907" w:type="dxa"/>
            <w:noWrap/>
            <w:vAlign w:val="bottom"/>
          </w:tcPr>
          <w:p w14:paraId="778B2316" w14:textId="32B03675" w:rsidR="0061282E" w:rsidRPr="006F5754" w:rsidRDefault="0061282E" w:rsidP="00487D2E">
            <w:pPr>
              <w:spacing w:after="200" w:line="360" w:lineRule="auto"/>
              <w:jc w:val="right"/>
              <w:rPr>
                <w:color w:val="000000"/>
              </w:rPr>
            </w:pPr>
            <w:r w:rsidRPr="006F5754">
              <w:rPr>
                <w:color w:val="000000"/>
              </w:rPr>
              <w:t>5.7</w:t>
            </w:r>
          </w:p>
        </w:tc>
        <w:tc>
          <w:tcPr>
            <w:tcW w:w="1007" w:type="dxa"/>
          </w:tcPr>
          <w:p w14:paraId="2FCDEC0B" w14:textId="771B6AA6" w:rsidR="0061282E" w:rsidRPr="006F5754" w:rsidRDefault="00522EDB" w:rsidP="00487D2E">
            <w:pPr>
              <w:spacing w:after="200" w:line="360" w:lineRule="auto"/>
              <w:jc w:val="right"/>
              <w:rPr>
                <w:color w:val="000000"/>
              </w:rPr>
            </w:pPr>
            <w:r>
              <w:rPr>
                <w:color w:val="000000"/>
              </w:rPr>
              <w:t>0.126</w:t>
            </w:r>
          </w:p>
        </w:tc>
      </w:tr>
      <w:tr w:rsidR="00280555" w:rsidRPr="006F5754" w14:paraId="7FCE5D04" w14:textId="77777777" w:rsidTr="009F4750">
        <w:trPr>
          <w:trHeight w:val="300"/>
          <w:jc w:val="center"/>
        </w:trPr>
        <w:tc>
          <w:tcPr>
            <w:tcW w:w="2802" w:type="dxa"/>
            <w:noWrap/>
          </w:tcPr>
          <w:p w14:paraId="2FFC8D68" w14:textId="2AD34F07" w:rsidR="00280555" w:rsidRPr="006F5754" w:rsidRDefault="00280555" w:rsidP="00487D2E">
            <w:pPr>
              <w:spacing w:after="200" w:line="360" w:lineRule="auto"/>
              <w:rPr>
                <w:color w:val="000000"/>
              </w:rPr>
            </w:pPr>
            <w:r>
              <w:rPr>
                <w:color w:val="000000"/>
              </w:rPr>
              <w:lastRenderedPageBreak/>
              <w:t>Previous PCI</w:t>
            </w:r>
          </w:p>
        </w:tc>
        <w:tc>
          <w:tcPr>
            <w:tcW w:w="906" w:type="dxa"/>
            <w:noWrap/>
          </w:tcPr>
          <w:p w14:paraId="06C997B1" w14:textId="078B7AAA" w:rsidR="00280555" w:rsidRPr="006F5754" w:rsidRDefault="00280555" w:rsidP="00487D2E">
            <w:pPr>
              <w:spacing w:after="200" w:line="360" w:lineRule="auto"/>
              <w:jc w:val="right"/>
              <w:rPr>
                <w:color w:val="000000"/>
              </w:rPr>
            </w:pPr>
            <w:r>
              <w:rPr>
                <w:color w:val="000000"/>
              </w:rPr>
              <w:t>815</w:t>
            </w:r>
          </w:p>
        </w:tc>
        <w:tc>
          <w:tcPr>
            <w:tcW w:w="907" w:type="dxa"/>
            <w:noWrap/>
          </w:tcPr>
          <w:p w14:paraId="7ECD0AA8" w14:textId="47495761" w:rsidR="00280555" w:rsidRPr="006F5754" w:rsidRDefault="00280555" w:rsidP="00487D2E">
            <w:pPr>
              <w:spacing w:after="200" w:line="360" w:lineRule="auto"/>
              <w:jc w:val="right"/>
              <w:rPr>
                <w:color w:val="000000"/>
              </w:rPr>
            </w:pPr>
            <w:r>
              <w:rPr>
                <w:color w:val="000000"/>
              </w:rPr>
              <w:t>24.0%</w:t>
            </w:r>
          </w:p>
        </w:tc>
        <w:tc>
          <w:tcPr>
            <w:tcW w:w="906" w:type="dxa"/>
            <w:noWrap/>
          </w:tcPr>
          <w:p w14:paraId="1B1ED96D" w14:textId="1005BDA7" w:rsidR="00280555" w:rsidRPr="006F5754" w:rsidRDefault="00280555" w:rsidP="00487D2E">
            <w:pPr>
              <w:spacing w:after="200" w:line="360" w:lineRule="auto"/>
              <w:jc w:val="right"/>
              <w:rPr>
                <w:color w:val="000000"/>
              </w:rPr>
            </w:pPr>
            <w:r>
              <w:rPr>
                <w:color w:val="000000"/>
              </w:rPr>
              <w:t>299</w:t>
            </w:r>
          </w:p>
        </w:tc>
        <w:tc>
          <w:tcPr>
            <w:tcW w:w="907" w:type="dxa"/>
            <w:noWrap/>
          </w:tcPr>
          <w:p w14:paraId="0987F0F5" w14:textId="63AA086A" w:rsidR="00280555" w:rsidRPr="006F5754" w:rsidRDefault="00280555" w:rsidP="00487D2E">
            <w:pPr>
              <w:spacing w:after="200" w:line="360" w:lineRule="auto"/>
              <w:jc w:val="right"/>
              <w:rPr>
                <w:color w:val="000000"/>
              </w:rPr>
            </w:pPr>
            <w:r>
              <w:rPr>
                <w:color w:val="000000"/>
              </w:rPr>
              <w:t>25.5%</w:t>
            </w:r>
          </w:p>
        </w:tc>
        <w:tc>
          <w:tcPr>
            <w:tcW w:w="906" w:type="dxa"/>
            <w:noWrap/>
          </w:tcPr>
          <w:p w14:paraId="3F33AFFC" w14:textId="0D11C518" w:rsidR="00280555" w:rsidRPr="006F5754" w:rsidRDefault="00280555" w:rsidP="00487D2E">
            <w:pPr>
              <w:spacing w:after="200" w:line="360" w:lineRule="auto"/>
              <w:jc w:val="right"/>
              <w:rPr>
                <w:color w:val="000000"/>
              </w:rPr>
            </w:pPr>
            <w:r>
              <w:rPr>
                <w:color w:val="000000"/>
              </w:rPr>
              <w:t>516</w:t>
            </w:r>
          </w:p>
        </w:tc>
        <w:tc>
          <w:tcPr>
            <w:tcW w:w="907" w:type="dxa"/>
            <w:noWrap/>
          </w:tcPr>
          <w:p w14:paraId="3CF32D3D" w14:textId="7DC2E37C" w:rsidR="00280555" w:rsidRPr="006F5754" w:rsidRDefault="00280555" w:rsidP="00487D2E">
            <w:pPr>
              <w:spacing w:after="200" w:line="360" w:lineRule="auto"/>
              <w:jc w:val="right"/>
              <w:rPr>
                <w:color w:val="000000"/>
              </w:rPr>
            </w:pPr>
            <w:r>
              <w:rPr>
                <w:color w:val="000000"/>
              </w:rPr>
              <w:t>23.1%</w:t>
            </w:r>
          </w:p>
        </w:tc>
        <w:tc>
          <w:tcPr>
            <w:tcW w:w="907" w:type="dxa"/>
            <w:noWrap/>
          </w:tcPr>
          <w:p w14:paraId="581B5D11" w14:textId="389E0DF9" w:rsidR="00280555" w:rsidRPr="006F5754" w:rsidRDefault="00280555" w:rsidP="00487D2E">
            <w:pPr>
              <w:spacing w:after="200" w:line="360" w:lineRule="auto"/>
              <w:jc w:val="right"/>
              <w:rPr>
                <w:color w:val="000000"/>
              </w:rPr>
            </w:pPr>
            <w:r>
              <w:rPr>
                <w:color w:val="000000"/>
              </w:rPr>
              <w:t>5.5</w:t>
            </w:r>
          </w:p>
        </w:tc>
        <w:tc>
          <w:tcPr>
            <w:tcW w:w="1007" w:type="dxa"/>
          </w:tcPr>
          <w:p w14:paraId="2CCE4233" w14:textId="228AE219" w:rsidR="00280555" w:rsidRDefault="00280555" w:rsidP="00487D2E">
            <w:pPr>
              <w:spacing w:after="200" w:line="360" w:lineRule="auto"/>
              <w:jc w:val="right"/>
              <w:rPr>
                <w:color w:val="000000"/>
              </w:rPr>
            </w:pPr>
            <w:r>
              <w:rPr>
                <w:color w:val="000000"/>
              </w:rPr>
              <w:t>0.139</w:t>
            </w:r>
          </w:p>
        </w:tc>
      </w:tr>
      <w:tr w:rsidR="00942CA3" w:rsidRPr="006F5754" w14:paraId="3B46D94B" w14:textId="77777777" w:rsidTr="009F4750">
        <w:trPr>
          <w:trHeight w:val="300"/>
          <w:jc w:val="center"/>
        </w:trPr>
        <w:tc>
          <w:tcPr>
            <w:tcW w:w="2802" w:type="dxa"/>
            <w:noWrap/>
          </w:tcPr>
          <w:p w14:paraId="3846E8A9" w14:textId="77777777" w:rsidR="00942CA3" w:rsidRPr="006F5754" w:rsidRDefault="00942CA3" w:rsidP="00487D2E">
            <w:pPr>
              <w:spacing w:after="200" w:line="360" w:lineRule="auto"/>
              <w:rPr>
                <w:color w:val="000000"/>
              </w:rPr>
            </w:pPr>
            <w:r w:rsidRPr="006F5754">
              <w:rPr>
                <w:color w:val="000000"/>
              </w:rPr>
              <w:t>Left ventricular function</w:t>
            </w:r>
          </w:p>
        </w:tc>
        <w:tc>
          <w:tcPr>
            <w:tcW w:w="906" w:type="dxa"/>
            <w:noWrap/>
          </w:tcPr>
          <w:p w14:paraId="135860B5" w14:textId="77777777" w:rsidR="00942CA3" w:rsidRPr="006F5754" w:rsidRDefault="00942CA3" w:rsidP="00487D2E">
            <w:pPr>
              <w:spacing w:after="200" w:line="360" w:lineRule="auto"/>
              <w:jc w:val="right"/>
              <w:rPr>
                <w:color w:val="000000"/>
              </w:rPr>
            </w:pPr>
          </w:p>
        </w:tc>
        <w:tc>
          <w:tcPr>
            <w:tcW w:w="907" w:type="dxa"/>
            <w:noWrap/>
          </w:tcPr>
          <w:p w14:paraId="4082B3E7" w14:textId="77777777" w:rsidR="00942CA3" w:rsidRPr="006F5754" w:rsidRDefault="00942CA3" w:rsidP="00487D2E">
            <w:pPr>
              <w:spacing w:after="200" w:line="360" w:lineRule="auto"/>
              <w:jc w:val="right"/>
              <w:rPr>
                <w:color w:val="000000"/>
              </w:rPr>
            </w:pPr>
          </w:p>
        </w:tc>
        <w:tc>
          <w:tcPr>
            <w:tcW w:w="906" w:type="dxa"/>
            <w:noWrap/>
          </w:tcPr>
          <w:p w14:paraId="713C8EF0" w14:textId="77777777" w:rsidR="00942CA3" w:rsidRPr="006F5754" w:rsidRDefault="00942CA3" w:rsidP="00487D2E">
            <w:pPr>
              <w:spacing w:after="200" w:line="360" w:lineRule="auto"/>
              <w:jc w:val="right"/>
              <w:rPr>
                <w:color w:val="000000"/>
              </w:rPr>
            </w:pPr>
          </w:p>
        </w:tc>
        <w:tc>
          <w:tcPr>
            <w:tcW w:w="907" w:type="dxa"/>
            <w:noWrap/>
          </w:tcPr>
          <w:p w14:paraId="3B448E37" w14:textId="77777777" w:rsidR="00942CA3" w:rsidRPr="006F5754" w:rsidRDefault="00942CA3" w:rsidP="00487D2E">
            <w:pPr>
              <w:spacing w:after="200" w:line="360" w:lineRule="auto"/>
              <w:jc w:val="right"/>
              <w:rPr>
                <w:color w:val="000000"/>
              </w:rPr>
            </w:pPr>
          </w:p>
        </w:tc>
        <w:tc>
          <w:tcPr>
            <w:tcW w:w="906" w:type="dxa"/>
            <w:noWrap/>
          </w:tcPr>
          <w:p w14:paraId="5010A5BA" w14:textId="77777777" w:rsidR="00942CA3" w:rsidRPr="006F5754" w:rsidRDefault="00942CA3" w:rsidP="00487D2E">
            <w:pPr>
              <w:spacing w:after="200" w:line="360" w:lineRule="auto"/>
              <w:jc w:val="right"/>
              <w:rPr>
                <w:color w:val="000000"/>
              </w:rPr>
            </w:pPr>
          </w:p>
        </w:tc>
        <w:tc>
          <w:tcPr>
            <w:tcW w:w="907" w:type="dxa"/>
            <w:noWrap/>
          </w:tcPr>
          <w:p w14:paraId="29B2B0EE" w14:textId="77777777" w:rsidR="00942CA3" w:rsidRPr="006F5754" w:rsidRDefault="00942CA3" w:rsidP="00487D2E">
            <w:pPr>
              <w:spacing w:after="200" w:line="360" w:lineRule="auto"/>
              <w:jc w:val="right"/>
              <w:rPr>
                <w:color w:val="000000"/>
              </w:rPr>
            </w:pPr>
          </w:p>
        </w:tc>
        <w:tc>
          <w:tcPr>
            <w:tcW w:w="907" w:type="dxa"/>
            <w:noWrap/>
          </w:tcPr>
          <w:p w14:paraId="473A6491" w14:textId="77777777" w:rsidR="00942CA3" w:rsidRPr="006F5754" w:rsidRDefault="00942CA3" w:rsidP="00487D2E">
            <w:pPr>
              <w:spacing w:after="200" w:line="360" w:lineRule="auto"/>
              <w:jc w:val="right"/>
              <w:rPr>
                <w:color w:val="000000"/>
              </w:rPr>
            </w:pPr>
          </w:p>
        </w:tc>
        <w:tc>
          <w:tcPr>
            <w:tcW w:w="1007" w:type="dxa"/>
          </w:tcPr>
          <w:p w14:paraId="2630DACE" w14:textId="6B672F86" w:rsidR="00942CA3" w:rsidRPr="006F5754" w:rsidRDefault="00522EDB" w:rsidP="00487D2E">
            <w:pPr>
              <w:spacing w:after="200" w:line="360" w:lineRule="auto"/>
              <w:jc w:val="right"/>
              <w:rPr>
                <w:color w:val="000000"/>
              </w:rPr>
            </w:pPr>
            <w:r>
              <w:rPr>
                <w:color w:val="000000"/>
              </w:rPr>
              <w:t>0.018</w:t>
            </w:r>
          </w:p>
        </w:tc>
      </w:tr>
      <w:tr w:rsidR="0061282E" w:rsidRPr="006F5754" w14:paraId="47B233A5" w14:textId="77777777" w:rsidTr="006F5754">
        <w:trPr>
          <w:trHeight w:val="300"/>
          <w:jc w:val="center"/>
        </w:trPr>
        <w:tc>
          <w:tcPr>
            <w:tcW w:w="2802" w:type="dxa"/>
            <w:noWrap/>
          </w:tcPr>
          <w:p w14:paraId="280ADE86" w14:textId="77777777" w:rsidR="0061282E" w:rsidRPr="006F5754" w:rsidRDefault="0061282E" w:rsidP="00487D2E">
            <w:pPr>
              <w:spacing w:after="200" w:line="360" w:lineRule="auto"/>
              <w:rPr>
                <w:color w:val="000000"/>
              </w:rPr>
            </w:pPr>
            <w:r w:rsidRPr="006F5754">
              <w:rPr>
                <w:color w:val="000000"/>
              </w:rPr>
              <w:t xml:space="preserve">    Good (LVEF &gt;50%)</w:t>
            </w:r>
          </w:p>
        </w:tc>
        <w:tc>
          <w:tcPr>
            <w:tcW w:w="906" w:type="dxa"/>
            <w:noWrap/>
            <w:vAlign w:val="bottom"/>
          </w:tcPr>
          <w:p w14:paraId="44079112" w14:textId="42CCD42D" w:rsidR="0061282E" w:rsidRPr="006F5754" w:rsidRDefault="0061282E" w:rsidP="00487D2E">
            <w:pPr>
              <w:spacing w:after="200" w:line="360" w:lineRule="auto"/>
              <w:jc w:val="right"/>
              <w:rPr>
                <w:color w:val="000000"/>
              </w:rPr>
            </w:pPr>
            <w:r w:rsidRPr="006F5754">
              <w:rPr>
                <w:color w:val="000000"/>
              </w:rPr>
              <w:t>3004</w:t>
            </w:r>
          </w:p>
        </w:tc>
        <w:tc>
          <w:tcPr>
            <w:tcW w:w="907" w:type="dxa"/>
            <w:noWrap/>
            <w:vAlign w:val="bottom"/>
          </w:tcPr>
          <w:p w14:paraId="715549EF" w14:textId="613CA269" w:rsidR="0061282E" w:rsidRPr="006F5754" w:rsidRDefault="0061282E" w:rsidP="00487D2E">
            <w:pPr>
              <w:spacing w:after="200" w:line="360" w:lineRule="auto"/>
              <w:jc w:val="right"/>
              <w:rPr>
                <w:color w:val="000000"/>
              </w:rPr>
            </w:pPr>
            <w:r w:rsidRPr="006F5754">
              <w:rPr>
                <w:color w:val="000000"/>
              </w:rPr>
              <w:t>88.3</w:t>
            </w:r>
            <w:r w:rsidR="00C3508A">
              <w:rPr>
                <w:color w:val="000000"/>
              </w:rPr>
              <w:t>%</w:t>
            </w:r>
          </w:p>
        </w:tc>
        <w:tc>
          <w:tcPr>
            <w:tcW w:w="906" w:type="dxa"/>
            <w:noWrap/>
            <w:vAlign w:val="bottom"/>
          </w:tcPr>
          <w:p w14:paraId="70025354" w14:textId="13F79576" w:rsidR="0061282E" w:rsidRPr="006F5754" w:rsidRDefault="0061282E" w:rsidP="00487D2E">
            <w:pPr>
              <w:spacing w:after="200" w:line="360" w:lineRule="auto"/>
              <w:jc w:val="right"/>
              <w:rPr>
                <w:color w:val="000000"/>
              </w:rPr>
            </w:pPr>
            <w:r w:rsidRPr="006F5754">
              <w:rPr>
                <w:color w:val="000000"/>
              </w:rPr>
              <w:t>1011</w:t>
            </w:r>
          </w:p>
        </w:tc>
        <w:tc>
          <w:tcPr>
            <w:tcW w:w="907" w:type="dxa"/>
            <w:noWrap/>
            <w:vAlign w:val="bottom"/>
          </w:tcPr>
          <w:p w14:paraId="2443A0F3" w14:textId="4CE85637" w:rsidR="0061282E" w:rsidRPr="006F5754" w:rsidRDefault="0061282E" w:rsidP="00487D2E">
            <w:pPr>
              <w:spacing w:after="200" w:line="360" w:lineRule="auto"/>
              <w:jc w:val="right"/>
              <w:rPr>
                <w:color w:val="000000"/>
              </w:rPr>
            </w:pPr>
            <w:r w:rsidRPr="006F5754">
              <w:rPr>
                <w:color w:val="000000"/>
              </w:rPr>
              <w:t>86.2</w:t>
            </w:r>
            <w:r w:rsidR="00C3508A">
              <w:rPr>
                <w:color w:val="000000"/>
              </w:rPr>
              <w:t>%</w:t>
            </w:r>
          </w:p>
        </w:tc>
        <w:tc>
          <w:tcPr>
            <w:tcW w:w="906" w:type="dxa"/>
            <w:noWrap/>
            <w:vAlign w:val="bottom"/>
          </w:tcPr>
          <w:p w14:paraId="51823F40" w14:textId="369BF1A6" w:rsidR="0061282E" w:rsidRPr="006F5754" w:rsidRDefault="0061282E" w:rsidP="00487D2E">
            <w:pPr>
              <w:spacing w:after="200" w:line="360" w:lineRule="auto"/>
              <w:jc w:val="right"/>
              <w:rPr>
                <w:color w:val="000000"/>
              </w:rPr>
            </w:pPr>
            <w:r w:rsidRPr="006F5754">
              <w:rPr>
                <w:color w:val="000000"/>
              </w:rPr>
              <w:t>1993</w:t>
            </w:r>
          </w:p>
        </w:tc>
        <w:tc>
          <w:tcPr>
            <w:tcW w:w="907" w:type="dxa"/>
            <w:noWrap/>
            <w:vAlign w:val="bottom"/>
          </w:tcPr>
          <w:p w14:paraId="0CC16434" w14:textId="7D9D09F6" w:rsidR="0061282E" w:rsidRPr="006F5754" w:rsidRDefault="0061282E" w:rsidP="00487D2E">
            <w:pPr>
              <w:spacing w:after="200" w:line="360" w:lineRule="auto"/>
              <w:jc w:val="right"/>
              <w:rPr>
                <w:color w:val="000000"/>
              </w:rPr>
            </w:pPr>
            <w:r w:rsidRPr="006F5754">
              <w:rPr>
                <w:color w:val="000000"/>
              </w:rPr>
              <w:t>89.4</w:t>
            </w:r>
            <w:r w:rsidR="00C3508A">
              <w:rPr>
                <w:color w:val="000000"/>
              </w:rPr>
              <w:t>%</w:t>
            </w:r>
          </w:p>
        </w:tc>
        <w:tc>
          <w:tcPr>
            <w:tcW w:w="907" w:type="dxa"/>
            <w:noWrap/>
            <w:vAlign w:val="bottom"/>
          </w:tcPr>
          <w:p w14:paraId="722DCC38" w14:textId="164EC267" w:rsidR="0061282E" w:rsidRPr="006F5754" w:rsidRDefault="0061282E" w:rsidP="00487D2E">
            <w:pPr>
              <w:spacing w:after="200" w:line="360" w:lineRule="auto"/>
              <w:jc w:val="right"/>
              <w:rPr>
                <w:color w:val="000000"/>
              </w:rPr>
            </w:pPr>
            <w:r w:rsidRPr="006F5754">
              <w:rPr>
                <w:color w:val="000000"/>
              </w:rPr>
              <w:t>-9.9</w:t>
            </w:r>
          </w:p>
        </w:tc>
        <w:tc>
          <w:tcPr>
            <w:tcW w:w="1007" w:type="dxa"/>
          </w:tcPr>
          <w:p w14:paraId="62007C6C" w14:textId="77777777" w:rsidR="0061282E" w:rsidRPr="006F5754" w:rsidRDefault="0061282E" w:rsidP="00487D2E">
            <w:pPr>
              <w:spacing w:after="200" w:line="360" w:lineRule="auto"/>
              <w:jc w:val="right"/>
              <w:rPr>
                <w:color w:val="000000"/>
              </w:rPr>
            </w:pPr>
          </w:p>
        </w:tc>
      </w:tr>
      <w:tr w:rsidR="0061282E" w:rsidRPr="006F5754" w14:paraId="60CCD322" w14:textId="77777777" w:rsidTr="006F5754">
        <w:trPr>
          <w:trHeight w:val="300"/>
          <w:jc w:val="center"/>
        </w:trPr>
        <w:tc>
          <w:tcPr>
            <w:tcW w:w="2802" w:type="dxa"/>
            <w:noWrap/>
          </w:tcPr>
          <w:p w14:paraId="1A7416D0" w14:textId="77777777" w:rsidR="0061282E" w:rsidRPr="006F5754" w:rsidRDefault="0061282E" w:rsidP="00487D2E">
            <w:pPr>
              <w:spacing w:after="200" w:line="360" w:lineRule="auto"/>
              <w:rPr>
                <w:color w:val="000000"/>
              </w:rPr>
            </w:pPr>
            <w:r w:rsidRPr="006F5754">
              <w:rPr>
                <w:color w:val="000000"/>
              </w:rPr>
              <w:t xml:space="preserve">    Fair (LVEF 30-50%)</w:t>
            </w:r>
          </w:p>
        </w:tc>
        <w:tc>
          <w:tcPr>
            <w:tcW w:w="906" w:type="dxa"/>
            <w:noWrap/>
            <w:vAlign w:val="bottom"/>
          </w:tcPr>
          <w:p w14:paraId="729BE32E" w14:textId="0BEAC7AE" w:rsidR="0061282E" w:rsidRPr="006F5754" w:rsidRDefault="0061282E" w:rsidP="00487D2E">
            <w:pPr>
              <w:spacing w:after="200" w:line="360" w:lineRule="auto"/>
              <w:jc w:val="right"/>
              <w:rPr>
                <w:color w:val="000000"/>
              </w:rPr>
            </w:pPr>
            <w:r w:rsidRPr="006F5754">
              <w:rPr>
                <w:color w:val="000000"/>
              </w:rPr>
              <w:t>355</w:t>
            </w:r>
          </w:p>
        </w:tc>
        <w:tc>
          <w:tcPr>
            <w:tcW w:w="907" w:type="dxa"/>
            <w:noWrap/>
            <w:vAlign w:val="bottom"/>
          </w:tcPr>
          <w:p w14:paraId="61674FB3" w14:textId="6E2F8496" w:rsidR="0061282E" w:rsidRPr="006F5754" w:rsidRDefault="0061282E" w:rsidP="00487D2E">
            <w:pPr>
              <w:spacing w:after="200" w:line="360" w:lineRule="auto"/>
              <w:jc w:val="right"/>
              <w:rPr>
                <w:color w:val="000000"/>
              </w:rPr>
            </w:pPr>
            <w:r w:rsidRPr="006F5754">
              <w:rPr>
                <w:color w:val="000000"/>
              </w:rPr>
              <w:t>10.4</w:t>
            </w:r>
            <w:r w:rsidR="00C3508A">
              <w:rPr>
                <w:color w:val="000000"/>
              </w:rPr>
              <w:t>%</w:t>
            </w:r>
          </w:p>
        </w:tc>
        <w:tc>
          <w:tcPr>
            <w:tcW w:w="906" w:type="dxa"/>
            <w:noWrap/>
            <w:vAlign w:val="bottom"/>
          </w:tcPr>
          <w:p w14:paraId="536966C2" w14:textId="230891AA" w:rsidR="0061282E" w:rsidRPr="006F5754" w:rsidRDefault="0061282E" w:rsidP="00487D2E">
            <w:pPr>
              <w:spacing w:after="200" w:line="360" w:lineRule="auto"/>
              <w:jc w:val="right"/>
              <w:rPr>
                <w:color w:val="000000"/>
              </w:rPr>
            </w:pPr>
            <w:r w:rsidRPr="006F5754">
              <w:rPr>
                <w:color w:val="000000"/>
              </w:rPr>
              <w:t>146</w:t>
            </w:r>
          </w:p>
        </w:tc>
        <w:tc>
          <w:tcPr>
            <w:tcW w:w="907" w:type="dxa"/>
            <w:noWrap/>
            <w:vAlign w:val="bottom"/>
          </w:tcPr>
          <w:p w14:paraId="0D980D6D" w14:textId="08406841" w:rsidR="0061282E" w:rsidRPr="006F5754" w:rsidRDefault="0061282E" w:rsidP="00487D2E">
            <w:pPr>
              <w:spacing w:after="200" w:line="360" w:lineRule="auto"/>
              <w:jc w:val="right"/>
              <w:rPr>
                <w:color w:val="000000"/>
              </w:rPr>
            </w:pPr>
            <w:r w:rsidRPr="006F5754">
              <w:rPr>
                <w:color w:val="000000"/>
              </w:rPr>
              <w:t>12.4</w:t>
            </w:r>
            <w:r w:rsidR="00C3508A">
              <w:rPr>
                <w:color w:val="000000"/>
              </w:rPr>
              <w:t>%</w:t>
            </w:r>
          </w:p>
        </w:tc>
        <w:tc>
          <w:tcPr>
            <w:tcW w:w="906" w:type="dxa"/>
            <w:noWrap/>
            <w:vAlign w:val="bottom"/>
          </w:tcPr>
          <w:p w14:paraId="1D47C61F" w14:textId="51C4EC8A" w:rsidR="0061282E" w:rsidRPr="006F5754" w:rsidRDefault="0061282E" w:rsidP="00487D2E">
            <w:pPr>
              <w:spacing w:after="200" w:line="360" w:lineRule="auto"/>
              <w:jc w:val="right"/>
              <w:rPr>
                <w:color w:val="000000"/>
              </w:rPr>
            </w:pPr>
            <w:r w:rsidRPr="006F5754">
              <w:rPr>
                <w:color w:val="000000"/>
              </w:rPr>
              <w:t>209</w:t>
            </w:r>
          </w:p>
        </w:tc>
        <w:tc>
          <w:tcPr>
            <w:tcW w:w="907" w:type="dxa"/>
            <w:noWrap/>
            <w:vAlign w:val="bottom"/>
          </w:tcPr>
          <w:p w14:paraId="65885D97" w14:textId="0C941709" w:rsidR="0061282E" w:rsidRPr="006F5754" w:rsidRDefault="0061282E" w:rsidP="00487D2E">
            <w:pPr>
              <w:spacing w:after="200" w:line="360" w:lineRule="auto"/>
              <w:jc w:val="right"/>
              <w:rPr>
                <w:color w:val="000000"/>
              </w:rPr>
            </w:pPr>
            <w:r w:rsidRPr="006F5754">
              <w:rPr>
                <w:color w:val="000000"/>
              </w:rPr>
              <w:t>9.4</w:t>
            </w:r>
            <w:r w:rsidR="00C3508A">
              <w:rPr>
                <w:color w:val="000000"/>
              </w:rPr>
              <w:t>%</w:t>
            </w:r>
          </w:p>
        </w:tc>
        <w:tc>
          <w:tcPr>
            <w:tcW w:w="907" w:type="dxa"/>
            <w:noWrap/>
            <w:vAlign w:val="bottom"/>
          </w:tcPr>
          <w:p w14:paraId="3B7B4AE3" w14:textId="08162A2D" w:rsidR="0061282E" w:rsidRPr="006F5754" w:rsidRDefault="0061282E" w:rsidP="00487D2E">
            <w:pPr>
              <w:spacing w:after="200" w:line="360" w:lineRule="auto"/>
              <w:jc w:val="right"/>
              <w:rPr>
                <w:color w:val="000000"/>
              </w:rPr>
            </w:pPr>
            <w:r w:rsidRPr="006F5754">
              <w:rPr>
                <w:color w:val="000000"/>
              </w:rPr>
              <w:t>9.9</w:t>
            </w:r>
          </w:p>
        </w:tc>
        <w:tc>
          <w:tcPr>
            <w:tcW w:w="1007" w:type="dxa"/>
          </w:tcPr>
          <w:p w14:paraId="03F4C8ED" w14:textId="77777777" w:rsidR="0061282E" w:rsidRPr="006F5754" w:rsidRDefault="0061282E" w:rsidP="00487D2E">
            <w:pPr>
              <w:spacing w:after="200" w:line="360" w:lineRule="auto"/>
              <w:jc w:val="right"/>
              <w:rPr>
                <w:color w:val="000000"/>
              </w:rPr>
            </w:pPr>
          </w:p>
        </w:tc>
      </w:tr>
      <w:tr w:rsidR="0061282E" w:rsidRPr="006F5754" w14:paraId="71DFD01B" w14:textId="77777777" w:rsidTr="006F5754">
        <w:trPr>
          <w:trHeight w:val="300"/>
          <w:jc w:val="center"/>
        </w:trPr>
        <w:tc>
          <w:tcPr>
            <w:tcW w:w="2802" w:type="dxa"/>
            <w:noWrap/>
          </w:tcPr>
          <w:p w14:paraId="2CCCB18B" w14:textId="77777777" w:rsidR="0061282E" w:rsidRPr="006F5754" w:rsidRDefault="0061282E" w:rsidP="00487D2E">
            <w:pPr>
              <w:spacing w:after="200" w:line="360" w:lineRule="auto"/>
              <w:rPr>
                <w:color w:val="000000"/>
              </w:rPr>
            </w:pPr>
            <w:r w:rsidRPr="006F5754">
              <w:rPr>
                <w:color w:val="000000"/>
              </w:rPr>
              <w:t xml:space="preserve">    Poor (LVEF &lt;30%)</w:t>
            </w:r>
          </w:p>
        </w:tc>
        <w:tc>
          <w:tcPr>
            <w:tcW w:w="906" w:type="dxa"/>
            <w:noWrap/>
            <w:vAlign w:val="bottom"/>
          </w:tcPr>
          <w:p w14:paraId="43C3F471" w14:textId="62E6BABE" w:rsidR="0061282E" w:rsidRPr="006F5754" w:rsidRDefault="0061282E" w:rsidP="00487D2E">
            <w:pPr>
              <w:spacing w:after="200" w:line="360" w:lineRule="auto"/>
              <w:jc w:val="right"/>
              <w:rPr>
                <w:color w:val="000000"/>
              </w:rPr>
            </w:pPr>
            <w:r w:rsidRPr="006F5754">
              <w:rPr>
                <w:color w:val="000000"/>
              </w:rPr>
              <w:t>43</w:t>
            </w:r>
          </w:p>
        </w:tc>
        <w:tc>
          <w:tcPr>
            <w:tcW w:w="907" w:type="dxa"/>
            <w:noWrap/>
            <w:vAlign w:val="bottom"/>
          </w:tcPr>
          <w:p w14:paraId="4F856FD0" w14:textId="2FFE64A8" w:rsidR="0061282E" w:rsidRPr="006F5754" w:rsidRDefault="0061282E" w:rsidP="00487D2E">
            <w:pPr>
              <w:spacing w:after="200" w:line="360" w:lineRule="auto"/>
              <w:jc w:val="right"/>
              <w:rPr>
                <w:color w:val="000000"/>
              </w:rPr>
            </w:pPr>
            <w:r w:rsidRPr="006F5754">
              <w:rPr>
                <w:color w:val="000000"/>
              </w:rPr>
              <w:t>1.3</w:t>
            </w:r>
            <w:r w:rsidR="00C3508A">
              <w:rPr>
                <w:color w:val="000000"/>
              </w:rPr>
              <w:t>%</w:t>
            </w:r>
          </w:p>
        </w:tc>
        <w:tc>
          <w:tcPr>
            <w:tcW w:w="906" w:type="dxa"/>
            <w:noWrap/>
            <w:vAlign w:val="bottom"/>
          </w:tcPr>
          <w:p w14:paraId="4D1F5375" w14:textId="44EF25AB" w:rsidR="0061282E" w:rsidRPr="006F5754" w:rsidRDefault="0061282E" w:rsidP="00487D2E">
            <w:pPr>
              <w:spacing w:after="200" w:line="360" w:lineRule="auto"/>
              <w:jc w:val="right"/>
              <w:rPr>
                <w:color w:val="000000"/>
              </w:rPr>
            </w:pPr>
            <w:r w:rsidRPr="006F5754">
              <w:rPr>
                <w:color w:val="000000"/>
              </w:rPr>
              <w:t>16</w:t>
            </w:r>
          </w:p>
        </w:tc>
        <w:tc>
          <w:tcPr>
            <w:tcW w:w="907" w:type="dxa"/>
            <w:noWrap/>
            <w:vAlign w:val="bottom"/>
          </w:tcPr>
          <w:p w14:paraId="45D181A0" w14:textId="29EC4B26" w:rsidR="0061282E" w:rsidRPr="006F5754" w:rsidRDefault="0061282E" w:rsidP="00487D2E">
            <w:pPr>
              <w:spacing w:after="200" w:line="360" w:lineRule="auto"/>
              <w:jc w:val="right"/>
              <w:rPr>
                <w:color w:val="000000"/>
              </w:rPr>
            </w:pPr>
            <w:r w:rsidRPr="006F5754">
              <w:rPr>
                <w:color w:val="000000"/>
              </w:rPr>
              <w:t>1.4</w:t>
            </w:r>
            <w:r w:rsidR="00C3508A">
              <w:rPr>
                <w:color w:val="000000"/>
              </w:rPr>
              <w:t>%</w:t>
            </w:r>
          </w:p>
        </w:tc>
        <w:tc>
          <w:tcPr>
            <w:tcW w:w="906" w:type="dxa"/>
            <w:noWrap/>
            <w:vAlign w:val="bottom"/>
          </w:tcPr>
          <w:p w14:paraId="1166B3F7" w14:textId="2DA8EC47" w:rsidR="0061282E" w:rsidRPr="006F5754" w:rsidRDefault="0061282E" w:rsidP="00487D2E">
            <w:pPr>
              <w:spacing w:after="200" w:line="360" w:lineRule="auto"/>
              <w:jc w:val="right"/>
              <w:rPr>
                <w:color w:val="000000"/>
              </w:rPr>
            </w:pPr>
            <w:r w:rsidRPr="006F5754">
              <w:rPr>
                <w:color w:val="000000"/>
              </w:rPr>
              <w:t>27</w:t>
            </w:r>
          </w:p>
        </w:tc>
        <w:tc>
          <w:tcPr>
            <w:tcW w:w="907" w:type="dxa"/>
            <w:noWrap/>
            <w:vAlign w:val="bottom"/>
          </w:tcPr>
          <w:p w14:paraId="2C12C03B" w14:textId="284460B4" w:rsidR="0061282E" w:rsidRPr="006F5754" w:rsidRDefault="0061282E" w:rsidP="00487D2E">
            <w:pPr>
              <w:spacing w:after="200" w:line="360" w:lineRule="auto"/>
              <w:jc w:val="right"/>
              <w:rPr>
                <w:color w:val="000000"/>
              </w:rPr>
            </w:pPr>
            <w:r w:rsidRPr="006F5754">
              <w:rPr>
                <w:color w:val="000000"/>
              </w:rPr>
              <w:t>1.2</w:t>
            </w:r>
            <w:r w:rsidR="00C3508A">
              <w:rPr>
                <w:color w:val="000000"/>
              </w:rPr>
              <w:t>%</w:t>
            </w:r>
          </w:p>
        </w:tc>
        <w:tc>
          <w:tcPr>
            <w:tcW w:w="907" w:type="dxa"/>
            <w:noWrap/>
            <w:vAlign w:val="bottom"/>
          </w:tcPr>
          <w:p w14:paraId="6665656F" w14:textId="275D2C94" w:rsidR="0061282E" w:rsidRPr="006F5754" w:rsidRDefault="0061282E" w:rsidP="00487D2E">
            <w:pPr>
              <w:spacing w:after="200" w:line="360" w:lineRule="auto"/>
              <w:jc w:val="right"/>
              <w:rPr>
                <w:color w:val="000000"/>
              </w:rPr>
            </w:pPr>
            <w:r w:rsidRPr="006F5754">
              <w:rPr>
                <w:color w:val="000000"/>
              </w:rPr>
              <w:t>1.4</w:t>
            </w:r>
          </w:p>
        </w:tc>
        <w:tc>
          <w:tcPr>
            <w:tcW w:w="1007" w:type="dxa"/>
          </w:tcPr>
          <w:p w14:paraId="5AF13089" w14:textId="77777777" w:rsidR="0061282E" w:rsidRPr="006F5754" w:rsidRDefault="0061282E" w:rsidP="00487D2E">
            <w:pPr>
              <w:spacing w:after="200" w:line="360" w:lineRule="auto"/>
              <w:jc w:val="right"/>
              <w:rPr>
                <w:color w:val="000000"/>
              </w:rPr>
            </w:pPr>
          </w:p>
        </w:tc>
      </w:tr>
      <w:tr w:rsidR="0061282E" w:rsidRPr="006F5754" w14:paraId="1EBE2F4C" w14:textId="77777777" w:rsidTr="006F5754">
        <w:trPr>
          <w:trHeight w:val="300"/>
          <w:jc w:val="center"/>
        </w:trPr>
        <w:tc>
          <w:tcPr>
            <w:tcW w:w="2802" w:type="dxa"/>
            <w:noWrap/>
          </w:tcPr>
          <w:p w14:paraId="323FA1EE" w14:textId="77777777" w:rsidR="0061282E" w:rsidRPr="006F5754" w:rsidRDefault="0061282E" w:rsidP="00487D2E">
            <w:pPr>
              <w:spacing w:after="200" w:line="360" w:lineRule="auto"/>
              <w:rPr>
                <w:color w:val="000000"/>
              </w:rPr>
            </w:pPr>
            <w:r w:rsidRPr="006F5754">
              <w:rPr>
                <w:color w:val="000000"/>
              </w:rPr>
              <w:t>Critical preoperative state</w:t>
            </w:r>
          </w:p>
        </w:tc>
        <w:tc>
          <w:tcPr>
            <w:tcW w:w="906" w:type="dxa"/>
            <w:noWrap/>
            <w:vAlign w:val="bottom"/>
          </w:tcPr>
          <w:p w14:paraId="4E3406B2" w14:textId="67FBEB9A" w:rsidR="0061282E" w:rsidRPr="006F5754" w:rsidRDefault="0061282E" w:rsidP="00487D2E">
            <w:pPr>
              <w:spacing w:after="200" w:line="360" w:lineRule="auto"/>
              <w:jc w:val="right"/>
              <w:rPr>
                <w:color w:val="000000"/>
              </w:rPr>
            </w:pPr>
            <w:r w:rsidRPr="006F5754">
              <w:rPr>
                <w:color w:val="000000"/>
              </w:rPr>
              <w:t>34</w:t>
            </w:r>
          </w:p>
        </w:tc>
        <w:tc>
          <w:tcPr>
            <w:tcW w:w="907" w:type="dxa"/>
            <w:noWrap/>
            <w:vAlign w:val="bottom"/>
          </w:tcPr>
          <w:p w14:paraId="3CF1AF55" w14:textId="4D6845BD" w:rsidR="0061282E" w:rsidRPr="006F5754" w:rsidRDefault="0061282E" w:rsidP="00487D2E">
            <w:pPr>
              <w:spacing w:after="200" w:line="360" w:lineRule="auto"/>
              <w:jc w:val="right"/>
              <w:rPr>
                <w:color w:val="000000"/>
              </w:rPr>
            </w:pPr>
            <w:r w:rsidRPr="006F5754">
              <w:rPr>
                <w:color w:val="000000"/>
              </w:rPr>
              <w:t>1</w:t>
            </w:r>
            <w:r w:rsidR="00C3508A">
              <w:rPr>
                <w:color w:val="000000"/>
              </w:rPr>
              <w:t>.0%</w:t>
            </w:r>
          </w:p>
        </w:tc>
        <w:tc>
          <w:tcPr>
            <w:tcW w:w="906" w:type="dxa"/>
            <w:noWrap/>
            <w:vAlign w:val="bottom"/>
          </w:tcPr>
          <w:p w14:paraId="1EE03376" w14:textId="5E9B4126" w:rsidR="0061282E" w:rsidRPr="006F5754" w:rsidRDefault="0061282E" w:rsidP="00487D2E">
            <w:pPr>
              <w:spacing w:after="200" w:line="360" w:lineRule="auto"/>
              <w:jc w:val="right"/>
              <w:rPr>
                <w:color w:val="000000"/>
              </w:rPr>
            </w:pPr>
            <w:r w:rsidRPr="006F5754">
              <w:rPr>
                <w:color w:val="000000"/>
              </w:rPr>
              <w:t>15</w:t>
            </w:r>
          </w:p>
        </w:tc>
        <w:tc>
          <w:tcPr>
            <w:tcW w:w="907" w:type="dxa"/>
            <w:noWrap/>
            <w:vAlign w:val="bottom"/>
          </w:tcPr>
          <w:p w14:paraId="1A22F8B5" w14:textId="690BB9DC" w:rsidR="0061282E" w:rsidRPr="006F5754" w:rsidRDefault="0061282E" w:rsidP="00487D2E">
            <w:pPr>
              <w:spacing w:after="200" w:line="360" w:lineRule="auto"/>
              <w:jc w:val="right"/>
              <w:rPr>
                <w:color w:val="000000"/>
              </w:rPr>
            </w:pPr>
            <w:r w:rsidRPr="006F5754">
              <w:rPr>
                <w:color w:val="000000"/>
              </w:rPr>
              <w:t>1.3</w:t>
            </w:r>
            <w:r w:rsidR="00C3508A">
              <w:rPr>
                <w:color w:val="000000"/>
              </w:rPr>
              <w:t>%</w:t>
            </w:r>
          </w:p>
        </w:tc>
        <w:tc>
          <w:tcPr>
            <w:tcW w:w="906" w:type="dxa"/>
            <w:noWrap/>
            <w:vAlign w:val="bottom"/>
          </w:tcPr>
          <w:p w14:paraId="4AABEC21" w14:textId="628DCCCB" w:rsidR="0061282E" w:rsidRPr="006F5754" w:rsidRDefault="0061282E" w:rsidP="00487D2E">
            <w:pPr>
              <w:spacing w:after="200" w:line="360" w:lineRule="auto"/>
              <w:jc w:val="right"/>
              <w:rPr>
                <w:color w:val="000000"/>
              </w:rPr>
            </w:pPr>
            <w:r w:rsidRPr="006F5754">
              <w:rPr>
                <w:color w:val="000000"/>
              </w:rPr>
              <w:t>19</w:t>
            </w:r>
          </w:p>
        </w:tc>
        <w:tc>
          <w:tcPr>
            <w:tcW w:w="907" w:type="dxa"/>
            <w:noWrap/>
            <w:vAlign w:val="bottom"/>
          </w:tcPr>
          <w:p w14:paraId="408E868E" w14:textId="623EA837" w:rsidR="0061282E" w:rsidRPr="006F5754" w:rsidRDefault="0061282E" w:rsidP="00487D2E">
            <w:pPr>
              <w:spacing w:after="200" w:line="360" w:lineRule="auto"/>
              <w:jc w:val="right"/>
              <w:rPr>
                <w:color w:val="000000"/>
              </w:rPr>
            </w:pPr>
            <w:r w:rsidRPr="006F5754">
              <w:rPr>
                <w:color w:val="000000"/>
              </w:rPr>
              <w:t>0.9</w:t>
            </w:r>
            <w:r w:rsidR="00C3508A">
              <w:rPr>
                <w:color w:val="000000"/>
              </w:rPr>
              <w:t>%</w:t>
            </w:r>
          </w:p>
        </w:tc>
        <w:tc>
          <w:tcPr>
            <w:tcW w:w="907" w:type="dxa"/>
            <w:noWrap/>
            <w:vAlign w:val="bottom"/>
          </w:tcPr>
          <w:p w14:paraId="36CCC3E3" w14:textId="33ECACB6" w:rsidR="0061282E" w:rsidRPr="006F5754" w:rsidRDefault="0061282E" w:rsidP="00487D2E">
            <w:pPr>
              <w:spacing w:after="200" w:line="360" w:lineRule="auto"/>
              <w:jc w:val="right"/>
              <w:rPr>
                <w:color w:val="000000"/>
              </w:rPr>
            </w:pPr>
            <w:r w:rsidRPr="006F5754">
              <w:rPr>
                <w:color w:val="000000"/>
              </w:rPr>
              <w:t>4.2</w:t>
            </w:r>
          </w:p>
        </w:tc>
        <w:tc>
          <w:tcPr>
            <w:tcW w:w="1007" w:type="dxa"/>
          </w:tcPr>
          <w:p w14:paraId="6883AE2F" w14:textId="71BF5C66" w:rsidR="0061282E" w:rsidRPr="006F5754" w:rsidRDefault="00522EDB" w:rsidP="00487D2E">
            <w:pPr>
              <w:spacing w:after="200" w:line="360" w:lineRule="auto"/>
              <w:jc w:val="right"/>
              <w:rPr>
                <w:color w:val="000000"/>
              </w:rPr>
            </w:pPr>
            <w:r>
              <w:rPr>
                <w:color w:val="000000"/>
              </w:rPr>
              <w:t>0.314</w:t>
            </w:r>
          </w:p>
        </w:tc>
      </w:tr>
      <w:tr w:rsidR="0061282E" w:rsidRPr="006F5754" w14:paraId="57BE5102" w14:textId="77777777" w:rsidTr="006F5754">
        <w:trPr>
          <w:trHeight w:val="300"/>
          <w:jc w:val="center"/>
        </w:trPr>
        <w:tc>
          <w:tcPr>
            <w:tcW w:w="2802" w:type="dxa"/>
            <w:tcBorders>
              <w:bottom w:val="single" w:sz="18" w:space="0" w:color="auto"/>
            </w:tcBorders>
            <w:noWrap/>
          </w:tcPr>
          <w:p w14:paraId="01293182" w14:textId="77777777" w:rsidR="0061282E" w:rsidRPr="006F5754" w:rsidRDefault="0061282E" w:rsidP="00487D2E">
            <w:pPr>
              <w:spacing w:after="200" w:line="360" w:lineRule="auto"/>
              <w:rPr>
                <w:color w:val="000000"/>
              </w:rPr>
            </w:pPr>
            <w:r w:rsidRPr="006F5754">
              <w:rPr>
                <w:color w:val="000000"/>
              </w:rPr>
              <w:t>Preoperative IV nitrates or heparin for treatment of unstable angina</w:t>
            </w:r>
          </w:p>
        </w:tc>
        <w:tc>
          <w:tcPr>
            <w:tcW w:w="906" w:type="dxa"/>
            <w:tcBorders>
              <w:bottom w:val="single" w:sz="18" w:space="0" w:color="auto"/>
            </w:tcBorders>
            <w:noWrap/>
            <w:vAlign w:val="bottom"/>
          </w:tcPr>
          <w:p w14:paraId="245CF2DD" w14:textId="3FB8287D" w:rsidR="0061282E" w:rsidRPr="006F5754" w:rsidRDefault="0061282E" w:rsidP="00487D2E">
            <w:pPr>
              <w:spacing w:after="200" w:line="360" w:lineRule="auto"/>
              <w:jc w:val="right"/>
              <w:rPr>
                <w:color w:val="000000"/>
              </w:rPr>
            </w:pPr>
            <w:r w:rsidRPr="006F5754">
              <w:rPr>
                <w:color w:val="000000"/>
              </w:rPr>
              <w:t>41</w:t>
            </w:r>
          </w:p>
        </w:tc>
        <w:tc>
          <w:tcPr>
            <w:tcW w:w="907" w:type="dxa"/>
            <w:tcBorders>
              <w:bottom w:val="single" w:sz="18" w:space="0" w:color="auto"/>
            </w:tcBorders>
            <w:noWrap/>
            <w:vAlign w:val="bottom"/>
          </w:tcPr>
          <w:p w14:paraId="1CDDC954" w14:textId="17F1E0C7" w:rsidR="0061282E" w:rsidRPr="006F5754" w:rsidRDefault="0061282E" w:rsidP="00487D2E">
            <w:pPr>
              <w:spacing w:after="200" w:line="360" w:lineRule="auto"/>
              <w:jc w:val="right"/>
              <w:rPr>
                <w:color w:val="000000"/>
              </w:rPr>
            </w:pPr>
            <w:r w:rsidRPr="006F5754">
              <w:rPr>
                <w:color w:val="000000"/>
              </w:rPr>
              <w:t>1.2</w:t>
            </w:r>
            <w:r w:rsidR="00C3508A">
              <w:rPr>
                <w:color w:val="000000"/>
              </w:rPr>
              <w:t>%</w:t>
            </w:r>
          </w:p>
        </w:tc>
        <w:tc>
          <w:tcPr>
            <w:tcW w:w="906" w:type="dxa"/>
            <w:tcBorders>
              <w:bottom w:val="single" w:sz="18" w:space="0" w:color="auto"/>
            </w:tcBorders>
            <w:noWrap/>
            <w:vAlign w:val="bottom"/>
          </w:tcPr>
          <w:p w14:paraId="03814D9C" w14:textId="5C6E490F" w:rsidR="0061282E" w:rsidRPr="006F5754" w:rsidRDefault="0061282E" w:rsidP="00487D2E">
            <w:pPr>
              <w:spacing w:after="200" w:line="360" w:lineRule="auto"/>
              <w:jc w:val="right"/>
              <w:rPr>
                <w:color w:val="000000"/>
              </w:rPr>
            </w:pPr>
            <w:r w:rsidRPr="006F5754">
              <w:rPr>
                <w:color w:val="000000"/>
              </w:rPr>
              <w:t>15</w:t>
            </w:r>
          </w:p>
        </w:tc>
        <w:tc>
          <w:tcPr>
            <w:tcW w:w="907" w:type="dxa"/>
            <w:tcBorders>
              <w:bottom w:val="single" w:sz="18" w:space="0" w:color="auto"/>
            </w:tcBorders>
            <w:noWrap/>
            <w:vAlign w:val="bottom"/>
          </w:tcPr>
          <w:p w14:paraId="128B0A57" w14:textId="78F1EB67" w:rsidR="0061282E" w:rsidRPr="006F5754" w:rsidRDefault="0061282E" w:rsidP="00487D2E">
            <w:pPr>
              <w:spacing w:after="200" w:line="360" w:lineRule="auto"/>
              <w:jc w:val="right"/>
              <w:rPr>
                <w:color w:val="000000"/>
              </w:rPr>
            </w:pPr>
            <w:r w:rsidRPr="006F5754">
              <w:rPr>
                <w:color w:val="000000"/>
              </w:rPr>
              <w:t>1.3</w:t>
            </w:r>
            <w:r w:rsidR="00C3508A">
              <w:rPr>
                <w:color w:val="000000"/>
              </w:rPr>
              <w:t>%</w:t>
            </w:r>
          </w:p>
        </w:tc>
        <w:tc>
          <w:tcPr>
            <w:tcW w:w="906" w:type="dxa"/>
            <w:tcBorders>
              <w:bottom w:val="single" w:sz="18" w:space="0" w:color="auto"/>
            </w:tcBorders>
            <w:noWrap/>
            <w:vAlign w:val="bottom"/>
          </w:tcPr>
          <w:p w14:paraId="7B187153" w14:textId="0C4FF4E0" w:rsidR="0061282E" w:rsidRPr="006F5754" w:rsidRDefault="0061282E" w:rsidP="00487D2E">
            <w:pPr>
              <w:spacing w:after="200" w:line="360" w:lineRule="auto"/>
              <w:jc w:val="right"/>
              <w:rPr>
                <w:color w:val="000000"/>
              </w:rPr>
            </w:pPr>
            <w:r w:rsidRPr="006F5754">
              <w:rPr>
                <w:color w:val="000000"/>
              </w:rPr>
              <w:t>26</w:t>
            </w:r>
          </w:p>
        </w:tc>
        <w:tc>
          <w:tcPr>
            <w:tcW w:w="907" w:type="dxa"/>
            <w:tcBorders>
              <w:bottom w:val="single" w:sz="18" w:space="0" w:color="auto"/>
            </w:tcBorders>
            <w:noWrap/>
            <w:vAlign w:val="bottom"/>
          </w:tcPr>
          <w:p w14:paraId="73C06ACF" w14:textId="563BC5F2" w:rsidR="0061282E" w:rsidRPr="006F5754" w:rsidRDefault="0061282E" w:rsidP="00487D2E">
            <w:pPr>
              <w:spacing w:after="200" w:line="360" w:lineRule="auto"/>
              <w:jc w:val="right"/>
              <w:rPr>
                <w:color w:val="000000"/>
              </w:rPr>
            </w:pPr>
            <w:r w:rsidRPr="006F5754">
              <w:rPr>
                <w:color w:val="000000"/>
              </w:rPr>
              <w:t>1.2</w:t>
            </w:r>
            <w:r w:rsidR="00C3508A">
              <w:rPr>
                <w:color w:val="000000"/>
              </w:rPr>
              <w:t>%</w:t>
            </w:r>
          </w:p>
        </w:tc>
        <w:tc>
          <w:tcPr>
            <w:tcW w:w="907" w:type="dxa"/>
            <w:tcBorders>
              <w:bottom w:val="single" w:sz="18" w:space="0" w:color="auto"/>
            </w:tcBorders>
            <w:noWrap/>
            <w:vAlign w:val="bottom"/>
          </w:tcPr>
          <w:p w14:paraId="37CE6DC7" w14:textId="2A4F224E" w:rsidR="0061282E" w:rsidRPr="006F5754" w:rsidRDefault="0061282E" w:rsidP="00487D2E">
            <w:pPr>
              <w:spacing w:after="200" w:line="360" w:lineRule="auto"/>
              <w:jc w:val="right"/>
              <w:rPr>
                <w:color w:val="000000"/>
              </w:rPr>
            </w:pPr>
            <w:r w:rsidRPr="006F5754">
              <w:rPr>
                <w:color w:val="000000"/>
              </w:rPr>
              <w:t>1</w:t>
            </w:r>
            <w:r w:rsidR="00C3508A">
              <w:rPr>
                <w:color w:val="000000"/>
              </w:rPr>
              <w:t>.0</w:t>
            </w:r>
          </w:p>
        </w:tc>
        <w:tc>
          <w:tcPr>
            <w:tcW w:w="1007" w:type="dxa"/>
            <w:tcBorders>
              <w:bottom w:val="single" w:sz="18" w:space="0" w:color="auto"/>
            </w:tcBorders>
          </w:tcPr>
          <w:p w14:paraId="05563866" w14:textId="5E451A6A" w:rsidR="0061282E" w:rsidRPr="006F5754" w:rsidRDefault="0061282E" w:rsidP="00522EDB">
            <w:pPr>
              <w:spacing w:after="200" w:line="360" w:lineRule="auto"/>
              <w:jc w:val="right"/>
              <w:rPr>
                <w:color w:val="000000"/>
              </w:rPr>
            </w:pPr>
            <w:r w:rsidRPr="006F5754">
              <w:rPr>
                <w:color w:val="000000"/>
              </w:rPr>
              <w:t>0.</w:t>
            </w:r>
            <w:r w:rsidR="00522EDB">
              <w:rPr>
                <w:color w:val="000000"/>
              </w:rPr>
              <w:t>904</w:t>
            </w:r>
          </w:p>
        </w:tc>
      </w:tr>
    </w:tbl>
    <w:p w14:paraId="3B369D28" w14:textId="77777777" w:rsidR="00942CA3" w:rsidRPr="00C75A7E" w:rsidRDefault="00942CA3" w:rsidP="00487D2E">
      <w:pPr>
        <w:spacing w:after="200" w:line="360" w:lineRule="auto"/>
        <w:rPr>
          <w:b/>
          <w:color w:val="000000"/>
          <w:lang w:val="en-GB"/>
        </w:rPr>
      </w:pPr>
    </w:p>
    <w:p w14:paraId="43EDF287" w14:textId="77777777" w:rsidR="00C75A7E" w:rsidRPr="00C75A7E" w:rsidRDefault="00C75A7E" w:rsidP="00487D2E">
      <w:pPr>
        <w:spacing w:after="200" w:line="360" w:lineRule="auto"/>
        <w:rPr>
          <w:color w:val="000000"/>
        </w:rPr>
      </w:pPr>
      <w:r w:rsidRPr="00C75A7E">
        <w:rPr>
          <w:color w:val="000000"/>
          <w:lang w:val="en-GB"/>
        </w:rPr>
        <w:t xml:space="preserve">* Statistics reported as mean </w:t>
      </w:r>
      <w:r w:rsidRPr="00C75A7E">
        <w:rPr>
          <w:color w:val="000000"/>
        </w:rPr>
        <w:t>± standard deviation for continuous variables, and number (percentage) for categorical / binary variables.</w:t>
      </w:r>
    </w:p>
    <w:p w14:paraId="70FAFB00" w14:textId="56FA8727" w:rsidR="00C75A7E" w:rsidRPr="00C75A7E" w:rsidRDefault="00C75A7E" w:rsidP="004C7AF3">
      <w:pPr>
        <w:spacing w:after="200" w:line="360" w:lineRule="auto"/>
      </w:pPr>
      <w:r w:rsidRPr="00C75A7E">
        <w:rPr>
          <w:color w:val="000000"/>
        </w:rPr>
        <w:t>Δ</w:t>
      </w:r>
      <w:r w:rsidRPr="00C75A7E">
        <w:rPr>
          <w:i/>
          <w:color w:val="000000"/>
        </w:rPr>
        <w:t xml:space="preserve"> – </w:t>
      </w:r>
      <w:r w:rsidRPr="00C75A7E">
        <w:rPr>
          <w:color w:val="000000"/>
        </w:rPr>
        <w:t xml:space="preserve">the standardized difference: </w:t>
      </w:r>
      <m:oMath>
        <m:r>
          <w:rPr>
            <w:rFonts w:ascii="Cambria Math" w:hAnsi="Cambria Math"/>
          </w:rPr>
          <m:t>100(</m:t>
        </m:r>
        <m:sSub>
          <m:sSubPr>
            <m:ctrlPr>
              <w:rPr>
                <w:rFonts w:ascii="Cambria Math" w:eastAsiaTheme="minorEastAsia" w:hAnsi="Cambria Math"/>
                <w:i/>
              </w:rPr>
            </m:ctrlPr>
          </m:sSubPr>
          <m:e>
            <m:acc>
              <m:accPr>
                <m:chr m:val="̅"/>
                <m:ctrlPr>
                  <w:rPr>
                    <w:rFonts w:ascii="Cambria Math" w:hAnsi="Cambria Math"/>
                    <w:i/>
                  </w:rPr>
                </m:ctrlPr>
              </m:accPr>
              <m:e>
                <m:r>
                  <w:rPr>
                    <w:rFonts w:ascii="Cambria Math" w:hAnsi="Cambria Math"/>
                  </w:rPr>
                  <m:t>x</m:t>
                </m:r>
              </m:e>
            </m:acc>
          </m:e>
          <m:sub>
            <m:r>
              <m:rPr>
                <m:nor/>
              </m:rPr>
              <m:t>on</m:t>
            </m:r>
          </m:sub>
        </m:sSub>
        <m:r>
          <w:rPr>
            <w:rFonts w:ascii="Cambria Math" w:hAnsi="Cambria Math"/>
          </w:rPr>
          <m:t xml:space="preserve"> - </m:t>
        </m:r>
        <m:sSub>
          <m:sSubPr>
            <m:ctrlPr>
              <w:rPr>
                <w:rFonts w:ascii="Cambria Math" w:eastAsiaTheme="minorEastAsia" w:hAnsi="Cambria Math"/>
                <w:i/>
              </w:rPr>
            </m:ctrlPr>
          </m:sSubPr>
          <m:e>
            <m:acc>
              <m:accPr>
                <m:chr m:val="̅"/>
                <m:ctrlPr>
                  <w:rPr>
                    <w:rFonts w:ascii="Cambria Math" w:hAnsi="Cambria Math"/>
                    <w:i/>
                  </w:rPr>
                </m:ctrlPr>
              </m:accPr>
              <m:e>
                <m:r>
                  <w:rPr>
                    <w:rFonts w:ascii="Cambria Math" w:hAnsi="Cambria Math"/>
                  </w:rPr>
                  <m:t>x</m:t>
                </m:r>
              </m:e>
            </m:acc>
          </m:e>
          <m:sub>
            <m:r>
              <m:rPr>
                <m:nor/>
              </m:rPr>
              <m:t>off</m:t>
            </m:r>
          </m:sub>
        </m:sSub>
        <m:r>
          <w:rPr>
            <w:rFonts w:ascii="Cambria Math" w:hAnsi="Cambria Math"/>
          </w:rPr>
          <m:t>) / √</m:t>
        </m:r>
        <m:d>
          <m:dPr>
            <m:begChr m:val="{"/>
            <m:endChr m:val="}"/>
            <m:ctrlPr>
              <w:rPr>
                <w:rFonts w:ascii="Cambria Math" w:eastAsiaTheme="minorEastAsia" w:hAnsi="Cambria Math"/>
                <w:i/>
              </w:rPr>
            </m:ctrlPr>
          </m:dPr>
          <m:e>
            <m:r>
              <w:rPr>
                <w:rFonts w:ascii="Cambria Math" w:hAnsi="Cambria Math"/>
              </w:rPr>
              <m:t>(</m:t>
            </m:r>
            <m:sSubSup>
              <m:sSubSupPr>
                <m:ctrlPr>
                  <w:rPr>
                    <w:rFonts w:ascii="Cambria Math" w:eastAsiaTheme="minorEastAsia" w:hAnsi="Cambria Math"/>
                    <w:i/>
                  </w:rPr>
                </m:ctrlPr>
              </m:sSubSupPr>
              <m:e>
                <m:r>
                  <w:rPr>
                    <w:rFonts w:ascii="Cambria Math" w:hAnsi="Cambria Math"/>
                  </w:rPr>
                  <m:t>s</m:t>
                </m:r>
              </m:e>
              <m:sub>
                <m:r>
                  <m:rPr>
                    <m:nor/>
                  </m:rPr>
                  <m:t>on</m:t>
                </m:r>
              </m:sub>
              <m:sup>
                <m:r>
                  <w:rPr>
                    <w:rFonts w:ascii="Cambria Math" w:hAnsi="Cambria Math"/>
                  </w:rPr>
                  <m:t>2</m:t>
                </m:r>
              </m:sup>
            </m:sSubSup>
            <m:r>
              <w:rPr>
                <w:rFonts w:ascii="Cambria Math" w:hAnsi="Cambria Math"/>
              </w:rPr>
              <m:t xml:space="preserve">+ </m:t>
            </m:r>
            <m:sSubSup>
              <m:sSubSupPr>
                <m:ctrlPr>
                  <w:rPr>
                    <w:rFonts w:ascii="Cambria Math" w:eastAsiaTheme="minorEastAsia" w:hAnsi="Cambria Math"/>
                    <w:i/>
                  </w:rPr>
                </m:ctrlPr>
              </m:sSubSupPr>
              <m:e>
                <m:r>
                  <w:rPr>
                    <w:rFonts w:ascii="Cambria Math" w:hAnsi="Cambria Math"/>
                  </w:rPr>
                  <m:t>s</m:t>
                </m:r>
              </m:e>
              <m:sub>
                <m:r>
                  <m:rPr>
                    <m:nor/>
                  </m:rPr>
                  <m:t>off</m:t>
                </m:r>
              </m:sub>
              <m:sup>
                <m:r>
                  <w:rPr>
                    <w:rFonts w:ascii="Cambria Math" w:hAnsi="Cambria Math"/>
                  </w:rPr>
                  <m:t>2</m:t>
                </m:r>
              </m:sup>
            </m:sSubSup>
            <m:r>
              <w:rPr>
                <w:rFonts w:ascii="Cambria Math" w:hAnsi="Cambria Math"/>
              </w:rPr>
              <m:t>)/2</m:t>
            </m:r>
          </m:e>
        </m:d>
      </m:oMath>
      <w:r w:rsidR="004C7AF3" w:rsidRPr="00C75A7E">
        <w:t>,</w:t>
      </w:r>
      <w:r w:rsidR="004C7AF3">
        <w:t xml:space="preserve"> </w:t>
      </w:r>
      <w:r w:rsidR="004C7AF3" w:rsidRPr="00C75A7E">
        <w:t xml:space="preserve">where </w:t>
      </w:r>
      <m:oMath>
        <m:sSub>
          <m:sSubPr>
            <m:ctrlPr>
              <w:rPr>
                <w:rFonts w:ascii="Cambria Math" w:eastAsiaTheme="minorEastAsia" w:hAnsi="Cambria Math"/>
                <w:i/>
              </w:rPr>
            </m:ctrlPr>
          </m:sSubPr>
          <m:e>
            <m:acc>
              <m:accPr>
                <m:chr m:val="̅"/>
                <m:ctrlPr>
                  <w:rPr>
                    <w:rFonts w:ascii="Cambria Math" w:hAnsi="Cambria Math"/>
                    <w:i/>
                  </w:rPr>
                </m:ctrlPr>
              </m:accPr>
              <m:e>
                <m:r>
                  <w:rPr>
                    <w:rFonts w:ascii="Cambria Math" w:hAnsi="Cambria Math"/>
                  </w:rPr>
                  <m:t>x</m:t>
                </m:r>
              </m:e>
            </m:acc>
          </m:e>
          <m:sub>
            <m:r>
              <m:rPr>
                <m:nor/>
              </m:rPr>
              <m:t>off</m:t>
            </m:r>
          </m:sub>
        </m:sSub>
      </m:oMath>
      <w:r w:rsidR="004C7AF3" w:rsidRPr="00C75A7E">
        <w:t xml:space="preserve"> and </w:t>
      </w:r>
      <m:oMath>
        <m:sSub>
          <m:sSubPr>
            <m:ctrlPr>
              <w:rPr>
                <w:rFonts w:ascii="Cambria Math" w:eastAsiaTheme="minorEastAsia" w:hAnsi="Cambria Math"/>
                <w:i/>
              </w:rPr>
            </m:ctrlPr>
          </m:sSubPr>
          <m:e>
            <m:acc>
              <m:accPr>
                <m:chr m:val="̅"/>
                <m:ctrlPr>
                  <w:rPr>
                    <w:rFonts w:ascii="Cambria Math" w:hAnsi="Cambria Math"/>
                    <w:i/>
                  </w:rPr>
                </m:ctrlPr>
              </m:accPr>
              <m:e>
                <m:r>
                  <w:rPr>
                    <w:rFonts w:ascii="Cambria Math" w:hAnsi="Cambria Math"/>
                  </w:rPr>
                  <m:t>x</m:t>
                </m:r>
              </m:e>
            </m:acc>
          </m:e>
          <m:sub>
            <m:r>
              <m:rPr>
                <m:nor/>
              </m:rPr>
              <m:t>on</m:t>
            </m:r>
          </m:sub>
        </m:sSub>
      </m:oMath>
      <w:r w:rsidR="004C7AF3" w:rsidRPr="00C75A7E">
        <w:t xml:space="preserve"> denotes the sample means for the off- and on-pump groups respectively, and </w:t>
      </w:r>
      <m:oMath>
        <m:sSubSup>
          <m:sSubSupPr>
            <m:ctrlPr>
              <w:rPr>
                <w:rFonts w:ascii="Cambria Math" w:eastAsia="MS Mincho" w:hAnsi="Cambria Math"/>
                <w:i/>
              </w:rPr>
            </m:ctrlPr>
          </m:sSubSupPr>
          <m:e>
            <m:r>
              <w:rPr>
                <w:rFonts w:ascii="Cambria Math" w:hAnsi="Cambria Math"/>
              </w:rPr>
              <m:t>s</m:t>
            </m:r>
          </m:e>
          <m:sub>
            <m:r>
              <m:rPr>
                <m:nor/>
              </m:rPr>
              <m:t>off</m:t>
            </m:r>
          </m:sub>
          <m:sup>
            <m:r>
              <w:rPr>
                <w:rFonts w:ascii="Cambria Math" w:hAnsi="Cambria Math"/>
              </w:rPr>
              <m:t>2</m:t>
            </m:r>
          </m:sup>
        </m:sSubSup>
      </m:oMath>
      <w:r w:rsidR="004C7AF3" w:rsidRPr="00C75A7E">
        <w:t xml:space="preserve"> and</w:t>
      </w:r>
      <m:oMath>
        <m:r>
          <w:rPr>
            <w:rFonts w:ascii="Cambria Math" w:eastAsia="MS Mincho" w:hAnsi="Cambria Math"/>
          </w:rPr>
          <m:t xml:space="preserve"> </m:t>
        </m:r>
        <m:sSubSup>
          <m:sSubSupPr>
            <m:ctrlPr>
              <w:rPr>
                <w:rFonts w:ascii="Cambria Math" w:eastAsia="MS Mincho" w:hAnsi="Cambria Math"/>
                <w:i/>
              </w:rPr>
            </m:ctrlPr>
          </m:sSubSupPr>
          <m:e>
            <m:r>
              <w:rPr>
                <w:rFonts w:ascii="Cambria Math" w:hAnsi="Cambria Math"/>
              </w:rPr>
              <m:t>s</m:t>
            </m:r>
          </m:e>
          <m:sub>
            <m:r>
              <m:rPr>
                <m:nor/>
              </m:rPr>
              <m:t>on</m:t>
            </m:r>
          </m:sub>
          <m:sup>
            <m:r>
              <w:rPr>
                <w:rFonts w:ascii="Cambria Math" w:hAnsi="Cambria Math"/>
              </w:rPr>
              <m:t>2</m:t>
            </m:r>
          </m:sup>
        </m:sSubSup>
      </m:oMath>
      <w:r w:rsidR="004C7AF3" w:rsidRPr="00C75A7E">
        <w:t xml:space="preserve"> the respective sample variances</w:t>
      </w:r>
      <w:r w:rsidRPr="00C75A7E">
        <w:t>.</w:t>
      </w:r>
    </w:p>
    <w:p w14:paraId="677C25AF" w14:textId="1CCD54DC" w:rsidR="00C75A7E" w:rsidRDefault="00C75A7E" w:rsidP="00487D2E">
      <w:pPr>
        <w:spacing w:after="200" w:line="360" w:lineRule="auto"/>
        <w:rPr>
          <w:color w:val="000000"/>
        </w:rPr>
      </w:pPr>
      <w:r w:rsidRPr="00C75A7E">
        <w:rPr>
          <w:i/>
          <w:color w:val="000000"/>
        </w:rPr>
        <w:t>P</w:t>
      </w:r>
      <w:r w:rsidRPr="00C75A7E">
        <w:rPr>
          <w:color w:val="000000"/>
        </w:rPr>
        <w:t xml:space="preserve"> – </w:t>
      </w:r>
      <w:r w:rsidRPr="00C75A7E">
        <w:rPr>
          <w:i/>
          <w:color w:val="000000"/>
        </w:rPr>
        <w:t>P</w:t>
      </w:r>
      <w:r w:rsidRPr="00C75A7E">
        <w:rPr>
          <w:color w:val="000000"/>
        </w:rPr>
        <w:t xml:space="preserve">-value: chi-square test for all categorical variables (some with Yates’ continuity correction as appropriate); independent samples </w:t>
      </w:r>
      <w:r w:rsidRPr="00C75A7E">
        <w:rPr>
          <w:i/>
          <w:color w:val="000000"/>
        </w:rPr>
        <w:t>t</w:t>
      </w:r>
      <w:r w:rsidRPr="00C75A7E">
        <w:rPr>
          <w:color w:val="000000"/>
        </w:rPr>
        <w:t xml:space="preserve">-test for age and BMI; Mann-Whitney </w:t>
      </w:r>
      <w:r w:rsidRPr="00C75A7E">
        <w:rPr>
          <w:i/>
          <w:color w:val="000000"/>
        </w:rPr>
        <w:t>U</w:t>
      </w:r>
      <w:r w:rsidR="000A5642">
        <w:rPr>
          <w:color w:val="000000"/>
        </w:rPr>
        <w:t xml:space="preserve">-test for </w:t>
      </w:r>
      <w:r w:rsidRPr="00C75A7E">
        <w:rPr>
          <w:color w:val="000000"/>
        </w:rPr>
        <w:t>logistic EuroSCORE.</w:t>
      </w:r>
    </w:p>
    <w:p w14:paraId="186CBCA0" w14:textId="0C6C6EC9" w:rsidR="000A5642" w:rsidRPr="00C75A7E" w:rsidRDefault="000A5642" w:rsidP="00487D2E">
      <w:pPr>
        <w:spacing w:after="200" w:line="360" w:lineRule="auto"/>
        <w:rPr>
          <w:color w:val="000000"/>
          <w:lang w:val="en-GB"/>
        </w:rPr>
      </w:pPr>
      <w:r w:rsidRPr="00C75A7E">
        <w:rPr>
          <w:color w:val="000000"/>
          <w:lang w:val="en-GB"/>
        </w:rPr>
        <w:t xml:space="preserve">Abbreviations: BMI – body mass index; MI – myocardial infraction; </w:t>
      </w:r>
      <w:r w:rsidR="00020E13">
        <w:rPr>
          <w:color w:val="000000"/>
          <w:lang w:val="en-GB"/>
        </w:rPr>
        <w:t xml:space="preserve">PCI – percutaneous coronary intervention; </w:t>
      </w:r>
      <w:r w:rsidRPr="00C75A7E">
        <w:rPr>
          <w:color w:val="000000"/>
          <w:lang w:val="en-GB"/>
        </w:rPr>
        <w:t xml:space="preserve">LVEF – left ventricular ejection fraction; </w:t>
      </w:r>
      <w:r w:rsidR="00F54419">
        <w:rPr>
          <w:color w:val="000000"/>
          <w:lang w:val="en-GB"/>
        </w:rPr>
        <w:t xml:space="preserve">CVD – coronary vessel disease; </w:t>
      </w:r>
      <w:r w:rsidRPr="00C75A7E">
        <w:rPr>
          <w:color w:val="000000"/>
          <w:lang w:val="en-GB"/>
        </w:rPr>
        <w:t>IV – intravenous; CABG – coronary artery bypass graft; AF – atrial fibrillation; NYHA – New York Heart Association.</w:t>
      </w:r>
    </w:p>
    <w:p w14:paraId="7B682639" w14:textId="77777777" w:rsidR="000A5642" w:rsidRPr="00C75A7E" w:rsidRDefault="000A5642" w:rsidP="00487D2E">
      <w:pPr>
        <w:spacing w:after="200" w:line="360" w:lineRule="auto"/>
        <w:rPr>
          <w:color w:val="000000"/>
          <w:lang w:val="en-GB"/>
        </w:rPr>
      </w:pPr>
    </w:p>
    <w:p w14:paraId="13F08245" w14:textId="77777777" w:rsidR="00942CA3" w:rsidRPr="00C75A7E" w:rsidRDefault="00942CA3" w:rsidP="00487D2E">
      <w:pPr>
        <w:spacing w:after="200" w:line="360" w:lineRule="auto"/>
        <w:rPr>
          <w:color w:val="000000"/>
          <w:lang w:val="en-GB"/>
        </w:rPr>
      </w:pPr>
      <w:r w:rsidRPr="00C75A7E">
        <w:rPr>
          <w:b/>
          <w:color w:val="000000"/>
          <w:lang w:val="en-GB"/>
        </w:rPr>
        <w:br w:type="page"/>
      </w:r>
      <w:r w:rsidRPr="00C75A7E">
        <w:rPr>
          <w:b/>
          <w:color w:val="000000"/>
          <w:lang w:val="en-GB"/>
        </w:rPr>
        <w:lastRenderedPageBreak/>
        <w:t xml:space="preserve">Table 2. </w:t>
      </w:r>
      <w:r w:rsidRPr="00C75A7E">
        <w:rPr>
          <w:color w:val="000000"/>
          <w:lang w:val="en-GB"/>
        </w:rPr>
        <w:t>Multivariable Cox proportional hazards regression model summary for all-cause mortality.</w:t>
      </w:r>
    </w:p>
    <w:tbl>
      <w:tblPr>
        <w:tblW w:w="7692" w:type="dxa"/>
        <w:jc w:val="center"/>
        <w:tblBorders>
          <w:top w:val="single" w:sz="18" w:space="0" w:color="auto"/>
          <w:bottom w:val="single" w:sz="18" w:space="0" w:color="auto"/>
        </w:tblBorders>
        <w:tblLayout w:type="fixed"/>
        <w:tblLook w:val="00A0" w:firstRow="1" w:lastRow="0" w:firstColumn="1" w:lastColumn="0" w:noHBand="0" w:noVBand="0"/>
      </w:tblPr>
      <w:tblGrid>
        <w:gridCol w:w="3699"/>
        <w:gridCol w:w="2576"/>
        <w:gridCol w:w="1417"/>
      </w:tblGrid>
      <w:tr w:rsidR="00942CA3" w:rsidRPr="00C75A7E" w14:paraId="3A43B754" w14:textId="77777777" w:rsidTr="0061679E">
        <w:trPr>
          <w:trHeight w:val="300"/>
          <w:jc w:val="center"/>
        </w:trPr>
        <w:tc>
          <w:tcPr>
            <w:tcW w:w="3699" w:type="dxa"/>
            <w:tcBorders>
              <w:top w:val="single" w:sz="18" w:space="0" w:color="auto"/>
              <w:bottom w:val="single" w:sz="18" w:space="0" w:color="auto"/>
            </w:tcBorders>
            <w:noWrap/>
          </w:tcPr>
          <w:p w14:paraId="0CC2552E" w14:textId="77777777" w:rsidR="00942CA3" w:rsidRPr="00C75A7E" w:rsidRDefault="00942CA3" w:rsidP="00487D2E">
            <w:pPr>
              <w:spacing w:after="200" w:line="360" w:lineRule="auto"/>
              <w:rPr>
                <w:b/>
              </w:rPr>
            </w:pPr>
          </w:p>
        </w:tc>
        <w:tc>
          <w:tcPr>
            <w:tcW w:w="2576" w:type="dxa"/>
            <w:tcBorders>
              <w:top w:val="single" w:sz="18" w:space="0" w:color="auto"/>
              <w:bottom w:val="single" w:sz="18" w:space="0" w:color="auto"/>
            </w:tcBorders>
          </w:tcPr>
          <w:p w14:paraId="164A7D76" w14:textId="7CE727B8" w:rsidR="00942CA3" w:rsidRPr="00C75A7E" w:rsidRDefault="00942CA3" w:rsidP="00487D2E">
            <w:pPr>
              <w:spacing w:after="200" w:line="360" w:lineRule="auto"/>
              <w:jc w:val="center"/>
              <w:rPr>
                <w:b/>
              </w:rPr>
            </w:pPr>
            <w:r w:rsidRPr="00C75A7E">
              <w:rPr>
                <w:b/>
              </w:rPr>
              <w:t>Adjusted HR (95% CI)</w:t>
            </w:r>
          </w:p>
        </w:tc>
        <w:tc>
          <w:tcPr>
            <w:tcW w:w="1417" w:type="dxa"/>
            <w:tcBorders>
              <w:top w:val="single" w:sz="18" w:space="0" w:color="auto"/>
              <w:bottom w:val="single" w:sz="18" w:space="0" w:color="auto"/>
            </w:tcBorders>
            <w:noWrap/>
            <w:vAlign w:val="center"/>
          </w:tcPr>
          <w:p w14:paraId="42BBD0BD" w14:textId="77777777" w:rsidR="00942CA3" w:rsidRPr="00C75A7E" w:rsidRDefault="00942CA3" w:rsidP="00487D2E">
            <w:pPr>
              <w:spacing w:after="200" w:line="360" w:lineRule="auto"/>
              <w:jc w:val="center"/>
              <w:rPr>
                <w:b/>
                <w:i/>
              </w:rPr>
            </w:pPr>
            <w:r w:rsidRPr="00C75A7E">
              <w:rPr>
                <w:b/>
                <w:i/>
              </w:rPr>
              <w:t>P</w:t>
            </w:r>
          </w:p>
        </w:tc>
      </w:tr>
      <w:tr w:rsidR="00942CA3" w:rsidRPr="00C75A7E" w14:paraId="791EA6BC" w14:textId="77777777" w:rsidTr="009434C2">
        <w:trPr>
          <w:trHeight w:val="300"/>
          <w:jc w:val="center"/>
        </w:trPr>
        <w:tc>
          <w:tcPr>
            <w:tcW w:w="3699" w:type="dxa"/>
            <w:tcBorders>
              <w:top w:val="single" w:sz="18" w:space="0" w:color="auto"/>
              <w:bottom w:val="nil"/>
            </w:tcBorders>
            <w:noWrap/>
          </w:tcPr>
          <w:p w14:paraId="52DCF518" w14:textId="77777777" w:rsidR="00942CA3" w:rsidRPr="00C75A7E" w:rsidRDefault="00942CA3" w:rsidP="00487D2E">
            <w:pPr>
              <w:spacing w:after="200" w:line="360" w:lineRule="auto"/>
            </w:pPr>
            <w:r w:rsidRPr="00C75A7E">
              <w:t>On-pump</w:t>
            </w:r>
          </w:p>
        </w:tc>
        <w:tc>
          <w:tcPr>
            <w:tcW w:w="2576" w:type="dxa"/>
            <w:tcBorders>
              <w:top w:val="single" w:sz="18" w:space="0" w:color="auto"/>
              <w:bottom w:val="nil"/>
            </w:tcBorders>
          </w:tcPr>
          <w:p w14:paraId="01B382EC" w14:textId="5C348840" w:rsidR="00942CA3" w:rsidRPr="00C75A7E" w:rsidRDefault="00D05821" w:rsidP="00487D2E">
            <w:pPr>
              <w:spacing w:after="200" w:line="360" w:lineRule="auto"/>
              <w:jc w:val="right"/>
            </w:pPr>
            <w:r>
              <w:t>1.1</w:t>
            </w:r>
            <w:r w:rsidR="00FF73C7">
              <w:t>5</w:t>
            </w:r>
            <w:r w:rsidR="007D7B2D">
              <w:t xml:space="preserve"> (0.</w:t>
            </w:r>
            <w:r w:rsidR="00FF73C7">
              <w:t>89</w:t>
            </w:r>
            <w:r w:rsidR="007D7B2D">
              <w:t>, 1.</w:t>
            </w:r>
            <w:r w:rsidR="009C5826">
              <w:t>49</w:t>
            </w:r>
            <w:r w:rsidR="00942CA3" w:rsidRPr="00C75A7E">
              <w:t>)</w:t>
            </w:r>
          </w:p>
        </w:tc>
        <w:tc>
          <w:tcPr>
            <w:tcW w:w="1417" w:type="dxa"/>
            <w:tcBorders>
              <w:top w:val="single" w:sz="18" w:space="0" w:color="auto"/>
              <w:bottom w:val="nil"/>
            </w:tcBorders>
            <w:noWrap/>
          </w:tcPr>
          <w:p w14:paraId="5EB24C1C" w14:textId="665BEA2C" w:rsidR="00942CA3" w:rsidRPr="00C75A7E" w:rsidRDefault="00C45388" w:rsidP="00487D2E">
            <w:pPr>
              <w:spacing w:after="200" w:line="360" w:lineRule="auto"/>
              <w:jc w:val="right"/>
            </w:pPr>
            <w:r>
              <w:t>0.2</w:t>
            </w:r>
            <w:r w:rsidR="00F335B4">
              <w:t>82</w:t>
            </w:r>
          </w:p>
        </w:tc>
      </w:tr>
      <w:tr w:rsidR="00942CA3" w:rsidRPr="00C75A7E" w14:paraId="25AA8F20" w14:textId="77777777" w:rsidTr="009434C2">
        <w:trPr>
          <w:trHeight w:val="300"/>
          <w:jc w:val="center"/>
        </w:trPr>
        <w:tc>
          <w:tcPr>
            <w:tcW w:w="3699" w:type="dxa"/>
            <w:tcBorders>
              <w:top w:val="nil"/>
              <w:bottom w:val="nil"/>
            </w:tcBorders>
            <w:noWrap/>
          </w:tcPr>
          <w:p w14:paraId="27EF85F7" w14:textId="77777777" w:rsidR="00942CA3" w:rsidRPr="00C75A7E" w:rsidRDefault="00942CA3" w:rsidP="00487D2E">
            <w:pPr>
              <w:spacing w:after="200" w:line="360" w:lineRule="auto"/>
            </w:pPr>
            <w:r w:rsidRPr="00C75A7E">
              <w:t>Age (years)</w:t>
            </w:r>
          </w:p>
        </w:tc>
        <w:tc>
          <w:tcPr>
            <w:tcW w:w="2576" w:type="dxa"/>
            <w:tcBorders>
              <w:top w:val="nil"/>
              <w:bottom w:val="nil"/>
            </w:tcBorders>
          </w:tcPr>
          <w:p w14:paraId="2AF31E63" w14:textId="09B0EAEA" w:rsidR="00942CA3" w:rsidRPr="00C75A7E" w:rsidRDefault="007D7B2D" w:rsidP="00487D2E">
            <w:pPr>
              <w:spacing w:after="200" w:line="360" w:lineRule="auto"/>
              <w:jc w:val="right"/>
            </w:pPr>
            <w:r>
              <w:t>1.06 (1.04</w:t>
            </w:r>
            <w:r w:rsidR="00942CA3" w:rsidRPr="00C75A7E">
              <w:t>, 1.08)</w:t>
            </w:r>
          </w:p>
        </w:tc>
        <w:tc>
          <w:tcPr>
            <w:tcW w:w="1417" w:type="dxa"/>
            <w:tcBorders>
              <w:top w:val="nil"/>
              <w:bottom w:val="nil"/>
            </w:tcBorders>
            <w:noWrap/>
          </w:tcPr>
          <w:p w14:paraId="4BE184A5" w14:textId="77777777" w:rsidR="00942CA3" w:rsidRPr="00C75A7E" w:rsidRDefault="00942CA3" w:rsidP="00487D2E">
            <w:pPr>
              <w:spacing w:after="200" w:line="360" w:lineRule="auto"/>
              <w:jc w:val="right"/>
            </w:pPr>
            <w:r w:rsidRPr="00C75A7E">
              <w:t>&lt;0.001</w:t>
            </w:r>
          </w:p>
        </w:tc>
      </w:tr>
      <w:tr w:rsidR="00942CA3" w:rsidRPr="00C75A7E" w14:paraId="23C11325" w14:textId="77777777" w:rsidTr="009434C2">
        <w:trPr>
          <w:trHeight w:val="300"/>
          <w:jc w:val="center"/>
        </w:trPr>
        <w:tc>
          <w:tcPr>
            <w:tcW w:w="3699" w:type="dxa"/>
            <w:tcBorders>
              <w:top w:val="nil"/>
              <w:bottom w:val="nil"/>
            </w:tcBorders>
            <w:noWrap/>
          </w:tcPr>
          <w:p w14:paraId="1B4188A8" w14:textId="162073DE" w:rsidR="00942CA3" w:rsidRPr="00C75A7E" w:rsidRDefault="007D7B2D" w:rsidP="00487D2E">
            <w:pPr>
              <w:spacing w:after="200" w:line="360" w:lineRule="auto"/>
            </w:pPr>
            <w:r>
              <w:t>(Age – 70</w:t>
            </w:r>
            <w:r w:rsidR="00942CA3" w:rsidRPr="00C75A7E">
              <w:t>)</w:t>
            </w:r>
            <w:r w:rsidR="00942CA3" w:rsidRPr="00C75A7E">
              <w:rPr>
                <w:vertAlign w:val="subscript"/>
              </w:rPr>
              <w:t>+</w:t>
            </w:r>
          </w:p>
        </w:tc>
        <w:tc>
          <w:tcPr>
            <w:tcW w:w="2576" w:type="dxa"/>
            <w:tcBorders>
              <w:top w:val="nil"/>
              <w:bottom w:val="nil"/>
            </w:tcBorders>
          </w:tcPr>
          <w:p w14:paraId="3C245A31" w14:textId="26FF3184" w:rsidR="00942CA3" w:rsidRPr="00C75A7E" w:rsidRDefault="007D7B2D" w:rsidP="00487D2E">
            <w:pPr>
              <w:spacing w:after="200" w:line="360" w:lineRule="auto"/>
              <w:jc w:val="right"/>
            </w:pPr>
            <w:r>
              <w:t>1.03 (0.98, 1.08</w:t>
            </w:r>
            <w:r w:rsidR="00942CA3" w:rsidRPr="00C75A7E">
              <w:t>)</w:t>
            </w:r>
          </w:p>
        </w:tc>
        <w:tc>
          <w:tcPr>
            <w:tcW w:w="1417" w:type="dxa"/>
            <w:tcBorders>
              <w:top w:val="nil"/>
              <w:bottom w:val="nil"/>
            </w:tcBorders>
            <w:noWrap/>
          </w:tcPr>
          <w:p w14:paraId="59A4D660" w14:textId="6F337B8A" w:rsidR="00942CA3" w:rsidRPr="00C75A7E" w:rsidRDefault="00C45388" w:rsidP="00487D2E">
            <w:pPr>
              <w:spacing w:after="200" w:line="360" w:lineRule="auto"/>
              <w:jc w:val="right"/>
            </w:pPr>
            <w:r>
              <w:t>0.2</w:t>
            </w:r>
            <w:r w:rsidR="00F335B4">
              <w:t>95</w:t>
            </w:r>
          </w:p>
        </w:tc>
      </w:tr>
      <w:tr w:rsidR="00942CA3" w:rsidRPr="00C75A7E" w14:paraId="40F2E18B" w14:textId="77777777" w:rsidTr="009434C2">
        <w:trPr>
          <w:trHeight w:val="300"/>
          <w:jc w:val="center"/>
        </w:trPr>
        <w:tc>
          <w:tcPr>
            <w:tcW w:w="3699" w:type="dxa"/>
            <w:tcBorders>
              <w:top w:val="nil"/>
              <w:bottom w:val="nil"/>
            </w:tcBorders>
            <w:noWrap/>
          </w:tcPr>
          <w:p w14:paraId="410825FE" w14:textId="77777777" w:rsidR="00942CA3" w:rsidRPr="00C75A7E" w:rsidRDefault="00942CA3" w:rsidP="00487D2E">
            <w:pPr>
              <w:spacing w:after="200" w:line="360" w:lineRule="auto"/>
            </w:pPr>
            <w:r w:rsidRPr="00C75A7E">
              <w:t>BMI (kg/m</w:t>
            </w:r>
            <w:r w:rsidRPr="00C75A7E">
              <w:rPr>
                <w:vertAlign w:val="superscript"/>
              </w:rPr>
              <w:t>2</w:t>
            </w:r>
            <w:r w:rsidRPr="00C75A7E">
              <w:t>)</w:t>
            </w:r>
          </w:p>
        </w:tc>
        <w:tc>
          <w:tcPr>
            <w:tcW w:w="2576" w:type="dxa"/>
            <w:tcBorders>
              <w:top w:val="nil"/>
              <w:bottom w:val="nil"/>
            </w:tcBorders>
          </w:tcPr>
          <w:p w14:paraId="70A659E9" w14:textId="097EDF5C" w:rsidR="00942CA3" w:rsidRPr="00C75A7E" w:rsidRDefault="00D05821" w:rsidP="00487D2E">
            <w:pPr>
              <w:spacing w:after="200" w:line="360" w:lineRule="auto"/>
              <w:jc w:val="right"/>
            </w:pPr>
            <w:r>
              <w:t>0.8</w:t>
            </w:r>
            <w:r w:rsidR="00FF73C7">
              <w:t>0</w:t>
            </w:r>
            <w:r w:rsidR="007D7B2D">
              <w:t xml:space="preserve"> (0.7</w:t>
            </w:r>
            <w:r w:rsidR="00FF73C7">
              <w:t>3</w:t>
            </w:r>
            <w:r w:rsidR="007D7B2D">
              <w:t>, 0.88</w:t>
            </w:r>
            <w:r w:rsidR="00942CA3" w:rsidRPr="00C75A7E">
              <w:t>)</w:t>
            </w:r>
          </w:p>
        </w:tc>
        <w:tc>
          <w:tcPr>
            <w:tcW w:w="1417" w:type="dxa"/>
            <w:tcBorders>
              <w:top w:val="nil"/>
              <w:bottom w:val="nil"/>
            </w:tcBorders>
            <w:noWrap/>
          </w:tcPr>
          <w:p w14:paraId="38D43B47" w14:textId="77777777" w:rsidR="00942CA3" w:rsidRPr="00C75A7E" w:rsidRDefault="00942CA3" w:rsidP="00487D2E">
            <w:pPr>
              <w:spacing w:after="200" w:line="360" w:lineRule="auto"/>
              <w:jc w:val="right"/>
            </w:pPr>
            <w:r w:rsidRPr="00C75A7E">
              <w:t>&lt;0.001</w:t>
            </w:r>
          </w:p>
        </w:tc>
      </w:tr>
      <w:tr w:rsidR="00942CA3" w:rsidRPr="00C75A7E" w14:paraId="24202A59" w14:textId="77777777" w:rsidTr="009434C2">
        <w:trPr>
          <w:trHeight w:val="300"/>
          <w:jc w:val="center"/>
        </w:trPr>
        <w:tc>
          <w:tcPr>
            <w:tcW w:w="3699" w:type="dxa"/>
            <w:tcBorders>
              <w:top w:val="nil"/>
              <w:bottom w:val="nil"/>
            </w:tcBorders>
            <w:noWrap/>
          </w:tcPr>
          <w:p w14:paraId="40C367AA" w14:textId="77777777" w:rsidR="00942CA3" w:rsidRPr="00C75A7E" w:rsidRDefault="00942CA3" w:rsidP="00487D2E">
            <w:pPr>
              <w:spacing w:after="200" w:line="360" w:lineRule="auto"/>
            </w:pPr>
            <w:r w:rsidRPr="00C75A7E">
              <w:t xml:space="preserve">BMI 1 </w:t>
            </w:r>
            <w:r w:rsidRPr="00C75A7E">
              <w:rPr>
                <w:color w:val="000000"/>
                <w:lang w:val="en-GB"/>
              </w:rPr>
              <w:t>¶</w:t>
            </w:r>
          </w:p>
        </w:tc>
        <w:tc>
          <w:tcPr>
            <w:tcW w:w="2576" w:type="dxa"/>
            <w:tcBorders>
              <w:top w:val="nil"/>
              <w:bottom w:val="nil"/>
            </w:tcBorders>
          </w:tcPr>
          <w:p w14:paraId="236CBA41" w14:textId="09E85EEA" w:rsidR="00942CA3" w:rsidRPr="00C75A7E" w:rsidRDefault="00D05821" w:rsidP="00487D2E">
            <w:pPr>
              <w:spacing w:after="200" w:line="360" w:lineRule="auto"/>
              <w:jc w:val="right"/>
            </w:pPr>
            <w:r>
              <w:t>1.8</w:t>
            </w:r>
            <w:r w:rsidR="00FF73C7">
              <w:t>7</w:t>
            </w:r>
            <w:r w:rsidR="007D7B2D">
              <w:t xml:space="preserve"> (1.</w:t>
            </w:r>
            <w:r w:rsidR="00FF73C7">
              <w:t>30</w:t>
            </w:r>
            <w:r w:rsidR="007D7B2D">
              <w:t>, 2.6</w:t>
            </w:r>
            <w:r w:rsidR="009C5826">
              <w:t>9</w:t>
            </w:r>
            <w:r w:rsidR="00942CA3" w:rsidRPr="00C75A7E">
              <w:t>)</w:t>
            </w:r>
          </w:p>
        </w:tc>
        <w:tc>
          <w:tcPr>
            <w:tcW w:w="1417" w:type="dxa"/>
            <w:tcBorders>
              <w:top w:val="nil"/>
              <w:bottom w:val="nil"/>
            </w:tcBorders>
            <w:noWrap/>
          </w:tcPr>
          <w:p w14:paraId="1D320CC2" w14:textId="28B6AAD6" w:rsidR="00942CA3" w:rsidRPr="00C75A7E" w:rsidRDefault="00F335B4" w:rsidP="00487D2E">
            <w:pPr>
              <w:spacing w:after="200" w:line="360" w:lineRule="auto"/>
              <w:jc w:val="right"/>
            </w:pPr>
            <w:r>
              <w:t>&lt;</w:t>
            </w:r>
            <w:r w:rsidR="00C45388">
              <w:t>0.001</w:t>
            </w:r>
          </w:p>
        </w:tc>
      </w:tr>
      <w:tr w:rsidR="00942CA3" w:rsidRPr="00C75A7E" w14:paraId="0B1777B2" w14:textId="77777777" w:rsidTr="009434C2">
        <w:trPr>
          <w:trHeight w:val="300"/>
          <w:jc w:val="center"/>
        </w:trPr>
        <w:tc>
          <w:tcPr>
            <w:tcW w:w="3699" w:type="dxa"/>
            <w:tcBorders>
              <w:top w:val="nil"/>
              <w:bottom w:val="nil"/>
            </w:tcBorders>
            <w:noWrap/>
          </w:tcPr>
          <w:p w14:paraId="010550D5" w14:textId="77777777" w:rsidR="00942CA3" w:rsidRPr="00C75A7E" w:rsidRDefault="00942CA3" w:rsidP="00487D2E">
            <w:pPr>
              <w:spacing w:after="200" w:line="360" w:lineRule="auto"/>
            </w:pPr>
            <w:r w:rsidRPr="00C75A7E">
              <w:t xml:space="preserve">BMI 2 </w:t>
            </w:r>
            <w:r w:rsidRPr="00C75A7E">
              <w:rPr>
                <w:color w:val="000000"/>
                <w:lang w:val="en-GB"/>
              </w:rPr>
              <w:t>¶</w:t>
            </w:r>
          </w:p>
        </w:tc>
        <w:tc>
          <w:tcPr>
            <w:tcW w:w="2576" w:type="dxa"/>
            <w:tcBorders>
              <w:top w:val="nil"/>
              <w:bottom w:val="nil"/>
            </w:tcBorders>
          </w:tcPr>
          <w:p w14:paraId="43FAAD35" w14:textId="0A1BA0B4" w:rsidR="00942CA3" w:rsidRPr="00C75A7E" w:rsidRDefault="00D05821" w:rsidP="00487D2E">
            <w:pPr>
              <w:spacing w:after="200" w:line="360" w:lineRule="auto"/>
              <w:jc w:val="right"/>
            </w:pPr>
            <w:r>
              <w:t>0.1</w:t>
            </w:r>
            <w:r w:rsidR="00FF73C7">
              <w:t>7</w:t>
            </w:r>
            <w:r w:rsidR="007D7B2D">
              <w:t xml:space="preserve"> (0.05, 0.6</w:t>
            </w:r>
            <w:r w:rsidR="009C5826">
              <w:t>1</w:t>
            </w:r>
            <w:r w:rsidR="00942CA3" w:rsidRPr="00C75A7E">
              <w:t>)</w:t>
            </w:r>
          </w:p>
        </w:tc>
        <w:tc>
          <w:tcPr>
            <w:tcW w:w="1417" w:type="dxa"/>
            <w:tcBorders>
              <w:top w:val="nil"/>
              <w:bottom w:val="nil"/>
            </w:tcBorders>
            <w:noWrap/>
          </w:tcPr>
          <w:p w14:paraId="02D39C15" w14:textId="60F0D974" w:rsidR="00942CA3" w:rsidRPr="00C75A7E" w:rsidRDefault="00C45388" w:rsidP="00487D2E">
            <w:pPr>
              <w:spacing w:after="200" w:line="360" w:lineRule="auto"/>
              <w:jc w:val="right"/>
            </w:pPr>
            <w:r>
              <w:t>0.00</w:t>
            </w:r>
            <w:r w:rsidR="00F335B4">
              <w:t>6</w:t>
            </w:r>
          </w:p>
        </w:tc>
      </w:tr>
      <w:tr w:rsidR="00942CA3" w:rsidRPr="00C75A7E" w14:paraId="6C27CADF" w14:textId="77777777" w:rsidTr="009434C2">
        <w:trPr>
          <w:trHeight w:val="300"/>
          <w:jc w:val="center"/>
        </w:trPr>
        <w:tc>
          <w:tcPr>
            <w:tcW w:w="3699" w:type="dxa"/>
            <w:tcBorders>
              <w:top w:val="nil"/>
              <w:bottom w:val="nil"/>
            </w:tcBorders>
            <w:noWrap/>
          </w:tcPr>
          <w:p w14:paraId="1E57A5A2" w14:textId="77777777" w:rsidR="00942CA3" w:rsidRPr="00C75A7E" w:rsidRDefault="00942CA3" w:rsidP="00487D2E">
            <w:pPr>
              <w:spacing w:after="200" w:line="360" w:lineRule="auto"/>
            </w:pPr>
            <w:r w:rsidRPr="00C75A7E">
              <w:t>Female</w:t>
            </w:r>
          </w:p>
        </w:tc>
        <w:tc>
          <w:tcPr>
            <w:tcW w:w="2576" w:type="dxa"/>
            <w:tcBorders>
              <w:top w:val="nil"/>
              <w:bottom w:val="nil"/>
            </w:tcBorders>
          </w:tcPr>
          <w:p w14:paraId="237A0AA4" w14:textId="47FCCACF" w:rsidR="00942CA3" w:rsidRPr="00C75A7E" w:rsidRDefault="00D05821" w:rsidP="00487D2E">
            <w:pPr>
              <w:spacing w:after="200" w:line="360" w:lineRule="auto"/>
              <w:jc w:val="right"/>
            </w:pPr>
            <w:r>
              <w:t>0.68</w:t>
            </w:r>
            <w:r w:rsidR="007D7B2D">
              <w:t xml:space="preserve"> (0.5</w:t>
            </w:r>
            <w:r w:rsidR="00FF73C7">
              <w:t>0</w:t>
            </w:r>
            <w:r w:rsidR="007D7B2D">
              <w:t>, 0.9</w:t>
            </w:r>
            <w:r w:rsidR="009C5826">
              <w:t>1</w:t>
            </w:r>
            <w:r w:rsidR="00942CA3" w:rsidRPr="00C75A7E">
              <w:t>)</w:t>
            </w:r>
          </w:p>
        </w:tc>
        <w:tc>
          <w:tcPr>
            <w:tcW w:w="1417" w:type="dxa"/>
            <w:tcBorders>
              <w:top w:val="nil"/>
              <w:bottom w:val="nil"/>
            </w:tcBorders>
            <w:noWrap/>
          </w:tcPr>
          <w:p w14:paraId="1BF6F528" w14:textId="47FD4E00" w:rsidR="00942CA3" w:rsidRPr="00C75A7E" w:rsidRDefault="00C45388" w:rsidP="00487D2E">
            <w:pPr>
              <w:spacing w:after="200" w:line="360" w:lineRule="auto"/>
              <w:jc w:val="right"/>
            </w:pPr>
            <w:r>
              <w:t>0.0</w:t>
            </w:r>
            <w:r w:rsidR="00F335B4">
              <w:t>09</w:t>
            </w:r>
          </w:p>
        </w:tc>
      </w:tr>
      <w:tr w:rsidR="00942CA3" w:rsidRPr="00C75A7E" w14:paraId="5B88D331" w14:textId="77777777" w:rsidTr="009434C2">
        <w:trPr>
          <w:trHeight w:val="300"/>
          <w:jc w:val="center"/>
        </w:trPr>
        <w:tc>
          <w:tcPr>
            <w:tcW w:w="3699" w:type="dxa"/>
            <w:tcBorders>
              <w:top w:val="nil"/>
              <w:bottom w:val="nil"/>
            </w:tcBorders>
            <w:noWrap/>
          </w:tcPr>
          <w:p w14:paraId="4D9EAC35" w14:textId="77777777" w:rsidR="00942CA3" w:rsidRPr="00C75A7E" w:rsidRDefault="00942CA3" w:rsidP="00487D2E">
            <w:pPr>
              <w:spacing w:after="200" w:line="360" w:lineRule="auto"/>
            </w:pPr>
            <w:r w:rsidRPr="00C75A7E">
              <w:t>Preoperative AF</w:t>
            </w:r>
          </w:p>
        </w:tc>
        <w:tc>
          <w:tcPr>
            <w:tcW w:w="2576" w:type="dxa"/>
            <w:tcBorders>
              <w:top w:val="nil"/>
              <w:bottom w:val="nil"/>
            </w:tcBorders>
          </w:tcPr>
          <w:p w14:paraId="5B4151BB" w14:textId="66BF83DF" w:rsidR="00942CA3" w:rsidRPr="00C75A7E" w:rsidRDefault="00D05821" w:rsidP="00487D2E">
            <w:pPr>
              <w:spacing w:after="200" w:line="360" w:lineRule="auto"/>
              <w:jc w:val="right"/>
            </w:pPr>
            <w:r>
              <w:t>2.</w:t>
            </w:r>
            <w:r w:rsidR="00FF73C7">
              <w:t>20</w:t>
            </w:r>
            <w:r w:rsidR="007D7B2D">
              <w:t xml:space="preserve"> (1.3</w:t>
            </w:r>
            <w:r w:rsidR="006D6622">
              <w:t>2</w:t>
            </w:r>
            <w:r w:rsidR="007D7B2D">
              <w:t>, 3.6</w:t>
            </w:r>
            <w:r w:rsidR="009C5826">
              <w:t>6</w:t>
            </w:r>
            <w:r w:rsidR="00942CA3" w:rsidRPr="00C75A7E">
              <w:t>)</w:t>
            </w:r>
          </w:p>
        </w:tc>
        <w:tc>
          <w:tcPr>
            <w:tcW w:w="1417" w:type="dxa"/>
            <w:tcBorders>
              <w:top w:val="nil"/>
              <w:bottom w:val="nil"/>
            </w:tcBorders>
            <w:noWrap/>
          </w:tcPr>
          <w:p w14:paraId="73E96306" w14:textId="338D6163" w:rsidR="00942CA3" w:rsidRPr="00C75A7E" w:rsidRDefault="00C45388" w:rsidP="00487D2E">
            <w:pPr>
              <w:spacing w:after="200" w:line="360" w:lineRule="auto"/>
              <w:jc w:val="right"/>
            </w:pPr>
            <w:r>
              <w:t>0.003</w:t>
            </w:r>
          </w:p>
        </w:tc>
      </w:tr>
      <w:tr w:rsidR="00D05821" w:rsidRPr="00C75A7E" w14:paraId="3219780F" w14:textId="77777777" w:rsidTr="009434C2">
        <w:trPr>
          <w:trHeight w:val="300"/>
          <w:jc w:val="center"/>
        </w:trPr>
        <w:tc>
          <w:tcPr>
            <w:tcW w:w="3699" w:type="dxa"/>
            <w:tcBorders>
              <w:top w:val="nil"/>
              <w:bottom w:val="nil"/>
            </w:tcBorders>
            <w:noWrap/>
          </w:tcPr>
          <w:p w14:paraId="274C5A11" w14:textId="17B0B93F" w:rsidR="00D05821" w:rsidRPr="00C75A7E" w:rsidRDefault="00D05821" w:rsidP="00487D2E">
            <w:pPr>
              <w:spacing w:after="200" w:line="360" w:lineRule="auto"/>
            </w:pPr>
            <w:r>
              <w:t>Urgent</w:t>
            </w:r>
          </w:p>
        </w:tc>
        <w:tc>
          <w:tcPr>
            <w:tcW w:w="2576" w:type="dxa"/>
            <w:tcBorders>
              <w:top w:val="nil"/>
              <w:bottom w:val="nil"/>
            </w:tcBorders>
          </w:tcPr>
          <w:p w14:paraId="3727F45A" w14:textId="5C32F8B2" w:rsidR="00D05821" w:rsidRPr="00C75A7E" w:rsidRDefault="00D05821" w:rsidP="00487D2E">
            <w:pPr>
              <w:spacing w:after="200" w:line="360" w:lineRule="auto"/>
              <w:jc w:val="right"/>
            </w:pPr>
            <w:r>
              <w:t>1.27 (</w:t>
            </w:r>
            <w:r w:rsidR="007D7B2D">
              <w:t>0.9</w:t>
            </w:r>
            <w:r w:rsidR="006D6622">
              <w:t>5</w:t>
            </w:r>
            <w:r w:rsidR="007D7B2D">
              <w:t>, 1.70</w:t>
            </w:r>
            <w:r>
              <w:t>)</w:t>
            </w:r>
          </w:p>
        </w:tc>
        <w:tc>
          <w:tcPr>
            <w:tcW w:w="1417" w:type="dxa"/>
            <w:tcBorders>
              <w:top w:val="nil"/>
              <w:bottom w:val="nil"/>
            </w:tcBorders>
            <w:noWrap/>
          </w:tcPr>
          <w:p w14:paraId="12D5E0B0" w14:textId="2A7BBA14" w:rsidR="00D05821" w:rsidRPr="00C75A7E" w:rsidRDefault="00C45388" w:rsidP="00487D2E">
            <w:pPr>
              <w:spacing w:after="200" w:line="360" w:lineRule="auto"/>
              <w:jc w:val="right"/>
            </w:pPr>
            <w:r>
              <w:t>0.11</w:t>
            </w:r>
            <w:r w:rsidR="00F335B4">
              <w:t>2</w:t>
            </w:r>
          </w:p>
        </w:tc>
      </w:tr>
      <w:tr w:rsidR="00942CA3" w:rsidRPr="00C75A7E" w14:paraId="773D5FB9" w14:textId="77777777" w:rsidTr="009434C2">
        <w:trPr>
          <w:trHeight w:val="300"/>
          <w:jc w:val="center"/>
        </w:trPr>
        <w:tc>
          <w:tcPr>
            <w:tcW w:w="3699" w:type="dxa"/>
            <w:tcBorders>
              <w:top w:val="nil"/>
              <w:bottom w:val="nil"/>
            </w:tcBorders>
            <w:noWrap/>
          </w:tcPr>
          <w:p w14:paraId="2B1ADBF0" w14:textId="77777777" w:rsidR="00942CA3" w:rsidRPr="00C75A7E" w:rsidRDefault="00942CA3" w:rsidP="00487D2E">
            <w:pPr>
              <w:spacing w:after="200" w:line="360" w:lineRule="auto"/>
            </w:pPr>
            <w:r w:rsidRPr="00C75A7E">
              <w:t>NYHA III/IV</w:t>
            </w:r>
          </w:p>
        </w:tc>
        <w:tc>
          <w:tcPr>
            <w:tcW w:w="2576" w:type="dxa"/>
            <w:tcBorders>
              <w:top w:val="nil"/>
              <w:bottom w:val="nil"/>
            </w:tcBorders>
          </w:tcPr>
          <w:p w14:paraId="4074578F" w14:textId="416074EC" w:rsidR="00942CA3" w:rsidRPr="00C75A7E" w:rsidRDefault="007D7B2D" w:rsidP="00487D2E">
            <w:pPr>
              <w:spacing w:after="200" w:line="360" w:lineRule="auto"/>
              <w:jc w:val="right"/>
            </w:pPr>
            <w:r>
              <w:t>1.5</w:t>
            </w:r>
            <w:r w:rsidR="00FF73C7">
              <w:t>5</w:t>
            </w:r>
            <w:r>
              <w:t xml:space="preserve"> (1.18, 2.0</w:t>
            </w:r>
            <w:r w:rsidR="009C5826">
              <w:t>4</w:t>
            </w:r>
            <w:r w:rsidR="00942CA3" w:rsidRPr="00C75A7E">
              <w:t>)</w:t>
            </w:r>
          </w:p>
        </w:tc>
        <w:tc>
          <w:tcPr>
            <w:tcW w:w="1417" w:type="dxa"/>
            <w:tcBorders>
              <w:top w:val="nil"/>
              <w:bottom w:val="nil"/>
            </w:tcBorders>
            <w:noWrap/>
          </w:tcPr>
          <w:p w14:paraId="4A4FECD4" w14:textId="65C3300C" w:rsidR="00942CA3" w:rsidRPr="00C75A7E" w:rsidRDefault="00C45388" w:rsidP="00487D2E">
            <w:pPr>
              <w:spacing w:after="200" w:line="360" w:lineRule="auto"/>
              <w:jc w:val="right"/>
            </w:pPr>
            <w:r>
              <w:t>0.002</w:t>
            </w:r>
          </w:p>
        </w:tc>
      </w:tr>
      <w:tr w:rsidR="00942CA3" w:rsidRPr="00C75A7E" w14:paraId="16F6B15E" w14:textId="77777777" w:rsidTr="009434C2">
        <w:trPr>
          <w:trHeight w:val="300"/>
          <w:jc w:val="center"/>
        </w:trPr>
        <w:tc>
          <w:tcPr>
            <w:tcW w:w="3699" w:type="dxa"/>
            <w:tcBorders>
              <w:top w:val="nil"/>
              <w:bottom w:val="nil"/>
            </w:tcBorders>
            <w:noWrap/>
          </w:tcPr>
          <w:p w14:paraId="088E2CD4" w14:textId="77777777" w:rsidR="00942CA3" w:rsidRPr="00C75A7E" w:rsidRDefault="00942CA3" w:rsidP="00487D2E">
            <w:pPr>
              <w:spacing w:after="200" w:line="360" w:lineRule="auto"/>
            </w:pPr>
            <w:r w:rsidRPr="00C75A7E">
              <w:t>History of neurological dysfunction</w:t>
            </w:r>
          </w:p>
        </w:tc>
        <w:tc>
          <w:tcPr>
            <w:tcW w:w="2576" w:type="dxa"/>
            <w:tcBorders>
              <w:top w:val="nil"/>
              <w:bottom w:val="nil"/>
            </w:tcBorders>
          </w:tcPr>
          <w:p w14:paraId="515A74CA" w14:textId="09E29C01" w:rsidR="00942CA3" w:rsidRPr="00C75A7E" w:rsidRDefault="00C45388" w:rsidP="00487D2E">
            <w:pPr>
              <w:spacing w:after="200" w:line="360" w:lineRule="auto"/>
              <w:jc w:val="right"/>
            </w:pPr>
            <w:r>
              <w:t>2.</w:t>
            </w:r>
            <w:r w:rsidR="00FF73C7">
              <w:t>33</w:t>
            </w:r>
            <w:r w:rsidR="007D7B2D">
              <w:t xml:space="preserve"> (1.2</w:t>
            </w:r>
            <w:r w:rsidR="006D6622">
              <w:t>0</w:t>
            </w:r>
            <w:r w:rsidR="007D7B2D">
              <w:t>, 4.</w:t>
            </w:r>
            <w:r w:rsidR="009C5826">
              <w:t>52</w:t>
            </w:r>
            <w:r w:rsidR="00942CA3" w:rsidRPr="00C75A7E">
              <w:t>)</w:t>
            </w:r>
          </w:p>
        </w:tc>
        <w:tc>
          <w:tcPr>
            <w:tcW w:w="1417" w:type="dxa"/>
            <w:tcBorders>
              <w:top w:val="nil"/>
              <w:bottom w:val="nil"/>
            </w:tcBorders>
            <w:noWrap/>
          </w:tcPr>
          <w:p w14:paraId="163F56EE" w14:textId="55878BAF" w:rsidR="00942CA3" w:rsidRPr="00C75A7E" w:rsidRDefault="00C45388" w:rsidP="00487D2E">
            <w:pPr>
              <w:spacing w:after="200" w:line="360" w:lineRule="auto"/>
              <w:jc w:val="right"/>
            </w:pPr>
            <w:r>
              <w:t>0.0</w:t>
            </w:r>
            <w:r w:rsidR="00F335B4">
              <w:t>14</w:t>
            </w:r>
          </w:p>
        </w:tc>
      </w:tr>
      <w:tr w:rsidR="00942CA3" w:rsidRPr="00C75A7E" w14:paraId="7617C92A" w14:textId="77777777" w:rsidTr="009434C2">
        <w:trPr>
          <w:trHeight w:val="300"/>
          <w:jc w:val="center"/>
        </w:trPr>
        <w:tc>
          <w:tcPr>
            <w:tcW w:w="3699" w:type="dxa"/>
            <w:tcBorders>
              <w:top w:val="nil"/>
              <w:bottom w:val="nil"/>
            </w:tcBorders>
            <w:noWrap/>
          </w:tcPr>
          <w:p w14:paraId="10FF32E0" w14:textId="77777777" w:rsidR="00942CA3" w:rsidRPr="00C75A7E" w:rsidRDefault="00942CA3" w:rsidP="00487D2E">
            <w:pPr>
              <w:spacing w:after="200" w:line="360" w:lineRule="auto"/>
            </w:pPr>
            <w:r w:rsidRPr="00C75A7E">
              <w:t>Diabetes (insulin or diet controlled)</w:t>
            </w:r>
          </w:p>
        </w:tc>
        <w:tc>
          <w:tcPr>
            <w:tcW w:w="2576" w:type="dxa"/>
            <w:tcBorders>
              <w:top w:val="nil"/>
              <w:bottom w:val="nil"/>
            </w:tcBorders>
          </w:tcPr>
          <w:p w14:paraId="294F790B" w14:textId="47D8409D" w:rsidR="00942CA3" w:rsidRPr="00C75A7E" w:rsidRDefault="007D7B2D" w:rsidP="00487D2E">
            <w:pPr>
              <w:spacing w:after="200" w:line="360" w:lineRule="auto"/>
              <w:jc w:val="right"/>
            </w:pPr>
            <w:r>
              <w:t>1.6</w:t>
            </w:r>
            <w:r w:rsidR="00FF73C7">
              <w:t>7</w:t>
            </w:r>
            <w:r>
              <w:t xml:space="preserve"> (1.2</w:t>
            </w:r>
            <w:r w:rsidR="006D6622">
              <w:t>5</w:t>
            </w:r>
            <w:r>
              <w:t>, 2.2</w:t>
            </w:r>
            <w:r w:rsidR="009C5826">
              <w:t>3</w:t>
            </w:r>
            <w:r w:rsidR="00942CA3" w:rsidRPr="00C75A7E">
              <w:t>)</w:t>
            </w:r>
          </w:p>
        </w:tc>
        <w:tc>
          <w:tcPr>
            <w:tcW w:w="1417" w:type="dxa"/>
            <w:tcBorders>
              <w:top w:val="nil"/>
              <w:bottom w:val="nil"/>
            </w:tcBorders>
            <w:noWrap/>
          </w:tcPr>
          <w:p w14:paraId="68E36147" w14:textId="77777777" w:rsidR="00942CA3" w:rsidRPr="00C75A7E" w:rsidRDefault="00942CA3" w:rsidP="00487D2E">
            <w:pPr>
              <w:spacing w:after="200" w:line="360" w:lineRule="auto"/>
              <w:jc w:val="right"/>
            </w:pPr>
            <w:r w:rsidRPr="00C75A7E">
              <w:t>&lt;0.001</w:t>
            </w:r>
          </w:p>
        </w:tc>
      </w:tr>
      <w:tr w:rsidR="00942CA3" w:rsidRPr="00C75A7E" w14:paraId="70EE108A" w14:textId="77777777" w:rsidTr="009434C2">
        <w:trPr>
          <w:trHeight w:val="300"/>
          <w:jc w:val="center"/>
        </w:trPr>
        <w:tc>
          <w:tcPr>
            <w:tcW w:w="3699" w:type="dxa"/>
            <w:tcBorders>
              <w:top w:val="nil"/>
              <w:bottom w:val="nil"/>
            </w:tcBorders>
            <w:noWrap/>
          </w:tcPr>
          <w:p w14:paraId="098D5170" w14:textId="77777777" w:rsidR="00942CA3" w:rsidRPr="00C75A7E" w:rsidRDefault="00942CA3" w:rsidP="00487D2E">
            <w:pPr>
              <w:spacing w:after="200" w:line="360" w:lineRule="auto"/>
            </w:pPr>
            <w:r w:rsidRPr="00C75A7E">
              <w:t>Serum creatinine &gt;200μmol/l</w:t>
            </w:r>
          </w:p>
        </w:tc>
        <w:tc>
          <w:tcPr>
            <w:tcW w:w="2576" w:type="dxa"/>
            <w:tcBorders>
              <w:top w:val="nil"/>
              <w:bottom w:val="nil"/>
            </w:tcBorders>
          </w:tcPr>
          <w:p w14:paraId="0D79EEDC" w14:textId="7FD35649" w:rsidR="00942CA3" w:rsidRPr="00C75A7E" w:rsidRDefault="007D7B2D" w:rsidP="00487D2E">
            <w:pPr>
              <w:spacing w:after="200" w:line="360" w:lineRule="auto"/>
              <w:jc w:val="right"/>
            </w:pPr>
            <w:r>
              <w:t>6.</w:t>
            </w:r>
            <w:r w:rsidR="00FF73C7">
              <w:t>58</w:t>
            </w:r>
            <w:r>
              <w:t xml:space="preserve"> (3.</w:t>
            </w:r>
            <w:r w:rsidR="006D6622">
              <w:t>49</w:t>
            </w:r>
            <w:r>
              <w:t xml:space="preserve">, </w:t>
            </w:r>
            <w:r w:rsidR="009C5826">
              <w:t>12.40</w:t>
            </w:r>
            <w:r w:rsidR="00942CA3" w:rsidRPr="00C75A7E">
              <w:t>)</w:t>
            </w:r>
          </w:p>
        </w:tc>
        <w:tc>
          <w:tcPr>
            <w:tcW w:w="1417" w:type="dxa"/>
            <w:tcBorders>
              <w:top w:val="nil"/>
              <w:bottom w:val="nil"/>
            </w:tcBorders>
            <w:noWrap/>
          </w:tcPr>
          <w:p w14:paraId="19CD381B" w14:textId="77777777" w:rsidR="00942CA3" w:rsidRPr="00C75A7E" w:rsidRDefault="00942CA3" w:rsidP="00487D2E">
            <w:pPr>
              <w:spacing w:after="200" w:line="360" w:lineRule="auto"/>
              <w:jc w:val="right"/>
            </w:pPr>
            <w:r w:rsidRPr="00C75A7E">
              <w:t>&lt;0.001</w:t>
            </w:r>
          </w:p>
        </w:tc>
      </w:tr>
      <w:tr w:rsidR="00942CA3" w:rsidRPr="00C75A7E" w14:paraId="2F2AD8F5" w14:textId="77777777" w:rsidTr="009434C2">
        <w:trPr>
          <w:trHeight w:val="300"/>
          <w:jc w:val="center"/>
        </w:trPr>
        <w:tc>
          <w:tcPr>
            <w:tcW w:w="3699" w:type="dxa"/>
            <w:tcBorders>
              <w:top w:val="nil"/>
              <w:bottom w:val="nil"/>
            </w:tcBorders>
            <w:noWrap/>
          </w:tcPr>
          <w:p w14:paraId="77FD68D4" w14:textId="77777777" w:rsidR="00942CA3" w:rsidRPr="00C75A7E" w:rsidRDefault="00942CA3" w:rsidP="00487D2E">
            <w:pPr>
              <w:spacing w:after="200" w:line="360" w:lineRule="auto"/>
            </w:pPr>
            <w:r w:rsidRPr="00C75A7E">
              <w:t>History of pulmonary disease</w:t>
            </w:r>
          </w:p>
        </w:tc>
        <w:tc>
          <w:tcPr>
            <w:tcW w:w="2576" w:type="dxa"/>
            <w:tcBorders>
              <w:top w:val="nil"/>
              <w:bottom w:val="nil"/>
            </w:tcBorders>
          </w:tcPr>
          <w:p w14:paraId="4FAB8008" w14:textId="563D637B" w:rsidR="00942CA3" w:rsidRPr="00C75A7E" w:rsidRDefault="007D7B2D" w:rsidP="00487D2E">
            <w:pPr>
              <w:spacing w:after="200" w:line="360" w:lineRule="auto"/>
              <w:jc w:val="right"/>
            </w:pPr>
            <w:r>
              <w:t>1.4</w:t>
            </w:r>
            <w:r w:rsidR="00FF73C7">
              <w:t>0</w:t>
            </w:r>
            <w:r>
              <w:t xml:space="preserve"> (1.0</w:t>
            </w:r>
            <w:r w:rsidR="006D6622">
              <w:t>0</w:t>
            </w:r>
            <w:r>
              <w:t>, 1.9</w:t>
            </w:r>
            <w:r w:rsidR="009C5826">
              <w:t>6</w:t>
            </w:r>
            <w:r w:rsidR="00942CA3" w:rsidRPr="00C75A7E">
              <w:t>)</w:t>
            </w:r>
          </w:p>
        </w:tc>
        <w:tc>
          <w:tcPr>
            <w:tcW w:w="1417" w:type="dxa"/>
            <w:tcBorders>
              <w:top w:val="nil"/>
              <w:bottom w:val="nil"/>
            </w:tcBorders>
            <w:noWrap/>
          </w:tcPr>
          <w:p w14:paraId="015B85DB" w14:textId="0C1E3749" w:rsidR="00942CA3" w:rsidRPr="00C75A7E" w:rsidRDefault="00C45388" w:rsidP="00487D2E">
            <w:pPr>
              <w:spacing w:after="200" w:line="360" w:lineRule="auto"/>
              <w:jc w:val="right"/>
            </w:pPr>
            <w:r>
              <w:t>0.0</w:t>
            </w:r>
            <w:r w:rsidR="00F335B4">
              <w:t>5</w:t>
            </w:r>
            <w:r>
              <w:t>3</w:t>
            </w:r>
          </w:p>
        </w:tc>
      </w:tr>
      <w:tr w:rsidR="00942CA3" w:rsidRPr="00C75A7E" w14:paraId="1DC3F8A8" w14:textId="77777777" w:rsidTr="009434C2">
        <w:trPr>
          <w:trHeight w:val="300"/>
          <w:jc w:val="center"/>
        </w:trPr>
        <w:tc>
          <w:tcPr>
            <w:tcW w:w="3699" w:type="dxa"/>
            <w:tcBorders>
              <w:top w:val="nil"/>
              <w:bottom w:val="nil"/>
            </w:tcBorders>
            <w:noWrap/>
          </w:tcPr>
          <w:p w14:paraId="19D203E7" w14:textId="77777777" w:rsidR="00942CA3" w:rsidRPr="00C75A7E" w:rsidRDefault="00942CA3" w:rsidP="00487D2E">
            <w:pPr>
              <w:spacing w:after="200" w:line="360" w:lineRule="auto"/>
            </w:pPr>
            <w:r w:rsidRPr="00C75A7E">
              <w:t>Extracardiac arteriopathy</w:t>
            </w:r>
          </w:p>
        </w:tc>
        <w:tc>
          <w:tcPr>
            <w:tcW w:w="2576" w:type="dxa"/>
            <w:tcBorders>
              <w:top w:val="nil"/>
              <w:bottom w:val="nil"/>
            </w:tcBorders>
          </w:tcPr>
          <w:p w14:paraId="28EC6C2E" w14:textId="6D0CB2FC" w:rsidR="00942CA3" w:rsidRPr="00C75A7E" w:rsidRDefault="007D7B2D" w:rsidP="00487D2E">
            <w:pPr>
              <w:spacing w:after="200" w:line="360" w:lineRule="auto"/>
              <w:jc w:val="right"/>
            </w:pPr>
            <w:r>
              <w:t>1.0</w:t>
            </w:r>
            <w:r w:rsidR="00FF73C7">
              <w:t>3</w:t>
            </w:r>
            <w:r>
              <w:t xml:space="preserve"> (0.6</w:t>
            </w:r>
            <w:r w:rsidR="006D6622">
              <w:t>8</w:t>
            </w:r>
            <w:r>
              <w:t>, 1.</w:t>
            </w:r>
            <w:r w:rsidR="00942CA3" w:rsidRPr="00C75A7E">
              <w:t>5</w:t>
            </w:r>
            <w:r w:rsidR="009C5826">
              <w:t>5</w:t>
            </w:r>
            <w:r w:rsidR="00942CA3" w:rsidRPr="00C75A7E">
              <w:t>)</w:t>
            </w:r>
          </w:p>
        </w:tc>
        <w:tc>
          <w:tcPr>
            <w:tcW w:w="1417" w:type="dxa"/>
            <w:tcBorders>
              <w:top w:val="nil"/>
              <w:bottom w:val="nil"/>
            </w:tcBorders>
            <w:noWrap/>
          </w:tcPr>
          <w:p w14:paraId="10FEE5D6" w14:textId="1B3B6A61" w:rsidR="00942CA3" w:rsidRPr="00C75A7E" w:rsidRDefault="00C45388" w:rsidP="00487D2E">
            <w:pPr>
              <w:spacing w:after="200" w:line="360" w:lineRule="auto"/>
              <w:jc w:val="right"/>
            </w:pPr>
            <w:r>
              <w:t>0.</w:t>
            </w:r>
            <w:r w:rsidR="00F335B4">
              <w:t>894</w:t>
            </w:r>
          </w:p>
        </w:tc>
      </w:tr>
      <w:tr w:rsidR="00FF73C7" w:rsidRPr="00C75A7E" w14:paraId="7C197B20" w14:textId="77777777" w:rsidTr="009434C2">
        <w:trPr>
          <w:trHeight w:val="300"/>
          <w:jc w:val="center"/>
        </w:trPr>
        <w:tc>
          <w:tcPr>
            <w:tcW w:w="3699" w:type="dxa"/>
            <w:tcBorders>
              <w:top w:val="nil"/>
            </w:tcBorders>
            <w:noWrap/>
          </w:tcPr>
          <w:p w14:paraId="78CBF242" w14:textId="78956BFD" w:rsidR="00FF73C7" w:rsidRPr="00C75A7E" w:rsidRDefault="00FF73C7" w:rsidP="00487D2E">
            <w:pPr>
              <w:spacing w:after="200" w:line="360" w:lineRule="auto"/>
            </w:pPr>
            <w:r>
              <w:t>Previous PCI</w:t>
            </w:r>
          </w:p>
        </w:tc>
        <w:tc>
          <w:tcPr>
            <w:tcW w:w="2576" w:type="dxa"/>
            <w:tcBorders>
              <w:top w:val="nil"/>
            </w:tcBorders>
          </w:tcPr>
          <w:p w14:paraId="4319C5DD" w14:textId="3A3F758C" w:rsidR="00FF73C7" w:rsidRPr="00C75A7E" w:rsidRDefault="00FF73C7" w:rsidP="00487D2E">
            <w:pPr>
              <w:spacing w:after="200" w:line="360" w:lineRule="auto"/>
              <w:jc w:val="right"/>
            </w:pPr>
            <w:r>
              <w:t>1.35</w:t>
            </w:r>
            <w:r w:rsidR="006D6622">
              <w:t xml:space="preserve"> (1.02, </w:t>
            </w:r>
            <w:r w:rsidR="009C5826">
              <w:t>1.80</w:t>
            </w:r>
            <w:r w:rsidR="006D6622">
              <w:t>)</w:t>
            </w:r>
          </w:p>
        </w:tc>
        <w:tc>
          <w:tcPr>
            <w:tcW w:w="1417" w:type="dxa"/>
            <w:tcBorders>
              <w:top w:val="nil"/>
            </w:tcBorders>
            <w:noWrap/>
          </w:tcPr>
          <w:p w14:paraId="4EC87ABD" w14:textId="19B47CC4" w:rsidR="00FF73C7" w:rsidRPr="00C75A7E" w:rsidRDefault="00F335B4" w:rsidP="00487D2E">
            <w:pPr>
              <w:spacing w:after="200" w:line="360" w:lineRule="auto"/>
              <w:jc w:val="right"/>
            </w:pPr>
            <w:r>
              <w:t>0.034</w:t>
            </w:r>
          </w:p>
        </w:tc>
      </w:tr>
      <w:tr w:rsidR="00942CA3" w:rsidRPr="00C75A7E" w14:paraId="3FCC48EA" w14:textId="77777777" w:rsidTr="009434C2">
        <w:trPr>
          <w:trHeight w:val="300"/>
          <w:jc w:val="center"/>
        </w:trPr>
        <w:tc>
          <w:tcPr>
            <w:tcW w:w="3699" w:type="dxa"/>
            <w:tcBorders>
              <w:top w:val="nil"/>
            </w:tcBorders>
            <w:noWrap/>
          </w:tcPr>
          <w:p w14:paraId="0226FFD1" w14:textId="77777777" w:rsidR="00942CA3" w:rsidRPr="00C75A7E" w:rsidRDefault="00942CA3" w:rsidP="00487D2E">
            <w:pPr>
              <w:spacing w:after="200" w:line="360" w:lineRule="auto"/>
            </w:pPr>
            <w:r w:rsidRPr="00C75A7E">
              <w:t>Left ventricular function</w:t>
            </w:r>
          </w:p>
        </w:tc>
        <w:tc>
          <w:tcPr>
            <w:tcW w:w="2576" w:type="dxa"/>
            <w:tcBorders>
              <w:top w:val="nil"/>
            </w:tcBorders>
          </w:tcPr>
          <w:p w14:paraId="2D30A84A" w14:textId="77777777" w:rsidR="00942CA3" w:rsidRPr="00C75A7E" w:rsidRDefault="00942CA3" w:rsidP="00487D2E">
            <w:pPr>
              <w:spacing w:after="200" w:line="360" w:lineRule="auto"/>
              <w:jc w:val="right"/>
            </w:pPr>
          </w:p>
        </w:tc>
        <w:tc>
          <w:tcPr>
            <w:tcW w:w="1417" w:type="dxa"/>
            <w:tcBorders>
              <w:top w:val="nil"/>
            </w:tcBorders>
            <w:noWrap/>
          </w:tcPr>
          <w:p w14:paraId="3EB4F949" w14:textId="77777777" w:rsidR="00942CA3" w:rsidRPr="00C75A7E" w:rsidRDefault="00942CA3" w:rsidP="00487D2E">
            <w:pPr>
              <w:spacing w:after="200" w:line="360" w:lineRule="auto"/>
              <w:jc w:val="right"/>
            </w:pPr>
          </w:p>
        </w:tc>
      </w:tr>
      <w:tr w:rsidR="00942CA3" w:rsidRPr="00C75A7E" w14:paraId="2BD37875" w14:textId="77777777" w:rsidTr="0061679E">
        <w:trPr>
          <w:trHeight w:val="300"/>
          <w:jc w:val="center"/>
        </w:trPr>
        <w:tc>
          <w:tcPr>
            <w:tcW w:w="3699" w:type="dxa"/>
            <w:noWrap/>
          </w:tcPr>
          <w:p w14:paraId="1B15FDA5" w14:textId="77777777" w:rsidR="00942CA3" w:rsidRPr="00C75A7E" w:rsidRDefault="00942CA3" w:rsidP="00487D2E">
            <w:pPr>
              <w:spacing w:after="200" w:line="360" w:lineRule="auto"/>
            </w:pPr>
            <w:r w:rsidRPr="00C75A7E">
              <w:lastRenderedPageBreak/>
              <w:t xml:space="preserve">    Fair (LVEF 30-50%)</w:t>
            </w:r>
          </w:p>
        </w:tc>
        <w:tc>
          <w:tcPr>
            <w:tcW w:w="2576" w:type="dxa"/>
          </w:tcPr>
          <w:p w14:paraId="35B0651B" w14:textId="09771B03" w:rsidR="00942CA3" w:rsidRPr="00C75A7E" w:rsidRDefault="007D7B2D" w:rsidP="00487D2E">
            <w:pPr>
              <w:spacing w:after="200" w:line="360" w:lineRule="auto"/>
              <w:jc w:val="right"/>
            </w:pPr>
            <w:r>
              <w:t>1.4</w:t>
            </w:r>
            <w:r w:rsidR="00FF73C7">
              <w:t>4</w:t>
            </w:r>
            <w:r>
              <w:t xml:space="preserve"> (1.0</w:t>
            </w:r>
            <w:r w:rsidR="006D6622">
              <w:t>2</w:t>
            </w:r>
            <w:r>
              <w:t>, 2.0</w:t>
            </w:r>
            <w:r w:rsidR="009C5826">
              <w:t>2</w:t>
            </w:r>
            <w:r w:rsidR="00942CA3" w:rsidRPr="00C75A7E">
              <w:t>)</w:t>
            </w:r>
          </w:p>
        </w:tc>
        <w:tc>
          <w:tcPr>
            <w:tcW w:w="1417" w:type="dxa"/>
            <w:noWrap/>
          </w:tcPr>
          <w:p w14:paraId="4B237F32" w14:textId="3953ED40" w:rsidR="00942CA3" w:rsidRPr="00C75A7E" w:rsidRDefault="00C45388" w:rsidP="00487D2E">
            <w:pPr>
              <w:spacing w:after="200" w:line="360" w:lineRule="auto"/>
              <w:jc w:val="right"/>
            </w:pPr>
            <w:r>
              <w:t>0.0</w:t>
            </w:r>
            <w:r w:rsidR="00F335B4">
              <w:t>37</w:t>
            </w:r>
          </w:p>
        </w:tc>
      </w:tr>
      <w:tr w:rsidR="00942CA3" w:rsidRPr="00C75A7E" w14:paraId="15BC86F9" w14:textId="77777777" w:rsidTr="0061679E">
        <w:trPr>
          <w:trHeight w:val="300"/>
          <w:jc w:val="center"/>
        </w:trPr>
        <w:tc>
          <w:tcPr>
            <w:tcW w:w="3699" w:type="dxa"/>
            <w:tcBorders>
              <w:bottom w:val="single" w:sz="18" w:space="0" w:color="auto"/>
            </w:tcBorders>
            <w:noWrap/>
          </w:tcPr>
          <w:p w14:paraId="6AC0EB6E" w14:textId="77777777" w:rsidR="00942CA3" w:rsidRPr="00C75A7E" w:rsidRDefault="00942CA3" w:rsidP="00487D2E">
            <w:pPr>
              <w:spacing w:after="200" w:line="360" w:lineRule="auto"/>
            </w:pPr>
            <w:r w:rsidRPr="00C75A7E">
              <w:t xml:space="preserve">    Poor (LVEF &lt; 30%)</w:t>
            </w:r>
          </w:p>
        </w:tc>
        <w:tc>
          <w:tcPr>
            <w:tcW w:w="2576" w:type="dxa"/>
            <w:tcBorders>
              <w:bottom w:val="single" w:sz="18" w:space="0" w:color="auto"/>
            </w:tcBorders>
          </w:tcPr>
          <w:p w14:paraId="0614CD61" w14:textId="511688ED" w:rsidR="00942CA3" w:rsidRPr="00C75A7E" w:rsidRDefault="007D7B2D" w:rsidP="00487D2E">
            <w:pPr>
              <w:spacing w:after="200" w:line="360" w:lineRule="auto"/>
              <w:jc w:val="right"/>
            </w:pPr>
            <w:r>
              <w:t>2.6</w:t>
            </w:r>
            <w:r w:rsidR="00FF73C7">
              <w:t>8</w:t>
            </w:r>
            <w:r>
              <w:t xml:space="preserve"> (1.</w:t>
            </w:r>
            <w:r w:rsidR="006D6622">
              <w:t>31</w:t>
            </w:r>
            <w:r>
              <w:t>, 5.</w:t>
            </w:r>
            <w:r w:rsidR="009C5826">
              <w:t>48</w:t>
            </w:r>
            <w:r w:rsidR="00942CA3" w:rsidRPr="00C75A7E">
              <w:t>)</w:t>
            </w:r>
          </w:p>
        </w:tc>
        <w:tc>
          <w:tcPr>
            <w:tcW w:w="1417" w:type="dxa"/>
            <w:tcBorders>
              <w:bottom w:val="single" w:sz="18" w:space="0" w:color="auto"/>
            </w:tcBorders>
            <w:noWrap/>
          </w:tcPr>
          <w:p w14:paraId="6717C3B9" w14:textId="688FBF1E" w:rsidR="00942CA3" w:rsidRPr="00C75A7E" w:rsidRDefault="00C45388" w:rsidP="00487D2E">
            <w:pPr>
              <w:spacing w:after="200" w:line="360" w:lineRule="auto"/>
              <w:jc w:val="right"/>
            </w:pPr>
            <w:r>
              <w:t>0.00</w:t>
            </w:r>
            <w:r w:rsidR="00F335B4">
              <w:t>7</w:t>
            </w:r>
          </w:p>
        </w:tc>
      </w:tr>
    </w:tbl>
    <w:p w14:paraId="7C92AE1C" w14:textId="77777777" w:rsidR="00942CA3" w:rsidRPr="00C75A7E" w:rsidRDefault="00942CA3" w:rsidP="00487D2E">
      <w:pPr>
        <w:spacing w:after="200" w:line="360" w:lineRule="auto"/>
        <w:rPr>
          <w:b/>
          <w:color w:val="000000"/>
          <w:lang w:val="en-GB"/>
        </w:rPr>
      </w:pPr>
    </w:p>
    <w:p w14:paraId="222E5618" w14:textId="4EFB781C" w:rsidR="00942CA3" w:rsidRPr="00C75A7E" w:rsidRDefault="00942CA3" w:rsidP="00487D2E">
      <w:pPr>
        <w:spacing w:after="200" w:line="360" w:lineRule="auto"/>
        <w:rPr>
          <w:color w:val="000000"/>
          <w:lang w:val="en-GB"/>
        </w:rPr>
      </w:pPr>
      <w:r w:rsidRPr="00C75A7E">
        <w:rPr>
          <w:color w:val="000000"/>
          <w:lang w:val="en-GB"/>
        </w:rPr>
        <w:t xml:space="preserve">Abbreviations: HR – hazard ratio; CI – confidence interval; BMI – body mass index; MI – myocardial infraction; </w:t>
      </w:r>
      <w:r w:rsidR="004A5159">
        <w:rPr>
          <w:color w:val="000000"/>
          <w:lang w:val="en-GB"/>
        </w:rPr>
        <w:t xml:space="preserve">PCI – percutaneous coronary intervention; </w:t>
      </w:r>
      <w:r w:rsidRPr="00C75A7E">
        <w:rPr>
          <w:color w:val="000000"/>
          <w:lang w:val="en-GB"/>
        </w:rPr>
        <w:t>LVEF – left ventricular ejection fraction; IV – intravenous; CABG – coronary artery bypass graft; AF – atrial fibrillation; NYHA – New York Heart Association.</w:t>
      </w:r>
    </w:p>
    <w:p w14:paraId="66A99C2D" w14:textId="3B67800D" w:rsidR="00942CA3" w:rsidRPr="00C75A7E" w:rsidRDefault="007D7B2D" w:rsidP="00487D2E">
      <w:pPr>
        <w:spacing w:after="200" w:line="360" w:lineRule="auto"/>
        <w:rPr>
          <w:color w:val="000000"/>
          <w:lang w:val="en-GB"/>
        </w:rPr>
      </w:pPr>
      <w:r>
        <w:rPr>
          <w:color w:val="000000"/>
          <w:lang w:val="en-GB"/>
        </w:rPr>
        <w:t>(Age - 70</w:t>
      </w:r>
      <w:r w:rsidR="00942CA3" w:rsidRPr="00C75A7E">
        <w:rPr>
          <w:color w:val="000000"/>
          <w:lang w:val="en-GB"/>
        </w:rPr>
        <w:t>)</w:t>
      </w:r>
      <w:r w:rsidR="00942CA3" w:rsidRPr="00C75A7E">
        <w:rPr>
          <w:color w:val="000000"/>
          <w:vertAlign w:val="subscript"/>
          <w:lang w:val="en-GB"/>
        </w:rPr>
        <w:t>+</w:t>
      </w:r>
      <w:r w:rsidR="00942CA3" w:rsidRPr="00C75A7E">
        <w:rPr>
          <w:color w:val="000000"/>
          <w:lang w:val="en-GB"/>
        </w:rPr>
        <w:t xml:space="preserve"> denotes 1 year for every year aged </w:t>
      </w:r>
      <w:r w:rsidR="00942CA3" w:rsidRPr="00C75A7E">
        <w:rPr>
          <w:i/>
          <w:color w:val="000000"/>
          <w:lang w:val="en-GB"/>
        </w:rPr>
        <w:t>above</w:t>
      </w:r>
      <w:r>
        <w:rPr>
          <w:color w:val="000000"/>
          <w:lang w:val="en-GB"/>
        </w:rPr>
        <w:t xml:space="preserve"> 70</w:t>
      </w:r>
      <w:r w:rsidR="00942CA3" w:rsidRPr="00C75A7E">
        <w:rPr>
          <w:color w:val="000000"/>
          <w:lang w:val="en-GB"/>
        </w:rPr>
        <w:t xml:space="preserve"> years; e</w:t>
      </w:r>
      <w:r>
        <w:rPr>
          <w:color w:val="000000"/>
          <w:lang w:val="en-GB"/>
        </w:rPr>
        <w:t>.g. if age was 75, then (75 - 70</w:t>
      </w:r>
      <w:r w:rsidR="00942CA3" w:rsidRPr="00C75A7E">
        <w:rPr>
          <w:color w:val="000000"/>
          <w:lang w:val="en-GB"/>
        </w:rPr>
        <w:t>)</w:t>
      </w:r>
      <w:r w:rsidR="00942CA3" w:rsidRPr="00C75A7E">
        <w:rPr>
          <w:color w:val="000000"/>
          <w:vertAlign w:val="subscript"/>
          <w:lang w:val="en-GB"/>
        </w:rPr>
        <w:t>+</w:t>
      </w:r>
      <w:r w:rsidR="00243EF3">
        <w:rPr>
          <w:color w:val="000000"/>
          <w:lang w:val="en-GB"/>
        </w:rPr>
        <w:t>=</w:t>
      </w:r>
      <w:r>
        <w:rPr>
          <w:color w:val="000000"/>
          <w:lang w:val="en-GB"/>
        </w:rPr>
        <w:t>5</w:t>
      </w:r>
      <w:r w:rsidR="00942CA3" w:rsidRPr="00C75A7E">
        <w:rPr>
          <w:color w:val="000000"/>
          <w:lang w:val="en-GB"/>
        </w:rPr>
        <w:t>; if age</w:t>
      </w:r>
      <w:r w:rsidR="00243EF3">
        <w:rPr>
          <w:color w:val="000000"/>
          <w:lang w:val="en-GB"/>
        </w:rPr>
        <w:t>=</w:t>
      </w:r>
      <w:r>
        <w:rPr>
          <w:color w:val="000000"/>
          <w:lang w:val="en-GB"/>
        </w:rPr>
        <w:t>65, then (65 - 70</w:t>
      </w:r>
      <w:r w:rsidR="00942CA3" w:rsidRPr="00C75A7E">
        <w:rPr>
          <w:color w:val="000000"/>
          <w:lang w:val="en-GB"/>
        </w:rPr>
        <w:t>)</w:t>
      </w:r>
      <w:r w:rsidR="00942CA3" w:rsidRPr="00C75A7E">
        <w:rPr>
          <w:color w:val="000000"/>
          <w:vertAlign w:val="subscript"/>
          <w:lang w:val="en-GB"/>
        </w:rPr>
        <w:t>+</w:t>
      </w:r>
      <w:r w:rsidR="00243EF3">
        <w:rPr>
          <w:color w:val="000000"/>
          <w:lang w:val="en-GB"/>
        </w:rPr>
        <w:t>=</w:t>
      </w:r>
      <w:r w:rsidR="00942CA3" w:rsidRPr="00C75A7E">
        <w:rPr>
          <w:color w:val="000000"/>
          <w:lang w:val="en-GB"/>
        </w:rPr>
        <w:t>0.</w:t>
      </w:r>
    </w:p>
    <w:p w14:paraId="13D952CD" w14:textId="7A695DE7" w:rsidR="00942CA3" w:rsidRPr="00C75A7E" w:rsidRDefault="00942CA3" w:rsidP="00487D2E">
      <w:pPr>
        <w:spacing w:after="200" w:line="360" w:lineRule="auto"/>
        <w:rPr>
          <w:color w:val="000000"/>
          <w:lang w:val="en-GB"/>
        </w:rPr>
      </w:pPr>
      <w:r w:rsidRPr="00C75A7E">
        <w:rPr>
          <w:color w:val="000000"/>
          <w:lang w:val="en-GB"/>
        </w:rPr>
        <w:t xml:space="preserve">¶ Higher order terms from fitting restricted cubic spline with 4-knots to describe effects of BMI as non-linear function. Knots for restricted cubic spline for BMI placed at </w:t>
      </w:r>
      <w:r w:rsidR="0017115C">
        <w:t>21.9</w:t>
      </w:r>
      <w:r w:rsidRPr="00C75A7E">
        <w:t>kg/m</w:t>
      </w:r>
      <w:r w:rsidRPr="00C75A7E">
        <w:rPr>
          <w:vertAlign w:val="superscript"/>
        </w:rPr>
        <w:t>2</w:t>
      </w:r>
      <w:r w:rsidR="007D7B2D">
        <w:t>, 26.6</w:t>
      </w:r>
      <w:r w:rsidRPr="00C75A7E">
        <w:t xml:space="preserve"> kg/m</w:t>
      </w:r>
      <w:r w:rsidRPr="00C75A7E">
        <w:rPr>
          <w:vertAlign w:val="superscript"/>
        </w:rPr>
        <w:t>2</w:t>
      </w:r>
      <w:r w:rsidR="007D7B2D">
        <w:t>, 29.6</w:t>
      </w:r>
      <w:r w:rsidRPr="00C75A7E">
        <w:t xml:space="preserve"> kg/m</w:t>
      </w:r>
      <w:r w:rsidRPr="00C75A7E">
        <w:rPr>
          <w:vertAlign w:val="superscript"/>
        </w:rPr>
        <w:t>2</w:t>
      </w:r>
      <w:r w:rsidRPr="00C75A7E">
        <w:t>, and 36.7 kg/m</w:t>
      </w:r>
      <w:r w:rsidRPr="00C75A7E">
        <w:rPr>
          <w:vertAlign w:val="superscript"/>
        </w:rPr>
        <w:t>2</w:t>
      </w:r>
      <w:r w:rsidRPr="00C75A7E">
        <w:rPr>
          <w:color w:val="000000"/>
          <w:lang w:val="en-GB"/>
        </w:rPr>
        <w:t>.</w:t>
      </w:r>
    </w:p>
    <w:p w14:paraId="12E798B1" w14:textId="77777777" w:rsidR="00C45F7C" w:rsidRDefault="00942CA3" w:rsidP="00487D2E">
      <w:pPr>
        <w:spacing w:after="200" w:line="360" w:lineRule="auto"/>
        <w:rPr>
          <w:color w:val="000000"/>
          <w:lang w:val="en-GB"/>
        </w:rPr>
      </w:pPr>
      <w:r w:rsidRPr="00C75A7E">
        <w:rPr>
          <w:color w:val="000000"/>
          <w:lang w:val="en-GB"/>
        </w:rPr>
        <w:br w:type="page"/>
      </w:r>
    </w:p>
    <w:p w14:paraId="285A15A5" w14:textId="77F4E2BC" w:rsidR="001D6583" w:rsidRDefault="001D6583" w:rsidP="006454BD">
      <w:pPr>
        <w:spacing w:after="200" w:line="360" w:lineRule="auto"/>
        <w:rPr>
          <w:b/>
          <w:color w:val="000000"/>
          <w:lang w:val="en-GB"/>
        </w:rPr>
      </w:pPr>
      <w:r>
        <w:rPr>
          <w:b/>
          <w:color w:val="000000"/>
          <w:lang w:val="en-GB"/>
        </w:rPr>
        <w:lastRenderedPageBreak/>
        <w:t>FIGURE LEGENDS</w:t>
      </w:r>
    </w:p>
    <w:p w14:paraId="7B3F7941" w14:textId="75C395D1" w:rsidR="00C45F7C" w:rsidRDefault="00C45F7C" w:rsidP="006454BD">
      <w:pPr>
        <w:spacing w:after="200" w:line="360" w:lineRule="auto"/>
        <w:rPr>
          <w:color w:val="000000"/>
          <w:lang w:val="en-GB"/>
        </w:rPr>
      </w:pPr>
      <w:r w:rsidRPr="00C45F7C">
        <w:rPr>
          <w:b/>
          <w:color w:val="000000"/>
          <w:lang w:val="en-GB"/>
        </w:rPr>
        <w:t>Figure 1.</w:t>
      </w:r>
      <w:r>
        <w:rPr>
          <w:color w:val="000000"/>
          <w:lang w:val="en-GB"/>
        </w:rPr>
        <w:t xml:space="preserve"> Flow of data for the study including sensitivity analyses breakdown.</w:t>
      </w:r>
    </w:p>
    <w:p w14:paraId="1E9C7BD4" w14:textId="77777777" w:rsidR="009C5EBE" w:rsidRDefault="009C5EBE" w:rsidP="006454BD">
      <w:pPr>
        <w:spacing w:after="200" w:line="360" w:lineRule="auto"/>
        <w:rPr>
          <w:color w:val="000000"/>
          <w:lang w:val="en-GB"/>
        </w:rPr>
      </w:pPr>
    </w:p>
    <w:p w14:paraId="7CD30314" w14:textId="2E7E419D" w:rsidR="009C5EBE" w:rsidRDefault="009C5EBE" w:rsidP="009C5EBE">
      <w:pPr>
        <w:spacing w:after="200" w:line="360" w:lineRule="auto"/>
        <w:rPr>
          <w:color w:val="000000"/>
          <w:lang w:val="en-GB"/>
        </w:rPr>
      </w:pPr>
      <w:r w:rsidRPr="009C5EBE">
        <w:rPr>
          <w:b/>
          <w:color w:val="000000"/>
          <w:lang w:val="en-GB"/>
        </w:rPr>
        <w:t xml:space="preserve">Figure </w:t>
      </w:r>
      <w:r>
        <w:rPr>
          <w:b/>
          <w:color w:val="000000"/>
          <w:lang w:val="en-GB"/>
        </w:rPr>
        <w:t>2</w:t>
      </w:r>
      <w:r w:rsidRPr="009C5EBE">
        <w:rPr>
          <w:b/>
          <w:color w:val="000000"/>
          <w:lang w:val="en-GB"/>
        </w:rPr>
        <w:t xml:space="preserve">. </w:t>
      </w:r>
      <w:r w:rsidRPr="009C5EBE">
        <w:rPr>
          <w:color w:val="000000"/>
          <w:lang w:val="en-GB"/>
        </w:rPr>
        <w:t>Density plots of patient age (</w:t>
      </w:r>
      <w:r w:rsidRPr="009C5EBE">
        <w:rPr>
          <w:color w:val="000000"/>
          <w:u w:val="single"/>
          <w:lang w:val="en-GB"/>
        </w:rPr>
        <w:t>left panel</w:t>
      </w:r>
      <w:r w:rsidRPr="009C5EBE">
        <w:rPr>
          <w:color w:val="000000"/>
          <w:lang w:val="en-GB"/>
        </w:rPr>
        <w:t>) and BMI (</w:t>
      </w:r>
      <w:r w:rsidRPr="009C5EBE">
        <w:rPr>
          <w:color w:val="000000"/>
          <w:u w:val="single"/>
          <w:lang w:val="en-GB"/>
        </w:rPr>
        <w:t>right panel</w:t>
      </w:r>
      <w:r w:rsidRPr="009C5EBE">
        <w:rPr>
          <w:color w:val="000000"/>
          <w:lang w:val="en-GB"/>
        </w:rPr>
        <w:t>) by on- and off-pump groups.</w:t>
      </w:r>
    </w:p>
    <w:p w14:paraId="2E73B9F0" w14:textId="77777777" w:rsidR="009C5EBE" w:rsidRDefault="009C5EBE" w:rsidP="006454BD">
      <w:pPr>
        <w:spacing w:after="200" w:line="360" w:lineRule="auto"/>
        <w:rPr>
          <w:color w:val="000000"/>
          <w:lang w:val="en-GB"/>
        </w:rPr>
      </w:pPr>
    </w:p>
    <w:p w14:paraId="7A184C58" w14:textId="742E844D" w:rsidR="00942CA3" w:rsidRDefault="00EF28D0" w:rsidP="006454BD">
      <w:pPr>
        <w:spacing w:after="200" w:line="360" w:lineRule="auto"/>
        <w:rPr>
          <w:color w:val="000000"/>
          <w:lang w:val="en-GB"/>
        </w:rPr>
      </w:pPr>
      <w:r>
        <w:rPr>
          <w:b/>
          <w:color w:val="000000"/>
          <w:lang w:val="en-GB"/>
        </w:rPr>
        <w:t xml:space="preserve">Figure </w:t>
      </w:r>
      <w:r w:rsidR="0061579C">
        <w:rPr>
          <w:b/>
          <w:color w:val="000000"/>
          <w:lang w:val="en-GB"/>
        </w:rPr>
        <w:t>3</w:t>
      </w:r>
      <w:r w:rsidR="00942CA3" w:rsidRPr="00C75A7E">
        <w:rPr>
          <w:b/>
          <w:color w:val="000000"/>
          <w:lang w:val="en-GB"/>
        </w:rPr>
        <w:t xml:space="preserve">. </w:t>
      </w:r>
      <w:r w:rsidR="00942CA3" w:rsidRPr="00C75A7E">
        <w:rPr>
          <w:color w:val="000000"/>
          <w:lang w:val="en-GB"/>
        </w:rPr>
        <w:t xml:space="preserve">Kaplan-Meier survival curve estimates stratified by </w:t>
      </w:r>
      <w:r w:rsidR="002002E4" w:rsidRPr="00C75A7E">
        <w:rPr>
          <w:color w:val="000000"/>
          <w:lang w:val="en-GB"/>
        </w:rPr>
        <w:t>on- and off-pump groups</w:t>
      </w:r>
      <w:r w:rsidR="00942CA3" w:rsidRPr="00C75A7E">
        <w:rPr>
          <w:color w:val="000000"/>
          <w:lang w:val="en-GB"/>
        </w:rPr>
        <w:t>.</w:t>
      </w:r>
      <w:r w:rsidR="009C4DA7">
        <w:rPr>
          <w:color w:val="000000"/>
          <w:lang w:val="en-GB"/>
        </w:rPr>
        <w:t xml:space="preserve"> Note that the vertical axis does not start from zero probability.</w:t>
      </w:r>
    </w:p>
    <w:p w14:paraId="2B588C9B" w14:textId="77777777" w:rsidR="000C3EA6" w:rsidRPr="00C75A7E" w:rsidRDefault="000C3EA6" w:rsidP="006454BD">
      <w:pPr>
        <w:spacing w:after="200" w:line="360" w:lineRule="auto"/>
        <w:rPr>
          <w:color w:val="000000"/>
          <w:lang w:val="en-GB"/>
        </w:rPr>
      </w:pPr>
    </w:p>
    <w:p w14:paraId="1B4056D3" w14:textId="5EF55F8D" w:rsidR="000C3EA6" w:rsidRDefault="000C3EA6" w:rsidP="000C3EA6">
      <w:pPr>
        <w:spacing w:after="200" w:line="360" w:lineRule="auto"/>
        <w:rPr>
          <w:color w:val="000000"/>
          <w:lang w:val="en-GB"/>
        </w:rPr>
      </w:pPr>
      <w:r w:rsidRPr="009C5EBE">
        <w:rPr>
          <w:b/>
          <w:color w:val="000000"/>
          <w:lang w:val="en-GB"/>
        </w:rPr>
        <w:t xml:space="preserve">Figure </w:t>
      </w:r>
      <w:r w:rsidR="0061579C">
        <w:rPr>
          <w:b/>
          <w:color w:val="000000"/>
          <w:lang w:val="en-GB"/>
        </w:rPr>
        <w:t>4</w:t>
      </w:r>
      <w:r w:rsidRPr="009C5EBE">
        <w:rPr>
          <w:b/>
          <w:color w:val="000000"/>
          <w:lang w:val="en-GB"/>
        </w:rPr>
        <w:t>.</w:t>
      </w:r>
      <w:r w:rsidRPr="009C5EBE">
        <w:rPr>
          <w:color w:val="000000"/>
          <w:lang w:val="en-GB"/>
        </w:rPr>
        <w:t xml:space="preserve"> Distribution of </w:t>
      </w:r>
      <w:r w:rsidR="000B044A">
        <w:rPr>
          <w:color w:val="000000"/>
          <w:lang w:val="en-GB"/>
        </w:rPr>
        <w:t xml:space="preserve">experienced CABG </w:t>
      </w:r>
      <w:r>
        <w:rPr>
          <w:color w:val="000000"/>
          <w:lang w:val="en-GB"/>
        </w:rPr>
        <w:t xml:space="preserve">surgeon-specific </w:t>
      </w:r>
      <w:r w:rsidRPr="009C5EBE">
        <w:rPr>
          <w:color w:val="000000"/>
          <w:lang w:val="en-GB"/>
        </w:rPr>
        <w:t>off-pump rate</w:t>
      </w:r>
      <w:r>
        <w:rPr>
          <w:color w:val="000000"/>
          <w:lang w:val="en-GB"/>
        </w:rPr>
        <w:t>s</w:t>
      </w:r>
      <w:r w:rsidRPr="009C5EBE">
        <w:rPr>
          <w:color w:val="000000"/>
          <w:lang w:val="en-GB"/>
        </w:rPr>
        <w:t xml:space="preserve"> for all isolated first-time cardiac surgery CABG procedures </w:t>
      </w:r>
      <w:r>
        <w:rPr>
          <w:color w:val="000000"/>
          <w:lang w:val="en-GB"/>
        </w:rPr>
        <w:t xml:space="preserve">(‘overall’ group) and the </w:t>
      </w:r>
      <w:r w:rsidR="000B348E">
        <w:rPr>
          <w:color w:val="000000"/>
          <w:lang w:val="en-GB"/>
        </w:rPr>
        <w:t xml:space="preserve">single vessel disease </w:t>
      </w:r>
      <w:r>
        <w:rPr>
          <w:color w:val="000000"/>
          <w:lang w:val="en-GB"/>
        </w:rPr>
        <w:t xml:space="preserve">isolated pedicle LIMA-to-LAD subset (‘LIMA-to-LAD’ group) </w:t>
      </w:r>
      <w:r w:rsidRPr="009C5EBE">
        <w:rPr>
          <w:color w:val="000000"/>
          <w:lang w:val="en-GB"/>
        </w:rPr>
        <w:t xml:space="preserve">performed in England and Wales over the study period. </w:t>
      </w:r>
      <w:r w:rsidRPr="00073463">
        <w:rPr>
          <w:color w:val="000000"/>
          <w:u w:val="single"/>
          <w:lang w:val="en-GB"/>
        </w:rPr>
        <w:t>Top panel</w:t>
      </w:r>
      <w:r w:rsidRPr="009C5EBE">
        <w:rPr>
          <w:color w:val="000000"/>
          <w:lang w:val="en-GB"/>
        </w:rPr>
        <w:t xml:space="preserve">: scatterplot of rates </w:t>
      </w:r>
      <w:r>
        <w:rPr>
          <w:color w:val="000000"/>
          <w:lang w:val="en-GB"/>
        </w:rPr>
        <w:t>for all data against the LIMA-to-LAD subset</w:t>
      </w:r>
      <w:r w:rsidRPr="009C5EBE">
        <w:rPr>
          <w:color w:val="000000"/>
          <w:lang w:val="en-GB"/>
        </w:rPr>
        <w:t>.</w:t>
      </w:r>
      <w:r>
        <w:rPr>
          <w:color w:val="000000"/>
          <w:lang w:val="en-GB"/>
        </w:rPr>
        <w:t xml:space="preserve"> Size of the points is proportional to the total number of </w:t>
      </w:r>
      <w:r w:rsidRPr="009C5EBE">
        <w:rPr>
          <w:color w:val="000000"/>
          <w:lang w:val="en-GB"/>
        </w:rPr>
        <w:t>isolated first-time cardiac surgery CABG procedures</w:t>
      </w:r>
      <w:r>
        <w:rPr>
          <w:color w:val="000000"/>
          <w:lang w:val="en-GB"/>
        </w:rPr>
        <w:t xml:space="preserve"> performed by the surgeon.</w:t>
      </w:r>
      <w:r w:rsidRPr="000B348E">
        <w:rPr>
          <w:color w:val="000000"/>
          <w:lang w:val="en-GB"/>
        </w:rPr>
        <w:t xml:space="preserve"> </w:t>
      </w:r>
      <w:r>
        <w:rPr>
          <w:color w:val="000000"/>
          <w:lang w:val="en-GB"/>
        </w:rPr>
        <w:t xml:space="preserve">Colour of points represents the different </w:t>
      </w:r>
      <w:r w:rsidR="000B044A">
        <w:rPr>
          <w:color w:val="000000"/>
          <w:lang w:val="en-GB"/>
        </w:rPr>
        <w:t>technique preference</w:t>
      </w:r>
      <w:r>
        <w:rPr>
          <w:color w:val="000000"/>
          <w:lang w:val="en-GB"/>
        </w:rPr>
        <w:t xml:space="preserve"> classes of each surgeon. Black dashed lines denote the cut-off thresholds (based on the overall off-pump rate) for categorising surgeon </w:t>
      </w:r>
      <w:r w:rsidR="000B044A">
        <w:rPr>
          <w:color w:val="000000"/>
          <w:lang w:val="en-GB"/>
        </w:rPr>
        <w:t>technique preference</w:t>
      </w:r>
      <w:r>
        <w:rPr>
          <w:color w:val="000000"/>
          <w:lang w:val="en-GB"/>
        </w:rPr>
        <w:t>. The red dotted line denotes the line of equality. Data displayed is only for surgeons included in the sensitivity analysis.</w:t>
      </w:r>
      <w:r w:rsidRPr="008D5EA3">
        <w:rPr>
          <w:color w:val="000000"/>
          <w:u w:val="single"/>
          <w:lang w:val="en-GB"/>
        </w:rPr>
        <w:t xml:space="preserve"> </w:t>
      </w:r>
      <w:r w:rsidRPr="009C5EBE">
        <w:rPr>
          <w:color w:val="000000"/>
          <w:u w:val="single"/>
          <w:lang w:val="en-GB"/>
        </w:rPr>
        <w:t>Bottom panel</w:t>
      </w:r>
      <w:r w:rsidRPr="009C5EBE">
        <w:rPr>
          <w:color w:val="000000"/>
          <w:lang w:val="en-GB"/>
        </w:rPr>
        <w:t xml:space="preserve">: </w:t>
      </w:r>
      <w:r>
        <w:rPr>
          <w:color w:val="000000"/>
          <w:lang w:val="en-GB"/>
        </w:rPr>
        <w:t>an alternative view of the data showing volume against off-pump rate for the overall and LIMA-to-LAD subset of procedures.</w:t>
      </w:r>
    </w:p>
    <w:p w14:paraId="1135CECC" w14:textId="60027082" w:rsidR="00942CA3" w:rsidRPr="00C75A7E" w:rsidRDefault="00942CA3" w:rsidP="006454BD">
      <w:pPr>
        <w:spacing w:after="200" w:line="360" w:lineRule="auto"/>
        <w:rPr>
          <w:color w:val="000000"/>
          <w:lang w:val="en-GB"/>
        </w:rPr>
      </w:pPr>
    </w:p>
    <w:p w14:paraId="74D09CE7" w14:textId="3350B63B" w:rsidR="00942CA3" w:rsidRPr="00EF28D0" w:rsidRDefault="00EF28D0" w:rsidP="00741311">
      <w:pPr>
        <w:spacing w:after="200" w:line="360" w:lineRule="auto"/>
        <w:rPr>
          <w:color w:val="000000"/>
          <w:lang w:val="en-GB"/>
        </w:rPr>
      </w:pPr>
      <w:r>
        <w:rPr>
          <w:b/>
          <w:color w:val="000000"/>
          <w:lang w:val="en-GB"/>
        </w:rPr>
        <w:t xml:space="preserve">Figure </w:t>
      </w:r>
      <w:r w:rsidR="009C5EBE">
        <w:rPr>
          <w:b/>
          <w:color w:val="000000"/>
          <w:lang w:val="en-GB"/>
        </w:rPr>
        <w:t>5</w:t>
      </w:r>
      <w:r w:rsidR="00942CA3" w:rsidRPr="00C75A7E">
        <w:rPr>
          <w:b/>
          <w:color w:val="000000"/>
          <w:lang w:val="en-GB"/>
        </w:rPr>
        <w:t xml:space="preserve">. </w:t>
      </w:r>
      <w:r w:rsidR="00942CA3" w:rsidRPr="00C75A7E">
        <w:rPr>
          <w:color w:val="000000"/>
          <w:u w:val="single"/>
          <w:lang w:val="en-GB"/>
        </w:rPr>
        <w:t>Top panel</w:t>
      </w:r>
      <w:r w:rsidR="00942CA3" w:rsidRPr="00C75A7E">
        <w:rPr>
          <w:color w:val="000000"/>
          <w:lang w:val="en-GB"/>
        </w:rPr>
        <w:t xml:space="preserve">: </w:t>
      </w:r>
      <w:r w:rsidR="000B348E" w:rsidRPr="00C75A7E">
        <w:rPr>
          <w:color w:val="000000"/>
          <w:lang w:val="en-GB"/>
        </w:rPr>
        <w:t>Kaplan-Meier survival curve</w:t>
      </w:r>
      <w:r w:rsidR="000B348E">
        <w:rPr>
          <w:color w:val="000000"/>
          <w:lang w:val="en-GB"/>
        </w:rPr>
        <w:t>s</w:t>
      </w:r>
      <w:r w:rsidR="000B348E" w:rsidRPr="00C75A7E">
        <w:rPr>
          <w:color w:val="000000"/>
          <w:lang w:val="en-GB"/>
        </w:rPr>
        <w:t xml:space="preserve"> stratified by on- and off-pump groups</w:t>
      </w:r>
      <w:r w:rsidR="000B348E">
        <w:rPr>
          <w:color w:val="000000"/>
          <w:lang w:val="en-GB"/>
        </w:rPr>
        <w:t xml:space="preserve"> for </w:t>
      </w:r>
      <w:r w:rsidR="00942CA3" w:rsidRPr="00C75A7E">
        <w:t xml:space="preserve">on-pump data only from </w:t>
      </w:r>
      <w:r w:rsidR="00227FA4">
        <w:t>surgeons with a preference for the on-pump technique</w:t>
      </w:r>
      <w:r w:rsidR="00942CA3" w:rsidRPr="00C75A7E">
        <w:t xml:space="preserve"> and off-pump data only from </w:t>
      </w:r>
      <w:r w:rsidR="00227FA4">
        <w:t>surgeons with a preference for the off-pump technique</w:t>
      </w:r>
      <w:r w:rsidR="00942CA3" w:rsidRPr="00C75A7E">
        <w:t xml:space="preserve">. </w:t>
      </w:r>
      <w:r w:rsidR="00942CA3" w:rsidRPr="00C75A7E">
        <w:rPr>
          <w:u w:val="single"/>
        </w:rPr>
        <w:t>Bottom panel</w:t>
      </w:r>
      <w:r w:rsidR="00942CA3" w:rsidRPr="00C75A7E">
        <w:t xml:space="preserve">: </w:t>
      </w:r>
      <w:r w:rsidR="000B348E" w:rsidRPr="00C75A7E">
        <w:rPr>
          <w:color w:val="000000"/>
          <w:lang w:val="en-GB"/>
        </w:rPr>
        <w:t>Kaplan-Meier survival curve</w:t>
      </w:r>
      <w:r w:rsidR="000B348E">
        <w:rPr>
          <w:color w:val="000000"/>
          <w:lang w:val="en-GB"/>
        </w:rPr>
        <w:t>s</w:t>
      </w:r>
      <w:r w:rsidR="000B348E" w:rsidRPr="00C75A7E">
        <w:rPr>
          <w:color w:val="000000"/>
          <w:lang w:val="en-GB"/>
        </w:rPr>
        <w:t xml:space="preserve"> stratified by</w:t>
      </w:r>
      <w:r w:rsidR="000B348E">
        <w:rPr>
          <w:color w:val="000000"/>
          <w:lang w:val="en-GB"/>
        </w:rPr>
        <w:t xml:space="preserve"> </w:t>
      </w:r>
      <w:r w:rsidR="00227FA4">
        <w:rPr>
          <w:color w:val="000000"/>
          <w:lang w:val="en-GB"/>
        </w:rPr>
        <w:t>preference</w:t>
      </w:r>
      <w:r w:rsidR="00D76D4C">
        <w:rPr>
          <w:color w:val="000000"/>
          <w:lang w:val="en-GB"/>
        </w:rPr>
        <w:t xml:space="preserve"> category, which is based on the entire isolated first-time cardiac surgery non-emergency CABG </w:t>
      </w:r>
      <w:r w:rsidR="00A66A74">
        <w:rPr>
          <w:color w:val="000000"/>
          <w:lang w:val="en-GB"/>
        </w:rPr>
        <w:t>caseload for each surgeon</w:t>
      </w:r>
      <w:r w:rsidR="00E02F63">
        <w:rPr>
          <w:color w:val="000000"/>
          <w:lang w:val="en-GB"/>
        </w:rPr>
        <w:t>, for off-pump surgery only</w:t>
      </w:r>
      <w:r w:rsidR="00942CA3" w:rsidRPr="00C75A7E">
        <w:t>.</w:t>
      </w:r>
      <w:r w:rsidR="00D239F4">
        <w:t xml:space="preserve"> </w:t>
      </w:r>
      <w:r w:rsidR="00D239F4">
        <w:lastRenderedPageBreak/>
        <w:t>Surgeons with &lt;300 total such cases are not included in these sensitivity analyses.</w:t>
      </w:r>
      <w:r w:rsidR="009C4DA7">
        <w:t xml:space="preserve"> </w:t>
      </w:r>
      <w:r w:rsidR="009C4DA7">
        <w:rPr>
          <w:color w:val="000000"/>
          <w:lang w:val="en-GB"/>
        </w:rPr>
        <w:t>Note that the vertical axes do not start from zero probability.</w:t>
      </w:r>
      <w:bookmarkEnd w:id="1"/>
    </w:p>
    <w:sectPr w:rsidR="00942CA3" w:rsidRPr="00EF28D0" w:rsidSect="00ED418C">
      <w:footerReference w:type="even" r:id="rId14"/>
      <w:footerReference w:type="default" r:id="rId15"/>
      <w:pgSz w:w="12240" w:h="15840"/>
      <w:pgMar w:top="1440" w:right="1440" w:bottom="1440" w:left="1440" w:header="709" w:footer="709" w:gutter="0"/>
      <w:lnNumType w:countBy="2" w:restart="continuou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CD546" w14:textId="77777777" w:rsidR="00611FA7" w:rsidRDefault="00611FA7">
      <w:r>
        <w:separator/>
      </w:r>
    </w:p>
  </w:endnote>
  <w:endnote w:type="continuationSeparator" w:id="0">
    <w:p w14:paraId="0E7901C7" w14:textId="77777777" w:rsidR="00611FA7" w:rsidRDefault="00611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4EFEE" w14:textId="77777777" w:rsidR="00611FA7" w:rsidRDefault="00611FA7" w:rsidP="00241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75818E" w14:textId="77777777" w:rsidR="00611FA7" w:rsidRDefault="00611F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11B9C" w14:textId="77777777" w:rsidR="00611FA7" w:rsidRDefault="00611FA7" w:rsidP="002413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44E9">
      <w:rPr>
        <w:rStyle w:val="PageNumber"/>
        <w:noProof/>
      </w:rPr>
      <w:t>4</w:t>
    </w:r>
    <w:r>
      <w:rPr>
        <w:rStyle w:val="PageNumber"/>
      </w:rPr>
      <w:fldChar w:fldCharType="end"/>
    </w:r>
  </w:p>
  <w:p w14:paraId="338D143A" w14:textId="77777777" w:rsidR="00611FA7" w:rsidRDefault="00611F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8EAB5" w14:textId="77777777" w:rsidR="00611FA7" w:rsidRDefault="00611FA7">
      <w:r>
        <w:separator/>
      </w:r>
    </w:p>
  </w:footnote>
  <w:footnote w:type="continuationSeparator" w:id="0">
    <w:p w14:paraId="379E7B1B" w14:textId="77777777" w:rsidR="00611FA7" w:rsidRDefault="00611F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C22DC"/>
    <w:multiLevelType w:val="hybridMultilevel"/>
    <w:tmpl w:val="F6DC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7E7862"/>
    <w:multiLevelType w:val="hybridMultilevel"/>
    <w:tmpl w:val="D5281F10"/>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50564907"/>
    <w:multiLevelType w:val="hybridMultilevel"/>
    <w:tmpl w:val="75A01F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907119F"/>
    <w:multiLevelType w:val="hybridMultilevel"/>
    <w:tmpl w:val="65783B20"/>
    <w:lvl w:ilvl="0" w:tplc="42F65B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MRefListBookmark" w:val="RMRefList_lima_to_lad3"/>
    <w:docVar w:name="RMSetupInfo" w:val="34433A5C50726F6772616D2046696C65735C5265666572656E6365204D616E6167657220395C5374796C65735C656A6374732E6F730E5265666572656E6365204C697374000E0000000000000000000000010001000100015B000100025D2000020001000F54696D6573204E657720526F6D616E0A000000000000000000000001000000000000ACA6020977200201000000D4DC1200D4DB120050DC12000100000054DC1200"/>
  </w:docVars>
  <w:rsids>
    <w:rsidRoot w:val="00AB04E5"/>
    <w:rsid w:val="0000019D"/>
    <w:rsid w:val="00003C55"/>
    <w:rsid w:val="0000619A"/>
    <w:rsid w:val="00006D60"/>
    <w:rsid w:val="000079D1"/>
    <w:rsid w:val="000123A4"/>
    <w:rsid w:val="00013DD4"/>
    <w:rsid w:val="00015F72"/>
    <w:rsid w:val="00016094"/>
    <w:rsid w:val="000174F2"/>
    <w:rsid w:val="00017EAB"/>
    <w:rsid w:val="00020E13"/>
    <w:rsid w:val="00021BAD"/>
    <w:rsid w:val="000223DD"/>
    <w:rsid w:val="0002351C"/>
    <w:rsid w:val="00025AAE"/>
    <w:rsid w:val="00026022"/>
    <w:rsid w:val="0003189E"/>
    <w:rsid w:val="00033F60"/>
    <w:rsid w:val="00034B1D"/>
    <w:rsid w:val="00034F9D"/>
    <w:rsid w:val="00037687"/>
    <w:rsid w:val="0004133A"/>
    <w:rsid w:val="00044001"/>
    <w:rsid w:val="00044819"/>
    <w:rsid w:val="000460D6"/>
    <w:rsid w:val="00046C82"/>
    <w:rsid w:val="00047437"/>
    <w:rsid w:val="000505B8"/>
    <w:rsid w:val="00051112"/>
    <w:rsid w:val="00051624"/>
    <w:rsid w:val="00052C19"/>
    <w:rsid w:val="000556DF"/>
    <w:rsid w:val="00060ACC"/>
    <w:rsid w:val="00063D31"/>
    <w:rsid w:val="0006515F"/>
    <w:rsid w:val="000651B8"/>
    <w:rsid w:val="000659CE"/>
    <w:rsid w:val="000702D8"/>
    <w:rsid w:val="000709CA"/>
    <w:rsid w:val="00073463"/>
    <w:rsid w:val="00075BB1"/>
    <w:rsid w:val="000800FE"/>
    <w:rsid w:val="0008018E"/>
    <w:rsid w:val="0008354B"/>
    <w:rsid w:val="0008456B"/>
    <w:rsid w:val="00085594"/>
    <w:rsid w:val="000874EA"/>
    <w:rsid w:val="0009181C"/>
    <w:rsid w:val="000947E3"/>
    <w:rsid w:val="000A1EB4"/>
    <w:rsid w:val="000A390A"/>
    <w:rsid w:val="000A5642"/>
    <w:rsid w:val="000A67A3"/>
    <w:rsid w:val="000B044A"/>
    <w:rsid w:val="000B0602"/>
    <w:rsid w:val="000B0FD9"/>
    <w:rsid w:val="000B2312"/>
    <w:rsid w:val="000B2774"/>
    <w:rsid w:val="000B348E"/>
    <w:rsid w:val="000B4DE2"/>
    <w:rsid w:val="000B6B68"/>
    <w:rsid w:val="000C0DF4"/>
    <w:rsid w:val="000C0F7B"/>
    <w:rsid w:val="000C2EF9"/>
    <w:rsid w:val="000C30CC"/>
    <w:rsid w:val="000C3EA6"/>
    <w:rsid w:val="000C46C0"/>
    <w:rsid w:val="000C6467"/>
    <w:rsid w:val="000D0CD1"/>
    <w:rsid w:val="000D0F72"/>
    <w:rsid w:val="000D25E7"/>
    <w:rsid w:val="000D4548"/>
    <w:rsid w:val="000D4C78"/>
    <w:rsid w:val="000D5078"/>
    <w:rsid w:val="000D7282"/>
    <w:rsid w:val="000E0659"/>
    <w:rsid w:val="000E2DC6"/>
    <w:rsid w:val="000E4945"/>
    <w:rsid w:val="000E65E3"/>
    <w:rsid w:val="000F3590"/>
    <w:rsid w:val="000F5775"/>
    <w:rsid w:val="000F5D19"/>
    <w:rsid w:val="000F5EE5"/>
    <w:rsid w:val="000F6383"/>
    <w:rsid w:val="000F6BD5"/>
    <w:rsid w:val="000F78B5"/>
    <w:rsid w:val="0010072A"/>
    <w:rsid w:val="00102E9E"/>
    <w:rsid w:val="00106E32"/>
    <w:rsid w:val="00112E4A"/>
    <w:rsid w:val="00117233"/>
    <w:rsid w:val="00120371"/>
    <w:rsid w:val="001203BE"/>
    <w:rsid w:val="001223DA"/>
    <w:rsid w:val="00122855"/>
    <w:rsid w:val="00124092"/>
    <w:rsid w:val="001243C1"/>
    <w:rsid w:val="001258A6"/>
    <w:rsid w:val="00127A90"/>
    <w:rsid w:val="0013298E"/>
    <w:rsid w:val="00133D23"/>
    <w:rsid w:val="0013457B"/>
    <w:rsid w:val="0013539F"/>
    <w:rsid w:val="001367BB"/>
    <w:rsid w:val="00140257"/>
    <w:rsid w:val="00142028"/>
    <w:rsid w:val="001427C0"/>
    <w:rsid w:val="00144A7A"/>
    <w:rsid w:val="0014593B"/>
    <w:rsid w:val="001533AE"/>
    <w:rsid w:val="0015562A"/>
    <w:rsid w:val="00155A16"/>
    <w:rsid w:val="00155AE7"/>
    <w:rsid w:val="0015706A"/>
    <w:rsid w:val="00161637"/>
    <w:rsid w:val="00161ADB"/>
    <w:rsid w:val="00163032"/>
    <w:rsid w:val="00165175"/>
    <w:rsid w:val="00165B9F"/>
    <w:rsid w:val="001675FE"/>
    <w:rsid w:val="0017115C"/>
    <w:rsid w:val="0017528F"/>
    <w:rsid w:val="001765A4"/>
    <w:rsid w:val="0018115C"/>
    <w:rsid w:val="00181C93"/>
    <w:rsid w:val="001822BA"/>
    <w:rsid w:val="0018314D"/>
    <w:rsid w:val="00183E03"/>
    <w:rsid w:val="00184578"/>
    <w:rsid w:val="001872A4"/>
    <w:rsid w:val="00192521"/>
    <w:rsid w:val="0019349E"/>
    <w:rsid w:val="0019450F"/>
    <w:rsid w:val="001A0C27"/>
    <w:rsid w:val="001A2128"/>
    <w:rsid w:val="001A2AF6"/>
    <w:rsid w:val="001A51FB"/>
    <w:rsid w:val="001B2D9F"/>
    <w:rsid w:val="001B30E7"/>
    <w:rsid w:val="001B36F0"/>
    <w:rsid w:val="001B625F"/>
    <w:rsid w:val="001C311F"/>
    <w:rsid w:val="001C44E4"/>
    <w:rsid w:val="001C55A6"/>
    <w:rsid w:val="001D08B3"/>
    <w:rsid w:val="001D2AC1"/>
    <w:rsid w:val="001D3DDA"/>
    <w:rsid w:val="001D4DC0"/>
    <w:rsid w:val="001D5034"/>
    <w:rsid w:val="001D5F93"/>
    <w:rsid w:val="001D6583"/>
    <w:rsid w:val="001D73A7"/>
    <w:rsid w:val="001E09AC"/>
    <w:rsid w:val="001E0F6C"/>
    <w:rsid w:val="001E39D6"/>
    <w:rsid w:val="001E48E3"/>
    <w:rsid w:val="001E6BAC"/>
    <w:rsid w:val="001E6C5E"/>
    <w:rsid w:val="001F073B"/>
    <w:rsid w:val="001F2E7A"/>
    <w:rsid w:val="001F3145"/>
    <w:rsid w:val="001F33E2"/>
    <w:rsid w:val="00200073"/>
    <w:rsid w:val="002002E4"/>
    <w:rsid w:val="00204212"/>
    <w:rsid w:val="00206F2C"/>
    <w:rsid w:val="00211667"/>
    <w:rsid w:val="00213089"/>
    <w:rsid w:val="0021436E"/>
    <w:rsid w:val="002151A8"/>
    <w:rsid w:val="00221F79"/>
    <w:rsid w:val="002251BA"/>
    <w:rsid w:val="00226A1D"/>
    <w:rsid w:val="00227FA4"/>
    <w:rsid w:val="00230DB2"/>
    <w:rsid w:val="00233630"/>
    <w:rsid w:val="00234033"/>
    <w:rsid w:val="00234AC1"/>
    <w:rsid w:val="00236293"/>
    <w:rsid w:val="002372D3"/>
    <w:rsid w:val="00241353"/>
    <w:rsid w:val="002425DC"/>
    <w:rsid w:val="00243EF3"/>
    <w:rsid w:val="002446DD"/>
    <w:rsid w:val="002448AE"/>
    <w:rsid w:val="00246C16"/>
    <w:rsid w:val="0025010A"/>
    <w:rsid w:val="00250A27"/>
    <w:rsid w:val="00250FA2"/>
    <w:rsid w:val="00251F75"/>
    <w:rsid w:val="0025340D"/>
    <w:rsid w:val="00253613"/>
    <w:rsid w:val="0025431B"/>
    <w:rsid w:val="00257914"/>
    <w:rsid w:val="002600F0"/>
    <w:rsid w:val="00260BFE"/>
    <w:rsid w:val="00261420"/>
    <w:rsid w:val="0026188A"/>
    <w:rsid w:val="00261D3A"/>
    <w:rsid w:val="00264BB8"/>
    <w:rsid w:val="00271AE2"/>
    <w:rsid w:val="0027610D"/>
    <w:rsid w:val="00276AE9"/>
    <w:rsid w:val="00280555"/>
    <w:rsid w:val="00282744"/>
    <w:rsid w:val="00287122"/>
    <w:rsid w:val="00292CAE"/>
    <w:rsid w:val="002976BE"/>
    <w:rsid w:val="002A2236"/>
    <w:rsid w:val="002A247D"/>
    <w:rsid w:val="002A5345"/>
    <w:rsid w:val="002A6692"/>
    <w:rsid w:val="002A768E"/>
    <w:rsid w:val="002B04F5"/>
    <w:rsid w:val="002B07B7"/>
    <w:rsid w:val="002B13ED"/>
    <w:rsid w:val="002B1CC0"/>
    <w:rsid w:val="002B2ED5"/>
    <w:rsid w:val="002B3EE7"/>
    <w:rsid w:val="002B4C0E"/>
    <w:rsid w:val="002B5681"/>
    <w:rsid w:val="002C1423"/>
    <w:rsid w:val="002C3DE6"/>
    <w:rsid w:val="002D2482"/>
    <w:rsid w:val="002D4B31"/>
    <w:rsid w:val="002D7BC0"/>
    <w:rsid w:val="002E0129"/>
    <w:rsid w:val="002E57A6"/>
    <w:rsid w:val="002F2AAA"/>
    <w:rsid w:val="002F40A6"/>
    <w:rsid w:val="002F5DD0"/>
    <w:rsid w:val="00300D61"/>
    <w:rsid w:val="0030173C"/>
    <w:rsid w:val="00302513"/>
    <w:rsid w:val="0030294D"/>
    <w:rsid w:val="00302F51"/>
    <w:rsid w:val="003030CA"/>
    <w:rsid w:val="00303D6B"/>
    <w:rsid w:val="003054E4"/>
    <w:rsid w:val="0030590B"/>
    <w:rsid w:val="00307CBB"/>
    <w:rsid w:val="00307D4C"/>
    <w:rsid w:val="00310120"/>
    <w:rsid w:val="0031082F"/>
    <w:rsid w:val="003133D4"/>
    <w:rsid w:val="00314A4C"/>
    <w:rsid w:val="003158FA"/>
    <w:rsid w:val="00321BF2"/>
    <w:rsid w:val="003231F5"/>
    <w:rsid w:val="00323D0C"/>
    <w:rsid w:val="003251CA"/>
    <w:rsid w:val="003274D6"/>
    <w:rsid w:val="003278C2"/>
    <w:rsid w:val="00327C25"/>
    <w:rsid w:val="0033022B"/>
    <w:rsid w:val="00330348"/>
    <w:rsid w:val="00330412"/>
    <w:rsid w:val="00331F48"/>
    <w:rsid w:val="003324F4"/>
    <w:rsid w:val="00333467"/>
    <w:rsid w:val="00333780"/>
    <w:rsid w:val="00333E3B"/>
    <w:rsid w:val="00334012"/>
    <w:rsid w:val="00335549"/>
    <w:rsid w:val="003364B8"/>
    <w:rsid w:val="00337FA1"/>
    <w:rsid w:val="00340C3C"/>
    <w:rsid w:val="003424F4"/>
    <w:rsid w:val="00344F9E"/>
    <w:rsid w:val="00345C18"/>
    <w:rsid w:val="003469D7"/>
    <w:rsid w:val="00350347"/>
    <w:rsid w:val="003565B3"/>
    <w:rsid w:val="00360CE5"/>
    <w:rsid w:val="00362318"/>
    <w:rsid w:val="003660DA"/>
    <w:rsid w:val="00371E2E"/>
    <w:rsid w:val="00373EAC"/>
    <w:rsid w:val="003749D6"/>
    <w:rsid w:val="00377BED"/>
    <w:rsid w:val="00382919"/>
    <w:rsid w:val="00382DCB"/>
    <w:rsid w:val="00384DDE"/>
    <w:rsid w:val="00386362"/>
    <w:rsid w:val="0038640B"/>
    <w:rsid w:val="003867F1"/>
    <w:rsid w:val="00386D28"/>
    <w:rsid w:val="00387761"/>
    <w:rsid w:val="00387EF7"/>
    <w:rsid w:val="00393880"/>
    <w:rsid w:val="00393CEE"/>
    <w:rsid w:val="00396258"/>
    <w:rsid w:val="003972B1"/>
    <w:rsid w:val="003A055B"/>
    <w:rsid w:val="003A3466"/>
    <w:rsid w:val="003A48FD"/>
    <w:rsid w:val="003A51F4"/>
    <w:rsid w:val="003B0442"/>
    <w:rsid w:val="003B0723"/>
    <w:rsid w:val="003B1251"/>
    <w:rsid w:val="003B2C8C"/>
    <w:rsid w:val="003B3B3F"/>
    <w:rsid w:val="003B78F0"/>
    <w:rsid w:val="003C2780"/>
    <w:rsid w:val="003C726E"/>
    <w:rsid w:val="003C7DEE"/>
    <w:rsid w:val="003D00A7"/>
    <w:rsid w:val="003D2ABA"/>
    <w:rsid w:val="003D35B6"/>
    <w:rsid w:val="003D3D1D"/>
    <w:rsid w:val="003D47C5"/>
    <w:rsid w:val="003E0392"/>
    <w:rsid w:val="003E0544"/>
    <w:rsid w:val="003E2401"/>
    <w:rsid w:val="003E46A0"/>
    <w:rsid w:val="003E51DC"/>
    <w:rsid w:val="003E624D"/>
    <w:rsid w:val="003E7216"/>
    <w:rsid w:val="003E77B0"/>
    <w:rsid w:val="003F000B"/>
    <w:rsid w:val="003F44FA"/>
    <w:rsid w:val="003F4971"/>
    <w:rsid w:val="003F4C2C"/>
    <w:rsid w:val="0040211D"/>
    <w:rsid w:val="00404FC6"/>
    <w:rsid w:val="00405821"/>
    <w:rsid w:val="00412277"/>
    <w:rsid w:val="00412B7D"/>
    <w:rsid w:val="00412FEE"/>
    <w:rsid w:val="00413A39"/>
    <w:rsid w:val="00414E00"/>
    <w:rsid w:val="004160A5"/>
    <w:rsid w:val="00421D42"/>
    <w:rsid w:val="004266D3"/>
    <w:rsid w:val="004277F5"/>
    <w:rsid w:val="00431149"/>
    <w:rsid w:val="00431408"/>
    <w:rsid w:val="0043329F"/>
    <w:rsid w:val="00436820"/>
    <w:rsid w:val="00442408"/>
    <w:rsid w:val="004503DD"/>
    <w:rsid w:val="00455E7F"/>
    <w:rsid w:val="00456922"/>
    <w:rsid w:val="0045759D"/>
    <w:rsid w:val="00460C6F"/>
    <w:rsid w:val="004611C5"/>
    <w:rsid w:val="00465348"/>
    <w:rsid w:val="00472C1A"/>
    <w:rsid w:val="004764D7"/>
    <w:rsid w:val="00485095"/>
    <w:rsid w:val="004872DB"/>
    <w:rsid w:val="00487D2E"/>
    <w:rsid w:val="00487EEE"/>
    <w:rsid w:val="00492023"/>
    <w:rsid w:val="00492C75"/>
    <w:rsid w:val="00492D08"/>
    <w:rsid w:val="00496280"/>
    <w:rsid w:val="004A0014"/>
    <w:rsid w:val="004A3893"/>
    <w:rsid w:val="004A4D06"/>
    <w:rsid w:val="004A5159"/>
    <w:rsid w:val="004B3F54"/>
    <w:rsid w:val="004B53AD"/>
    <w:rsid w:val="004C0D4D"/>
    <w:rsid w:val="004C15BF"/>
    <w:rsid w:val="004C3926"/>
    <w:rsid w:val="004C5D6D"/>
    <w:rsid w:val="004C7AF3"/>
    <w:rsid w:val="004C7C71"/>
    <w:rsid w:val="004D29D8"/>
    <w:rsid w:val="004D2DCA"/>
    <w:rsid w:val="004D44E9"/>
    <w:rsid w:val="004D47FF"/>
    <w:rsid w:val="004E0A09"/>
    <w:rsid w:val="004E23D7"/>
    <w:rsid w:val="004F0A77"/>
    <w:rsid w:val="004F3D6F"/>
    <w:rsid w:val="004F6E52"/>
    <w:rsid w:val="004F7071"/>
    <w:rsid w:val="00500253"/>
    <w:rsid w:val="005006A1"/>
    <w:rsid w:val="00500EFE"/>
    <w:rsid w:val="0050186F"/>
    <w:rsid w:val="00510398"/>
    <w:rsid w:val="00511F04"/>
    <w:rsid w:val="00512F90"/>
    <w:rsid w:val="005136B9"/>
    <w:rsid w:val="0051425F"/>
    <w:rsid w:val="005142C8"/>
    <w:rsid w:val="00514D52"/>
    <w:rsid w:val="005154D7"/>
    <w:rsid w:val="00522EDB"/>
    <w:rsid w:val="005243BA"/>
    <w:rsid w:val="00524D0B"/>
    <w:rsid w:val="00524D2F"/>
    <w:rsid w:val="00526C1F"/>
    <w:rsid w:val="00526E27"/>
    <w:rsid w:val="00532CF3"/>
    <w:rsid w:val="0053416A"/>
    <w:rsid w:val="005341FE"/>
    <w:rsid w:val="005378E9"/>
    <w:rsid w:val="00541136"/>
    <w:rsid w:val="005424B1"/>
    <w:rsid w:val="00543E18"/>
    <w:rsid w:val="005442F5"/>
    <w:rsid w:val="00544493"/>
    <w:rsid w:val="0054517C"/>
    <w:rsid w:val="005474A7"/>
    <w:rsid w:val="00547EB3"/>
    <w:rsid w:val="0055001F"/>
    <w:rsid w:val="00550F18"/>
    <w:rsid w:val="00557A9D"/>
    <w:rsid w:val="00557EB1"/>
    <w:rsid w:val="005621C3"/>
    <w:rsid w:val="00563AF3"/>
    <w:rsid w:val="00570CD1"/>
    <w:rsid w:val="0057257C"/>
    <w:rsid w:val="0058048D"/>
    <w:rsid w:val="005819D1"/>
    <w:rsid w:val="00583D2C"/>
    <w:rsid w:val="00585B07"/>
    <w:rsid w:val="0058663B"/>
    <w:rsid w:val="005903DB"/>
    <w:rsid w:val="00591353"/>
    <w:rsid w:val="00594D5B"/>
    <w:rsid w:val="00594E2E"/>
    <w:rsid w:val="00596762"/>
    <w:rsid w:val="005A0BA6"/>
    <w:rsid w:val="005A0D4C"/>
    <w:rsid w:val="005A3F2C"/>
    <w:rsid w:val="005A7B5B"/>
    <w:rsid w:val="005A7BDF"/>
    <w:rsid w:val="005B1068"/>
    <w:rsid w:val="005B145C"/>
    <w:rsid w:val="005B17F4"/>
    <w:rsid w:val="005B4852"/>
    <w:rsid w:val="005B780B"/>
    <w:rsid w:val="005C12B0"/>
    <w:rsid w:val="005C2D3F"/>
    <w:rsid w:val="005C351B"/>
    <w:rsid w:val="005D2356"/>
    <w:rsid w:val="005D2C84"/>
    <w:rsid w:val="005D42EE"/>
    <w:rsid w:val="005D5FC9"/>
    <w:rsid w:val="005E2B09"/>
    <w:rsid w:val="005E6448"/>
    <w:rsid w:val="005F13DD"/>
    <w:rsid w:val="005F176D"/>
    <w:rsid w:val="005F1E96"/>
    <w:rsid w:val="005F3F54"/>
    <w:rsid w:val="00601F56"/>
    <w:rsid w:val="0060215C"/>
    <w:rsid w:val="00603C0A"/>
    <w:rsid w:val="00610E13"/>
    <w:rsid w:val="00611FA7"/>
    <w:rsid w:val="0061282E"/>
    <w:rsid w:val="00612F5A"/>
    <w:rsid w:val="0061399B"/>
    <w:rsid w:val="0061579C"/>
    <w:rsid w:val="0061670C"/>
    <w:rsid w:val="0061679E"/>
    <w:rsid w:val="00617B26"/>
    <w:rsid w:val="00620346"/>
    <w:rsid w:val="0062159D"/>
    <w:rsid w:val="006225D6"/>
    <w:rsid w:val="006409E5"/>
    <w:rsid w:val="00640A61"/>
    <w:rsid w:val="006454BD"/>
    <w:rsid w:val="006467C3"/>
    <w:rsid w:val="00647BD6"/>
    <w:rsid w:val="006535DF"/>
    <w:rsid w:val="006536EA"/>
    <w:rsid w:val="006540EE"/>
    <w:rsid w:val="00655F49"/>
    <w:rsid w:val="006604AC"/>
    <w:rsid w:val="00662BCB"/>
    <w:rsid w:val="00664B4D"/>
    <w:rsid w:val="00665907"/>
    <w:rsid w:val="00667756"/>
    <w:rsid w:val="00671D25"/>
    <w:rsid w:val="00672DCC"/>
    <w:rsid w:val="00674CA0"/>
    <w:rsid w:val="0067772F"/>
    <w:rsid w:val="00682424"/>
    <w:rsid w:val="006824C8"/>
    <w:rsid w:val="00682F6E"/>
    <w:rsid w:val="00683797"/>
    <w:rsid w:val="00684CA5"/>
    <w:rsid w:val="00686971"/>
    <w:rsid w:val="00686A08"/>
    <w:rsid w:val="00687C9C"/>
    <w:rsid w:val="006915ED"/>
    <w:rsid w:val="0069567F"/>
    <w:rsid w:val="00696EDF"/>
    <w:rsid w:val="006979D6"/>
    <w:rsid w:val="006A0E3A"/>
    <w:rsid w:val="006A2053"/>
    <w:rsid w:val="006A3426"/>
    <w:rsid w:val="006A3876"/>
    <w:rsid w:val="006B037F"/>
    <w:rsid w:val="006B0A07"/>
    <w:rsid w:val="006B0DA9"/>
    <w:rsid w:val="006B194D"/>
    <w:rsid w:val="006B368B"/>
    <w:rsid w:val="006B469C"/>
    <w:rsid w:val="006C0AA8"/>
    <w:rsid w:val="006C1BA2"/>
    <w:rsid w:val="006C29CD"/>
    <w:rsid w:val="006C3744"/>
    <w:rsid w:val="006C3A2D"/>
    <w:rsid w:val="006C648F"/>
    <w:rsid w:val="006C767A"/>
    <w:rsid w:val="006D5F19"/>
    <w:rsid w:val="006D637F"/>
    <w:rsid w:val="006D6622"/>
    <w:rsid w:val="006D7899"/>
    <w:rsid w:val="006D7DB0"/>
    <w:rsid w:val="006E34B4"/>
    <w:rsid w:val="006E373C"/>
    <w:rsid w:val="006E43D9"/>
    <w:rsid w:val="006E5D0F"/>
    <w:rsid w:val="006E65C4"/>
    <w:rsid w:val="006E7B87"/>
    <w:rsid w:val="006F0F0C"/>
    <w:rsid w:val="006F2E5B"/>
    <w:rsid w:val="006F34E4"/>
    <w:rsid w:val="006F3602"/>
    <w:rsid w:val="006F471C"/>
    <w:rsid w:val="006F5754"/>
    <w:rsid w:val="006F6124"/>
    <w:rsid w:val="00702575"/>
    <w:rsid w:val="007041CE"/>
    <w:rsid w:val="0070554F"/>
    <w:rsid w:val="00705A34"/>
    <w:rsid w:val="00710028"/>
    <w:rsid w:val="00711FD7"/>
    <w:rsid w:val="00712A11"/>
    <w:rsid w:val="007130B9"/>
    <w:rsid w:val="0071440C"/>
    <w:rsid w:val="00714F92"/>
    <w:rsid w:val="0072269E"/>
    <w:rsid w:val="0072292B"/>
    <w:rsid w:val="00727169"/>
    <w:rsid w:val="00731DCB"/>
    <w:rsid w:val="00732D89"/>
    <w:rsid w:val="00736157"/>
    <w:rsid w:val="007365DF"/>
    <w:rsid w:val="00737AC1"/>
    <w:rsid w:val="00741311"/>
    <w:rsid w:val="00744A5B"/>
    <w:rsid w:val="0075788A"/>
    <w:rsid w:val="00761771"/>
    <w:rsid w:val="007623EE"/>
    <w:rsid w:val="0076582C"/>
    <w:rsid w:val="00766590"/>
    <w:rsid w:val="00767AB9"/>
    <w:rsid w:val="00767C49"/>
    <w:rsid w:val="00771A3F"/>
    <w:rsid w:val="00773251"/>
    <w:rsid w:val="0077434B"/>
    <w:rsid w:val="007748A2"/>
    <w:rsid w:val="00777403"/>
    <w:rsid w:val="00777AA4"/>
    <w:rsid w:val="00777ACA"/>
    <w:rsid w:val="0078020D"/>
    <w:rsid w:val="00780582"/>
    <w:rsid w:val="00781DE8"/>
    <w:rsid w:val="00783435"/>
    <w:rsid w:val="00783859"/>
    <w:rsid w:val="007839BB"/>
    <w:rsid w:val="0078680B"/>
    <w:rsid w:val="007906FF"/>
    <w:rsid w:val="007909FE"/>
    <w:rsid w:val="00792E92"/>
    <w:rsid w:val="00793C19"/>
    <w:rsid w:val="00797DE5"/>
    <w:rsid w:val="007A0855"/>
    <w:rsid w:val="007A0BDA"/>
    <w:rsid w:val="007A2297"/>
    <w:rsid w:val="007A5AEE"/>
    <w:rsid w:val="007A6BEF"/>
    <w:rsid w:val="007A7F28"/>
    <w:rsid w:val="007B0635"/>
    <w:rsid w:val="007B1473"/>
    <w:rsid w:val="007B5EC0"/>
    <w:rsid w:val="007B6035"/>
    <w:rsid w:val="007B6735"/>
    <w:rsid w:val="007B6F54"/>
    <w:rsid w:val="007B6FA6"/>
    <w:rsid w:val="007B7661"/>
    <w:rsid w:val="007C0721"/>
    <w:rsid w:val="007C169C"/>
    <w:rsid w:val="007C687C"/>
    <w:rsid w:val="007D131E"/>
    <w:rsid w:val="007D2A8D"/>
    <w:rsid w:val="007D66C9"/>
    <w:rsid w:val="007D6D82"/>
    <w:rsid w:val="007D78BF"/>
    <w:rsid w:val="007D7B2D"/>
    <w:rsid w:val="007E0E67"/>
    <w:rsid w:val="007E185B"/>
    <w:rsid w:val="007E269E"/>
    <w:rsid w:val="007E2A02"/>
    <w:rsid w:val="007E2DEE"/>
    <w:rsid w:val="007E51A9"/>
    <w:rsid w:val="007E578F"/>
    <w:rsid w:val="007E75BD"/>
    <w:rsid w:val="007F5294"/>
    <w:rsid w:val="007F5EC4"/>
    <w:rsid w:val="007F605C"/>
    <w:rsid w:val="0080180D"/>
    <w:rsid w:val="008051F6"/>
    <w:rsid w:val="00805882"/>
    <w:rsid w:val="00805DD3"/>
    <w:rsid w:val="0080686D"/>
    <w:rsid w:val="00810D41"/>
    <w:rsid w:val="0081127B"/>
    <w:rsid w:val="0081173E"/>
    <w:rsid w:val="00811ED1"/>
    <w:rsid w:val="00812DE2"/>
    <w:rsid w:val="00814B02"/>
    <w:rsid w:val="00815852"/>
    <w:rsid w:val="00815C99"/>
    <w:rsid w:val="00816223"/>
    <w:rsid w:val="00816422"/>
    <w:rsid w:val="00816439"/>
    <w:rsid w:val="00827D25"/>
    <w:rsid w:val="00827D9D"/>
    <w:rsid w:val="00832638"/>
    <w:rsid w:val="008328AF"/>
    <w:rsid w:val="00832CF2"/>
    <w:rsid w:val="008338B4"/>
    <w:rsid w:val="008341A1"/>
    <w:rsid w:val="0083598F"/>
    <w:rsid w:val="00835A9E"/>
    <w:rsid w:val="00837389"/>
    <w:rsid w:val="0084009D"/>
    <w:rsid w:val="00841A18"/>
    <w:rsid w:val="00842746"/>
    <w:rsid w:val="008428C0"/>
    <w:rsid w:val="008454B4"/>
    <w:rsid w:val="0086369C"/>
    <w:rsid w:val="008647B2"/>
    <w:rsid w:val="00870948"/>
    <w:rsid w:val="00871E14"/>
    <w:rsid w:val="00874C91"/>
    <w:rsid w:val="00875697"/>
    <w:rsid w:val="00880E7B"/>
    <w:rsid w:val="00881E44"/>
    <w:rsid w:val="008840D3"/>
    <w:rsid w:val="00886DEC"/>
    <w:rsid w:val="00890C3A"/>
    <w:rsid w:val="008919C6"/>
    <w:rsid w:val="00895015"/>
    <w:rsid w:val="008A27FA"/>
    <w:rsid w:val="008A3F30"/>
    <w:rsid w:val="008A42EE"/>
    <w:rsid w:val="008A7111"/>
    <w:rsid w:val="008B3C40"/>
    <w:rsid w:val="008B4D89"/>
    <w:rsid w:val="008C18C3"/>
    <w:rsid w:val="008C1EDF"/>
    <w:rsid w:val="008C2284"/>
    <w:rsid w:val="008C2BF9"/>
    <w:rsid w:val="008C4059"/>
    <w:rsid w:val="008C5AFE"/>
    <w:rsid w:val="008C650B"/>
    <w:rsid w:val="008C7C30"/>
    <w:rsid w:val="008D101B"/>
    <w:rsid w:val="008D3326"/>
    <w:rsid w:val="008D3E29"/>
    <w:rsid w:val="008D5EA3"/>
    <w:rsid w:val="008D6D52"/>
    <w:rsid w:val="008E39E9"/>
    <w:rsid w:val="008E4760"/>
    <w:rsid w:val="008E4F24"/>
    <w:rsid w:val="008E54D9"/>
    <w:rsid w:val="008E6230"/>
    <w:rsid w:val="008F012B"/>
    <w:rsid w:val="008F0960"/>
    <w:rsid w:val="008F67AB"/>
    <w:rsid w:val="009042FE"/>
    <w:rsid w:val="0090618D"/>
    <w:rsid w:val="0090762D"/>
    <w:rsid w:val="00911A1B"/>
    <w:rsid w:val="0091240C"/>
    <w:rsid w:val="00913468"/>
    <w:rsid w:val="00916F8B"/>
    <w:rsid w:val="00917021"/>
    <w:rsid w:val="00920DDA"/>
    <w:rsid w:val="009222E1"/>
    <w:rsid w:val="00923982"/>
    <w:rsid w:val="0092521D"/>
    <w:rsid w:val="009253AA"/>
    <w:rsid w:val="009279C2"/>
    <w:rsid w:val="00930856"/>
    <w:rsid w:val="00930E35"/>
    <w:rsid w:val="0093453E"/>
    <w:rsid w:val="00937BCF"/>
    <w:rsid w:val="00941D56"/>
    <w:rsid w:val="00942CA3"/>
    <w:rsid w:val="00942E72"/>
    <w:rsid w:val="00943081"/>
    <w:rsid w:val="009434C2"/>
    <w:rsid w:val="00947F72"/>
    <w:rsid w:val="0095106A"/>
    <w:rsid w:val="00952308"/>
    <w:rsid w:val="0095522F"/>
    <w:rsid w:val="00956CD7"/>
    <w:rsid w:val="00960692"/>
    <w:rsid w:val="0096235A"/>
    <w:rsid w:val="009663A1"/>
    <w:rsid w:val="00967384"/>
    <w:rsid w:val="00970BF7"/>
    <w:rsid w:val="009713CA"/>
    <w:rsid w:val="00973F0D"/>
    <w:rsid w:val="00976140"/>
    <w:rsid w:val="009767C4"/>
    <w:rsid w:val="00976BA5"/>
    <w:rsid w:val="00986CD8"/>
    <w:rsid w:val="009903C1"/>
    <w:rsid w:val="0099293E"/>
    <w:rsid w:val="009937EC"/>
    <w:rsid w:val="009A0054"/>
    <w:rsid w:val="009A0073"/>
    <w:rsid w:val="009A0474"/>
    <w:rsid w:val="009A0494"/>
    <w:rsid w:val="009A257B"/>
    <w:rsid w:val="009A2762"/>
    <w:rsid w:val="009A30A3"/>
    <w:rsid w:val="009A30DA"/>
    <w:rsid w:val="009A5471"/>
    <w:rsid w:val="009A79FE"/>
    <w:rsid w:val="009A7ECE"/>
    <w:rsid w:val="009B2327"/>
    <w:rsid w:val="009B30C3"/>
    <w:rsid w:val="009B36AE"/>
    <w:rsid w:val="009B446F"/>
    <w:rsid w:val="009C3275"/>
    <w:rsid w:val="009C4DA7"/>
    <w:rsid w:val="009C55A4"/>
    <w:rsid w:val="009C5826"/>
    <w:rsid w:val="009C5EBE"/>
    <w:rsid w:val="009C62A3"/>
    <w:rsid w:val="009C6960"/>
    <w:rsid w:val="009D1B1D"/>
    <w:rsid w:val="009D2646"/>
    <w:rsid w:val="009D40A2"/>
    <w:rsid w:val="009D5EAC"/>
    <w:rsid w:val="009D685E"/>
    <w:rsid w:val="009D7EF2"/>
    <w:rsid w:val="009E0215"/>
    <w:rsid w:val="009E164D"/>
    <w:rsid w:val="009E45DE"/>
    <w:rsid w:val="009E5042"/>
    <w:rsid w:val="009E5386"/>
    <w:rsid w:val="009E5DA2"/>
    <w:rsid w:val="009F0017"/>
    <w:rsid w:val="009F19A5"/>
    <w:rsid w:val="009F23BB"/>
    <w:rsid w:val="009F29B1"/>
    <w:rsid w:val="009F4750"/>
    <w:rsid w:val="009F5A74"/>
    <w:rsid w:val="009F5E1F"/>
    <w:rsid w:val="009F68FB"/>
    <w:rsid w:val="00A002B3"/>
    <w:rsid w:val="00A0045F"/>
    <w:rsid w:val="00A006EB"/>
    <w:rsid w:val="00A038E0"/>
    <w:rsid w:val="00A063E0"/>
    <w:rsid w:val="00A07203"/>
    <w:rsid w:val="00A128C6"/>
    <w:rsid w:val="00A14D18"/>
    <w:rsid w:val="00A15962"/>
    <w:rsid w:val="00A207EC"/>
    <w:rsid w:val="00A2315C"/>
    <w:rsid w:val="00A24C9F"/>
    <w:rsid w:val="00A31744"/>
    <w:rsid w:val="00A321DC"/>
    <w:rsid w:val="00A356A2"/>
    <w:rsid w:val="00A36097"/>
    <w:rsid w:val="00A37DDD"/>
    <w:rsid w:val="00A40804"/>
    <w:rsid w:val="00A413A4"/>
    <w:rsid w:val="00A413E6"/>
    <w:rsid w:val="00A41856"/>
    <w:rsid w:val="00A41DF1"/>
    <w:rsid w:val="00A438C8"/>
    <w:rsid w:val="00A451EB"/>
    <w:rsid w:val="00A456DA"/>
    <w:rsid w:val="00A46156"/>
    <w:rsid w:val="00A4765D"/>
    <w:rsid w:val="00A476FA"/>
    <w:rsid w:val="00A54429"/>
    <w:rsid w:val="00A562CD"/>
    <w:rsid w:val="00A616C7"/>
    <w:rsid w:val="00A64630"/>
    <w:rsid w:val="00A65799"/>
    <w:rsid w:val="00A65ABA"/>
    <w:rsid w:val="00A6688B"/>
    <w:rsid w:val="00A66A74"/>
    <w:rsid w:val="00A67DDA"/>
    <w:rsid w:val="00A711C5"/>
    <w:rsid w:val="00A71D6B"/>
    <w:rsid w:val="00A72BDB"/>
    <w:rsid w:val="00A72C00"/>
    <w:rsid w:val="00A75B72"/>
    <w:rsid w:val="00A76023"/>
    <w:rsid w:val="00A81B9D"/>
    <w:rsid w:val="00A82268"/>
    <w:rsid w:val="00A83055"/>
    <w:rsid w:val="00A84E96"/>
    <w:rsid w:val="00A90738"/>
    <w:rsid w:val="00A9437C"/>
    <w:rsid w:val="00A9495B"/>
    <w:rsid w:val="00A94BD1"/>
    <w:rsid w:val="00A956B9"/>
    <w:rsid w:val="00A96FB2"/>
    <w:rsid w:val="00A97121"/>
    <w:rsid w:val="00AA0C7C"/>
    <w:rsid w:val="00AA104C"/>
    <w:rsid w:val="00AA378E"/>
    <w:rsid w:val="00AA564C"/>
    <w:rsid w:val="00AB04E5"/>
    <w:rsid w:val="00AB7ABA"/>
    <w:rsid w:val="00AC489F"/>
    <w:rsid w:val="00AC689F"/>
    <w:rsid w:val="00AD036C"/>
    <w:rsid w:val="00AD062D"/>
    <w:rsid w:val="00AD3660"/>
    <w:rsid w:val="00AD3A69"/>
    <w:rsid w:val="00AD4BD0"/>
    <w:rsid w:val="00AD59BA"/>
    <w:rsid w:val="00AE0987"/>
    <w:rsid w:val="00AE350F"/>
    <w:rsid w:val="00AE3B0E"/>
    <w:rsid w:val="00AE406F"/>
    <w:rsid w:val="00AE7898"/>
    <w:rsid w:val="00AF0A7F"/>
    <w:rsid w:val="00AF2E55"/>
    <w:rsid w:val="00AF3FA5"/>
    <w:rsid w:val="00B01251"/>
    <w:rsid w:val="00B10D16"/>
    <w:rsid w:val="00B14056"/>
    <w:rsid w:val="00B14193"/>
    <w:rsid w:val="00B24BC0"/>
    <w:rsid w:val="00B25D57"/>
    <w:rsid w:val="00B27762"/>
    <w:rsid w:val="00B3019E"/>
    <w:rsid w:val="00B30230"/>
    <w:rsid w:val="00B322E2"/>
    <w:rsid w:val="00B329EC"/>
    <w:rsid w:val="00B3632F"/>
    <w:rsid w:val="00B401B1"/>
    <w:rsid w:val="00B40764"/>
    <w:rsid w:val="00B412BE"/>
    <w:rsid w:val="00B41C60"/>
    <w:rsid w:val="00B431AD"/>
    <w:rsid w:val="00B47100"/>
    <w:rsid w:val="00B475C7"/>
    <w:rsid w:val="00B53FAF"/>
    <w:rsid w:val="00B54C3B"/>
    <w:rsid w:val="00B60F99"/>
    <w:rsid w:val="00B6271A"/>
    <w:rsid w:val="00B627FC"/>
    <w:rsid w:val="00B62A15"/>
    <w:rsid w:val="00B64D43"/>
    <w:rsid w:val="00B66B10"/>
    <w:rsid w:val="00B706D7"/>
    <w:rsid w:val="00B71B32"/>
    <w:rsid w:val="00B722A2"/>
    <w:rsid w:val="00B7380B"/>
    <w:rsid w:val="00B743DA"/>
    <w:rsid w:val="00B74EA9"/>
    <w:rsid w:val="00B75565"/>
    <w:rsid w:val="00B75912"/>
    <w:rsid w:val="00B80C24"/>
    <w:rsid w:val="00B84F20"/>
    <w:rsid w:val="00B85267"/>
    <w:rsid w:val="00B8538C"/>
    <w:rsid w:val="00B9091F"/>
    <w:rsid w:val="00B9226B"/>
    <w:rsid w:val="00B9336F"/>
    <w:rsid w:val="00B9425D"/>
    <w:rsid w:val="00B9770B"/>
    <w:rsid w:val="00BA0402"/>
    <w:rsid w:val="00BA2774"/>
    <w:rsid w:val="00BA2C77"/>
    <w:rsid w:val="00BA4711"/>
    <w:rsid w:val="00BA49C1"/>
    <w:rsid w:val="00BA631F"/>
    <w:rsid w:val="00BA6D0D"/>
    <w:rsid w:val="00BB10AA"/>
    <w:rsid w:val="00BB2550"/>
    <w:rsid w:val="00BB4D20"/>
    <w:rsid w:val="00BB6240"/>
    <w:rsid w:val="00BB70D0"/>
    <w:rsid w:val="00BC1375"/>
    <w:rsid w:val="00BC3970"/>
    <w:rsid w:val="00BC4D04"/>
    <w:rsid w:val="00BC507A"/>
    <w:rsid w:val="00BC6962"/>
    <w:rsid w:val="00BC7421"/>
    <w:rsid w:val="00BD0414"/>
    <w:rsid w:val="00BD04A6"/>
    <w:rsid w:val="00BD31CA"/>
    <w:rsid w:val="00BD5A7D"/>
    <w:rsid w:val="00BD5F41"/>
    <w:rsid w:val="00BD68B7"/>
    <w:rsid w:val="00BD7D52"/>
    <w:rsid w:val="00BD7D8E"/>
    <w:rsid w:val="00BE1A49"/>
    <w:rsid w:val="00BE1B1F"/>
    <w:rsid w:val="00BE201E"/>
    <w:rsid w:val="00BE203C"/>
    <w:rsid w:val="00BE2FC9"/>
    <w:rsid w:val="00BE32AD"/>
    <w:rsid w:val="00BE3FD8"/>
    <w:rsid w:val="00BE4597"/>
    <w:rsid w:val="00BE5671"/>
    <w:rsid w:val="00BE745A"/>
    <w:rsid w:val="00BF08C2"/>
    <w:rsid w:val="00BF27BF"/>
    <w:rsid w:val="00BF4BEA"/>
    <w:rsid w:val="00BF5E48"/>
    <w:rsid w:val="00BF751C"/>
    <w:rsid w:val="00C026C3"/>
    <w:rsid w:val="00C03C08"/>
    <w:rsid w:val="00C04811"/>
    <w:rsid w:val="00C04A6C"/>
    <w:rsid w:val="00C06986"/>
    <w:rsid w:val="00C07501"/>
    <w:rsid w:val="00C10298"/>
    <w:rsid w:val="00C1048E"/>
    <w:rsid w:val="00C13386"/>
    <w:rsid w:val="00C15F82"/>
    <w:rsid w:val="00C174F0"/>
    <w:rsid w:val="00C17D76"/>
    <w:rsid w:val="00C21637"/>
    <w:rsid w:val="00C2199B"/>
    <w:rsid w:val="00C23E20"/>
    <w:rsid w:val="00C23F0D"/>
    <w:rsid w:val="00C26A05"/>
    <w:rsid w:val="00C27909"/>
    <w:rsid w:val="00C279C0"/>
    <w:rsid w:val="00C33E2A"/>
    <w:rsid w:val="00C3508A"/>
    <w:rsid w:val="00C35701"/>
    <w:rsid w:val="00C36378"/>
    <w:rsid w:val="00C368B5"/>
    <w:rsid w:val="00C40105"/>
    <w:rsid w:val="00C42698"/>
    <w:rsid w:val="00C42BAF"/>
    <w:rsid w:val="00C43512"/>
    <w:rsid w:val="00C44FC5"/>
    <w:rsid w:val="00C45388"/>
    <w:rsid w:val="00C45B73"/>
    <w:rsid w:val="00C45F7C"/>
    <w:rsid w:val="00C502C4"/>
    <w:rsid w:val="00C50EF1"/>
    <w:rsid w:val="00C55FE2"/>
    <w:rsid w:val="00C571A7"/>
    <w:rsid w:val="00C57A9C"/>
    <w:rsid w:val="00C57C3A"/>
    <w:rsid w:val="00C628A0"/>
    <w:rsid w:val="00C651E1"/>
    <w:rsid w:val="00C6525E"/>
    <w:rsid w:val="00C6566A"/>
    <w:rsid w:val="00C67349"/>
    <w:rsid w:val="00C67BE8"/>
    <w:rsid w:val="00C721A3"/>
    <w:rsid w:val="00C7302D"/>
    <w:rsid w:val="00C73C8A"/>
    <w:rsid w:val="00C75A7E"/>
    <w:rsid w:val="00C75F40"/>
    <w:rsid w:val="00C7775E"/>
    <w:rsid w:val="00C8016C"/>
    <w:rsid w:val="00C81510"/>
    <w:rsid w:val="00C831E5"/>
    <w:rsid w:val="00C83A78"/>
    <w:rsid w:val="00C8628B"/>
    <w:rsid w:val="00C90863"/>
    <w:rsid w:val="00C915CF"/>
    <w:rsid w:val="00C92150"/>
    <w:rsid w:val="00C9669E"/>
    <w:rsid w:val="00CA03E8"/>
    <w:rsid w:val="00CA1107"/>
    <w:rsid w:val="00CA13CA"/>
    <w:rsid w:val="00CA3426"/>
    <w:rsid w:val="00CA43ED"/>
    <w:rsid w:val="00CB0DF2"/>
    <w:rsid w:val="00CB10B8"/>
    <w:rsid w:val="00CB2160"/>
    <w:rsid w:val="00CB3FE6"/>
    <w:rsid w:val="00CB436D"/>
    <w:rsid w:val="00CC0610"/>
    <w:rsid w:val="00CC0BFD"/>
    <w:rsid w:val="00CC158B"/>
    <w:rsid w:val="00CC2C45"/>
    <w:rsid w:val="00CC4A50"/>
    <w:rsid w:val="00CD4FB7"/>
    <w:rsid w:val="00CD7FEA"/>
    <w:rsid w:val="00CE0B9E"/>
    <w:rsid w:val="00CE27F7"/>
    <w:rsid w:val="00CE29A3"/>
    <w:rsid w:val="00CE5A4A"/>
    <w:rsid w:val="00CE694F"/>
    <w:rsid w:val="00CE72AC"/>
    <w:rsid w:val="00CE7BA3"/>
    <w:rsid w:val="00CE7E95"/>
    <w:rsid w:val="00CF056A"/>
    <w:rsid w:val="00D02854"/>
    <w:rsid w:val="00D055FB"/>
    <w:rsid w:val="00D05821"/>
    <w:rsid w:val="00D06745"/>
    <w:rsid w:val="00D07510"/>
    <w:rsid w:val="00D07E25"/>
    <w:rsid w:val="00D1250E"/>
    <w:rsid w:val="00D139C9"/>
    <w:rsid w:val="00D17E69"/>
    <w:rsid w:val="00D235C8"/>
    <w:rsid w:val="00D239F4"/>
    <w:rsid w:val="00D2500B"/>
    <w:rsid w:val="00D27289"/>
    <w:rsid w:val="00D33A72"/>
    <w:rsid w:val="00D35A4C"/>
    <w:rsid w:val="00D3797F"/>
    <w:rsid w:val="00D414D9"/>
    <w:rsid w:val="00D42310"/>
    <w:rsid w:val="00D440E2"/>
    <w:rsid w:val="00D44DF9"/>
    <w:rsid w:val="00D46FDE"/>
    <w:rsid w:val="00D50598"/>
    <w:rsid w:val="00D5061B"/>
    <w:rsid w:val="00D50631"/>
    <w:rsid w:val="00D51E25"/>
    <w:rsid w:val="00D52EDA"/>
    <w:rsid w:val="00D54D6E"/>
    <w:rsid w:val="00D57444"/>
    <w:rsid w:val="00D645C2"/>
    <w:rsid w:val="00D65661"/>
    <w:rsid w:val="00D72543"/>
    <w:rsid w:val="00D75B44"/>
    <w:rsid w:val="00D76D4C"/>
    <w:rsid w:val="00D777CD"/>
    <w:rsid w:val="00D8190A"/>
    <w:rsid w:val="00D81EE9"/>
    <w:rsid w:val="00D83389"/>
    <w:rsid w:val="00D852A1"/>
    <w:rsid w:val="00D901F8"/>
    <w:rsid w:val="00D9501F"/>
    <w:rsid w:val="00D971DB"/>
    <w:rsid w:val="00DA105E"/>
    <w:rsid w:val="00DA1693"/>
    <w:rsid w:val="00DA27D4"/>
    <w:rsid w:val="00DA2BC8"/>
    <w:rsid w:val="00DA31BB"/>
    <w:rsid w:val="00DA5411"/>
    <w:rsid w:val="00DA7103"/>
    <w:rsid w:val="00DB127B"/>
    <w:rsid w:val="00DB2EFF"/>
    <w:rsid w:val="00DB57B9"/>
    <w:rsid w:val="00DB6E23"/>
    <w:rsid w:val="00DB6F09"/>
    <w:rsid w:val="00DB713F"/>
    <w:rsid w:val="00DC3106"/>
    <w:rsid w:val="00DC401C"/>
    <w:rsid w:val="00DC44E1"/>
    <w:rsid w:val="00DC5ED4"/>
    <w:rsid w:val="00DC65BA"/>
    <w:rsid w:val="00DC74E1"/>
    <w:rsid w:val="00DC760A"/>
    <w:rsid w:val="00DD2A12"/>
    <w:rsid w:val="00DE0E6A"/>
    <w:rsid w:val="00DE435A"/>
    <w:rsid w:val="00DE6B52"/>
    <w:rsid w:val="00DE6EFB"/>
    <w:rsid w:val="00DF0A86"/>
    <w:rsid w:val="00DF1F03"/>
    <w:rsid w:val="00DF4050"/>
    <w:rsid w:val="00E02AA2"/>
    <w:rsid w:val="00E02DA3"/>
    <w:rsid w:val="00E02F63"/>
    <w:rsid w:val="00E06EAB"/>
    <w:rsid w:val="00E10577"/>
    <w:rsid w:val="00E10EC4"/>
    <w:rsid w:val="00E10F5A"/>
    <w:rsid w:val="00E1152A"/>
    <w:rsid w:val="00E12039"/>
    <w:rsid w:val="00E12EA2"/>
    <w:rsid w:val="00E13482"/>
    <w:rsid w:val="00E13F5D"/>
    <w:rsid w:val="00E14714"/>
    <w:rsid w:val="00E1483A"/>
    <w:rsid w:val="00E15FD4"/>
    <w:rsid w:val="00E1729F"/>
    <w:rsid w:val="00E2434E"/>
    <w:rsid w:val="00E24951"/>
    <w:rsid w:val="00E25AB7"/>
    <w:rsid w:val="00E262B5"/>
    <w:rsid w:val="00E3006F"/>
    <w:rsid w:val="00E3062F"/>
    <w:rsid w:val="00E3082E"/>
    <w:rsid w:val="00E31E39"/>
    <w:rsid w:val="00E37633"/>
    <w:rsid w:val="00E4323E"/>
    <w:rsid w:val="00E475B9"/>
    <w:rsid w:val="00E5049D"/>
    <w:rsid w:val="00E50634"/>
    <w:rsid w:val="00E510ED"/>
    <w:rsid w:val="00E51EC5"/>
    <w:rsid w:val="00E52463"/>
    <w:rsid w:val="00E52AB9"/>
    <w:rsid w:val="00E5365D"/>
    <w:rsid w:val="00E561E6"/>
    <w:rsid w:val="00E63C0E"/>
    <w:rsid w:val="00E64A0C"/>
    <w:rsid w:val="00E64DAE"/>
    <w:rsid w:val="00E666DC"/>
    <w:rsid w:val="00E6735A"/>
    <w:rsid w:val="00E74961"/>
    <w:rsid w:val="00E76B4B"/>
    <w:rsid w:val="00E84A7E"/>
    <w:rsid w:val="00E857CC"/>
    <w:rsid w:val="00E914FB"/>
    <w:rsid w:val="00E919B0"/>
    <w:rsid w:val="00E94AC2"/>
    <w:rsid w:val="00E95ADE"/>
    <w:rsid w:val="00E973D4"/>
    <w:rsid w:val="00EA0362"/>
    <w:rsid w:val="00EA6821"/>
    <w:rsid w:val="00EA69C1"/>
    <w:rsid w:val="00EA6E2F"/>
    <w:rsid w:val="00EB1C2B"/>
    <w:rsid w:val="00EB361D"/>
    <w:rsid w:val="00EB41DA"/>
    <w:rsid w:val="00EC073E"/>
    <w:rsid w:val="00EC1337"/>
    <w:rsid w:val="00EC422C"/>
    <w:rsid w:val="00EC4BB1"/>
    <w:rsid w:val="00EC54F1"/>
    <w:rsid w:val="00EC5E79"/>
    <w:rsid w:val="00EC6D07"/>
    <w:rsid w:val="00EC7269"/>
    <w:rsid w:val="00ED28A4"/>
    <w:rsid w:val="00ED3BF6"/>
    <w:rsid w:val="00ED418C"/>
    <w:rsid w:val="00ED5EC0"/>
    <w:rsid w:val="00ED623F"/>
    <w:rsid w:val="00ED6C9C"/>
    <w:rsid w:val="00ED7900"/>
    <w:rsid w:val="00ED7E2C"/>
    <w:rsid w:val="00EE1343"/>
    <w:rsid w:val="00EE17E9"/>
    <w:rsid w:val="00EE6A24"/>
    <w:rsid w:val="00EE797F"/>
    <w:rsid w:val="00EF0119"/>
    <w:rsid w:val="00EF28D0"/>
    <w:rsid w:val="00EF2BBE"/>
    <w:rsid w:val="00EF3CCB"/>
    <w:rsid w:val="00EF4B1D"/>
    <w:rsid w:val="00F0089C"/>
    <w:rsid w:val="00F01BE4"/>
    <w:rsid w:val="00F02503"/>
    <w:rsid w:val="00F02507"/>
    <w:rsid w:val="00F03864"/>
    <w:rsid w:val="00F05308"/>
    <w:rsid w:val="00F055D7"/>
    <w:rsid w:val="00F07AE4"/>
    <w:rsid w:val="00F1084C"/>
    <w:rsid w:val="00F11666"/>
    <w:rsid w:val="00F1410C"/>
    <w:rsid w:val="00F1559E"/>
    <w:rsid w:val="00F15CDA"/>
    <w:rsid w:val="00F17E65"/>
    <w:rsid w:val="00F20F34"/>
    <w:rsid w:val="00F212C7"/>
    <w:rsid w:val="00F25624"/>
    <w:rsid w:val="00F262FE"/>
    <w:rsid w:val="00F27908"/>
    <w:rsid w:val="00F3242C"/>
    <w:rsid w:val="00F335B4"/>
    <w:rsid w:val="00F37A37"/>
    <w:rsid w:val="00F41B2B"/>
    <w:rsid w:val="00F42212"/>
    <w:rsid w:val="00F42FDC"/>
    <w:rsid w:val="00F51FEE"/>
    <w:rsid w:val="00F53296"/>
    <w:rsid w:val="00F54419"/>
    <w:rsid w:val="00F56C39"/>
    <w:rsid w:val="00F56DA6"/>
    <w:rsid w:val="00F640DB"/>
    <w:rsid w:val="00F6433D"/>
    <w:rsid w:val="00F70462"/>
    <w:rsid w:val="00F70AA0"/>
    <w:rsid w:val="00F71F0B"/>
    <w:rsid w:val="00F733FB"/>
    <w:rsid w:val="00F74E5F"/>
    <w:rsid w:val="00F76CF0"/>
    <w:rsid w:val="00F8033E"/>
    <w:rsid w:val="00F824E3"/>
    <w:rsid w:val="00F826E7"/>
    <w:rsid w:val="00F83A35"/>
    <w:rsid w:val="00F85689"/>
    <w:rsid w:val="00F86F43"/>
    <w:rsid w:val="00F9052E"/>
    <w:rsid w:val="00F90FCD"/>
    <w:rsid w:val="00F944CA"/>
    <w:rsid w:val="00F94809"/>
    <w:rsid w:val="00F94D46"/>
    <w:rsid w:val="00F974EA"/>
    <w:rsid w:val="00FA00F2"/>
    <w:rsid w:val="00FA090E"/>
    <w:rsid w:val="00FA0C73"/>
    <w:rsid w:val="00FA0D9A"/>
    <w:rsid w:val="00FA1016"/>
    <w:rsid w:val="00FA1D15"/>
    <w:rsid w:val="00FA2A3F"/>
    <w:rsid w:val="00FA2FBF"/>
    <w:rsid w:val="00FA5257"/>
    <w:rsid w:val="00FA59E5"/>
    <w:rsid w:val="00FB5A84"/>
    <w:rsid w:val="00FC17F1"/>
    <w:rsid w:val="00FC7055"/>
    <w:rsid w:val="00FD0FE3"/>
    <w:rsid w:val="00FD1843"/>
    <w:rsid w:val="00FD2D68"/>
    <w:rsid w:val="00FE2200"/>
    <w:rsid w:val="00FE33BF"/>
    <w:rsid w:val="00FE3E0A"/>
    <w:rsid w:val="00FE43BB"/>
    <w:rsid w:val="00FE5E4D"/>
    <w:rsid w:val="00FE6C77"/>
    <w:rsid w:val="00FF29FB"/>
    <w:rsid w:val="00FF3CDD"/>
    <w:rsid w:val="00FF3FCC"/>
    <w:rsid w:val="00FF4339"/>
    <w:rsid w:val="00FF4D95"/>
    <w:rsid w:val="00FF5A12"/>
    <w:rsid w:val="00FF73C7"/>
    <w:rsid w:val="00FF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6305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6D"/>
    <w:rPr>
      <w:sz w:val="24"/>
      <w:szCs w:val="24"/>
    </w:rPr>
  </w:style>
  <w:style w:type="paragraph" w:styleId="Heading2">
    <w:name w:val="heading 2"/>
    <w:basedOn w:val="Normal"/>
    <w:link w:val="Heading2Char"/>
    <w:uiPriority w:val="99"/>
    <w:qFormat/>
    <w:rsid w:val="0080180D"/>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0DEA"/>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183E03"/>
    <w:rPr>
      <w:rFonts w:cs="Times New Roman"/>
      <w:color w:val="0000FF"/>
      <w:u w:val="single"/>
    </w:rPr>
  </w:style>
  <w:style w:type="character" w:customStyle="1" w:styleId="apple-style-span">
    <w:name w:val="apple-style-span"/>
    <w:basedOn w:val="DefaultParagraphFont"/>
    <w:uiPriority w:val="99"/>
    <w:rsid w:val="00183E03"/>
    <w:rPr>
      <w:rFonts w:cs="Times New Roman"/>
    </w:rPr>
  </w:style>
  <w:style w:type="character" w:customStyle="1" w:styleId="apple-converted-space">
    <w:name w:val="apple-converted-space"/>
    <w:basedOn w:val="DefaultParagraphFont"/>
    <w:uiPriority w:val="99"/>
    <w:rsid w:val="00183E03"/>
    <w:rPr>
      <w:rFonts w:cs="Times New Roman"/>
    </w:rPr>
  </w:style>
  <w:style w:type="paragraph" w:styleId="HTMLPreformatted">
    <w:name w:val="HTML Preformatted"/>
    <w:basedOn w:val="Normal"/>
    <w:link w:val="HTMLPreformattedChar"/>
    <w:uiPriority w:val="99"/>
    <w:rsid w:val="00183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00DEA"/>
    <w:rPr>
      <w:rFonts w:ascii="Courier New" w:hAnsi="Courier New" w:cs="Courier New"/>
      <w:sz w:val="20"/>
      <w:szCs w:val="20"/>
    </w:rPr>
  </w:style>
  <w:style w:type="character" w:customStyle="1" w:styleId="result">
    <w:name w:val="result"/>
    <w:uiPriority w:val="99"/>
    <w:rsid w:val="00183E03"/>
    <w:rPr>
      <w:color w:val="000080"/>
    </w:rPr>
  </w:style>
  <w:style w:type="character" w:customStyle="1" w:styleId="normal1">
    <w:name w:val="normal1"/>
    <w:uiPriority w:val="99"/>
    <w:rsid w:val="00233630"/>
    <w:rPr>
      <w:rFonts w:ascii="Arial" w:hAnsi="Arial"/>
      <w:color w:val="000000"/>
      <w:sz w:val="20"/>
    </w:rPr>
  </w:style>
  <w:style w:type="table" w:styleId="TableSimple1">
    <w:name w:val="Table Simple 1"/>
    <w:aliases w:val="journals"/>
    <w:basedOn w:val="TableNormal"/>
    <w:uiPriority w:val="99"/>
    <w:rsid w:val="0023363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styleId="HTMLAcronym">
    <w:name w:val="HTML Acronym"/>
    <w:basedOn w:val="DefaultParagraphFont"/>
    <w:uiPriority w:val="99"/>
    <w:rsid w:val="00233630"/>
    <w:rPr>
      <w:rFonts w:cs="Times New Roman"/>
    </w:rPr>
  </w:style>
  <w:style w:type="character" w:customStyle="1" w:styleId="small1">
    <w:name w:val="small1"/>
    <w:uiPriority w:val="99"/>
    <w:rsid w:val="0080180D"/>
    <w:rPr>
      <w:sz w:val="19"/>
    </w:rPr>
  </w:style>
  <w:style w:type="paragraph" w:styleId="Footer">
    <w:name w:val="footer"/>
    <w:basedOn w:val="Normal"/>
    <w:link w:val="FooterChar"/>
    <w:uiPriority w:val="99"/>
    <w:rsid w:val="00382919"/>
    <w:pPr>
      <w:tabs>
        <w:tab w:val="center" w:pos="4320"/>
        <w:tab w:val="right" w:pos="8640"/>
      </w:tabs>
    </w:pPr>
  </w:style>
  <w:style w:type="character" w:customStyle="1" w:styleId="FooterChar">
    <w:name w:val="Footer Char"/>
    <w:basedOn w:val="DefaultParagraphFont"/>
    <w:link w:val="Footer"/>
    <w:uiPriority w:val="99"/>
    <w:semiHidden/>
    <w:rsid w:val="00300DEA"/>
    <w:rPr>
      <w:sz w:val="24"/>
      <w:szCs w:val="24"/>
    </w:rPr>
  </w:style>
  <w:style w:type="character" w:styleId="PageNumber">
    <w:name w:val="page number"/>
    <w:basedOn w:val="DefaultParagraphFont"/>
    <w:uiPriority w:val="99"/>
    <w:rsid w:val="00382919"/>
    <w:rPr>
      <w:rFonts w:cs="Times New Roman"/>
    </w:rPr>
  </w:style>
  <w:style w:type="character" w:styleId="LineNumber">
    <w:name w:val="line number"/>
    <w:basedOn w:val="DefaultParagraphFont"/>
    <w:uiPriority w:val="99"/>
    <w:rsid w:val="00ED418C"/>
    <w:rPr>
      <w:rFonts w:cs="Times New Roman"/>
    </w:rPr>
  </w:style>
  <w:style w:type="table" w:styleId="TableGrid">
    <w:name w:val="Table Grid"/>
    <w:basedOn w:val="TableNormal"/>
    <w:uiPriority w:val="99"/>
    <w:rsid w:val="00C026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72DCC"/>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672DCC"/>
    <w:rPr>
      <w:rFonts w:ascii="Lucida Grande" w:hAnsi="Lucida Grande" w:cs="Lucida Grande"/>
      <w:sz w:val="18"/>
      <w:szCs w:val="18"/>
      <w:lang w:val="en-US"/>
    </w:rPr>
  </w:style>
  <w:style w:type="character" w:styleId="CommentReference">
    <w:name w:val="annotation reference"/>
    <w:basedOn w:val="DefaultParagraphFont"/>
    <w:uiPriority w:val="99"/>
    <w:rsid w:val="00F56DA6"/>
    <w:rPr>
      <w:rFonts w:cs="Times New Roman"/>
      <w:sz w:val="18"/>
      <w:szCs w:val="18"/>
    </w:rPr>
  </w:style>
  <w:style w:type="paragraph" w:styleId="CommentText">
    <w:name w:val="annotation text"/>
    <w:basedOn w:val="Normal"/>
    <w:link w:val="CommentTextChar"/>
    <w:uiPriority w:val="99"/>
    <w:rsid w:val="00F56DA6"/>
  </w:style>
  <w:style w:type="character" w:customStyle="1" w:styleId="CommentTextChar">
    <w:name w:val="Comment Text Char"/>
    <w:basedOn w:val="DefaultParagraphFont"/>
    <w:link w:val="CommentText"/>
    <w:uiPriority w:val="99"/>
    <w:locked/>
    <w:rsid w:val="00F56DA6"/>
    <w:rPr>
      <w:rFonts w:cs="Times New Roman"/>
      <w:sz w:val="24"/>
      <w:szCs w:val="24"/>
      <w:lang w:val="en-US"/>
    </w:rPr>
  </w:style>
  <w:style w:type="paragraph" w:styleId="CommentSubject">
    <w:name w:val="annotation subject"/>
    <w:basedOn w:val="CommentText"/>
    <w:next w:val="CommentText"/>
    <w:link w:val="CommentSubjectChar"/>
    <w:uiPriority w:val="99"/>
    <w:rsid w:val="00F56DA6"/>
    <w:rPr>
      <w:b/>
      <w:bCs/>
      <w:sz w:val="20"/>
      <w:szCs w:val="20"/>
    </w:rPr>
  </w:style>
  <w:style w:type="character" w:customStyle="1" w:styleId="CommentSubjectChar">
    <w:name w:val="Comment Subject Char"/>
    <w:basedOn w:val="CommentTextChar"/>
    <w:link w:val="CommentSubject"/>
    <w:uiPriority w:val="99"/>
    <w:locked/>
    <w:rsid w:val="00F56DA6"/>
    <w:rPr>
      <w:rFonts w:cs="Times New Roman"/>
      <w:b/>
      <w:bCs/>
      <w:sz w:val="24"/>
      <w:szCs w:val="24"/>
      <w:lang w:val="en-US"/>
    </w:rPr>
  </w:style>
  <w:style w:type="paragraph" w:styleId="NormalWeb">
    <w:name w:val="Normal (Web)"/>
    <w:basedOn w:val="Normal"/>
    <w:uiPriority w:val="99"/>
    <w:rsid w:val="00930856"/>
    <w:pPr>
      <w:spacing w:before="100" w:beforeAutospacing="1" w:after="100" w:afterAutospacing="1"/>
    </w:pPr>
    <w:rPr>
      <w:rFonts w:ascii="Times" w:hAnsi="Times"/>
      <w:sz w:val="20"/>
      <w:szCs w:val="20"/>
      <w:lang w:val="en-GB"/>
    </w:rPr>
  </w:style>
  <w:style w:type="character" w:styleId="FollowedHyperlink">
    <w:name w:val="FollowedHyperlink"/>
    <w:basedOn w:val="DefaultParagraphFont"/>
    <w:uiPriority w:val="99"/>
    <w:semiHidden/>
    <w:unhideWhenUsed/>
    <w:rsid w:val="009279C2"/>
    <w:rPr>
      <w:color w:val="800080" w:themeColor="followedHyperlink"/>
      <w:u w:val="single"/>
    </w:rPr>
  </w:style>
  <w:style w:type="paragraph" w:styleId="ListParagraph">
    <w:name w:val="List Paragraph"/>
    <w:basedOn w:val="Normal"/>
    <w:uiPriority w:val="34"/>
    <w:qFormat/>
    <w:rsid w:val="00FF4339"/>
    <w:pPr>
      <w:ind w:left="720"/>
      <w:contextualSpacing/>
    </w:pPr>
  </w:style>
  <w:style w:type="paragraph" w:styleId="Revision">
    <w:name w:val="Revision"/>
    <w:hidden/>
    <w:uiPriority w:val="99"/>
    <w:semiHidden/>
    <w:rsid w:val="00FE33B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86D"/>
    <w:rPr>
      <w:sz w:val="24"/>
      <w:szCs w:val="24"/>
    </w:rPr>
  </w:style>
  <w:style w:type="paragraph" w:styleId="Heading2">
    <w:name w:val="heading 2"/>
    <w:basedOn w:val="Normal"/>
    <w:link w:val="Heading2Char"/>
    <w:uiPriority w:val="99"/>
    <w:qFormat/>
    <w:rsid w:val="0080180D"/>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00DEA"/>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183E03"/>
    <w:rPr>
      <w:rFonts w:cs="Times New Roman"/>
      <w:color w:val="0000FF"/>
      <w:u w:val="single"/>
    </w:rPr>
  </w:style>
  <w:style w:type="character" w:customStyle="1" w:styleId="apple-style-span">
    <w:name w:val="apple-style-span"/>
    <w:basedOn w:val="DefaultParagraphFont"/>
    <w:uiPriority w:val="99"/>
    <w:rsid w:val="00183E03"/>
    <w:rPr>
      <w:rFonts w:cs="Times New Roman"/>
    </w:rPr>
  </w:style>
  <w:style w:type="character" w:customStyle="1" w:styleId="apple-converted-space">
    <w:name w:val="apple-converted-space"/>
    <w:basedOn w:val="DefaultParagraphFont"/>
    <w:uiPriority w:val="99"/>
    <w:rsid w:val="00183E03"/>
    <w:rPr>
      <w:rFonts w:cs="Times New Roman"/>
    </w:rPr>
  </w:style>
  <w:style w:type="paragraph" w:styleId="HTMLPreformatted">
    <w:name w:val="HTML Preformatted"/>
    <w:basedOn w:val="Normal"/>
    <w:link w:val="HTMLPreformattedChar"/>
    <w:uiPriority w:val="99"/>
    <w:rsid w:val="00183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00DEA"/>
    <w:rPr>
      <w:rFonts w:ascii="Courier New" w:hAnsi="Courier New" w:cs="Courier New"/>
      <w:sz w:val="20"/>
      <w:szCs w:val="20"/>
    </w:rPr>
  </w:style>
  <w:style w:type="character" w:customStyle="1" w:styleId="result">
    <w:name w:val="result"/>
    <w:uiPriority w:val="99"/>
    <w:rsid w:val="00183E03"/>
    <w:rPr>
      <w:color w:val="000080"/>
    </w:rPr>
  </w:style>
  <w:style w:type="character" w:customStyle="1" w:styleId="normal1">
    <w:name w:val="normal1"/>
    <w:uiPriority w:val="99"/>
    <w:rsid w:val="00233630"/>
    <w:rPr>
      <w:rFonts w:ascii="Arial" w:hAnsi="Arial"/>
      <w:color w:val="000000"/>
      <w:sz w:val="20"/>
    </w:rPr>
  </w:style>
  <w:style w:type="table" w:styleId="TableSimple1">
    <w:name w:val="Table Simple 1"/>
    <w:aliases w:val="journals"/>
    <w:basedOn w:val="TableNormal"/>
    <w:uiPriority w:val="99"/>
    <w:rsid w:val="00233630"/>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styleId="HTMLAcronym">
    <w:name w:val="HTML Acronym"/>
    <w:basedOn w:val="DefaultParagraphFont"/>
    <w:uiPriority w:val="99"/>
    <w:rsid w:val="00233630"/>
    <w:rPr>
      <w:rFonts w:cs="Times New Roman"/>
    </w:rPr>
  </w:style>
  <w:style w:type="character" w:customStyle="1" w:styleId="small1">
    <w:name w:val="small1"/>
    <w:uiPriority w:val="99"/>
    <w:rsid w:val="0080180D"/>
    <w:rPr>
      <w:sz w:val="19"/>
    </w:rPr>
  </w:style>
  <w:style w:type="paragraph" w:styleId="Footer">
    <w:name w:val="footer"/>
    <w:basedOn w:val="Normal"/>
    <w:link w:val="FooterChar"/>
    <w:uiPriority w:val="99"/>
    <w:rsid w:val="00382919"/>
    <w:pPr>
      <w:tabs>
        <w:tab w:val="center" w:pos="4320"/>
        <w:tab w:val="right" w:pos="8640"/>
      </w:tabs>
    </w:pPr>
  </w:style>
  <w:style w:type="character" w:customStyle="1" w:styleId="FooterChar">
    <w:name w:val="Footer Char"/>
    <w:basedOn w:val="DefaultParagraphFont"/>
    <w:link w:val="Footer"/>
    <w:uiPriority w:val="99"/>
    <w:semiHidden/>
    <w:rsid w:val="00300DEA"/>
    <w:rPr>
      <w:sz w:val="24"/>
      <w:szCs w:val="24"/>
    </w:rPr>
  </w:style>
  <w:style w:type="character" w:styleId="PageNumber">
    <w:name w:val="page number"/>
    <w:basedOn w:val="DefaultParagraphFont"/>
    <w:uiPriority w:val="99"/>
    <w:rsid w:val="00382919"/>
    <w:rPr>
      <w:rFonts w:cs="Times New Roman"/>
    </w:rPr>
  </w:style>
  <w:style w:type="character" w:styleId="LineNumber">
    <w:name w:val="line number"/>
    <w:basedOn w:val="DefaultParagraphFont"/>
    <w:uiPriority w:val="99"/>
    <w:rsid w:val="00ED418C"/>
    <w:rPr>
      <w:rFonts w:cs="Times New Roman"/>
    </w:rPr>
  </w:style>
  <w:style w:type="table" w:styleId="TableGrid">
    <w:name w:val="Table Grid"/>
    <w:basedOn w:val="TableNormal"/>
    <w:uiPriority w:val="99"/>
    <w:rsid w:val="00C026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672DCC"/>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672DCC"/>
    <w:rPr>
      <w:rFonts w:ascii="Lucida Grande" w:hAnsi="Lucida Grande" w:cs="Lucida Grande"/>
      <w:sz w:val="18"/>
      <w:szCs w:val="18"/>
      <w:lang w:val="en-US"/>
    </w:rPr>
  </w:style>
  <w:style w:type="character" w:styleId="CommentReference">
    <w:name w:val="annotation reference"/>
    <w:basedOn w:val="DefaultParagraphFont"/>
    <w:uiPriority w:val="99"/>
    <w:rsid w:val="00F56DA6"/>
    <w:rPr>
      <w:rFonts w:cs="Times New Roman"/>
      <w:sz w:val="18"/>
      <w:szCs w:val="18"/>
    </w:rPr>
  </w:style>
  <w:style w:type="paragraph" w:styleId="CommentText">
    <w:name w:val="annotation text"/>
    <w:basedOn w:val="Normal"/>
    <w:link w:val="CommentTextChar"/>
    <w:uiPriority w:val="99"/>
    <w:rsid w:val="00F56DA6"/>
  </w:style>
  <w:style w:type="character" w:customStyle="1" w:styleId="CommentTextChar">
    <w:name w:val="Comment Text Char"/>
    <w:basedOn w:val="DefaultParagraphFont"/>
    <w:link w:val="CommentText"/>
    <w:uiPriority w:val="99"/>
    <w:locked/>
    <w:rsid w:val="00F56DA6"/>
    <w:rPr>
      <w:rFonts w:cs="Times New Roman"/>
      <w:sz w:val="24"/>
      <w:szCs w:val="24"/>
      <w:lang w:val="en-US"/>
    </w:rPr>
  </w:style>
  <w:style w:type="paragraph" w:styleId="CommentSubject">
    <w:name w:val="annotation subject"/>
    <w:basedOn w:val="CommentText"/>
    <w:next w:val="CommentText"/>
    <w:link w:val="CommentSubjectChar"/>
    <w:uiPriority w:val="99"/>
    <w:rsid w:val="00F56DA6"/>
    <w:rPr>
      <w:b/>
      <w:bCs/>
      <w:sz w:val="20"/>
      <w:szCs w:val="20"/>
    </w:rPr>
  </w:style>
  <w:style w:type="character" w:customStyle="1" w:styleId="CommentSubjectChar">
    <w:name w:val="Comment Subject Char"/>
    <w:basedOn w:val="CommentTextChar"/>
    <w:link w:val="CommentSubject"/>
    <w:uiPriority w:val="99"/>
    <w:locked/>
    <w:rsid w:val="00F56DA6"/>
    <w:rPr>
      <w:rFonts w:cs="Times New Roman"/>
      <w:b/>
      <w:bCs/>
      <w:sz w:val="24"/>
      <w:szCs w:val="24"/>
      <w:lang w:val="en-US"/>
    </w:rPr>
  </w:style>
  <w:style w:type="paragraph" w:styleId="NormalWeb">
    <w:name w:val="Normal (Web)"/>
    <w:basedOn w:val="Normal"/>
    <w:uiPriority w:val="99"/>
    <w:rsid w:val="00930856"/>
    <w:pPr>
      <w:spacing w:before="100" w:beforeAutospacing="1" w:after="100" w:afterAutospacing="1"/>
    </w:pPr>
    <w:rPr>
      <w:rFonts w:ascii="Times" w:hAnsi="Times"/>
      <w:sz w:val="20"/>
      <w:szCs w:val="20"/>
      <w:lang w:val="en-GB"/>
    </w:rPr>
  </w:style>
  <w:style w:type="character" w:styleId="FollowedHyperlink">
    <w:name w:val="FollowedHyperlink"/>
    <w:basedOn w:val="DefaultParagraphFont"/>
    <w:uiPriority w:val="99"/>
    <w:semiHidden/>
    <w:unhideWhenUsed/>
    <w:rsid w:val="009279C2"/>
    <w:rPr>
      <w:color w:val="800080" w:themeColor="followedHyperlink"/>
      <w:u w:val="single"/>
    </w:rPr>
  </w:style>
  <w:style w:type="paragraph" w:styleId="ListParagraph">
    <w:name w:val="List Paragraph"/>
    <w:basedOn w:val="Normal"/>
    <w:uiPriority w:val="34"/>
    <w:qFormat/>
    <w:rsid w:val="00FF4339"/>
    <w:pPr>
      <w:ind w:left="720"/>
      <w:contextualSpacing/>
    </w:pPr>
  </w:style>
  <w:style w:type="paragraph" w:styleId="Revision">
    <w:name w:val="Revision"/>
    <w:hidden/>
    <w:uiPriority w:val="99"/>
    <w:semiHidden/>
    <w:rsid w:val="00FE33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07720">
      <w:bodyDiv w:val="1"/>
      <w:marLeft w:val="0"/>
      <w:marRight w:val="0"/>
      <w:marTop w:val="0"/>
      <w:marBottom w:val="0"/>
      <w:divBdr>
        <w:top w:val="none" w:sz="0" w:space="0" w:color="auto"/>
        <w:left w:val="none" w:sz="0" w:space="0" w:color="auto"/>
        <w:bottom w:val="none" w:sz="0" w:space="0" w:color="auto"/>
        <w:right w:val="none" w:sz="0" w:space="0" w:color="auto"/>
      </w:divBdr>
    </w:div>
    <w:div w:id="1143690601">
      <w:bodyDiv w:val="1"/>
      <w:marLeft w:val="0"/>
      <w:marRight w:val="0"/>
      <w:marTop w:val="0"/>
      <w:marBottom w:val="0"/>
      <w:divBdr>
        <w:top w:val="none" w:sz="0" w:space="0" w:color="auto"/>
        <w:left w:val="none" w:sz="0" w:space="0" w:color="auto"/>
        <w:bottom w:val="none" w:sz="0" w:space="0" w:color="auto"/>
        <w:right w:val="none" w:sz="0" w:space="0" w:color="auto"/>
      </w:divBdr>
      <w:divsChild>
        <w:div w:id="211886557">
          <w:marLeft w:val="0"/>
          <w:marRight w:val="0"/>
          <w:marTop w:val="0"/>
          <w:marBottom w:val="0"/>
          <w:divBdr>
            <w:top w:val="none" w:sz="0" w:space="0" w:color="auto"/>
            <w:left w:val="none" w:sz="0" w:space="0" w:color="auto"/>
            <w:bottom w:val="none" w:sz="0" w:space="0" w:color="auto"/>
            <w:right w:val="none" w:sz="0" w:space="0" w:color="auto"/>
          </w:divBdr>
          <w:divsChild>
            <w:div w:id="2106337386">
              <w:marLeft w:val="0"/>
              <w:marRight w:val="0"/>
              <w:marTop w:val="0"/>
              <w:marBottom w:val="0"/>
              <w:divBdr>
                <w:top w:val="none" w:sz="0" w:space="0" w:color="auto"/>
                <w:left w:val="none" w:sz="0" w:space="0" w:color="auto"/>
                <w:bottom w:val="none" w:sz="0" w:space="0" w:color="auto"/>
                <w:right w:val="none" w:sz="0" w:space="0" w:color="auto"/>
              </w:divBdr>
              <w:divsChild>
                <w:div w:id="1615404346">
                  <w:marLeft w:val="0"/>
                  <w:marRight w:val="0"/>
                  <w:marTop w:val="0"/>
                  <w:marBottom w:val="0"/>
                  <w:divBdr>
                    <w:top w:val="none" w:sz="0" w:space="0" w:color="auto"/>
                    <w:left w:val="none" w:sz="0" w:space="0" w:color="auto"/>
                    <w:bottom w:val="none" w:sz="0" w:space="0" w:color="auto"/>
                    <w:right w:val="none" w:sz="0" w:space="0" w:color="auto"/>
                  </w:divBdr>
                  <w:divsChild>
                    <w:div w:id="1371809020">
                      <w:marLeft w:val="0"/>
                      <w:marRight w:val="0"/>
                      <w:marTop w:val="0"/>
                      <w:marBottom w:val="0"/>
                      <w:divBdr>
                        <w:top w:val="none" w:sz="0" w:space="0" w:color="auto"/>
                        <w:left w:val="none" w:sz="0" w:space="0" w:color="auto"/>
                        <w:bottom w:val="none" w:sz="0" w:space="0" w:color="auto"/>
                        <w:right w:val="none" w:sz="0" w:space="0" w:color="auto"/>
                      </w:divBdr>
                      <w:divsChild>
                        <w:div w:id="948321813">
                          <w:marLeft w:val="0"/>
                          <w:marRight w:val="0"/>
                          <w:marTop w:val="0"/>
                          <w:marBottom w:val="0"/>
                          <w:divBdr>
                            <w:top w:val="none" w:sz="0" w:space="0" w:color="auto"/>
                            <w:left w:val="none" w:sz="0" w:space="0" w:color="auto"/>
                            <w:bottom w:val="none" w:sz="0" w:space="0" w:color="auto"/>
                            <w:right w:val="none" w:sz="0" w:space="0" w:color="auto"/>
                          </w:divBdr>
                          <w:divsChild>
                            <w:div w:id="275990259">
                              <w:marLeft w:val="0"/>
                              <w:marRight w:val="0"/>
                              <w:marTop w:val="0"/>
                              <w:marBottom w:val="0"/>
                              <w:divBdr>
                                <w:top w:val="none" w:sz="0" w:space="0" w:color="auto"/>
                                <w:left w:val="none" w:sz="0" w:space="0" w:color="auto"/>
                                <w:bottom w:val="none" w:sz="0" w:space="0" w:color="auto"/>
                                <w:right w:val="none" w:sz="0" w:space="0" w:color="auto"/>
                              </w:divBdr>
                              <w:divsChild>
                                <w:div w:id="323775367">
                                  <w:marLeft w:val="0"/>
                                  <w:marRight w:val="0"/>
                                  <w:marTop w:val="0"/>
                                  <w:marBottom w:val="0"/>
                                  <w:divBdr>
                                    <w:top w:val="none" w:sz="0" w:space="0" w:color="auto"/>
                                    <w:left w:val="none" w:sz="0" w:space="0" w:color="auto"/>
                                    <w:bottom w:val="none" w:sz="0" w:space="0" w:color="auto"/>
                                    <w:right w:val="none" w:sz="0" w:space="0" w:color="auto"/>
                                  </w:divBdr>
                                  <w:divsChild>
                                    <w:div w:id="19551679">
                                      <w:marLeft w:val="0"/>
                                      <w:marRight w:val="0"/>
                                      <w:marTop w:val="0"/>
                                      <w:marBottom w:val="0"/>
                                      <w:divBdr>
                                        <w:top w:val="none" w:sz="0" w:space="0" w:color="auto"/>
                                        <w:left w:val="none" w:sz="0" w:space="0" w:color="auto"/>
                                        <w:bottom w:val="none" w:sz="0" w:space="0" w:color="auto"/>
                                        <w:right w:val="none" w:sz="0" w:space="0" w:color="auto"/>
                                      </w:divBdr>
                                      <w:divsChild>
                                        <w:div w:id="802575128">
                                          <w:marLeft w:val="0"/>
                                          <w:marRight w:val="0"/>
                                          <w:marTop w:val="0"/>
                                          <w:marBottom w:val="0"/>
                                          <w:divBdr>
                                            <w:top w:val="none" w:sz="0" w:space="0" w:color="auto"/>
                                            <w:left w:val="none" w:sz="0" w:space="0" w:color="auto"/>
                                            <w:bottom w:val="none" w:sz="0" w:space="0" w:color="auto"/>
                                            <w:right w:val="none" w:sz="0" w:space="0" w:color="auto"/>
                                          </w:divBdr>
                                          <w:divsChild>
                                            <w:div w:id="1413431403">
                                              <w:marLeft w:val="0"/>
                                              <w:marRight w:val="0"/>
                                              <w:marTop w:val="0"/>
                                              <w:marBottom w:val="0"/>
                                              <w:divBdr>
                                                <w:top w:val="none" w:sz="0" w:space="0" w:color="auto"/>
                                                <w:left w:val="none" w:sz="0" w:space="0" w:color="auto"/>
                                                <w:bottom w:val="none" w:sz="0" w:space="0" w:color="auto"/>
                                                <w:right w:val="none" w:sz="0" w:space="0" w:color="auto"/>
                                              </w:divBdr>
                                              <w:divsChild>
                                                <w:div w:id="1466309035">
                                                  <w:marLeft w:val="0"/>
                                                  <w:marRight w:val="0"/>
                                                  <w:marTop w:val="0"/>
                                                  <w:marBottom w:val="0"/>
                                                  <w:divBdr>
                                                    <w:top w:val="none" w:sz="0" w:space="0" w:color="auto"/>
                                                    <w:left w:val="none" w:sz="0" w:space="0" w:color="auto"/>
                                                    <w:bottom w:val="none" w:sz="0" w:space="0" w:color="auto"/>
                                                    <w:right w:val="none" w:sz="0" w:space="0" w:color="auto"/>
                                                  </w:divBdr>
                                                  <w:divsChild>
                                                    <w:div w:id="332805649">
                                                      <w:marLeft w:val="0"/>
                                                      <w:marRight w:val="0"/>
                                                      <w:marTop w:val="0"/>
                                                      <w:marBottom w:val="0"/>
                                                      <w:divBdr>
                                                        <w:top w:val="none" w:sz="0" w:space="0" w:color="auto"/>
                                                        <w:left w:val="none" w:sz="0" w:space="0" w:color="auto"/>
                                                        <w:bottom w:val="none" w:sz="0" w:space="0" w:color="auto"/>
                                                        <w:right w:val="none" w:sz="0" w:space="0" w:color="auto"/>
                                                      </w:divBdr>
                                                      <w:divsChild>
                                                        <w:div w:id="1433932393">
                                                          <w:marLeft w:val="0"/>
                                                          <w:marRight w:val="0"/>
                                                          <w:marTop w:val="0"/>
                                                          <w:marBottom w:val="0"/>
                                                          <w:divBdr>
                                                            <w:top w:val="none" w:sz="0" w:space="0" w:color="auto"/>
                                                            <w:left w:val="none" w:sz="0" w:space="0" w:color="auto"/>
                                                            <w:bottom w:val="none" w:sz="0" w:space="0" w:color="auto"/>
                                                            <w:right w:val="none" w:sz="0" w:space="0" w:color="auto"/>
                                                          </w:divBdr>
                                                          <w:divsChild>
                                                            <w:div w:id="652761928">
                                                              <w:marLeft w:val="0"/>
                                                              <w:marRight w:val="0"/>
                                                              <w:marTop w:val="0"/>
                                                              <w:marBottom w:val="0"/>
                                                              <w:divBdr>
                                                                <w:top w:val="none" w:sz="0" w:space="0" w:color="auto"/>
                                                                <w:left w:val="none" w:sz="0" w:space="0" w:color="auto"/>
                                                                <w:bottom w:val="none" w:sz="0" w:space="0" w:color="auto"/>
                                                                <w:right w:val="none" w:sz="0" w:space="0" w:color="auto"/>
                                                              </w:divBdr>
                                                              <w:divsChild>
                                                                <w:div w:id="1040934683">
                                                                  <w:marLeft w:val="0"/>
                                                                  <w:marRight w:val="0"/>
                                                                  <w:marTop w:val="0"/>
                                                                  <w:marBottom w:val="0"/>
                                                                  <w:divBdr>
                                                                    <w:top w:val="none" w:sz="0" w:space="0" w:color="auto"/>
                                                                    <w:left w:val="none" w:sz="0" w:space="0" w:color="auto"/>
                                                                    <w:bottom w:val="none" w:sz="0" w:space="0" w:color="auto"/>
                                                                    <w:right w:val="none" w:sz="0" w:space="0" w:color="auto"/>
                                                                  </w:divBdr>
                                                                  <w:divsChild>
                                                                    <w:div w:id="2038191260">
                                                                      <w:marLeft w:val="0"/>
                                                                      <w:marRight w:val="0"/>
                                                                      <w:marTop w:val="0"/>
                                                                      <w:marBottom w:val="0"/>
                                                                      <w:divBdr>
                                                                        <w:top w:val="none" w:sz="0" w:space="0" w:color="auto"/>
                                                                        <w:left w:val="none" w:sz="0" w:space="0" w:color="auto"/>
                                                                        <w:bottom w:val="none" w:sz="0" w:space="0" w:color="auto"/>
                                                                        <w:right w:val="none" w:sz="0" w:space="0" w:color="auto"/>
                                                                      </w:divBdr>
                                                                      <w:divsChild>
                                                                        <w:div w:id="1038745683">
                                                                          <w:marLeft w:val="0"/>
                                                                          <w:marRight w:val="0"/>
                                                                          <w:marTop w:val="0"/>
                                                                          <w:marBottom w:val="0"/>
                                                                          <w:divBdr>
                                                                            <w:top w:val="none" w:sz="0" w:space="0" w:color="auto"/>
                                                                            <w:left w:val="none" w:sz="0" w:space="0" w:color="auto"/>
                                                                            <w:bottom w:val="none" w:sz="0" w:space="0" w:color="auto"/>
                                                                            <w:right w:val="none" w:sz="0" w:space="0" w:color="auto"/>
                                                                          </w:divBdr>
                                                                          <w:divsChild>
                                                                            <w:div w:id="822039615">
                                                                              <w:marLeft w:val="0"/>
                                                                              <w:marRight w:val="0"/>
                                                                              <w:marTop w:val="0"/>
                                                                              <w:marBottom w:val="0"/>
                                                                              <w:divBdr>
                                                                                <w:top w:val="none" w:sz="0" w:space="0" w:color="auto"/>
                                                                                <w:left w:val="none" w:sz="0" w:space="0" w:color="auto"/>
                                                                                <w:bottom w:val="none" w:sz="0" w:space="0" w:color="auto"/>
                                                                                <w:right w:val="none" w:sz="0" w:space="0" w:color="auto"/>
                                                                              </w:divBdr>
                                                                              <w:divsChild>
                                                                                <w:div w:id="1834296456">
                                                                                  <w:marLeft w:val="0"/>
                                                                                  <w:marRight w:val="0"/>
                                                                                  <w:marTop w:val="0"/>
                                                                                  <w:marBottom w:val="0"/>
                                                                                  <w:divBdr>
                                                                                    <w:top w:val="none" w:sz="0" w:space="0" w:color="auto"/>
                                                                                    <w:left w:val="none" w:sz="0" w:space="0" w:color="auto"/>
                                                                                    <w:bottom w:val="none" w:sz="0" w:space="0" w:color="auto"/>
                                                                                    <w:right w:val="none" w:sz="0" w:space="0" w:color="auto"/>
                                                                                  </w:divBdr>
                                                                                  <w:divsChild>
                                                                                    <w:div w:id="1561403819">
                                                                                      <w:marLeft w:val="0"/>
                                                                                      <w:marRight w:val="0"/>
                                                                                      <w:marTop w:val="0"/>
                                                                                      <w:marBottom w:val="0"/>
                                                                                      <w:divBdr>
                                                                                        <w:top w:val="none" w:sz="0" w:space="0" w:color="auto"/>
                                                                                        <w:left w:val="none" w:sz="0" w:space="0" w:color="auto"/>
                                                                                        <w:bottom w:val="none" w:sz="0" w:space="0" w:color="auto"/>
                                                                                        <w:right w:val="none" w:sz="0" w:space="0" w:color="auto"/>
                                                                                      </w:divBdr>
                                                                                      <w:divsChild>
                                                                                        <w:div w:id="969945896">
                                                                                          <w:marLeft w:val="0"/>
                                                                                          <w:marRight w:val="0"/>
                                                                                          <w:marTop w:val="0"/>
                                                                                          <w:marBottom w:val="0"/>
                                                                                          <w:divBdr>
                                                                                            <w:top w:val="none" w:sz="0" w:space="0" w:color="auto"/>
                                                                                            <w:left w:val="none" w:sz="0" w:space="0" w:color="auto"/>
                                                                                            <w:bottom w:val="none" w:sz="0" w:space="0" w:color="auto"/>
                                                                                            <w:right w:val="none" w:sz="0" w:space="0" w:color="auto"/>
                                                                                          </w:divBdr>
                                                                                          <w:divsChild>
                                                                                            <w:div w:id="11685574">
                                                                                              <w:marLeft w:val="0"/>
                                                                                              <w:marRight w:val="0"/>
                                                                                              <w:marTop w:val="0"/>
                                                                                              <w:marBottom w:val="0"/>
                                                                                              <w:divBdr>
                                                                                                <w:top w:val="none" w:sz="0" w:space="0" w:color="auto"/>
                                                                                                <w:left w:val="none" w:sz="0" w:space="0" w:color="auto"/>
                                                                                                <w:bottom w:val="none" w:sz="0" w:space="0" w:color="auto"/>
                                                                                                <w:right w:val="none" w:sz="0" w:space="0" w:color="auto"/>
                                                                                              </w:divBdr>
                                                                                              <w:divsChild>
                                                                                                <w:div w:id="1898974995">
                                                                                                  <w:marLeft w:val="0"/>
                                                                                                  <w:marRight w:val="0"/>
                                                                                                  <w:marTop w:val="0"/>
                                                                                                  <w:marBottom w:val="0"/>
                                                                                                  <w:divBdr>
                                                                                                    <w:top w:val="none" w:sz="0" w:space="0" w:color="auto"/>
                                                                                                    <w:left w:val="none" w:sz="0" w:space="0" w:color="auto"/>
                                                                                                    <w:bottom w:val="none" w:sz="0" w:space="0" w:color="auto"/>
                                                                                                    <w:right w:val="none" w:sz="0" w:space="0" w:color="auto"/>
                                                                                                  </w:divBdr>
                                                                                                  <w:divsChild>
                                                                                                    <w:div w:id="215817319">
                                                                                                      <w:marLeft w:val="0"/>
                                                                                                      <w:marRight w:val="0"/>
                                                                                                      <w:marTop w:val="0"/>
                                                                                                      <w:marBottom w:val="0"/>
                                                                                                      <w:divBdr>
                                                                                                        <w:top w:val="none" w:sz="0" w:space="0" w:color="auto"/>
                                                                                                        <w:left w:val="none" w:sz="0" w:space="0" w:color="auto"/>
                                                                                                        <w:bottom w:val="none" w:sz="0" w:space="0" w:color="auto"/>
                                                                                                        <w:right w:val="none" w:sz="0" w:space="0" w:color="auto"/>
                                                                                                      </w:divBdr>
                                                                                                      <w:divsChild>
                                                                                                        <w:div w:id="1677539534">
                                                                                                          <w:marLeft w:val="0"/>
                                                                                                          <w:marRight w:val="0"/>
                                                                                                          <w:marTop w:val="0"/>
                                                                                                          <w:marBottom w:val="0"/>
                                                                                                          <w:divBdr>
                                                                                                            <w:top w:val="none" w:sz="0" w:space="0" w:color="auto"/>
                                                                                                            <w:left w:val="none" w:sz="0" w:space="0" w:color="auto"/>
                                                                                                            <w:bottom w:val="none" w:sz="0" w:space="0" w:color="auto"/>
                                                                                                            <w:right w:val="none" w:sz="0" w:space="0" w:color="auto"/>
                                                                                                          </w:divBdr>
                                                                                                          <w:divsChild>
                                                                                                            <w:div w:id="1814759170">
                                                                                                              <w:marLeft w:val="0"/>
                                                                                                              <w:marRight w:val="0"/>
                                                                                                              <w:marTop w:val="0"/>
                                                                                                              <w:marBottom w:val="0"/>
                                                                                                              <w:divBdr>
                                                                                                                <w:top w:val="none" w:sz="0" w:space="0" w:color="auto"/>
                                                                                                                <w:left w:val="none" w:sz="0" w:space="0" w:color="auto"/>
                                                                                                                <w:bottom w:val="none" w:sz="0" w:space="0" w:color="auto"/>
                                                                                                                <w:right w:val="none" w:sz="0" w:space="0" w:color="auto"/>
                                                                                                              </w:divBdr>
                                                                                                              <w:divsChild>
                                                                                                                <w:div w:id="467166633">
                                                                                                                  <w:marLeft w:val="0"/>
                                                                                                                  <w:marRight w:val="0"/>
                                                                                                                  <w:marTop w:val="0"/>
                                                                                                                  <w:marBottom w:val="0"/>
                                                                                                                  <w:divBdr>
                                                                                                                    <w:top w:val="none" w:sz="0" w:space="0" w:color="auto"/>
                                                                                                                    <w:left w:val="none" w:sz="0" w:space="0" w:color="auto"/>
                                                                                                                    <w:bottom w:val="none" w:sz="0" w:space="0" w:color="auto"/>
                                                                                                                    <w:right w:val="none" w:sz="0" w:space="0" w:color="auto"/>
                                                                                                                  </w:divBdr>
                                                                                                                  <w:divsChild>
                                                                                                                    <w:div w:id="14817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199288">
      <w:bodyDiv w:val="1"/>
      <w:marLeft w:val="0"/>
      <w:marRight w:val="0"/>
      <w:marTop w:val="0"/>
      <w:marBottom w:val="0"/>
      <w:divBdr>
        <w:top w:val="none" w:sz="0" w:space="0" w:color="auto"/>
        <w:left w:val="none" w:sz="0" w:space="0" w:color="auto"/>
        <w:bottom w:val="none" w:sz="0" w:space="0" w:color="auto"/>
        <w:right w:val="none" w:sz="0" w:space="0" w:color="auto"/>
      </w:divBdr>
    </w:div>
    <w:div w:id="1382366923">
      <w:bodyDiv w:val="1"/>
      <w:marLeft w:val="0"/>
      <w:marRight w:val="0"/>
      <w:marTop w:val="0"/>
      <w:marBottom w:val="0"/>
      <w:divBdr>
        <w:top w:val="none" w:sz="0" w:space="0" w:color="auto"/>
        <w:left w:val="none" w:sz="0" w:space="0" w:color="auto"/>
        <w:bottom w:val="none" w:sz="0" w:space="0" w:color="auto"/>
        <w:right w:val="none" w:sz="0" w:space="0" w:color="auto"/>
      </w:divBdr>
      <w:divsChild>
        <w:div w:id="1449927539">
          <w:marLeft w:val="0"/>
          <w:marRight w:val="0"/>
          <w:marTop w:val="0"/>
          <w:marBottom w:val="0"/>
          <w:divBdr>
            <w:top w:val="none" w:sz="0" w:space="0" w:color="auto"/>
            <w:left w:val="none" w:sz="0" w:space="0" w:color="auto"/>
            <w:bottom w:val="none" w:sz="0" w:space="0" w:color="auto"/>
            <w:right w:val="none" w:sz="0" w:space="0" w:color="auto"/>
          </w:divBdr>
          <w:divsChild>
            <w:div w:id="1642150245">
              <w:marLeft w:val="0"/>
              <w:marRight w:val="0"/>
              <w:marTop w:val="0"/>
              <w:marBottom w:val="0"/>
              <w:divBdr>
                <w:top w:val="none" w:sz="0" w:space="0" w:color="auto"/>
                <w:left w:val="none" w:sz="0" w:space="0" w:color="auto"/>
                <w:bottom w:val="none" w:sz="0" w:space="0" w:color="auto"/>
                <w:right w:val="none" w:sz="0" w:space="0" w:color="auto"/>
              </w:divBdr>
              <w:divsChild>
                <w:div w:id="1055927589">
                  <w:marLeft w:val="0"/>
                  <w:marRight w:val="0"/>
                  <w:marTop w:val="0"/>
                  <w:marBottom w:val="0"/>
                  <w:divBdr>
                    <w:top w:val="none" w:sz="0" w:space="0" w:color="auto"/>
                    <w:left w:val="none" w:sz="0" w:space="0" w:color="auto"/>
                    <w:bottom w:val="none" w:sz="0" w:space="0" w:color="auto"/>
                    <w:right w:val="none" w:sz="0" w:space="0" w:color="auto"/>
                  </w:divBdr>
                  <w:divsChild>
                    <w:div w:id="1188789347">
                      <w:marLeft w:val="0"/>
                      <w:marRight w:val="0"/>
                      <w:marTop w:val="0"/>
                      <w:marBottom w:val="0"/>
                      <w:divBdr>
                        <w:top w:val="none" w:sz="0" w:space="0" w:color="auto"/>
                        <w:left w:val="none" w:sz="0" w:space="0" w:color="auto"/>
                        <w:bottom w:val="none" w:sz="0" w:space="0" w:color="auto"/>
                        <w:right w:val="none" w:sz="0" w:space="0" w:color="auto"/>
                      </w:divBdr>
                      <w:divsChild>
                        <w:div w:id="1288313803">
                          <w:marLeft w:val="0"/>
                          <w:marRight w:val="0"/>
                          <w:marTop w:val="0"/>
                          <w:marBottom w:val="0"/>
                          <w:divBdr>
                            <w:top w:val="none" w:sz="0" w:space="0" w:color="auto"/>
                            <w:left w:val="none" w:sz="0" w:space="0" w:color="auto"/>
                            <w:bottom w:val="none" w:sz="0" w:space="0" w:color="auto"/>
                            <w:right w:val="none" w:sz="0" w:space="0" w:color="auto"/>
                          </w:divBdr>
                          <w:divsChild>
                            <w:div w:id="1988393929">
                              <w:marLeft w:val="0"/>
                              <w:marRight w:val="0"/>
                              <w:marTop w:val="0"/>
                              <w:marBottom w:val="0"/>
                              <w:divBdr>
                                <w:top w:val="none" w:sz="0" w:space="0" w:color="auto"/>
                                <w:left w:val="none" w:sz="0" w:space="0" w:color="auto"/>
                                <w:bottom w:val="none" w:sz="0" w:space="0" w:color="auto"/>
                                <w:right w:val="none" w:sz="0" w:space="0" w:color="auto"/>
                              </w:divBdr>
                              <w:divsChild>
                                <w:div w:id="201209519">
                                  <w:marLeft w:val="0"/>
                                  <w:marRight w:val="0"/>
                                  <w:marTop w:val="0"/>
                                  <w:marBottom w:val="0"/>
                                  <w:divBdr>
                                    <w:top w:val="none" w:sz="0" w:space="0" w:color="auto"/>
                                    <w:left w:val="none" w:sz="0" w:space="0" w:color="auto"/>
                                    <w:bottom w:val="none" w:sz="0" w:space="0" w:color="auto"/>
                                    <w:right w:val="none" w:sz="0" w:space="0" w:color="auto"/>
                                  </w:divBdr>
                                  <w:divsChild>
                                    <w:div w:id="801383221">
                                      <w:marLeft w:val="0"/>
                                      <w:marRight w:val="0"/>
                                      <w:marTop w:val="0"/>
                                      <w:marBottom w:val="0"/>
                                      <w:divBdr>
                                        <w:top w:val="none" w:sz="0" w:space="0" w:color="auto"/>
                                        <w:left w:val="none" w:sz="0" w:space="0" w:color="auto"/>
                                        <w:bottom w:val="none" w:sz="0" w:space="0" w:color="auto"/>
                                        <w:right w:val="none" w:sz="0" w:space="0" w:color="auto"/>
                                      </w:divBdr>
                                      <w:divsChild>
                                        <w:div w:id="409931425">
                                          <w:marLeft w:val="0"/>
                                          <w:marRight w:val="0"/>
                                          <w:marTop w:val="0"/>
                                          <w:marBottom w:val="0"/>
                                          <w:divBdr>
                                            <w:top w:val="none" w:sz="0" w:space="0" w:color="auto"/>
                                            <w:left w:val="none" w:sz="0" w:space="0" w:color="auto"/>
                                            <w:bottom w:val="none" w:sz="0" w:space="0" w:color="auto"/>
                                            <w:right w:val="none" w:sz="0" w:space="0" w:color="auto"/>
                                          </w:divBdr>
                                          <w:divsChild>
                                            <w:div w:id="1401754345">
                                              <w:marLeft w:val="0"/>
                                              <w:marRight w:val="0"/>
                                              <w:marTop w:val="0"/>
                                              <w:marBottom w:val="0"/>
                                              <w:divBdr>
                                                <w:top w:val="none" w:sz="0" w:space="0" w:color="auto"/>
                                                <w:left w:val="none" w:sz="0" w:space="0" w:color="auto"/>
                                                <w:bottom w:val="none" w:sz="0" w:space="0" w:color="auto"/>
                                                <w:right w:val="none" w:sz="0" w:space="0" w:color="auto"/>
                                              </w:divBdr>
                                              <w:divsChild>
                                                <w:div w:id="197593703">
                                                  <w:marLeft w:val="0"/>
                                                  <w:marRight w:val="0"/>
                                                  <w:marTop w:val="0"/>
                                                  <w:marBottom w:val="0"/>
                                                  <w:divBdr>
                                                    <w:top w:val="none" w:sz="0" w:space="0" w:color="auto"/>
                                                    <w:left w:val="none" w:sz="0" w:space="0" w:color="auto"/>
                                                    <w:bottom w:val="none" w:sz="0" w:space="0" w:color="auto"/>
                                                    <w:right w:val="none" w:sz="0" w:space="0" w:color="auto"/>
                                                  </w:divBdr>
                                                  <w:divsChild>
                                                    <w:div w:id="753281064">
                                                      <w:marLeft w:val="0"/>
                                                      <w:marRight w:val="0"/>
                                                      <w:marTop w:val="0"/>
                                                      <w:marBottom w:val="0"/>
                                                      <w:divBdr>
                                                        <w:top w:val="none" w:sz="0" w:space="0" w:color="auto"/>
                                                        <w:left w:val="none" w:sz="0" w:space="0" w:color="auto"/>
                                                        <w:bottom w:val="none" w:sz="0" w:space="0" w:color="auto"/>
                                                        <w:right w:val="none" w:sz="0" w:space="0" w:color="auto"/>
                                                      </w:divBdr>
                                                      <w:divsChild>
                                                        <w:div w:id="1364478900">
                                                          <w:marLeft w:val="0"/>
                                                          <w:marRight w:val="0"/>
                                                          <w:marTop w:val="0"/>
                                                          <w:marBottom w:val="0"/>
                                                          <w:divBdr>
                                                            <w:top w:val="none" w:sz="0" w:space="0" w:color="auto"/>
                                                            <w:left w:val="none" w:sz="0" w:space="0" w:color="auto"/>
                                                            <w:bottom w:val="none" w:sz="0" w:space="0" w:color="auto"/>
                                                            <w:right w:val="none" w:sz="0" w:space="0" w:color="auto"/>
                                                          </w:divBdr>
                                                          <w:divsChild>
                                                            <w:div w:id="39524086">
                                                              <w:marLeft w:val="0"/>
                                                              <w:marRight w:val="0"/>
                                                              <w:marTop w:val="0"/>
                                                              <w:marBottom w:val="0"/>
                                                              <w:divBdr>
                                                                <w:top w:val="none" w:sz="0" w:space="0" w:color="auto"/>
                                                                <w:left w:val="none" w:sz="0" w:space="0" w:color="auto"/>
                                                                <w:bottom w:val="none" w:sz="0" w:space="0" w:color="auto"/>
                                                                <w:right w:val="none" w:sz="0" w:space="0" w:color="auto"/>
                                                              </w:divBdr>
                                                              <w:divsChild>
                                                                <w:div w:id="284577777">
                                                                  <w:marLeft w:val="0"/>
                                                                  <w:marRight w:val="0"/>
                                                                  <w:marTop w:val="0"/>
                                                                  <w:marBottom w:val="0"/>
                                                                  <w:divBdr>
                                                                    <w:top w:val="none" w:sz="0" w:space="0" w:color="auto"/>
                                                                    <w:left w:val="none" w:sz="0" w:space="0" w:color="auto"/>
                                                                    <w:bottom w:val="none" w:sz="0" w:space="0" w:color="auto"/>
                                                                    <w:right w:val="none" w:sz="0" w:space="0" w:color="auto"/>
                                                                  </w:divBdr>
                                                                  <w:divsChild>
                                                                    <w:div w:id="769207407">
                                                                      <w:marLeft w:val="0"/>
                                                                      <w:marRight w:val="0"/>
                                                                      <w:marTop w:val="0"/>
                                                                      <w:marBottom w:val="0"/>
                                                                      <w:divBdr>
                                                                        <w:top w:val="none" w:sz="0" w:space="0" w:color="auto"/>
                                                                        <w:left w:val="none" w:sz="0" w:space="0" w:color="auto"/>
                                                                        <w:bottom w:val="none" w:sz="0" w:space="0" w:color="auto"/>
                                                                        <w:right w:val="none" w:sz="0" w:space="0" w:color="auto"/>
                                                                      </w:divBdr>
                                                                      <w:divsChild>
                                                                        <w:div w:id="1856772479">
                                                                          <w:marLeft w:val="0"/>
                                                                          <w:marRight w:val="0"/>
                                                                          <w:marTop w:val="0"/>
                                                                          <w:marBottom w:val="0"/>
                                                                          <w:divBdr>
                                                                            <w:top w:val="none" w:sz="0" w:space="0" w:color="auto"/>
                                                                            <w:left w:val="none" w:sz="0" w:space="0" w:color="auto"/>
                                                                            <w:bottom w:val="none" w:sz="0" w:space="0" w:color="auto"/>
                                                                            <w:right w:val="none" w:sz="0" w:space="0" w:color="auto"/>
                                                                          </w:divBdr>
                                                                          <w:divsChild>
                                                                            <w:div w:id="1381594867">
                                                                              <w:marLeft w:val="0"/>
                                                                              <w:marRight w:val="0"/>
                                                                              <w:marTop w:val="0"/>
                                                                              <w:marBottom w:val="0"/>
                                                                              <w:divBdr>
                                                                                <w:top w:val="none" w:sz="0" w:space="0" w:color="auto"/>
                                                                                <w:left w:val="none" w:sz="0" w:space="0" w:color="auto"/>
                                                                                <w:bottom w:val="none" w:sz="0" w:space="0" w:color="auto"/>
                                                                                <w:right w:val="none" w:sz="0" w:space="0" w:color="auto"/>
                                                                              </w:divBdr>
                                                                              <w:divsChild>
                                                                                <w:div w:id="1206791762">
                                                                                  <w:marLeft w:val="0"/>
                                                                                  <w:marRight w:val="0"/>
                                                                                  <w:marTop w:val="0"/>
                                                                                  <w:marBottom w:val="0"/>
                                                                                  <w:divBdr>
                                                                                    <w:top w:val="none" w:sz="0" w:space="0" w:color="auto"/>
                                                                                    <w:left w:val="none" w:sz="0" w:space="0" w:color="auto"/>
                                                                                    <w:bottom w:val="none" w:sz="0" w:space="0" w:color="auto"/>
                                                                                    <w:right w:val="none" w:sz="0" w:space="0" w:color="auto"/>
                                                                                  </w:divBdr>
                                                                                  <w:divsChild>
                                                                                    <w:div w:id="1215964487">
                                                                                      <w:marLeft w:val="0"/>
                                                                                      <w:marRight w:val="0"/>
                                                                                      <w:marTop w:val="0"/>
                                                                                      <w:marBottom w:val="0"/>
                                                                                      <w:divBdr>
                                                                                        <w:top w:val="none" w:sz="0" w:space="0" w:color="auto"/>
                                                                                        <w:left w:val="none" w:sz="0" w:space="0" w:color="auto"/>
                                                                                        <w:bottom w:val="none" w:sz="0" w:space="0" w:color="auto"/>
                                                                                        <w:right w:val="none" w:sz="0" w:space="0" w:color="auto"/>
                                                                                      </w:divBdr>
                                                                                      <w:divsChild>
                                                                                        <w:div w:id="912396302">
                                                                                          <w:marLeft w:val="0"/>
                                                                                          <w:marRight w:val="0"/>
                                                                                          <w:marTop w:val="0"/>
                                                                                          <w:marBottom w:val="0"/>
                                                                                          <w:divBdr>
                                                                                            <w:top w:val="none" w:sz="0" w:space="0" w:color="auto"/>
                                                                                            <w:left w:val="none" w:sz="0" w:space="0" w:color="auto"/>
                                                                                            <w:bottom w:val="none" w:sz="0" w:space="0" w:color="auto"/>
                                                                                            <w:right w:val="none" w:sz="0" w:space="0" w:color="auto"/>
                                                                                          </w:divBdr>
                                                                                          <w:divsChild>
                                                                                            <w:div w:id="2039424736">
                                                                                              <w:marLeft w:val="0"/>
                                                                                              <w:marRight w:val="0"/>
                                                                                              <w:marTop w:val="0"/>
                                                                                              <w:marBottom w:val="0"/>
                                                                                              <w:divBdr>
                                                                                                <w:top w:val="none" w:sz="0" w:space="0" w:color="auto"/>
                                                                                                <w:left w:val="none" w:sz="0" w:space="0" w:color="auto"/>
                                                                                                <w:bottom w:val="none" w:sz="0" w:space="0" w:color="auto"/>
                                                                                                <w:right w:val="none" w:sz="0" w:space="0" w:color="auto"/>
                                                                                              </w:divBdr>
                                                                                              <w:divsChild>
                                                                                                <w:div w:id="4109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118559">
      <w:marLeft w:val="0"/>
      <w:marRight w:val="0"/>
      <w:marTop w:val="0"/>
      <w:marBottom w:val="0"/>
      <w:divBdr>
        <w:top w:val="none" w:sz="0" w:space="0" w:color="auto"/>
        <w:left w:val="none" w:sz="0" w:space="0" w:color="auto"/>
        <w:bottom w:val="none" w:sz="0" w:space="0" w:color="auto"/>
        <w:right w:val="none" w:sz="0" w:space="0" w:color="auto"/>
      </w:divBdr>
    </w:div>
    <w:div w:id="1930118561">
      <w:marLeft w:val="0"/>
      <w:marRight w:val="0"/>
      <w:marTop w:val="0"/>
      <w:marBottom w:val="0"/>
      <w:divBdr>
        <w:top w:val="none" w:sz="0" w:space="0" w:color="auto"/>
        <w:left w:val="none" w:sz="0" w:space="0" w:color="auto"/>
        <w:bottom w:val="none" w:sz="0" w:space="0" w:color="auto"/>
        <w:right w:val="none" w:sz="0" w:space="0" w:color="auto"/>
      </w:divBdr>
    </w:div>
    <w:div w:id="1930118562">
      <w:marLeft w:val="0"/>
      <w:marRight w:val="0"/>
      <w:marTop w:val="0"/>
      <w:marBottom w:val="0"/>
      <w:divBdr>
        <w:top w:val="none" w:sz="0" w:space="0" w:color="auto"/>
        <w:left w:val="none" w:sz="0" w:space="0" w:color="auto"/>
        <w:bottom w:val="none" w:sz="0" w:space="0" w:color="auto"/>
        <w:right w:val="none" w:sz="0" w:space="0" w:color="auto"/>
      </w:divBdr>
    </w:div>
    <w:div w:id="1930118564">
      <w:marLeft w:val="0"/>
      <w:marRight w:val="0"/>
      <w:marTop w:val="0"/>
      <w:marBottom w:val="0"/>
      <w:divBdr>
        <w:top w:val="none" w:sz="0" w:space="0" w:color="auto"/>
        <w:left w:val="none" w:sz="0" w:space="0" w:color="auto"/>
        <w:bottom w:val="none" w:sz="0" w:space="0" w:color="auto"/>
        <w:right w:val="none" w:sz="0" w:space="0" w:color="auto"/>
      </w:divBdr>
      <w:divsChild>
        <w:div w:id="1930118571">
          <w:marLeft w:val="0"/>
          <w:marRight w:val="0"/>
          <w:marTop w:val="0"/>
          <w:marBottom w:val="0"/>
          <w:divBdr>
            <w:top w:val="none" w:sz="0" w:space="0" w:color="auto"/>
            <w:left w:val="none" w:sz="0" w:space="0" w:color="auto"/>
            <w:bottom w:val="none" w:sz="0" w:space="0" w:color="auto"/>
            <w:right w:val="none" w:sz="0" w:space="0" w:color="auto"/>
          </w:divBdr>
          <w:divsChild>
            <w:div w:id="1930118560">
              <w:marLeft w:val="0"/>
              <w:marRight w:val="0"/>
              <w:marTop w:val="0"/>
              <w:marBottom w:val="0"/>
              <w:divBdr>
                <w:top w:val="none" w:sz="0" w:space="0" w:color="auto"/>
                <w:left w:val="none" w:sz="0" w:space="0" w:color="auto"/>
                <w:bottom w:val="none" w:sz="0" w:space="0" w:color="auto"/>
                <w:right w:val="none" w:sz="0" w:space="0" w:color="auto"/>
              </w:divBdr>
              <w:divsChild>
                <w:div w:id="1930118563">
                  <w:marLeft w:val="0"/>
                  <w:marRight w:val="0"/>
                  <w:marTop w:val="0"/>
                  <w:marBottom w:val="0"/>
                  <w:divBdr>
                    <w:top w:val="none" w:sz="0" w:space="0" w:color="auto"/>
                    <w:left w:val="none" w:sz="0" w:space="0" w:color="auto"/>
                    <w:bottom w:val="none" w:sz="0" w:space="0" w:color="auto"/>
                    <w:right w:val="none" w:sz="0" w:space="0" w:color="auto"/>
                  </w:divBdr>
                  <w:divsChild>
                    <w:div w:id="193011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8565">
      <w:marLeft w:val="0"/>
      <w:marRight w:val="0"/>
      <w:marTop w:val="0"/>
      <w:marBottom w:val="0"/>
      <w:divBdr>
        <w:top w:val="none" w:sz="0" w:space="0" w:color="auto"/>
        <w:left w:val="none" w:sz="0" w:space="0" w:color="auto"/>
        <w:bottom w:val="none" w:sz="0" w:space="0" w:color="auto"/>
        <w:right w:val="none" w:sz="0" w:space="0" w:color="auto"/>
      </w:divBdr>
    </w:div>
    <w:div w:id="1930118566">
      <w:marLeft w:val="0"/>
      <w:marRight w:val="0"/>
      <w:marTop w:val="0"/>
      <w:marBottom w:val="0"/>
      <w:divBdr>
        <w:top w:val="none" w:sz="0" w:space="0" w:color="auto"/>
        <w:left w:val="none" w:sz="0" w:space="0" w:color="auto"/>
        <w:bottom w:val="none" w:sz="0" w:space="0" w:color="auto"/>
        <w:right w:val="none" w:sz="0" w:space="0" w:color="auto"/>
      </w:divBdr>
    </w:div>
    <w:div w:id="1930118567">
      <w:marLeft w:val="0"/>
      <w:marRight w:val="0"/>
      <w:marTop w:val="0"/>
      <w:marBottom w:val="0"/>
      <w:divBdr>
        <w:top w:val="none" w:sz="0" w:space="0" w:color="auto"/>
        <w:left w:val="none" w:sz="0" w:space="0" w:color="auto"/>
        <w:bottom w:val="none" w:sz="0" w:space="0" w:color="auto"/>
        <w:right w:val="none" w:sz="0" w:space="0" w:color="auto"/>
      </w:divBdr>
    </w:div>
    <w:div w:id="1930118568">
      <w:marLeft w:val="0"/>
      <w:marRight w:val="0"/>
      <w:marTop w:val="0"/>
      <w:marBottom w:val="0"/>
      <w:divBdr>
        <w:top w:val="none" w:sz="0" w:space="0" w:color="auto"/>
        <w:left w:val="none" w:sz="0" w:space="0" w:color="auto"/>
        <w:bottom w:val="none" w:sz="0" w:space="0" w:color="auto"/>
        <w:right w:val="none" w:sz="0" w:space="0" w:color="auto"/>
      </w:divBdr>
    </w:div>
    <w:div w:id="1930118569">
      <w:marLeft w:val="0"/>
      <w:marRight w:val="0"/>
      <w:marTop w:val="0"/>
      <w:marBottom w:val="0"/>
      <w:divBdr>
        <w:top w:val="none" w:sz="0" w:space="0" w:color="auto"/>
        <w:left w:val="none" w:sz="0" w:space="0" w:color="auto"/>
        <w:bottom w:val="none" w:sz="0" w:space="0" w:color="auto"/>
        <w:right w:val="none" w:sz="0" w:space="0" w:color="auto"/>
      </w:divBdr>
    </w:div>
    <w:div w:id="1930118570">
      <w:marLeft w:val="0"/>
      <w:marRight w:val="0"/>
      <w:marTop w:val="0"/>
      <w:marBottom w:val="0"/>
      <w:divBdr>
        <w:top w:val="none" w:sz="0" w:space="0" w:color="auto"/>
        <w:left w:val="none" w:sz="0" w:space="0" w:color="auto"/>
        <w:bottom w:val="none" w:sz="0" w:space="0" w:color="auto"/>
        <w:right w:val="none" w:sz="0" w:space="0" w:color="auto"/>
      </w:divBdr>
    </w:div>
    <w:div w:id="1930118573">
      <w:marLeft w:val="0"/>
      <w:marRight w:val="0"/>
      <w:marTop w:val="0"/>
      <w:marBottom w:val="0"/>
      <w:divBdr>
        <w:top w:val="none" w:sz="0" w:space="0" w:color="auto"/>
        <w:left w:val="none" w:sz="0" w:space="0" w:color="auto"/>
        <w:bottom w:val="none" w:sz="0" w:space="0" w:color="auto"/>
        <w:right w:val="none" w:sz="0" w:space="0" w:color="auto"/>
      </w:divBdr>
    </w:div>
    <w:div w:id="193011857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oleObject" Target="embeddings/Microsoft_Equation1.bin"/><Relationship Id="rId13" Type="http://schemas.openxmlformats.org/officeDocument/2006/relationships/hyperlink" Target="http://www.R-project.org/"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poullis@hotmail.com" TargetMode="External"/><Relationship Id="rId10" Type="http://schemas.openxmlformats.org/officeDocument/2006/relationships/hyperlink" Target="http://www.ucl.ac.uk/nicor/audits/adultcardiac/data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A741C-A923-C64F-B166-4278E561A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1065</TotalTime>
  <Pages>27</Pages>
  <Words>19864</Words>
  <Characters>113229</Characters>
  <Application>Microsoft Macintosh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LIMA to LAD: On or Off pump</vt:lpstr>
    </vt:vector>
  </TitlesOfParts>
  <Company>MS</Company>
  <LinksUpToDate>false</LinksUpToDate>
  <CharactersWithSpaces>132828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LIMA to LAD: On or Off pump</dc:title>
  <dc:subject/>
  <dc:creator>q</dc:creator>
  <cp:keywords/>
  <dc:description/>
  <cp:lastModifiedBy>Graeme Hickey</cp:lastModifiedBy>
  <cp:revision>595</cp:revision>
  <cp:lastPrinted>2015-09-17T15:25:00Z</cp:lastPrinted>
  <dcterms:created xsi:type="dcterms:W3CDTF">2015-02-04T13:47:00Z</dcterms:created>
  <dcterms:modified xsi:type="dcterms:W3CDTF">2015-09-17T18:38:00Z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graemeleehickey@gmail.com@www.mendeley.com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http://csl.mendeley.com/styles/6606643/human-pathology</vt:lpwstr>
  </property>
  <property fmtid="{D5CDD505-2E9C-101B-9397-08002B2CF9AE}" pid="13" name="Mendeley Recent Style Name 4_1">
    <vt:lpwstr>European Journal of Cardio-Thoracic Surgery</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http://csl.mendeley.com/styles/6606643/american-medical-association</vt:lpwstr>
  </property>
  <property fmtid="{D5CDD505-2E9C-101B-9397-08002B2CF9AE}" pid="19" name="Mendeley Recent Style Name 7_1">
    <vt:lpwstr>JTCVS (Hickey)</vt:lpwstr>
  </property>
  <property fmtid="{D5CDD505-2E9C-101B-9397-08002B2CF9AE}" pid="20" name="Mendeley Recent Style Id 8_1">
    <vt:lpwstr>http://www.zotero.org/styles/preventive-veterinary-medicine</vt:lpwstr>
  </property>
  <property fmtid="{D5CDD505-2E9C-101B-9397-08002B2CF9AE}" pid="21" name="Mendeley Recent Style Name 8_1">
    <vt:lpwstr>Preventive Veterinary Medicine</vt:lpwstr>
  </property>
  <property fmtid="{D5CDD505-2E9C-101B-9397-08002B2CF9AE}" pid="22" name="Mendeley Recent Style Id 9_1">
    <vt:lpwstr>http://www.zotero.org/styles/the-journal-of-thoracic-and-cardiovascular-surgery</vt:lpwstr>
  </property>
  <property fmtid="{D5CDD505-2E9C-101B-9397-08002B2CF9AE}" pid="23" name="Mendeley Recent Style Name 9_1">
    <vt:lpwstr>The Journal of Thoracic and Cardiovascular Surgery</vt:lpwstr>
  </property>
  <property fmtid="{D5CDD505-2E9C-101B-9397-08002B2CF9AE}" pid="24" name="Mendeley Citation Style_1">
    <vt:lpwstr>http://csl.mendeley.com/styles/6606643/human-pathology</vt:lpwstr>
  </property>
</Properties>
</file>