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0EBB" w14:textId="64B789A2" w:rsidR="00F64EE3" w:rsidRPr="00F64EE3" w:rsidRDefault="00F64EE3" w:rsidP="00F64EE3">
      <w:pPr>
        <w:pStyle w:val="NoSpacing"/>
        <w:jc w:val="center"/>
        <w:rPr>
          <w:b/>
          <w:i/>
          <w:sz w:val="40"/>
          <w:szCs w:val="40"/>
        </w:rPr>
      </w:pPr>
      <w:bookmarkStart w:id="0" w:name="_Toc433376547"/>
      <w:r w:rsidRPr="00F64EE3">
        <w:rPr>
          <w:b/>
          <w:i/>
          <w:sz w:val="40"/>
          <w:szCs w:val="40"/>
        </w:rPr>
        <w:t>Judicial Reaso</w:t>
      </w:r>
      <w:r w:rsidR="002457FE">
        <w:rPr>
          <w:b/>
          <w:i/>
          <w:sz w:val="40"/>
          <w:szCs w:val="40"/>
        </w:rPr>
        <w:t>ning and the Concept of Damage:</w:t>
      </w:r>
      <w:r w:rsidRPr="00F64EE3">
        <w:rPr>
          <w:b/>
          <w:i/>
          <w:sz w:val="40"/>
          <w:szCs w:val="40"/>
        </w:rPr>
        <w:t xml:space="preserve"> Rethinking Medical Negligence Cases</w:t>
      </w:r>
      <w:bookmarkEnd w:id="0"/>
    </w:p>
    <w:p w14:paraId="69C55D4F" w14:textId="77777777" w:rsidR="006D44CE" w:rsidRDefault="006D44CE" w:rsidP="00F64EE3">
      <w:pPr>
        <w:rPr>
          <w:rFonts w:eastAsia="Calibri" w:cs="Times New Roman"/>
        </w:rPr>
      </w:pPr>
    </w:p>
    <w:p w14:paraId="5059D7DE" w14:textId="0C4EAB7D" w:rsidR="006D44CE" w:rsidRDefault="004B6F1E" w:rsidP="004B6F1E">
      <w:pPr>
        <w:pStyle w:val="NoSpacing"/>
        <w:jc w:val="center"/>
      </w:pPr>
      <w:r>
        <w:t>CRAIG PURSHOUSE*</w:t>
      </w:r>
    </w:p>
    <w:p w14:paraId="794AC963" w14:textId="77777777" w:rsidR="004B6F1E" w:rsidRDefault="004B6F1E" w:rsidP="004B6F1E"/>
    <w:p w14:paraId="451CCD3B" w14:textId="6698A12A" w:rsidR="004B6F1E" w:rsidRDefault="004B6F1E" w:rsidP="00007DFB">
      <w:pPr>
        <w:spacing w:line="240" w:lineRule="auto"/>
        <w:rPr>
          <w:b/>
          <w:lang w:val="en-US"/>
        </w:rPr>
      </w:pPr>
      <w:r>
        <w:rPr>
          <w:b/>
        </w:rPr>
        <w:t xml:space="preserve">Abstract – </w:t>
      </w:r>
      <w:r w:rsidRPr="004B6F1E">
        <w:rPr>
          <w:lang w:val="en-US"/>
        </w:rPr>
        <w:t>Damage is the gist of the action in negligence but is often subsumed within other headings of this tort such as duty of care, quantum of damages and causation. This article examines three important decisions where new forms of damage, such as the costs of raising a healthy child or loss of autonomy, have been implicitly recognized or rejected – </w:t>
      </w:r>
      <w:r>
        <w:rPr>
          <w:i/>
          <w:iCs/>
          <w:lang w:val="en-US"/>
        </w:rPr>
        <w:t>McFarlane v</w:t>
      </w:r>
      <w:r w:rsidRPr="004B6F1E">
        <w:rPr>
          <w:i/>
          <w:iCs/>
          <w:lang w:val="en-US"/>
        </w:rPr>
        <w:t xml:space="preserve"> Tayside Health Board</w:t>
      </w:r>
      <w:r w:rsidRPr="004B6F1E">
        <w:rPr>
          <w:lang w:val="en-US"/>
        </w:rPr>
        <w:t>, </w:t>
      </w:r>
      <w:r>
        <w:rPr>
          <w:i/>
          <w:iCs/>
          <w:lang w:val="en-US"/>
        </w:rPr>
        <w:t>Rees v</w:t>
      </w:r>
      <w:r w:rsidRPr="004B6F1E">
        <w:rPr>
          <w:i/>
          <w:iCs/>
          <w:lang w:val="en-US"/>
        </w:rPr>
        <w:t xml:space="preserve"> Darlington</w:t>
      </w:r>
      <w:r w:rsidRPr="004B6F1E">
        <w:rPr>
          <w:lang w:val="en-US"/>
        </w:rPr>
        <w:t> and </w:t>
      </w:r>
      <w:r>
        <w:rPr>
          <w:i/>
          <w:iCs/>
          <w:lang w:val="en-US"/>
        </w:rPr>
        <w:t>Chester v</w:t>
      </w:r>
      <w:r w:rsidRPr="004B6F1E">
        <w:rPr>
          <w:i/>
          <w:iCs/>
          <w:lang w:val="en-US"/>
        </w:rPr>
        <w:t xml:space="preserve"> Afshar</w:t>
      </w:r>
      <w:r w:rsidRPr="004B6F1E">
        <w:rPr>
          <w:lang w:val="en-US"/>
        </w:rPr>
        <w:t> – and suggests that the lack of separate scrutiny of the damage concept in such cases is leading to poor reasoning and questionable results that threaten to undermine the coherence of the tort of negligence. Methods of restoring clarity to this tort are then addressed.</w:t>
      </w:r>
    </w:p>
    <w:p w14:paraId="086BC0F9" w14:textId="77777777" w:rsidR="00007DFB" w:rsidRPr="00007DFB" w:rsidRDefault="00007DFB" w:rsidP="00007DFB">
      <w:pPr>
        <w:spacing w:line="240" w:lineRule="auto"/>
        <w:rPr>
          <w:b/>
          <w:lang w:val="en-US"/>
        </w:rPr>
      </w:pPr>
    </w:p>
    <w:p w14:paraId="21BB373E" w14:textId="77777777" w:rsidR="006D44CE" w:rsidRPr="00F64EE3" w:rsidRDefault="006D44CE" w:rsidP="006D44CE">
      <w:pPr>
        <w:pStyle w:val="NoSpacing"/>
      </w:pPr>
    </w:p>
    <w:p w14:paraId="15589023" w14:textId="77777777" w:rsidR="00F64EE3" w:rsidRPr="00F64EE3" w:rsidRDefault="00F64EE3" w:rsidP="00F64EE3">
      <w:pPr>
        <w:keepNext/>
        <w:keepLines/>
        <w:jc w:val="center"/>
        <w:outlineLvl w:val="1"/>
        <w:rPr>
          <w:rFonts w:eastAsia="Times New Roman" w:cs="Times New Roman"/>
          <w:b/>
          <w:bCs/>
          <w:sz w:val="32"/>
          <w:szCs w:val="26"/>
        </w:rPr>
      </w:pPr>
      <w:bookmarkStart w:id="1" w:name="_Toc433376548"/>
      <w:r w:rsidRPr="00F64EE3">
        <w:rPr>
          <w:rFonts w:eastAsia="Times New Roman" w:cs="Times New Roman"/>
          <w:b/>
          <w:bCs/>
          <w:sz w:val="32"/>
          <w:szCs w:val="26"/>
        </w:rPr>
        <w:t>INTRODUCTION</w:t>
      </w:r>
      <w:bookmarkEnd w:id="1"/>
    </w:p>
    <w:p w14:paraId="019E52B7" w14:textId="77777777" w:rsidR="00F64EE3" w:rsidRPr="00F64EE3" w:rsidRDefault="00F64EE3" w:rsidP="00F64EE3">
      <w:pPr>
        <w:rPr>
          <w:rFonts w:eastAsia="Calibri" w:cs="Times New Roman"/>
          <w:bCs/>
          <w:iCs/>
        </w:rPr>
      </w:pPr>
      <w:r w:rsidRPr="00F64EE3">
        <w:rPr>
          <w:rFonts w:eastAsia="Calibri" w:cs="Times New Roman"/>
          <w:bCs/>
          <w:iCs/>
        </w:rPr>
        <w:t>Whether infringement of patient autonomy per se or the costs of raising a healthy child born as a result of a failed sterilisation are now remediable in the tort of negligence is a key debate for medical lawyers. Yet these questions have broader doctrinal implications for the law of tort. Specifically, the way in which these new forms of damage are being rejected or recognised might be distorting the coherence of the tort of negligence.</w:t>
      </w:r>
    </w:p>
    <w:p w14:paraId="31D7F6F5" w14:textId="77777777" w:rsidR="00F64EE3" w:rsidRPr="00F64EE3" w:rsidRDefault="00F64EE3" w:rsidP="00F64EE3">
      <w:pPr>
        <w:ind w:firstLine="720"/>
        <w:rPr>
          <w:rFonts w:eastAsia="Calibri" w:cs="Times New Roman"/>
          <w:bCs/>
          <w:iCs/>
        </w:rPr>
      </w:pPr>
      <w:r w:rsidRPr="00F64EE3">
        <w:rPr>
          <w:rFonts w:eastAsia="Calibri" w:cs="Times New Roman"/>
          <w:bCs/>
          <w:iCs/>
        </w:rPr>
        <w:t>It is ‘hornbook law’</w:t>
      </w:r>
      <w:r w:rsidRPr="00F64EE3">
        <w:rPr>
          <w:rFonts w:eastAsia="Calibri" w:cs="Times New Roman"/>
          <w:bCs/>
          <w:iCs/>
          <w:vertAlign w:val="superscript"/>
        </w:rPr>
        <w:footnoteReference w:id="1"/>
      </w:r>
      <w:r w:rsidRPr="00F64EE3">
        <w:rPr>
          <w:rFonts w:eastAsia="Calibri" w:cs="Times New Roman"/>
          <w:bCs/>
          <w:iCs/>
        </w:rPr>
        <w:t xml:space="preserve"> that damage is the ‘gist of the action’</w:t>
      </w:r>
      <w:r w:rsidRPr="00F64EE3">
        <w:rPr>
          <w:rFonts w:eastAsia="Calibri" w:cs="Times New Roman"/>
          <w:bCs/>
          <w:iCs/>
          <w:vertAlign w:val="superscript"/>
        </w:rPr>
        <w:footnoteReference w:id="2"/>
      </w:r>
      <w:r w:rsidRPr="00F64EE3">
        <w:rPr>
          <w:rFonts w:eastAsia="Calibri" w:cs="Times New Roman"/>
          <w:bCs/>
          <w:iCs/>
        </w:rPr>
        <w:t xml:space="preserve"> in negligence. To succeed in this tort a claimant must show that the defendant breached a duty of care that caused the claimant actionable </w:t>
      </w:r>
      <w:r w:rsidRPr="00F64EE3">
        <w:rPr>
          <w:rFonts w:eastAsia="Calibri" w:cs="Times New Roman"/>
          <w:bCs/>
          <w:i/>
          <w:iCs/>
        </w:rPr>
        <w:t>damage</w:t>
      </w:r>
      <w:r w:rsidRPr="00F64EE3">
        <w:rPr>
          <w:rFonts w:eastAsia="Calibri" w:cs="Times New Roman"/>
          <w:bCs/>
          <w:iCs/>
        </w:rPr>
        <w:t>.</w:t>
      </w:r>
      <w:r w:rsidRPr="00F64EE3">
        <w:rPr>
          <w:rFonts w:eastAsia="Calibri" w:cs="Times New Roman"/>
          <w:bCs/>
          <w:iCs/>
          <w:vertAlign w:val="superscript"/>
        </w:rPr>
        <w:footnoteReference w:id="3"/>
      </w:r>
      <w:r w:rsidRPr="00F64EE3">
        <w:rPr>
          <w:rFonts w:eastAsia="Calibri" w:cs="Times New Roman"/>
          <w:bCs/>
          <w:iCs/>
        </w:rPr>
        <w:t xml:space="preserve"> As Lord Wright emphasised in </w:t>
      </w:r>
      <w:r w:rsidRPr="00F64EE3">
        <w:rPr>
          <w:rFonts w:eastAsia="Calibri" w:cs="Times New Roman"/>
          <w:bCs/>
          <w:i/>
          <w:iCs/>
        </w:rPr>
        <w:t>Lochgelly Iron and Coal Company v McMullan</w:t>
      </w:r>
      <w:r w:rsidRPr="00F64EE3">
        <w:rPr>
          <w:rFonts w:eastAsia="Calibri" w:cs="Times New Roman"/>
          <w:bCs/>
          <w:iCs/>
        </w:rPr>
        <w:t>,</w:t>
      </w:r>
      <w:r w:rsidRPr="00F64EE3">
        <w:rPr>
          <w:rFonts w:eastAsia="Calibri" w:cs="Times New Roman"/>
          <w:bCs/>
          <w:iCs/>
          <w:vertAlign w:val="superscript"/>
        </w:rPr>
        <w:footnoteReference w:id="4"/>
      </w:r>
      <w:r w:rsidRPr="00F64EE3">
        <w:rPr>
          <w:rFonts w:eastAsia="Calibri" w:cs="Times New Roman"/>
          <w:bCs/>
          <w:iCs/>
        </w:rPr>
        <w:t xml:space="preserve"> negligence ‘connotes the complex concept of duty, breach, and </w:t>
      </w:r>
      <w:r w:rsidRPr="00F64EE3">
        <w:rPr>
          <w:rFonts w:eastAsia="Calibri" w:cs="Times New Roman"/>
          <w:bCs/>
          <w:iCs/>
        </w:rPr>
        <w:lastRenderedPageBreak/>
        <w:t>damage thereby suffered by the person to whom the duty was owing.’</w:t>
      </w:r>
      <w:r w:rsidRPr="00F64EE3">
        <w:rPr>
          <w:rFonts w:eastAsia="Calibri" w:cs="Times New Roman"/>
          <w:bCs/>
          <w:iCs/>
          <w:vertAlign w:val="superscript"/>
        </w:rPr>
        <w:footnoteReference w:id="5"/>
      </w:r>
      <w:r w:rsidRPr="00F64EE3">
        <w:rPr>
          <w:rFonts w:eastAsia="Calibri" w:cs="Times New Roman"/>
          <w:bCs/>
          <w:iCs/>
        </w:rPr>
        <w:t xml:space="preserve"> All of these indicia are required. </w:t>
      </w:r>
    </w:p>
    <w:p w14:paraId="4529E73D"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And yet one may be forgiven for not realising the fundamental importance of damage given the way many judges approach their decisions. Although in </w:t>
      </w:r>
      <w:r w:rsidRPr="00F64EE3">
        <w:rPr>
          <w:rFonts w:eastAsia="Calibri" w:cs="Times New Roman"/>
          <w:bCs/>
          <w:i/>
          <w:iCs/>
        </w:rPr>
        <w:t>White v Chief Constable of South Yorkshire Police</w:t>
      </w:r>
      <w:r w:rsidRPr="00F64EE3">
        <w:rPr>
          <w:rFonts w:eastAsia="Calibri" w:cs="Times New Roman"/>
          <w:bCs/>
          <w:iCs/>
          <w:vertAlign w:val="superscript"/>
        </w:rPr>
        <w:footnoteReference w:id="6"/>
      </w:r>
      <w:r w:rsidRPr="00F64EE3">
        <w:rPr>
          <w:rFonts w:eastAsia="Calibri" w:cs="Times New Roman"/>
          <w:bCs/>
          <w:iCs/>
        </w:rPr>
        <w:t xml:space="preserve"> Lord Steyn stated, ‘The contours of tort law are profoundly affected by distinctions between different kinds of damage,’</w:t>
      </w:r>
      <w:r w:rsidRPr="00F64EE3">
        <w:rPr>
          <w:rFonts w:eastAsia="Calibri" w:cs="Times New Roman"/>
          <w:bCs/>
          <w:iCs/>
          <w:vertAlign w:val="superscript"/>
        </w:rPr>
        <w:footnoteReference w:id="7"/>
      </w:r>
      <w:r w:rsidRPr="00F64EE3">
        <w:rPr>
          <w:rFonts w:eastAsia="Calibri" w:cs="Times New Roman"/>
          <w:bCs/>
          <w:iCs/>
        </w:rPr>
        <w:t xml:space="preserve"> this component has often been passed over by judges in favour of its more interesting cousins – duty of care and causation. As such, it is rarely subject to rigorous scrutiny by the courts.</w:t>
      </w:r>
      <w:r w:rsidRPr="00F64EE3">
        <w:rPr>
          <w:rFonts w:eastAsia="Calibri" w:cs="Times New Roman"/>
          <w:bCs/>
          <w:iCs/>
          <w:vertAlign w:val="superscript"/>
        </w:rPr>
        <w:footnoteReference w:id="8"/>
      </w:r>
      <w:r w:rsidRPr="00F64EE3">
        <w:rPr>
          <w:rFonts w:eastAsia="Calibri" w:cs="Times New Roman"/>
          <w:bCs/>
          <w:iCs/>
        </w:rPr>
        <w:t xml:space="preserve"> Issues of damage, when they are dealt with at all, are often subsumed within these other aspects of negligence.</w:t>
      </w:r>
      <w:r w:rsidRPr="00F64EE3">
        <w:rPr>
          <w:rFonts w:eastAsia="Calibri" w:cs="Times New Roman"/>
          <w:bCs/>
          <w:iCs/>
          <w:vertAlign w:val="superscript"/>
        </w:rPr>
        <w:footnoteReference w:id="9"/>
      </w:r>
      <w:r w:rsidRPr="00F64EE3">
        <w:rPr>
          <w:rFonts w:eastAsia="Calibri" w:cs="Times New Roman"/>
          <w:bCs/>
          <w:iCs/>
        </w:rPr>
        <w:t xml:space="preserve"> The fact that courts take such an approach was made explicit by Lord Denning MR in </w:t>
      </w:r>
      <w:r w:rsidRPr="00F64EE3">
        <w:rPr>
          <w:rFonts w:eastAsia="Calibri" w:cs="Times New Roman"/>
          <w:bCs/>
          <w:i/>
          <w:iCs/>
        </w:rPr>
        <w:t>Spartan Steel and Alloys Ltd v Martin &amp; Co</w:t>
      </w:r>
      <w:r w:rsidRPr="00F64EE3">
        <w:rPr>
          <w:rFonts w:eastAsia="Calibri" w:cs="Times New Roman"/>
          <w:bCs/>
          <w:iCs/>
          <w:vertAlign w:val="superscript"/>
        </w:rPr>
        <w:footnoteReference w:id="10"/>
      </w:r>
      <w:r w:rsidRPr="00F64EE3">
        <w:rPr>
          <w:rFonts w:eastAsia="Calibri" w:cs="Times New Roman"/>
          <w:bCs/>
          <w:i/>
          <w:iCs/>
        </w:rPr>
        <w:t xml:space="preserve"> </w:t>
      </w:r>
      <w:r w:rsidRPr="00F64EE3">
        <w:rPr>
          <w:rFonts w:eastAsia="Calibri" w:cs="Times New Roman"/>
          <w:bCs/>
          <w:iCs/>
        </w:rPr>
        <w:t>when he stated ‘Sometimes I say: “There was no duty.” In others I say: “The damage was too remote.”’</w:t>
      </w:r>
      <w:r w:rsidRPr="00F64EE3">
        <w:rPr>
          <w:rFonts w:eastAsia="Calibri" w:cs="Times New Roman"/>
          <w:bCs/>
          <w:iCs/>
          <w:vertAlign w:val="superscript"/>
        </w:rPr>
        <w:footnoteReference w:id="11"/>
      </w:r>
      <w:r w:rsidRPr="00F64EE3">
        <w:rPr>
          <w:rFonts w:eastAsia="Calibri" w:cs="Times New Roman"/>
          <w:bCs/>
          <w:iCs/>
        </w:rPr>
        <w:t xml:space="preserve"> </w:t>
      </w:r>
    </w:p>
    <w:p w14:paraId="7398EEC4" w14:textId="77777777" w:rsidR="00F64EE3" w:rsidRPr="00F64EE3" w:rsidRDefault="00F64EE3" w:rsidP="00F64EE3">
      <w:pPr>
        <w:ind w:firstLine="720"/>
        <w:rPr>
          <w:rFonts w:eastAsia="Calibri" w:cs="Times New Roman"/>
        </w:rPr>
      </w:pPr>
      <w:r w:rsidRPr="00F64EE3">
        <w:rPr>
          <w:rFonts w:eastAsia="Calibri" w:cs="Times New Roman"/>
          <w:bCs/>
          <w:iCs/>
        </w:rPr>
        <w:t xml:space="preserve">This, I will argue, is leading to poor reasoning and questionable results that threaten to undermine the coherence of this tort. These difficulties are particularly apparent in medical negligence cases. It is in this arena that the consideration of new forms of damage in negligence has led to controversy and three such cases – namely, </w:t>
      </w:r>
      <w:r w:rsidRPr="00F64EE3">
        <w:rPr>
          <w:rFonts w:eastAsia="Calibri" w:cs="Times New Roman"/>
          <w:i/>
        </w:rPr>
        <w:t>McFarlane v Tayside Health Board</w:t>
      </w:r>
      <w:r w:rsidRPr="00F64EE3">
        <w:rPr>
          <w:rFonts w:eastAsia="Calibri" w:cs="Times New Roman"/>
        </w:rPr>
        <w:t>,</w:t>
      </w:r>
      <w:r w:rsidRPr="00F64EE3">
        <w:rPr>
          <w:rFonts w:eastAsia="Calibri" w:cs="Times New Roman"/>
          <w:vertAlign w:val="superscript"/>
        </w:rPr>
        <w:footnoteReference w:id="12"/>
      </w:r>
      <w:r w:rsidRPr="00F64EE3">
        <w:rPr>
          <w:rFonts w:eastAsia="Calibri" w:cs="Times New Roman"/>
        </w:rPr>
        <w:t xml:space="preserve"> </w:t>
      </w:r>
      <w:r w:rsidRPr="00F64EE3">
        <w:rPr>
          <w:rFonts w:eastAsia="Calibri" w:cs="Times New Roman"/>
          <w:i/>
        </w:rPr>
        <w:t>Rees v Darlington Memorial Hospital NHS Trust</w:t>
      </w:r>
      <w:r w:rsidRPr="00F64EE3">
        <w:rPr>
          <w:rFonts w:eastAsia="Calibri" w:cs="Times New Roman"/>
          <w:vertAlign w:val="superscript"/>
        </w:rPr>
        <w:footnoteReference w:id="13"/>
      </w:r>
      <w:r w:rsidRPr="00F64EE3">
        <w:rPr>
          <w:rFonts w:eastAsia="Calibri" w:cs="Times New Roman"/>
          <w:i/>
        </w:rPr>
        <w:t xml:space="preserve"> </w:t>
      </w:r>
      <w:r w:rsidRPr="00F64EE3">
        <w:rPr>
          <w:rFonts w:eastAsia="Calibri" w:cs="Times New Roman"/>
        </w:rPr>
        <w:t xml:space="preserve">and </w:t>
      </w:r>
      <w:r w:rsidRPr="00F64EE3">
        <w:rPr>
          <w:rFonts w:eastAsia="Calibri" w:cs="Times New Roman"/>
          <w:i/>
        </w:rPr>
        <w:t>Chester v Afshar</w:t>
      </w:r>
      <w:r w:rsidRPr="00F64EE3">
        <w:rPr>
          <w:rFonts w:eastAsia="Calibri" w:cs="Times New Roman"/>
          <w:vertAlign w:val="superscript"/>
        </w:rPr>
        <w:footnoteReference w:id="14"/>
      </w:r>
      <w:r w:rsidRPr="00F64EE3">
        <w:rPr>
          <w:rFonts w:eastAsia="Calibri" w:cs="Times New Roman"/>
          <w:i/>
        </w:rPr>
        <w:t xml:space="preserve"> </w:t>
      </w:r>
      <w:r w:rsidRPr="00F64EE3">
        <w:rPr>
          <w:rFonts w:eastAsia="Calibri" w:cs="Times New Roman"/>
        </w:rPr>
        <w:t xml:space="preserve">– are particularly illustrative of the problems that occur when judges do not undertake a thorough examination of the concept of damage. </w:t>
      </w:r>
    </w:p>
    <w:p w14:paraId="4D0CCCB7" w14:textId="77777777" w:rsidR="00F64EE3" w:rsidRPr="00F64EE3" w:rsidRDefault="00F64EE3" w:rsidP="00F64EE3">
      <w:pPr>
        <w:ind w:firstLine="720"/>
        <w:rPr>
          <w:rFonts w:eastAsia="Calibri" w:cs="Times New Roman"/>
        </w:rPr>
      </w:pPr>
      <w:r w:rsidRPr="00F64EE3">
        <w:rPr>
          <w:rFonts w:eastAsia="Calibri" w:cs="Times New Roman"/>
        </w:rPr>
        <w:t>These decisions have been, to put it mildly, controversial, having separately been described as ‘incoherent,’</w:t>
      </w:r>
      <w:r w:rsidRPr="00F64EE3">
        <w:rPr>
          <w:rFonts w:eastAsia="Calibri" w:cs="Times New Roman"/>
          <w:vertAlign w:val="superscript"/>
        </w:rPr>
        <w:footnoteReference w:id="15"/>
      </w:r>
      <w:r w:rsidRPr="00F64EE3">
        <w:rPr>
          <w:rFonts w:eastAsia="Calibri" w:cs="Times New Roman"/>
        </w:rPr>
        <w:t xml:space="preserve"> ‘push[ing] the law of tort into wholly unchartered waters’</w:t>
      </w:r>
      <w:r w:rsidRPr="00F64EE3">
        <w:rPr>
          <w:rFonts w:eastAsia="Calibri" w:cs="Times New Roman"/>
          <w:vertAlign w:val="superscript"/>
        </w:rPr>
        <w:footnoteReference w:id="16"/>
      </w:r>
      <w:r w:rsidRPr="00F64EE3">
        <w:rPr>
          <w:rFonts w:eastAsia="Calibri" w:cs="Times New Roman"/>
        </w:rPr>
        <w:t xml:space="preserve"> ‘making bad law’</w:t>
      </w:r>
      <w:r w:rsidRPr="00F64EE3">
        <w:rPr>
          <w:rFonts w:eastAsia="Calibri" w:cs="Times New Roman"/>
          <w:vertAlign w:val="superscript"/>
        </w:rPr>
        <w:footnoteReference w:id="17"/>
      </w:r>
      <w:r w:rsidRPr="00F64EE3">
        <w:rPr>
          <w:rFonts w:eastAsia="Calibri" w:cs="Times New Roman"/>
        </w:rPr>
        <w:t xml:space="preserve"> and ‘lacking consistency.’</w:t>
      </w:r>
      <w:r w:rsidRPr="00F64EE3">
        <w:rPr>
          <w:rFonts w:eastAsia="Calibri" w:cs="Times New Roman"/>
          <w:vertAlign w:val="superscript"/>
        </w:rPr>
        <w:footnoteReference w:id="18"/>
      </w:r>
      <w:r w:rsidRPr="00F64EE3">
        <w:rPr>
          <w:rFonts w:eastAsia="Calibri" w:cs="Times New Roman"/>
        </w:rPr>
        <w:t xml:space="preserve">  However, the basis on which these cases have been castigated in the past is different to the one that will be undertaken here. Rather than reassess the </w:t>
      </w:r>
      <w:r w:rsidRPr="00F64EE3">
        <w:rPr>
          <w:rFonts w:eastAsia="Calibri" w:cs="Times New Roman"/>
          <w:i/>
        </w:rPr>
        <w:t>outcomes</w:t>
      </w:r>
      <w:r w:rsidRPr="00F64EE3">
        <w:rPr>
          <w:rFonts w:eastAsia="Calibri" w:cs="Times New Roman"/>
        </w:rPr>
        <w:t xml:space="preserve"> of these decisions, this article will criticise the </w:t>
      </w:r>
      <w:r w:rsidRPr="00F64EE3">
        <w:rPr>
          <w:rFonts w:eastAsia="Calibri" w:cs="Times New Roman"/>
          <w:i/>
        </w:rPr>
        <w:t xml:space="preserve">methods </w:t>
      </w:r>
      <w:r w:rsidRPr="00F64EE3">
        <w:rPr>
          <w:rFonts w:eastAsia="Calibri" w:cs="Times New Roman"/>
        </w:rPr>
        <w:t xml:space="preserve">that the judges used to arrive at their conclusions. Specifically, in each of these cases new forms of damage were allowed or barred in ways that distort other concepts within the tort of negligence. The majority in </w:t>
      </w:r>
      <w:r w:rsidRPr="00F64EE3">
        <w:rPr>
          <w:rFonts w:eastAsia="Calibri" w:cs="Times New Roman"/>
          <w:i/>
        </w:rPr>
        <w:t xml:space="preserve">McFarlane </w:t>
      </w:r>
      <w:r w:rsidRPr="00F64EE3">
        <w:rPr>
          <w:rFonts w:eastAsia="Calibri" w:cs="Times New Roman"/>
        </w:rPr>
        <w:t xml:space="preserve">subsumed the question of whether the costs associated with raising a healthy child should be recoverable under the heading of duty of care, rather than fully analysing whether any harm associated with raising an unwanted child was a new form of damage or merely pure economic loss. Similarly, </w:t>
      </w:r>
      <w:r w:rsidRPr="00F64EE3">
        <w:rPr>
          <w:rFonts w:eastAsia="Calibri" w:cs="Times New Roman"/>
          <w:i/>
        </w:rPr>
        <w:t>Rees</w:t>
      </w:r>
      <w:r w:rsidRPr="00F64EE3">
        <w:rPr>
          <w:rFonts w:eastAsia="Calibri" w:cs="Times New Roman"/>
        </w:rPr>
        <w:t xml:space="preserve"> and </w:t>
      </w:r>
      <w:r w:rsidRPr="00F64EE3">
        <w:rPr>
          <w:rFonts w:eastAsia="Calibri" w:cs="Times New Roman"/>
          <w:i/>
        </w:rPr>
        <w:t>Chester</w:t>
      </w:r>
      <w:r w:rsidRPr="00F64EE3">
        <w:rPr>
          <w:rFonts w:eastAsia="Calibri" w:cs="Times New Roman"/>
        </w:rPr>
        <w:t xml:space="preserve"> arguably hid the recognition of a new head of loss, that of interference with patient autonomy, within the law relating to quantification of damages in the former case and causation in the latter. Furthermore, the quantification of lost autonomy in </w:t>
      </w:r>
      <w:r w:rsidRPr="00F64EE3">
        <w:rPr>
          <w:rFonts w:eastAsia="Calibri" w:cs="Times New Roman"/>
          <w:i/>
        </w:rPr>
        <w:t>Rees</w:t>
      </w:r>
      <w:r w:rsidRPr="00F64EE3">
        <w:rPr>
          <w:rFonts w:eastAsia="Calibri" w:cs="Times New Roman"/>
        </w:rPr>
        <w:t xml:space="preserve"> was arguably inconsistent with the approach taken in </w:t>
      </w:r>
      <w:r w:rsidRPr="00F64EE3">
        <w:rPr>
          <w:rFonts w:eastAsia="Calibri" w:cs="Times New Roman"/>
          <w:i/>
        </w:rPr>
        <w:t>Chester</w:t>
      </w:r>
      <w:r w:rsidRPr="00F64EE3">
        <w:rPr>
          <w:rFonts w:eastAsia="Calibri" w:cs="Times New Roman"/>
        </w:rPr>
        <w:t>. This, I argue, can be explained by their Lordships’ failure to fully focus on the concept of actionable damage in these cases.</w:t>
      </w:r>
    </w:p>
    <w:p w14:paraId="7F165787" w14:textId="77777777" w:rsidR="00F64EE3" w:rsidRPr="00F64EE3" w:rsidRDefault="00F64EE3" w:rsidP="00F64EE3">
      <w:pPr>
        <w:ind w:firstLine="720"/>
        <w:rPr>
          <w:rFonts w:eastAsia="Calibri" w:cs="Times New Roman"/>
        </w:rPr>
      </w:pPr>
      <w:r w:rsidRPr="00F64EE3">
        <w:rPr>
          <w:rFonts w:eastAsia="Calibri" w:cs="Times New Roman"/>
        </w:rPr>
        <w:t xml:space="preserve">In the first part of this paper </w:t>
      </w:r>
      <w:r w:rsidRPr="00F64EE3">
        <w:rPr>
          <w:rFonts w:eastAsia="Calibri" w:cs="Times New Roman"/>
          <w:i/>
        </w:rPr>
        <w:t>McFarlane</w:t>
      </w:r>
      <w:r w:rsidRPr="00F64EE3">
        <w:rPr>
          <w:rFonts w:eastAsia="Calibri" w:cs="Times New Roman"/>
        </w:rPr>
        <w:t xml:space="preserve">, </w:t>
      </w:r>
      <w:r w:rsidRPr="00F64EE3">
        <w:rPr>
          <w:rFonts w:eastAsia="Calibri" w:cs="Times New Roman"/>
          <w:i/>
        </w:rPr>
        <w:t>Rees</w:t>
      </w:r>
      <w:r w:rsidRPr="00F64EE3">
        <w:rPr>
          <w:rFonts w:eastAsia="Calibri" w:cs="Times New Roman"/>
        </w:rPr>
        <w:t xml:space="preserve"> and </w:t>
      </w:r>
      <w:r w:rsidRPr="00F64EE3">
        <w:rPr>
          <w:rFonts w:eastAsia="Calibri" w:cs="Times New Roman"/>
          <w:i/>
        </w:rPr>
        <w:t xml:space="preserve">Chester </w:t>
      </w:r>
      <w:r w:rsidRPr="00F64EE3">
        <w:rPr>
          <w:rFonts w:eastAsia="Calibri" w:cs="Times New Roman"/>
        </w:rPr>
        <w:t>will be analysed and it will be argued that overlooking the concept of damage and absorbing it within questions of duty of care, the quantification of damages and causation is leading to problematic reasoning in important medical negligence cases. Methods of restoring conceptual clarity to this tort and reducing the likelihood of such doctrinal controversies arising in the future will then be suggested.</w:t>
      </w:r>
    </w:p>
    <w:p w14:paraId="1728C816" w14:textId="77777777" w:rsidR="00F64EE3" w:rsidRPr="00F64EE3" w:rsidRDefault="00F64EE3" w:rsidP="00F64EE3">
      <w:pPr>
        <w:jc w:val="center"/>
        <w:rPr>
          <w:rFonts w:eastAsia="Calibri" w:cs="Times New Roman"/>
          <w:bCs/>
          <w:iCs/>
        </w:rPr>
      </w:pPr>
    </w:p>
    <w:p w14:paraId="1290B927" w14:textId="77777777" w:rsidR="00F64EE3" w:rsidRPr="00F64EE3" w:rsidRDefault="00F64EE3" w:rsidP="00F64EE3">
      <w:pPr>
        <w:keepNext/>
        <w:keepLines/>
        <w:jc w:val="center"/>
        <w:outlineLvl w:val="1"/>
        <w:rPr>
          <w:rFonts w:eastAsia="Times New Roman" w:cs="Times New Roman"/>
          <w:b/>
          <w:bCs/>
          <w:sz w:val="32"/>
          <w:szCs w:val="26"/>
        </w:rPr>
      </w:pPr>
      <w:bookmarkStart w:id="2" w:name="_Toc433376549"/>
      <w:r w:rsidRPr="00F64EE3">
        <w:rPr>
          <w:rFonts w:eastAsia="Times New Roman" w:cs="Times New Roman"/>
          <w:b/>
          <w:bCs/>
          <w:sz w:val="32"/>
          <w:szCs w:val="26"/>
        </w:rPr>
        <w:t>THE DAMAGE CASES</w:t>
      </w:r>
      <w:bookmarkEnd w:id="2"/>
    </w:p>
    <w:p w14:paraId="551BD9BE" w14:textId="77777777" w:rsidR="00F64EE3" w:rsidRPr="00F64EE3" w:rsidRDefault="00F64EE3" w:rsidP="00F64EE3">
      <w:pPr>
        <w:rPr>
          <w:rFonts w:eastAsia="Calibri" w:cs="Times New Roman"/>
        </w:rPr>
      </w:pPr>
      <w:r w:rsidRPr="00F64EE3">
        <w:rPr>
          <w:rFonts w:eastAsia="Calibri" w:cs="Times New Roman"/>
        </w:rPr>
        <w:t>In a series of articles, Donal Nolan has highlighted that the concept of damage has largely been overlooked in the tort of negligence and so there are few principles to guide the courts when considering this issue.</w:t>
      </w:r>
      <w:r w:rsidRPr="00F64EE3">
        <w:rPr>
          <w:rFonts w:eastAsia="Calibri" w:cs="Times New Roman"/>
          <w:vertAlign w:val="superscript"/>
        </w:rPr>
        <w:footnoteReference w:id="19"/>
      </w:r>
      <w:r w:rsidRPr="00F64EE3">
        <w:rPr>
          <w:rFonts w:eastAsia="Calibri" w:cs="Times New Roman"/>
        </w:rPr>
        <w:t xml:space="preserve"> For present purposes it is important to note that the different types of damage reflect the interests that the tort of negligence protects. As Weir has stated, interests are ‘the positive aspects of kinds of damage.’</w:t>
      </w:r>
      <w:r w:rsidRPr="00F64EE3">
        <w:rPr>
          <w:rFonts w:eastAsia="Calibri" w:cs="Times New Roman"/>
          <w:vertAlign w:val="superscript"/>
        </w:rPr>
        <w:footnoteReference w:id="20"/>
      </w:r>
      <w:r w:rsidRPr="00F64EE3">
        <w:rPr>
          <w:rFonts w:eastAsia="Calibri" w:cs="Times New Roman"/>
        </w:rPr>
        <w:t xml:space="preserve"> If, in negligence, you have an interest in something, violation of that interest will be a type of damage. Currently the interests protected in negligence are personal injury</w:t>
      </w:r>
      <w:r w:rsidRPr="00F64EE3">
        <w:rPr>
          <w:rFonts w:eastAsia="Calibri" w:cs="Times New Roman"/>
          <w:vertAlign w:val="superscript"/>
        </w:rPr>
        <w:footnoteReference w:id="21"/>
      </w:r>
      <w:r w:rsidRPr="00F64EE3">
        <w:rPr>
          <w:rFonts w:eastAsia="Calibri" w:cs="Times New Roman"/>
        </w:rPr>
        <w:t xml:space="preserve"> (including psychiatric harm),</w:t>
      </w:r>
      <w:r w:rsidRPr="00F64EE3">
        <w:rPr>
          <w:rFonts w:eastAsia="Calibri" w:cs="Times New Roman"/>
          <w:vertAlign w:val="superscript"/>
        </w:rPr>
        <w:footnoteReference w:id="22"/>
      </w:r>
      <w:r w:rsidRPr="00F64EE3">
        <w:rPr>
          <w:rFonts w:eastAsia="Calibri" w:cs="Times New Roman"/>
        </w:rPr>
        <w:t xml:space="preserve"> property damage</w:t>
      </w:r>
      <w:r w:rsidRPr="00F64EE3">
        <w:rPr>
          <w:rFonts w:eastAsia="Calibri" w:cs="Times New Roman"/>
          <w:vertAlign w:val="superscript"/>
        </w:rPr>
        <w:footnoteReference w:id="23"/>
      </w:r>
      <w:r w:rsidRPr="00F64EE3">
        <w:rPr>
          <w:rFonts w:eastAsia="Calibri" w:cs="Times New Roman"/>
        </w:rPr>
        <w:t xml:space="preserve"> and, in very limited circumstances, pure economic loss.</w:t>
      </w:r>
      <w:r w:rsidRPr="00F64EE3">
        <w:rPr>
          <w:rFonts w:eastAsia="Calibri" w:cs="Times New Roman"/>
          <w:vertAlign w:val="superscript"/>
        </w:rPr>
        <w:footnoteReference w:id="24"/>
      </w:r>
      <w:r w:rsidRPr="00F64EE3">
        <w:rPr>
          <w:rFonts w:eastAsia="Calibri" w:cs="Times New Roman"/>
        </w:rPr>
        <w:t xml:space="preserve"> The more important interests – physical injury and property damage – are protected more liberally</w:t>
      </w:r>
      <w:r w:rsidRPr="00F64EE3">
        <w:rPr>
          <w:rFonts w:eastAsia="Calibri" w:cs="Times New Roman"/>
          <w:vertAlign w:val="superscript"/>
        </w:rPr>
        <w:footnoteReference w:id="25"/>
      </w:r>
      <w:r w:rsidRPr="00F64EE3">
        <w:rPr>
          <w:rFonts w:eastAsia="Calibri" w:cs="Times New Roman"/>
        </w:rPr>
        <w:t xml:space="preserve"> than those that the courts deem less important – psychiatric harm</w:t>
      </w:r>
      <w:r w:rsidRPr="00F64EE3">
        <w:rPr>
          <w:rFonts w:eastAsia="Calibri" w:cs="Times New Roman"/>
          <w:vertAlign w:val="superscript"/>
        </w:rPr>
        <w:footnoteReference w:id="26"/>
      </w:r>
      <w:r w:rsidRPr="00F64EE3">
        <w:rPr>
          <w:rFonts w:eastAsia="Calibri" w:cs="Times New Roman"/>
        </w:rPr>
        <w:t xml:space="preserve"> and economic loss.</w:t>
      </w:r>
      <w:r w:rsidRPr="00F64EE3">
        <w:rPr>
          <w:rFonts w:eastAsia="Calibri" w:cs="Times New Roman"/>
          <w:vertAlign w:val="superscript"/>
        </w:rPr>
        <w:footnoteReference w:id="27"/>
      </w:r>
      <w:r w:rsidRPr="00F64EE3">
        <w:rPr>
          <w:rFonts w:eastAsia="Calibri" w:cs="Times New Roman"/>
        </w:rPr>
        <w:t xml:space="preserve">  </w:t>
      </w:r>
    </w:p>
    <w:p w14:paraId="287D404A" w14:textId="77777777" w:rsidR="00F64EE3" w:rsidRPr="00F64EE3" w:rsidRDefault="00F64EE3" w:rsidP="00F64EE3">
      <w:pPr>
        <w:ind w:firstLine="720"/>
        <w:rPr>
          <w:rFonts w:eastAsia="Calibri" w:cs="Times New Roman"/>
        </w:rPr>
      </w:pPr>
      <w:r w:rsidRPr="00F64EE3">
        <w:rPr>
          <w:rFonts w:eastAsia="Calibri" w:cs="Times New Roman"/>
        </w:rPr>
        <w:t>The interests that tort law protects change over time. Today a claimant would be unsuccessful in an action in tort against a defendant who had seduced their daughter or enticed their wife away</w:t>
      </w:r>
      <w:r w:rsidRPr="00F64EE3">
        <w:rPr>
          <w:rFonts w:eastAsia="Calibri" w:cs="Times New Roman"/>
          <w:iCs/>
        </w:rPr>
        <w:t>.</w:t>
      </w:r>
      <w:r w:rsidRPr="00F64EE3">
        <w:rPr>
          <w:rFonts w:eastAsia="Calibri" w:cs="Times New Roman"/>
          <w:iCs/>
          <w:vertAlign w:val="superscript"/>
        </w:rPr>
        <w:footnoteReference w:id="28"/>
      </w:r>
      <w:r w:rsidRPr="00F64EE3">
        <w:rPr>
          <w:rFonts w:eastAsia="Calibri" w:cs="Times New Roman"/>
          <w:iCs/>
        </w:rPr>
        <w:t xml:space="preserve"> New interests can be recognised and archaic ones swept away. The tort of negligence is no different in this regard: it is capable of protecting new interests by recognising new forms of damage.</w:t>
      </w:r>
      <w:r w:rsidRPr="00F64EE3">
        <w:rPr>
          <w:rFonts w:eastAsia="Calibri" w:cs="Times New Roman"/>
          <w:iCs/>
          <w:vertAlign w:val="superscript"/>
        </w:rPr>
        <w:footnoteReference w:id="29"/>
      </w:r>
      <w:r w:rsidRPr="00F64EE3">
        <w:rPr>
          <w:rFonts w:eastAsia="Calibri" w:cs="Times New Roman"/>
          <w:iCs/>
        </w:rPr>
        <w:t xml:space="preserve"> </w:t>
      </w:r>
      <w:r w:rsidRPr="00F64EE3">
        <w:rPr>
          <w:rFonts w:eastAsia="Calibri" w:cs="Times New Roman"/>
        </w:rPr>
        <w:t xml:space="preserve">As Lord Macmillan observed in </w:t>
      </w:r>
      <w:r w:rsidRPr="00F64EE3">
        <w:rPr>
          <w:rFonts w:eastAsia="Calibri" w:cs="Times New Roman"/>
          <w:i/>
        </w:rPr>
        <w:t>Donoghue v Stevenson</w:t>
      </w:r>
      <w:r w:rsidRPr="00F64EE3">
        <w:rPr>
          <w:rFonts w:eastAsia="Calibri" w:cs="Times New Roman"/>
        </w:rPr>
        <w:t>,</w:t>
      </w:r>
      <w:r w:rsidRPr="00F64EE3">
        <w:rPr>
          <w:rFonts w:eastAsia="Calibri" w:cs="Times New Roman"/>
          <w:vertAlign w:val="superscript"/>
        </w:rPr>
        <w:footnoteReference w:id="30"/>
      </w:r>
      <w:r w:rsidRPr="00F64EE3">
        <w:rPr>
          <w:rFonts w:eastAsia="Calibri" w:cs="Times New Roman"/>
          <w:i/>
        </w:rPr>
        <w:t xml:space="preserve"> </w:t>
      </w:r>
      <w:r w:rsidRPr="00F64EE3">
        <w:rPr>
          <w:rFonts w:eastAsia="Calibri" w:cs="Times New Roman"/>
        </w:rPr>
        <w:t>‘[t]he categories of negligence are never closed’</w:t>
      </w:r>
      <w:r w:rsidRPr="00F64EE3">
        <w:rPr>
          <w:rFonts w:eastAsia="Calibri" w:cs="Times New Roman"/>
          <w:vertAlign w:val="superscript"/>
        </w:rPr>
        <w:footnoteReference w:id="31"/>
      </w:r>
      <w:r w:rsidRPr="00F64EE3">
        <w:rPr>
          <w:rFonts w:eastAsia="Calibri" w:cs="Times New Roman"/>
        </w:rPr>
        <w:t xml:space="preserve"> and the law must ‘adapt itself to the changing circumstances of life.’</w:t>
      </w:r>
      <w:r w:rsidRPr="00F64EE3">
        <w:rPr>
          <w:rFonts w:eastAsia="Calibri" w:cs="Times New Roman"/>
          <w:vertAlign w:val="superscript"/>
        </w:rPr>
        <w:footnoteReference w:id="32"/>
      </w:r>
      <w:r w:rsidRPr="00F64EE3">
        <w:rPr>
          <w:rFonts w:eastAsia="Calibri" w:cs="Times New Roman"/>
        </w:rPr>
        <w:t xml:space="preserve"> With this in mind, this section will examine </w:t>
      </w:r>
      <w:r w:rsidRPr="00F64EE3">
        <w:rPr>
          <w:rFonts w:eastAsia="Calibri" w:cs="Times New Roman"/>
          <w:bCs/>
          <w:iCs/>
        </w:rPr>
        <w:t>the three cases that illustrate the problems that occur when judges do not rigorously scrutinise the concept of damage.</w:t>
      </w:r>
    </w:p>
    <w:p w14:paraId="681830CB" w14:textId="77777777" w:rsidR="00F64EE3" w:rsidRPr="00F64EE3" w:rsidRDefault="00F64EE3" w:rsidP="00F64EE3">
      <w:pPr>
        <w:keepNext/>
        <w:outlineLvl w:val="0"/>
        <w:rPr>
          <w:rFonts w:eastAsia="Times New Roman" w:cs="Times New Roman"/>
          <w:b/>
          <w:bCs/>
          <w:i/>
          <w:kern w:val="32"/>
          <w:szCs w:val="32"/>
        </w:rPr>
      </w:pPr>
    </w:p>
    <w:p w14:paraId="0314DAC1" w14:textId="460351AD" w:rsidR="00F64EE3" w:rsidRPr="00F64EE3" w:rsidRDefault="00F64EE3" w:rsidP="00F64EE3">
      <w:pPr>
        <w:keepNext/>
        <w:keepLines/>
        <w:outlineLvl w:val="2"/>
        <w:rPr>
          <w:rFonts w:eastAsia="Times New Roman" w:cs="Times New Roman"/>
          <w:b/>
          <w:bCs/>
          <w:sz w:val="32"/>
        </w:rPr>
      </w:pPr>
      <w:bookmarkStart w:id="3" w:name="_Toc433376550"/>
      <w:r w:rsidRPr="00F64EE3">
        <w:rPr>
          <w:rFonts w:eastAsia="Times New Roman" w:cs="Times New Roman"/>
          <w:b/>
          <w:bCs/>
          <w:i/>
          <w:sz w:val="32"/>
        </w:rPr>
        <w:t>McFarlane v Tayside Health Board</w:t>
      </w:r>
      <w:bookmarkEnd w:id="3"/>
    </w:p>
    <w:p w14:paraId="5218CD05" w14:textId="77777777" w:rsidR="00F64EE3" w:rsidRPr="00F64EE3" w:rsidRDefault="00F64EE3" w:rsidP="00F64EE3">
      <w:pPr>
        <w:rPr>
          <w:rFonts w:eastAsia="Calibri" w:cs="Times New Roman"/>
        </w:rPr>
      </w:pPr>
      <w:r w:rsidRPr="00F64EE3">
        <w:rPr>
          <w:rFonts w:eastAsia="Calibri" w:cs="Times New Roman"/>
          <w:i/>
        </w:rPr>
        <w:t>McFarlane v Tayside Health Board</w:t>
      </w:r>
      <w:r w:rsidRPr="00F64EE3">
        <w:rPr>
          <w:rFonts w:eastAsia="Calibri" w:cs="Times New Roman"/>
        </w:rPr>
        <w:t xml:space="preserve"> concerned a married couple, the McFarlanes, with four children. Deciding that this was enough, the husband had a vasectomy. The pursuers were informed that that the husband’s sperm count was negative and that contraceptive measures were no longer necessary. After following this advice, Mrs McFarlane became pregnant and gave birth to a healthy child, Catherine, after a normal pregnancy. Mrs McFarlane claimed for the physical discomfort arising from her pregnancy, confinement and delivery (the mother’s claim) and both parents claimed for the financial costs of bringing up the child (the parents’ claim). </w:t>
      </w:r>
    </w:p>
    <w:p w14:paraId="1C7E076C" w14:textId="77777777" w:rsidR="00F64EE3" w:rsidRPr="00F64EE3" w:rsidRDefault="00F64EE3" w:rsidP="00F64EE3">
      <w:pPr>
        <w:ind w:firstLine="720"/>
        <w:rPr>
          <w:rFonts w:eastAsia="Calibri" w:cs="Times New Roman"/>
        </w:rPr>
      </w:pPr>
      <w:r w:rsidRPr="00F64EE3">
        <w:rPr>
          <w:rFonts w:eastAsia="Calibri" w:cs="Times New Roman"/>
        </w:rPr>
        <w:t>When the case reached the House of Lords, their Lordships allowed the mother’s claim (Lord Millett dissenting)</w:t>
      </w:r>
      <w:r w:rsidRPr="00F64EE3">
        <w:rPr>
          <w:rFonts w:eastAsia="Calibri" w:cs="Times New Roman"/>
          <w:vertAlign w:val="superscript"/>
        </w:rPr>
        <w:footnoteReference w:id="33"/>
      </w:r>
      <w:r w:rsidRPr="00F64EE3">
        <w:rPr>
          <w:rFonts w:eastAsia="Calibri" w:cs="Times New Roman"/>
        </w:rPr>
        <w:t xml:space="preserve"> and so Mrs McFarlane was entitled to general damages for the pain, suffering and inconvenience of pregnancy and childbirth and (Lord Clyde dissenting on this point) special damages for extra medical expenses, clothing and loss of earnings associated with this. However the House of Lords unanimously overruled previous cases that had permitted the costs associated with raising a healthy child to be recovered and dismissed the parents’ claim.</w:t>
      </w:r>
      <w:r w:rsidRPr="00F64EE3">
        <w:rPr>
          <w:rFonts w:eastAsia="Calibri" w:cs="Times New Roman"/>
          <w:vertAlign w:val="superscript"/>
        </w:rPr>
        <w:footnoteReference w:id="34"/>
      </w:r>
      <w:r w:rsidRPr="00F64EE3">
        <w:rPr>
          <w:rFonts w:eastAsia="Calibri" w:cs="Times New Roman"/>
        </w:rPr>
        <w:t xml:space="preserve"> </w:t>
      </w:r>
    </w:p>
    <w:p w14:paraId="29EF731B" w14:textId="77777777" w:rsidR="00F64EE3" w:rsidRPr="00F64EE3" w:rsidRDefault="00F64EE3" w:rsidP="00F64EE3">
      <w:pPr>
        <w:ind w:firstLine="720"/>
        <w:rPr>
          <w:rFonts w:eastAsia="Calibri" w:cs="Times New Roman"/>
        </w:rPr>
      </w:pPr>
      <w:r w:rsidRPr="00F64EE3">
        <w:rPr>
          <w:rFonts w:eastAsia="Calibri" w:cs="Times New Roman"/>
        </w:rPr>
        <w:t>While the success of the mother’s claim is not wholly uncontentious the focus in this section will be on the dismissal of the parents’ claim.</w:t>
      </w:r>
      <w:r w:rsidRPr="00F64EE3">
        <w:rPr>
          <w:rFonts w:eastAsia="Calibri" w:cs="Times New Roman"/>
          <w:vertAlign w:val="superscript"/>
        </w:rPr>
        <w:footnoteReference w:id="35"/>
      </w:r>
      <w:r w:rsidRPr="00F64EE3">
        <w:rPr>
          <w:rFonts w:eastAsia="Calibri" w:cs="Times New Roman"/>
        </w:rPr>
        <w:t xml:space="preserve"> Various reasons were given for preventing the McFarlanes from succeeding. It was thought that ‘the law must take the birth of a normal, healthy baby to be a blessing, not a detriment,’</w:t>
      </w:r>
      <w:r w:rsidRPr="00F64EE3">
        <w:rPr>
          <w:rFonts w:eastAsia="Calibri" w:cs="Times New Roman"/>
          <w:vertAlign w:val="superscript"/>
        </w:rPr>
        <w:footnoteReference w:id="36"/>
      </w:r>
      <w:r w:rsidRPr="00F64EE3">
        <w:rPr>
          <w:rFonts w:eastAsia="Calibri" w:cs="Times New Roman"/>
        </w:rPr>
        <w:t xml:space="preserve"> that principles of distributive justice would prevent recovery,</w:t>
      </w:r>
      <w:r w:rsidRPr="00F64EE3">
        <w:rPr>
          <w:rFonts w:eastAsia="Calibri" w:cs="Times New Roman"/>
          <w:vertAlign w:val="superscript"/>
        </w:rPr>
        <w:footnoteReference w:id="37"/>
      </w:r>
      <w:r w:rsidRPr="00F64EE3">
        <w:rPr>
          <w:rFonts w:eastAsia="Calibri" w:cs="Times New Roman"/>
        </w:rPr>
        <w:t> that the extent of the defendant’s liability was disproportionate to the duties undertaken,</w:t>
      </w:r>
      <w:r w:rsidRPr="00F64EE3">
        <w:rPr>
          <w:rFonts w:eastAsia="Calibri" w:cs="Times New Roman"/>
          <w:vertAlign w:val="superscript"/>
        </w:rPr>
        <w:footnoteReference w:id="38"/>
      </w:r>
      <w:r w:rsidRPr="00F64EE3">
        <w:rPr>
          <w:rFonts w:eastAsia="Calibri" w:cs="Times New Roman"/>
        </w:rPr>
        <w:t xml:space="preserve"> that the doctor’s duty of care did not extend to the costs of raising Catherine,</w:t>
      </w:r>
      <w:r w:rsidRPr="00F64EE3">
        <w:rPr>
          <w:rFonts w:eastAsia="Calibri" w:cs="Times New Roman"/>
          <w:vertAlign w:val="superscript"/>
        </w:rPr>
        <w:footnoteReference w:id="39"/>
      </w:r>
      <w:r w:rsidRPr="00F64EE3">
        <w:rPr>
          <w:rFonts w:eastAsia="Calibri" w:cs="Times New Roman"/>
        </w:rPr>
        <w:t xml:space="preserve"> that such costs can only be recovered in contract</w:t>
      </w:r>
      <w:r w:rsidRPr="00F64EE3">
        <w:rPr>
          <w:rFonts w:eastAsia="Calibri" w:cs="Times New Roman"/>
          <w:vertAlign w:val="superscript"/>
        </w:rPr>
        <w:footnoteReference w:id="40"/>
      </w:r>
      <w:r w:rsidRPr="00F64EE3">
        <w:rPr>
          <w:rFonts w:eastAsia="Calibri" w:cs="Times New Roman"/>
        </w:rPr>
        <w:t xml:space="preserve"> and that while the costs of raising a healthy child could be calculated, the benefits could not.</w:t>
      </w:r>
      <w:r w:rsidRPr="00F64EE3">
        <w:rPr>
          <w:rFonts w:eastAsia="Calibri" w:cs="Times New Roman"/>
          <w:vertAlign w:val="superscript"/>
        </w:rPr>
        <w:footnoteReference w:id="41"/>
      </w:r>
      <w:r w:rsidRPr="00F64EE3">
        <w:rPr>
          <w:rFonts w:eastAsia="Calibri" w:cs="Times New Roman"/>
        </w:rPr>
        <w:t xml:space="preserve"> </w:t>
      </w:r>
    </w:p>
    <w:p w14:paraId="621FA77A" w14:textId="77777777" w:rsidR="00F64EE3" w:rsidRPr="00F64EE3" w:rsidRDefault="00F64EE3" w:rsidP="00F64EE3">
      <w:pPr>
        <w:ind w:firstLine="720"/>
        <w:rPr>
          <w:rFonts w:eastAsia="Calibri" w:cs="Times New Roman"/>
        </w:rPr>
      </w:pPr>
      <w:r w:rsidRPr="00F64EE3">
        <w:rPr>
          <w:rFonts w:eastAsia="Calibri" w:cs="Times New Roman"/>
          <w:bCs/>
          <w:iCs/>
        </w:rPr>
        <w:t>Such a diversity of views will come as a shock to few people. One only has to look at the recently proposed changes to child benefit policy in order to see that questions regarding who should pay the costs of raising children are apt to provoke heated debates.</w:t>
      </w:r>
      <w:r w:rsidRPr="00F64EE3">
        <w:rPr>
          <w:rFonts w:eastAsia="Calibri" w:cs="Times New Roman"/>
          <w:bCs/>
          <w:iCs/>
          <w:vertAlign w:val="superscript"/>
        </w:rPr>
        <w:footnoteReference w:id="42"/>
      </w:r>
      <w:r w:rsidRPr="00F64EE3">
        <w:rPr>
          <w:rFonts w:eastAsia="Calibri" w:cs="Times New Roman"/>
          <w:bCs/>
          <w:iCs/>
        </w:rPr>
        <w:t xml:space="preserve"> Dealing as it does with important issues relating to reproductive autonomy, the budgets of the NHS and the value society places on children, the result in </w:t>
      </w:r>
      <w:r w:rsidRPr="00F64EE3">
        <w:rPr>
          <w:rFonts w:eastAsia="Calibri" w:cs="Times New Roman"/>
          <w:bCs/>
          <w:i/>
          <w:iCs/>
        </w:rPr>
        <w:t>McFarlane</w:t>
      </w:r>
      <w:r w:rsidRPr="00F64EE3">
        <w:rPr>
          <w:rFonts w:eastAsia="Calibri" w:cs="Times New Roman"/>
          <w:bCs/>
          <w:iCs/>
        </w:rPr>
        <w:t xml:space="preserve"> was always going to be controversial. While no one wants to see parents struggling to raise an unwanted child they cannot afford, allowing recovery for childrearing costs may result in the unappealing state of affairs of wealthy parents taking money from the NHS to pay for their unwanted child to attend, as was permitted in the pre-</w:t>
      </w:r>
      <w:r w:rsidRPr="00F64EE3">
        <w:rPr>
          <w:rFonts w:eastAsia="Calibri" w:cs="Times New Roman"/>
          <w:bCs/>
          <w:i/>
          <w:iCs/>
        </w:rPr>
        <w:t>McFarlane</w:t>
      </w:r>
      <w:r w:rsidRPr="00F64EE3">
        <w:rPr>
          <w:rFonts w:eastAsia="Calibri" w:cs="Times New Roman"/>
          <w:bCs/>
          <w:iCs/>
        </w:rPr>
        <w:t xml:space="preserve"> case of </w:t>
      </w:r>
      <w:r w:rsidRPr="00F64EE3">
        <w:rPr>
          <w:rFonts w:eastAsia="Calibri" w:cs="Times New Roman"/>
          <w:bCs/>
          <w:i/>
          <w:iCs/>
        </w:rPr>
        <w:t>Allen v Bloomsbury HA</w:t>
      </w:r>
      <w:r w:rsidRPr="00F64EE3">
        <w:rPr>
          <w:rFonts w:eastAsia="Calibri" w:cs="Times New Roman"/>
          <w:bCs/>
          <w:iCs/>
        </w:rPr>
        <w:t>,</w:t>
      </w:r>
      <w:r w:rsidRPr="00F64EE3">
        <w:rPr>
          <w:rFonts w:eastAsia="Calibri" w:cs="Times New Roman"/>
          <w:bCs/>
          <w:iCs/>
          <w:vertAlign w:val="superscript"/>
        </w:rPr>
        <w:footnoteReference w:id="43"/>
      </w:r>
      <w:r w:rsidRPr="00F64EE3">
        <w:rPr>
          <w:rFonts w:eastAsia="Calibri" w:cs="Times New Roman"/>
          <w:bCs/>
          <w:iCs/>
        </w:rPr>
        <w:t xml:space="preserve"> an expensive private school. It is therefore unsurprising that the result has been subject to stinging academic commentary.</w:t>
      </w:r>
      <w:r w:rsidRPr="00F64EE3">
        <w:rPr>
          <w:rFonts w:eastAsia="Calibri" w:cs="Times New Roman"/>
          <w:bCs/>
          <w:iCs/>
          <w:vertAlign w:val="superscript"/>
        </w:rPr>
        <w:footnoteReference w:id="44"/>
      </w:r>
    </w:p>
    <w:p w14:paraId="7368D6E6" w14:textId="77777777" w:rsidR="00F64EE3" w:rsidRPr="00F64EE3" w:rsidRDefault="00F64EE3" w:rsidP="00F64EE3">
      <w:pPr>
        <w:ind w:firstLine="720"/>
        <w:rPr>
          <w:rFonts w:eastAsia="Calibri" w:cs="Times New Roman"/>
          <w:bCs/>
          <w:iCs/>
        </w:rPr>
      </w:pPr>
      <w:r w:rsidRPr="00F64EE3">
        <w:rPr>
          <w:rFonts w:eastAsia="Calibri" w:cs="Times New Roman"/>
          <w:bCs/>
          <w:iCs/>
        </w:rPr>
        <w:t>Yet the reasoning in the case can be criticised on grounds that have been overlooked in the existing literature. W</w:t>
      </w:r>
      <w:r w:rsidRPr="00F64EE3">
        <w:rPr>
          <w:rFonts w:eastAsia="Calibri" w:cs="Times New Roman"/>
        </w:rPr>
        <w:t xml:space="preserve">hereas Lord Clyde and Lord Millett approached the decision from a damage perspective by declining to perceive the costs of raising a healthy child as a head of loss in negligence, the majority believed that the hospital did not owe a </w:t>
      </w:r>
      <w:r w:rsidRPr="00F64EE3">
        <w:rPr>
          <w:rFonts w:eastAsia="Calibri" w:cs="Times New Roman"/>
          <w:i/>
        </w:rPr>
        <w:t>duty of care</w:t>
      </w:r>
      <w:r w:rsidRPr="00F64EE3">
        <w:rPr>
          <w:rFonts w:eastAsia="Calibri" w:cs="Times New Roman"/>
        </w:rPr>
        <w:t xml:space="preserve"> to the McFarlane’s to avoid causing their loss. The latter approach, I will argue leads to confusion in this area of law as the way the majority subsumed the investigation of whether actionable damage had occurred within questions of duty of care distorted the latter concept.</w:t>
      </w:r>
    </w:p>
    <w:p w14:paraId="18091EC2" w14:textId="77777777" w:rsidR="00F64EE3" w:rsidRPr="00F64EE3" w:rsidRDefault="00F64EE3" w:rsidP="00F64EE3">
      <w:pPr>
        <w:ind w:firstLine="720"/>
        <w:rPr>
          <w:rFonts w:eastAsia="Calibri" w:cs="Times New Roman"/>
          <w:bCs/>
          <w:iCs/>
        </w:rPr>
      </w:pPr>
      <w:r w:rsidRPr="00F64EE3">
        <w:rPr>
          <w:rFonts w:eastAsia="Calibri" w:cs="Times New Roman"/>
        </w:rPr>
        <w:t>Before elaborating why this is, it is necessary to briefly outline how judges determine whether a duty of care exists in a given situation.</w:t>
      </w:r>
      <w:r w:rsidRPr="00F64EE3">
        <w:rPr>
          <w:rFonts w:eastAsia="Calibri" w:cs="Times New Roman"/>
          <w:bCs/>
          <w:iCs/>
        </w:rPr>
        <w:t xml:space="preserve"> First, the courts will look at whether a duty has been imposed in such circumstances in the past. As Lord Oliver stated in </w:t>
      </w:r>
      <w:r w:rsidRPr="00F64EE3">
        <w:rPr>
          <w:rFonts w:eastAsia="Calibri" w:cs="Times New Roman"/>
          <w:bCs/>
          <w:i/>
          <w:iCs/>
          <w:lang w:val="it-IT"/>
        </w:rPr>
        <w:t>Caparo Industries plc v Dickman</w:t>
      </w:r>
      <w:r w:rsidRPr="00F64EE3">
        <w:rPr>
          <w:rFonts w:eastAsia="Calibri" w:cs="Times New Roman"/>
          <w:bCs/>
          <w:iCs/>
        </w:rPr>
        <w:t>,</w:t>
      </w:r>
      <w:r w:rsidRPr="00F64EE3">
        <w:rPr>
          <w:rFonts w:eastAsia="Calibri" w:cs="Times New Roman"/>
          <w:bCs/>
          <w:iCs/>
          <w:vertAlign w:val="superscript"/>
        </w:rPr>
        <w:footnoteReference w:id="45"/>
      </w:r>
      <w:r w:rsidRPr="00F64EE3">
        <w:rPr>
          <w:rFonts w:eastAsia="Calibri" w:cs="Times New Roman"/>
          <w:bCs/>
          <w:iCs/>
        </w:rPr>
        <w:t xml:space="preserve"> ‘the most that can be attempted is a broad categorisation of the decided cases according to the type of situation in which liability has been established in the past in order to found an argument by analogy.’</w:t>
      </w:r>
      <w:r w:rsidRPr="00F64EE3">
        <w:rPr>
          <w:rFonts w:eastAsia="Calibri" w:cs="Times New Roman"/>
          <w:bCs/>
          <w:iCs/>
          <w:vertAlign w:val="superscript"/>
        </w:rPr>
        <w:footnoteReference w:id="46"/>
      </w:r>
      <w:r w:rsidRPr="00F64EE3">
        <w:rPr>
          <w:rFonts w:eastAsia="Calibri" w:cs="Times New Roman"/>
          <w:bCs/>
          <w:iCs/>
        </w:rPr>
        <w:t xml:space="preserve"> If there is a line of cases where a similar duty has been held to exist before then it is likely that a duty of care will be established.</w:t>
      </w:r>
    </w:p>
    <w:p w14:paraId="30EDACDA"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However, if a novel case does not fit within an established line of cases, the courts will then utilise the three-fold method exemplified in </w:t>
      </w:r>
      <w:r w:rsidRPr="00F64EE3">
        <w:rPr>
          <w:rFonts w:eastAsia="Calibri" w:cs="Times New Roman"/>
          <w:bCs/>
          <w:i/>
          <w:iCs/>
          <w:lang w:val="it-IT"/>
        </w:rPr>
        <w:t>Caparo</w:t>
      </w:r>
      <w:r w:rsidRPr="00F64EE3">
        <w:rPr>
          <w:rFonts w:eastAsia="Calibri" w:cs="Times New Roman"/>
          <w:bCs/>
          <w:iCs/>
        </w:rPr>
        <w:t>. Under this, a duty of care may be imposed where (1) the harm to the claimant is foreseeable; (2) there is a relationship of sufficient ‘proximity’</w:t>
      </w:r>
      <w:r w:rsidRPr="00F64EE3">
        <w:rPr>
          <w:rFonts w:eastAsia="Calibri" w:cs="Times New Roman"/>
          <w:bCs/>
          <w:iCs/>
          <w:vertAlign w:val="superscript"/>
        </w:rPr>
        <w:footnoteReference w:id="47"/>
      </w:r>
      <w:r w:rsidRPr="00F64EE3">
        <w:rPr>
          <w:rFonts w:eastAsia="Calibri" w:cs="Times New Roman"/>
          <w:bCs/>
          <w:iCs/>
        </w:rPr>
        <w:t xml:space="preserve"> between the claimant and defendant; and (3) it is ‘fair, just and reasonable’</w:t>
      </w:r>
      <w:r w:rsidRPr="00F64EE3">
        <w:rPr>
          <w:rFonts w:eastAsia="Calibri" w:cs="Times New Roman"/>
          <w:bCs/>
          <w:iCs/>
          <w:vertAlign w:val="superscript"/>
        </w:rPr>
        <w:footnoteReference w:id="48"/>
      </w:r>
      <w:r w:rsidRPr="00F64EE3">
        <w:rPr>
          <w:rFonts w:eastAsia="Calibri" w:cs="Times New Roman"/>
          <w:bCs/>
          <w:iCs/>
        </w:rPr>
        <w:t xml:space="preserve"> to do so. This approach of asking whether imposing liability is fair, just and reasonable is largely policy-based but, again, a duty of care is more likely to be recognised under this method where a similar duty has been recognised before and the law </w:t>
      </w:r>
      <w:r w:rsidRPr="00F64EE3">
        <w:rPr>
          <w:rFonts w:eastAsia="Calibri" w:cs="Times New Roman"/>
        </w:rPr>
        <w:t>should develop ‘</w:t>
      </w:r>
      <w:r w:rsidRPr="00F64EE3">
        <w:rPr>
          <w:rFonts w:eastAsia="Calibri" w:cs="Times New Roman"/>
          <w:bCs/>
          <w:iCs/>
        </w:rPr>
        <w:t>incrementally and by analogy with established categories.’</w:t>
      </w:r>
      <w:r w:rsidRPr="00F64EE3">
        <w:rPr>
          <w:rFonts w:eastAsia="Calibri" w:cs="Times New Roman"/>
          <w:bCs/>
          <w:iCs/>
          <w:vertAlign w:val="superscript"/>
        </w:rPr>
        <w:footnoteReference w:id="49"/>
      </w:r>
      <w:r w:rsidRPr="00F64EE3">
        <w:rPr>
          <w:rFonts w:eastAsia="Calibri" w:cs="Times New Roman"/>
          <w:bCs/>
          <w:iCs/>
        </w:rPr>
        <w:t xml:space="preserve"> </w:t>
      </w:r>
    </w:p>
    <w:p w14:paraId="290CFFC3"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One established category of cases where a duty of care has previously been recognised emanates from the decision in </w:t>
      </w:r>
      <w:r w:rsidRPr="00F64EE3">
        <w:rPr>
          <w:rFonts w:eastAsia="Calibri" w:cs="Times New Roman"/>
          <w:bCs/>
          <w:i/>
          <w:iCs/>
        </w:rPr>
        <w:t>Hedley Byrne &amp; Co Ltd v Heller &amp; Partners Ltd</w:t>
      </w:r>
      <w:r w:rsidRPr="00F64EE3">
        <w:rPr>
          <w:rFonts w:eastAsia="Calibri" w:cs="Times New Roman"/>
          <w:bCs/>
          <w:iCs/>
          <w:vertAlign w:val="superscript"/>
        </w:rPr>
        <w:footnoteReference w:id="50"/>
      </w:r>
      <w:r w:rsidRPr="00F64EE3">
        <w:rPr>
          <w:rFonts w:eastAsia="Calibri" w:cs="Times New Roman"/>
          <w:bCs/>
          <w:iCs/>
        </w:rPr>
        <w:t xml:space="preserve"> and applies to cases of pure economic loss where there has been an ‘assumption of responsibility’</w:t>
      </w:r>
      <w:r w:rsidRPr="00F64EE3">
        <w:rPr>
          <w:rFonts w:eastAsia="Calibri" w:cs="Times New Roman"/>
          <w:bCs/>
          <w:iCs/>
          <w:vertAlign w:val="superscript"/>
        </w:rPr>
        <w:footnoteReference w:id="51"/>
      </w:r>
      <w:r w:rsidRPr="00F64EE3">
        <w:rPr>
          <w:rFonts w:eastAsia="Calibri" w:cs="Times New Roman"/>
          <w:bCs/>
          <w:iCs/>
        </w:rPr>
        <w:t xml:space="preserve"> by the defendant. In this case the  House of Lords held that a defendant could be under a duty of care for causing pure economic loss to a claimant where there is a ‘special relationship’</w:t>
      </w:r>
      <w:r w:rsidRPr="00F64EE3">
        <w:rPr>
          <w:rFonts w:eastAsia="Calibri" w:cs="Times New Roman"/>
          <w:bCs/>
          <w:iCs/>
          <w:vertAlign w:val="superscript"/>
        </w:rPr>
        <w:footnoteReference w:id="52"/>
      </w:r>
      <w:r w:rsidRPr="00F64EE3">
        <w:rPr>
          <w:rFonts w:eastAsia="Calibri" w:cs="Times New Roman"/>
          <w:bCs/>
          <w:iCs/>
        </w:rPr>
        <w:t xml:space="preserve"> between the claimant and defendant, and the defendant has ‘voluntarily accepted or undertaken’</w:t>
      </w:r>
      <w:r w:rsidRPr="00F64EE3">
        <w:rPr>
          <w:rFonts w:eastAsia="Calibri" w:cs="Times New Roman"/>
          <w:bCs/>
          <w:iCs/>
          <w:vertAlign w:val="superscript"/>
        </w:rPr>
        <w:footnoteReference w:id="53"/>
      </w:r>
      <w:r w:rsidRPr="00F64EE3">
        <w:rPr>
          <w:rFonts w:eastAsia="Calibri" w:cs="Times New Roman"/>
          <w:bCs/>
          <w:iCs/>
        </w:rPr>
        <w:t xml:space="preserve"> responsibility for a statement made to the claimant. The advice or statement must be given in circumstances where the defendant ‘knew or ought to have known that the inquirer was relying on him’</w:t>
      </w:r>
      <w:r w:rsidRPr="00F64EE3">
        <w:rPr>
          <w:rFonts w:eastAsia="Calibri" w:cs="Times New Roman"/>
          <w:bCs/>
          <w:iCs/>
          <w:vertAlign w:val="superscript"/>
        </w:rPr>
        <w:footnoteReference w:id="54"/>
      </w:r>
      <w:r w:rsidRPr="00F64EE3">
        <w:rPr>
          <w:rFonts w:eastAsia="Calibri" w:cs="Times New Roman"/>
          <w:bCs/>
          <w:iCs/>
        </w:rPr>
        <w:t xml:space="preserve"> and there must be reliance on the advice by the claimant that is reasonable in the circumstances.</w:t>
      </w:r>
      <w:r w:rsidRPr="00F64EE3">
        <w:rPr>
          <w:rFonts w:eastAsia="Calibri" w:cs="Times New Roman"/>
          <w:bCs/>
          <w:iCs/>
          <w:vertAlign w:val="superscript"/>
        </w:rPr>
        <w:footnoteReference w:id="55"/>
      </w:r>
      <w:r w:rsidRPr="00F64EE3">
        <w:rPr>
          <w:rFonts w:eastAsia="Calibri" w:cs="Times New Roman"/>
          <w:bCs/>
          <w:iCs/>
        </w:rPr>
        <w:t xml:space="preserve"> This category of cases first developed where negligent misstatements had occurred but now extends to negligent services.</w:t>
      </w:r>
      <w:r w:rsidRPr="00F64EE3">
        <w:rPr>
          <w:rFonts w:eastAsia="Calibri" w:cs="Times New Roman"/>
          <w:bCs/>
          <w:iCs/>
          <w:vertAlign w:val="superscript"/>
        </w:rPr>
        <w:footnoteReference w:id="56"/>
      </w:r>
    </w:p>
    <w:p w14:paraId="72BCAA23"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In </w:t>
      </w:r>
      <w:r w:rsidRPr="00F64EE3">
        <w:rPr>
          <w:rFonts w:eastAsia="Calibri" w:cs="Times New Roman"/>
          <w:bCs/>
          <w:i/>
          <w:iCs/>
        </w:rPr>
        <w:t xml:space="preserve">McFarlane </w:t>
      </w:r>
      <w:r w:rsidRPr="00F64EE3">
        <w:rPr>
          <w:rFonts w:eastAsia="Calibri" w:cs="Times New Roman"/>
          <w:bCs/>
          <w:iCs/>
        </w:rPr>
        <w:t xml:space="preserve">it was held that, due to the defendant’s statement that the father’s sperm count was negative and so contraceptive measures were unnecessary the claim fell within the scope of the ‘extended </w:t>
      </w:r>
      <w:r w:rsidRPr="00F64EE3">
        <w:rPr>
          <w:rFonts w:eastAsia="Calibri" w:cs="Times New Roman"/>
          <w:bCs/>
          <w:i/>
          <w:iCs/>
        </w:rPr>
        <w:t>Hedley</w:t>
      </w:r>
      <w:r w:rsidRPr="00F64EE3">
        <w:rPr>
          <w:rFonts w:eastAsia="Calibri" w:cs="Times New Roman"/>
          <w:bCs/>
          <w:iCs/>
        </w:rPr>
        <w:t xml:space="preserve"> </w:t>
      </w:r>
      <w:r w:rsidRPr="00F64EE3">
        <w:rPr>
          <w:rFonts w:eastAsia="Calibri" w:cs="Times New Roman"/>
          <w:bCs/>
          <w:i/>
          <w:iCs/>
        </w:rPr>
        <w:t xml:space="preserve">Byrne </w:t>
      </w:r>
      <w:r w:rsidRPr="00F64EE3">
        <w:rPr>
          <w:rFonts w:eastAsia="Calibri" w:cs="Times New Roman"/>
          <w:bCs/>
          <w:iCs/>
        </w:rPr>
        <w:t>principle.’</w:t>
      </w:r>
      <w:r w:rsidRPr="00F64EE3">
        <w:rPr>
          <w:rFonts w:eastAsia="Calibri" w:cs="Times New Roman"/>
          <w:bCs/>
          <w:iCs/>
          <w:vertAlign w:val="superscript"/>
        </w:rPr>
        <w:footnoteReference w:id="57"/>
      </w:r>
      <w:r w:rsidRPr="00F64EE3">
        <w:rPr>
          <w:rFonts w:eastAsia="Calibri" w:cs="Times New Roman"/>
          <w:bCs/>
          <w:iCs/>
        </w:rPr>
        <w:t xml:space="preserve"> This is quite correct. The damage the claimants suffered was the very type they had gone to see the defendant to prevent and the doctor had made a misrepresentation to them. The doctor-patient relationship is a very close one and the defendant had advised the claimants about what contraceptive precautions they needed to take in future. It is hardly unreasonable for the claimants to rely on the advice of their doctor and they evidently did so, otherwise Catherine would not exist. It would be remarkable if there was not an assumption of responsibility on these facts.</w:t>
      </w:r>
      <w:r w:rsidRPr="00F64EE3">
        <w:rPr>
          <w:rFonts w:eastAsia="Calibri" w:cs="Times New Roman"/>
          <w:bCs/>
          <w:iCs/>
          <w:vertAlign w:val="superscript"/>
        </w:rPr>
        <w:footnoteReference w:id="58"/>
      </w:r>
      <w:r w:rsidRPr="00F64EE3">
        <w:rPr>
          <w:rFonts w:eastAsia="Calibri" w:cs="Times New Roman"/>
          <w:bCs/>
          <w:iCs/>
        </w:rPr>
        <w:t xml:space="preserve"> </w:t>
      </w:r>
    </w:p>
    <w:p w14:paraId="4AD7F9CC"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The troubling aspect of this case relates, instead, to how the majority applied the extended </w:t>
      </w:r>
      <w:r w:rsidRPr="00F64EE3">
        <w:rPr>
          <w:rFonts w:eastAsia="Calibri" w:cs="Times New Roman"/>
          <w:bCs/>
          <w:i/>
          <w:iCs/>
        </w:rPr>
        <w:t>Hedley Byrne</w:t>
      </w:r>
      <w:r w:rsidRPr="00F64EE3">
        <w:rPr>
          <w:rFonts w:eastAsia="Calibri" w:cs="Times New Roman"/>
          <w:bCs/>
          <w:iCs/>
        </w:rPr>
        <w:t xml:space="preserve"> principle. It is well established that it is </w:t>
      </w:r>
      <w:r w:rsidRPr="00F64EE3">
        <w:rPr>
          <w:rFonts w:eastAsia="Calibri" w:cs="Times New Roman"/>
          <w:bCs/>
          <w:i/>
          <w:iCs/>
        </w:rPr>
        <w:t>not</w:t>
      </w:r>
      <w:r w:rsidRPr="00F64EE3">
        <w:rPr>
          <w:rFonts w:eastAsia="Calibri" w:cs="Times New Roman"/>
          <w:bCs/>
          <w:iCs/>
        </w:rPr>
        <w:t xml:space="preserve"> a requirement of the extended </w:t>
      </w:r>
      <w:r w:rsidRPr="00F64EE3">
        <w:rPr>
          <w:rFonts w:eastAsia="Calibri" w:cs="Times New Roman"/>
          <w:bCs/>
          <w:i/>
          <w:iCs/>
        </w:rPr>
        <w:t>Hedley Byrne</w:t>
      </w:r>
      <w:r w:rsidRPr="00F64EE3">
        <w:rPr>
          <w:rFonts w:eastAsia="Calibri" w:cs="Times New Roman"/>
          <w:bCs/>
          <w:iCs/>
        </w:rPr>
        <w:t xml:space="preserve"> principle – though it is of course necessary if undertaking the three-stage </w:t>
      </w:r>
      <w:r w:rsidRPr="00F64EE3">
        <w:rPr>
          <w:rFonts w:eastAsia="Calibri" w:cs="Times New Roman"/>
          <w:bCs/>
          <w:i/>
          <w:iCs/>
        </w:rPr>
        <w:t>Caparo</w:t>
      </w:r>
      <w:r w:rsidRPr="00F64EE3">
        <w:rPr>
          <w:rFonts w:eastAsia="Calibri" w:cs="Times New Roman"/>
          <w:bCs/>
          <w:iCs/>
        </w:rPr>
        <w:t xml:space="preserve"> enquiry – to ask whether imposing a duty of care is fair, just and reasonable.</w:t>
      </w:r>
      <w:r w:rsidRPr="00F64EE3">
        <w:rPr>
          <w:rFonts w:eastAsia="Calibri" w:cs="Times New Roman"/>
          <w:bCs/>
          <w:iCs/>
          <w:vertAlign w:val="superscript"/>
        </w:rPr>
        <w:footnoteReference w:id="59"/>
      </w:r>
      <w:r w:rsidRPr="00F64EE3">
        <w:rPr>
          <w:rFonts w:eastAsia="Calibri" w:cs="Times New Roman"/>
          <w:bCs/>
          <w:iCs/>
        </w:rPr>
        <w:t xml:space="preserve"> As Lord Steyn stated in </w:t>
      </w:r>
      <w:r w:rsidRPr="00F64EE3">
        <w:rPr>
          <w:rFonts w:eastAsia="Calibri" w:cs="Times New Roman"/>
          <w:bCs/>
          <w:i/>
          <w:iCs/>
        </w:rPr>
        <w:t>Williams v Natural Life Health Foods</w:t>
      </w:r>
      <w:r w:rsidRPr="00F64EE3">
        <w:rPr>
          <w:rFonts w:eastAsia="Calibri" w:cs="Times New Roman"/>
          <w:bCs/>
          <w:iCs/>
          <w:vertAlign w:val="superscript"/>
        </w:rPr>
        <w:footnoteReference w:id="60"/>
      </w:r>
      <w:r w:rsidRPr="00F64EE3">
        <w:rPr>
          <w:rFonts w:eastAsia="Calibri" w:cs="Times New Roman"/>
          <w:bCs/>
          <w:i/>
          <w:iCs/>
        </w:rPr>
        <w:t xml:space="preserve"> – </w:t>
      </w:r>
      <w:r w:rsidRPr="00F64EE3">
        <w:rPr>
          <w:rFonts w:eastAsia="Calibri" w:cs="Times New Roman"/>
          <w:bCs/>
          <w:iCs/>
        </w:rPr>
        <w:t xml:space="preserve">echoing Lord Goff’s comments in </w:t>
      </w:r>
      <w:r w:rsidRPr="00F64EE3">
        <w:rPr>
          <w:rFonts w:eastAsia="Calibri" w:cs="Times New Roman"/>
          <w:bCs/>
          <w:i/>
          <w:iCs/>
          <w:lang w:val="sv-SE"/>
        </w:rPr>
        <w:t>Henderson v Merrett Syndicates</w:t>
      </w:r>
      <w:r w:rsidRPr="00F64EE3">
        <w:rPr>
          <w:rFonts w:eastAsia="Calibri" w:cs="Times New Roman"/>
          <w:bCs/>
          <w:iCs/>
          <w:vertAlign w:val="superscript"/>
        </w:rPr>
        <w:footnoteReference w:id="61"/>
      </w:r>
      <w:r w:rsidRPr="00F64EE3">
        <w:rPr>
          <w:rFonts w:eastAsia="Calibri" w:cs="Times New Roman"/>
          <w:bCs/>
          <w:i/>
          <w:iCs/>
          <w:lang w:val="sv-SE"/>
        </w:rPr>
        <w:t xml:space="preserve"> </w:t>
      </w:r>
      <w:r w:rsidRPr="00F64EE3">
        <w:rPr>
          <w:rFonts w:eastAsia="Calibri" w:cs="Times New Roman"/>
          <w:bCs/>
          <w:iCs/>
          <w:lang w:val="sv-SE"/>
        </w:rPr>
        <w:t>–</w:t>
      </w:r>
      <w:r w:rsidRPr="00F64EE3">
        <w:rPr>
          <w:rFonts w:eastAsia="Calibri" w:cs="Times New Roman"/>
          <w:bCs/>
          <w:iCs/>
        </w:rPr>
        <w:t xml:space="preserve"> ‘once a case is identified as falling within the extended </w:t>
      </w:r>
      <w:r w:rsidRPr="00F64EE3">
        <w:rPr>
          <w:rFonts w:eastAsia="Calibri" w:cs="Times New Roman"/>
          <w:bCs/>
          <w:i/>
          <w:iCs/>
        </w:rPr>
        <w:t>Hedley Byrne</w:t>
      </w:r>
      <w:r w:rsidRPr="00F64EE3">
        <w:rPr>
          <w:rFonts w:eastAsia="Calibri" w:cs="Times New Roman"/>
          <w:bCs/>
          <w:iCs/>
        </w:rPr>
        <w:t xml:space="preserve"> principle, there is no need to embark on any further inquiry whether it is “fair, just and reasonable” to impose liability for economic loss.’</w:t>
      </w:r>
      <w:r w:rsidRPr="00F64EE3">
        <w:rPr>
          <w:rFonts w:eastAsia="Calibri" w:cs="Times New Roman"/>
          <w:bCs/>
          <w:iCs/>
          <w:vertAlign w:val="superscript"/>
        </w:rPr>
        <w:footnoteReference w:id="62"/>
      </w:r>
      <w:r w:rsidRPr="00F64EE3">
        <w:rPr>
          <w:rFonts w:eastAsia="Calibri" w:cs="Times New Roman"/>
          <w:bCs/>
          <w:iCs/>
        </w:rPr>
        <w:t xml:space="preserve"> </w:t>
      </w:r>
    </w:p>
    <w:p w14:paraId="5A96F554"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It is peculiar, then, to find the very same Lord Steyn pronouncing in </w:t>
      </w:r>
      <w:r w:rsidRPr="00F64EE3">
        <w:rPr>
          <w:rFonts w:eastAsia="Calibri" w:cs="Times New Roman"/>
          <w:bCs/>
          <w:i/>
          <w:iCs/>
        </w:rPr>
        <w:t>McFarlane</w:t>
      </w:r>
      <w:r w:rsidRPr="00F64EE3">
        <w:rPr>
          <w:rFonts w:eastAsia="Calibri" w:cs="Times New Roman"/>
          <w:bCs/>
          <w:iCs/>
        </w:rPr>
        <w:t xml:space="preserve"> that ‘the claim </w:t>
      </w:r>
      <w:r w:rsidRPr="00F64EE3">
        <w:rPr>
          <w:rFonts w:eastAsia="Calibri" w:cs="Times New Roman"/>
          <w:bCs/>
          <w:i/>
          <w:iCs/>
        </w:rPr>
        <w:t>does not satisfy the requirement of being fair, just and reasonable</w:t>
      </w:r>
      <w:r w:rsidRPr="00F64EE3">
        <w:rPr>
          <w:rFonts w:eastAsia="Calibri" w:cs="Times New Roman"/>
          <w:bCs/>
          <w:iCs/>
        </w:rPr>
        <w:t>.’</w:t>
      </w:r>
      <w:r w:rsidRPr="00F64EE3">
        <w:rPr>
          <w:rFonts w:eastAsia="Calibri" w:cs="Times New Roman"/>
          <w:bCs/>
          <w:iCs/>
          <w:vertAlign w:val="superscript"/>
        </w:rPr>
        <w:footnoteReference w:id="63"/>
      </w:r>
      <w:r w:rsidRPr="00F64EE3">
        <w:rPr>
          <w:rFonts w:eastAsia="Calibri" w:cs="Times New Roman"/>
          <w:bCs/>
          <w:iCs/>
        </w:rPr>
        <w:t xml:space="preserve"> This idea that recovery for the costs of raising a healthy child on the facts of </w:t>
      </w:r>
      <w:r w:rsidRPr="00F64EE3">
        <w:rPr>
          <w:rFonts w:eastAsia="Calibri" w:cs="Times New Roman"/>
          <w:bCs/>
          <w:i/>
          <w:iCs/>
        </w:rPr>
        <w:t>McFarlane</w:t>
      </w:r>
      <w:r w:rsidRPr="00F64EE3">
        <w:rPr>
          <w:rFonts w:eastAsia="Calibri" w:cs="Times New Roman"/>
          <w:bCs/>
          <w:iCs/>
        </w:rPr>
        <w:t xml:space="preserve"> is unfair, unjust and unreasonable is also echoed by Lord Hope</w:t>
      </w:r>
      <w:r w:rsidRPr="00F64EE3">
        <w:rPr>
          <w:rFonts w:eastAsia="Calibri" w:cs="Times New Roman"/>
          <w:bCs/>
          <w:iCs/>
          <w:vertAlign w:val="superscript"/>
        </w:rPr>
        <w:footnoteReference w:id="64"/>
      </w:r>
      <w:r w:rsidRPr="00F64EE3">
        <w:rPr>
          <w:rFonts w:eastAsia="Calibri" w:cs="Times New Roman"/>
          <w:bCs/>
          <w:iCs/>
        </w:rPr>
        <w:t xml:space="preserve"> and Lord Slynn</w:t>
      </w:r>
      <w:r w:rsidRPr="00F64EE3">
        <w:rPr>
          <w:rFonts w:eastAsia="Calibri" w:cs="Times New Roman"/>
          <w:bCs/>
          <w:iCs/>
          <w:vertAlign w:val="superscript"/>
        </w:rPr>
        <w:footnoteReference w:id="65"/>
      </w:r>
      <w:r w:rsidRPr="00F64EE3">
        <w:rPr>
          <w:rFonts w:eastAsia="Calibri" w:cs="Times New Roman"/>
          <w:bCs/>
          <w:iCs/>
        </w:rPr>
        <w:t xml:space="preserve"> in the majority.</w:t>
      </w:r>
      <w:r w:rsidRPr="00F64EE3">
        <w:rPr>
          <w:rFonts w:eastAsia="Calibri" w:cs="Times New Roman"/>
          <w:bCs/>
          <w:iCs/>
          <w:vertAlign w:val="superscript"/>
        </w:rPr>
        <w:footnoteReference w:id="66"/>
      </w:r>
      <w:r w:rsidRPr="00F64EE3">
        <w:rPr>
          <w:rFonts w:eastAsia="Calibri" w:cs="Times New Roman"/>
          <w:bCs/>
          <w:iCs/>
        </w:rPr>
        <w:t xml:space="preserve"> </w:t>
      </w:r>
    </w:p>
    <w:p w14:paraId="6C4E78C5"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Of course it could be argued that </w:t>
      </w:r>
      <w:r w:rsidRPr="00F64EE3">
        <w:rPr>
          <w:rFonts w:eastAsia="Calibri" w:cs="Times New Roman"/>
          <w:bCs/>
          <w:i/>
          <w:iCs/>
        </w:rPr>
        <w:t>McFarlane</w:t>
      </w:r>
      <w:r w:rsidRPr="00F64EE3">
        <w:rPr>
          <w:rFonts w:eastAsia="Calibri" w:cs="Times New Roman"/>
          <w:bCs/>
          <w:iCs/>
        </w:rPr>
        <w:t xml:space="preserve"> was a novel case and so the </w:t>
      </w:r>
      <w:r w:rsidRPr="00F64EE3">
        <w:rPr>
          <w:rFonts w:eastAsia="Calibri" w:cs="Times New Roman"/>
          <w:bCs/>
          <w:i/>
          <w:iCs/>
        </w:rPr>
        <w:t>Caparo</w:t>
      </w:r>
      <w:r w:rsidRPr="00F64EE3">
        <w:rPr>
          <w:rFonts w:eastAsia="Calibri" w:cs="Times New Roman"/>
          <w:bCs/>
          <w:iCs/>
        </w:rPr>
        <w:t xml:space="preserve"> method should be utilised. However, if the loss associated with raising a healthy child is accurately classified as pure economic loss and </w:t>
      </w:r>
      <w:r w:rsidRPr="00F64EE3">
        <w:rPr>
          <w:rFonts w:eastAsia="Calibri" w:cs="Times New Roman"/>
          <w:bCs/>
          <w:i/>
          <w:iCs/>
        </w:rPr>
        <w:t>Hedley Byrne</w:t>
      </w:r>
      <w:r w:rsidRPr="00F64EE3">
        <w:rPr>
          <w:rFonts w:eastAsia="Calibri" w:cs="Times New Roman"/>
          <w:bCs/>
          <w:iCs/>
        </w:rPr>
        <w:t xml:space="preserve"> is applicable – and Lord Steyn maintained that this was the case</w:t>
      </w:r>
      <w:r w:rsidRPr="00F64EE3">
        <w:rPr>
          <w:rFonts w:eastAsia="Calibri" w:cs="Times New Roman"/>
          <w:bCs/>
          <w:iCs/>
          <w:vertAlign w:val="superscript"/>
        </w:rPr>
        <w:footnoteReference w:id="67"/>
      </w:r>
      <w:r w:rsidRPr="00F64EE3">
        <w:rPr>
          <w:rFonts w:eastAsia="Calibri" w:cs="Times New Roman"/>
          <w:bCs/>
          <w:iCs/>
        </w:rPr>
        <w:t xml:space="preserve">  – then it is simply not open for judges to deny a duty of care being imposed because doing so is not fair, just and reasonable without re-writing the current approach for establishing the duty of care in negligence. Once the majority held that there was an assumption of responsibility on these facts, then a duty of care should be imposed.</w:t>
      </w:r>
    </w:p>
    <w:p w14:paraId="197C14EE"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To do otherwise is not merely a narrow problem for one particular form of damage (pure economic loss) under the </w:t>
      </w:r>
      <w:r w:rsidRPr="00F64EE3">
        <w:rPr>
          <w:rFonts w:eastAsia="Calibri" w:cs="Times New Roman"/>
          <w:bCs/>
          <w:i/>
          <w:iCs/>
        </w:rPr>
        <w:t xml:space="preserve">Hedley Byrne </w:t>
      </w:r>
      <w:r w:rsidRPr="00F64EE3">
        <w:rPr>
          <w:rFonts w:eastAsia="Calibri" w:cs="Times New Roman"/>
          <w:bCs/>
          <w:iCs/>
        </w:rPr>
        <w:t xml:space="preserve">doctrine but is contrary to the modern approach to duty of care since </w:t>
      </w:r>
      <w:r w:rsidRPr="00F64EE3">
        <w:rPr>
          <w:rFonts w:eastAsia="Calibri" w:cs="Times New Roman"/>
          <w:bCs/>
          <w:i/>
          <w:iCs/>
        </w:rPr>
        <w:t>Caparo</w:t>
      </w:r>
      <w:r w:rsidRPr="00F64EE3">
        <w:rPr>
          <w:rFonts w:eastAsia="Calibri" w:cs="Times New Roman"/>
          <w:bCs/>
          <w:iCs/>
        </w:rPr>
        <w:t>. Once a case</w:t>
      </w:r>
      <w:r w:rsidRPr="00F64EE3">
        <w:rPr>
          <w:rFonts w:eastAsia="Calibri" w:cs="Times New Roman"/>
        </w:rPr>
        <w:t xml:space="preserve"> fits into a category where the existence of a duty of care has already been recognised, the more elusive criteria of whether imposing liability is fair, just and reasonable do not arise.</w:t>
      </w:r>
      <w:r w:rsidRPr="00F64EE3">
        <w:rPr>
          <w:rFonts w:eastAsia="Calibri" w:cs="Times New Roman"/>
          <w:vertAlign w:val="superscript"/>
        </w:rPr>
        <w:footnoteReference w:id="68"/>
      </w:r>
      <w:r w:rsidRPr="00F64EE3">
        <w:rPr>
          <w:rFonts w:eastAsia="Calibri" w:cs="Times New Roman"/>
        </w:rPr>
        <w:t xml:space="preserve"> As Hobhouse LJ (as he then was) stated in </w:t>
      </w:r>
      <w:r w:rsidRPr="00F64EE3">
        <w:rPr>
          <w:rFonts w:eastAsia="Calibri" w:cs="Times New Roman"/>
          <w:i/>
        </w:rPr>
        <w:t>Perrett v Collins</w:t>
      </w:r>
      <w:r w:rsidRPr="00F64EE3">
        <w:rPr>
          <w:rFonts w:eastAsia="Calibri" w:cs="Times New Roman"/>
        </w:rPr>
        <w:t xml:space="preserve"> (a personal injury case), ‘a defendant should not be allowed to seek to escape from liability by appealing to some vaguer concept of justice or fairness; the law cannot be re-made for every case.’</w:t>
      </w:r>
      <w:r w:rsidRPr="00F64EE3">
        <w:rPr>
          <w:rFonts w:eastAsia="Calibri" w:cs="Times New Roman"/>
          <w:vertAlign w:val="superscript"/>
        </w:rPr>
        <w:footnoteReference w:id="69"/>
      </w:r>
      <w:r w:rsidRPr="00F64EE3">
        <w:rPr>
          <w:rFonts w:eastAsia="Calibri" w:cs="Times New Roman"/>
        </w:rPr>
        <w:t xml:space="preserve"> Importantly, this approach has been confirmed by more recent cases. In </w:t>
      </w:r>
      <w:r w:rsidRPr="00F64EE3">
        <w:rPr>
          <w:rFonts w:eastAsia="Calibri" w:cs="Times New Roman"/>
          <w:bCs/>
          <w:i/>
          <w:iCs/>
        </w:rPr>
        <w:t>Customs and Excise Commissioners v Barclays</w:t>
      </w:r>
      <w:r w:rsidRPr="00F64EE3">
        <w:rPr>
          <w:rFonts w:eastAsia="Calibri" w:cs="Times New Roman"/>
          <w:bCs/>
          <w:iCs/>
          <w:vertAlign w:val="superscript"/>
        </w:rPr>
        <w:footnoteReference w:id="70"/>
      </w:r>
      <w:r w:rsidRPr="00F64EE3">
        <w:rPr>
          <w:rFonts w:eastAsia="Calibri" w:cs="Times New Roman"/>
          <w:bCs/>
          <w:iCs/>
        </w:rPr>
        <w:t xml:space="preserve"> Lord Bingham described ‘assumption of responsibility as a sufficient but not a necessary condition of liability, a first test which, if answered positively, may obviate the need for further inquiry.’</w:t>
      </w:r>
      <w:r w:rsidRPr="00F64EE3">
        <w:rPr>
          <w:rFonts w:eastAsia="Calibri" w:cs="Times New Roman"/>
          <w:bCs/>
          <w:iCs/>
          <w:vertAlign w:val="superscript"/>
        </w:rPr>
        <w:footnoteReference w:id="71"/>
      </w:r>
      <w:r w:rsidRPr="00F64EE3">
        <w:rPr>
          <w:rFonts w:eastAsia="Calibri" w:cs="Times New Roman"/>
          <w:bCs/>
          <w:i/>
          <w:iCs/>
        </w:rPr>
        <w:t xml:space="preserve"> </w:t>
      </w:r>
    </w:p>
    <w:p w14:paraId="483BAF93" w14:textId="77777777" w:rsidR="00F64EE3" w:rsidRPr="00F64EE3" w:rsidRDefault="00F64EE3" w:rsidP="00F64EE3">
      <w:pPr>
        <w:ind w:firstLine="720"/>
        <w:rPr>
          <w:rFonts w:eastAsia="Calibri" w:cs="Times New Roman"/>
          <w:bCs/>
          <w:iCs/>
        </w:rPr>
      </w:pPr>
      <w:r w:rsidRPr="00F64EE3">
        <w:rPr>
          <w:rFonts w:eastAsia="Calibri" w:cs="Times New Roman"/>
          <w:bCs/>
          <w:iCs/>
        </w:rPr>
        <w:t>Accordingly, if questions of whether recovery is fair, just and reasonable are to be applied where there is an assumption of responsibility then several House of Lords cases will need to be set aside.</w:t>
      </w:r>
      <w:r w:rsidRPr="00F64EE3">
        <w:rPr>
          <w:rFonts w:eastAsia="Calibri" w:cs="Times New Roman"/>
          <w:bCs/>
          <w:iCs/>
          <w:vertAlign w:val="superscript"/>
        </w:rPr>
        <w:footnoteReference w:id="72"/>
      </w:r>
      <w:r w:rsidRPr="00F64EE3">
        <w:rPr>
          <w:rFonts w:eastAsia="Calibri" w:cs="Times New Roman"/>
          <w:bCs/>
          <w:iCs/>
        </w:rPr>
        <w:t xml:space="preserve">  Such cases, even if one maintains that they were wrongly decided, are far too well-entrenched to be under-scrutinised in the manner Lord Steyn treats them. By not refusing liability in </w:t>
      </w:r>
      <w:r w:rsidRPr="00F64EE3">
        <w:rPr>
          <w:rFonts w:eastAsia="Calibri" w:cs="Times New Roman"/>
          <w:bCs/>
          <w:i/>
          <w:iCs/>
        </w:rPr>
        <w:t>McFarlane</w:t>
      </w:r>
      <w:r w:rsidRPr="00F64EE3">
        <w:rPr>
          <w:rFonts w:eastAsia="Calibri" w:cs="Times New Roman"/>
          <w:bCs/>
          <w:iCs/>
        </w:rPr>
        <w:t xml:space="preserve"> on the basis that a healthy child is not </w:t>
      </w:r>
      <w:r w:rsidRPr="00F64EE3">
        <w:rPr>
          <w:rFonts w:eastAsia="Calibri" w:cs="Times New Roman"/>
          <w:bCs/>
          <w:i/>
          <w:iCs/>
        </w:rPr>
        <w:t>actionable</w:t>
      </w:r>
      <w:r w:rsidRPr="00F64EE3">
        <w:rPr>
          <w:rFonts w:eastAsia="Calibri" w:cs="Times New Roman"/>
          <w:bCs/>
          <w:iCs/>
        </w:rPr>
        <w:t xml:space="preserve"> </w:t>
      </w:r>
      <w:r w:rsidRPr="00F64EE3">
        <w:rPr>
          <w:rFonts w:eastAsia="Calibri" w:cs="Times New Roman"/>
          <w:bCs/>
          <w:i/>
          <w:iCs/>
        </w:rPr>
        <w:t>damage</w:t>
      </w:r>
      <w:r w:rsidRPr="00F64EE3">
        <w:rPr>
          <w:rFonts w:eastAsia="Calibri" w:cs="Times New Roman"/>
          <w:bCs/>
          <w:iCs/>
        </w:rPr>
        <w:t xml:space="preserve"> and instead holding that there was no duty of care in such situations, the majority of the House of Lords had to amalgamate the </w:t>
      </w:r>
      <w:r w:rsidRPr="00F64EE3">
        <w:rPr>
          <w:rFonts w:eastAsia="Calibri" w:cs="Times New Roman"/>
          <w:bCs/>
          <w:i/>
          <w:iCs/>
        </w:rPr>
        <w:t xml:space="preserve">Caparo </w:t>
      </w:r>
      <w:r w:rsidRPr="00F64EE3">
        <w:rPr>
          <w:rFonts w:eastAsia="Calibri" w:cs="Times New Roman"/>
          <w:bCs/>
          <w:iCs/>
        </w:rPr>
        <w:t xml:space="preserve">and </w:t>
      </w:r>
      <w:r w:rsidRPr="00F64EE3">
        <w:rPr>
          <w:rFonts w:eastAsia="Calibri" w:cs="Times New Roman"/>
          <w:bCs/>
          <w:i/>
          <w:iCs/>
        </w:rPr>
        <w:t>Hedley Byrne</w:t>
      </w:r>
      <w:r w:rsidRPr="00F64EE3">
        <w:rPr>
          <w:rFonts w:eastAsia="Calibri" w:cs="Times New Roman"/>
          <w:bCs/>
          <w:iCs/>
        </w:rPr>
        <w:t xml:space="preserve"> approaches to duty of care. Lord Steyn accepted this, stating ‘it ought not to make any difference whether the claim is based on negligence </w:t>
      </w:r>
      <w:r w:rsidRPr="00F64EE3">
        <w:rPr>
          <w:rFonts w:eastAsia="Calibri" w:cs="Times New Roman"/>
          <w:bCs/>
          <w:i/>
          <w:iCs/>
        </w:rPr>
        <w:t>simpliciter</w:t>
      </w:r>
      <w:r w:rsidRPr="00F64EE3">
        <w:rPr>
          <w:rFonts w:eastAsia="Calibri" w:cs="Times New Roman"/>
          <w:bCs/>
          <w:iCs/>
        </w:rPr>
        <w:t xml:space="preserve"> or on the extended </w:t>
      </w:r>
      <w:r w:rsidRPr="00F64EE3">
        <w:rPr>
          <w:rFonts w:eastAsia="Calibri" w:cs="Times New Roman"/>
          <w:bCs/>
          <w:i/>
          <w:iCs/>
        </w:rPr>
        <w:t>Hedley Byrne</w:t>
      </w:r>
      <w:r w:rsidRPr="00F64EE3">
        <w:rPr>
          <w:rFonts w:eastAsia="Calibri" w:cs="Times New Roman"/>
          <w:bCs/>
          <w:iCs/>
        </w:rPr>
        <w:t> principle.’</w:t>
      </w:r>
      <w:r w:rsidRPr="00F64EE3">
        <w:rPr>
          <w:rFonts w:eastAsia="Calibri" w:cs="Times New Roman"/>
          <w:vertAlign w:val="superscript"/>
        </w:rPr>
        <w:footnoteReference w:id="73"/>
      </w:r>
      <w:r w:rsidRPr="00F64EE3">
        <w:rPr>
          <w:rFonts w:eastAsia="Calibri" w:cs="Times New Roman"/>
        </w:rPr>
        <w:t> </w:t>
      </w:r>
      <w:r w:rsidRPr="00F64EE3">
        <w:rPr>
          <w:rFonts w:eastAsia="Calibri" w:cs="Times New Roman"/>
          <w:bCs/>
          <w:iCs/>
        </w:rPr>
        <w:t xml:space="preserve"> </w:t>
      </w:r>
    </w:p>
    <w:p w14:paraId="34CB6E53"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Given that the </w:t>
      </w:r>
      <w:r w:rsidRPr="00F64EE3">
        <w:rPr>
          <w:rFonts w:eastAsia="Calibri" w:cs="Times New Roman"/>
          <w:bCs/>
          <w:i/>
          <w:iCs/>
        </w:rPr>
        <w:t>Hedley Byrne</w:t>
      </w:r>
      <w:r w:rsidRPr="00F64EE3">
        <w:rPr>
          <w:rFonts w:eastAsia="Calibri" w:cs="Times New Roman"/>
          <w:bCs/>
          <w:iCs/>
        </w:rPr>
        <w:t xml:space="preserve"> line of cases do not ask whether recovery is fair, just and reasonable whereas such questions are the </w:t>
      </w:r>
      <w:r w:rsidRPr="00F64EE3">
        <w:rPr>
          <w:rFonts w:eastAsia="Calibri" w:cs="Times New Roman"/>
          <w:bCs/>
          <w:i/>
          <w:iCs/>
        </w:rPr>
        <w:t>raison d’etre</w:t>
      </w:r>
      <w:r w:rsidRPr="00F64EE3">
        <w:rPr>
          <w:rFonts w:eastAsia="Calibri" w:cs="Times New Roman"/>
          <w:bCs/>
          <w:iCs/>
        </w:rPr>
        <w:t xml:space="preserve"> of the </w:t>
      </w:r>
      <w:r w:rsidRPr="00F64EE3">
        <w:rPr>
          <w:rFonts w:eastAsia="Calibri" w:cs="Times New Roman"/>
          <w:bCs/>
          <w:i/>
          <w:iCs/>
        </w:rPr>
        <w:t>Caparo</w:t>
      </w:r>
      <w:r w:rsidRPr="00F64EE3">
        <w:rPr>
          <w:rFonts w:eastAsia="Calibri" w:cs="Times New Roman"/>
          <w:bCs/>
          <w:iCs/>
        </w:rPr>
        <w:t xml:space="preserve"> test, it is hard to believe that it makes no difference. It could, however, be argued that it would be a good thing for these two tests to be merged. One might prefer a single method of determining duty of care that weighs the policy reasons for and against imposing such a duty. If this sounds familiar it might be because it is a replica of the general approach for determining duty most famously represented by the </w:t>
      </w:r>
      <w:r w:rsidRPr="00F64EE3">
        <w:rPr>
          <w:rFonts w:eastAsia="Calibri" w:cs="Times New Roman"/>
          <w:bCs/>
          <w:i/>
          <w:iCs/>
        </w:rPr>
        <w:t>dicta</w:t>
      </w:r>
      <w:r w:rsidRPr="00F64EE3">
        <w:rPr>
          <w:rFonts w:eastAsia="Calibri" w:cs="Times New Roman"/>
          <w:bCs/>
          <w:iCs/>
        </w:rPr>
        <w:t xml:space="preserve"> of Lord Wilberforce in </w:t>
      </w:r>
      <w:r w:rsidRPr="00F64EE3">
        <w:rPr>
          <w:rFonts w:eastAsia="Calibri" w:cs="Times New Roman"/>
          <w:bCs/>
          <w:i/>
          <w:iCs/>
        </w:rPr>
        <w:t>Anns v Merton LBC.</w:t>
      </w:r>
      <w:r w:rsidRPr="00F64EE3">
        <w:rPr>
          <w:rFonts w:eastAsia="Calibri" w:cs="Times New Roman"/>
          <w:bCs/>
          <w:iCs/>
          <w:vertAlign w:val="superscript"/>
        </w:rPr>
        <w:footnoteReference w:id="74"/>
      </w:r>
      <w:r w:rsidRPr="00F64EE3">
        <w:rPr>
          <w:rFonts w:eastAsia="Calibri" w:cs="Times New Roman"/>
          <w:bCs/>
          <w:i/>
          <w:iCs/>
        </w:rPr>
        <w:t xml:space="preserve"> </w:t>
      </w:r>
      <w:r w:rsidRPr="00F64EE3">
        <w:rPr>
          <w:rFonts w:eastAsia="Calibri" w:cs="Times New Roman"/>
          <w:bCs/>
          <w:iCs/>
        </w:rPr>
        <w:t>The courts could hardly have been more emphatic in their rejection of it.</w:t>
      </w:r>
      <w:r w:rsidRPr="00F64EE3">
        <w:rPr>
          <w:rFonts w:eastAsia="Calibri" w:cs="Times New Roman"/>
          <w:bCs/>
          <w:iCs/>
          <w:vertAlign w:val="superscript"/>
        </w:rPr>
        <w:footnoteReference w:id="75"/>
      </w:r>
      <w:r w:rsidRPr="00F64EE3">
        <w:rPr>
          <w:rFonts w:eastAsia="Calibri" w:cs="Times New Roman"/>
          <w:bCs/>
          <w:iCs/>
        </w:rPr>
        <w:t xml:space="preserve"> Accordingly, asking whether recovery is fair, just and reasonable when a case already fits under the </w:t>
      </w:r>
      <w:r w:rsidRPr="00F64EE3">
        <w:rPr>
          <w:rFonts w:eastAsia="Calibri" w:cs="Times New Roman"/>
          <w:bCs/>
          <w:i/>
          <w:iCs/>
        </w:rPr>
        <w:t>Hedley Byrne</w:t>
      </w:r>
      <w:r w:rsidRPr="00F64EE3">
        <w:rPr>
          <w:rFonts w:eastAsia="Calibri" w:cs="Times New Roman"/>
          <w:bCs/>
          <w:iCs/>
        </w:rPr>
        <w:t xml:space="preserve"> line of cases cannot be seen merely as incremental development in the tort of negligence but is instead a radical step that is inconsistent with the retreat from </w:t>
      </w:r>
      <w:r w:rsidRPr="00F64EE3">
        <w:rPr>
          <w:rFonts w:eastAsia="Calibri" w:cs="Times New Roman"/>
          <w:bCs/>
          <w:i/>
          <w:iCs/>
        </w:rPr>
        <w:t>Anns</w:t>
      </w:r>
      <w:r w:rsidRPr="00F64EE3">
        <w:rPr>
          <w:rFonts w:eastAsia="Calibri" w:cs="Times New Roman"/>
          <w:bCs/>
          <w:iCs/>
        </w:rPr>
        <w:t>.</w:t>
      </w:r>
    </w:p>
    <w:p w14:paraId="7B542A69" w14:textId="77777777" w:rsidR="00F64EE3" w:rsidRPr="00F64EE3" w:rsidRDefault="00F64EE3" w:rsidP="00F64EE3">
      <w:pPr>
        <w:ind w:firstLine="720"/>
        <w:rPr>
          <w:rFonts w:eastAsia="Calibri" w:cs="Times New Roman"/>
          <w:bCs/>
          <w:iCs/>
        </w:rPr>
      </w:pPr>
      <w:r w:rsidRPr="00F64EE3">
        <w:rPr>
          <w:rFonts w:eastAsia="Calibri" w:cs="Times New Roman"/>
          <w:bCs/>
          <w:iCs/>
        </w:rPr>
        <w:t>It should be acknowledged that the majority did consider whether there should be liability in wrongful conception cases in depth. But the way they did so resulted in departures from established principles that were wholly unnecessary. The same result could be obtained by holding that a healthy child is not a recoverable form of loss. No duty of care can exist if no damage has been suffered.</w:t>
      </w:r>
      <w:r w:rsidRPr="00F64EE3">
        <w:rPr>
          <w:rFonts w:eastAsia="Calibri" w:cs="Times New Roman"/>
          <w:bCs/>
          <w:iCs/>
          <w:vertAlign w:val="superscript"/>
        </w:rPr>
        <w:footnoteReference w:id="76"/>
      </w:r>
      <w:r w:rsidRPr="00F64EE3">
        <w:rPr>
          <w:rFonts w:eastAsia="Calibri" w:cs="Times New Roman"/>
          <w:bCs/>
          <w:iCs/>
        </w:rPr>
        <w:t xml:space="preserve"> For this reason, the better tactic of refusing the parents’ claim in </w:t>
      </w:r>
      <w:r w:rsidRPr="00F64EE3">
        <w:rPr>
          <w:rFonts w:eastAsia="Calibri" w:cs="Times New Roman"/>
          <w:bCs/>
          <w:i/>
          <w:iCs/>
        </w:rPr>
        <w:t>McFarlane</w:t>
      </w:r>
      <w:r w:rsidRPr="00F64EE3">
        <w:rPr>
          <w:rFonts w:eastAsia="Calibri" w:cs="Times New Roman"/>
          <w:bCs/>
          <w:iCs/>
        </w:rPr>
        <w:t xml:space="preserve"> is that of Lord Clyde and Lord Millett. Lord Clyde stated that the issue in the case was ‘concerned with the extent of the losses which may properly be claimed in the circumstances of the case.’</w:t>
      </w:r>
      <w:r w:rsidRPr="00F64EE3">
        <w:rPr>
          <w:rFonts w:eastAsia="Calibri" w:cs="Times New Roman"/>
          <w:bCs/>
          <w:iCs/>
          <w:vertAlign w:val="superscript"/>
        </w:rPr>
        <w:footnoteReference w:id="77"/>
      </w:r>
      <w:r w:rsidRPr="00F64EE3">
        <w:rPr>
          <w:rFonts w:eastAsia="Calibri" w:cs="Times New Roman"/>
          <w:bCs/>
          <w:iCs/>
        </w:rPr>
        <w:t xml:space="preserve">  In other words, the question is whether the claimants have suffered a form of actionable damage that is recognised by this tort and ‘not one of the existence of a duty of care.’</w:t>
      </w:r>
      <w:r w:rsidRPr="00F64EE3">
        <w:rPr>
          <w:rFonts w:eastAsia="Calibri" w:cs="Times New Roman"/>
          <w:bCs/>
          <w:iCs/>
          <w:vertAlign w:val="superscript"/>
        </w:rPr>
        <w:footnoteReference w:id="78"/>
      </w:r>
    </w:p>
    <w:p w14:paraId="66EBEA30" w14:textId="77777777" w:rsidR="00F64EE3" w:rsidRPr="00F64EE3" w:rsidRDefault="00F64EE3" w:rsidP="00F64EE3">
      <w:pPr>
        <w:ind w:firstLine="720"/>
        <w:rPr>
          <w:rFonts w:eastAsia="Calibri" w:cs="Times New Roman"/>
          <w:bCs/>
          <w:iCs/>
        </w:rPr>
      </w:pPr>
      <w:r w:rsidRPr="00F64EE3">
        <w:rPr>
          <w:rFonts w:eastAsia="Calibri" w:cs="Times New Roman"/>
          <w:bCs/>
          <w:iCs/>
        </w:rPr>
        <w:t>Lord Clyde said that it would be unreasonable that the claimants ‘should in effect be relieved of the financial obligations of caring for their child’</w:t>
      </w:r>
      <w:r w:rsidRPr="00F64EE3">
        <w:rPr>
          <w:rFonts w:eastAsia="Calibri" w:cs="Times New Roman"/>
          <w:bCs/>
          <w:iCs/>
          <w:vertAlign w:val="superscript"/>
        </w:rPr>
        <w:footnoteReference w:id="79"/>
      </w:r>
      <w:r w:rsidRPr="00F64EE3">
        <w:rPr>
          <w:rFonts w:eastAsia="Calibri" w:cs="Times New Roman"/>
          <w:bCs/>
          <w:iCs/>
        </w:rPr>
        <w:t xml:space="preserve"> by being paid a large amount of damages because this would ‘be going beyond what should constitute a reasonable restitution for the wrong done.’</w:t>
      </w:r>
      <w:r w:rsidRPr="00F64EE3">
        <w:rPr>
          <w:rFonts w:eastAsia="Calibri" w:cs="Times New Roman"/>
          <w:bCs/>
          <w:iCs/>
          <w:vertAlign w:val="superscript"/>
        </w:rPr>
        <w:footnoteReference w:id="80"/>
      </w:r>
      <w:r w:rsidRPr="00F64EE3">
        <w:rPr>
          <w:rFonts w:eastAsia="Calibri" w:cs="Times New Roman"/>
          <w:bCs/>
          <w:iCs/>
        </w:rPr>
        <w:t xml:space="preserve"> This approach is echoed by Lord Millet who saw the issue as one of ‘whether the particular heads of damage claimed, and in particular the costs of maintaining Catherine throughout her childhood, are recoverable in law.’</w:t>
      </w:r>
      <w:r w:rsidRPr="00F64EE3">
        <w:rPr>
          <w:rFonts w:eastAsia="Calibri" w:cs="Times New Roman"/>
          <w:bCs/>
          <w:iCs/>
          <w:vertAlign w:val="superscript"/>
        </w:rPr>
        <w:footnoteReference w:id="81"/>
      </w:r>
      <w:r w:rsidRPr="00F64EE3">
        <w:rPr>
          <w:rFonts w:eastAsia="Calibri" w:cs="Times New Roman"/>
          <w:bCs/>
          <w:iCs/>
        </w:rPr>
        <w:t xml:space="preserve"> </w:t>
      </w:r>
    </w:p>
    <w:p w14:paraId="038430F2"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By rejecting the McFarlane’s claim under the heading of ‘damage’ rather than that of ‘duty of care’ Lord Clyde and Lord Millett avoided the pitfalls that Lord Steyn fell into and were able to refuse liability without merging the </w:t>
      </w:r>
      <w:r w:rsidRPr="00F64EE3">
        <w:rPr>
          <w:rFonts w:eastAsia="Calibri" w:cs="Times New Roman"/>
          <w:bCs/>
          <w:i/>
          <w:iCs/>
        </w:rPr>
        <w:t>Caparo</w:t>
      </w:r>
      <w:r w:rsidRPr="00F64EE3">
        <w:rPr>
          <w:rFonts w:eastAsia="Calibri" w:cs="Times New Roman"/>
          <w:bCs/>
          <w:iCs/>
        </w:rPr>
        <w:t xml:space="preserve"> and </w:t>
      </w:r>
      <w:r w:rsidRPr="00F64EE3">
        <w:rPr>
          <w:rFonts w:eastAsia="Calibri" w:cs="Times New Roman"/>
          <w:bCs/>
          <w:i/>
          <w:iCs/>
        </w:rPr>
        <w:t>Hedley Byrne</w:t>
      </w:r>
      <w:r w:rsidRPr="00F64EE3">
        <w:rPr>
          <w:rFonts w:eastAsia="Calibri" w:cs="Times New Roman"/>
          <w:bCs/>
          <w:iCs/>
        </w:rPr>
        <w:t xml:space="preserve"> line of cases. While one could disagree – and many do</w:t>
      </w:r>
      <w:r w:rsidRPr="00F64EE3">
        <w:rPr>
          <w:rFonts w:eastAsia="Calibri" w:cs="Times New Roman"/>
          <w:bCs/>
          <w:iCs/>
          <w:vertAlign w:val="superscript"/>
        </w:rPr>
        <w:footnoteReference w:id="82"/>
      </w:r>
      <w:r w:rsidRPr="00F64EE3">
        <w:rPr>
          <w:rFonts w:eastAsia="Calibri" w:cs="Times New Roman"/>
          <w:bCs/>
          <w:iCs/>
        </w:rPr>
        <w:t xml:space="preserve"> – with the outcome of their judgments, it is a more coherent way of reaching it. In future, judges should determine what (and whether) damage has been suffered before addressing duty of care questions.</w:t>
      </w:r>
    </w:p>
    <w:p w14:paraId="015670E9" w14:textId="77777777" w:rsidR="00F64EE3" w:rsidRPr="00F64EE3" w:rsidRDefault="00F64EE3" w:rsidP="00F64EE3">
      <w:pPr>
        <w:ind w:firstLine="720"/>
        <w:rPr>
          <w:rFonts w:eastAsia="Calibri" w:cs="Times New Roman"/>
          <w:bCs/>
          <w:iCs/>
        </w:rPr>
      </w:pPr>
      <w:r w:rsidRPr="00F64EE3">
        <w:rPr>
          <w:rFonts w:eastAsia="Calibri" w:cs="Times New Roman"/>
          <w:bCs/>
          <w:iCs/>
        </w:rPr>
        <w:t>One problem raised by this approach, though, is that the costs of raising a healthy child could be seen not as a new form of (irrecoverable) damage but as merely a claim for pure economic loss. It might be said that as it is well-established that pure economic loss is a form of actionable damage in negligence (albeit one that is only recoverable in exceptionally limited circumstances)</w:t>
      </w:r>
      <w:r w:rsidRPr="00F64EE3">
        <w:rPr>
          <w:rFonts w:eastAsia="Calibri" w:cs="Times New Roman"/>
          <w:bCs/>
          <w:iCs/>
          <w:vertAlign w:val="superscript"/>
        </w:rPr>
        <w:footnoteReference w:id="83"/>
      </w:r>
      <w:r w:rsidRPr="00F64EE3">
        <w:rPr>
          <w:rFonts w:eastAsia="Calibri" w:cs="Times New Roman"/>
          <w:bCs/>
          <w:iCs/>
        </w:rPr>
        <w:t xml:space="preserve"> if recovery is to be denied it has to be done under the duty heading. This arguably indicates that the flawed reasoning in </w:t>
      </w:r>
      <w:r w:rsidRPr="00F64EE3">
        <w:rPr>
          <w:rFonts w:eastAsia="Calibri" w:cs="Times New Roman"/>
          <w:bCs/>
          <w:i/>
          <w:iCs/>
        </w:rPr>
        <w:t>McFarlane</w:t>
      </w:r>
      <w:r w:rsidRPr="00F64EE3">
        <w:rPr>
          <w:rFonts w:eastAsia="Calibri" w:cs="Times New Roman"/>
          <w:bCs/>
          <w:iCs/>
        </w:rPr>
        <w:t xml:space="preserve"> cannot be explained away on the basis that the majority did not refuse liability under the damage heading – this option was arguably not open to them.</w:t>
      </w:r>
    </w:p>
    <w:p w14:paraId="67EB35D7" w14:textId="3021C09F" w:rsidR="00F64EE3" w:rsidRPr="00F64EE3" w:rsidRDefault="00F64EE3" w:rsidP="00007DFB">
      <w:pPr>
        <w:ind w:firstLine="720"/>
        <w:rPr>
          <w:rFonts w:eastAsia="Calibri" w:cs="Times New Roman"/>
          <w:bCs/>
          <w:iCs/>
        </w:rPr>
      </w:pPr>
      <w:r w:rsidRPr="00F64EE3">
        <w:rPr>
          <w:rFonts w:eastAsia="Calibri" w:cs="Times New Roman"/>
          <w:bCs/>
          <w:iCs/>
        </w:rPr>
        <w:t xml:space="preserve">Yet this is to take a very broad-brush analysis of the damage present in </w:t>
      </w:r>
      <w:r w:rsidRPr="00F64EE3">
        <w:rPr>
          <w:rFonts w:eastAsia="Calibri" w:cs="Times New Roman"/>
          <w:bCs/>
          <w:i/>
          <w:iCs/>
        </w:rPr>
        <w:t>McFarlane</w:t>
      </w:r>
      <w:r w:rsidRPr="00F64EE3">
        <w:rPr>
          <w:rFonts w:eastAsia="Calibri" w:cs="Times New Roman"/>
          <w:bCs/>
          <w:iCs/>
        </w:rPr>
        <w:t xml:space="preserve">. Economic loss may have occurred but applying this logic one could say that practically every case in negligence is one for pure economic loss – the claimants usually are asking for money, after all. As </w:t>
      </w:r>
      <w:r w:rsidRPr="00F64EE3">
        <w:rPr>
          <w:rFonts w:eastAsia="Calibri" w:cs="Times New Roman"/>
          <w:bCs/>
          <w:i/>
          <w:iCs/>
        </w:rPr>
        <w:t>Winfield and Jolowicz</w:t>
      </w:r>
      <w:r w:rsidRPr="00F64EE3">
        <w:rPr>
          <w:rFonts w:eastAsia="Calibri" w:cs="Times New Roman"/>
          <w:bCs/>
          <w:iCs/>
        </w:rPr>
        <w:t xml:space="preserve"> states, ‘if a car is destroyed, that is ‘economic’ in the sense that the owner’s assets are thereby diminished, but in legal terms it is classified as damage to property and the owner is entitled to its value as damages.’</w:t>
      </w:r>
      <w:r w:rsidRPr="00F64EE3">
        <w:rPr>
          <w:rFonts w:eastAsia="Calibri" w:cs="Times New Roman"/>
          <w:bCs/>
          <w:iCs/>
          <w:vertAlign w:val="superscript"/>
        </w:rPr>
        <w:footnoteReference w:id="84"/>
      </w:r>
      <w:r w:rsidRPr="00F64EE3">
        <w:rPr>
          <w:rFonts w:eastAsia="Calibri" w:cs="Times New Roman"/>
          <w:bCs/>
          <w:iCs/>
        </w:rPr>
        <w:t xml:space="preserve"> A healthy child does not comfortably fit within the currently established categories of personal injury, property damage or pure economic loss and so </w:t>
      </w:r>
      <w:r w:rsidRPr="00F64EE3">
        <w:rPr>
          <w:rFonts w:eastAsia="Calibri" w:cs="Times New Roman"/>
          <w:bCs/>
          <w:i/>
          <w:iCs/>
        </w:rPr>
        <w:t>McFarlane</w:t>
      </w:r>
      <w:r w:rsidRPr="00F64EE3">
        <w:rPr>
          <w:rFonts w:eastAsia="Calibri" w:cs="Times New Roman"/>
          <w:bCs/>
          <w:iCs/>
        </w:rPr>
        <w:t xml:space="preserve"> should have been decided on the basis of whether a new form of actionable damage (a healthy child) should be recognised. It was open for the courts to either recognise this or not. Accordingly, denying recovery on the basis that no damage had been suffered was the preferable approach to take. The case is a prime example of the distortions in the law that occur when judges do not thoroughly examine the concept of damage in negligence and its relationship with the duty of care concept.</w:t>
      </w:r>
    </w:p>
    <w:p w14:paraId="457D775C" w14:textId="28D6B579" w:rsidR="00F64EE3" w:rsidRPr="00F64EE3" w:rsidRDefault="00F64EE3" w:rsidP="00F64EE3">
      <w:pPr>
        <w:keepNext/>
        <w:keepLines/>
        <w:outlineLvl w:val="2"/>
        <w:rPr>
          <w:rFonts w:eastAsia="Times New Roman" w:cs="Times New Roman"/>
          <w:b/>
          <w:bCs/>
          <w:sz w:val="32"/>
        </w:rPr>
      </w:pPr>
      <w:bookmarkStart w:id="4" w:name="_Toc433376551"/>
      <w:r w:rsidRPr="00F64EE3">
        <w:rPr>
          <w:rFonts w:eastAsia="Times New Roman" w:cs="Times New Roman"/>
          <w:b/>
          <w:bCs/>
          <w:i/>
          <w:sz w:val="32"/>
        </w:rPr>
        <w:t>Rees v Darlington Memorial</w:t>
      </w:r>
      <w:r w:rsidR="00007DFB">
        <w:rPr>
          <w:rFonts w:eastAsia="Times New Roman" w:cs="Times New Roman"/>
          <w:b/>
          <w:bCs/>
          <w:i/>
          <w:sz w:val="32"/>
        </w:rPr>
        <w:t xml:space="preserve"> Hospital</w:t>
      </w:r>
      <w:r w:rsidRPr="00F64EE3">
        <w:rPr>
          <w:rFonts w:eastAsia="Times New Roman" w:cs="Times New Roman"/>
          <w:b/>
          <w:bCs/>
          <w:i/>
          <w:sz w:val="32"/>
        </w:rPr>
        <w:t xml:space="preserve"> NHS Trust</w:t>
      </w:r>
      <w:bookmarkEnd w:id="4"/>
    </w:p>
    <w:p w14:paraId="7958E0BB" w14:textId="77777777" w:rsidR="00F64EE3" w:rsidRPr="00F64EE3" w:rsidRDefault="00F64EE3" w:rsidP="00F64EE3">
      <w:pPr>
        <w:rPr>
          <w:rFonts w:eastAsia="Calibri" w:cs="Times New Roman"/>
        </w:rPr>
      </w:pPr>
      <w:r w:rsidRPr="00F64EE3">
        <w:rPr>
          <w:rFonts w:eastAsia="Calibri" w:cs="Times New Roman"/>
        </w:rPr>
        <w:t xml:space="preserve">Problems caused by a failure to consider the concept of damage are also apparent in another wrongful conception case, </w:t>
      </w:r>
      <w:r w:rsidRPr="00F64EE3">
        <w:rPr>
          <w:rFonts w:eastAsia="Calibri" w:cs="Times New Roman"/>
          <w:i/>
        </w:rPr>
        <w:t>Rees v Darlington Memorial Hospital NHS Trust</w:t>
      </w:r>
      <w:r w:rsidRPr="00F64EE3">
        <w:rPr>
          <w:rFonts w:eastAsia="Calibri" w:cs="Times New Roman"/>
        </w:rPr>
        <w:t>.</w:t>
      </w:r>
      <w:r w:rsidRPr="00F64EE3">
        <w:rPr>
          <w:rFonts w:eastAsia="Calibri" w:cs="Times New Roman"/>
          <w:vertAlign w:val="superscript"/>
        </w:rPr>
        <w:footnoteReference w:id="85"/>
      </w:r>
      <w:r w:rsidRPr="00F64EE3">
        <w:rPr>
          <w:rFonts w:eastAsia="Calibri" w:cs="Times New Roman"/>
        </w:rPr>
        <w:t xml:space="preserve"> Ms Rees was severely visually disabled. She feared that her poor sight would prevent her from being able to care for a child and so underwent a sterilisation, which was negligently performed by the defendant hospital. As a result Ms Rees gave birth to a healthy son and claimed for the costs associated with raising the child and, if this should be refused, the </w:t>
      </w:r>
      <w:r w:rsidRPr="00F64EE3">
        <w:rPr>
          <w:rFonts w:eastAsia="Calibri" w:cs="Times New Roman"/>
          <w:i/>
        </w:rPr>
        <w:t xml:space="preserve">extra costs </w:t>
      </w:r>
      <w:r w:rsidRPr="00F64EE3">
        <w:rPr>
          <w:rFonts w:eastAsia="Calibri" w:cs="Times New Roman"/>
        </w:rPr>
        <w:t>she would incur from raising a healthy child attributable to her disability.</w:t>
      </w:r>
    </w:p>
    <w:p w14:paraId="61B25DBE" w14:textId="77777777" w:rsidR="00F64EE3" w:rsidRPr="00F64EE3" w:rsidRDefault="00F64EE3" w:rsidP="00F64EE3">
      <w:pPr>
        <w:ind w:firstLine="720"/>
        <w:rPr>
          <w:rFonts w:eastAsia="Calibri" w:cs="Times New Roman"/>
        </w:rPr>
      </w:pPr>
      <w:r w:rsidRPr="00F64EE3">
        <w:rPr>
          <w:rFonts w:eastAsia="Calibri" w:cs="Times New Roman"/>
        </w:rPr>
        <w:t xml:space="preserve">The case followed </w:t>
      </w:r>
      <w:r w:rsidRPr="00F64EE3">
        <w:rPr>
          <w:rFonts w:eastAsia="Calibri" w:cs="Times New Roman"/>
          <w:i/>
        </w:rPr>
        <w:t>Parkinson v St James and Seacroft University Hospital NHS Trust</w:t>
      </w:r>
      <w:r w:rsidRPr="00F64EE3">
        <w:rPr>
          <w:rFonts w:eastAsia="Calibri" w:cs="Times New Roman"/>
        </w:rPr>
        <w:t>,</w:t>
      </w:r>
      <w:r w:rsidRPr="00F64EE3">
        <w:rPr>
          <w:rFonts w:eastAsia="Calibri" w:cs="Times New Roman"/>
          <w:bCs/>
          <w:vertAlign w:val="superscript"/>
        </w:rPr>
        <w:footnoteReference w:id="86"/>
      </w:r>
      <w:r w:rsidRPr="00F64EE3">
        <w:rPr>
          <w:rFonts w:eastAsia="Calibri" w:cs="Times New Roman"/>
        </w:rPr>
        <w:t xml:space="preserve"> where, after being sterilised, a mother gave birth to a disabled child as a result of her doctor’s negligence. The Court of Appeal held that the costs of raising a healthy child were irrecoverable but that the </w:t>
      </w:r>
      <w:r w:rsidRPr="00F64EE3">
        <w:rPr>
          <w:rFonts w:eastAsia="Calibri" w:cs="Times New Roman"/>
          <w:i/>
        </w:rPr>
        <w:t>extra</w:t>
      </w:r>
      <w:r w:rsidRPr="00F64EE3">
        <w:rPr>
          <w:rFonts w:eastAsia="Calibri" w:cs="Times New Roman"/>
        </w:rPr>
        <w:t xml:space="preserve"> costs associated with raising a disabled child could be awarded (one takes the costs of raising a </w:t>
      </w:r>
      <w:r w:rsidRPr="00F64EE3">
        <w:rPr>
          <w:rFonts w:eastAsia="Calibri" w:cs="Times New Roman"/>
          <w:i/>
        </w:rPr>
        <w:t>disabled child</w:t>
      </w:r>
      <w:r w:rsidRPr="00F64EE3">
        <w:rPr>
          <w:rFonts w:eastAsia="Calibri" w:cs="Times New Roman"/>
        </w:rPr>
        <w:t xml:space="preserve"> and subtracts the costs of raising a </w:t>
      </w:r>
      <w:r w:rsidRPr="00F64EE3">
        <w:rPr>
          <w:rFonts w:eastAsia="Calibri" w:cs="Times New Roman"/>
          <w:i/>
        </w:rPr>
        <w:t>healthy child</w:t>
      </w:r>
      <w:r w:rsidRPr="00F64EE3">
        <w:rPr>
          <w:rFonts w:eastAsia="Calibri" w:cs="Times New Roman"/>
        </w:rPr>
        <w:t xml:space="preserve"> to arrive at the appropriate amount).</w:t>
      </w:r>
      <w:r w:rsidRPr="00F64EE3">
        <w:rPr>
          <w:rFonts w:eastAsia="Calibri" w:cs="Times New Roman"/>
          <w:vertAlign w:val="superscript"/>
        </w:rPr>
        <w:footnoteReference w:id="87"/>
      </w:r>
      <w:r w:rsidRPr="00F64EE3">
        <w:rPr>
          <w:rFonts w:eastAsia="Calibri" w:cs="Times New Roman"/>
        </w:rPr>
        <w:t xml:space="preserve"> Similarly, the Court of Appeal in </w:t>
      </w:r>
      <w:r w:rsidRPr="00F64EE3">
        <w:rPr>
          <w:rFonts w:eastAsia="Calibri" w:cs="Times New Roman"/>
          <w:i/>
        </w:rPr>
        <w:t>Rees</w:t>
      </w:r>
      <w:r w:rsidRPr="00F64EE3">
        <w:rPr>
          <w:rFonts w:eastAsia="Calibri" w:cs="Times New Roman"/>
        </w:rPr>
        <w:t>,</w:t>
      </w:r>
      <w:r w:rsidRPr="00F64EE3">
        <w:rPr>
          <w:rFonts w:eastAsia="Calibri" w:cs="Times New Roman"/>
          <w:bCs/>
          <w:iCs/>
          <w:vertAlign w:val="superscript"/>
        </w:rPr>
        <w:footnoteReference w:id="88"/>
      </w:r>
      <w:r w:rsidRPr="00F64EE3">
        <w:rPr>
          <w:rFonts w:eastAsia="Calibri" w:cs="Times New Roman"/>
        </w:rPr>
        <w:t xml:space="preserve"> following </w:t>
      </w:r>
      <w:r w:rsidRPr="00F64EE3">
        <w:rPr>
          <w:rFonts w:eastAsia="Calibri" w:cs="Times New Roman"/>
          <w:i/>
        </w:rPr>
        <w:t>Parkinson</w:t>
      </w:r>
      <w:r w:rsidRPr="00F64EE3">
        <w:rPr>
          <w:rFonts w:eastAsia="Calibri" w:cs="Times New Roman"/>
        </w:rPr>
        <w:t xml:space="preserve">, said that although the full costs of raising a healthy child were irrecoverable, the extra costs associated with raising a child due to the claimant’s disability could be awarded (one takes the costs of a </w:t>
      </w:r>
      <w:r w:rsidRPr="00F64EE3">
        <w:rPr>
          <w:rFonts w:eastAsia="Calibri" w:cs="Times New Roman"/>
          <w:i/>
        </w:rPr>
        <w:t>disabled</w:t>
      </w:r>
      <w:r w:rsidRPr="00F64EE3">
        <w:rPr>
          <w:rFonts w:eastAsia="Calibri" w:cs="Times New Roman"/>
        </w:rPr>
        <w:t xml:space="preserve"> </w:t>
      </w:r>
      <w:r w:rsidRPr="00F64EE3">
        <w:rPr>
          <w:rFonts w:eastAsia="Calibri" w:cs="Times New Roman"/>
          <w:i/>
        </w:rPr>
        <w:t>parent</w:t>
      </w:r>
      <w:r w:rsidRPr="00F64EE3">
        <w:rPr>
          <w:rFonts w:eastAsia="Calibri" w:cs="Times New Roman"/>
        </w:rPr>
        <w:t xml:space="preserve"> raising a healthy child and subtracts the cost of an able-bodied parent raising a </w:t>
      </w:r>
      <w:r w:rsidRPr="00F64EE3">
        <w:rPr>
          <w:rFonts w:eastAsia="Calibri" w:cs="Times New Roman"/>
          <w:i/>
        </w:rPr>
        <w:t>healthy child</w:t>
      </w:r>
      <w:r w:rsidRPr="00F64EE3">
        <w:rPr>
          <w:rFonts w:eastAsia="Calibri" w:cs="Times New Roman"/>
        </w:rPr>
        <w:t>).</w:t>
      </w:r>
      <w:r w:rsidRPr="00F64EE3">
        <w:rPr>
          <w:rFonts w:eastAsia="Calibri" w:cs="Times New Roman"/>
          <w:vertAlign w:val="superscript"/>
        </w:rPr>
        <w:footnoteReference w:id="89"/>
      </w:r>
    </w:p>
    <w:p w14:paraId="12C32CF3"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The House of Lords in </w:t>
      </w:r>
      <w:r w:rsidRPr="00F64EE3">
        <w:rPr>
          <w:rFonts w:eastAsia="Calibri" w:cs="Times New Roman"/>
          <w:bCs/>
          <w:i/>
          <w:iCs/>
        </w:rPr>
        <w:t>Rees</w:t>
      </w:r>
      <w:r w:rsidRPr="00F64EE3">
        <w:rPr>
          <w:rFonts w:eastAsia="Calibri" w:cs="Times New Roman"/>
          <w:bCs/>
          <w:iCs/>
        </w:rPr>
        <w:t xml:space="preserve">, sitting as a panel of seven, refused to utilise the </w:t>
      </w:r>
      <w:r w:rsidRPr="00F64EE3">
        <w:rPr>
          <w:rFonts w:eastAsia="Calibri" w:cs="Times New Roman"/>
          <w:bCs/>
          <w:i/>
          <w:iCs/>
        </w:rPr>
        <w:t>Practice Statement</w:t>
      </w:r>
      <w:r w:rsidRPr="00F64EE3">
        <w:rPr>
          <w:rFonts w:eastAsia="Calibri" w:cs="Times New Roman"/>
          <w:bCs/>
          <w:iCs/>
          <w:vertAlign w:val="superscript"/>
        </w:rPr>
        <w:footnoteReference w:id="90"/>
      </w:r>
      <w:r w:rsidRPr="00F64EE3">
        <w:rPr>
          <w:rFonts w:eastAsia="Calibri" w:cs="Times New Roman"/>
          <w:bCs/>
          <w:iCs/>
        </w:rPr>
        <w:t xml:space="preserve"> to reverse </w:t>
      </w:r>
      <w:r w:rsidRPr="00F64EE3">
        <w:rPr>
          <w:rFonts w:eastAsia="Calibri" w:cs="Times New Roman"/>
          <w:bCs/>
          <w:i/>
          <w:iCs/>
        </w:rPr>
        <w:t>McFarlane</w:t>
      </w:r>
      <w:r w:rsidRPr="00F64EE3">
        <w:rPr>
          <w:rFonts w:eastAsia="Calibri" w:cs="Times New Roman"/>
          <w:bCs/>
          <w:iCs/>
        </w:rPr>
        <w:t xml:space="preserve"> and held that it was still good law. As with the mother in </w:t>
      </w:r>
      <w:r w:rsidRPr="00F64EE3">
        <w:rPr>
          <w:rFonts w:eastAsia="Calibri" w:cs="Times New Roman"/>
          <w:bCs/>
          <w:i/>
          <w:iCs/>
        </w:rPr>
        <w:t>McFarlane</w:t>
      </w:r>
      <w:r w:rsidRPr="00F64EE3">
        <w:rPr>
          <w:rFonts w:eastAsia="Calibri" w:cs="Times New Roman"/>
          <w:bCs/>
          <w:iCs/>
        </w:rPr>
        <w:t>, Ms Rees was entitled to damages relating to the pregnancy and birth. Their Lordships, overruling the Court of Appeal, unanimously reaffirmed that the costs of raising a healthy child are irrecoverable and held (Lord Steyn, Lord Hutton and Lord Hope dissenting on this point) that the claimant was unable to recover the extra costs referable to her disability. The circumstances of the mother make no difference.</w:t>
      </w:r>
      <w:r w:rsidRPr="00F64EE3">
        <w:rPr>
          <w:rFonts w:eastAsia="Calibri" w:cs="Times New Roman"/>
          <w:bCs/>
          <w:iCs/>
          <w:vertAlign w:val="superscript"/>
        </w:rPr>
        <w:footnoteReference w:id="91"/>
      </w:r>
      <w:r w:rsidRPr="00F64EE3">
        <w:rPr>
          <w:rFonts w:eastAsia="Calibri" w:cs="Times New Roman"/>
          <w:bCs/>
          <w:iCs/>
        </w:rPr>
        <w:t xml:space="preserve"> Yet, the majority also held that since the claimant was a victim of a legal wrong which had denied her the opportunity to live her life in the way she had planned, she should receive a conventional award of £15,000. This was described as a ‘gloss’ on </w:t>
      </w:r>
      <w:r w:rsidRPr="00F64EE3">
        <w:rPr>
          <w:rFonts w:eastAsia="Calibri" w:cs="Times New Roman"/>
          <w:bCs/>
          <w:i/>
          <w:iCs/>
        </w:rPr>
        <w:t>McFarlane</w:t>
      </w:r>
      <w:r w:rsidRPr="00F64EE3">
        <w:rPr>
          <w:rFonts w:eastAsia="Calibri" w:cs="Times New Roman"/>
          <w:bCs/>
          <w:iCs/>
        </w:rPr>
        <w:t>.</w:t>
      </w:r>
      <w:r w:rsidRPr="00F64EE3">
        <w:rPr>
          <w:rFonts w:eastAsia="Calibri" w:cs="Times New Roman"/>
          <w:bCs/>
          <w:iCs/>
          <w:vertAlign w:val="superscript"/>
        </w:rPr>
        <w:footnoteReference w:id="92"/>
      </w:r>
    </w:p>
    <w:p w14:paraId="64A02178"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Much of the criticism of this case is an echo of that levelled at </w:t>
      </w:r>
      <w:r w:rsidRPr="00F64EE3">
        <w:rPr>
          <w:rFonts w:eastAsia="Calibri" w:cs="Times New Roman"/>
          <w:bCs/>
          <w:i/>
          <w:iCs/>
        </w:rPr>
        <w:t>McFarlane</w:t>
      </w:r>
      <w:r w:rsidRPr="00F64EE3">
        <w:rPr>
          <w:rFonts w:eastAsia="Calibri" w:cs="Times New Roman"/>
          <w:bCs/>
          <w:iCs/>
        </w:rPr>
        <w:t xml:space="preserve"> that the full costs of raising a child, healthy or otherwise, should be awarded.</w:t>
      </w:r>
      <w:r w:rsidRPr="00F64EE3">
        <w:rPr>
          <w:rFonts w:eastAsia="Calibri" w:cs="Times New Roman"/>
          <w:bCs/>
          <w:iCs/>
          <w:vertAlign w:val="superscript"/>
        </w:rPr>
        <w:footnoteReference w:id="93"/>
      </w:r>
      <w:r w:rsidRPr="00F64EE3">
        <w:rPr>
          <w:rFonts w:eastAsia="Calibri" w:cs="Times New Roman"/>
          <w:bCs/>
          <w:iCs/>
        </w:rPr>
        <w:t xml:space="preserve"> These will not be reiterated here. A more fundamental difficulty with </w:t>
      </w:r>
      <w:r w:rsidRPr="00F64EE3">
        <w:rPr>
          <w:rFonts w:eastAsia="Calibri" w:cs="Times New Roman"/>
          <w:bCs/>
          <w:i/>
          <w:iCs/>
        </w:rPr>
        <w:t>Rees</w:t>
      </w:r>
      <w:r w:rsidRPr="00F64EE3">
        <w:rPr>
          <w:rFonts w:eastAsia="Calibri" w:cs="Times New Roman"/>
          <w:bCs/>
          <w:iCs/>
        </w:rPr>
        <w:t xml:space="preserve"> is that by giving the claimant a conventional sum of £15,000 with little accompanying analysis of the justifications for, or wider implications of, such an award, the House of Lords have, yet again, side-lined the concept of damage in an important medical negligence case. </w:t>
      </w:r>
    </w:p>
    <w:p w14:paraId="6E30E576"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For it was uncertain whether their Lordships in </w:t>
      </w:r>
      <w:r w:rsidRPr="00F64EE3">
        <w:rPr>
          <w:rFonts w:eastAsia="Calibri" w:cs="Times New Roman"/>
          <w:bCs/>
          <w:i/>
          <w:iCs/>
        </w:rPr>
        <w:t xml:space="preserve">Rees </w:t>
      </w:r>
      <w:r w:rsidRPr="00F64EE3">
        <w:rPr>
          <w:rFonts w:eastAsia="Calibri" w:cs="Times New Roman"/>
          <w:bCs/>
          <w:iCs/>
        </w:rPr>
        <w:t xml:space="preserve">were disregarding the necessity for damage to be suffered </w:t>
      </w:r>
      <w:r w:rsidRPr="00F64EE3">
        <w:rPr>
          <w:rFonts w:eastAsia="Calibri" w:cs="Times New Roman"/>
          <w:bCs/>
          <w:i/>
          <w:iCs/>
        </w:rPr>
        <w:t>at all</w:t>
      </w:r>
      <w:r w:rsidRPr="00F64EE3">
        <w:rPr>
          <w:rFonts w:eastAsia="Calibri" w:cs="Times New Roman"/>
          <w:bCs/>
          <w:iCs/>
        </w:rPr>
        <w:t xml:space="preserve"> – in effect making the tort of negligence actionable per se – or recognising a new form of damage (that of lost autonomy). The former view perceives the conventional sum as vindicating a claimant’s rights rather than compensating them for a head of loss.</w:t>
      </w:r>
      <w:r w:rsidRPr="00F64EE3">
        <w:rPr>
          <w:rFonts w:eastAsia="Calibri" w:cs="Times New Roman"/>
          <w:bCs/>
          <w:iCs/>
          <w:vertAlign w:val="superscript"/>
        </w:rPr>
        <w:footnoteReference w:id="94"/>
      </w:r>
      <w:r w:rsidRPr="00F64EE3">
        <w:rPr>
          <w:rFonts w:eastAsia="Calibri" w:cs="Times New Roman"/>
          <w:bCs/>
          <w:iCs/>
        </w:rPr>
        <w:t xml:space="preserve"> There is evidence to support this in the judgments. Lord Bingham, for example, states that the conventional award is ‘not be intended to be compensatory.’</w:t>
      </w:r>
      <w:r w:rsidRPr="00F64EE3">
        <w:rPr>
          <w:rFonts w:eastAsia="Calibri" w:cs="Times New Roman"/>
          <w:bCs/>
          <w:iCs/>
          <w:vertAlign w:val="superscript"/>
        </w:rPr>
        <w:footnoteReference w:id="95"/>
      </w:r>
      <w:r w:rsidRPr="00F64EE3">
        <w:rPr>
          <w:rFonts w:eastAsia="Calibri" w:cs="Times New Roman"/>
          <w:bCs/>
          <w:iCs/>
        </w:rPr>
        <w:t xml:space="preserve"> Donal Nolan has put forward persuasive reasons why if </w:t>
      </w:r>
      <w:r w:rsidRPr="00F64EE3">
        <w:rPr>
          <w:rFonts w:eastAsia="Calibri" w:cs="Times New Roman"/>
          <w:bCs/>
          <w:i/>
          <w:iCs/>
        </w:rPr>
        <w:t>Rees</w:t>
      </w:r>
      <w:r w:rsidRPr="00F64EE3">
        <w:rPr>
          <w:rFonts w:eastAsia="Calibri" w:cs="Times New Roman"/>
          <w:bCs/>
          <w:iCs/>
        </w:rPr>
        <w:t xml:space="preserve"> is interpreted in such a manner the decision is contrary to principle. He argues that claimants who want their rights to be vindicated without proof of damage in the law of tort should use the more appropriate vehicle of the trespass torts, not negligence.</w:t>
      </w:r>
      <w:r w:rsidRPr="00F64EE3">
        <w:rPr>
          <w:rFonts w:eastAsia="Calibri" w:cs="Times New Roman"/>
          <w:bCs/>
          <w:iCs/>
          <w:vertAlign w:val="superscript"/>
        </w:rPr>
        <w:footnoteReference w:id="96"/>
      </w:r>
      <w:r w:rsidRPr="00F64EE3">
        <w:rPr>
          <w:rFonts w:eastAsia="Calibri" w:cs="Times New Roman"/>
          <w:bCs/>
          <w:iCs/>
        </w:rPr>
        <w:t xml:space="preserve"> </w:t>
      </w:r>
    </w:p>
    <w:p w14:paraId="64DFDD25"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Yet </w:t>
      </w:r>
      <w:r w:rsidRPr="00F64EE3">
        <w:rPr>
          <w:rFonts w:eastAsia="Calibri" w:cs="Times New Roman"/>
          <w:bCs/>
          <w:i/>
          <w:iCs/>
        </w:rPr>
        <w:t>Rees</w:t>
      </w:r>
      <w:r w:rsidRPr="00F64EE3">
        <w:rPr>
          <w:rFonts w:eastAsia="Calibri" w:cs="Times New Roman"/>
          <w:bCs/>
          <w:iCs/>
        </w:rPr>
        <w:t xml:space="preserve"> can be construed in another way. Nolan maintains that the judgments are compensatory in character</w:t>
      </w:r>
      <w:r w:rsidRPr="00F64EE3">
        <w:rPr>
          <w:rFonts w:eastAsia="Calibri" w:cs="Times New Roman"/>
        </w:rPr>
        <w:t xml:space="preserve"> and </w:t>
      </w:r>
      <w:r w:rsidRPr="00F64EE3">
        <w:rPr>
          <w:rFonts w:eastAsia="Calibri" w:cs="Times New Roman"/>
          <w:bCs/>
          <w:iCs/>
        </w:rPr>
        <w:t xml:space="preserve">that the conventional award was intended to compensate parents for their lost autonomy and that </w:t>
      </w:r>
      <w:r w:rsidRPr="00F64EE3">
        <w:rPr>
          <w:rFonts w:eastAsia="Calibri" w:cs="Times New Roman"/>
          <w:bCs/>
          <w:i/>
          <w:iCs/>
        </w:rPr>
        <w:t>Rees</w:t>
      </w:r>
      <w:r w:rsidRPr="00F64EE3">
        <w:rPr>
          <w:rFonts w:eastAsia="Calibri" w:cs="Times New Roman"/>
          <w:bCs/>
          <w:iCs/>
        </w:rPr>
        <w:t xml:space="preserve"> recognises this as a new form of damage.</w:t>
      </w:r>
      <w:r w:rsidRPr="00F64EE3">
        <w:rPr>
          <w:rFonts w:eastAsia="Calibri" w:cs="Times New Roman"/>
          <w:vertAlign w:val="superscript"/>
        </w:rPr>
        <w:footnoteReference w:id="97"/>
      </w:r>
      <w:r w:rsidRPr="00F64EE3">
        <w:rPr>
          <w:rFonts w:eastAsia="Calibri" w:cs="Times New Roman"/>
          <w:bCs/>
          <w:iCs/>
        </w:rPr>
        <w:t xml:space="preserve"> </w:t>
      </w:r>
      <w:r w:rsidRPr="00F64EE3">
        <w:rPr>
          <w:rFonts w:eastAsia="Calibri" w:cs="Times New Roman"/>
        </w:rPr>
        <w:t xml:space="preserve">Support for this view can also be found in the judgments, with </w:t>
      </w:r>
      <w:r w:rsidRPr="00F64EE3">
        <w:rPr>
          <w:rFonts w:eastAsia="Calibri" w:cs="Times New Roman"/>
          <w:bCs/>
          <w:iCs/>
        </w:rPr>
        <w:t>Lord Bingham justifying the conventional award on the basis that the mother had ‘been denied, through the negligence of another, the opportunity to live her life in the way that she wished and planned’</w:t>
      </w:r>
      <w:r w:rsidRPr="00F64EE3">
        <w:rPr>
          <w:rFonts w:eastAsia="Calibri" w:cs="Times New Roman"/>
          <w:bCs/>
          <w:iCs/>
          <w:vertAlign w:val="superscript"/>
        </w:rPr>
        <w:footnoteReference w:id="98"/>
      </w:r>
      <w:r w:rsidRPr="00F64EE3">
        <w:rPr>
          <w:rFonts w:eastAsia="Calibri" w:cs="Times New Roman"/>
          <w:bCs/>
          <w:iCs/>
        </w:rPr>
        <w:t xml:space="preserve"> and Lord Scott stating that the award is to ‘</w:t>
      </w:r>
      <w:r w:rsidRPr="00F64EE3">
        <w:rPr>
          <w:rFonts w:eastAsia="Calibri" w:cs="Times New Roman"/>
          <w:bCs/>
          <w:i/>
          <w:iCs/>
        </w:rPr>
        <w:t>compensate</w:t>
      </w:r>
      <w:r w:rsidRPr="00F64EE3">
        <w:rPr>
          <w:rFonts w:eastAsia="Calibri" w:cs="Times New Roman"/>
          <w:bCs/>
          <w:iCs/>
        </w:rPr>
        <w:t xml:space="preserve"> the respondent for being deprived of the benefit that she was entitled to expect.’</w:t>
      </w:r>
      <w:r w:rsidRPr="00F64EE3">
        <w:rPr>
          <w:rFonts w:eastAsia="Calibri" w:cs="Times New Roman"/>
          <w:bCs/>
          <w:iCs/>
          <w:vertAlign w:val="superscript"/>
        </w:rPr>
        <w:footnoteReference w:id="99"/>
      </w:r>
    </w:p>
    <w:p w14:paraId="7B33C940"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Despite this being the better interpretation, the fact that the conventional award could reasonably be interpreted as threatening to turn negligence into a tort that is actionable per se hardly inspires confidence in their Lordships reasoning and handling of the issue of actionable damage in this case. The recognition of this new head of loss was subject to insufficient analysis (as will become apparent in my discussion of </w:t>
      </w:r>
      <w:r w:rsidRPr="00F64EE3">
        <w:rPr>
          <w:rFonts w:eastAsia="Calibri" w:cs="Times New Roman"/>
          <w:bCs/>
          <w:i/>
          <w:iCs/>
        </w:rPr>
        <w:t>Chester</w:t>
      </w:r>
      <w:r w:rsidRPr="00F64EE3">
        <w:rPr>
          <w:rFonts w:eastAsia="Calibri" w:cs="Times New Roman"/>
          <w:bCs/>
          <w:iCs/>
        </w:rPr>
        <w:t xml:space="preserve"> below).</w:t>
      </w:r>
    </w:p>
    <w:p w14:paraId="0CBCA346" w14:textId="77777777" w:rsidR="00F64EE3" w:rsidRPr="00F64EE3" w:rsidRDefault="00F64EE3" w:rsidP="00F64EE3">
      <w:pPr>
        <w:ind w:firstLine="720"/>
        <w:rPr>
          <w:rFonts w:eastAsia="Calibri" w:cs="Times New Roman"/>
          <w:bCs/>
        </w:rPr>
      </w:pPr>
      <w:r w:rsidRPr="00F64EE3">
        <w:rPr>
          <w:rFonts w:eastAsia="Calibri" w:cs="Times New Roman"/>
          <w:bCs/>
          <w:iCs/>
        </w:rPr>
        <w:t xml:space="preserve">Yet even if the conventional sum is not merely intended to vindicate rights without any actionable damage having being suffered, it has not been free from criticism. Singer, for example, believes that </w:t>
      </w:r>
      <w:r w:rsidRPr="00F64EE3">
        <w:rPr>
          <w:rFonts w:eastAsia="Calibri" w:cs="Times New Roman"/>
          <w:bCs/>
        </w:rPr>
        <w:t>the creation of the award ‘raises deep questions about the acceptable limits of judicial intervention.’</w:t>
      </w:r>
      <w:r w:rsidRPr="00F64EE3">
        <w:rPr>
          <w:rFonts w:eastAsia="Calibri" w:cs="Times New Roman"/>
          <w:bCs/>
          <w:vertAlign w:val="superscript"/>
        </w:rPr>
        <w:footnoteReference w:id="100"/>
      </w:r>
      <w:r w:rsidRPr="00F64EE3">
        <w:rPr>
          <w:rFonts w:eastAsia="Calibri" w:cs="Times New Roman"/>
          <w:bCs/>
        </w:rPr>
        <w:t xml:space="preserve"> She argues that ‘There is no precedent enabling judges to pluck out a figure to constitute a lump sum to be awarded in cases of specific types of damage.’</w:t>
      </w:r>
      <w:r w:rsidRPr="00F64EE3">
        <w:rPr>
          <w:rFonts w:eastAsia="Calibri" w:cs="Times New Roman"/>
          <w:bCs/>
          <w:vertAlign w:val="superscript"/>
        </w:rPr>
        <w:footnoteReference w:id="101"/>
      </w:r>
      <w:r w:rsidRPr="00F64EE3">
        <w:rPr>
          <w:rFonts w:eastAsia="Calibri" w:cs="Times New Roman"/>
          <w:bCs/>
        </w:rPr>
        <w:t xml:space="preserve"> </w:t>
      </w:r>
    </w:p>
    <w:p w14:paraId="3BD07432" w14:textId="77777777" w:rsidR="00F64EE3" w:rsidRPr="00F64EE3" w:rsidRDefault="00F64EE3" w:rsidP="00F64EE3">
      <w:pPr>
        <w:ind w:firstLine="720"/>
        <w:rPr>
          <w:rFonts w:eastAsia="Calibri" w:cs="Times New Roman"/>
        </w:rPr>
      </w:pPr>
      <w:r w:rsidRPr="00F64EE3">
        <w:rPr>
          <w:rFonts w:eastAsia="Calibri" w:cs="Times New Roman"/>
          <w:bCs/>
        </w:rPr>
        <w:t xml:space="preserve">However, it is not the case that no such precedent exists, as the House of Lords decision in </w:t>
      </w:r>
      <w:r w:rsidRPr="00F64EE3">
        <w:rPr>
          <w:rFonts w:eastAsia="Calibri" w:cs="Times New Roman"/>
          <w:bCs/>
          <w:i/>
        </w:rPr>
        <w:t>Benham v Gambling</w:t>
      </w:r>
      <w:r w:rsidRPr="00F64EE3">
        <w:rPr>
          <w:rFonts w:eastAsia="Calibri" w:cs="Times New Roman"/>
          <w:bCs/>
          <w:vertAlign w:val="superscript"/>
        </w:rPr>
        <w:footnoteReference w:id="102"/>
      </w:r>
      <w:r w:rsidRPr="00F64EE3">
        <w:rPr>
          <w:rFonts w:eastAsia="Calibri" w:cs="Times New Roman"/>
          <w:bCs/>
        </w:rPr>
        <w:t xml:space="preserve"> demonstrates. This decision concerned ‘loss of expectation of life,’ which, prior to its abolition by the enactment of section 1(1)(b) of the </w:t>
      </w:r>
      <w:r w:rsidRPr="00F64EE3">
        <w:rPr>
          <w:rFonts w:eastAsia="Calibri" w:cs="Times New Roman"/>
        </w:rPr>
        <w:t xml:space="preserve">Administration of Justice Act 1982, was a head of loss in negligence. However the calculation of such awards proved troublesome. As Lord Pearce stated in </w:t>
      </w:r>
      <w:r w:rsidRPr="00F64EE3">
        <w:rPr>
          <w:rFonts w:eastAsia="Calibri" w:cs="Times New Roman"/>
          <w:i/>
        </w:rPr>
        <w:t>West v Shepherd</w:t>
      </w:r>
      <w:r w:rsidRPr="00F64EE3">
        <w:rPr>
          <w:rFonts w:eastAsia="Calibri" w:cs="Times New Roman"/>
        </w:rPr>
        <w:t>:</w:t>
      </w:r>
      <w:r w:rsidRPr="00F64EE3">
        <w:rPr>
          <w:rFonts w:eastAsia="Calibri" w:cs="Times New Roman"/>
          <w:vertAlign w:val="superscript"/>
        </w:rPr>
        <w:footnoteReference w:id="103"/>
      </w:r>
      <w:r w:rsidRPr="00F64EE3">
        <w:rPr>
          <w:rFonts w:eastAsia="Calibri" w:cs="Times New Roman"/>
          <w:i/>
        </w:rPr>
        <w:t xml:space="preserve"> </w:t>
      </w:r>
      <w:r w:rsidRPr="00F64EE3">
        <w:rPr>
          <w:rFonts w:eastAsia="Calibri" w:cs="Times New Roman"/>
        </w:rPr>
        <w:t>‘the wide divergence of views as to the value of our leases of life…led to awards which varied very widely and unpredictably.’</w:t>
      </w:r>
      <w:r w:rsidRPr="00F64EE3">
        <w:rPr>
          <w:rFonts w:eastAsia="Calibri" w:cs="Times New Roman"/>
          <w:vertAlign w:val="superscript"/>
        </w:rPr>
        <w:footnoteReference w:id="104"/>
      </w:r>
      <w:r w:rsidRPr="00F64EE3">
        <w:rPr>
          <w:rFonts w:eastAsia="Calibri" w:cs="Times New Roman"/>
        </w:rPr>
        <w:t xml:space="preserve"> To resolve this, in </w:t>
      </w:r>
      <w:r w:rsidRPr="00F64EE3">
        <w:rPr>
          <w:rFonts w:eastAsia="Calibri" w:cs="Times New Roman"/>
          <w:i/>
        </w:rPr>
        <w:t>Benham</w:t>
      </w:r>
      <w:r w:rsidRPr="00F64EE3">
        <w:rPr>
          <w:rFonts w:eastAsia="Calibri" w:cs="Times New Roman"/>
        </w:rPr>
        <w:t>, the House of Lords awarded a conventional sum of £200 as ‘fixing a reasonable figure to be paid by way of damages for the loss of a measure of prospective happiness’</w:t>
      </w:r>
      <w:r w:rsidRPr="00F64EE3">
        <w:rPr>
          <w:rFonts w:eastAsia="Calibri" w:cs="Times New Roman"/>
          <w:vertAlign w:val="superscript"/>
        </w:rPr>
        <w:footnoteReference w:id="105"/>
      </w:r>
      <w:r w:rsidRPr="00F64EE3">
        <w:rPr>
          <w:rFonts w:eastAsia="Calibri" w:cs="Times New Roman"/>
        </w:rPr>
        <w:t xml:space="preserve"> in future claims for this type of damage. This was seen as ‘imposing order on chaos in that particular aspect of the law.’</w:t>
      </w:r>
      <w:r w:rsidRPr="00F64EE3">
        <w:rPr>
          <w:rFonts w:eastAsia="Calibri" w:cs="Times New Roman"/>
          <w:vertAlign w:val="superscript"/>
        </w:rPr>
        <w:footnoteReference w:id="106"/>
      </w:r>
      <w:r w:rsidRPr="00F64EE3">
        <w:rPr>
          <w:rFonts w:eastAsia="Calibri" w:cs="Times New Roman"/>
        </w:rPr>
        <w:t xml:space="preserve"> This decision demonstrates that, whatever other criticisms may be levelled at </w:t>
      </w:r>
      <w:r w:rsidRPr="00F64EE3">
        <w:rPr>
          <w:rFonts w:eastAsia="Calibri" w:cs="Times New Roman"/>
          <w:i/>
        </w:rPr>
        <w:t>Rees</w:t>
      </w:r>
      <w:r w:rsidRPr="00F64EE3">
        <w:rPr>
          <w:rFonts w:eastAsia="Calibri" w:cs="Times New Roman"/>
        </w:rPr>
        <w:t>, a conventional sum is not unheard of in the law of damages.</w:t>
      </w:r>
      <w:r w:rsidRPr="00F64EE3">
        <w:rPr>
          <w:rFonts w:eastAsia="Calibri" w:cs="Times New Roman"/>
          <w:vertAlign w:val="superscript"/>
        </w:rPr>
        <w:footnoteReference w:id="107"/>
      </w:r>
    </w:p>
    <w:p w14:paraId="47066BBE" w14:textId="77777777" w:rsidR="00F64EE3" w:rsidRPr="00F64EE3" w:rsidRDefault="00F64EE3" w:rsidP="00F64EE3">
      <w:pPr>
        <w:ind w:firstLine="720"/>
        <w:rPr>
          <w:rFonts w:eastAsia="Calibri" w:cs="Times New Roman"/>
        </w:rPr>
      </w:pPr>
      <w:r w:rsidRPr="00F64EE3">
        <w:rPr>
          <w:rFonts w:eastAsia="Calibri" w:cs="Times New Roman"/>
        </w:rPr>
        <w:t>If one looks at the circumstances where conventional sums have been awarded it is in situations where an assessment of the value the damage in each individual case by the courts would be inappropriate. It would be unseemly for the courts to hold that one person’s lost years are worth more than another’s or have grieving relatives cross-examined on the level of bereavement they are suffering. The courts are keen to avoid scenarios where a premium is put on protestations of misery and a long face is the only safe passport to a large award.</w:t>
      </w:r>
      <w:r w:rsidRPr="00F64EE3">
        <w:rPr>
          <w:rFonts w:eastAsia="Calibri" w:cs="Times New Roman"/>
          <w:vertAlign w:val="superscript"/>
        </w:rPr>
        <w:footnoteReference w:id="108"/>
      </w:r>
      <w:r w:rsidRPr="00F64EE3">
        <w:rPr>
          <w:rFonts w:eastAsia="Calibri" w:cs="Times New Roman"/>
        </w:rPr>
        <w:t xml:space="preserve"> Similarly, it is not difficult to imagine the chaos (not to mention undermining of </w:t>
      </w:r>
      <w:r w:rsidRPr="00F64EE3">
        <w:rPr>
          <w:rFonts w:eastAsia="Calibri" w:cs="Times New Roman"/>
          <w:i/>
        </w:rPr>
        <w:t>McFarlane</w:t>
      </w:r>
      <w:r w:rsidRPr="00F64EE3">
        <w:rPr>
          <w:rFonts w:eastAsia="Calibri" w:cs="Times New Roman"/>
        </w:rPr>
        <w:t>) that would ensue if people were expected to prove something as elusive as how much autonomy they have lost as a result of having a child. Indeed, autonomy is an indivisible concept. Once a person’s self-regarding capacitous choices have been restricted (and no matter to what extent they have been) then their autonomy has been interfered with.</w:t>
      </w:r>
      <w:r w:rsidRPr="00F64EE3">
        <w:rPr>
          <w:rFonts w:eastAsia="Calibri" w:cs="Times New Roman"/>
          <w:vertAlign w:val="superscript"/>
        </w:rPr>
        <w:footnoteReference w:id="109"/>
      </w:r>
      <w:r w:rsidRPr="00F64EE3">
        <w:rPr>
          <w:rFonts w:eastAsia="Calibri" w:cs="Times New Roman"/>
        </w:rPr>
        <w:t xml:space="preserve"> People have autonomy in virtue of being capable of making choices.</w:t>
      </w:r>
      <w:r w:rsidRPr="00F64EE3">
        <w:rPr>
          <w:rFonts w:eastAsia="Calibri" w:cs="Times New Roman"/>
          <w:vertAlign w:val="superscript"/>
        </w:rPr>
        <w:footnoteReference w:id="110"/>
      </w:r>
      <w:r w:rsidRPr="00F64EE3">
        <w:rPr>
          <w:rFonts w:eastAsia="Calibri" w:cs="Times New Roman"/>
        </w:rPr>
        <w:t xml:space="preserve"> If individuals have an interest in autonomy then it is inconsistent for the law to state that some people’s autonomy is worth more than others. A conventional sum may thus be an appropriate response to this kind of damage. </w:t>
      </w:r>
      <w:r w:rsidRPr="00F64EE3">
        <w:rPr>
          <w:rFonts w:eastAsia="Calibri" w:cs="Times New Roman"/>
          <w:i/>
        </w:rPr>
        <w:t>Pace</w:t>
      </w:r>
      <w:r w:rsidRPr="00F64EE3">
        <w:rPr>
          <w:rFonts w:eastAsia="Calibri" w:cs="Times New Roman"/>
        </w:rPr>
        <w:t xml:space="preserve"> Singer, if this aspect of </w:t>
      </w:r>
      <w:r w:rsidRPr="00F64EE3">
        <w:rPr>
          <w:rFonts w:eastAsia="Calibri" w:cs="Times New Roman"/>
          <w:i/>
        </w:rPr>
        <w:t>Rees</w:t>
      </w:r>
      <w:r w:rsidRPr="00F64EE3">
        <w:rPr>
          <w:rFonts w:eastAsia="Calibri" w:cs="Times New Roman"/>
        </w:rPr>
        <w:t xml:space="preserve"> has its shortcomings, it is not because such awards are beyond the acceptable limits of judicial intervention or without precedent.</w:t>
      </w:r>
    </w:p>
    <w:p w14:paraId="5C604019" w14:textId="77777777" w:rsidR="00F64EE3" w:rsidRPr="00F64EE3" w:rsidRDefault="00F64EE3" w:rsidP="00F64EE3">
      <w:pPr>
        <w:ind w:firstLine="720"/>
        <w:rPr>
          <w:rFonts w:eastAsia="Calibri" w:cs="Times New Roman"/>
        </w:rPr>
      </w:pPr>
      <w:r w:rsidRPr="00F64EE3">
        <w:rPr>
          <w:rFonts w:eastAsia="Calibri" w:cs="Times New Roman"/>
        </w:rPr>
        <w:t>Furthermore Singer’s contention that judges do not pluck figures out of the air to award lump sums in cases if specific types of damage does not survive much scrutiny. In personal injury cases the courts openly acknowledge that ‘</w:t>
      </w:r>
      <w:r w:rsidRPr="00F64EE3">
        <w:rPr>
          <w:rFonts w:eastAsia="Calibri" w:cs="Times New Roman"/>
          <w:bCs/>
        </w:rPr>
        <w:t>there is no pecuniary guideline which can point the way to a correct assessment’</w:t>
      </w:r>
      <w:r w:rsidRPr="00F64EE3">
        <w:rPr>
          <w:rFonts w:eastAsia="Calibri" w:cs="Times New Roman"/>
          <w:bCs/>
          <w:vertAlign w:val="superscript"/>
        </w:rPr>
        <w:footnoteReference w:id="111"/>
      </w:r>
      <w:r w:rsidRPr="00F64EE3">
        <w:rPr>
          <w:rFonts w:eastAsia="Calibri" w:cs="Times New Roman"/>
          <w:bCs/>
        </w:rPr>
        <w:t xml:space="preserve"> and that </w:t>
      </w:r>
      <w:r w:rsidRPr="00F64EE3">
        <w:rPr>
          <w:rFonts w:eastAsia="Calibri" w:cs="Times New Roman"/>
        </w:rPr>
        <w:t>all they can do is ‘award sums which must be regarded as giving reasonable compensation’</w:t>
      </w:r>
      <w:r w:rsidRPr="00F64EE3">
        <w:rPr>
          <w:rFonts w:eastAsia="Calibri" w:cs="Times New Roman"/>
          <w:vertAlign w:val="superscript"/>
        </w:rPr>
        <w:footnoteReference w:id="112"/>
      </w:r>
      <w:r w:rsidRPr="00F64EE3">
        <w:rPr>
          <w:rFonts w:eastAsia="Calibri" w:cs="Times New Roman"/>
        </w:rPr>
        <w:t xml:space="preserve"> and ‘endeavour to secure some uniformity in the general method of approach.’</w:t>
      </w:r>
      <w:r w:rsidRPr="00F64EE3">
        <w:rPr>
          <w:rFonts w:eastAsia="Calibri" w:cs="Times New Roman"/>
          <w:vertAlign w:val="superscript"/>
        </w:rPr>
        <w:footnoteReference w:id="113"/>
      </w:r>
      <w:r w:rsidRPr="00F64EE3">
        <w:rPr>
          <w:rFonts w:eastAsia="Calibri" w:cs="Times New Roman"/>
        </w:rPr>
        <w:t xml:space="preserve"> They are concerned that awards for similar types of injury are consistently applied but as </w:t>
      </w:r>
      <w:r w:rsidRPr="00F64EE3">
        <w:rPr>
          <w:rFonts w:eastAsia="Calibri" w:cs="Times New Roman"/>
          <w:i/>
        </w:rPr>
        <w:t>Street on Torts</w:t>
      </w:r>
      <w:r w:rsidRPr="00F64EE3">
        <w:rPr>
          <w:rFonts w:eastAsia="Calibri" w:cs="Times New Roman"/>
        </w:rPr>
        <w:t xml:space="preserve"> states ‘Non-pecuniary damages differ from pecuniary damages in that there is not even any suggestion of a scientific method of deciding what sum should be awarded.’</w:t>
      </w:r>
      <w:r w:rsidRPr="00F64EE3">
        <w:rPr>
          <w:rFonts w:eastAsia="Calibri" w:cs="Times New Roman"/>
          <w:vertAlign w:val="superscript"/>
        </w:rPr>
        <w:footnoteReference w:id="114"/>
      </w:r>
      <w:r w:rsidRPr="00F64EE3">
        <w:rPr>
          <w:rFonts w:eastAsia="Calibri" w:cs="Times New Roman"/>
        </w:rPr>
        <w:t xml:space="preserve"> To believe that courts do otherwise is to buy into the fiction that, say, the complete loss of sight in one eye is </w:t>
      </w:r>
      <w:r w:rsidRPr="00F64EE3">
        <w:rPr>
          <w:rFonts w:eastAsia="Calibri" w:cs="Times New Roman"/>
          <w:i/>
        </w:rPr>
        <w:t>objectively</w:t>
      </w:r>
      <w:r w:rsidRPr="00F64EE3">
        <w:rPr>
          <w:rFonts w:eastAsia="Calibri" w:cs="Times New Roman"/>
        </w:rPr>
        <w:t xml:space="preserve"> worth between £35,200 and £39,150.</w:t>
      </w:r>
      <w:r w:rsidRPr="00F64EE3">
        <w:rPr>
          <w:rFonts w:eastAsia="Calibri" w:cs="Times New Roman"/>
          <w:vertAlign w:val="superscript"/>
        </w:rPr>
        <w:footnoteReference w:id="115"/>
      </w:r>
      <w:r w:rsidRPr="00F64EE3">
        <w:rPr>
          <w:rFonts w:eastAsia="Calibri" w:cs="Times New Roman"/>
        </w:rPr>
        <w:t xml:space="preserve"> If </w:t>
      </w:r>
      <w:r w:rsidRPr="00F64EE3">
        <w:rPr>
          <w:rFonts w:eastAsia="Calibri" w:cs="Times New Roman"/>
          <w:i/>
        </w:rPr>
        <w:t>Rees</w:t>
      </w:r>
      <w:r w:rsidRPr="00F64EE3">
        <w:rPr>
          <w:rFonts w:eastAsia="Calibri" w:cs="Times New Roman"/>
        </w:rPr>
        <w:t xml:space="preserve"> is to be indicted on such a basis then the entire law relating to general damages can be equally condemned.</w:t>
      </w:r>
    </w:p>
    <w:p w14:paraId="7387E462" w14:textId="77777777" w:rsidR="00F64EE3" w:rsidRPr="00F64EE3" w:rsidRDefault="00F64EE3" w:rsidP="00F64EE3">
      <w:pPr>
        <w:ind w:firstLine="720"/>
        <w:rPr>
          <w:rFonts w:eastAsia="Calibri" w:cs="Times New Roman"/>
        </w:rPr>
      </w:pPr>
      <w:r w:rsidRPr="00F64EE3">
        <w:rPr>
          <w:rFonts w:eastAsia="Calibri" w:cs="Times New Roman"/>
          <w:bCs/>
        </w:rPr>
        <w:t xml:space="preserve">However, while the above criticisms of </w:t>
      </w:r>
      <w:r w:rsidRPr="00F64EE3">
        <w:rPr>
          <w:rFonts w:eastAsia="Calibri" w:cs="Times New Roman"/>
          <w:bCs/>
          <w:i/>
        </w:rPr>
        <w:t>Rees</w:t>
      </w:r>
      <w:r w:rsidRPr="00F64EE3">
        <w:rPr>
          <w:rFonts w:eastAsia="Calibri" w:cs="Times New Roman"/>
          <w:bCs/>
        </w:rPr>
        <w:t xml:space="preserve"> may be unwarranted, the lack of analysis by the majority for introduction of this new head of loss means there is much force in Lord Hope’s comment that ‘The lack of any consistent or coherent </w:t>
      </w:r>
      <w:r w:rsidRPr="00F64EE3">
        <w:rPr>
          <w:rFonts w:eastAsia="Calibri" w:cs="Times New Roman"/>
          <w:bCs/>
          <w:i/>
        </w:rPr>
        <w:t>ratio</w:t>
      </w:r>
      <w:r w:rsidRPr="00F64EE3">
        <w:rPr>
          <w:rFonts w:eastAsia="Calibri" w:cs="Times New Roman"/>
          <w:bCs/>
        </w:rPr>
        <w:t xml:space="preserve"> in support of the proposition [of introducing the conventional award] in the speeches of the majority is disturbing’</w:t>
      </w:r>
      <w:r w:rsidRPr="00F64EE3">
        <w:rPr>
          <w:rFonts w:eastAsia="Calibri" w:cs="Times New Roman"/>
          <w:bCs/>
          <w:vertAlign w:val="superscript"/>
        </w:rPr>
        <w:footnoteReference w:id="116"/>
      </w:r>
      <w:r w:rsidRPr="00F64EE3">
        <w:rPr>
          <w:rFonts w:eastAsia="Calibri" w:cs="Times New Roman"/>
          <w:bCs/>
        </w:rPr>
        <w:t xml:space="preserve"> and Lord Steyn’s belief that examination of the issue was ‘cursory and unaccompanied by research.’</w:t>
      </w:r>
      <w:r w:rsidRPr="00F64EE3">
        <w:rPr>
          <w:rFonts w:eastAsia="Calibri" w:cs="Times New Roman"/>
          <w:bCs/>
          <w:vertAlign w:val="superscript"/>
        </w:rPr>
        <w:footnoteReference w:id="117"/>
      </w:r>
      <w:r w:rsidRPr="00F64EE3">
        <w:rPr>
          <w:rFonts w:eastAsia="Calibri" w:cs="Times New Roman"/>
          <w:bCs/>
        </w:rPr>
        <w:t xml:space="preserve"> </w:t>
      </w:r>
      <w:r w:rsidRPr="00F64EE3">
        <w:rPr>
          <w:rFonts w:eastAsia="Calibri" w:cs="Times New Roman"/>
        </w:rPr>
        <w:t>The categories of negligence might never be closed but it would be helpful if the courts actually explained why they were recognising a new form of damage and how it should apply and be compens</w:t>
      </w:r>
      <w:bookmarkStart w:id="5" w:name="_GoBack"/>
      <w:bookmarkEnd w:id="5"/>
      <w:r w:rsidRPr="00F64EE3">
        <w:rPr>
          <w:rFonts w:eastAsia="Calibri" w:cs="Times New Roman"/>
        </w:rPr>
        <w:t xml:space="preserve">ated in future analogous cases. This is something the majority in </w:t>
      </w:r>
      <w:r w:rsidRPr="00F64EE3">
        <w:rPr>
          <w:rFonts w:eastAsia="Calibri" w:cs="Times New Roman"/>
          <w:i/>
        </w:rPr>
        <w:t>Rees</w:t>
      </w:r>
      <w:r w:rsidRPr="00F64EE3">
        <w:rPr>
          <w:rFonts w:eastAsia="Calibri" w:cs="Times New Roman"/>
        </w:rPr>
        <w:t xml:space="preserve"> failed to do. The fact that the conventional sum could reasonably be seen as making the tort of negligence actionable per se provides a stark example of the potential pitfalls that occur when judges fail to provide a thorough analysis of the concept of damage in negligence cases. If a principled reading of </w:t>
      </w:r>
      <w:r w:rsidRPr="00F64EE3">
        <w:rPr>
          <w:rFonts w:eastAsia="Calibri" w:cs="Times New Roman"/>
          <w:i/>
        </w:rPr>
        <w:t>Rees</w:t>
      </w:r>
      <w:r w:rsidRPr="00F64EE3">
        <w:rPr>
          <w:rFonts w:eastAsia="Calibri" w:cs="Times New Roman"/>
        </w:rPr>
        <w:t xml:space="preserve"> can be given, it is not due to the majority’s judgments. </w:t>
      </w:r>
    </w:p>
    <w:p w14:paraId="3F51739F"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Assuming, however, that diminished autonomy </w:t>
      </w:r>
      <w:r w:rsidRPr="00F64EE3">
        <w:rPr>
          <w:rFonts w:eastAsia="Calibri" w:cs="Times New Roman"/>
          <w:bCs/>
          <w:i/>
          <w:iCs/>
        </w:rPr>
        <w:t>is</w:t>
      </w:r>
      <w:r w:rsidRPr="00F64EE3">
        <w:rPr>
          <w:rFonts w:eastAsia="Calibri" w:cs="Times New Roman"/>
          <w:bCs/>
          <w:iCs/>
        </w:rPr>
        <w:t xml:space="preserve"> capable of being actionable damage in negligence,</w:t>
      </w:r>
      <w:r w:rsidRPr="00F64EE3">
        <w:rPr>
          <w:rFonts w:eastAsia="Calibri" w:cs="Times New Roman"/>
          <w:bCs/>
          <w:iCs/>
          <w:vertAlign w:val="superscript"/>
        </w:rPr>
        <w:footnoteReference w:id="118"/>
      </w:r>
      <w:r w:rsidRPr="00F64EE3">
        <w:rPr>
          <w:rFonts w:eastAsia="Calibri" w:cs="Times New Roman"/>
          <w:bCs/>
          <w:iCs/>
        </w:rPr>
        <w:t xml:space="preserve"> the problems with </w:t>
      </w:r>
      <w:r w:rsidRPr="00F64EE3">
        <w:rPr>
          <w:rFonts w:eastAsia="Calibri" w:cs="Times New Roman"/>
          <w:bCs/>
          <w:i/>
          <w:iCs/>
        </w:rPr>
        <w:t>Rees</w:t>
      </w:r>
      <w:r w:rsidRPr="00F64EE3">
        <w:rPr>
          <w:rFonts w:eastAsia="Calibri" w:cs="Times New Roman"/>
          <w:bCs/>
          <w:iCs/>
        </w:rPr>
        <w:t xml:space="preserve"> do not end there. The approach of recognising lost autonomy as a form of actionable damage in </w:t>
      </w:r>
      <w:r w:rsidRPr="00F64EE3">
        <w:rPr>
          <w:rFonts w:eastAsia="Calibri" w:cs="Times New Roman"/>
          <w:bCs/>
          <w:i/>
          <w:iCs/>
        </w:rPr>
        <w:t>Rees</w:t>
      </w:r>
      <w:r w:rsidRPr="00F64EE3">
        <w:rPr>
          <w:rFonts w:eastAsia="Calibri" w:cs="Times New Roman"/>
          <w:bCs/>
          <w:iCs/>
        </w:rPr>
        <w:t xml:space="preserve"> is possibly inconsistent with that taken in </w:t>
      </w:r>
      <w:r w:rsidRPr="00F64EE3">
        <w:rPr>
          <w:rFonts w:eastAsia="Calibri" w:cs="Times New Roman"/>
          <w:bCs/>
          <w:i/>
          <w:iCs/>
        </w:rPr>
        <w:t xml:space="preserve">Chester v Afshar </w:t>
      </w:r>
      <w:r w:rsidRPr="00F64EE3">
        <w:rPr>
          <w:rFonts w:eastAsia="Calibri" w:cs="Times New Roman"/>
          <w:bCs/>
          <w:iCs/>
        </w:rPr>
        <w:t xml:space="preserve">and this divergence stems from their Lordships overlooking the issue of damage.  I will discuss this aspect of the reasoning in </w:t>
      </w:r>
      <w:r w:rsidRPr="00F64EE3">
        <w:rPr>
          <w:rFonts w:eastAsia="Calibri" w:cs="Times New Roman"/>
          <w:bCs/>
          <w:i/>
          <w:iCs/>
        </w:rPr>
        <w:t>Rees</w:t>
      </w:r>
      <w:r w:rsidRPr="00F64EE3">
        <w:rPr>
          <w:rFonts w:eastAsia="Calibri" w:cs="Times New Roman"/>
          <w:bCs/>
          <w:iCs/>
        </w:rPr>
        <w:t xml:space="preserve"> together with my analysis of </w:t>
      </w:r>
      <w:r w:rsidRPr="00F64EE3">
        <w:rPr>
          <w:rFonts w:eastAsia="Calibri" w:cs="Times New Roman"/>
          <w:bCs/>
          <w:i/>
          <w:iCs/>
        </w:rPr>
        <w:t>Chester</w:t>
      </w:r>
      <w:r w:rsidRPr="00F64EE3">
        <w:rPr>
          <w:rFonts w:eastAsia="Calibri" w:cs="Times New Roman"/>
          <w:bCs/>
          <w:iCs/>
        </w:rPr>
        <w:t xml:space="preserve">. </w:t>
      </w:r>
    </w:p>
    <w:p w14:paraId="32CD6385" w14:textId="77777777" w:rsidR="00F64EE3" w:rsidRPr="00F64EE3" w:rsidRDefault="00F64EE3" w:rsidP="00F64EE3">
      <w:pPr>
        <w:rPr>
          <w:rFonts w:eastAsia="Calibri" w:cs="Times New Roman"/>
        </w:rPr>
      </w:pPr>
    </w:p>
    <w:p w14:paraId="0C6FA71B" w14:textId="150E4CD8" w:rsidR="00F64EE3" w:rsidRPr="00F64EE3" w:rsidRDefault="00F64EE3" w:rsidP="00F64EE3">
      <w:pPr>
        <w:keepNext/>
        <w:keepLines/>
        <w:outlineLvl w:val="2"/>
        <w:rPr>
          <w:rFonts w:eastAsia="Times New Roman" w:cs="Times New Roman"/>
          <w:b/>
          <w:bCs/>
          <w:sz w:val="32"/>
        </w:rPr>
      </w:pPr>
      <w:bookmarkStart w:id="6" w:name="_Toc433376552"/>
      <w:r w:rsidRPr="00F64EE3">
        <w:rPr>
          <w:rFonts w:eastAsia="Times New Roman" w:cs="Times New Roman"/>
          <w:b/>
          <w:bCs/>
          <w:i/>
          <w:sz w:val="32"/>
        </w:rPr>
        <w:t>Chester v Ashfar</w:t>
      </w:r>
      <w:bookmarkEnd w:id="6"/>
    </w:p>
    <w:p w14:paraId="326A7CB8" w14:textId="77777777" w:rsidR="00F64EE3" w:rsidRPr="00F64EE3" w:rsidRDefault="00F64EE3" w:rsidP="00F64EE3">
      <w:pPr>
        <w:rPr>
          <w:rFonts w:eastAsia="Calibri" w:cs="Times New Roman"/>
        </w:rPr>
      </w:pPr>
      <w:r w:rsidRPr="00F64EE3">
        <w:rPr>
          <w:rFonts w:eastAsia="Calibri" w:cs="Times New Roman"/>
        </w:rPr>
        <w:t xml:space="preserve">In </w:t>
      </w:r>
      <w:r w:rsidRPr="00F64EE3">
        <w:rPr>
          <w:rFonts w:eastAsia="Calibri" w:cs="Times New Roman"/>
          <w:i/>
        </w:rPr>
        <w:t xml:space="preserve">Chester v Afshar </w:t>
      </w:r>
      <w:r w:rsidRPr="00F64EE3">
        <w:rPr>
          <w:rFonts w:eastAsia="Calibri" w:cs="Times New Roman"/>
        </w:rPr>
        <w:t xml:space="preserve">the claimant, Miss Chester, suffered from back pain so visited the defendant consultant, Mr Afshar, who recommended surgery. He failed, however, to warn her about a small risk of cauda equina syndrome (paralysis) inherent in the operation. </w:t>
      </w:r>
      <w:r w:rsidRPr="00F64EE3">
        <w:rPr>
          <w:rFonts w:eastAsia="Calibri" w:cs="Times New Roman"/>
          <w:bCs/>
          <w:iCs/>
        </w:rPr>
        <w:t xml:space="preserve">This risk would be present no matter how expertly the operation was performed and liable to occur at random. </w:t>
      </w:r>
      <w:r w:rsidRPr="00F64EE3">
        <w:rPr>
          <w:rFonts w:eastAsia="Calibri" w:cs="Times New Roman"/>
        </w:rPr>
        <w:t>Based on his advice, Miss Chester underwent the procedure and, although the surgery itself was not carelessly performed, she suffered from the syndrome.</w:t>
      </w:r>
    </w:p>
    <w:p w14:paraId="3A3F6461" w14:textId="77777777" w:rsidR="00F64EE3" w:rsidRPr="00F64EE3" w:rsidRDefault="00F64EE3" w:rsidP="00F64EE3">
      <w:pPr>
        <w:ind w:firstLine="720"/>
        <w:rPr>
          <w:rFonts w:eastAsia="Calibri" w:cs="Times New Roman"/>
        </w:rPr>
      </w:pPr>
      <w:r w:rsidRPr="00F64EE3">
        <w:rPr>
          <w:rFonts w:eastAsia="Calibri" w:cs="Times New Roman"/>
          <w:bCs/>
          <w:iCs/>
        </w:rPr>
        <w:t xml:space="preserve">Miss Chester admitted that she could not say that she would </w:t>
      </w:r>
      <w:r w:rsidRPr="00F64EE3">
        <w:rPr>
          <w:rFonts w:eastAsia="Calibri" w:cs="Times New Roman"/>
          <w:bCs/>
          <w:i/>
          <w:iCs/>
        </w:rPr>
        <w:t>never</w:t>
      </w:r>
      <w:r w:rsidRPr="00F64EE3">
        <w:rPr>
          <w:rFonts w:eastAsia="Calibri" w:cs="Times New Roman"/>
          <w:bCs/>
          <w:iCs/>
        </w:rPr>
        <w:t xml:space="preserve"> have undergone the operation even if she had been warned of the risks.</w:t>
      </w:r>
      <w:r w:rsidRPr="00F64EE3">
        <w:rPr>
          <w:rFonts w:eastAsia="Calibri" w:cs="Times New Roman"/>
          <w:bCs/>
          <w:iCs/>
          <w:vertAlign w:val="superscript"/>
        </w:rPr>
        <w:footnoteReference w:id="119"/>
      </w:r>
      <w:r w:rsidRPr="00F64EE3">
        <w:rPr>
          <w:rFonts w:eastAsia="Calibri" w:cs="Times New Roman"/>
          <w:bCs/>
          <w:iCs/>
        </w:rPr>
        <w:t xml:space="preserve"> Instead, she said that she would not have had it at the time that she did but would have instead wanted to discuss the matter with others and explore alternatives. She conceded that she may have chosen to have the surgery on a different day. As a result of this concession, it was arguable that she could not show that Mr Afshar’s carelessness in failing to warn her of the risks had actually </w:t>
      </w:r>
      <w:r w:rsidRPr="00F64EE3">
        <w:rPr>
          <w:rFonts w:eastAsia="Calibri" w:cs="Times New Roman"/>
          <w:bCs/>
          <w:i/>
          <w:iCs/>
        </w:rPr>
        <w:t>caused</w:t>
      </w:r>
      <w:r w:rsidRPr="00F64EE3">
        <w:rPr>
          <w:rFonts w:eastAsia="Calibri" w:cs="Times New Roman"/>
          <w:bCs/>
          <w:iCs/>
        </w:rPr>
        <w:t xml:space="preserve"> the syndrome because it might have occurred anyway.</w:t>
      </w:r>
    </w:p>
    <w:p w14:paraId="2CFAA64B"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The House of Lords found in Miss Chester’s favour (Lord Bingham and Lord Hoffmann dissenting). They held that even though the claimant could not establish that the defendant had </w:t>
      </w:r>
      <w:r w:rsidRPr="00F64EE3">
        <w:rPr>
          <w:rFonts w:eastAsia="Calibri" w:cs="Times New Roman"/>
          <w:bCs/>
          <w:i/>
          <w:iCs/>
        </w:rPr>
        <w:t>caused</w:t>
      </w:r>
      <w:r w:rsidRPr="00F64EE3">
        <w:rPr>
          <w:rFonts w:eastAsia="Calibri" w:cs="Times New Roman"/>
          <w:bCs/>
          <w:iCs/>
        </w:rPr>
        <w:t xml:space="preserve"> her back pain, a departure from conventional causation rules was justified due to the fact that her right to make her own decision about her treatment had been interfered with. This reasoning, I will argue, confuses several issues and such confusion is generated by the House of Lords not undertaking a clear assessment of the damage suffered in this case. As a result, problems arise in the court’s treatment of causation and quantification of loss. </w:t>
      </w:r>
    </w:p>
    <w:p w14:paraId="26CA68E9"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Below I will explore two different interpretations of </w:t>
      </w:r>
      <w:r w:rsidRPr="00F64EE3">
        <w:rPr>
          <w:rFonts w:eastAsia="Calibri" w:cs="Times New Roman"/>
          <w:bCs/>
          <w:i/>
          <w:iCs/>
        </w:rPr>
        <w:t>Chester</w:t>
      </w:r>
      <w:r w:rsidRPr="00F64EE3">
        <w:rPr>
          <w:rFonts w:eastAsia="Calibri" w:cs="Times New Roman"/>
          <w:bCs/>
          <w:iCs/>
        </w:rPr>
        <w:t xml:space="preserve">. The first is that the real damage in the case was Miss Chester’s diminished autonomy and the cauda equina syndrome merely went to the assessment of damages. On this approach, if autonomy is the damage, the decision in </w:t>
      </w:r>
      <w:r w:rsidRPr="00F64EE3">
        <w:rPr>
          <w:rFonts w:eastAsia="Calibri" w:cs="Times New Roman"/>
          <w:bCs/>
          <w:i/>
          <w:iCs/>
        </w:rPr>
        <w:t>Chester</w:t>
      </w:r>
      <w:r w:rsidRPr="00F64EE3">
        <w:rPr>
          <w:rFonts w:eastAsia="Calibri" w:cs="Times New Roman"/>
          <w:bCs/>
          <w:iCs/>
        </w:rPr>
        <w:t xml:space="preserve"> is inconsistent with the outcome in </w:t>
      </w:r>
      <w:r w:rsidRPr="00F64EE3">
        <w:rPr>
          <w:rFonts w:eastAsia="Calibri" w:cs="Times New Roman"/>
          <w:bCs/>
          <w:i/>
          <w:iCs/>
        </w:rPr>
        <w:t>Rees</w:t>
      </w:r>
      <w:r w:rsidRPr="00F64EE3">
        <w:rPr>
          <w:rFonts w:eastAsia="Calibri" w:cs="Times New Roman"/>
          <w:bCs/>
          <w:iCs/>
        </w:rPr>
        <w:t xml:space="preserve">. It must be emphasised that the purpose of this article is not to consider whether autonomy </w:t>
      </w:r>
      <w:r w:rsidRPr="00F64EE3">
        <w:rPr>
          <w:rFonts w:eastAsia="Calibri" w:cs="Times New Roman"/>
          <w:bCs/>
          <w:i/>
          <w:iCs/>
        </w:rPr>
        <w:t>ought</w:t>
      </w:r>
      <w:r w:rsidRPr="00F64EE3">
        <w:rPr>
          <w:rFonts w:eastAsia="Calibri" w:cs="Times New Roman"/>
          <w:bCs/>
          <w:iCs/>
        </w:rPr>
        <w:t xml:space="preserve"> to be a form of damage in negligence or analyse the various different conceptions of autonomy.</w:t>
      </w:r>
      <w:r w:rsidRPr="00F64EE3">
        <w:rPr>
          <w:rFonts w:eastAsia="Calibri" w:cs="Times New Roman"/>
          <w:bCs/>
          <w:iCs/>
          <w:vertAlign w:val="superscript"/>
        </w:rPr>
        <w:footnoteReference w:id="120"/>
      </w:r>
    </w:p>
    <w:p w14:paraId="3E276812"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The second interpretation is that the cauda equina syndrome </w:t>
      </w:r>
      <w:r w:rsidRPr="00F64EE3">
        <w:rPr>
          <w:rFonts w:eastAsia="Calibri" w:cs="Times New Roman"/>
          <w:bCs/>
          <w:i/>
          <w:iCs/>
        </w:rPr>
        <w:t>itself</w:t>
      </w:r>
      <w:r w:rsidRPr="00F64EE3">
        <w:rPr>
          <w:rFonts w:eastAsia="Calibri" w:cs="Times New Roman"/>
          <w:bCs/>
          <w:iCs/>
        </w:rPr>
        <w:t xml:space="preserve"> was the damage. While this understanding would be consistent with </w:t>
      </w:r>
      <w:r w:rsidRPr="00F64EE3">
        <w:rPr>
          <w:rFonts w:eastAsia="Calibri" w:cs="Times New Roman"/>
          <w:bCs/>
          <w:i/>
          <w:iCs/>
        </w:rPr>
        <w:t>Rees</w:t>
      </w:r>
      <w:r w:rsidRPr="00F64EE3">
        <w:rPr>
          <w:rFonts w:eastAsia="Calibri" w:cs="Times New Roman"/>
          <w:bCs/>
          <w:iCs/>
        </w:rPr>
        <w:t>, it is still beset with considerable problems due to the House of Lord’s approach to causation. Either way, the case supports the thesis that the result of judges not explicitly analysing the concept of damage is poor reasoning and the distortion of legal principles.</w:t>
      </w:r>
    </w:p>
    <w:p w14:paraId="08D04193" w14:textId="77777777" w:rsidR="00F64EE3" w:rsidRPr="00F64EE3" w:rsidRDefault="00F64EE3" w:rsidP="00F64EE3">
      <w:pPr>
        <w:rPr>
          <w:rFonts w:eastAsia="Calibri" w:cs="Times New Roman"/>
          <w:bCs/>
          <w:iCs/>
          <w:u w:val="single"/>
        </w:rPr>
      </w:pPr>
    </w:p>
    <w:p w14:paraId="38705F5F" w14:textId="77777777" w:rsidR="00F64EE3" w:rsidRPr="00F64EE3" w:rsidRDefault="00F64EE3" w:rsidP="00F64EE3">
      <w:pPr>
        <w:rPr>
          <w:rFonts w:eastAsia="Calibri" w:cs="Times New Roman"/>
          <w:bCs/>
          <w:i/>
          <w:iCs/>
        </w:rPr>
      </w:pPr>
      <w:r w:rsidRPr="00F64EE3">
        <w:rPr>
          <w:rFonts w:eastAsia="Calibri" w:cs="Times New Roman"/>
          <w:bCs/>
          <w:i/>
          <w:iCs/>
        </w:rPr>
        <w:t>Autonomy as damage</w:t>
      </w:r>
    </w:p>
    <w:p w14:paraId="4A07977A" w14:textId="77777777" w:rsidR="00F64EE3" w:rsidRPr="00F64EE3" w:rsidRDefault="00F64EE3" w:rsidP="00F64EE3">
      <w:pPr>
        <w:rPr>
          <w:rFonts w:eastAsia="Calibri" w:cs="Times New Roman"/>
          <w:bCs/>
          <w:iCs/>
        </w:rPr>
      </w:pPr>
      <w:r w:rsidRPr="00F64EE3">
        <w:rPr>
          <w:rFonts w:eastAsia="Calibri" w:cs="Times New Roman"/>
          <w:bCs/>
          <w:iCs/>
        </w:rPr>
        <w:t xml:space="preserve">It is arguable that the real damage in </w:t>
      </w:r>
      <w:r w:rsidRPr="00F64EE3">
        <w:rPr>
          <w:rFonts w:eastAsia="Calibri" w:cs="Times New Roman"/>
          <w:bCs/>
          <w:i/>
          <w:iCs/>
        </w:rPr>
        <w:t>Chester</w:t>
      </w:r>
      <w:r w:rsidRPr="00F64EE3">
        <w:rPr>
          <w:rFonts w:eastAsia="Calibri" w:cs="Times New Roman"/>
          <w:bCs/>
          <w:iCs/>
        </w:rPr>
        <w:t xml:space="preserve"> was the loss of autonomy that Miss Chester suffered. If we accept that autonomy involves making decisions for oneself and being the author of one’s own life,</w:t>
      </w:r>
      <w:r w:rsidRPr="00F64EE3">
        <w:rPr>
          <w:rFonts w:eastAsia="Calibri" w:cs="Times New Roman"/>
          <w:bCs/>
          <w:iCs/>
          <w:vertAlign w:val="superscript"/>
        </w:rPr>
        <w:footnoteReference w:id="121"/>
      </w:r>
      <w:r w:rsidRPr="00F64EE3">
        <w:rPr>
          <w:rFonts w:eastAsia="Calibri" w:cs="Times New Roman"/>
          <w:bCs/>
          <w:iCs/>
        </w:rPr>
        <w:t xml:space="preserve"> by not being given sufficient information about the surgery the claimant was denied the opportunity to live her life as she wished. </w:t>
      </w:r>
    </w:p>
    <w:p w14:paraId="204B069A" w14:textId="77777777" w:rsidR="00F64EE3" w:rsidRPr="00F64EE3" w:rsidRDefault="00F64EE3" w:rsidP="00F64EE3">
      <w:pPr>
        <w:ind w:firstLine="720"/>
        <w:rPr>
          <w:rFonts w:eastAsia="Calibri" w:cs="Times New Roman"/>
          <w:bCs/>
          <w:iCs/>
        </w:rPr>
      </w:pPr>
      <w:r w:rsidRPr="00F64EE3">
        <w:rPr>
          <w:rFonts w:eastAsia="Calibri" w:cs="Times New Roman"/>
          <w:bCs/>
          <w:iCs/>
        </w:rPr>
        <w:t>There is evidence of this in the judgments. Lord Steyn laid emphasis on Miss Chester’s ‘right of autonomy and dignity,’</w:t>
      </w:r>
      <w:r w:rsidRPr="00F64EE3">
        <w:rPr>
          <w:rFonts w:eastAsia="Calibri" w:cs="Times New Roman"/>
          <w:bCs/>
          <w:iCs/>
          <w:vertAlign w:val="superscript"/>
        </w:rPr>
        <w:footnoteReference w:id="122"/>
      </w:r>
      <w:r w:rsidRPr="00F64EE3">
        <w:rPr>
          <w:rFonts w:eastAsia="Calibri" w:cs="Times New Roman"/>
          <w:bCs/>
          <w:iCs/>
        </w:rPr>
        <w:t xml:space="preserve"> saying it ‘can and ought to be vindicated by a narrow and modest departure from traditional causation principles.’</w:t>
      </w:r>
      <w:r w:rsidRPr="00F64EE3">
        <w:rPr>
          <w:rFonts w:eastAsia="Calibri" w:cs="Times New Roman"/>
          <w:bCs/>
          <w:iCs/>
          <w:vertAlign w:val="superscript"/>
        </w:rPr>
        <w:footnoteReference w:id="123"/>
      </w:r>
      <w:r w:rsidRPr="00F64EE3">
        <w:rPr>
          <w:rFonts w:eastAsia="Calibri" w:cs="Times New Roman"/>
          <w:bCs/>
          <w:iCs/>
        </w:rPr>
        <w:t xml:space="preserve"> He reiterated that ‘[i]n modern law medical paternalism no longer rules.’</w:t>
      </w:r>
      <w:r w:rsidRPr="00F64EE3">
        <w:rPr>
          <w:rFonts w:eastAsia="Calibri" w:cs="Times New Roman"/>
          <w:bCs/>
          <w:iCs/>
          <w:vertAlign w:val="superscript"/>
        </w:rPr>
        <w:footnoteReference w:id="124"/>
      </w:r>
      <w:r w:rsidRPr="00F64EE3">
        <w:rPr>
          <w:rFonts w:eastAsia="Calibri" w:cs="Times New Roman"/>
          <w:bCs/>
          <w:iCs/>
        </w:rPr>
        <w:t xml:space="preserve"> Lord Walker</w:t>
      </w:r>
      <w:r w:rsidRPr="00F64EE3">
        <w:rPr>
          <w:rFonts w:eastAsia="Calibri" w:cs="Times New Roman"/>
          <w:bCs/>
          <w:iCs/>
          <w:vertAlign w:val="superscript"/>
        </w:rPr>
        <w:footnoteReference w:id="125"/>
      </w:r>
      <w:r w:rsidRPr="00F64EE3">
        <w:rPr>
          <w:rFonts w:eastAsia="Calibri" w:cs="Times New Roman"/>
          <w:bCs/>
          <w:iCs/>
        </w:rPr>
        <w:t xml:space="preserve"> and Lord Hope agreed.</w:t>
      </w:r>
      <w:r w:rsidRPr="00F64EE3">
        <w:rPr>
          <w:rFonts w:eastAsia="Calibri" w:cs="Times New Roman"/>
          <w:bCs/>
          <w:iCs/>
          <w:vertAlign w:val="superscript"/>
        </w:rPr>
        <w:footnoteReference w:id="126"/>
      </w:r>
      <w:r w:rsidRPr="00F64EE3">
        <w:rPr>
          <w:rFonts w:eastAsia="Calibri" w:cs="Times New Roman"/>
          <w:bCs/>
          <w:iCs/>
        </w:rPr>
        <w:t xml:space="preserve"> Indeed, even Lord Hoffmann (dissenting) believed that there might be a case – albeit one he rejected – for a ‘modest solatium’</w:t>
      </w:r>
      <w:r w:rsidRPr="00F64EE3">
        <w:rPr>
          <w:rFonts w:eastAsia="Calibri" w:cs="Times New Roman"/>
          <w:bCs/>
          <w:iCs/>
          <w:vertAlign w:val="superscript"/>
        </w:rPr>
        <w:footnoteReference w:id="127"/>
      </w:r>
      <w:r w:rsidRPr="00F64EE3">
        <w:rPr>
          <w:rFonts w:eastAsia="Calibri" w:cs="Times New Roman"/>
          <w:bCs/>
          <w:iCs/>
        </w:rPr>
        <w:t xml:space="preserve"> being awarded for Miss Chester’s diminished autonomy. If these statements are not an overt recognition of autonomy as a form of damage in negligence, they are certainly strongly indicative that, as Devaney has noted, ‘the primary concern of the majority…was to ensure that patient autonomy is respected.’</w:t>
      </w:r>
      <w:r w:rsidRPr="00F64EE3">
        <w:rPr>
          <w:rFonts w:eastAsia="Calibri" w:cs="Times New Roman"/>
          <w:vertAlign w:val="superscript"/>
        </w:rPr>
        <w:footnoteReference w:id="128"/>
      </w:r>
      <w:r w:rsidRPr="00F64EE3">
        <w:rPr>
          <w:rFonts w:eastAsia="Calibri" w:cs="Times New Roman"/>
          <w:bCs/>
          <w:iCs/>
        </w:rPr>
        <w:t xml:space="preserve"> </w:t>
      </w:r>
    </w:p>
    <w:p w14:paraId="79490F45" w14:textId="77777777" w:rsidR="00F64EE3" w:rsidRPr="00F64EE3" w:rsidRDefault="00F64EE3" w:rsidP="00F64EE3">
      <w:pPr>
        <w:ind w:firstLine="720"/>
        <w:rPr>
          <w:rFonts w:eastAsia="Calibri" w:cs="Times New Roman"/>
          <w:bCs/>
          <w:iCs/>
        </w:rPr>
      </w:pPr>
      <w:r w:rsidRPr="00F64EE3">
        <w:rPr>
          <w:rFonts w:eastAsia="Calibri" w:cs="Times New Roman"/>
          <w:bCs/>
          <w:iCs/>
        </w:rPr>
        <w:t>Some writers go further.</w:t>
      </w:r>
      <w:r w:rsidRPr="00F64EE3">
        <w:rPr>
          <w:rFonts w:eastAsia="Calibri" w:cs="Times New Roman"/>
          <w:bCs/>
          <w:vertAlign w:val="superscript"/>
        </w:rPr>
        <w:footnoteReference w:id="129"/>
      </w:r>
      <w:r w:rsidRPr="00F64EE3">
        <w:rPr>
          <w:rFonts w:eastAsia="Calibri" w:cs="Times New Roman"/>
          <w:bCs/>
          <w:iCs/>
        </w:rPr>
        <w:t xml:space="preserve"> For example, Amirthalingham argues that </w:t>
      </w:r>
      <w:r w:rsidRPr="00F64EE3">
        <w:rPr>
          <w:rFonts w:eastAsia="Calibri" w:cs="Times New Roman"/>
          <w:bCs/>
          <w:i/>
          <w:iCs/>
        </w:rPr>
        <w:t>Chester</w:t>
      </w:r>
      <w:r w:rsidRPr="00F64EE3">
        <w:rPr>
          <w:rFonts w:eastAsia="Calibri" w:cs="Times New Roman"/>
          <w:bCs/>
          <w:iCs/>
        </w:rPr>
        <w:t xml:space="preserve"> recognises diminished autonomy as a form of damage in negligence.</w:t>
      </w:r>
      <w:r w:rsidRPr="00F64EE3">
        <w:rPr>
          <w:rFonts w:eastAsia="Calibri" w:cs="Times New Roman"/>
          <w:bCs/>
          <w:iCs/>
          <w:vertAlign w:val="superscript"/>
        </w:rPr>
        <w:footnoteReference w:id="130"/>
      </w:r>
      <w:r w:rsidRPr="00F64EE3">
        <w:rPr>
          <w:rFonts w:eastAsia="Calibri" w:cs="Times New Roman"/>
          <w:bCs/>
          <w:iCs/>
        </w:rPr>
        <w:t xml:space="preserve"> He states: ‘In effect, the majority implicitly recognized the loss of the patient’s right as the gist of negligence; the physical injury, which turned on the patient’s response, merely went to the quantification of the loss.’</w:t>
      </w:r>
      <w:r w:rsidRPr="00F64EE3">
        <w:rPr>
          <w:rFonts w:eastAsia="Calibri" w:cs="Times New Roman"/>
          <w:bCs/>
          <w:iCs/>
          <w:vertAlign w:val="superscript"/>
        </w:rPr>
        <w:footnoteReference w:id="131"/>
      </w:r>
      <w:r w:rsidRPr="00F64EE3">
        <w:rPr>
          <w:rFonts w:eastAsia="Calibri" w:cs="Times New Roman"/>
          <w:bCs/>
          <w:iCs/>
        </w:rPr>
        <w:t xml:space="preserve"> </w:t>
      </w:r>
    </w:p>
    <w:p w14:paraId="02DBB54B"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If this is a correct interpretation of </w:t>
      </w:r>
      <w:r w:rsidRPr="00F64EE3">
        <w:rPr>
          <w:rFonts w:eastAsia="Calibri" w:cs="Times New Roman"/>
          <w:bCs/>
          <w:i/>
          <w:iCs/>
        </w:rPr>
        <w:t>Chester</w:t>
      </w:r>
      <w:r w:rsidRPr="00F64EE3">
        <w:rPr>
          <w:rFonts w:eastAsia="Calibri" w:cs="Times New Roman"/>
          <w:bCs/>
          <w:iCs/>
        </w:rPr>
        <w:t xml:space="preserve"> then the reasoning in the case is problematic. It would mean that not only had their Lordships ignored </w:t>
      </w:r>
      <w:r w:rsidRPr="00F64EE3">
        <w:rPr>
          <w:rFonts w:eastAsia="Calibri" w:cs="Times New Roman"/>
          <w:bCs/>
          <w:i/>
          <w:iCs/>
        </w:rPr>
        <w:t>the</w:t>
      </w:r>
      <w:r w:rsidRPr="00F64EE3">
        <w:rPr>
          <w:rFonts w:eastAsia="Calibri" w:cs="Times New Roman"/>
          <w:bCs/>
          <w:iCs/>
        </w:rPr>
        <w:t xml:space="preserve"> key case that possibly recognises autonomy as a form of damage – </w:t>
      </w:r>
      <w:r w:rsidRPr="00F64EE3">
        <w:rPr>
          <w:rFonts w:eastAsia="Calibri" w:cs="Times New Roman"/>
          <w:bCs/>
          <w:i/>
          <w:iCs/>
        </w:rPr>
        <w:t>Rees v Darlington</w:t>
      </w:r>
      <w:r w:rsidRPr="00F64EE3">
        <w:rPr>
          <w:rFonts w:eastAsia="Calibri" w:cs="Times New Roman"/>
          <w:bCs/>
          <w:iCs/>
        </w:rPr>
        <w:t xml:space="preserve"> does not feature in any of the judgments – but that they had arrived at a result that is arguably inconsistent with it. For while Ms Rees’s damages for the interference with her autonomy were limited to a conventional sum of £15,000, Miss Chester was entitled to full recovery for the consequences of the interference with hers (the costs of the cauda equina syndrome). If, after all, the House of Lords has previously valued lost autonomy as being worth £15,000 and this is, as some writers maintain, the damage that Miss Chester has suffered then the compensation she was given far exceeds this amount. Although details are absent, one could speculate that Lord Hoffmann’s modest solatium might have been more consistent with the decision in </w:t>
      </w:r>
      <w:r w:rsidRPr="00F64EE3">
        <w:rPr>
          <w:rFonts w:eastAsia="Calibri" w:cs="Times New Roman"/>
          <w:bCs/>
          <w:i/>
          <w:iCs/>
        </w:rPr>
        <w:t>Rees</w:t>
      </w:r>
      <w:r w:rsidRPr="00F64EE3">
        <w:rPr>
          <w:rFonts w:eastAsia="Calibri" w:cs="Times New Roman"/>
          <w:bCs/>
          <w:iCs/>
        </w:rPr>
        <w:t xml:space="preserve"> as it would likely be a standard amount of damages for interferences with autonomy across the tort of negligence (not unlike the conventional award).</w:t>
      </w:r>
      <w:r w:rsidRPr="00F64EE3">
        <w:rPr>
          <w:rFonts w:eastAsia="Calibri" w:cs="Times New Roman"/>
          <w:bCs/>
          <w:iCs/>
          <w:vertAlign w:val="superscript"/>
        </w:rPr>
        <w:footnoteReference w:id="132"/>
      </w:r>
      <w:r w:rsidRPr="00F64EE3">
        <w:rPr>
          <w:rFonts w:eastAsia="Calibri" w:cs="Times New Roman"/>
          <w:bCs/>
          <w:iCs/>
        </w:rPr>
        <w:t xml:space="preserve"> As things stand, the House of Lords appear not to be treating like cases alike and this may mean that Miss Chester was overcompensated. </w:t>
      </w:r>
    </w:p>
    <w:p w14:paraId="41C6AF06" w14:textId="77777777" w:rsidR="00F64EE3" w:rsidRPr="00F64EE3" w:rsidRDefault="00F64EE3" w:rsidP="00F64EE3">
      <w:pPr>
        <w:ind w:firstLine="567"/>
        <w:rPr>
          <w:rFonts w:eastAsia="Calibri" w:cs="Times New Roman"/>
          <w:bCs/>
          <w:iCs/>
        </w:rPr>
      </w:pPr>
      <w:r w:rsidRPr="00F64EE3">
        <w:rPr>
          <w:rFonts w:eastAsia="Calibri" w:cs="Times New Roman"/>
          <w:bCs/>
          <w:iCs/>
        </w:rPr>
        <w:t xml:space="preserve">However, if it is accepted that the two results are inconsistent, it may be </w:t>
      </w:r>
      <w:r w:rsidRPr="00F64EE3">
        <w:rPr>
          <w:rFonts w:eastAsia="Calibri" w:cs="Times New Roman"/>
          <w:bCs/>
          <w:i/>
          <w:iCs/>
        </w:rPr>
        <w:t>Rees</w:t>
      </w:r>
      <w:r w:rsidRPr="00F64EE3">
        <w:rPr>
          <w:rFonts w:eastAsia="Calibri" w:cs="Times New Roman"/>
          <w:bCs/>
          <w:iCs/>
        </w:rPr>
        <w:t xml:space="preserve">, not </w:t>
      </w:r>
      <w:r w:rsidRPr="00F64EE3">
        <w:rPr>
          <w:rFonts w:eastAsia="Calibri" w:cs="Times New Roman"/>
          <w:bCs/>
          <w:i/>
          <w:iCs/>
        </w:rPr>
        <w:t>Chester</w:t>
      </w:r>
      <w:r w:rsidRPr="00F64EE3">
        <w:rPr>
          <w:rFonts w:eastAsia="Calibri" w:cs="Times New Roman"/>
          <w:bCs/>
          <w:iCs/>
        </w:rPr>
        <w:t xml:space="preserve">, that was incorrectly decided on this issue. Lord Hope in his dissenting judgment in </w:t>
      </w:r>
      <w:r w:rsidRPr="00F64EE3">
        <w:rPr>
          <w:rFonts w:eastAsia="Calibri" w:cs="Times New Roman"/>
          <w:bCs/>
          <w:i/>
          <w:iCs/>
        </w:rPr>
        <w:t>Rees</w:t>
      </w:r>
      <w:r w:rsidRPr="00F64EE3">
        <w:rPr>
          <w:rFonts w:eastAsia="Calibri" w:cs="Times New Roman"/>
          <w:bCs/>
          <w:iCs/>
        </w:rPr>
        <w:t xml:space="preserve"> stated: ‘The splitting up of a claim of damages into these two parts in order to allow recovery of one part and deny recovery of the other part is a novel concept and it seems to me…to be contrary to principle.’</w:t>
      </w:r>
      <w:r w:rsidRPr="00F64EE3">
        <w:rPr>
          <w:rFonts w:eastAsia="Calibri" w:cs="Times New Roman"/>
          <w:bCs/>
          <w:iCs/>
          <w:vertAlign w:val="superscript"/>
        </w:rPr>
        <w:footnoteReference w:id="133"/>
      </w:r>
      <w:r w:rsidRPr="00F64EE3">
        <w:rPr>
          <w:rFonts w:eastAsia="Calibri" w:cs="Times New Roman"/>
          <w:bCs/>
          <w:iCs/>
        </w:rPr>
        <w:t xml:space="preserve"> By allowing Ms Rees to recover the general damages for her lost autonomy (the £15,000 conventional award) but not the special damages (presumably the costs of raising a healthy child) the House of Lords may have acted contrary to principle in </w:t>
      </w:r>
      <w:r w:rsidRPr="00F64EE3">
        <w:rPr>
          <w:rFonts w:eastAsia="Calibri" w:cs="Times New Roman"/>
          <w:bCs/>
          <w:i/>
          <w:iCs/>
        </w:rPr>
        <w:t>Rees</w:t>
      </w:r>
      <w:r w:rsidRPr="00F64EE3">
        <w:rPr>
          <w:rFonts w:eastAsia="Calibri" w:cs="Times New Roman"/>
          <w:bCs/>
          <w:iCs/>
        </w:rPr>
        <w:t xml:space="preserve"> and in future cases it might be argued that the full costs of infringements with patient autonomy ought to be recoverable as they were in </w:t>
      </w:r>
      <w:r w:rsidRPr="00F64EE3">
        <w:rPr>
          <w:rFonts w:eastAsia="Calibri" w:cs="Times New Roman"/>
          <w:bCs/>
          <w:i/>
          <w:iCs/>
        </w:rPr>
        <w:t>Chester</w:t>
      </w:r>
      <w:r w:rsidRPr="00F64EE3">
        <w:rPr>
          <w:rFonts w:eastAsia="Calibri" w:cs="Times New Roman"/>
          <w:bCs/>
          <w:iCs/>
        </w:rPr>
        <w:t xml:space="preserve">. This is what Chico argues when she states: </w:t>
      </w:r>
    </w:p>
    <w:p w14:paraId="7E355C89" w14:textId="77777777" w:rsidR="00F64EE3" w:rsidRPr="00F64EE3" w:rsidRDefault="00F64EE3" w:rsidP="00007DFB">
      <w:pPr>
        <w:spacing w:line="240" w:lineRule="auto"/>
        <w:ind w:left="562" w:right="562"/>
        <w:rPr>
          <w:rFonts w:eastAsia="Calibri" w:cs="Times New Roman"/>
          <w:bCs/>
          <w:iCs/>
        </w:rPr>
      </w:pPr>
      <w:r w:rsidRPr="00F64EE3">
        <w:rPr>
          <w:rFonts w:eastAsia="Calibri" w:cs="Times New Roman"/>
        </w:rPr>
        <w:t xml:space="preserve">If autonomy is of such significant value as the House of Lords suggested in </w:t>
      </w:r>
      <w:r w:rsidRPr="00F64EE3">
        <w:rPr>
          <w:rFonts w:eastAsia="Calibri" w:cs="Times New Roman"/>
          <w:i/>
          <w:iCs/>
        </w:rPr>
        <w:t>Rees</w:t>
      </w:r>
      <w:r w:rsidRPr="00F64EE3">
        <w:rPr>
          <w:rFonts w:eastAsia="Calibri" w:cs="Times New Roman"/>
        </w:rPr>
        <w:t xml:space="preserve"> and </w:t>
      </w:r>
      <w:r w:rsidRPr="00F64EE3">
        <w:rPr>
          <w:rFonts w:eastAsia="Calibri" w:cs="Times New Roman"/>
          <w:i/>
          <w:iCs/>
        </w:rPr>
        <w:t>Chester</w:t>
      </w:r>
      <w:r w:rsidRPr="00F64EE3">
        <w:rPr>
          <w:rFonts w:eastAsia="Calibri" w:cs="Times New Roman"/>
        </w:rPr>
        <w:t>, then it follows that legal protection for autonomy should be comprehensive and consistent. Comprehensive protection would require legal recognition of the whole value of autonomy.</w:t>
      </w:r>
      <w:r w:rsidRPr="00F64EE3">
        <w:rPr>
          <w:rFonts w:eastAsia="Calibri" w:cs="Times New Roman"/>
          <w:vertAlign w:val="superscript"/>
        </w:rPr>
        <w:footnoteReference w:id="134"/>
      </w:r>
    </w:p>
    <w:p w14:paraId="602BDF11" w14:textId="77777777" w:rsidR="00F64EE3" w:rsidRPr="00F64EE3" w:rsidRDefault="00F64EE3" w:rsidP="00F64EE3">
      <w:pPr>
        <w:rPr>
          <w:rFonts w:eastAsia="Calibri" w:cs="Times New Roman"/>
          <w:bCs/>
          <w:iCs/>
        </w:rPr>
      </w:pPr>
    </w:p>
    <w:p w14:paraId="0E196D37" w14:textId="77777777" w:rsidR="00F64EE3" w:rsidRPr="00F64EE3" w:rsidRDefault="00F64EE3" w:rsidP="00F64EE3">
      <w:pPr>
        <w:rPr>
          <w:rFonts w:eastAsia="Calibri" w:cs="Times New Roman"/>
          <w:bCs/>
          <w:iCs/>
        </w:rPr>
      </w:pPr>
      <w:r w:rsidRPr="00F64EE3">
        <w:rPr>
          <w:rFonts w:eastAsia="Calibri" w:cs="Times New Roman"/>
          <w:bCs/>
          <w:iCs/>
        </w:rPr>
        <w:t xml:space="preserve">Yet </w:t>
      </w:r>
      <w:r w:rsidRPr="00F64EE3">
        <w:rPr>
          <w:rFonts w:eastAsia="Calibri" w:cs="Times New Roman"/>
          <w:bCs/>
          <w:i/>
          <w:iCs/>
        </w:rPr>
        <w:t>pace</w:t>
      </w:r>
      <w:r w:rsidRPr="00F64EE3">
        <w:rPr>
          <w:rFonts w:eastAsia="Calibri" w:cs="Times New Roman"/>
          <w:bCs/>
          <w:iCs/>
        </w:rPr>
        <w:t xml:space="preserve"> Lord Hope’s comment that the separating of general and special damages in </w:t>
      </w:r>
      <w:r w:rsidRPr="00F64EE3">
        <w:rPr>
          <w:rFonts w:eastAsia="Calibri" w:cs="Times New Roman"/>
          <w:bCs/>
          <w:i/>
          <w:iCs/>
        </w:rPr>
        <w:t xml:space="preserve">Rees </w:t>
      </w:r>
      <w:r w:rsidRPr="00F64EE3">
        <w:rPr>
          <w:rFonts w:eastAsia="Calibri" w:cs="Times New Roman"/>
          <w:bCs/>
          <w:iCs/>
        </w:rPr>
        <w:t>is contrary to principle, a strong argument can be made that it is no more unprincipled than allowing</w:t>
      </w:r>
      <w:r w:rsidRPr="00F64EE3">
        <w:rPr>
          <w:rFonts w:eastAsia="Calibri" w:cs="Times New Roman"/>
          <w:bCs/>
          <w:i/>
          <w:iCs/>
        </w:rPr>
        <w:t xml:space="preserve"> </w:t>
      </w:r>
      <w:r w:rsidRPr="00F64EE3">
        <w:rPr>
          <w:rFonts w:eastAsia="Calibri" w:cs="Times New Roman"/>
          <w:bCs/>
          <w:iCs/>
        </w:rPr>
        <w:t xml:space="preserve">recovery for one type of damage that arises from a negligent act but not other heads of loss that arise from the same event. The courts have long done this. In </w:t>
      </w:r>
      <w:r w:rsidRPr="00F64EE3">
        <w:rPr>
          <w:rFonts w:eastAsia="Calibri" w:cs="Times New Roman"/>
          <w:bCs/>
          <w:i/>
          <w:iCs/>
        </w:rPr>
        <w:t>Spartan Steel and Alloys Ltd v Martin &amp; Co Ltd</w:t>
      </w:r>
      <w:r w:rsidRPr="00F64EE3">
        <w:rPr>
          <w:rFonts w:eastAsia="Calibri" w:cs="Times New Roman"/>
          <w:bCs/>
          <w:iCs/>
        </w:rPr>
        <w:t>,</w:t>
      </w:r>
      <w:r w:rsidRPr="00F64EE3">
        <w:rPr>
          <w:rFonts w:eastAsia="Calibri" w:cs="Times New Roman"/>
          <w:bCs/>
          <w:iCs/>
          <w:vertAlign w:val="superscript"/>
        </w:rPr>
        <w:footnoteReference w:id="135"/>
      </w:r>
      <w:r w:rsidRPr="00F64EE3">
        <w:rPr>
          <w:rFonts w:eastAsia="Calibri" w:cs="Times New Roman"/>
          <w:bCs/>
          <w:iCs/>
        </w:rPr>
        <w:t xml:space="preserve"> for example, the electricity was negligently cut off in a factory and a claim was made for damage to property and pure economic loss. It was held that one type of damage was recoverable (the property damage and the consequent losses associated with it) and another was not (the pure economic loss). </w:t>
      </w:r>
    </w:p>
    <w:p w14:paraId="007F88E3" w14:textId="77777777" w:rsidR="00F64EE3" w:rsidRPr="00F64EE3" w:rsidRDefault="00F64EE3" w:rsidP="00F64EE3">
      <w:pPr>
        <w:ind w:firstLine="567"/>
        <w:rPr>
          <w:rFonts w:eastAsia="Calibri" w:cs="Times New Roman"/>
          <w:bCs/>
          <w:iCs/>
        </w:rPr>
      </w:pPr>
      <w:r w:rsidRPr="00F64EE3">
        <w:rPr>
          <w:rFonts w:eastAsia="Calibri" w:cs="Times New Roman"/>
          <w:bCs/>
          <w:iCs/>
        </w:rPr>
        <w:t xml:space="preserve">The losses consequent on Ms Rees’s diminished autonomy (namely, the full costs of raising a child) were held to be irrecoverable for policy reasons. Awarding her a conventional award but not the consequent losses is scarcely different to the court’s approach in </w:t>
      </w:r>
      <w:r w:rsidRPr="00F64EE3">
        <w:rPr>
          <w:rFonts w:eastAsia="Calibri" w:cs="Times New Roman"/>
          <w:bCs/>
          <w:i/>
          <w:iCs/>
        </w:rPr>
        <w:t xml:space="preserve">Spartan Steel </w:t>
      </w:r>
      <w:r w:rsidRPr="00F64EE3">
        <w:rPr>
          <w:rFonts w:eastAsia="Calibri" w:cs="Times New Roman"/>
          <w:bCs/>
          <w:iCs/>
        </w:rPr>
        <w:t>of awarding damages for property damage but none of the pure economic losses flowing from the same negligent act.</w:t>
      </w:r>
      <w:r w:rsidRPr="00F64EE3">
        <w:rPr>
          <w:rFonts w:eastAsia="Calibri" w:cs="Times New Roman"/>
          <w:bCs/>
          <w:iCs/>
          <w:vertAlign w:val="superscript"/>
        </w:rPr>
        <w:footnoteReference w:id="136"/>
      </w:r>
      <w:r w:rsidRPr="00F64EE3">
        <w:rPr>
          <w:rFonts w:eastAsia="Calibri" w:cs="Times New Roman"/>
          <w:bCs/>
          <w:iCs/>
        </w:rPr>
        <w:t xml:space="preserve"> Policy reasons preclude awarding </w:t>
      </w:r>
      <w:r w:rsidRPr="00F64EE3">
        <w:rPr>
          <w:rFonts w:eastAsia="Calibri" w:cs="Times New Roman"/>
          <w:bCs/>
          <w:i/>
          <w:iCs/>
        </w:rPr>
        <w:t>all</w:t>
      </w:r>
      <w:r w:rsidRPr="00F64EE3">
        <w:rPr>
          <w:rFonts w:eastAsia="Calibri" w:cs="Times New Roman"/>
          <w:bCs/>
          <w:iCs/>
        </w:rPr>
        <w:t xml:space="preserve"> the foreseeable damage in some cases. </w:t>
      </w:r>
    </w:p>
    <w:p w14:paraId="37B31EE4" w14:textId="77777777" w:rsidR="00F64EE3" w:rsidRPr="00F64EE3" w:rsidRDefault="00F64EE3" w:rsidP="00F64EE3">
      <w:pPr>
        <w:ind w:firstLine="567"/>
        <w:rPr>
          <w:rFonts w:eastAsia="Calibri" w:cs="Times New Roman"/>
          <w:bCs/>
          <w:iCs/>
        </w:rPr>
      </w:pPr>
      <w:r w:rsidRPr="00F64EE3">
        <w:rPr>
          <w:rFonts w:eastAsia="Calibri" w:cs="Times New Roman"/>
          <w:bCs/>
          <w:iCs/>
        </w:rPr>
        <w:t xml:space="preserve">Conversely, in Miss Chester’s case there are no policy reasons preventing recovery for the consequences of her diminished autonomy (namely, the costs associated with cauda equina syndrome). Whereas the courts can hold that a healthy child is not actionable damage, they can scarcely say the same about paralysis. If anything, on this analysis, Miss Chester was </w:t>
      </w:r>
      <w:r w:rsidRPr="00F64EE3">
        <w:rPr>
          <w:rFonts w:eastAsia="Calibri" w:cs="Times New Roman"/>
          <w:bCs/>
          <w:i/>
          <w:iCs/>
        </w:rPr>
        <w:t>undercompensated</w:t>
      </w:r>
      <w:r w:rsidRPr="00F64EE3">
        <w:rPr>
          <w:rFonts w:eastAsia="Calibri" w:cs="Times New Roman"/>
          <w:bCs/>
          <w:iCs/>
        </w:rPr>
        <w:t xml:space="preserve">. If autonomy is the real damage in </w:t>
      </w:r>
      <w:r w:rsidRPr="00F64EE3">
        <w:rPr>
          <w:rFonts w:eastAsia="Calibri" w:cs="Times New Roman"/>
          <w:bCs/>
          <w:i/>
          <w:iCs/>
        </w:rPr>
        <w:t>Chester</w:t>
      </w:r>
      <w:r w:rsidRPr="00F64EE3">
        <w:rPr>
          <w:rFonts w:eastAsia="Calibri" w:cs="Times New Roman"/>
          <w:bCs/>
          <w:iCs/>
        </w:rPr>
        <w:t xml:space="preserve"> then, following </w:t>
      </w:r>
      <w:r w:rsidRPr="00F64EE3">
        <w:rPr>
          <w:rFonts w:eastAsia="Calibri" w:cs="Times New Roman"/>
          <w:bCs/>
          <w:i/>
          <w:iCs/>
        </w:rPr>
        <w:t>Rees</w:t>
      </w:r>
      <w:r w:rsidRPr="00F64EE3">
        <w:rPr>
          <w:rFonts w:eastAsia="Calibri" w:cs="Times New Roman"/>
          <w:bCs/>
          <w:iCs/>
        </w:rPr>
        <w:t xml:space="preserve">, one could argue she should have received £15,000 for her diminished autonomy in addition to the costs consequent on it. </w:t>
      </w:r>
    </w:p>
    <w:p w14:paraId="6DB4F408" w14:textId="77777777" w:rsidR="00F64EE3" w:rsidRPr="00F64EE3" w:rsidRDefault="00F64EE3" w:rsidP="00F64EE3">
      <w:pPr>
        <w:ind w:firstLine="567"/>
        <w:rPr>
          <w:rFonts w:eastAsia="Calibri" w:cs="Times New Roman"/>
          <w:bCs/>
          <w:iCs/>
        </w:rPr>
      </w:pPr>
      <w:r w:rsidRPr="00F64EE3">
        <w:rPr>
          <w:rFonts w:eastAsia="Calibri" w:cs="Times New Roman"/>
          <w:bCs/>
          <w:iCs/>
        </w:rPr>
        <w:t xml:space="preserve">That said, if interferences with patient autonomy is accepted as a form of actionable damage it is far more likely that the courts would only award a conventional sum to those who can show that their autonomy has been interfered with.  If the claimant is suing for violated autonomy and the consequent personal injury then it might be questioned why they have not brought an action where their personal injury is the gist of the action. There may be restrictions on a personal injury claim: the claimant might be able to show that their autonomy has been interfered with (and that they have suffered personal injury as a result) but cannot show that the defendant has </w:t>
      </w:r>
      <w:r w:rsidRPr="00F64EE3">
        <w:rPr>
          <w:rFonts w:eastAsia="Calibri" w:cs="Times New Roman"/>
          <w:bCs/>
          <w:i/>
          <w:iCs/>
        </w:rPr>
        <w:t>caused</w:t>
      </w:r>
      <w:r w:rsidRPr="00F64EE3">
        <w:rPr>
          <w:rFonts w:eastAsia="Calibri" w:cs="Times New Roman"/>
          <w:bCs/>
          <w:iCs/>
        </w:rPr>
        <w:t xml:space="preserve"> their personal injury. An example of this could be seen if we modified the facts in </w:t>
      </w:r>
      <w:r w:rsidRPr="00F64EE3">
        <w:rPr>
          <w:rFonts w:eastAsia="Calibri" w:cs="Times New Roman"/>
          <w:bCs/>
          <w:i/>
          <w:iCs/>
        </w:rPr>
        <w:t>Chester</w:t>
      </w:r>
      <w:r w:rsidRPr="00F64EE3">
        <w:rPr>
          <w:rFonts w:eastAsia="Calibri" w:cs="Times New Roman"/>
          <w:bCs/>
          <w:iCs/>
        </w:rPr>
        <w:t xml:space="preserve"> so that Miss Chester would definitely have had the operation </w:t>
      </w:r>
      <w:r w:rsidRPr="00F64EE3">
        <w:rPr>
          <w:rFonts w:eastAsia="Calibri" w:cs="Times New Roman"/>
          <w:bCs/>
          <w:i/>
          <w:iCs/>
        </w:rPr>
        <w:t>at exactly the same time</w:t>
      </w:r>
      <w:r w:rsidRPr="00F64EE3">
        <w:rPr>
          <w:rFonts w:eastAsia="Calibri" w:cs="Times New Roman"/>
          <w:bCs/>
          <w:iCs/>
        </w:rPr>
        <w:t xml:space="preserve"> even if Mr Afshar had informed her of the risks of cauda equina syndrome and the risks eventuated. In such circumstances she would be able to show that her autonomy has been interfered with (as she has been denied the ability to make her own choice) but not that he had caused her any injury (as but for his carelessness she would still have had the operation at the same time and suffered from the syndrome). Allowing consequent losses in such circumstances will either undermine the restrictions placed in personal injury actions or, if there are no restrictions because the claimant </w:t>
      </w:r>
      <w:r w:rsidRPr="00F64EE3">
        <w:rPr>
          <w:rFonts w:eastAsia="Calibri" w:cs="Times New Roman"/>
          <w:bCs/>
          <w:i/>
          <w:iCs/>
        </w:rPr>
        <w:t>can</w:t>
      </w:r>
      <w:r w:rsidRPr="00F64EE3">
        <w:rPr>
          <w:rFonts w:eastAsia="Calibri" w:cs="Times New Roman"/>
          <w:bCs/>
          <w:iCs/>
        </w:rPr>
        <w:t xml:space="preserve"> show that the defendant caused their injury, be wholly superfluous because the claimant could bring a personal injury action anyway.</w:t>
      </w:r>
    </w:p>
    <w:p w14:paraId="5202CF17"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However, the above is speculation. It is not clear as to whether or when losses consequent upon a claimant’s lost autonomy are recoverable and the judgments in </w:t>
      </w:r>
      <w:r w:rsidRPr="00F64EE3">
        <w:rPr>
          <w:rFonts w:eastAsia="Calibri" w:cs="Times New Roman"/>
          <w:bCs/>
          <w:i/>
          <w:iCs/>
        </w:rPr>
        <w:t xml:space="preserve">Rees </w:t>
      </w:r>
      <w:r w:rsidRPr="00F64EE3">
        <w:rPr>
          <w:rFonts w:eastAsia="Calibri" w:cs="Times New Roman"/>
          <w:bCs/>
          <w:iCs/>
        </w:rPr>
        <w:t xml:space="preserve">and </w:t>
      </w:r>
      <w:r w:rsidRPr="00F64EE3">
        <w:rPr>
          <w:rFonts w:eastAsia="Calibri" w:cs="Times New Roman"/>
          <w:bCs/>
          <w:i/>
          <w:iCs/>
        </w:rPr>
        <w:t xml:space="preserve">Chester </w:t>
      </w:r>
      <w:r w:rsidRPr="00F64EE3">
        <w:rPr>
          <w:rFonts w:eastAsia="Calibri" w:cs="Times New Roman"/>
          <w:bCs/>
          <w:iCs/>
        </w:rPr>
        <w:t xml:space="preserve">do not give a coherent picture as to how diminished autonomy is to be quantified. Until this is clarified, the consistency of the two decisions is unclear. While the quantification of lost autonomy is not an insurmountable hurdle, such inconsistencies provide further evidence of the uncertainties that arise when the courts do not properly consider the issue of damage in medical negligence cases. A greater discussion by judges as to what an interference with autonomy consists of would enable us to determine whether the two decisions can be reconciled with one another and how autonomy should be quantified. This may be a problem in future cases because the courts continue to perceive autonomy as something that either already is, or might be capable of being, recognised as a form of damage protected by the tort of negligence. For example, Baroness Hale stated in the recent Supreme Court decision of </w:t>
      </w:r>
      <w:r w:rsidRPr="00F64EE3">
        <w:rPr>
          <w:rFonts w:eastAsia="Calibri" w:cs="Times New Roman"/>
          <w:bCs/>
          <w:i/>
          <w:iCs/>
        </w:rPr>
        <w:t>Montgomery v Lanarkshire Health Board,</w:t>
      </w:r>
      <w:r w:rsidRPr="00F64EE3">
        <w:rPr>
          <w:rFonts w:eastAsia="Calibri" w:cs="Times New Roman"/>
          <w:bCs/>
          <w:iCs/>
          <w:vertAlign w:val="superscript"/>
        </w:rPr>
        <w:footnoteReference w:id="137"/>
      </w:r>
      <w:r w:rsidRPr="00F64EE3">
        <w:rPr>
          <w:rFonts w:eastAsia="Calibri" w:cs="Times New Roman"/>
          <w:bCs/>
          <w:iCs/>
        </w:rPr>
        <w:t> ‘It is now well recognised that the interest which the law of negligence protects is a person’s interest in their own physical and psychiatric integrity, an important feature of which is their autonomy, their freedom to decide what shall and shall not be done with their body.’</w:t>
      </w:r>
      <w:r w:rsidRPr="00F64EE3">
        <w:rPr>
          <w:rFonts w:eastAsia="Calibri" w:cs="Times New Roman"/>
          <w:bCs/>
          <w:iCs/>
          <w:vertAlign w:val="superscript"/>
        </w:rPr>
        <w:footnoteReference w:id="138"/>
      </w:r>
      <w:r w:rsidRPr="00F64EE3">
        <w:rPr>
          <w:rFonts w:eastAsia="Calibri" w:cs="Times New Roman"/>
          <w:bCs/>
          <w:iCs/>
        </w:rPr>
        <w:t xml:space="preserve"> The poor reasoning regarding lost autonomy in </w:t>
      </w:r>
      <w:r w:rsidRPr="00F64EE3">
        <w:rPr>
          <w:rFonts w:eastAsia="Calibri" w:cs="Times New Roman"/>
          <w:bCs/>
          <w:i/>
          <w:iCs/>
        </w:rPr>
        <w:t xml:space="preserve">Chester </w:t>
      </w:r>
      <w:r w:rsidRPr="00F64EE3">
        <w:rPr>
          <w:rFonts w:eastAsia="Calibri" w:cs="Times New Roman"/>
          <w:bCs/>
          <w:iCs/>
        </w:rPr>
        <w:t xml:space="preserve">and </w:t>
      </w:r>
      <w:r w:rsidRPr="00F64EE3">
        <w:rPr>
          <w:rFonts w:eastAsia="Calibri" w:cs="Times New Roman"/>
          <w:bCs/>
          <w:i/>
          <w:iCs/>
        </w:rPr>
        <w:t>Rees</w:t>
      </w:r>
      <w:r w:rsidRPr="00F64EE3">
        <w:rPr>
          <w:rFonts w:eastAsia="Calibri" w:cs="Times New Roman"/>
          <w:bCs/>
          <w:iCs/>
        </w:rPr>
        <w:t xml:space="preserve"> may therefore continue to cause doctrinal troubles for the tort of negligence.</w:t>
      </w:r>
    </w:p>
    <w:p w14:paraId="50CF8CAE" w14:textId="77777777" w:rsidR="00F64EE3" w:rsidRPr="00F64EE3" w:rsidRDefault="00F64EE3" w:rsidP="00F64EE3">
      <w:pPr>
        <w:rPr>
          <w:rFonts w:eastAsia="Calibri" w:cs="Times New Roman"/>
          <w:bCs/>
          <w:iCs/>
        </w:rPr>
      </w:pPr>
    </w:p>
    <w:p w14:paraId="4554DB8F" w14:textId="77777777" w:rsidR="00F64EE3" w:rsidRPr="00F64EE3" w:rsidRDefault="00F64EE3" w:rsidP="00F64EE3">
      <w:pPr>
        <w:rPr>
          <w:rFonts w:eastAsia="Calibri" w:cs="Times New Roman"/>
          <w:bCs/>
          <w:i/>
          <w:iCs/>
        </w:rPr>
      </w:pPr>
      <w:r w:rsidRPr="00F64EE3">
        <w:rPr>
          <w:rFonts w:eastAsia="Calibri" w:cs="Times New Roman"/>
          <w:bCs/>
          <w:i/>
          <w:iCs/>
        </w:rPr>
        <w:t xml:space="preserve"> The cauda equina syndrome as damage</w:t>
      </w:r>
    </w:p>
    <w:p w14:paraId="6377C973" w14:textId="77777777" w:rsidR="00F64EE3" w:rsidRPr="00F64EE3" w:rsidRDefault="00F64EE3" w:rsidP="00F64EE3">
      <w:pPr>
        <w:rPr>
          <w:rFonts w:eastAsia="Calibri" w:cs="Times New Roman"/>
          <w:bCs/>
          <w:iCs/>
        </w:rPr>
      </w:pPr>
      <w:r w:rsidRPr="00F64EE3">
        <w:rPr>
          <w:rFonts w:eastAsia="Calibri" w:cs="Times New Roman"/>
          <w:bCs/>
          <w:iCs/>
        </w:rPr>
        <w:t xml:space="preserve">Problems with quantification aside, one upside of the above categorisation of </w:t>
      </w:r>
      <w:r w:rsidRPr="00F64EE3">
        <w:rPr>
          <w:rFonts w:eastAsia="Calibri" w:cs="Times New Roman"/>
          <w:bCs/>
          <w:i/>
          <w:iCs/>
        </w:rPr>
        <w:t xml:space="preserve">Chester </w:t>
      </w:r>
      <w:r w:rsidRPr="00F64EE3">
        <w:rPr>
          <w:rFonts w:eastAsia="Calibri" w:cs="Times New Roman"/>
          <w:bCs/>
          <w:iCs/>
        </w:rPr>
        <w:t xml:space="preserve">is that if lost autonomy </w:t>
      </w:r>
      <w:r w:rsidRPr="00F64EE3">
        <w:rPr>
          <w:rFonts w:eastAsia="Calibri" w:cs="Times New Roman"/>
          <w:bCs/>
          <w:i/>
          <w:iCs/>
        </w:rPr>
        <w:t>is</w:t>
      </w:r>
      <w:r w:rsidRPr="00F64EE3">
        <w:rPr>
          <w:rFonts w:eastAsia="Calibri" w:cs="Times New Roman"/>
          <w:bCs/>
          <w:iCs/>
        </w:rPr>
        <w:t xml:space="preserve"> the damage in </w:t>
      </w:r>
      <w:r w:rsidRPr="00F64EE3">
        <w:rPr>
          <w:rFonts w:eastAsia="Calibri" w:cs="Times New Roman"/>
          <w:bCs/>
          <w:i/>
          <w:iCs/>
        </w:rPr>
        <w:t>Chester</w:t>
      </w:r>
      <w:r w:rsidRPr="00F64EE3">
        <w:rPr>
          <w:rFonts w:eastAsia="Calibri" w:cs="Times New Roman"/>
          <w:bCs/>
          <w:iCs/>
        </w:rPr>
        <w:t xml:space="preserve"> then the issue of causation is not a problem. Once it is accepted that Mr Afshar breached his duty of care and deprived Miss Chester of deciding when to have her operation, he diminished her autonomy. </w:t>
      </w:r>
      <w:r w:rsidRPr="00F64EE3">
        <w:rPr>
          <w:rFonts w:eastAsia="Calibri" w:cs="Times New Roman"/>
          <w:bCs/>
          <w:i/>
          <w:iCs/>
        </w:rPr>
        <w:t>But for</w:t>
      </w:r>
      <w:r w:rsidRPr="00F64EE3">
        <w:rPr>
          <w:rFonts w:eastAsia="Calibri" w:cs="Times New Roman"/>
          <w:bCs/>
          <w:iCs/>
        </w:rPr>
        <w:t xml:space="preserve"> his actions her right to choose would not have been limited. Whatever the merits of this view though, the fact that Miss Chester’s damages represented the full costs of her paralysis and not merely a conventional award might indicate that the gist of the action was her personal injury and that the issue in the case is ‘essentially one of causation.’</w:t>
      </w:r>
      <w:r w:rsidRPr="00F64EE3">
        <w:rPr>
          <w:rFonts w:eastAsia="Calibri" w:cs="Times New Roman"/>
          <w:bCs/>
          <w:iCs/>
          <w:vertAlign w:val="superscript"/>
        </w:rPr>
        <w:footnoteReference w:id="139"/>
      </w:r>
      <w:r w:rsidRPr="00F64EE3">
        <w:rPr>
          <w:rFonts w:eastAsia="Calibri" w:cs="Times New Roman"/>
          <w:bCs/>
          <w:iCs/>
        </w:rPr>
        <w:t xml:space="preserve"> </w:t>
      </w:r>
    </w:p>
    <w:p w14:paraId="05782C14" w14:textId="77777777" w:rsidR="00F64EE3" w:rsidRPr="00F64EE3" w:rsidRDefault="00F64EE3" w:rsidP="00F64EE3">
      <w:pPr>
        <w:ind w:firstLine="720"/>
        <w:rPr>
          <w:rFonts w:eastAsia="Calibri" w:cs="Times New Roman"/>
          <w:bCs/>
          <w:iCs/>
        </w:rPr>
      </w:pPr>
      <w:r w:rsidRPr="00F64EE3">
        <w:rPr>
          <w:rFonts w:eastAsia="Calibri" w:cs="Times New Roman"/>
          <w:bCs/>
          <w:iCs/>
        </w:rPr>
        <w:t>Yet even on this alternative interpretation, the case still illuminates the confusion that occurs when judges fail to robustly assess the concept of actionable damage and subsume such concerns under other headings of the negligence inquiry.</w:t>
      </w:r>
    </w:p>
    <w:p w14:paraId="6E3FB2EF" w14:textId="77777777" w:rsidR="00F64EE3" w:rsidRPr="00F64EE3" w:rsidRDefault="00F64EE3" w:rsidP="00F64EE3">
      <w:pPr>
        <w:ind w:firstLine="720"/>
        <w:rPr>
          <w:rFonts w:eastAsia="Calibri" w:cs="Times New Roman"/>
          <w:bCs/>
          <w:iCs/>
        </w:rPr>
      </w:pPr>
      <w:r w:rsidRPr="00F64EE3">
        <w:rPr>
          <w:rFonts w:eastAsia="Calibri" w:cs="Times New Roman"/>
          <w:bCs/>
          <w:iCs/>
        </w:rPr>
        <w:t>The standard approach to factual causation is the ‘but for’ test.</w:t>
      </w:r>
      <w:r w:rsidRPr="00F64EE3">
        <w:rPr>
          <w:rFonts w:eastAsia="Calibri" w:cs="Times New Roman"/>
          <w:bCs/>
          <w:iCs/>
          <w:vertAlign w:val="superscript"/>
        </w:rPr>
        <w:footnoteReference w:id="140"/>
      </w:r>
      <w:r w:rsidRPr="00F64EE3">
        <w:rPr>
          <w:rFonts w:eastAsia="Calibri" w:cs="Times New Roman"/>
          <w:bCs/>
          <w:iCs/>
        </w:rPr>
        <w:t xml:space="preserve">  Under this, the claimant is ‘required to discharge the burden of showing that the breach of which he complains caused the damage for which he claims and to do so by showing that but for the breach he would not have suffered the damage.’</w:t>
      </w:r>
      <w:r w:rsidRPr="00F64EE3">
        <w:rPr>
          <w:rFonts w:eastAsia="Calibri" w:cs="Times New Roman"/>
          <w:bCs/>
          <w:iCs/>
          <w:vertAlign w:val="superscript"/>
        </w:rPr>
        <w:footnoteReference w:id="141"/>
      </w:r>
      <w:r w:rsidRPr="00F64EE3">
        <w:rPr>
          <w:rFonts w:eastAsia="Calibri" w:cs="Times New Roman"/>
          <w:bCs/>
          <w:iCs/>
        </w:rPr>
        <w:t xml:space="preserve"> If this cannot be established then, unless the claimant can demonstrate that their case fits into one of a limited number of exceptional rules,</w:t>
      </w:r>
      <w:r w:rsidRPr="00F64EE3">
        <w:rPr>
          <w:rFonts w:eastAsia="Calibri" w:cs="Times New Roman"/>
          <w:bCs/>
          <w:iCs/>
          <w:vertAlign w:val="superscript"/>
        </w:rPr>
        <w:footnoteReference w:id="142"/>
      </w:r>
      <w:r w:rsidRPr="00F64EE3">
        <w:rPr>
          <w:rFonts w:eastAsia="Calibri" w:cs="Times New Roman"/>
          <w:bCs/>
          <w:iCs/>
        </w:rPr>
        <w:t xml:space="preserve"> causation has not been proven. If factual causation can be demonstrated, one will then look to whether the damage was too remote</w:t>
      </w:r>
      <w:r w:rsidRPr="00F64EE3">
        <w:rPr>
          <w:rFonts w:eastAsia="Calibri" w:cs="Times New Roman"/>
          <w:bCs/>
          <w:iCs/>
          <w:vertAlign w:val="superscript"/>
        </w:rPr>
        <w:footnoteReference w:id="143"/>
      </w:r>
      <w:r w:rsidRPr="00F64EE3">
        <w:rPr>
          <w:rFonts w:eastAsia="Calibri" w:cs="Times New Roman"/>
          <w:bCs/>
          <w:iCs/>
        </w:rPr>
        <w:t xml:space="preserve"> or whether any intervening acts broke the chain of causation</w:t>
      </w:r>
      <w:r w:rsidRPr="00F64EE3">
        <w:rPr>
          <w:rFonts w:eastAsia="Calibri" w:cs="Times New Roman"/>
          <w:bCs/>
          <w:iCs/>
          <w:vertAlign w:val="superscript"/>
        </w:rPr>
        <w:footnoteReference w:id="144"/>
      </w:r>
      <w:r w:rsidRPr="00F64EE3">
        <w:rPr>
          <w:rFonts w:eastAsia="Calibri" w:cs="Times New Roman"/>
          <w:bCs/>
          <w:iCs/>
        </w:rPr>
        <w:t xml:space="preserve"> and, if this is not the case, the claimant will have fulfilled the causation requirement of a negligence claim.</w:t>
      </w:r>
    </w:p>
    <w:p w14:paraId="1CC07975" w14:textId="77777777" w:rsidR="00F64EE3" w:rsidRPr="00F64EE3" w:rsidRDefault="00F64EE3" w:rsidP="00F64EE3">
      <w:pPr>
        <w:ind w:firstLine="720"/>
        <w:rPr>
          <w:rFonts w:eastAsia="Calibri" w:cs="Times New Roman"/>
          <w:bCs/>
          <w:iCs/>
        </w:rPr>
      </w:pPr>
      <w:r w:rsidRPr="00F64EE3">
        <w:rPr>
          <w:rFonts w:eastAsia="Calibri" w:cs="Times New Roman"/>
          <w:bCs/>
          <w:iCs/>
        </w:rPr>
        <w:t>If we ask ‘But for Mr Afshar’s negligence would Miss Chester have suffered from paralysis?’ the answer is no. She would not have undergone the operation on the day that she did. She might, however, have undergone it at a different time. What would happen if she did undertake it at a different time? She would have had a 1-2 per cent chance of suffering from the injury. In other words, she would have had at least a 98 per cent chance of having a successful operation and not suffering any harm.</w:t>
      </w:r>
      <w:r w:rsidRPr="00F64EE3">
        <w:rPr>
          <w:rFonts w:eastAsia="Calibri" w:cs="Times New Roman"/>
          <w:bCs/>
          <w:iCs/>
          <w:vertAlign w:val="superscript"/>
        </w:rPr>
        <w:footnoteReference w:id="145"/>
      </w:r>
      <w:r w:rsidRPr="00F64EE3">
        <w:rPr>
          <w:rFonts w:eastAsia="Calibri" w:cs="Times New Roman"/>
          <w:bCs/>
          <w:iCs/>
        </w:rPr>
        <w:t xml:space="preserve">  Stapleton correctly states that if it could be established that Miss Chester fell within the unfortunate 1-2 per cent then she would be unable to show that Mr Afshar’s negligence caused the syndrome.</w:t>
      </w:r>
      <w:r w:rsidRPr="00F64EE3">
        <w:rPr>
          <w:rFonts w:eastAsia="Calibri" w:cs="Times New Roman"/>
          <w:bCs/>
          <w:iCs/>
          <w:vertAlign w:val="superscript"/>
        </w:rPr>
        <w:footnoteReference w:id="146"/>
      </w:r>
      <w:r w:rsidRPr="00F64EE3">
        <w:rPr>
          <w:rFonts w:eastAsia="Calibri" w:cs="Times New Roman"/>
          <w:bCs/>
          <w:iCs/>
        </w:rPr>
        <w:t xml:space="preserve"> It would mean she was always doomed to suffer from paralysis if she had the operation. However, the evidence does not specify this. All that can be gleaned from the statistics in </w:t>
      </w:r>
      <w:r w:rsidRPr="00F64EE3">
        <w:rPr>
          <w:rFonts w:eastAsia="Calibri" w:cs="Times New Roman"/>
          <w:bCs/>
          <w:i/>
          <w:iCs/>
        </w:rPr>
        <w:t>Chester</w:t>
      </w:r>
      <w:r w:rsidRPr="00F64EE3">
        <w:rPr>
          <w:rFonts w:eastAsia="Calibri" w:cs="Times New Roman"/>
          <w:bCs/>
          <w:iCs/>
        </w:rPr>
        <w:t xml:space="preserve"> is that the syndrome was likely to strike at random in 1-2 per cent of such procedures. </w:t>
      </w:r>
    </w:p>
    <w:p w14:paraId="1F003015" w14:textId="77777777" w:rsidR="00F64EE3" w:rsidRPr="00F64EE3" w:rsidRDefault="00F64EE3" w:rsidP="00F64EE3">
      <w:pPr>
        <w:ind w:firstLine="720"/>
        <w:rPr>
          <w:rFonts w:eastAsia="Calibri" w:cs="Times New Roman"/>
          <w:bCs/>
          <w:iCs/>
        </w:rPr>
      </w:pPr>
      <w:r w:rsidRPr="00F64EE3">
        <w:rPr>
          <w:rFonts w:eastAsia="Calibri" w:cs="Times New Roman"/>
          <w:bCs/>
          <w:iCs/>
        </w:rPr>
        <w:t>One can dispute the utility of statistical evidence in such circumstances.</w:t>
      </w:r>
      <w:r w:rsidRPr="00F64EE3">
        <w:rPr>
          <w:rFonts w:eastAsia="Calibri" w:cs="Times New Roman"/>
          <w:bCs/>
          <w:iCs/>
          <w:vertAlign w:val="superscript"/>
        </w:rPr>
        <w:footnoteReference w:id="147"/>
      </w:r>
      <w:r w:rsidRPr="00F64EE3">
        <w:rPr>
          <w:rFonts w:eastAsia="Calibri" w:cs="Times New Roman"/>
          <w:bCs/>
          <w:iCs/>
        </w:rPr>
        <w:t xml:space="preserve"> But what one cannot do, as O’Sullivan convincingly argues, is ‘use the powerful human instinct to misinterpret statistics with the benefit of hindsight to assist in resolving the </w:t>
      </w:r>
      <w:r w:rsidRPr="00F64EE3">
        <w:rPr>
          <w:rFonts w:eastAsia="Calibri" w:cs="Times New Roman"/>
          <w:bCs/>
          <w:i/>
          <w:iCs/>
        </w:rPr>
        <w:t xml:space="preserve">Chester </w:t>
      </w:r>
      <w:r w:rsidRPr="00F64EE3">
        <w:rPr>
          <w:rFonts w:eastAsia="Calibri" w:cs="Times New Roman"/>
          <w:bCs/>
          <w:iCs/>
        </w:rPr>
        <w:t>problem.’</w:t>
      </w:r>
      <w:r w:rsidRPr="00F64EE3">
        <w:rPr>
          <w:rFonts w:eastAsia="Calibri" w:cs="Times New Roman"/>
          <w:bCs/>
          <w:iCs/>
          <w:vertAlign w:val="superscript"/>
        </w:rPr>
        <w:footnoteReference w:id="148"/>
      </w:r>
      <w:r w:rsidRPr="00F64EE3">
        <w:rPr>
          <w:rFonts w:eastAsia="Calibri" w:cs="Times New Roman"/>
          <w:bCs/>
          <w:iCs/>
        </w:rPr>
        <w:t xml:space="preserve"> Just because Miss Chester suffered the damage does not mean that she would have suffered it at another time. There was a 98-99 per cent chance that she would not.</w:t>
      </w:r>
    </w:p>
    <w:p w14:paraId="65416068" w14:textId="77777777" w:rsidR="00F64EE3" w:rsidRPr="00F64EE3" w:rsidRDefault="00F64EE3" w:rsidP="00F64EE3">
      <w:pPr>
        <w:ind w:firstLine="720"/>
        <w:rPr>
          <w:rFonts w:eastAsia="Calibri" w:cs="Times New Roman"/>
          <w:bCs/>
          <w:iCs/>
        </w:rPr>
      </w:pPr>
      <w:r w:rsidRPr="00F64EE3">
        <w:rPr>
          <w:rFonts w:eastAsia="Calibri" w:cs="Times New Roman"/>
          <w:bCs/>
          <w:iCs/>
        </w:rPr>
        <w:t>Given this 98-99 per cent chance it is more likely than not that she would have avoided the damage.</w:t>
      </w:r>
      <w:r w:rsidRPr="00F64EE3">
        <w:rPr>
          <w:rFonts w:eastAsia="Calibri" w:cs="Times New Roman"/>
          <w:bCs/>
          <w:iCs/>
          <w:vertAlign w:val="superscript"/>
        </w:rPr>
        <w:footnoteReference w:id="149"/>
      </w:r>
      <w:r w:rsidRPr="00F64EE3">
        <w:rPr>
          <w:rFonts w:eastAsia="Calibri" w:cs="Times New Roman"/>
          <w:bCs/>
          <w:iCs/>
        </w:rPr>
        <w:t xml:space="preserve"> Legal causation is even less of an issue: the damage was foreseeable because it was the very harm that Mr Afshar had a duty to warn Miss Chester about and no acts had broken the chain of causation. Conventional principles therefore indicate Miss Chester could establish that Mr Afshar’s breach of his duty of care had caused her cauda equina syndrome.</w:t>
      </w:r>
    </w:p>
    <w:p w14:paraId="181C5A43" w14:textId="77777777" w:rsidR="00F64EE3" w:rsidRPr="00F64EE3" w:rsidRDefault="00F64EE3" w:rsidP="00F64EE3">
      <w:pPr>
        <w:ind w:firstLine="720"/>
        <w:rPr>
          <w:rFonts w:eastAsia="Calibri" w:cs="Times New Roman"/>
          <w:bCs/>
          <w:iCs/>
        </w:rPr>
      </w:pPr>
      <w:r w:rsidRPr="00F64EE3">
        <w:rPr>
          <w:rFonts w:eastAsia="Calibri" w:cs="Times New Roman"/>
          <w:bCs/>
          <w:iCs/>
        </w:rPr>
        <w:t>Indeed, Lord Hope came close to acknowledging that Miss Chester could succeed under traditional causation jurisprudence, describing the but for test as being ‘easily satisfied.’</w:t>
      </w:r>
      <w:r w:rsidRPr="00F64EE3">
        <w:rPr>
          <w:rFonts w:eastAsia="Calibri" w:cs="Times New Roman"/>
          <w:bCs/>
          <w:iCs/>
          <w:vertAlign w:val="superscript"/>
        </w:rPr>
        <w:t xml:space="preserve"> </w:t>
      </w:r>
      <w:r w:rsidRPr="00F64EE3">
        <w:rPr>
          <w:rFonts w:eastAsia="Calibri" w:cs="Times New Roman"/>
          <w:bCs/>
          <w:iCs/>
        </w:rPr>
        <w:t xml:space="preserve">However, like the rest of the majority in </w:t>
      </w:r>
      <w:r w:rsidRPr="00F64EE3">
        <w:rPr>
          <w:rFonts w:eastAsia="Calibri" w:cs="Times New Roman"/>
          <w:bCs/>
          <w:i/>
          <w:iCs/>
        </w:rPr>
        <w:t>Chester</w:t>
      </w:r>
      <w:r w:rsidRPr="00F64EE3">
        <w:rPr>
          <w:rFonts w:eastAsia="Calibri" w:cs="Times New Roman"/>
          <w:bCs/>
          <w:iCs/>
        </w:rPr>
        <w:t xml:space="preserve"> he believed that Miss Chester could not establish her case according to ordinary principles and that a special exception was required because ‘[t]he risk was not increased, nor were the chances of avoiding it lessened, by what Mr Afshar failed to say about it.’</w:t>
      </w:r>
      <w:r w:rsidRPr="00F64EE3">
        <w:rPr>
          <w:rFonts w:eastAsia="Calibri" w:cs="Times New Roman"/>
          <w:bCs/>
          <w:iCs/>
          <w:vertAlign w:val="superscript"/>
        </w:rPr>
        <w:footnoteReference w:id="150"/>
      </w:r>
      <w:r w:rsidRPr="00F64EE3">
        <w:rPr>
          <w:rFonts w:eastAsia="Calibri" w:cs="Times New Roman"/>
          <w:bCs/>
          <w:iCs/>
        </w:rPr>
        <w:t xml:space="preserve"> This was the basis on which the minority in </w:t>
      </w:r>
      <w:r w:rsidRPr="00F64EE3">
        <w:rPr>
          <w:rFonts w:eastAsia="Calibri" w:cs="Times New Roman"/>
          <w:bCs/>
          <w:i/>
          <w:iCs/>
        </w:rPr>
        <w:t>Chester</w:t>
      </w:r>
      <w:r w:rsidRPr="00F64EE3">
        <w:rPr>
          <w:rFonts w:eastAsia="Calibri" w:cs="Times New Roman"/>
          <w:bCs/>
          <w:iCs/>
        </w:rPr>
        <w:t xml:space="preserve"> rejected her claim and this view has also gained academic support.</w:t>
      </w:r>
      <w:r w:rsidRPr="00F64EE3">
        <w:rPr>
          <w:rFonts w:eastAsia="Calibri" w:cs="Times New Roman"/>
          <w:bCs/>
          <w:iCs/>
          <w:vertAlign w:val="superscript"/>
        </w:rPr>
        <w:footnoteReference w:id="151"/>
      </w:r>
      <w:r w:rsidRPr="00F64EE3">
        <w:rPr>
          <w:rFonts w:eastAsia="Calibri" w:cs="Times New Roman"/>
          <w:bCs/>
          <w:iCs/>
        </w:rPr>
        <w:t xml:space="preserve"> The majority and minority merely differed as to whether causation was required in such circumstances or whether Miss Chester should not recover at all. </w:t>
      </w:r>
    </w:p>
    <w:p w14:paraId="12BF8613"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The question that needed to be addressed in </w:t>
      </w:r>
      <w:r w:rsidRPr="00F64EE3">
        <w:rPr>
          <w:rFonts w:eastAsia="Calibri" w:cs="Times New Roman"/>
          <w:bCs/>
          <w:i/>
          <w:iCs/>
        </w:rPr>
        <w:t xml:space="preserve">Chester </w:t>
      </w:r>
      <w:r w:rsidRPr="00F64EE3">
        <w:rPr>
          <w:rFonts w:eastAsia="Calibri" w:cs="Times New Roman"/>
          <w:bCs/>
          <w:iCs/>
        </w:rPr>
        <w:t xml:space="preserve">is whether it is a requirement of the causal inquiry in negligence for the defendant to have increased the risks that damage would occur. One the one hand, while cases such as </w:t>
      </w:r>
      <w:r w:rsidRPr="00F64EE3">
        <w:rPr>
          <w:rFonts w:eastAsia="Calibri" w:cs="Times New Roman"/>
          <w:bCs/>
          <w:i/>
          <w:iCs/>
        </w:rPr>
        <w:t>McGhee v National Coal Board</w:t>
      </w:r>
      <w:r w:rsidRPr="00F64EE3">
        <w:rPr>
          <w:rFonts w:eastAsia="Calibri" w:cs="Times New Roman"/>
          <w:bCs/>
          <w:iCs/>
          <w:vertAlign w:val="superscript"/>
        </w:rPr>
        <w:footnoteReference w:id="152"/>
      </w:r>
      <w:r w:rsidRPr="00F64EE3">
        <w:rPr>
          <w:rFonts w:eastAsia="Calibri" w:cs="Times New Roman"/>
          <w:bCs/>
          <w:i/>
          <w:iCs/>
        </w:rPr>
        <w:t xml:space="preserve"> </w:t>
      </w:r>
      <w:r w:rsidRPr="00F64EE3">
        <w:rPr>
          <w:rFonts w:eastAsia="Calibri" w:cs="Times New Roman"/>
          <w:bCs/>
          <w:iCs/>
        </w:rPr>
        <w:t xml:space="preserve">and </w:t>
      </w:r>
      <w:r w:rsidRPr="00F64EE3">
        <w:rPr>
          <w:rFonts w:eastAsia="Calibri" w:cs="Times New Roman"/>
          <w:bCs/>
          <w:i/>
          <w:iCs/>
        </w:rPr>
        <w:t>Fairchild v Glenhaven Funeral Services Ltd</w:t>
      </w:r>
      <w:r w:rsidRPr="00F64EE3">
        <w:rPr>
          <w:rFonts w:eastAsia="Calibri" w:cs="Times New Roman"/>
          <w:bCs/>
          <w:iCs/>
          <w:vertAlign w:val="superscript"/>
        </w:rPr>
        <w:footnoteReference w:id="153"/>
      </w:r>
      <w:r w:rsidRPr="00F64EE3">
        <w:rPr>
          <w:rFonts w:eastAsia="Calibri" w:cs="Times New Roman"/>
          <w:bCs/>
          <w:i/>
          <w:iCs/>
        </w:rPr>
        <w:t xml:space="preserve"> </w:t>
      </w:r>
      <w:r w:rsidRPr="00F64EE3">
        <w:rPr>
          <w:rFonts w:eastAsia="Calibri" w:cs="Times New Roman"/>
          <w:bCs/>
          <w:iCs/>
        </w:rPr>
        <w:t xml:space="preserve">have created exceptions to the but for test by deeming an increase in risks </w:t>
      </w:r>
      <w:r w:rsidRPr="00F64EE3">
        <w:rPr>
          <w:rFonts w:eastAsia="Calibri" w:cs="Times New Roman"/>
          <w:bCs/>
          <w:i/>
          <w:iCs/>
        </w:rPr>
        <w:t>sufficient</w:t>
      </w:r>
      <w:r w:rsidRPr="00F64EE3">
        <w:rPr>
          <w:rFonts w:eastAsia="Calibri" w:cs="Times New Roman"/>
          <w:bCs/>
          <w:iCs/>
        </w:rPr>
        <w:t xml:space="preserve"> for causation to be established in limited circumstances, it is unclear whether an increase in risks is </w:t>
      </w:r>
      <w:r w:rsidRPr="00F64EE3">
        <w:rPr>
          <w:rFonts w:eastAsia="Calibri" w:cs="Times New Roman"/>
          <w:bCs/>
          <w:i/>
          <w:iCs/>
        </w:rPr>
        <w:t>necessary</w:t>
      </w:r>
      <w:r w:rsidRPr="00F64EE3">
        <w:rPr>
          <w:rFonts w:eastAsia="Calibri" w:cs="Times New Roman"/>
          <w:bCs/>
          <w:iCs/>
        </w:rPr>
        <w:t xml:space="preserve"> to establish causation. It could be said that once the ‘but for’ test is met and the questions of remoteness and intervening acts have been resolved then the defendant has caused the claimant’s damage. If this is true then Mr Afshar would have caused Miss Chester’s cauda equina syndrome under conventional principles.</w:t>
      </w:r>
    </w:p>
    <w:p w14:paraId="58873030" w14:textId="77777777" w:rsidR="00F64EE3" w:rsidRPr="00F64EE3" w:rsidRDefault="00F64EE3" w:rsidP="00F64EE3">
      <w:pPr>
        <w:ind w:firstLine="720"/>
        <w:rPr>
          <w:rFonts w:eastAsia="Calibri" w:cs="Times New Roman"/>
          <w:bCs/>
          <w:iCs/>
        </w:rPr>
      </w:pPr>
      <w:r w:rsidRPr="00F64EE3">
        <w:rPr>
          <w:rFonts w:eastAsia="Calibri" w:cs="Times New Roman"/>
          <w:bCs/>
          <w:iCs/>
        </w:rPr>
        <w:t>However, this method would result in defendants being liable for damage that is merely coincidental.</w:t>
      </w:r>
      <w:r w:rsidRPr="00F64EE3">
        <w:rPr>
          <w:rFonts w:eastAsia="Calibri" w:cs="Times New Roman"/>
          <w:bCs/>
          <w:iCs/>
          <w:vertAlign w:val="superscript"/>
        </w:rPr>
        <w:footnoteReference w:id="154"/>
      </w:r>
      <w:r w:rsidRPr="00F64EE3">
        <w:rPr>
          <w:rFonts w:eastAsia="Calibri" w:cs="Times New Roman"/>
          <w:bCs/>
          <w:iCs/>
        </w:rPr>
        <w:t xml:space="preserve"> As Green states: ‘whilst Mr Afshar was negligent, and Miss Chester damaged, the two were not connected in the way this axiom anticipates. The fact that both the negligence and the damage occurred within the same factual matrix was no more than coincidental.’</w:t>
      </w:r>
      <w:r w:rsidRPr="00F64EE3">
        <w:rPr>
          <w:rFonts w:eastAsia="Calibri" w:cs="Times New Roman"/>
          <w:bCs/>
          <w:iCs/>
          <w:vertAlign w:val="superscript"/>
        </w:rPr>
        <w:footnoteReference w:id="155"/>
      </w:r>
      <w:r w:rsidRPr="00F64EE3">
        <w:rPr>
          <w:rFonts w:eastAsia="Calibri" w:cs="Times New Roman"/>
          <w:bCs/>
          <w:iCs/>
        </w:rPr>
        <w:t xml:space="preserve"> The difficult question that the House of Lords needed to address was whether conventional causation principles require a defendant to increase the risk of harm to the claimant in order to be held liable. If it does, then the decision is contrary to principle.</w:t>
      </w:r>
    </w:p>
    <w:p w14:paraId="55507E7F" w14:textId="77777777" w:rsidR="00F64EE3" w:rsidRPr="00F64EE3" w:rsidRDefault="00F64EE3" w:rsidP="00F64EE3">
      <w:pPr>
        <w:ind w:firstLine="720"/>
        <w:rPr>
          <w:rFonts w:eastAsia="Calibri" w:cs="Times New Roman"/>
          <w:bCs/>
          <w:iCs/>
        </w:rPr>
      </w:pPr>
      <w:r w:rsidRPr="00F64EE3">
        <w:rPr>
          <w:rFonts w:eastAsia="Calibri" w:cs="Times New Roman"/>
          <w:bCs/>
          <w:iCs/>
        </w:rPr>
        <w:t>On any reading, the case illustrates the problems that occur when judges do not have a clear idea of what the damage being claimed is. Understandable confusion has arisen as to what the gist of the case actually was – the interference with autonomy or the cauda equina syndrome. This allows judges to take advantage of the ambiguities as to what damage has occurred in order to avoid a robust assessment of contentious issues in negligence.</w:t>
      </w:r>
    </w:p>
    <w:p w14:paraId="0C11BEE8"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After all, if the damage </w:t>
      </w:r>
      <w:r w:rsidRPr="00F64EE3">
        <w:rPr>
          <w:rFonts w:eastAsia="Calibri" w:cs="Times New Roman"/>
          <w:bCs/>
          <w:i/>
          <w:iCs/>
        </w:rPr>
        <w:t>was</w:t>
      </w:r>
      <w:r w:rsidRPr="00F64EE3">
        <w:rPr>
          <w:rFonts w:eastAsia="Calibri" w:cs="Times New Roman"/>
          <w:bCs/>
          <w:iCs/>
        </w:rPr>
        <w:t xml:space="preserve"> Miss Chester’s diminished autonomy then their Lordships would have had to explain when this new head of damage would be recoverable outside of the wrongful conception cases and how it should be quantified. Such questions do not arise if the damage is the cauda equina syndrome and so their Lordships were able to sidestep such discussions.</w:t>
      </w:r>
    </w:p>
    <w:p w14:paraId="1FD58BEC"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Likewise, if the damage is the cauda equina syndrome and the usual tests of causation are </w:t>
      </w:r>
      <w:r w:rsidRPr="00F64EE3">
        <w:rPr>
          <w:rFonts w:eastAsia="Calibri" w:cs="Times New Roman"/>
          <w:bCs/>
          <w:i/>
          <w:iCs/>
        </w:rPr>
        <w:t>not</w:t>
      </w:r>
      <w:r w:rsidRPr="00F64EE3">
        <w:rPr>
          <w:rFonts w:eastAsia="Calibri" w:cs="Times New Roman"/>
          <w:bCs/>
          <w:iCs/>
        </w:rPr>
        <w:t xml:space="preserve"> fulfilled then the majority would have had to justify why protecting autonomy justifies a departure in these circumstances but not in others. Autonomy may be an important value but it surely does not mean that established rules can be trampled over (otherwise Ms Rees would have been able to recover for the full costs of raising a healthy child as her autonomy had been interfered with). Their Lordships were able to exploit the fact that causation would have not been an issue if the damage was lost autonomy to disregard the causation requirement on these facts or avoid a robust assessment of whether it should be the law that a defendant must increase the risk of harm under normal rules. This equivocation has its downsides, though, because it possibly blinded their Lordships to the fact that Mr Afshar had caused the cauda equina syndrome under conventional principles. The reasoning of this case, as a result, leaves much to be desired. </w:t>
      </w:r>
    </w:p>
    <w:p w14:paraId="5E6594B4" w14:textId="77777777" w:rsidR="00F64EE3" w:rsidRPr="00F64EE3" w:rsidRDefault="00F64EE3" w:rsidP="00F64EE3">
      <w:pPr>
        <w:rPr>
          <w:rFonts w:eastAsia="Calibri" w:cs="Times New Roman"/>
        </w:rPr>
      </w:pPr>
    </w:p>
    <w:p w14:paraId="7A06B187" w14:textId="2E97161F" w:rsidR="00F64EE3" w:rsidRPr="00F64EE3" w:rsidRDefault="0003112E" w:rsidP="0003112E">
      <w:pPr>
        <w:keepNext/>
        <w:keepLines/>
        <w:jc w:val="center"/>
        <w:outlineLvl w:val="1"/>
        <w:rPr>
          <w:rFonts w:eastAsia="Times New Roman" w:cs="Times New Roman"/>
          <w:b/>
          <w:bCs/>
          <w:sz w:val="32"/>
          <w:szCs w:val="26"/>
        </w:rPr>
      </w:pPr>
      <w:bookmarkStart w:id="7" w:name="_Toc433376553"/>
      <w:r w:rsidRPr="00F64EE3">
        <w:rPr>
          <w:rFonts w:eastAsia="Times New Roman" w:cs="Times New Roman"/>
          <w:b/>
          <w:bCs/>
          <w:sz w:val="32"/>
          <w:szCs w:val="26"/>
        </w:rPr>
        <w:t>RESTORING CLARITY</w:t>
      </w:r>
      <w:bookmarkEnd w:id="7"/>
    </w:p>
    <w:p w14:paraId="6DD576B6" w14:textId="77777777" w:rsidR="00F64EE3" w:rsidRPr="00F64EE3" w:rsidRDefault="00F64EE3" w:rsidP="00F64EE3">
      <w:pPr>
        <w:rPr>
          <w:rFonts w:eastAsia="Calibri" w:cs="Times New Roman"/>
        </w:rPr>
      </w:pPr>
      <w:r w:rsidRPr="00F64EE3">
        <w:rPr>
          <w:rFonts w:eastAsia="Calibri" w:cs="Times New Roman"/>
        </w:rPr>
        <w:t xml:space="preserve">Many of the problems with </w:t>
      </w:r>
      <w:r w:rsidRPr="00F64EE3">
        <w:rPr>
          <w:rFonts w:eastAsia="Calibri" w:cs="Times New Roman"/>
          <w:i/>
        </w:rPr>
        <w:t>McFarlane</w:t>
      </w:r>
      <w:r w:rsidRPr="00F64EE3">
        <w:rPr>
          <w:rFonts w:eastAsia="Calibri" w:cs="Times New Roman"/>
        </w:rPr>
        <w:t xml:space="preserve">, </w:t>
      </w:r>
      <w:r w:rsidRPr="00F64EE3">
        <w:rPr>
          <w:rFonts w:eastAsia="Calibri" w:cs="Times New Roman"/>
          <w:i/>
        </w:rPr>
        <w:t>Rees</w:t>
      </w:r>
      <w:r w:rsidRPr="00F64EE3">
        <w:rPr>
          <w:rFonts w:eastAsia="Calibri" w:cs="Times New Roman"/>
        </w:rPr>
        <w:t xml:space="preserve"> and </w:t>
      </w:r>
      <w:r w:rsidRPr="00F64EE3">
        <w:rPr>
          <w:rFonts w:eastAsia="Calibri" w:cs="Times New Roman"/>
          <w:i/>
        </w:rPr>
        <w:t>Chester</w:t>
      </w:r>
      <w:r w:rsidRPr="00F64EE3">
        <w:rPr>
          <w:rFonts w:eastAsia="Calibri" w:cs="Times New Roman"/>
        </w:rPr>
        <w:t xml:space="preserve"> stem, I have argued, from their Lordships’ failure to fully address issues relating to the nature of the damage suffered in each case and whether such damage is actionable in negligence.</w:t>
      </w:r>
      <w:r w:rsidRPr="00F64EE3">
        <w:rPr>
          <w:rFonts w:eastAsia="Calibri" w:cs="Times New Roman"/>
          <w:i/>
        </w:rPr>
        <w:t xml:space="preserve"> </w:t>
      </w:r>
      <w:r w:rsidRPr="00F64EE3">
        <w:rPr>
          <w:rFonts w:eastAsia="Calibri" w:cs="Times New Roman"/>
        </w:rPr>
        <w:t xml:space="preserve">Yet, it should be acknowledged that not all recent medical negligence cases take a cursory approach to the issue of damage. The decision in </w:t>
      </w:r>
      <w:r w:rsidRPr="00F64EE3">
        <w:rPr>
          <w:rFonts w:eastAsia="Calibri" w:cs="Times New Roman"/>
          <w:i/>
        </w:rPr>
        <w:t>Gregg v Scott</w:t>
      </w:r>
      <w:r w:rsidRPr="00F64EE3">
        <w:rPr>
          <w:rFonts w:eastAsia="Calibri" w:cs="Times New Roman"/>
          <w:vertAlign w:val="superscript"/>
        </w:rPr>
        <w:footnoteReference w:id="156"/>
      </w:r>
      <w:r w:rsidRPr="00F64EE3">
        <w:rPr>
          <w:rFonts w:eastAsia="Calibri" w:cs="Times New Roman"/>
          <w:i/>
        </w:rPr>
        <w:t xml:space="preserve"> </w:t>
      </w:r>
      <w:r w:rsidRPr="00F64EE3">
        <w:rPr>
          <w:rFonts w:eastAsia="Calibri" w:cs="Times New Roman"/>
        </w:rPr>
        <w:t>concerning whether a loss of a chance of a more favourable outcome could be actionable damage thoroughly considered the issue and, as a result, is a much better reasoned case than those analysed above.</w:t>
      </w:r>
    </w:p>
    <w:p w14:paraId="313808E6" w14:textId="77777777" w:rsidR="00F64EE3" w:rsidRPr="00F64EE3" w:rsidRDefault="00F64EE3" w:rsidP="00F64EE3">
      <w:pPr>
        <w:ind w:firstLine="720"/>
        <w:rPr>
          <w:rFonts w:eastAsia="Calibri" w:cs="Times New Roman"/>
        </w:rPr>
      </w:pPr>
      <w:r w:rsidRPr="00F64EE3">
        <w:rPr>
          <w:rFonts w:eastAsia="Calibri" w:cs="Times New Roman"/>
        </w:rPr>
        <w:t xml:space="preserve">In </w:t>
      </w:r>
      <w:r w:rsidRPr="00F64EE3">
        <w:rPr>
          <w:rFonts w:eastAsia="Calibri" w:cs="Times New Roman"/>
          <w:i/>
        </w:rPr>
        <w:t>Gregg v Scott</w:t>
      </w:r>
      <w:r w:rsidRPr="00F64EE3">
        <w:rPr>
          <w:rFonts w:eastAsia="Calibri" w:cs="Times New Roman"/>
        </w:rPr>
        <w:t xml:space="preserve"> the claimant, suffering from non-Hodgkin’s lymphoma, alleged that had he been referred to hospital by the defendant GP at an earlier date there would have been a high likelihood of a cure. However, due to the defendant’s carelessness, by the time treatment commenced his chances of recovery, defined as surviving for a period of ten years, had fallen below 50%.</w:t>
      </w:r>
    </w:p>
    <w:p w14:paraId="4DBA1EDE" w14:textId="77777777" w:rsidR="00F64EE3" w:rsidRPr="00F64EE3" w:rsidRDefault="00F64EE3" w:rsidP="00F64EE3">
      <w:pPr>
        <w:ind w:firstLine="720"/>
        <w:rPr>
          <w:rFonts w:eastAsia="Calibri" w:cs="Times New Roman"/>
        </w:rPr>
      </w:pPr>
      <w:r w:rsidRPr="00F64EE3">
        <w:rPr>
          <w:rFonts w:eastAsia="Calibri" w:cs="Times New Roman"/>
        </w:rPr>
        <w:t xml:space="preserve">At trial the judge held that the defendant’s delay in diagnosis had reduced the claimant’s chances of surviving for ten years from 42 per cent (if he had been treated properly) to 25 per cent. As it was </w:t>
      </w:r>
      <w:r w:rsidRPr="00F64EE3">
        <w:rPr>
          <w:rFonts w:eastAsia="Calibri" w:cs="Times New Roman"/>
          <w:i/>
        </w:rPr>
        <w:t>not</w:t>
      </w:r>
      <w:r w:rsidRPr="00F64EE3">
        <w:rPr>
          <w:rFonts w:eastAsia="Calibri" w:cs="Times New Roman"/>
        </w:rPr>
        <w:t xml:space="preserve"> more likely than not that the claimant would have survived even if he had been treated properly, it could not be shown that the defendant had caused the claimant’s injury. The claimant had failed to show that his outcome would have been materially different if he had been treated promptly.</w:t>
      </w:r>
      <w:r w:rsidRPr="00F64EE3">
        <w:rPr>
          <w:rFonts w:eastAsia="Calibri" w:cs="Times New Roman"/>
        </w:rPr>
        <w:tab/>
      </w:r>
    </w:p>
    <w:p w14:paraId="783F1724" w14:textId="77777777" w:rsidR="00F64EE3" w:rsidRPr="00F64EE3" w:rsidRDefault="00F64EE3" w:rsidP="00F64EE3">
      <w:pPr>
        <w:ind w:firstLine="720"/>
        <w:rPr>
          <w:rFonts w:eastAsia="Calibri" w:cs="Times New Roman"/>
        </w:rPr>
      </w:pPr>
      <w:r w:rsidRPr="00F64EE3">
        <w:rPr>
          <w:rFonts w:eastAsia="Calibri" w:cs="Times New Roman"/>
        </w:rPr>
        <w:t>He sued for damages representing his loss of a chance of survival for ten years but was unsuccessful in the House of Lords (Lord Nicholls and Lord Hope dissenting). The (bare) majority held that unlike in claims for economic loss, a claimant cannot sue for the reduction of a chance of a favourable outcome in personal injury claims.</w:t>
      </w:r>
      <w:r w:rsidRPr="00F64EE3">
        <w:rPr>
          <w:rFonts w:eastAsia="Calibri" w:cs="Times New Roman"/>
          <w:vertAlign w:val="superscript"/>
        </w:rPr>
        <w:footnoteReference w:id="157"/>
      </w:r>
      <w:r w:rsidRPr="00F64EE3">
        <w:rPr>
          <w:rFonts w:eastAsia="Calibri" w:cs="Times New Roman"/>
        </w:rPr>
        <w:t xml:space="preserve"> </w:t>
      </w:r>
    </w:p>
    <w:p w14:paraId="2767C0E2" w14:textId="77777777" w:rsidR="00F64EE3" w:rsidRPr="00F64EE3" w:rsidRDefault="00F64EE3" w:rsidP="00F64EE3">
      <w:pPr>
        <w:ind w:firstLine="720"/>
        <w:rPr>
          <w:rFonts w:eastAsia="Calibri" w:cs="Times New Roman"/>
          <w:bCs/>
          <w:iCs/>
        </w:rPr>
      </w:pPr>
      <w:r w:rsidRPr="00F64EE3">
        <w:rPr>
          <w:rFonts w:eastAsia="Calibri" w:cs="Times New Roman"/>
        </w:rPr>
        <w:t xml:space="preserve">For present purposes, the case is important as all of their Lordships took a thorough assessment of whether and, if so, what damage had been suffered. This is in contrast to the earlier decision of </w:t>
      </w:r>
      <w:r w:rsidRPr="00F64EE3">
        <w:rPr>
          <w:rFonts w:eastAsia="Calibri" w:cs="Times New Roman"/>
          <w:bCs/>
          <w:i/>
          <w:iCs/>
        </w:rPr>
        <w:t>Hotson v East Berkshire AHA</w:t>
      </w:r>
      <w:r w:rsidRPr="00F64EE3">
        <w:rPr>
          <w:rFonts w:eastAsia="Calibri" w:cs="Times New Roman"/>
          <w:bCs/>
          <w:iCs/>
        </w:rPr>
        <w:t>,</w:t>
      </w:r>
      <w:r w:rsidRPr="00F64EE3">
        <w:rPr>
          <w:rFonts w:eastAsia="Calibri" w:cs="Times New Roman"/>
          <w:bCs/>
          <w:iCs/>
          <w:vertAlign w:val="superscript"/>
        </w:rPr>
        <w:footnoteReference w:id="158"/>
      </w:r>
      <w:r w:rsidRPr="00F64EE3">
        <w:rPr>
          <w:rFonts w:eastAsia="Calibri" w:cs="Times New Roman"/>
          <w:bCs/>
          <w:iCs/>
        </w:rPr>
        <w:t xml:space="preserve"> where the issue of whether a loss of a chance of a full recovery is a form of actionable damage was disguised behind issues of causation. In </w:t>
      </w:r>
      <w:r w:rsidRPr="00F64EE3">
        <w:rPr>
          <w:rFonts w:eastAsia="Calibri" w:cs="Times New Roman"/>
          <w:bCs/>
          <w:i/>
          <w:iCs/>
        </w:rPr>
        <w:t xml:space="preserve">Hotson </w:t>
      </w:r>
      <w:r w:rsidRPr="00F64EE3">
        <w:rPr>
          <w:rFonts w:eastAsia="Calibri" w:cs="Times New Roman"/>
          <w:bCs/>
          <w:iCs/>
        </w:rPr>
        <w:t xml:space="preserve">the claimant was a 13 year old who fell from a tree, injuring his hip. He was not treated correctly due to the negligence of the defendant and, as a result, developed avascular necrosis. There was a 75% chance that he would have suffered this injury anyway due to the fall and only a 25% chance that the defendant had caused this injury. The claimant in </w:t>
      </w:r>
      <w:r w:rsidRPr="00F64EE3">
        <w:rPr>
          <w:rFonts w:eastAsia="Calibri" w:cs="Times New Roman"/>
          <w:bCs/>
          <w:i/>
          <w:iCs/>
        </w:rPr>
        <w:t>Hotson</w:t>
      </w:r>
      <w:r w:rsidRPr="00F64EE3">
        <w:rPr>
          <w:rFonts w:eastAsia="Calibri" w:cs="Times New Roman"/>
          <w:bCs/>
          <w:iCs/>
        </w:rPr>
        <w:t xml:space="preserve"> could not therefore show that the injury was </w:t>
      </w:r>
      <w:r w:rsidRPr="00F64EE3">
        <w:rPr>
          <w:rFonts w:eastAsia="Calibri" w:cs="Times New Roman"/>
          <w:bCs/>
          <w:i/>
          <w:iCs/>
        </w:rPr>
        <w:t>caused</w:t>
      </w:r>
      <w:r w:rsidRPr="00F64EE3">
        <w:rPr>
          <w:rFonts w:eastAsia="Calibri" w:cs="Times New Roman"/>
          <w:bCs/>
          <w:iCs/>
        </w:rPr>
        <w:t xml:space="preserve"> by the defendant under conventional causation principles: it was not the case, on the balance of probabilities, that </w:t>
      </w:r>
      <w:r w:rsidRPr="00F64EE3">
        <w:rPr>
          <w:rFonts w:eastAsia="Calibri" w:cs="Times New Roman"/>
          <w:bCs/>
          <w:i/>
          <w:iCs/>
        </w:rPr>
        <w:t>but for</w:t>
      </w:r>
      <w:r w:rsidRPr="00F64EE3">
        <w:rPr>
          <w:rFonts w:eastAsia="Calibri" w:cs="Times New Roman"/>
          <w:bCs/>
          <w:iCs/>
        </w:rPr>
        <w:t xml:space="preserve"> the defendant’s negligence the claimant would not have suffered the injury. Instead, Master Hotson claimed for the </w:t>
      </w:r>
      <w:r w:rsidRPr="00F64EE3">
        <w:rPr>
          <w:rFonts w:eastAsia="Calibri" w:cs="Times New Roman"/>
          <w:bCs/>
          <w:i/>
          <w:iCs/>
        </w:rPr>
        <w:t xml:space="preserve">loss of a chance </w:t>
      </w:r>
      <w:r w:rsidRPr="00F64EE3">
        <w:rPr>
          <w:rFonts w:eastAsia="Calibri" w:cs="Times New Roman"/>
          <w:bCs/>
          <w:iCs/>
        </w:rPr>
        <w:t>of a full recovery.</w:t>
      </w:r>
    </w:p>
    <w:p w14:paraId="525F5ADE"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When the claimant lost in the House of Lords, their Lordships focused on what we already knew: that the defendant had not caused the </w:t>
      </w:r>
      <w:r w:rsidRPr="00F64EE3">
        <w:rPr>
          <w:rFonts w:eastAsia="Calibri" w:cs="Times New Roman"/>
          <w:bCs/>
          <w:i/>
          <w:iCs/>
        </w:rPr>
        <w:t xml:space="preserve">necrosis </w:t>
      </w:r>
      <w:r w:rsidRPr="00F64EE3">
        <w:rPr>
          <w:rFonts w:eastAsia="Calibri" w:cs="Times New Roman"/>
          <w:bCs/>
          <w:iCs/>
        </w:rPr>
        <w:t xml:space="preserve">under traditional causation principles. Although it is evident from the judgment that their Lordships did not consider loss of a chance as an actionable form of damage, the discussion of </w:t>
      </w:r>
      <w:r w:rsidRPr="00F64EE3">
        <w:rPr>
          <w:rFonts w:eastAsia="Calibri" w:cs="Times New Roman"/>
          <w:bCs/>
          <w:i/>
          <w:iCs/>
        </w:rPr>
        <w:t>whether it could be</w:t>
      </w:r>
      <w:r w:rsidRPr="00F64EE3">
        <w:rPr>
          <w:rFonts w:eastAsia="Calibri" w:cs="Times New Roman"/>
          <w:bCs/>
          <w:iCs/>
        </w:rPr>
        <w:t xml:space="preserve"> actionable damage itself was cursory at best.</w:t>
      </w:r>
      <w:r w:rsidRPr="00F64EE3">
        <w:rPr>
          <w:rFonts w:eastAsia="Calibri" w:cs="Times New Roman"/>
          <w:bCs/>
          <w:iCs/>
          <w:vertAlign w:val="superscript"/>
        </w:rPr>
        <w:footnoteReference w:id="159"/>
      </w:r>
      <w:r w:rsidRPr="00F64EE3">
        <w:rPr>
          <w:rFonts w:eastAsia="Calibri" w:cs="Times New Roman"/>
          <w:bCs/>
          <w:iCs/>
        </w:rPr>
        <w:t xml:space="preserve"> As Howarth has stated, the House of Lords ‘finessed the whole question of lost chances by presenting the facts in a radically different way.’</w:t>
      </w:r>
      <w:r w:rsidRPr="00F64EE3">
        <w:rPr>
          <w:rFonts w:eastAsia="Calibri" w:cs="Times New Roman"/>
          <w:bCs/>
          <w:iCs/>
          <w:vertAlign w:val="superscript"/>
        </w:rPr>
        <w:footnoteReference w:id="160"/>
      </w:r>
      <w:r w:rsidRPr="00F64EE3">
        <w:rPr>
          <w:rFonts w:eastAsia="Calibri" w:cs="Times New Roman"/>
          <w:bCs/>
          <w:iCs/>
        </w:rPr>
        <w:t xml:space="preserve"> By doing this, the courts disguised the issue of whether something – loss of a chance – is actionable damage behind the issue of causation. </w:t>
      </w:r>
    </w:p>
    <w:p w14:paraId="2F2DDC67" w14:textId="77777777" w:rsidR="00F64EE3" w:rsidRPr="00F64EE3" w:rsidRDefault="00F64EE3" w:rsidP="00F64EE3">
      <w:pPr>
        <w:ind w:firstLine="720"/>
        <w:rPr>
          <w:rFonts w:eastAsia="Calibri" w:cs="Times New Roman"/>
        </w:rPr>
      </w:pPr>
      <w:r w:rsidRPr="00F64EE3">
        <w:rPr>
          <w:rFonts w:eastAsia="Calibri" w:cs="Times New Roman"/>
        </w:rPr>
        <w:t xml:space="preserve">Conversely, in </w:t>
      </w:r>
      <w:r w:rsidRPr="00F64EE3">
        <w:rPr>
          <w:rFonts w:eastAsia="Calibri" w:cs="Times New Roman"/>
          <w:i/>
        </w:rPr>
        <w:t>Gregg</w:t>
      </w:r>
      <w:r w:rsidRPr="00F64EE3">
        <w:rPr>
          <w:rFonts w:eastAsia="Calibri" w:cs="Times New Roman"/>
        </w:rPr>
        <w:t xml:space="preserve"> Lady Hale stated ‘it can never be enough to show that the defendant has been negligent. The question is still whether his negligence has caused actionable damage.’</w:t>
      </w:r>
      <w:r w:rsidRPr="00F64EE3">
        <w:rPr>
          <w:rFonts w:eastAsia="Calibri" w:cs="Times New Roman"/>
          <w:vertAlign w:val="superscript"/>
        </w:rPr>
        <w:footnoteReference w:id="161"/>
      </w:r>
      <w:r w:rsidRPr="00F64EE3">
        <w:rPr>
          <w:rFonts w:eastAsia="Calibri" w:cs="Times New Roman"/>
        </w:rPr>
        <w:t xml:space="preserve"> She then considered whether a lost chance of a favourable outcome should be classed as actionable harm in personal injury cases and answered in the negative. Lord Phillips and Lord Hoffman in the majority did the same.</w:t>
      </w:r>
    </w:p>
    <w:p w14:paraId="0D6D2886" w14:textId="77777777" w:rsidR="00F64EE3" w:rsidRPr="00F64EE3" w:rsidRDefault="00F64EE3" w:rsidP="00F64EE3">
      <w:pPr>
        <w:ind w:firstLine="720"/>
        <w:rPr>
          <w:rFonts w:eastAsia="Calibri" w:cs="Times New Roman"/>
        </w:rPr>
      </w:pPr>
      <w:r w:rsidRPr="00F64EE3">
        <w:rPr>
          <w:rFonts w:eastAsia="Calibri" w:cs="Times New Roman"/>
        </w:rPr>
        <w:t xml:space="preserve">The dissenting judges in </w:t>
      </w:r>
      <w:r w:rsidRPr="00F64EE3">
        <w:rPr>
          <w:rFonts w:eastAsia="Calibri" w:cs="Times New Roman"/>
          <w:i/>
        </w:rPr>
        <w:t>Gregg</w:t>
      </w:r>
      <w:r w:rsidRPr="00F64EE3">
        <w:rPr>
          <w:rFonts w:eastAsia="Calibri" w:cs="Times New Roman"/>
        </w:rPr>
        <w:t xml:space="preserve"> also acknowledged the importance of the issue, albeit that they handled the issue less persuasively than the majority, with Nicholls reiterating: ‘Where the claim is based on negligence the facts to be proved include those constituting actionable damage as well as those giving rise to the existence of a duty of care and its breach.’</w:t>
      </w:r>
      <w:r w:rsidRPr="00F64EE3">
        <w:rPr>
          <w:rFonts w:eastAsia="Calibri" w:cs="Times New Roman"/>
          <w:vertAlign w:val="superscript"/>
        </w:rPr>
        <w:footnoteReference w:id="162"/>
      </w:r>
      <w:r w:rsidRPr="00F64EE3">
        <w:rPr>
          <w:rFonts w:eastAsia="Calibri" w:cs="Times New Roman"/>
        </w:rPr>
        <w:t xml:space="preserve"> </w:t>
      </w:r>
    </w:p>
    <w:p w14:paraId="2FB84CA3" w14:textId="77777777" w:rsidR="00F64EE3" w:rsidRPr="00F64EE3" w:rsidRDefault="00F64EE3" w:rsidP="00F64EE3">
      <w:pPr>
        <w:ind w:firstLine="720"/>
        <w:rPr>
          <w:rFonts w:eastAsia="Calibri" w:cs="Times New Roman"/>
        </w:rPr>
      </w:pPr>
      <w:r w:rsidRPr="00F64EE3">
        <w:rPr>
          <w:rFonts w:eastAsia="Calibri" w:cs="Times New Roman"/>
        </w:rPr>
        <w:t>This focus on damage is an improvement on that taken in the earlier-analysed cases and it is to be hoped that it will be followed in the future. It is true that focusing on damage is not always guaranteed to lead to sound decisions.</w:t>
      </w:r>
      <w:r w:rsidRPr="00F64EE3">
        <w:rPr>
          <w:rFonts w:eastAsia="Calibri" w:cs="Times New Roman"/>
          <w:vertAlign w:val="superscript"/>
        </w:rPr>
        <w:footnoteReference w:id="163"/>
      </w:r>
      <w:r w:rsidRPr="00F64EE3">
        <w:rPr>
          <w:rFonts w:eastAsia="Calibri" w:cs="Times New Roman"/>
        </w:rPr>
        <w:t xml:space="preserve"> But at least it allows us to pinpoint why a particular decision is problematic. In cases such as </w:t>
      </w:r>
      <w:r w:rsidRPr="00F64EE3">
        <w:rPr>
          <w:rFonts w:eastAsia="Calibri" w:cs="Times New Roman"/>
          <w:i/>
        </w:rPr>
        <w:t>McFarlane</w:t>
      </w:r>
      <w:r w:rsidRPr="00F64EE3">
        <w:rPr>
          <w:rFonts w:eastAsia="Calibri" w:cs="Times New Roman"/>
        </w:rPr>
        <w:t xml:space="preserve">, </w:t>
      </w:r>
      <w:r w:rsidRPr="00F64EE3">
        <w:rPr>
          <w:rFonts w:eastAsia="Calibri" w:cs="Times New Roman"/>
          <w:i/>
        </w:rPr>
        <w:t>Chester</w:t>
      </w:r>
      <w:r w:rsidRPr="00F64EE3">
        <w:rPr>
          <w:rFonts w:eastAsia="Calibri" w:cs="Times New Roman"/>
        </w:rPr>
        <w:t xml:space="preserve"> and </w:t>
      </w:r>
      <w:r w:rsidRPr="00F64EE3">
        <w:rPr>
          <w:rFonts w:eastAsia="Calibri" w:cs="Times New Roman"/>
          <w:i/>
        </w:rPr>
        <w:t>Rees</w:t>
      </w:r>
      <w:r w:rsidRPr="00F64EE3">
        <w:rPr>
          <w:rFonts w:eastAsia="Calibri" w:cs="Times New Roman"/>
        </w:rPr>
        <w:t xml:space="preserve">, where the damage suffered is ambiguous or subsumed within other issues, such confusions can be hard to unpick from other plausible criticisms of the </w:t>
      </w:r>
      <w:r w:rsidRPr="00F64EE3">
        <w:rPr>
          <w:rFonts w:eastAsia="Calibri" w:cs="Times New Roman"/>
          <w:i/>
        </w:rPr>
        <w:t>results</w:t>
      </w:r>
      <w:r w:rsidRPr="00F64EE3">
        <w:rPr>
          <w:rFonts w:eastAsia="Calibri" w:cs="Times New Roman"/>
        </w:rPr>
        <w:t xml:space="preserve"> of the judges’ reasoning. Any problems with such cases are then multiplied.</w:t>
      </w:r>
    </w:p>
    <w:p w14:paraId="4C60C648" w14:textId="77777777" w:rsidR="00F64EE3" w:rsidRPr="00F64EE3" w:rsidRDefault="00F64EE3" w:rsidP="00F64EE3">
      <w:pPr>
        <w:ind w:firstLine="720"/>
        <w:rPr>
          <w:rFonts w:eastAsia="Calibri" w:cs="Times New Roman"/>
        </w:rPr>
      </w:pPr>
      <w:r w:rsidRPr="00F64EE3">
        <w:rPr>
          <w:rFonts w:eastAsia="Calibri" w:cs="Times New Roman"/>
        </w:rPr>
        <w:t xml:space="preserve">What methods, then, would preserve the coherence of this tort? First, the issue of damage should be analysed in more depth. Without clarity about what damage has been suffered it is impossible to resolve issues of causation, duty of care or what level of compensation should be awarded. These are all contingent on what type of damage has occurred. This may not seem a ground-breaking proposition but as the above assessment of </w:t>
      </w:r>
      <w:r w:rsidRPr="00F64EE3">
        <w:rPr>
          <w:rFonts w:eastAsia="Calibri" w:cs="Times New Roman"/>
          <w:i/>
        </w:rPr>
        <w:t>McFarlane, Chester</w:t>
      </w:r>
      <w:r w:rsidRPr="00F64EE3">
        <w:rPr>
          <w:rFonts w:eastAsia="Calibri" w:cs="Times New Roman"/>
        </w:rPr>
        <w:t xml:space="preserve"> and </w:t>
      </w:r>
      <w:r w:rsidRPr="00F64EE3">
        <w:rPr>
          <w:rFonts w:eastAsia="Calibri" w:cs="Times New Roman"/>
          <w:i/>
        </w:rPr>
        <w:t>Rees</w:t>
      </w:r>
      <w:r w:rsidRPr="00F64EE3">
        <w:rPr>
          <w:rFonts w:eastAsia="Calibri" w:cs="Times New Roman"/>
        </w:rPr>
        <w:t xml:space="preserve"> has shown, it needs emphasising. It is time to undertake a thorough assessment of this aspect of negligence, even if it may superficially appear obvious what the damage is (as it probably did in </w:t>
      </w:r>
      <w:r w:rsidRPr="00F64EE3">
        <w:rPr>
          <w:rFonts w:eastAsia="Calibri" w:cs="Times New Roman"/>
          <w:i/>
        </w:rPr>
        <w:t>McFarlane</w:t>
      </w:r>
      <w:r w:rsidRPr="00F64EE3">
        <w:rPr>
          <w:rFonts w:eastAsia="Calibri" w:cs="Times New Roman"/>
        </w:rPr>
        <w:t xml:space="preserve">, </w:t>
      </w:r>
      <w:r w:rsidRPr="00F64EE3">
        <w:rPr>
          <w:rFonts w:eastAsia="Calibri" w:cs="Times New Roman"/>
          <w:i/>
        </w:rPr>
        <w:t>Rees</w:t>
      </w:r>
      <w:r w:rsidRPr="00F64EE3">
        <w:rPr>
          <w:rFonts w:eastAsia="Calibri" w:cs="Times New Roman"/>
        </w:rPr>
        <w:t xml:space="preserve"> and </w:t>
      </w:r>
      <w:r w:rsidRPr="00F64EE3">
        <w:rPr>
          <w:rFonts w:eastAsia="Calibri" w:cs="Times New Roman"/>
          <w:i/>
        </w:rPr>
        <w:t>Chester</w:t>
      </w:r>
      <w:r w:rsidRPr="00F64EE3">
        <w:rPr>
          <w:rFonts w:eastAsia="Calibri" w:cs="Times New Roman"/>
        </w:rPr>
        <w:t>).</w:t>
      </w:r>
    </w:p>
    <w:p w14:paraId="37A3936B" w14:textId="77777777" w:rsidR="00F64EE3" w:rsidRPr="00F64EE3" w:rsidRDefault="00F64EE3" w:rsidP="00F64EE3">
      <w:pPr>
        <w:ind w:firstLine="720"/>
        <w:rPr>
          <w:rFonts w:eastAsia="Calibri" w:cs="Times New Roman"/>
          <w:b/>
          <w:bCs/>
          <w:iCs/>
        </w:rPr>
      </w:pPr>
      <w:r w:rsidRPr="00F64EE3">
        <w:rPr>
          <w:rFonts w:eastAsia="Calibri" w:cs="Times New Roman"/>
        </w:rPr>
        <w:t>Second, damage should be treated as a question of law. One of the problems with the under-analysis of damage is that the concept has traditionally been seen as a question of fact. As Lord Pearce stated in</w:t>
      </w:r>
      <w:r w:rsidRPr="00F64EE3">
        <w:rPr>
          <w:rFonts w:eastAsia="Calibri" w:cs="Times New Roman"/>
          <w:i/>
          <w:iCs/>
        </w:rPr>
        <w:t xml:space="preserve"> Cartledge v Jopling &amp; Sons Ltd</w:t>
      </w:r>
      <w:r w:rsidRPr="00F64EE3">
        <w:rPr>
          <w:rFonts w:eastAsia="Calibri" w:cs="Times New Roman"/>
          <w:iCs/>
        </w:rPr>
        <w:t>,</w:t>
      </w:r>
      <w:r w:rsidRPr="00F64EE3">
        <w:rPr>
          <w:rFonts w:eastAsia="Calibri" w:cs="Times New Roman"/>
          <w:iCs/>
          <w:vertAlign w:val="superscript"/>
        </w:rPr>
        <w:footnoteReference w:id="164"/>
      </w:r>
      <w:r w:rsidRPr="00F64EE3">
        <w:rPr>
          <w:rFonts w:eastAsia="Calibri" w:cs="Times New Roman"/>
        </w:rPr>
        <w:t xml:space="preserve"> ‘It is a question of fact in each case whether a man has suffered material damage.’</w:t>
      </w:r>
      <w:r w:rsidRPr="00F64EE3">
        <w:rPr>
          <w:rFonts w:eastAsia="Calibri" w:cs="Times New Roman"/>
          <w:iCs/>
          <w:vertAlign w:val="superscript"/>
        </w:rPr>
        <w:footnoteReference w:id="165"/>
      </w:r>
      <w:r w:rsidRPr="00F64EE3">
        <w:rPr>
          <w:rFonts w:eastAsia="Calibri" w:cs="Times New Roman"/>
        </w:rPr>
        <w:t xml:space="preserve"> </w:t>
      </w:r>
      <w:r w:rsidRPr="00F64EE3">
        <w:rPr>
          <w:rFonts w:eastAsia="Calibri" w:cs="Times New Roman"/>
          <w:iCs/>
        </w:rPr>
        <w:t>Intuitively, most people think they know damage when they see it: a negligently-caused broken leg is damage that deserves compensating, whereas accidentally-caused mild upset alone is not.</w:t>
      </w:r>
      <w:r w:rsidRPr="00F64EE3">
        <w:rPr>
          <w:rFonts w:eastAsia="Calibri" w:cs="Times New Roman"/>
          <w:iCs/>
          <w:vertAlign w:val="superscript"/>
        </w:rPr>
        <w:footnoteReference w:id="166"/>
      </w:r>
      <w:r w:rsidRPr="00F64EE3">
        <w:rPr>
          <w:rFonts w:eastAsia="Calibri" w:cs="Times New Roman"/>
          <w:iCs/>
        </w:rPr>
        <w:t xml:space="preserve"> Judges are no different and, quite understandably, may not feel the need to waste time engaging in deep philosophical discussions as to whether paralysis or a severed limb should be seen as damage when the answer appears obvious in most cases.</w:t>
      </w:r>
      <w:r w:rsidRPr="00F64EE3">
        <w:rPr>
          <w:rFonts w:eastAsia="Calibri" w:cs="Times New Roman"/>
          <w:iCs/>
          <w:vertAlign w:val="superscript"/>
        </w:rPr>
        <w:footnoteReference w:id="167"/>
      </w:r>
      <w:r w:rsidRPr="00F64EE3">
        <w:rPr>
          <w:rFonts w:eastAsia="Calibri" w:cs="Times New Roman"/>
          <w:iCs/>
        </w:rPr>
        <w:t xml:space="preserve"> A consequence of this is that such findings are rarely appealed and so seldom given sustained analysis by the higher courts. This does not present a problem in most day-to-day medical negligence cases but, as has been shown above, it can present difficulties in harder ones as it means there is a lack of guidance from the higher courts. </w:t>
      </w:r>
    </w:p>
    <w:p w14:paraId="195B52DB" w14:textId="77777777" w:rsidR="00F64EE3" w:rsidRPr="00F64EE3" w:rsidRDefault="00F64EE3" w:rsidP="00F64EE3">
      <w:pPr>
        <w:ind w:firstLine="567"/>
        <w:rPr>
          <w:rFonts w:eastAsia="Calibri" w:cs="Times New Roman"/>
        </w:rPr>
      </w:pPr>
      <w:r w:rsidRPr="00F64EE3">
        <w:rPr>
          <w:rFonts w:eastAsia="Calibri" w:cs="Times New Roman"/>
        </w:rPr>
        <w:t xml:space="preserve">Seeing damage as purely a question of fact diminishes the clarity of the law. Whether a head of loss is recoverable in negligence is a separate issue to whether a particular claimant had suffered from that loss in a given case. The former is a legal question. This is the approach Lord Millett took in </w:t>
      </w:r>
      <w:r w:rsidRPr="00F64EE3">
        <w:rPr>
          <w:rFonts w:eastAsia="Calibri" w:cs="Times New Roman"/>
          <w:i/>
        </w:rPr>
        <w:t>McFarlane</w:t>
      </w:r>
      <w:r w:rsidRPr="00F64EE3">
        <w:rPr>
          <w:rFonts w:eastAsia="Calibri" w:cs="Times New Roman"/>
        </w:rPr>
        <w:t xml:space="preserve"> when he said: </w:t>
      </w:r>
    </w:p>
    <w:p w14:paraId="5F864D02" w14:textId="77777777" w:rsidR="00F64EE3" w:rsidRPr="00F64EE3" w:rsidRDefault="00F64EE3" w:rsidP="00007DFB">
      <w:pPr>
        <w:spacing w:line="240" w:lineRule="auto"/>
        <w:ind w:left="562" w:right="562"/>
        <w:rPr>
          <w:rFonts w:eastAsia="Calibri" w:cs="Times New Roman"/>
        </w:rPr>
      </w:pPr>
      <w:r w:rsidRPr="00F64EE3">
        <w:rPr>
          <w:rFonts w:eastAsia="Calibri" w:cs="Times New Roman"/>
        </w:rPr>
        <w:t>The admissibility of any head of damage is a question of law. If the law regards an event as beneficial, plaintiffs cannot make it a matter for compensation merely by saying that it is an event they did not want to happen.</w:t>
      </w:r>
      <w:r w:rsidRPr="00F64EE3">
        <w:rPr>
          <w:rFonts w:eastAsia="Calibri" w:cs="Times New Roman"/>
          <w:vertAlign w:val="superscript"/>
        </w:rPr>
        <w:footnoteReference w:id="168"/>
      </w:r>
    </w:p>
    <w:p w14:paraId="3E45416F" w14:textId="77777777" w:rsidR="00F64EE3" w:rsidRPr="00F64EE3" w:rsidRDefault="00F64EE3" w:rsidP="00F64EE3">
      <w:pPr>
        <w:rPr>
          <w:rFonts w:eastAsia="Calibri" w:cs="Times New Roman"/>
          <w:iCs/>
        </w:rPr>
      </w:pPr>
    </w:p>
    <w:p w14:paraId="01EC14E5" w14:textId="77777777" w:rsidR="00F64EE3" w:rsidRPr="00F64EE3" w:rsidRDefault="00F64EE3" w:rsidP="00F64EE3">
      <w:pPr>
        <w:rPr>
          <w:rFonts w:eastAsia="Calibri" w:cs="Times New Roman"/>
          <w:bCs/>
          <w:iCs/>
        </w:rPr>
      </w:pPr>
      <w:r w:rsidRPr="00F64EE3">
        <w:rPr>
          <w:rFonts w:eastAsia="Calibri" w:cs="Times New Roman"/>
          <w:iCs/>
        </w:rPr>
        <w:t>While this statement may be inconsistent with the traditional view that damage is a question of fact,</w:t>
      </w:r>
      <w:r w:rsidRPr="00F64EE3">
        <w:rPr>
          <w:rFonts w:eastAsia="Calibri" w:cs="Times New Roman"/>
          <w:iCs/>
          <w:vertAlign w:val="superscript"/>
        </w:rPr>
        <w:footnoteReference w:id="169"/>
      </w:r>
      <w:r w:rsidRPr="00F64EE3">
        <w:rPr>
          <w:rFonts w:eastAsia="Calibri" w:cs="Times New Roman"/>
          <w:iCs/>
        </w:rPr>
        <w:t xml:space="preserve"> it has much going for it (It will be remembered from my above discussion that Lord Millett’s analysis of the issues in </w:t>
      </w:r>
      <w:r w:rsidRPr="00F64EE3">
        <w:rPr>
          <w:rFonts w:eastAsia="Calibri" w:cs="Times New Roman"/>
          <w:i/>
          <w:iCs/>
        </w:rPr>
        <w:t>McFarlane</w:t>
      </w:r>
      <w:r w:rsidRPr="00F64EE3">
        <w:rPr>
          <w:rFonts w:eastAsia="Calibri" w:cs="Times New Roman"/>
          <w:iCs/>
        </w:rPr>
        <w:t xml:space="preserve"> was preferable to that taken by the majority). </w:t>
      </w:r>
      <w:r w:rsidRPr="00F64EE3">
        <w:rPr>
          <w:rFonts w:eastAsia="Calibri" w:cs="Times New Roman"/>
          <w:bCs/>
          <w:iCs/>
        </w:rPr>
        <w:t xml:space="preserve">That the courts have been analysing issues of damage under the concepts of duty, causation and the quantification of compensation is indicative that they already </w:t>
      </w:r>
      <w:r w:rsidRPr="00F64EE3">
        <w:rPr>
          <w:rFonts w:eastAsia="Calibri" w:cs="Times New Roman"/>
          <w:bCs/>
          <w:i/>
          <w:iCs/>
        </w:rPr>
        <w:t>de facto</w:t>
      </w:r>
      <w:r w:rsidRPr="00F64EE3">
        <w:rPr>
          <w:rFonts w:eastAsia="Calibri" w:cs="Times New Roman"/>
          <w:bCs/>
          <w:iCs/>
        </w:rPr>
        <w:t xml:space="preserve"> treat it as a question of law. It would be far better if such thinking was made explicit and judges unequivocally said whether a certain form of damage was actionable or not and struck out claims on this ground rather than artificially doing so under different headings.</w:t>
      </w:r>
    </w:p>
    <w:p w14:paraId="58EA594D" w14:textId="77777777" w:rsidR="00F64EE3" w:rsidRPr="00F64EE3" w:rsidRDefault="00F64EE3" w:rsidP="00F64EE3">
      <w:pPr>
        <w:rPr>
          <w:rFonts w:eastAsia="Calibri" w:cs="Times New Roman"/>
          <w:bCs/>
          <w:iCs/>
        </w:rPr>
      </w:pPr>
      <w:r w:rsidRPr="00F64EE3">
        <w:rPr>
          <w:rFonts w:eastAsia="Calibri" w:cs="Times New Roman"/>
          <w:bCs/>
          <w:iCs/>
        </w:rPr>
        <w:tab/>
        <w:t>What approach, then, should judges take towards this question of law? On the one hand, it is important that there is certainty in the law.</w:t>
      </w:r>
      <w:r w:rsidRPr="00F64EE3">
        <w:rPr>
          <w:rFonts w:eastAsia="Calibri" w:cs="Times New Roman"/>
          <w:bCs/>
          <w:iCs/>
          <w:vertAlign w:val="superscript"/>
        </w:rPr>
        <w:footnoteReference w:id="170"/>
      </w:r>
      <w:r w:rsidRPr="00F64EE3">
        <w:rPr>
          <w:rFonts w:eastAsia="Calibri" w:cs="Times New Roman"/>
          <w:bCs/>
          <w:iCs/>
        </w:rPr>
        <w:t xml:space="preserve"> This requires judges to abide by the doctrine of precedent and follow previous decisions. In order to maintain consistency in the law this would require judges to reject a claim for a form of damage that has previously been deemed non-actionable, such as mere grief or distress.</w:t>
      </w:r>
      <w:r w:rsidRPr="00F64EE3">
        <w:rPr>
          <w:rFonts w:eastAsia="Calibri" w:cs="Times New Roman"/>
          <w:bCs/>
          <w:iCs/>
          <w:vertAlign w:val="superscript"/>
        </w:rPr>
        <w:footnoteReference w:id="171"/>
      </w:r>
    </w:p>
    <w:p w14:paraId="3170BD16" w14:textId="77777777" w:rsidR="00F64EE3" w:rsidRPr="00F64EE3" w:rsidRDefault="00F64EE3" w:rsidP="00F64EE3">
      <w:pPr>
        <w:rPr>
          <w:rFonts w:eastAsia="Calibri" w:cs="Times New Roman"/>
          <w:bCs/>
          <w:iCs/>
        </w:rPr>
      </w:pPr>
      <w:r w:rsidRPr="00F64EE3">
        <w:rPr>
          <w:rFonts w:eastAsia="Calibri" w:cs="Times New Roman"/>
          <w:bCs/>
          <w:iCs/>
        </w:rPr>
        <w:tab/>
        <w:t>On the other hand, it is equally important that the law be ‘just and move with the times.’</w:t>
      </w:r>
      <w:r w:rsidRPr="00F64EE3">
        <w:rPr>
          <w:rFonts w:eastAsia="Calibri" w:cs="Times New Roman"/>
          <w:bCs/>
          <w:iCs/>
          <w:vertAlign w:val="superscript"/>
        </w:rPr>
        <w:footnoteReference w:id="172"/>
      </w:r>
      <w:r w:rsidRPr="00F64EE3">
        <w:rPr>
          <w:rFonts w:eastAsia="Calibri" w:cs="Times New Roman"/>
          <w:bCs/>
          <w:iCs/>
        </w:rPr>
        <w:t xml:space="preserve"> In order for the law to be fair, it may be necessary for judges to depart from previous decisions and recognise new forms of damage.</w:t>
      </w:r>
    </w:p>
    <w:p w14:paraId="4D12C4DE" w14:textId="77777777" w:rsidR="00F64EE3" w:rsidRPr="00F64EE3" w:rsidRDefault="00F64EE3" w:rsidP="00F64EE3">
      <w:pPr>
        <w:rPr>
          <w:rFonts w:eastAsia="Calibri" w:cs="Times New Roman"/>
          <w:bCs/>
          <w:iCs/>
        </w:rPr>
      </w:pPr>
      <w:r w:rsidRPr="00F64EE3">
        <w:rPr>
          <w:rFonts w:eastAsia="Calibri" w:cs="Times New Roman"/>
          <w:bCs/>
          <w:iCs/>
        </w:rPr>
        <w:tab/>
        <w:t xml:space="preserve">As Lord Reid stated, writing extra-judicially: </w:t>
      </w:r>
    </w:p>
    <w:p w14:paraId="64174440" w14:textId="77777777" w:rsidR="00F64EE3" w:rsidRPr="00F64EE3" w:rsidRDefault="00F64EE3" w:rsidP="006D44CE">
      <w:pPr>
        <w:spacing w:line="240" w:lineRule="auto"/>
        <w:ind w:left="562" w:right="562"/>
        <w:rPr>
          <w:rFonts w:eastAsia="Calibri" w:cs="Times New Roman"/>
          <w:bCs/>
          <w:iCs/>
        </w:rPr>
      </w:pPr>
      <w:r w:rsidRPr="00F64EE3">
        <w:rPr>
          <w:rFonts w:eastAsia="Calibri" w:cs="Times New Roman"/>
          <w:bCs/>
          <w:iCs/>
        </w:rPr>
        <w:t>People want two inconsistent things; that the law shall be certain, and that it shall be just and move with the times. It is our business to keep both objectives in view. Rigid adherence to precedent will not do. And paying lip service to precedent while admitting fine distinctions gives us the worst of both worlds. On the other hand too much flexibility leads to intolerable uncertainty.</w:t>
      </w:r>
      <w:r w:rsidRPr="00F64EE3">
        <w:rPr>
          <w:rFonts w:eastAsia="Calibri" w:cs="Times New Roman"/>
          <w:bCs/>
          <w:iCs/>
          <w:vertAlign w:val="superscript"/>
        </w:rPr>
        <w:footnoteReference w:id="173"/>
      </w:r>
    </w:p>
    <w:p w14:paraId="6BA22FA7" w14:textId="77777777" w:rsidR="00F64EE3" w:rsidRPr="00F64EE3" w:rsidRDefault="00F64EE3" w:rsidP="00F64EE3">
      <w:pPr>
        <w:ind w:right="567"/>
        <w:rPr>
          <w:rFonts w:eastAsia="Calibri" w:cs="Times New Roman"/>
          <w:bCs/>
          <w:iCs/>
        </w:rPr>
      </w:pPr>
    </w:p>
    <w:p w14:paraId="480B02CB" w14:textId="77777777" w:rsidR="00F64EE3" w:rsidRPr="00F64EE3" w:rsidRDefault="00F64EE3" w:rsidP="00F64EE3">
      <w:pPr>
        <w:rPr>
          <w:rFonts w:eastAsia="Calibri" w:cs="Times New Roman"/>
          <w:bCs/>
          <w:iCs/>
        </w:rPr>
      </w:pPr>
      <w:r w:rsidRPr="00F64EE3">
        <w:rPr>
          <w:rFonts w:eastAsia="Calibri" w:cs="Times New Roman"/>
          <w:bCs/>
          <w:iCs/>
        </w:rPr>
        <w:t>One solution to this would be to follow the approach judges take towards determining when a duty of care exists. This approach is essentially utilitarian as it involves weighing up the factors for and against imposing liability in order to arrive at the best result in novel cases.</w:t>
      </w:r>
      <w:r w:rsidRPr="00F64EE3">
        <w:rPr>
          <w:rFonts w:eastAsia="Calibri" w:cs="Times New Roman"/>
          <w:bCs/>
          <w:iCs/>
          <w:vertAlign w:val="superscript"/>
        </w:rPr>
        <w:footnoteReference w:id="174"/>
      </w:r>
      <w:r w:rsidRPr="00F64EE3">
        <w:rPr>
          <w:rFonts w:eastAsia="Calibri" w:cs="Times New Roman"/>
          <w:bCs/>
          <w:iCs/>
        </w:rPr>
        <w:t xml:space="preserve"> As Lord Browne-Wilkinson stated in </w:t>
      </w:r>
      <w:r w:rsidRPr="00F64EE3">
        <w:rPr>
          <w:rFonts w:eastAsia="Calibri" w:cs="Times New Roman"/>
          <w:i/>
        </w:rPr>
        <w:t>Barrett v Enfield London Borough Council</w:t>
      </w:r>
      <w:r w:rsidRPr="00F64EE3">
        <w:rPr>
          <w:rFonts w:eastAsia="Calibri" w:cs="Times New Roman"/>
          <w:bCs/>
          <w:iCs/>
        </w:rPr>
        <w:t xml:space="preserve">: </w:t>
      </w:r>
    </w:p>
    <w:p w14:paraId="6976F997" w14:textId="77777777" w:rsidR="00F64EE3" w:rsidRPr="00F64EE3" w:rsidRDefault="00F64EE3" w:rsidP="006D44CE">
      <w:pPr>
        <w:spacing w:line="240" w:lineRule="auto"/>
        <w:ind w:left="562" w:right="562"/>
        <w:rPr>
          <w:rFonts w:eastAsia="Calibri" w:cs="Times New Roman"/>
        </w:rPr>
      </w:pPr>
      <w:r w:rsidRPr="00F64EE3">
        <w:rPr>
          <w:rFonts w:eastAsia="Calibri" w:cs="Times New Roman"/>
        </w:rPr>
        <w:t>In English law the decision as to whether it is fair, just and reasonable to impose a liability in negligence on a particular class of would-be defendants depends on weighing in the balance the total detriment to the public interest in all cases from holding such class liable in negligence as against the total loss to all would-be plaintiffs if they are not to have a cause of action in respect of the loss they have individually suffered.</w:t>
      </w:r>
      <w:r w:rsidRPr="00F64EE3">
        <w:rPr>
          <w:rFonts w:eastAsia="Calibri" w:cs="Times New Roman"/>
          <w:vertAlign w:val="superscript"/>
        </w:rPr>
        <w:footnoteReference w:id="175"/>
      </w:r>
    </w:p>
    <w:p w14:paraId="1451F983" w14:textId="77777777" w:rsidR="00F64EE3" w:rsidRPr="00F64EE3" w:rsidRDefault="00F64EE3" w:rsidP="00F64EE3">
      <w:pPr>
        <w:ind w:right="567"/>
        <w:rPr>
          <w:rFonts w:eastAsia="Calibri" w:cs="Times New Roman"/>
          <w:bCs/>
          <w:iCs/>
        </w:rPr>
      </w:pPr>
    </w:p>
    <w:p w14:paraId="27DDE065" w14:textId="77777777" w:rsidR="00F64EE3" w:rsidRPr="00F64EE3" w:rsidRDefault="00F64EE3" w:rsidP="00F64EE3">
      <w:pPr>
        <w:ind w:right="567"/>
        <w:rPr>
          <w:rFonts w:eastAsia="Calibri" w:cs="Times New Roman"/>
          <w:bCs/>
          <w:iCs/>
        </w:rPr>
      </w:pPr>
      <w:r w:rsidRPr="00F64EE3">
        <w:rPr>
          <w:rFonts w:eastAsia="Calibri" w:cs="Times New Roman"/>
          <w:bCs/>
          <w:iCs/>
        </w:rPr>
        <w:t>Under current duty of care methodology, value is placed on certainty in the law by developing the law according to previously decided categories of cases. This is because maintaining consistency in the law ultimately ensures a fair result by treating like cases alike. Departing from precedent requires special justification. However, in exceptional circumstances, it is permissible to overrule previous decisions if the benefit of doing so outweighs the utility of following prior cases. The same approach should be taken towards recognising new forms of actionable damage. First, the courts should follow previous decisions that have recognised or rejected the form of damage under consideration. If, however, following precedent would be manifestly unjust, the courts should then weigh up the factors for and against allowing the new form of damage to be actionable, while bearing in mind the benefits and costs of recognising it to future litigants. If the new form of damage is rejected then the claimant’s case is lost. If it is recognised, only then should questions of duty, causation and quantification be addressed.</w:t>
      </w:r>
      <w:r w:rsidRPr="00F64EE3">
        <w:rPr>
          <w:rFonts w:eastAsia="Calibri" w:cs="Times New Roman"/>
          <w:bCs/>
          <w:iCs/>
        </w:rPr>
        <w:tab/>
      </w:r>
    </w:p>
    <w:p w14:paraId="05F65950" w14:textId="77777777" w:rsidR="00F64EE3" w:rsidRPr="00F64EE3" w:rsidRDefault="00F64EE3" w:rsidP="00F64EE3">
      <w:pPr>
        <w:rPr>
          <w:rFonts w:eastAsia="Calibri" w:cs="Times New Roman"/>
        </w:rPr>
      </w:pPr>
    </w:p>
    <w:p w14:paraId="56CD04A3" w14:textId="0D9D7EFF" w:rsidR="00F64EE3" w:rsidRPr="00F64EE3" w:rsidRDefault="006D44CE" w:rsidP="006D44CE">
      <w:pPr>
        <w:keepNext/>
        <w:keepLines/>
        <w:jc w:val="center"/>
        <w:outlineLvl w:val="1"/>
        <w:rPr>
          <w:rFonts w:eastAsia="Times New Roman" w:cs="Times New Roman"/>
          <w:b/>
          <w:bCs/>
          <w:sz w:val="32"/>
          <w:szCs w:val="26"/>
        </w:rPr>
      </w:pPr>
      <w:bookmarkStart w:id="8" w:name="_Toc433376554"/>
      <w:r w:rsidRPr="00F64EE3">
        <w:rPr>
          <w:rFonts w:eastAsia="Times New Roman" w:cs="Times New Roman"/>
          <w:b/>
          <w:bCs/>
          <w:sz w:val="32"/>
          <w:szCs w:val="26"/>
        </w:rPr>
        <w:t>CONCLUSION</w:t>
      </w:r>
      <w:bookmarkEnd w:id="8"/>
    </w:p>
    <w:p w14:paraId="1237D25C" w14:textId="77777777" w:rsidR="00F64EE3" w:rsidRPr="00F64EE3" w:rsidRDefault="00F64EE3" w:rsidP="00F64EE3">
      <w:pPr>
        <w:rPr>
          <w:rFonts w:eastAsia="Calibri" w:cs="Times New Roman"/>
        </w:rPr>
      </w:pPr>
      <w:r w:rsidRPr="00F64EE3">
        <w:rPr>
          <w:rFonts w:eastAsia="Calibri" w:cs="Times New Roman"/>
        </w:rPr>
        <w:t>Lord Scarman described damage as the gist of the action in negligence.</w:t>
      </w:r>
      <w:r w:rsidRPr="00F64EE3">
        <w:rPr>
          <w:rFonts w:eastAsia="Calibri" w:cs="Times New Roman"/>
          <w:vertAlign w:val="superscript"/>
        </w:rPr>
        <w:footnoteReference w:id="176"/>
      </w:r>
      <w:r w:rsidRPr="00F64EE3">
        <w:rPr>
          <w:rFonts w:eastAsia="Calibri" w:cs="Times New Roman"/>
        </w:rPr>
        <w:t xml:space="preserve"> Subsequent Law Lords appear to disagree. In important medical negligence cases such as </w:t>
      </w:r>
      <w:r w:rsidRPr="00F64EE3">
        <w:rPr>
          <w:rFonts w:eastAsia="Calibri" w:cs="Times New Roman"/>
          <w:i/>
        </w:rPr>
        <w:t>McFarlane</w:t>
      </w:r>
      <w:r w:rsidRPr="00F64EE3">
        <w:rPr>
          <w:rFonts w:eastAsia="Calibri" w:cs="Times New Roman"/>
        </w:rPr>
        <w:t xml:space="preserve">, </w:t>
      </w:r>
      <w:r w:rsidRPr="00F64EE3">
        <w:rPr>
          <w:rFonts w:eastAsia="Calibri" w:cs="Times New Roman"/>
          <w:i/>
        </w:rPr>
        <w:t>Rees</w:t>
      </w:r>
      <w:r w:rsidRPr="00F64EE3">
        <w:rPr>
          <w:rFonts w:eastAsia="Calibri" w:cs="Times New Roman"/>
        </w:rPr>
        <w:t xml:space="preserve"> and </w:t>
      </w:r>
      <w:r w:rsidRPr="00F64EE3">
        <w:rPr>
          <w:rFonts w:eastAsia="Calibri" w:cs="Times New Roman"/>
          <w:i/>
        </w:rPr>
        <w:t>Chester</w:t>
      </w:r>
      <w:r w:rsidRPr="00F64EE3">
        <w:rPr>
          <w:rFonts w:eastAsia="Calibri" w:cs="Times New Roman"/>
        </w:rPr>
        <w:t xml:space="preserve">, most appellate judges have treated it as an unimportant side-issue (if they have considered it at all) that can be subsumed within questions of duty, causation and the quantification of damages. </w:t>
      </w:r>
    </w:p>
    <w:p w14:paraId="028DD18B" w14:textId="77777777" w:rsidR="00F64EE3" w:rsidRPr="00F64EE3" w:rsidRDefault="00F64EE3" w:rsidP="00F64EE3">
      <w:pPr>
        <w:ind w:firstLine="720"/>
        <w:rPr>
          <w:rFonts w:eastAsia="Calibri" w:cs="Times New Roman"/>
          <w:bCs/>
          <w:iCs/>
        </w:rPr>
      </w:pPr>
      <w:r w:rsidRPr="00F64EE3">
        <w:rPr>
          <w:rFonts w:eastAsia="Calibri" w:cs="Times New Roman"/>
        </w:rPr>
        <w:t xml:space="preserve">It might be thought that such distinctions are unimportant hair-splitting. After all, whether a case is dismissed because the damage is not actionable or under the headings of duty or causation makes little difference to a claimant: they still lose the case. </w:t>
      </w:r>
      <w:r w:rsidRPr="00F64EE3">
        <w:rPr>
          <w:rFonts w:eastAsia="Calibri" w:cs="Times New Roman"/>
          <w:bCs/>
          <w:iCs/>
        </w:rPr>
        <w:t xml:space="preserve">Indeed, in </w:t>
      </w:r>
      <w:r w:rsidRPr="00F64EE3">
        <w:rPr>
          <w:rFonts w:eastAsia="Calibri" w:cs="Times New Roman"/>
          <w:bCs/>
          <w:i/>
          <w:iCs/>
        </w:rPr>
        <w:t xml:space="preserve">Rees </w:t>
      </w:r>
      <w:r w:rsidRPr="00F64EE3">
        <w:rPr>
          <w:rFonts w:eastAsia="Calibri" w:cs="Times New Roman"/>
          <w:bCs/>
          <w:iCs/>
        </w:rPr>
        <w:t>Lord Steyn believed that questions of whether the case should be approached as one of damage or duty is ‘what some overseas writers have impolitely called professors’ law.’</w:t>
      </w:r>
      <w:r w:rsidRPr="00F64EE3">
        <w:rPr>
          <w:rFonts w:eastAsia="Calibri" w:cs="Times New Roman"/>
          <w:bCs/>
          <w:iCs/>
          <w:vertAlign w:val="superscript"/>
        </w:rPr>
        <w:footnoteReference w:id="177"/>
      </w:r>
      <w:r w:rsidRPr="00F64EE3">
        <w:rPr>
          <w:rFonts w:eastAsia="Calibri" w:cs="Times New Roman"/>
          <w:bCs/>
          <w:iCs/>
        </w:rPr>
        <w:t xml:space="preserve"> He believed that ‘the difference in method is not of great importance. In this case the two concepts yield the same results.’</w:t>
      </w:r>
      <w:r w:rsidRPr="00F64EE3">
        <w:rPr>
          <w:rFonts w:eastAsia="Calibri" w:cs="Times New Roman"/>
          <w:bCs/>
          <w:iCs/>
          <w:vertAlign w:val="superscript"/>
        </w:rPr>
        <w:footnoteReference w:id="178"/>
      </w:r>
      <w:r w:rsidRPr="00F64EE3">
        <w:rPr>
          <w:rFonts w:eastAsia="Calibri" w:cs="Times New Roman"/>
          <w:bCs/>
          <w:iCs/>
        </w:rPr>
        <w:t xml:space="preserve"> </w:t>
      </w:r>
    </w:p>
    <w:p w14:paraId="15AC64DD" w14:textId="77777777" w:rsidR="00F64EE3" w:rsidRPr="00F64EE3" w:rsidRDefault="00F64EE3" w:rsidP="00F64EE3">
      <w:pPr>
        <w:ind w:firstLine="720"/>
        <w:rPr>
          <w:rFonts w:eastAsia="Calibri" w:cs="Times New Roman"/>
          <w:bCs/>
          <w:iCs/>
        </w:rPr>
      </w:pPr>
      <w:r w:rsidRPr="00F64EE3">
        <w:rPr>
          <w:rFonts w:eastAsia="Calibri" w:cs="Times New Roman"/>
          <w:bCs/>
          <w:iCs/>
        </w:rPr>
        <w:t xml:space="preserve">It is to be hoped, however, that this article has demonstrated that a lack of clarity on such issues leads to a number of doctrinal problems. If the courts wish to enable patients to recover damages for interferences with their autonomy (as in </w:t>
      </w:r>
      <w:r w:rsidRPr="00F64EE3">
        <w:rPr>
          <w:rFonts w:eastAsia="Calibri" w:cs="Times New Roman"/>
          <w:bCs/>
          <w:i/>
          <w:iCs/>
        </w:rPr>
        <w:t xml:space="preserve">Rees </w:t>
      </w:r>
      <w:r w:rsidRPr="00F64EE3">
        <w:rPr>
          <w:rFonts w:eastAsia="Calibri" w:cs="Times New Roman"/>
          <w:bCs/>
          <w:iCs/>
        </w:rPr>
        <w:t xml:space="preserve">and </w:t>
      </w:r>
      <w:r w:rsidRPr="00F64EE3">
        <w:rPr>
          <w:rFonts w:eastAsia="Calibri" w:cs="Times New Roman"/>
          <w:bCs/>
          <w:i/>
          <w:iCs/>
        </w:rPr>
        <w:t>Chester</w:t>
      </w:r>
      <w:r w:rsidRPr="00F64EE3">
        <w:rPr>
          <w:rFonts w:eastAsia="Calibri" w:cs="Times New Roman"/>
          <w:bCs/>
          <w:iCs/>
        </w:rPr>
        <w:t xml:space="preserve">) or deny compensation for the birth of a healthy child (as in </w:t>
      </w:r>
      <w:r w:rsidRPr="00F64EE3">
        <w:rPr>
          <w:rFonts w:eastAsia="Calibri" w:cs="Times New Roman"/>
          <w:bCs/>
          <w:i/>
          <w:iCs/>
        </w:rPr>
        <w:t>McFarlane</w:t>
      </w:r>
      <w:r w:rsidRPr="00F64EE3">
        <w:rPr>
          <w:rFonts w:eastAsia="Calibri" w:cs="Times New Roman"/>
          <w:bCs/>
          <w:iCs/>
        </w:rPr>
        <w:t>) then they need to do this in a way that is coherent and consistent with established principles by explicitly analysing the issue of damage and treating it as a question of law. After all, hard cases may make bad law but poor reasoning is equally responsible.</w:t>
      </w:r>
    </w:p>
    <w:p w14:paraId="11A641F0" w14:textId="77777777" w:rsidR="00B007EF" w:rsidRDefault="000E0729"/>
    <w:sectPr w:rsidR="00B007EF" w:rsidSect="00493DF6">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5B44" w14:textId="77777777" w:rsidR="00F64EE3" w:rsidRDefault="00F64EE3" w:rsidP="00F64EE3">
      <w:pPr>
        <w:spacing w:line="240" w:lineRule="auto"/>
      </w:pPr>
      <w:r>
        <w:separator/>
      </w:r>
    </w:p>
  </w:endnote>
  <w:endnote w:type="continuationSeparator" w:id="0">
    <w:p w14:paraId="636897E0" w14:textId="77777777" w:rsidR="00F64EE3" w:rsidRDefault="00F64EE3" w:rsidP="00F64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5B06" w14:textId="77777777" w:rsidR="00AF57E5" w:rsidRDefault="00AF57E5" w:rsidP="005A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A91DB" w14:textId="77777777" w:rsidR="00AF57E5" w:rsidRDefault="00AF57E5" w:rsidP="00AF57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9CB1" w14:textId="77777777" w:rsidR="00AF57E5" w:rsidRDefault="00AF57E5" w:rsidP="005A3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0729">
      <w:rPr>
        <w:rStyle w:val="PageNumber"/>
        <w:noProof/>
      </w:rPr>
      <w:t>1</w:t>
    </w:r>
    <w:r>
      <w:rPr>
        <w:rStyle w:val="PageNumber"/>
      </w:rPr>
      <w:fldChar w:fldCharType="end"/>
    </w:r>
  </w:p>
  <w:p w14:paraId="1BA1BD23" w14:textId="77777777" w:rsidR="00AF57E5" w:rsidRDefault="00AF57E5" w:rsidP="00AF57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9CCC" w14:textId="77777777" w:rsidR="00F64EE3" w:rsidRDefault="00F64EE3" w:rsidP="00F64EE3">
      <w:pPr>
        <w:spacing w:line="240" w:lineRule="auto"/>
      </w:pPr>
      <w:r>
        <w:separator/>
      </w:r>
    </w:p>
  </w:footnote>
  <w:footnote w:type="continuationSeparator" w:id="0">
    <w:p w14:paraId="1A46B753" w14:textId="77777777" w:rsidR="00F64EE3" w:rsidRDefault="00F64EE3" w:rsidP="00F64EE3">
      <w:pPr>
        <w:spacing w:line="240" w:lineRule="auto"/>
      </w:pPr>
      <w:r>
        <w:continuationSeparator/>
      </w:r>
    </w:p>
  </w:footnote>
  <w:footnote w:id="1">
    <w:p w14:paraId="4115A39E" w14:textId="1A9EC8FE" w:rsidR="004B6F1E" w:rsidRPr="00007DFB" w:rsidRDefault="004B6F1E" w:rsidP="00F64EE3">
      <w:pPr>
        <w:pStyle w:val="FootnoteText"/>
      </w:pPr>
      <w:r>
        <w:t>* School of Law and Social Justice, University of Liverpool. I am very grateful to Professor Margaret Brazier, Dr Sarah Devaney and Professor John Murphy for helpful feedback on an earlier version of this article. All views and mistakes remain my own.</w:t>
      </w:r>
      <w:r w:rsidR="00007DFB">
        <w:t xml:space="preserve"> This article has been published online before print in </w:t>
      </w:r>
      <w:r w:rsidR="00007DFB">
        <w:rPr>
          <w:i/>
        </w:rPr>
        <w:t xml:space="preserve">Medical Law International </w:t>
      </w:r>
      <w:r w:rsidR="00007DFB">
        <w:t xml:space="preserve">(2015) </w:t>
      </w:r>
      <w:r w:rsidR="00007DFB" w:rsidRPr="00007DFB">
        <w:t>10.1177/0968533215619468</w:t>
      </w:r>
      <w:r w:rsidR="00007DFB">
        <w:t>. Please cite that version.</w:t>
      </w:r>
    </w:p>
    <w:p w14:paraId="7D335242" w14:textId="77777777" w:rsidR="00F64EE3" w:rsidRDefault="00F64EE3" w:rsidP="00F64EE3">
      <w:pPr>
        <w:pStyle w:val="FootnoteText"/>
      </w:pPr>
      <w:r>
        <w:rPr>
          <w:rStyle w:val="FootnoteReference"/>
        </w:rPr>
        <w:footnoteRef/>
      </w:r>
      <w:r>
        <w:t xml:space="preserve"> </w:t>
      </w:r>
      <w:r w:rsidRPr="003109FA">
        <w:rPr>
          <w:i/>
        </w:rPr>
        <w:t>Gregg v Scott</w:t>
      </w:r>
      <w:r w:rsidRPr="003109FA">
        <w:t xml:space="preserve"> </w:t>
      </w:r>
      <w:r>
        <w:t xml:space="preserve">[2005] </w:t>
      </w:r>
      <w:r w:rsidRPr="003109FA">
        <w:t xml:space="preserve">1 AC </w:t>
      </w:r>
      <w:r>
        <w:t>176 at 226 per Baroness Hale.</w:t>
      </w:r>
    </w:p>
  </w:footnote>
  <w:footnote w:id="2">
    <w:p w14:paraId="34E7A976" w14:textId="77777777" w:rsidR="00F64EE3" w:rsidRDefault="00F64EE3" w:rsidP="00F64EE3">
      <w:pPr>
        <w:pStyle w:val="FootnoteText"/>
      </w:pPr>
      <w:r>
        <w:rPr>
          <w:rStyle w:val="FootnoteReference"/>
        </w:rPr>
        <w:footnoteRef/>
      </w:r>
      <w:r>
        <w:t xml:space="preserve"> </w:t>
      </w:r>
      <w:r w:rsidRPr="000B1EDF">
        <w:rPr>
          <w:i/>
        </w:rPr>
        <w:t>Sidaway v Board of Governors of the Bethlem Royal Hospital and the Maudsley Hospital</w:t>
      </w:r>
      <w:r>
        <w:t xml:space="preserve"> [1985] AC 871 at</w:t>
      </w:r>
      <w:r w:rsidRPr="000B1EDF">
        <w:t xml:space="preserve"> 883</w:t>
      </w:r>
      <w:r>
        <w:t xml:space="preserve"> per Lord Scarman.</w:t>
      </w:r>
    </w:p>
  </w:footnote>
  <w:footnote w:id="3">
    <w:p w14:paraId="365CD488" w14:textId="77777777" w:rsidR="00F64EE3" w:rsidRDefault="00F64EE3" w:rsidP="00F64EE3">
      <w:pPr>
        <w:pStyle w:val="FootnoteText"/>
      </w:pPr>
      <w:r>
        <w:rPr>
          <w:rStyle w:val="FootnoteReference"/>
        </w:rPr>
        <w:footnoteRef/>
      </w:r>
      <w:r>
        <w:t xml:space="preserve"> See </w:t>
      </w:r>
      <w:r w:rsidRPr="003109FA">
        <w:rPr>
          <w:i/>
        </w:rPr>
        <w:t>Gregg v Scott</w:t>
      </w:r>
      <w:r w:rsidRPr="003109FA">
        <w:t xml:space="preserve"> </w:t>
      </w:r>
      <w:r>
        <w:t xml:space="preserve">[2005] </w:t>
      </w:r>
      <w:r w:rsidRPr="003109FA">
        <w:t xml:space="preserve">1 AC </w:t>
      </w:r>
      <w:r>
        <w:t>176 at 226 per Baroness Hale.</w:t>
      </w:r>
    </w:p>
  </w:footnote>
  <w:footnote w:id="4">
    <w:p w14:paraId="225235E2" w14:textId="77777777" w:rsidR="00F64EE3" w:rsidRDefault="00F64EE3" w:rsidP="00F64EE3">
      <w:pPr>
        <w:pStyle w:val="FootnoteText"/>
      </w:pPr>
      <w:r>
        <w:rPr>
          <w:rStyle w:val="FootnoteReference"/>
        </w:rPr>
        <w:footnoteRef/>
      </w:r>
      <w:r>
        <w:t xml:space="preserve"> </w:t>
      </w:r>
      <w:r w:rsidRPr="007405D3">
        <w:rPr>
          <w:iCs/>
        </w:rPr>
        <w:t>[1934] AC 1</w:t>
      </w:r>
      <w:r>
        <w:rPr>
          <w:iCs/>
        </w:rPr>
        <w:t>.</w:t>
      </w:r>
    </w:p>
  </w:footnote>
  <w:footnote w:id="5">
    <w:p w14:paraId="46E9D5B9" w14:textId="77777777" w:rsidR="00F64EE3" w:rsidRPr="00975B26" w:rsidRDefault="00F64EE3" w:rsidP="00F64EE3">
      <w:pPr>
        <w:pStyle w:val="FootnoteText"/>
        <w:rPr>
          <w:iCs/>
        </w:rPr>
      </w:pPr>
      <w:r>
        <w:rPr>
          <w:rStyle w:val="FootnoteReference"/>
        </w:rPr>
        <w:footnoteRef/>
      </w:r>
      <w:r>
        <w:t xml:space="preserve"> </w:t>
      </w:r>
      <w:r w:rsidRPr="006E4361">
        <w:t>Ibid</w:t>
      </w:r>
      <w:r>
        <w:t>.</w:t>
      </w:r>
      <w:r>
        <w:rPr>
          <w:iCs/>
        </w:rPr>
        <w:t xml:space="preserve"> at 25 per Lord Wright.</w:t>
      </w:r>
    </w:p>
  </w:footnote>
  <w:footnote w:id="6">
    <w:p w14:paraId="13B90402" w14:textId="77777777" w:rsidR="00F64EE3" w:rsidRDefault="00F64EE3" w:rsidP="00F64EE3">
      <w:pPr>
        <w:pStyle w:val="FootnoteText"/>
      </w:pPr>
      <w:r>
        <w:rPr>
          <w:rStyle w:val="FootnoteReference"/>
        </w:rPr>
        <w:footnoteRef/>
      </w:r>
      <w:r>
        <w:t xml:space="preserve"> </w:t>
      </w:r>
      <w:r w:rsidRPr="00AB600E">
        <w:rPr>
          <w:bCs/>
        </w:rPr>
        <w:t>[1999] 2 AC 455</w:t>
      </w:r>
      <w:r>
        <w:rPr>
          <w:bCs/>
        </w:rPr>
        <w:t>.</w:t>
      </w:r>
    </w:p>
  </w:footnote>
  <w:footnote w:id="7">
    <w:p w14:paraId="3BDB867C" w14:textId="77777777" w:rsidR="00F64EE3" w:rsidRPr="00AB600E" w:rsidRDefault="00F64EE3" w:rsidP="00F64EE3">
      <w:pPr>
        <w:pStyle w:val="FootnoteText"/>
        <w:rPr>
          <w:b/>
          <w:bCs/>
        </w:rPr>
      </w:pPr>
      <w:r>
        <w:rPr>
          <w:rStyle w:val="FootnoteReference"/>
        </w:rPr>
        <w:footnoteRef/>
      </w:r>
      <w:r>
        <w:t xml:space="preserve"> At </w:t>
      </w:r>
      <w:r>
        <w:rPr>
          <w:bCs/>
        </w:rPr>
        <w:t>492</w:t>
      </w:r>
      <w:r w:rsidRPr="00AB600E">
        <w:rPr>
          <w:bCs/>
        </w:rPr>
        <w:t>.</w:t>
      </w:r>
    </w:p>
  </w:footnote>
  <w:footnote w:id="8">
    <w:p w14:paraId="6FC32101" w14:textId="77777777" w:rsidR="00F64EE3" w:rsidRDefault="00F64EE3" w:rsidP="00F64EE3">
      <w:pPr>
        <w:pStyle w:val="FootnoteText"/>
      </w:pPr>
      <w:r>
        <w:rPr>
          <w:rStyle w:val="FootnoteReference"/>
        </w:rPr>
        <w:footnoteRef/>
      </w:r>
      <w:r>
        <w:t xml:space="preserve"> However, several academics have discussed the issue. See Jane Stapleton, ‘The Gist of Negligence: Part 1 Minimal Actionable Damage’ (1988) 104 </w:t>
      </w:r>
      <w:r>
        <w:rPr>
          <w:i/>
        </w:rPr>
        <w:t xml:space="preserve">Law Quarterly Review </w:t>
      </w:r>
      <w:r>
        <w:t>21; Christian Witting,</w:t>
      </w:r>
      <w:r w:rsidRPr="00F840D8">
        <w:t xml:space="preserve"> ‘Physical Da</w:t>
      </w:r>
      <w:r>
        <w:t xml:space="preserve">mage in Negligence’ (2002) 61 </w:t>
      </w:r>
      <w:r>
        <w:rPr>
          <w:i/>
        </w:rPr>
        <w:t xml:space="preserve">Cambridge Law Journal </w:t>
      </w:r>
      <w:r>
        <w:t xml:space="preserve">189; Donal </w:t>
      </w:r>
      <w:r w:rsidRPr="00F840D8">
        <w:t>Nolan</w:t>
      </w:r>
      <w:r>
        <w:t xml:space="preserve">, </w:t>
      </w:r>
      <w:r w:rsidRPr="00FB0496">
        <w:t xml:space="preserve">‘New Forms of Damage in Negligence’ </w:t>
      </w:r>
      <w:r>
        <w:t xml:space="preserve">(2007) 70 </w:t>
      </w:r>
      <w:r>
        <w:rPr>
          <w:i/>
        </w:rPr>
        <w:t xml:space="preserve">Modern Law Review </w:t>
      </w:r>
      <w:r w:rsidRPr="00FB0496">
        <w:t>59</w:t>
      </w:r>
      <w:r>
        <w:t>; Andrew Tettenborn, ‘What is Loss?’ in Jason Neyers</w:t>
      </w:r>
      <w:r w:rsidRPr="006D2627">
        <w:t xml:space="preserve">, </w:t>
      </w:r>
      <w:r>
        <w:t xml:space="preserve">Erika </w:t>
      </w:r>
      <w:r w:rsidRPr="006D2627">
        <w:t xml:space="preserve">Chamberlain and </w:t>
      </w:r>
      <w:r>
        <w:t>Stephen Pitel (Eds.),</w:t>
      </w:r>
      <w:r w:rsidRPr="006D2627">
        <w:t xml:space="preserve"> </w:t>
      </w:r>
      <w:r w:rsidRPr="006D2627">
        <w:rPr>
          <w:i/>
        </w:rPr>
        <w:t>Emerging Issues in Tort Law</w:t>
      </w:r>
      <w:r>
        <w:t xml:space="preserve"> (Oxford: Hart Publishing, 2007); Janet </w:t>
      </w:r>
      <w:r w:rsidRPr="00F840D8">
        <w:t>O’Sullivan</w:t>
      </w:r>
      <w:r>
        <w:t>,</w:t>
      </w:r>
      <w:r w:rsidRPr="00F840D8">
        <w:t xml:space="preserve"> ‘The Meaning of ‘Damage’ in Pure Financial Loss Cases: Contract and Tort Collide’</w:t>
      </w:r>
      <w:r>
        <w:t xml:space="preserve"> (2012) 28 </w:t>
      </w:r>
      <w:r>
        <w:rPr>
          <w:i/>
        </w:rPr>
        <w:t xml:space="preserve">Professional Negligence </w:t>
      </w:r>
      <w:r w:rsidRPr="00F840D8">
        <w:t>248</w:t>
      </w:r>
      <w:r>
        <w:t xml:space="preserve">; Donal Nolan, ‘Damage in the English Law of Negligence’ (2013) 4 </w:t>
      </w:r>
      <w:r>
        <w:rPr>
          <w:i/>
        </w:rPr>
        <w:t xml:space="preserve">Journal of European Tort </w:t>
      </w:r>
      <w:r>
        <w:t>259.</w:t>
      </w:r>
    </w:p>
  </w:footnote>
  <w:footnote w:id="9">
    <w:p w14:paraId="2BD61B06" w14:textId="77777777" w:rsidR="00F64EE3" w:rsidRPr="001D6FEF" w:rsidRDefault="00F64EE3" w:rsidP="00F64EE3">
      <w:pPr>
        <w:pStyle w:val="FootnoteText"/>
      </w:pPr>
      <w:r>
        <w:rPr>
          <w:rStyle w:val="FootnoteReference"/>
        </w:rPr>
        <w:footnoteRef/>
      </w:r>
      <w:r>
        <w:t xml:space="preserve"> See Nolan,</w:t>
      </w:r>
      <w:r w:rsidRPr="00A7716F">
        <w:t xml:space="preserve"> ‘New Forms of Da</w:t>
      </w:r>
      <w:r>
        <w:t xml:space="preserve">mage in Negligence’, 79; Simon </w:t>
      </w:r>
      <w:r w:rsidRPr="001D6FEF">
        <w:t>Deakin</w:t>
      </w:r>
      <w:r>
        <w:t>,</w:t>
      </w:r>
      <w:r w:rsidRPr="001D6FEF">
        <w:t xml:space="preserve"> </w:t>
      </w:r>
      <w:r>
        <w:t>Angus Johnston</w:t>
      </w:r>
      <w:r w:rsidRPr="001D6FEF">
        <w:t xml:space="preserve"> and</w:t>
      </w:r>
      <w:r>
        <w:t xml:space="preserve"> Basi</w:t>
      </w:r>
      <w:r w:rsidRPr="001D6FEF">
        <w:t xml:space="preserve"> Markesinis</w:t>
      </w:r>
      <w:r>
        <w:t>,</w:t>
      </w:r>
      <w:r w:rsidRPr="001D6FEF">
        <w:t xml:space="preserve"> </w:t>
      </w:r>
      <w:r w:rsidRPr="001D6FEF">
        <w:rPr>
          <w:i/>
          <w:iCs/>
        </w:rPr>
        <w:t>Markesinis and Deakin’s Tort Law</w:t>
      </w:r>
      <w:r>
        <w:t xml:space="preserve"> </w:t>
      </w:r>
      <w:r w:rsidRPr="00FB0496">
        <w:t>7</w:t>
      </w:r>
      <w:r w:rsidRPr="00FB0496">
        <w:rPr>
          <w:vertAlign w:val="superscript"/>
        </w:rPr>
        <w:t>th</w:t>
      </w:r>
      <w:r>
        <w:t xml:space="preserve"> E</w:t>
      </w:r>
      <w:r w:rsidRPr="00FB0496">
        <w:t>dn</w:t>
      </w:r>
      <w:r>
        <w:t>. (Oxford:</w:t>
      </w:r>
      <w:r w:rsidRPr="001D6FEF">
        <w:t xml:space="preserve"> Oxfo</w:t>
      </w:r>
      <w:r>
        <w:t>rd University Press, 2013) 106; and Nolan, ‘Damage in the English Law</w:t>
      </w:r>
      <w:r>
        <w:t xml:space="preserve"> of Negligence’ 264. This article </w:t>
      </w:r>
      <w:r>
        <w:t>builds on their analysis and applies it to the medical negligence context.</w:t>
      </w:r>
    </w:p>
  </w:footnote>
  <w:footnote w:id="10">
    <w:p w14:paraId="4FD7922A" w14:textId="77777777" w:rsidR="00F64EE3" w:rsidRDefault="00F64EE3" w:rsidP="00F64EE3">
      <w:pPr>
        <w:pStyle w:val="FootnoteText"/>
      </w:pPr>
      <w:r>
        <w:rPr>
          <w:rStyle w:val="FootnoteReference"/>
        </w:rPr>
        <w:footnoteRef/>
      </w:r>
      <w:r>
        <w:t xml:space="preserve"> </w:t>
      </w:r>
      <w:r w:rsidRPr="00913D3E">
        <w:t>[1973] 1 QB 27</w:t>
      </w:r>
      <w:r>
        <w:t>.</w:t>
      </w:r>
    </w:p>
  </w:footnote>
  <w:footnote w:id="11">
    <w:p w14:paraId="1C0F3F0F" w14:textId="77777777" w:rsidR="00F64EE3" w:rsidRPr="00B53B06" w:rsidRDefault="00F64EE3" w:rsidP="00F64EE3">
      <w:pPr>
        <w:pStyle w:val="FootnoteText"/>
      </w:pPr>
      <w:r w:rsidRPr="00B53B06">
        <w:rPr>
          <w:rStyle w:val="FootnoteReference"/>
        </w:rPr>
        <w:footnoteRef/>
      </w:r>
      <w:r w:rsidRPr="00B53B06">
        <w:t xml:space="preserve"> </w:t>
      </w:r>
      <w:r w:rsidRPr="00685A3D">
        <w:rPr>
          <w:iCs/>
        </w:rPr>
        <w:t>Ibid</w:t>
      </w:r>
      <w:r>
        <w:rPr>
          <w:i/>
          <w:iCs/>
        </w:rPr>
        <w:t>.</w:t>
      </w:r>
      <w:r>
        <w:t xml:space="preserve"> at 37</w:t>
      </w:r>
      <w:r w:rsidRPr="00B53B06">
        <w:t>.</w:t>
      </w:r>
    </w:p>
  </w:footnote>
  <w:footnote w:id="12">
    <w:p w14:paraId="0FF2E836" w14:textId="77777777" w:rsidR="00F64EE3" w:rsidRDefault="00F64EE3" w:rsidP="00F64EE3">
      <w:pPr>
        <w:pStyle w:val="FootnoteText"/>
      </w:pPr>
      <w:r>
        <w:rPr>
          <w:rStyle w:val="FootnoteReference"/>
        </w:rPr>
        <w:footnoteRef/>
      </w:r>
      <w:r>
        <w:t xml:space="preserve"> </w:t>
      </w:r>
      <w:r w:rsidRPr="00AB600E">
        <w:rPr>
          <w:iCs/>
        </w:rPr>
        <w:t>[2000] 2 AC 59.</w:t>
      </w:r>
    </w:p>
  </w:footnote>
  <w:footnote w:id="13">
    <w:p w14:paraId="74C31736" w14:textId="77777777" w:rsidR="00F64EE3" w:rsidRDefault="00F64EE3" w:rsidP="00F64EE3">
      <w:pPr>
        <w:pStyle w:val="FootnoteText"/>
      </w:pPr>
      <w:r>
        <w:rPr>
          <w:rStyle w:val="FootnoteReference"/>
        </w:rPr>
        <w:footnoteRef/>
      </w:r>
      <w:r>
        <w:t xml:space="preserve"> </w:t>
      </w:r>
      <w:r w:rsidRPr="00CE6473">
        <w:t>[2004] 1 AC 309</w:t>
      </w:r>
      <w:r>
        <w:t>.</w:t>
      </w:r>
    </w:p>
  </w:footnote>
  <w:footnote w:id="14">
    <w:p w14:paraId="7B5E6A46" w14:textId="77777777" w:rsidR="00F64EE3" w:rsidRDefault="00F64EE3" w:rsidP="00F64EE3">
      <w:pPr>
        <w:pStyle w:val="FootnoteText"/>
      </w:pPr>
      <w:r>
        <w:rPr>
          <w:rStyle w:val="FootnoteReference"/>
        </w:rPr>
        <w:footnoteRef/>
      </w:r>
      <w:r>
        <w:t xml:space="preserve"> </w:t>
      </w:r>
      <w:r w:rsidRPr="00CE6473">
        <w:t>[2005] 1 AC 134</w:t>
      </w:r>
      <w:r>
        <w:t>.</w:t>
      </w:r>
    </w:p>
  </w:footnote>
  <w:footnote w:id="15">
    <w:p w14:paraId="702002C7" w14:textId="77777777" w:rsidR="00F64EE3" w:rsidRPr="0005020E" w:rsidRDefault="00F64EE3" w:rsidP="00F64EE3">
      <w:pPr>
        <w:pStyle w:val="FootnoteText"/>
      </w:pPr>
      <w:r>
        <w:rPr>
          <w:rStyle w:val="FootnoteReference"/>
        </w:rPr>
        <w:footnoteRef/>
      </w:r>
      <w:r>
        <w:t xml:space="preserve"> Nicolette Priaulx, ‘That’s One Heck of an “Unruly Horse”! Riding Roughshod Over Autonomy in Wrongful Conception’ (2004) 12 </w:t>
      </w:r>
      <w:r>
        <w:rPr>
          <w:i/>
        </w:rPr>
        <w:t xml:space="preserve">Feminist Legal Studies </w:t>
      </w:r>
      <w:r>
        <w:t>317, 322.</w:t>
      </w:r>
    </w:p>
  </w:footnote>
  <w:footnote w:id="16">
    <w:p w14:paraId="1717762B" w14:textId="77777777" w:rsidR="00F64EE3" w:rsidRDefault="00F64EE3" w:rsidP="00F64EE3">
      <w:pPr>
        <w:pStyle w:val="FootnoteText"/>
      </w:pPr>
      <w:r>
        <w:rPr>
          <w:rStyle w:val="FootnoteReference"/>
        </w:rPr>
        <w:footnoteRef/>
      </w:r>
      <w:r>
        <w:t xml:space="preserve"> Charles Foster,</w:t>
      </w:r>
      <w:r w:rsidRPr="008A5044">
        <w:t xml:space="preserve"> ‘It Should Be, Therefore It Is’</w:t>
      </w:r>
      <w:r>
        <w:t xml:space="preserve"> (2004) 154</w:t>
      </w:r>
      <w:r w:rsidRPr="008A5044">
        <w:t xml:space="preserve"> </w:t>
      </w:r>
      <w:r>
        <w:rPr>
          <w:i/>
        </w:rPr>
        <w:t xml:space="preserve">New Law Journal </w:t>
      </w:r>
      <w:r>
        <w:t>1644, 1644.</w:t>
      </w:r>
    </w:p>
  </w:footnote>
  <w:footnote w:id="17">
    <w:p w14:paraId="7A1D1C6B" w14:textId="77777777" w:rsidR="00F64EE3" w:rsidRDefault="00F64EE3" w:rsidP="00F64EE3">
      <w:pPr>
        <w:pStyle w:val="FootnoteText"/>
      </w:pPr>
      <w:r>
        <w:rPr>
          <w:rStyle w:val="FootnoteReference"/>
        </w:rPr>
        <w:footnoteRef/>
      </w:r>
      <w:r>
        <w:t xml:space="preserve"> Sarah Green,</w:t>
      </w:r>
      <w:r w:rsidRPr="00FC68EB">
        <w:t xml:space="preserve"> ‘Coherence of Medical Negligence Cases: A Game of Doctors and Purses’ </w:t>
      </w:r>
      <w:r>
        <w:t xml:space="preserve">(2006) 14 </w:t>
      </w:r>
      <w:r>
        <w:rPr>
          <w:i/>
        </w:rPr>
        <w:t xml:space="preserve">Medical Law Review </w:t>
      </w:r>
      <w:r>
        <w:t>1, 21.</w:t>
      </w:r>
    </w:p>
  </w:footnote>
  <w:footnote w:id="18">
    <w:p w14:paraId="49D83C0B" w14:textId="77777777" w:rsidR="00F64EE3" w:rsidRDefault="00F64EE3" w:rsidP="00F64EE3">
      <w:pPr>
        <w:pStyle w:val="FootnoteText"/>
      </w:pPr>
      <w:r>
        <w:rPr>
          <w:rStyle w:val="FootnoteReference"/>
        </w:rPr>
        <w:footnoteRef/>
      </w:r>
      <w:r>
        <w:t xml:space="preserve"> Victoria </w:t>
      </w:r>
      <w:r w:rsidRPr="00F57A80">
        <w:t>Chico</w:t>
      </w:r>
      <w:r>
        <w:t>,</w:t>
      </w:r>
      <w:r w:rsidRPr="00F57A80">
        <w:t xml:space="preserve"> ‘Wrongful Conception: Policy, Inconsistency and the Conventional Award’ </w:t>
      </w:r>
      <w:r>
        <w:t xml:space="preserve">(2007) 8 </w:t>
      </w:r>
      <w:r>
        <w:rPr>
          <w:i/>
        </w:rPr>
        <w:t xml:space="preserve">Medical Law International </w:t>
      </w:r>
      <w:r>
        <w:t xml:space="preserve">139, </w:t>
      </w:r>
      <w:r w:rsidRPr="00F57A80">
        <w:t>150.</w:t>
      </w:r>
    </w:p>
  </w:footnote>
  <w:footnote w:id="19">
    <w:p w14:paraId="07843F8D" w14:textId="77777777" w:rsidR="00F64EE3" w:rsidRDefault="00F64EE3" w:rsidP="00F64EE3">
      <w:pPr>
        <w:pStyle w:val="FootnoteText"/>
      </w:pPr>
      <w:r>
        <w:rPr>
          <w:rStyle w:val="FootnoteReference"/>
        </w:rPr>
        <w:footnoteRef/>
      </w:r>
      <w:r>
        <w:t xml:space="preserve"> See Nolan,</w:t>
      </w:r>
      <w:r w:rsidRPr="00A7716F">
        <w:t xml:space="preserve"> ‘New Forms of Da</w:t>
      </w:r>
      <w:r>
        <w:t>mage in Negligence’ and ‘Damage in the English Law of Negligence’.</w:t>
      </w:r>
    </w:p>
  </w:footnote>
  <w:footnote w:id="20">
    <w:p w14:paraId="7786B79F" w14:textId="77777777" w:rsidR="00F64EE3" w:rsidRDefault="00F64EE3" w:rsidP="00F64EE3">
      <w:pPr>
        <w:pStyle w:val="FootnoteText"/>
      </w:pPr>
      <w:r>
        <w:rPr>
          <w:rStyle w:val="FootnoteReference"/>
        </w:rPr>
        <w:footnoteRef/>
      </w:r>
      <w:r>
        <w:t xml:space="preserve"> Tony Weir,</w:t>
      </w:r>
      <w:r w:rsidRPr="002C7784">
        <w:t xml:space="preserve"> ‘Li</w:t>
      </w:r>
      <w:r>
        <w:t xml:space="preserve">ability for Syntax’ (1963) 21 </w:t>
      </w:r>
      <w:r>
        <w:rPr>
          <w:i/>
        </w:rPr>
        <w:t xml:space="preserve">Cambridge Law Journal </w:t>
      </w:r>
      <w:r>
        <w:t>216, 218.</w:t>
      </w:r>
    </w:p>
  </w:footnote>
  <w:footnote w:id="21">
    <w:p w14:paraId="063F3FD5" w14:textId="77777777" w:rsidR="00F64EE3" w:rsidRDefault="00F64EE3" w:rsidP="00F64EE3">
      <w:pPr>
        <w:pStyle w:val="FootnoteText"/>
      </w:pPr>
      <w:r>
        <w:rPr>
          <w:rStyle w:val="FootnoteReference"/>
        </w:rPr>
        <w:footnoteRef/>
      </w:r>
      <w:r>
        <w:t xml:space="preserve"> See </w:t>
      </w:r>
      <w:r w:rsidRPr="00DC4E8E">
        <w:rPr>
          <w:i/>
        </w:rPr>
        <w:t>Perrett v Collins</w:t>
      </w:r>
      <w:r w:rsidRPr="00DC4E8E">
        <w:t xml:space="preserve"> [1999] PNLR 77</w:t>
      </w:r>
      <w:r>
        <w:t>.</w:t>
      </w:r>
    </w:p>
  </w:footnote>
  <w:footnote w:id="22">
    <w:p w14:paraId="4380859A" w14:textId="77777777" w:rsidR="00F64EE3" w:rsidRPr="003246E6" w:rsidRDefault="00F64EE3" w:rsidP="00F64EE3">
      <w:pPr>
        <w:pStyle w:val="FootnoteText"/>
        <w:rPr>
          <w:i/>
        </w:rPr>
      </w:pPr>
      <w:r>
        <w:rPr>
          <w:rStyle w:val="FootnoteReference"/>
        </w:rPr>
        <w:footnoteRef/>
      </w:r>
      <w:r>
        <w:t xml:space="preserve"> See </w:t>
      </w:r>
      <w:r w:rsidRPr="003246E6">
        <w:rPr>
          <w:i/>
          <w:iCs/>
        </w:rPr>
        <w:t xml:space="preserve">Alcock v Chief Constable of South Yorkshire Police </w:t>
      </w:r>
      <w:r w:rsidRPr="003246E6">
        <w:t>[1992] 1 AC 310.</w:t>
      </w:r>
    </w:p>
  </w:footnote>
  <w:footnote w:id="23">
    <w:p w14:paraId="349239C4" w14:textId="77777777" w:rsidR="00F64EE3" w:rsidRDefault="00F64EE3" w:rsidP="00F64EE3">
      <w:pPr>
        <w:pStyle w:val="FootnoteText"/>
      </w:pPr>
      <w:r>
        <w:rPr>
          <w:rStyle w:val="FootnoteReference"/>
        </w:rPr>
        <w:footnoteRef/>
      </w:r>
      <w:r>
        <w:t xml:space="preserve"> See </w:t>
      </w:r>
      <w:r w:rsidRPr="005505D4">
        <w:rPr>
          <w:i/>
          <w:iCs/>
        </w:rPr>
        <w:t>Spartan Steel</w:t>
      </w:r>
      <w:r>
        <w:t xml:space="preserve"> and </w:t>
      </w:r>
      <w:r w:rsidRPr="003246E6">
        <w:rPr>
          <w:i/>
        </w:rPr>
        <w:t>Marc Rich &amp; Co v Bishop Rock Marine Co</w:t>
      </w:r>
      <w:r w:rsidRPr="003246E6">
        <w:t xml:space="preserve"> [1996] AC 211.</w:t>
      </w:r>
    </w:p>
  </w:footnote>
  <w:footnote w:id="24">
    <w:p w14:paraId="68BEDF5B" w14:textId="77777777" w:rsidR="00F64EE3" w:rsidRDefault="00F64EE3" w:rsidP="00F64EE3">
      <w:pPr>
        <w:pStyle w:val="FootnoteText"/>
      </w:pPr>
      <w:r>
        <w:rPr>
          <w:rStyle w:val="FootnoteReference"/>
        </w:rPr>
        <w:footnoteRef/>
      </w:r>
      <w:r>
        <w:t xml:space="preserve"> See </w:t>
      </w:r>
      <w:r w:rsidRPr="003246E6">
        <w:rPr>
          <w:i/>
        </w:rPr>
        <w:t>Hedley Byrne &amp; Co Ltd v Heller &amp; Partners Ltd</w:t>
      </w:r>
      <w:r w:rsidRPr="003246E6">
        <w:t xml:space="preserve"> [1964] AC 465</w:t>
      </w:r>
      <w:r>
        <w:t>.</w:t>
      </w:r>
    </w:p>
  </w:footnote>
  <w:footnote w:id="25">
    <w:p w14:paraId="7D8B8703" w14:textId="77777777" w:rsidR="00F64EE3" w:rsidRDefault="00F64EE3" w:rsidP="00F64EE3">
      <w:pPr>
        <w:pStyle w:val="FootnoteText"/>
      </w:pPr>
      <w:r>
        <w:rPr>
          <w:rStyle w:val="FootnoteReference"/>
        </w:rPr>
        <w:footnoteRef/>
      </w:r>
      <w:r>
        <w:t xml:space="preserve"> See </w:t>
      </w:r>
      <w:r w:rsidRPr="00151732">
        <w:rPr>
          <w:i/>
        </w:rPr>
        <w:t xml:space="preserve">Perrett v Collins </w:t>
      </w:r>
      <w:r w:rsidRPr="00151732">
        <w:t>[1999] PNLR 77</w:t>
      </w:r>
      <w:r>
        <w:rPr>
          <w:i/>
        </w:rPr>
        <w:t xml:space="preserve"> </w:t>
      </w:r>
      <w:r>
        <w:t>at 87 per Lord Hobhouse.</w:t>
      </w:r>
    </w:p>
  </w:footnote>
  <w:footnote w:id="26">
    <w:p w14:paraId="6CC77FF0" w14:textId="77777777" w:rsidR="00F64EE3" w:rsidRPr="002C5726" w:rsidRDefault="00F64EE3" w:rsidP="00F64EE3">
      <w:pPr>
        <w:pStyle w:val="FootnoteText"/>
        <w:rPr>
          <w:b/>
          <w:bCs/>
        </w:rPr>
      </w:pPr>
      <w:r>
        <w:rPr>
          <w:rStyle w:val="FootnoteReference"/>
        </w:rPr>
        <w:footnoteRef/>
      </w:r>
      <w:r>
        <w:t xml:space="preserve"> See </w:t>
      </w:r>
      <w:r w:rsidRPr="002C5726">
        <w:rPr>
          <w:bCs/>
          <w:i/>
          <w:iCs/>
        </w:rPr>
        <w:t>White v Chief Constable of South Yorkshire Police</w:t>
      </w:r>
      <w:r>
        <w:rPr>
          <w:bCs/>
          <w:iCs/>
        </w:rPr>
        <w:t xml:space="preserve"> </w:t>
      </w:r>
      <w:r w:rsidRPr="002C5726">
        <w:rPr>
          <w:bCs/>
          <w:iCs/>
        </w:rPr>
        <w:t>[1999] 2 AC 455.</w:t>
      </w:r>
    </w:p>
  </w:footnote>
  <w:footnote w:id="27">
    <w:p w14:paraId="3C841226" w14:textId="77777777" w:rsidR="00F64EE3" w:rsidRDefault="00F64EE3" w:rsidP="00F64EE3">
      <w:pPr>
        <w:pStyle w:val="FootnoteText"/>
      </w:pPr>
      <w:r>
        <w:rPr>
          <w:rStyle w:val="FootnoteReference"/>
        </w:rPr>
        <w:footnoteRef/>
      </w:r>
      <w:r>
        <w:t xml:space="preserve"> See </w:t>
      </w:r>
      <w:r w:rsidRPr="00844720">
        <w:rPr>
          <w:i/>
        </w:rPr>
        <w:t>Murphy v Brentwood District Council</w:t>
      </w:r>
      <w:r w:rsidRPr="00844720">
        <w:t xml:space="preserve"> [1991] 1 AC 398.</w:t>
      </w:r>
    </w:p>
  </w:footnote>
  <w:footnote w:id="28">
    <w:p w14:paraId="31B90E4D" w14:textId="77777777" w:rsidR="00F64EE3" w:rsidRDefault="00F64EE3" w:rsidP="00F64EE3">
      <w:pPr>
        <w:pStyle w:val="FootnoteText"/>
      </w:pPr>
      <w:r w:rsidRPr="005505D4">
        <w:rPr>
          <w:rStyle w:val="FootnoteReference"/>
        </w:rPr>
        <w:footnoteRef/>
      </w:r>
      <w:r w:rsidRPr="005505D4">
        <w:t xml:space="preserve"> See </w:t>
      </w:r>
      <w:r>
        <w:t xml:space="preserve">Anthony </w:t>
      </w:r>
      <w:r w:rsidRPr="005505D4">
        <w:t>Dugdale, and</w:t>
      </w:r>
      <w:r>
        <w:t xml:space="preserve"> Michael</w:t>
      </w:r>
      <w:r w:rsidRPr="005505D4">
        <w:t xml:space="preserve"> Jones</w:t>
      </w:r>
      <w:r>
        <w:t xml:space="preserve"> (E</w:t>
      </w:r>
      <w:r w:rsidRPr="005505D4">
        <w:t>ds</w:t>
      </w:r>
      <w:r>
        <w:t>.),</w:t>
      </w:r>
      <w:r w:rsidRPr="005505D4">
        <w:t xml:space="preserve"> </w:t>
      </w:r>
      <w:r w:rsidRPr="005505D4">
        <w:rPr>
          <w:i/>
        </w:rPr>
        <w:t>Clerk and Lindsell on Torts</w:t>
      </w:r>
      <w:r>
        <w:t xml:space="preserve"> 20</w:t>
      </w:r>
      <w:r w:rsidRPr="005B4178">
        <w:rPr>
          <w:vertAlign w:val="superscript"/>
        </w:rPr>
        <w:t>th</w:t>
      </w:r>
      <w:r>
        <w:t xml:space="preserve"> Edn.  (London: Sweet and Maxwell, 2013)</w:t>
      </w:r>
      <w:r w:rsidRPr="005505D4">
        <w:t xml:space="preserve"> </w:t>
      </w:r>
      <w:r>
        <w:t>[</w:t>
      </w:r>
      <w:r w:rsidRPr="005505D4">
        <w:t>1-131</w:t>
      </w:r>
      <w:r>
        <w:t>]</w:t>
      </w:r>
      <w:r w:rsidRPr="005505D4">
        <w:t>.</w:t>
      </w:r>
    </w:p>
  </w:footnote>
  <w:footnote w:id="29">
    <w:p w14:paraId="2366794A" w14:textId="77777777" w:rsidR="00F64EE3" w:rsidRPr="005505D4" w:rsidRDefault="00F64EE3" w:rsidP="00F64EE3">
      <w:pPr>
        <w:pStyle w:val="FootnoteText"/>
      </w:pPr>
      <w:r>
        <w:rPr>
          <w:rStyle w:val="FootnoteReference"/>
        </w:rPr>
        <w:footnoteRef/>
      </w:r>
      <w:r>
        <w:t xml:space="preserve"> See </w:t>
      </w:r>
      <w:r w:rsidRPr="002C7784">
        <w:rPr>
          <w:i/>
          <w:iCs/>
        </w:rPr>
        <w:t xml:space="preserve">Dulieu v White </w:t>
      </w:r>
      <w:r w:rsidRPr="002C7784">
        <w:t>[1901] 2 KB 669</w:t>
      </w:r>
      <w:r>
        <w:t xml:space="preserve"> (psychiatric harm), </w:t>
      </w:r>
      <w:r w:rsidRPr="002C7784">
        <w:rPr>
          <w:i/>
        </w:rPr>
        <w:t xml:space="preserve">Hedley Byrne </w:t>
      </w:r>
      <w:r>
        <w:t>(economic loss) and, for more recent examples Nolan, ‘New Forms of Damage in Negligence’</w:t>
      </w:r>
      <w:r w:rsidRPr="00010BCC">
        <w:t>.</w:t>
      </w:r>
    </w:p>
  </w:footnote>
  <w:footnote w:id="30">
    <w:p w14:paraId="2D47D324" w14:textId="77777777" w:rsidR="00F64EE3" w:rsidRDefault="00F64EE3" w:rsidP="00F64EE3">
      <w:pPr>
        <w:pStyle w:val="FootnoteText"/>
      </w:pPr>
      <w:r>
        <w:rPr>
          <w:rStyle w:val="FootnoteReference"/>
        </w:rPr>
        <w:footnoteRef/>
      </w:r>
      <w:r>
        <w:t xml:space="preserve"> </w:t>
      </w:r>
      <w:r w:rsidRPr="001B6CAF">
        <w:rPr>
          <w:lang w:val="it-IT"/>
        </w:rPr>
        <w:t>[1932] AC 562</w:t>
      </w:r>
      <w:r>
        <w:rPr>
          <w:lang w:val="it-IT"/>
        </w:rPr>
        <w:t>.</w:t>
      </w:r>
    </w:p>
  </w:footnote>
  <w:footnote w:id="31">
    <w:p w14:paraId="377BDBF4" w14:textId="77777777" w:rsidR="00F64EE3" w:rsidRPr="00FB566F" w:rsidRDefault="00F64EE3" w:rsidP="00F64EE3">
      <w:pPr>
        <w:pStyle w:val="FootnoteText"/>
        <w:rPr>
          <w:lang w:val="it-IT"/>
        </w:rPr>
      </w:pPr>
      <w:r>
        <w:rPr>
          <w:rStyle w:val="FootnoteReference"/>
        </w:rPr>
        <w:footnoteRef/>
      </w:r>
      <w:r w:rsidRPr="00FB566F">
        <w:rPr>
          <w:lang w:val="it-IT"/>
        </w:rPr>
        <w:t xml:space="preserve"> </w:t>
      </w:r>
      <w:r>
        <w:rPr>
          <w:lang w:val="it-IT"/>
        </w:rPr>
        <w:t xml:space="preserve">At </w:t>
      </w:r>
      <w:r w:rsidRPr="00FB566F">
        <w:rPr>
          <w:lang w:val="it-IT"/>
        </w:rPr>
        <w:t>619.</w:t>
      </w:r>
    </w:p>
  </w:footnote>
  <w:footnote w:id="32">
    <w:p w14:paraId="25B1EB3F" w14:textId="77777777" w:rsidR="00F64EE3" w:rsidRPr="00FB566F" w:rsidRDefault="00F64EE3" w:rsidP="00F64EE3">
      <w:pPr>
        <w:pStyle w:val="FootnoteText"/>
        <w:rPr>
          <w:lang w:val="it-IT"/>
        </w:rPr>
      </w:pPr>
      <w:r>
        <w:rPr>
          <w:rStyle w:val="FootnoteReference"/>
        </w:rPr>
        <w:footnoteRef/>
      </w:r>
      <w:r w:rsidRPr="00FB566F">
        <w:rPr>
          <w:lang w:val="it-IT"/>
        </w:rPr>
        <w:t xml:space="preserve"> </w:t>
      </w:r>
      <w:r>
        <w:rPr>
          <w:lang w:val="it-IT"/>
        </w:rPr>
        <w:t>At 619.</w:t>
      </w:r>
    </w:p>
  </w:footnote>
  <w:footnote w:id="33">
    <w:p w14:paraId="359A8DEE" w14:textId="77777777" w:rsidR="00F64EE3" w:rsidRDefault="00F64EE3" w:rsidP="00F64EE3">
      <w:pPr>
        <w:pStyle w:val="FootnoteText"/>
      </w:pPr>
      <w:r>
        <w:rPr>
          <w:rStyle w:val="FootnoteReference"/>
        </w:rPr>
        <w:footnoteRef/>
      </w:r>
      <w:r>
        <w:t xml:space="preserve"> H</w:t>
      </w:r>
      <w:r w:rsidRPr="00455579">
        <w:t xml:space="preserve">e would have instead awarded the parents conventional sum of £5,000 representing the fact that they had been denied </w:t>
      </w:r>
      <w:r>
        <w:t>‘</w:t>
      </w:r>
      <w:r w:rsidRPr="00455579">
        <w:t>an important aspect of their personal autonomy</w:t>
      </w:r>
      <w:r>
        <w:t xml:space="preserve">’: </w:t>
      </w:r>
      <w:r w:rsidRPr="00455579">
        <w:rPr>
          <w:i/>
        </w:rPr>
        <w:t>McFarlane v Tayside Health Board</w:t>
      </w:r>
      <w:r w:rsidRPr="00455579">
        <w:t xml:space="preserve"> [2000] 2 AC 59</w:t>
      </w:r>
      <w:r>
        <w:t xml:space="preserve"> at 114.</w:t>
      </w:r>
    </w:p>
  </w:footnote>
  <w:footnote w:id="34">
    <w:p w14:paraId="0543A63A" w14:textId="77777777" w:rsidR="00F64EE3" w:rsidRPr="00BA19EE" w:rsidRDefault="00F64EE3" w:rsidP="00F64EE3">
      <w:pPr>
        <w:pStyle w:val="FootnoteText"/>
        <w:rPr>
          <w:iCs/>
        </w:rPr>
      </w:pPr>
      <w:r>
        <w:rPr>
          <w:rStyle w:val="FootnoteReference"/>
        </w:rPr>
        <w:footnoteRef/>
      </w:r>
      <w:r>
        <w:t xml:space="preserve"> See </w:t>
      </w:r>
      <w:r w:rsidRPr="00BA19EE">
        <w:rPr>
          <w:i/>
        </w:rPr>
        <w:t>Emeh v Kensington and Chelsea and Westminster Area Health Authority</w:t>
      </w:r>
      <w:r>
        <w:rPr>
          <w:iCs/>
        </w:rPr>
        <w:t xml:space="preserve"> [1985] 1 QB 1012; </w:t>
      </w:r>
      <w:r w:rsidRPr="00BA19EE">
        <w:rPr>
          <w:i/>
          <w:iCs/>
        </w:rPr>
        <w:t>Thake v Maurice</w:t>
      </w:r>
      <w:r>
        <w:rPr>
          <w:iCs/>
        </w:rPr>
        <w:t xml:space="preserve"> [1985] 2 WLR 215 and </w:t>
      </w:r>
      <w:r w:rsidRPr="00BA19EE">
        <w:rPr>
          <w:i/>
          <w:iCs/>
        </w:rPr>
        <w:t>Allen v Bloomsbury Health Authority</w:t>
      </w:r>
      <w:r w:rsidRPr="00BA19EE">
        <w:rPr>
          <w:iCs/>
        </w:rPr>
        <w:t xml:space="preserve"> [1992] PIQR Q50.</w:t>
      </w:r>
    </w:p>
  </w:footnote>
  <w:footnote w:id="35">
    <w:p w14:paraId="0F4CAC7B" w14:textId="77777777" w:rsidR="00F64EE3" w:rsidRDefault="00F64EE3" w:rsidP="00F64EE3">
      <w:pPr>
        <w:pStyle w:val="FootnoteText"/>
      </w:pPr>
      <w:r>
        <w:rPr>
          <w:rStyle w:val="FootnoteReference"/>
        </w:rPr>
        <w:footnoteRef/>
      </w:r>
      <w:r>
        <w:t xml:space="preserve"> </w:t>
      </w:r>
      <w:r w:rsidRPr="00166579">
        <w:t>Lord Millett</w:t>
      </w:r>
      <w:r>
        <w:t xml:space="preserve"> (at 114) believed the mother’s claim</w:t>
      </w:r>
      <w:r w:rsidRPr="00166579">
        <w:t xml:space="preserve"> was inconsistent with the dismissal of the parents’ claim and </w:t>
      </w:r>
      <w:r>
        <w:t>Christian Witting</w:t>
      </w:r>
      <w:r w:rsidRPr="00166579">
        <w:t xml:space="preserve"> has argued that as pregnancy is a natural process it is not a deleterious physical change and so </w:t>
      </w:r>
      <w:r w:rsidRPr="00166579">
        <w:rPr>
          <w:i/>
        </w:rPr>
        <w:t>McFarlane</w:t>
      </w:r>
      <w:r w:rsidRPr="00166579">
        <w:t xml:space="preserve"> represents a widening of the concept of personal injury</w:t>
      </w:r>
      <w:r>
        <w:t xml:space="preserve"> (‘Physical Damage in Negligence’). For the contrary view, see Joanne Conaghan, ‘Tort Law and Feminist Critique’ (2003) 56 </w:t>
      </w:r>
      <w:r>
        <w:rPr>
          <w:i/>
        </w:rPr>
        <w:t xml:space="preserve">Current Legal Problems </w:t>
      </w:r>
      <w:r>
        <w:t xml:space="preserve">175, 190-191, Nolan, ‘New Forms of Damage in Negligence’ and the </w:t>
      </w:r>
      <w:r w:rsidRPr="00166579">
        <w:t xml:space="preserve">speech of Hale LJ (as she then was) in </w:t>
      </w:r>
      <w:r w:rsidRPr="00166579">
        <w:rPr>
          <w:i/>
          <w:iCs/>
        </w:rPr>
        <w:t>Parkinson v St James and Seacroft University Hospital NHS Trust</w:t>
      </w:r>
      <w:r w:rsidRPr="00166579">
        <w:t xml:space="preserve"> [2002] QB 266.</w:t>
      </w:r>
    </w:p>
  </w:footnote>
  <w:footnote w:id="36">
    <w:p w14:paraId="0B81A103" w14:textId="77777777" w:rsidR="00F64EE3" w:rsidRDefault="00F64EE3" w:rsidP="00F64EE3">
      <w:pPr>
        <w:pStyle w:val="FootnoteText"/>
      </w:pPr>
      <w:r>
        <w:rPr>
          <w:rStyle w:val="FootnoteReference"/>
        </w:rPr>
        <w:footnoteRef/>
      </w:r>
      <w:r>
        <w:t xml:space="preserve"> </w:t>
      </w:r>
      <w:r>
        <w:rPr>
          <w:i/>
        </w:rPr>
        <w:t>McFarlane</w:t>
      </w:r>
      <w:r>
        <w:t xml:space="preserve"> at 113-114</w:t>
      </w:r>
      <w:r w:rsidRPr="00AE35DA">
        <w:t xml:space="preserve"> </w:t>
      </w:r>
      <w:r>
        <w:t xml:space="preserve">per </w:t>
      </w:r>
      <w:r w:rsidRPr="00AE35DA">
        <w:t>Lord Millett.</w:t>
      </w:r>
    </w:p>
  </w:footnote>
  <w:footnote w:id="37">
    <w:p w14:paraId="070A97A8" w14:textId="77777777" w:rsidR="00F64EE3" w:rsidRDefault="00F64EE3" w:rsidP="00F64EE3">
      <w:pPr>
        <w:pStyle w:val="FootnoteText"/>
      </w:pPr>
      <w:r>
        <w:rPr>
          <w:rStyle w:val="FootnoteReference"/>
        </w:rPr>
        <w:footnoteRef/>
      </w:r>
      <w:r>
        <w:t xml:space="preserve"> At 82 per </w:t>
      </w:r>
      <w:r w:rsidRPr="00AE35DA">
        <w:t xml:space="preserve">Lord </w:t>
      </w:r>
      <w:r>
        <w:t>Steyn</w:t>
      </w:r>
      <w:r w:rsidRPr="00AE35DA">
        <w:t>.</w:t>
      </w:r>
    </w:p>
  </w:footnote>
  <w:footnote w:id="38">
    <w:p w14:paraId="3C68B7E9" w14:textId="77777777" w:rsidR="00F64EE3" w:rsidRDefault="00F64EE3" w:rsidP="00F64EE3">
      <w:pPr>
        <w:pStyle w:val="FootnoteText"/>
      </w:pPr>
      <w:r>
        <w:rPr>
          <w:rStyle w:val="FootnoteReference"/>
        </w:rPr>
        <w:footnoteRef/>
      </w:r>
      <w:r>
        <w:rPr>
          <w:i/>
        </w:rPr>
        <w:t xml:space="preserve"> </w:t>
      </w:r>
      <w:r>
        <w:t>At</w:t>
      </w:r>
      <w:r w:rsidRPr="00AE35DA">
        <w:t xml:space="preserve"> </w:t>
      </w:r>
      <w:r>
        <w:t>91</w:t>
      </w:r>
      <w:r w:rsidRPr="00AE35DA">
        <w:t xml:space="preserve"> </w:t>
      </w:r>
      <w:r>
        <w:t xml:space="preserve">per </w:t>
      </w:r>
      <w:r w:rsidRPr="00AE35DA">
        <w:t xml:space="preserve">Lord </w:t>
      </w:r>
      <w:r>
        <w:t>Hope and 106 per Lord Clyde.</w:t>
      </w:r>
    </w:p>
  </w:footnote>
  <w:footnote w:id="39">
    <w:p w14:paraId="1864421C" w14:textId="77777777" w:rsidR="00F64EE3" w:rsidRDefault="00F64EE3" w:rsidP="00F64EE3">
      <w:pPr>
        <w:pStyle w:val="FootnoteText"/>
      </w:pPr>
      <w:r>
        <w:rPr>
          <w:rStyle w:val="FootnoteReference"/>
        </w:rPr>
        <w:footnoteRef/>
      </w:r>
      <w:r>
        <w:t xml:space="preserve"> At</w:t>
      </w:r>
      <w:r w:rsidRPr="00AE35DA">
        <w:t xml:space="preserve"> </w:t>
      </w:r>
      <w:r>
        <w:t>76 per Lord Slynn.</w:t>
      </w:r>
    </w:p>
  </w:footnote>
  <w:footnote w:id="40">
    <w:p w14:paraId="5948E531" w14:textId="77777777" w:rsidR="00F64EE3" w:rsidRDefault="00F64EE3" w:rsidP="00F64EE3">
      <w:pPr>
        <w:pStyle w:val="FootnoteText"/>
      </w:pPr>
      <w:r>
        <w:rPr>
          <w:rStyle w:val="FootnoteReference"/>
        </w:rPr>
        <w:footnoteRef/>
      </w:r>
      <w:r>
        <w:t xml:space="preserve"> At 76 per Lord Steyn.</w:t>
      </w:r>
    </w:p>
  </w:footnote>
  <w:footnote w:id="41">
    <w:p w14:paraId="5C8D6B68" w14:textId="77777777" w:rsidR="00F64EE3" w:rsidRDefault="00F64EE3" w:rsidP="00F64EE3">
      <w:pPr>
        <w:pStyle w:val="FootnoteText"/>
      </w:pPr>
      <w:r>
        <w:rPr>
          <w:rStyle w:val="FootnoteReference"/>
        </w:rPr>
        <w:footnoteRef/>
      </w:r>
      <w:r>
        <w:t xml:space="preserve"> At 97 per Lord Hope.</w:t>
      </w:r>
    </w:p>
  </w:footnote>
  <w:footnote w:id="42">
    <w:p w14:paraId="385E501F" w14:textId="77777777" w:rsidR="00F64EE3" w:rsidRPr="00F80A57" w:rsidRDefault="00F64EE3" w:rsidP="00F64EE3">
      <w:pPr>
        <w:pStyle w:val="FootnoteText"/>
      </w:pPr>
      <w:r>
        <w:rPr>
          <w:rStyle w:val="FootnoteReference"/>
        </w:rPr>
        <w:footnoteRef/>
      </w:r>
      <w:r>
        <w:t xml:space="preserve"> Nicholas Watt ‘</w:t>
      </w:r>
      <w:r w:rsidRPr="00F80A57">
        <w:t xml:space="preserve">Nick Clegg attacks limit on child benefit </w:t>
      </w:r>
      <w:r>
        <w:t xml:space="preserve">as 'Chinese-style family policy’’ </w:t>
      </w:r>
      <w:r>
        <w:rPr>
          <w:i/>
        </w:rPr>
        <w:t>The Guardian</w:t>
      </w:r>
      <w:r>
        <w:t xml:space="preserve"> (London, 12 January 2014)</w:t>
      </w:r>
      <w:r w:rsidRPr="00F80A57">
        <w:t> </w:t>
      </w:r>
      <w:r>
        <w:t>&lt;</w:t>
      </w:r>
      <w:r w:rsidRPr="00F80A57">
        <w:t>http://gu.com/p/3yne8/tw</w:t>
      </w:r>
      <w:r>
        <w:t>&gt; Last Accessed 12 August 2014.</w:t>
      </w:r>
    </w:p>
  </w:footnote>
  <w:footnote w:id="43">
    <w:p w14:paraId="153478DA" w14:textId="77777777" w:rsidR="00F64EE3" w:rsidRDefault="00F64EE3" w:rsidP="00F64EE3">
      <w:pPr>
        <w:pStyle w:val="FootnoteText"/>
      </w:pPr>
      <w:r>
        <w:rPr>
          <w:rStyle w:val="FootnoteReference"/>
        </w:rPr>
        <w:footnoteRef/>
      </w:r>
      <w:r>
        <w:t xml:space="preserve"> [1992] PIQR</w:t>
      </w:r>
      <w:r w:rsidRPr="00EF2A22">
        <w:t xml:space="preserve"> Q50</w:t>
      </w:r>
      <w:r>
        <w:t xml:space="preserve"> at Q62 per Brooke J.</w:t>
      </w:r>
      <w:r w:rsidRPr="00EF2A22">
        <w:t>  </w:t>
      </w:r>
    </w:p>
  </w:footnote>
  <w:footnote w:id="44">
    <w:p w14:paraId="190CF088" w14:textId="77777777" w:rsidR="00F64EE3" w:rsidRPr="005C47B9" w:rsidRDefault="00F64EE3" w:rsidP="00F64EE3">
      <w:pPr>
        <w:pStyle w:val="FootnoteText"/>
        <w:rPr>
          <w:iCs/>
        </w:rPr>
      </w:pPr>
      <w:r>
        <w:rPr>
          <w:rStyle w:val="FootnoteReference"/>
        </w:rPr>
        <w:footnoteRef/>
      </w:r>
      <w:r>
        <w:t xml:space="preserve"> See Niciolette Priaulx </w:t>
      </w:r>
      <w:r>
        <w:rPr>
          <w:i/>
        </w:rPr>
        <w:t>The Harm Paradox: Tort Law and the Unwanted Child in the Era of Choice</w:t>
      </w:r>
      <w:r>
        <w:t xml:space="preserve"> (London: Routledge-Cavendish, 2007)</w:t>
      </w:r>
      <w:r>
        <w:rPr>
          <w:iCs/>
        </w:rPr>
        <w:t xml:space="preserve">; Elizabeth </w:t>
      </w:r>
      <w:r w:rsidRPr="00A84E8A">
        <w:t>Adjin-Tettey ‘Claims of Involuntary P</w:t>
      </w:r>
      <w:r>
        <w:t>arenthood: Why the Resistance?’</w:t>
      </w:r>
      <w:r w:rsidRPr="000D4BE2">
        <w:t xml:space="preserve"> </w:t>
      </w:r>
      <w:r>
        <w:t xml:space="preserve">in </w:t>
      </w:r>
      <w:r w:rsidRPr="003D7E64">
        <w:t xml:space="preserve">Jason Neyers, Erika Chamberlain and Stephen Pitel (Eds.), </w:t>
      </w:r>
      <w:r w:rsidRPr="003D7E64">
        <w:rPr>
          <w:i/>
        </w:rPr>
        <w:t>Emerging Issues in Tort Law</w:t>
      </w:r>
      <w:r w:rsidRPr="003D7E64">
        <w:t xml:space="preserve"> (Oxford: Hart Publishing, 2007)</w:t>
      </w:r>
      <w:r>
        <w:t xml:space="preserve"> 85; and Victoria </w:t>
      </w:r>
      <w:r w:rsidRPr="00A84E8A">
        <w:t xml:space="preserve">Chico, </w:t>
      </w:r>
      <w:r>
        <w:t xml:space="preserve">‘Wrongful Conception’ and </w:t>
      </w:r>
      <w:r w:rsidRPr="003728EB">
        <w:rPr>
          <w:i/>
        </w:rPr>
        <w:t>Genomic Negligence: An Interest in Autonomy as the Basis for Novel Negligence Claims Generated by Genetic Technology</w:t>
      </w:r>
      <w:r>
        <w:t xml:space="preserve"> (London: Routledge-Cavendish, 2011).</w:t>
      </w:r>
    </w:p>
  </w:footnote>
  <w:footnote w:id="45">
    <w:p w14:paraId="207440C3" w14:textId="77777777" w:rsidR="00F64EE3" w:rsidRDefault="00F64EE3" w:rsidP="00F64EE3">
      <w:pPr>
        <w:pStyle w:val="FootnoteText"/>
      </w:pPr>
      <w:r>
        <w:rPr>
          <w:rStyle w:val="FootnoteReference"/>
        </w:rPr>
        <w:footnoteRef/>
      </w:r>
      <w:r>
        <w:t xml:space="preserve"> </w:t>
      </w:r>
      <w:r w:rsidRPr="00216DD3">
        <w:rPr>
          <w:bCs/>
          <w:iCs/>
          <w:lang w:val="it-IT"/>
        </w:rPr>
        <w:t>[1990] 2 AC 605.</w:t>
      </w:r>
    </w:p>
  </w:footnote>
  <w:footnote w:id="46">
    <w:p w14:paraId="26E54AE3" w14:textId="77777777" w:rsidR="00F64EE3" w:rsidRPr="00C22102" w:rsidRDefault="00F64EE3" w:rsidP="00F64EE3">
      <w:pPr>
        <w:pStyle w:val="FootnoteText"/>
        <w:rPr>
          <w:lang w:val="it-IT"/>
        </w:rPr>
      </w:pPr>
      <w:r>
        <w:rPr>
          <w:rStyle w:val="FootnoteReference"/>
        </w:rPr>
        <w:footnoteRef/>
      </w:r>
      <w:r w:rsidRPr="00E65F95">
        <w:rPr>
          <w:lang w:val="it-IT"/>
        </w:rPr>
        <w:t xml:space="preserve"> </w:t>
      </w:r>
      <w:r>
        <w:rPr>
          <w:lang w:val="it-IT"/>
        </w:rPr>
        <w:t>At</w:t>
      </w:r>
      <w:r w:rsidRPr="00C22102">
        <w:rPr>
          <w:lang w:val="it-IT"/>
        </w:rPr>
        <w:t xml:space="preserve"> 635.</w:t>
      </w:r>
    </w:p>
  </w:footnote>
  <w:footnote w:id="47">
    <w:p w14:paraId="4576BC55" w14:textId="77777777" w:rsidR="00F64EE3" w:rsidRPr="00FC1D3D" w:rsidRDefault="00F64EE3" w:rsidP="00F64EE3">
      <w:pPr>
        <w:pStyle w:val="FootnoteText"/>
        <w:rPr>
          <w:lang w:val="it-IT"/>
        </w:rPr>
      </w:pPr>
      <w:r>
        <w:rPr>
          <w:rStyle w:val="FootnoteReference"/>
        </w:rPr>
        <w:footnoteRef/>
      </w:r>
      <w:r w:rsidRPr="00FC1D3D">
        <w:rPr>
          <w:lang w:val="it-IT"/>
        </w:rPr>
        <w:t xml:space="preserve"> </w:t>
      </w:r>
      <w:r>
        <w:rPr>
          <w:lang w:val="it-IT"/>
        </w:rPr>
        <w:t>At</w:t>
      </w:r>
      <w:r w:rsidRPr="00FC1D3D">
        <w:rPr>
          <w:lang w:val="it-IT"/>
        </w:rPr>
        <w:t xml:space="preserve"> 618 </w:t>
      </w:r>
      <w:r>
        <w:rPr>
          <w:lang w:val="it-IT"/>
        </w:rPr>
        <w:t xml:space="preserve">per </w:t>
      </w:r>
      <w:r w:rsidRPr="00FC1D3D">
        <w:rPr>
          <w:lang w:val="it-IT"/>
        </w:rPr>
        <w:t>Lord Bridge.</w:t>
      </w:r>
    </w:p>
  </w:footnote>
  <w:footnote w:id="48">
    <w:p w14:paraId="7723E8DC" w14:textId="77777777" w:rsidR="00F64EE3" w:rsidRPr="00C22102" w:rsidRDefault="00F64EE3" w:rsidP="00F64EE3">
      <w:pPr>
        <w:pStyle w:val="FootnoteText"/>
      </w:pPr>
      <w:r>
        <w:rPr>
          <w:rStyle w:val="FootnoteReference"/>
        </w:rPr>
        <w:footnoteRef/>
      </w:r>
      <w:r>
        <w:t xml:space="preserve"> At 618 per Lord Bridge.</w:t>
      </w:r>
    </w:p>
  </w:footnote>
  <w:footnote w:id="49">
    <w:p w14:paraId="37A933E9" w14:textId="77777777" w:rsidR="00F64EE3" w:rsidRPr="00E415C1" w:rsidRDefault="00F64EE3" w:rsidP="00F64EE3">
      <w:pPr>
        <w:pStyle w:val="FootnoteText"/>
        <w:rPr>
          <w:lang w:val="it-IT"/>
        </w:rPr>
      </w:pPr>
      <w:r>
        <w:rPr>
          <w:rStyle w:val="FootnoteReference"/>
        </w:rPr>
        <w:footnoteRef/>
      </w:r>
      <w:r w:rsidRPr="00E65F95">
        <w:rPr>
          <w:lang w:val="it-IT"/>
        </w:rPr>
        <w:t xml:space="preserve"> </w:t>
      </w:r>
      <w:r>
        <w:rPr>
          <w:lang w:val="it-IT"/>
        </w:rPr>
        <w:t>At</w:t>
      </w:r>
      <w:r w:rsidRPr="00C22102">
        <w:rPr>
          <w:lang w:val="it-IT"/>
        </w:rPr>
        <w:t xml:space="preserve"> 635 </w:t>
      </w:r>
      <w:r>
        <w:rPr>
          <w:lang w:val="it-IT"/>
        </w:rPr>
        <w:t xml:space="preserve">per </w:t>
      </w:r>
      <w:r w:rsidRPr="00C22102">
        <w:rPr>
          <w:lang w:val="it-IT"/>
        </w:rPr>
        <w:t>Lord Oliver.</w:t>
      </w:r>
      <w:r>
        <w:rPr>
          <w:lang w:val="it-IT"/>
        </w:rPr>
        <w:t xml:space="preserve"> For a more recent authority supporting this approach see </w:t>
      </w:r>
      <w:r w:rsidRPr="001A760D">
        <w:rPr>
          <w:i/>
        </w:rPr>
        <w:t>Customs and Excise Commissioners v Barclays Bank plc</w:t>
      </w:r>
      <w:r>
        <w:t xml:space="preserve"> </w:t>
      </w:r>
      <w:r w:rsidRPr="006C7CA6">
        <w:t>[2006] 1 AC 181</w:t>
      </w:r>
      <w:r>
        <w:t xml:space="preserve">. See also Jonathan Morgan ‘The Rise and Fall of the General Duty of Care’ (2006) 22 </w:t>
      </w:r>
      <w:r>
        <w:rPr>
          <w:i/>
        </w:rPr>
        <w:t xml:space="preserve">Professional Negligence </w:t>
      </w:r>
      <w:r>
        <w:t>206.</w:t>
      </w:r>
    </w:p>
  </w:footnote>
  <w:footnote w:id="50">
    <w:p w14:paraId="71395260" w14:textId="77777777" w:rsidR="00F64EE3" w:rsidRDefault="00F64EE3" w:rsidP="00F64EE3">
      <w:pPr>
        <w:pStyle w:val="FootnoteText"/>
      </w:pPr>
      <w:r>
        <w:rPr>
          <w:rStyle w:val="FootnoteReference"/>
        </w:rPr>
        <w:footnoteRef/>
      </w:r>
      <w:r>
        <w:t xml:space="preserve"> </w:t>
      </w:r>
      <w:r w:rsidRPr="00080D83">
        <w:rPr>
          <w:bCs/>
          <w:iCs/>
        </w:rPr>
        <w:t>[1964] AC 465</w:t>
      </w:r>
      <w:r>
        <w:rPr>
          <w:bCs/>
          <w:iCs/>
        </w:rPr>
        <w:t>.</w:t>
      </w:r>
    </w:p>
  </w:footnote>
  <w:footnote w:id="51">
    <w:p w14:paraId="3F1A19D2" w14:textId="77777777" w:rsidR="00F64EE3" w:rsidRDefault="00F64EE3" w:rsidP="00F64EE3">
      <w:pPr>
        <w:pStyle w:val="FootnoteText"/>
      </w:pPr>
      <w:r>
        <w:rPr>
          <w:rStyle w:val="FootnoteReference"/>
        </w:rPr>
        <w:footnoteRef/>
      </w:r>
      <w:r>
        <w:t xml:space="preserve"> At 529 per Lord Devlin.</w:t>
      </w:r>
    </w:p>
  </w:footnote>
  <w:footnote w:id="52">
    <w:p w14:paraId="675D6B52" w14:textId="77777777" w:rsidR="00F64EE3" w:rsidRDefault="00F64EE3" w:rsidP="00F64EE3">
      <w:pPr>
        <w:pStyle w:val="FootnoteText"/>
      </w:pPr>
      <w:r>
        <w:rPr>
          <w:rStyle w:val="FootnoteReference"/>
        </w:rPr>
        <w:footnoteRef/>
      </w:r>
      <w:r>
        <w:t xml:space="preserve"> At</w:t>
      </w:r>
      <w:r w:rsidRPr="00094796">
        <w:t xml:space="preserve"> </w:t>
      </w:r>
      <w:r>
        <w:t>486 per Lord Reid.</w:t>
      </w:r>
    </w:p>
  </w:footnote>
  <w:footnote w:id="53">
    <w:p w14:paraId="05EB276C" w14:textId="77777777" w:rsidR="00F64EE3" w:rsidRDefault="00F64EE3" w:rsidP="00F64EE3">
      <w:pPr>
        <w:pStyle w:val="FootnoteText"/>
      </w:pPr>
      <w:r>
        <w:rPr>
          <w:rStyle w:val="FootnoteReference"/>
        </w:rPr>
        <w:footnoteRef/>
      </w:r>
      <w:r>
        <w:t xml:space="preserve"> At 529 per Lord Devlin.</w:t>
      </w:r>
    </w:p>
  </w:footnote>
  <w:footnote w:id="54">
    <w:p w14:paraId="29540CAA" w14:textId="77777777" w:rsidR="00F64EE3" w:rsidRDefault="00F64EE3" w:rsidP="00F64EE3">
      <w:pPr>
        <w:pStyle w:val="FootnoteText"/>
      </w:pPr>
      <w:r>
        <w:rPr>
          <w:rStyle w:val="FootnoteReference"/>
        </w:rPr>
        <w:footnoteRef/>
      </w:r>
      <w:r>
        <w:t xml:space="preserve"> At 486 per Lord Reid</w:t>
      </w:r>
      <w:r w:rsidRPr="00D11038">
        <w:t>.</w:t>
      </w:r>
    </w:p>
  </w:footnote>
  <w:footnote w:id="55">
    <w:p w14:paraId="1876929A" w14:textId="77777777" w:rsidR="00F64EE3" w:rsidRDefault="00F64EE3" w:rsidP="00F64EE3">
      <w:pPr>
        <w:pStyle w:val="FootnoteText"/>
      </w:pPr>
      <w:r>
        <w:rPr>
          <w:rStyle w:val="FootnoteReference"/>
        </w:rPr>
        <w:footnoteRef/>
      </w:r>
      <w:r>
        <w:t xml:space="preserve"> At 486 Lord Reid.</w:t>
      </w:r>
    </w:p>
  </w:footnote>
  <w:footnote w:id="56">
    <w:p w14:paraId="17E2E44E" w14:textId="77777777" w:rsidR="00F64EE3" w:rsidRPr="000D58A6" w:rsidRDefault="00F64EE3" w:rsidP="00F64EE3">
      <w:pPr>
        <w:pStyle w:val="FootnoteText"/>
      </w:pPr>
      <w:r w:rsidRPr="0065613D">
        <w:rPr>
          <w:rStyle w:val="FootnoteReference"/>
        </w:rPr>
        <w:footnoteRef/>
      </w:r>
      <w:r w:rsidRPr="000D58A6">
        <w:t xml:space="preserve"> </w:t>
      </w:r>
      <w:r w:rsidRPr="000D58A6">
        <w:rPr>
          <w:i/>
        </w:rPr>
        <w:t>Henderson v Merrett Syndicates</w:t>
      </w:r>
      <w:r>
        <w:t xml:space="preserve"> [1994] 2 AC 145 at </w:t>
      </w:r>
      <w:r w:rsidRPr="000D58A6">
        <w:t xml:space="preserve">181 </w:t>
      </w:r>
      <w:r>
        <w:t xml:space="preserve">per </w:t>
      </w:r>
      <w:r w:rsidRPr="000D58A6">
        <w:t>Lord Goff.</w:t>
      </w:r>
    </w:p>
  </w:footnote>
  <w:footnote w:id="57">
    <w:p w14:paraId="765D4D50" w14:textId="77777777" w:rsidR="00F64EE3" w:rsidRDefault="00F64EE3" w:rsidP="00F64EE3">
      <w:pPr>
        <w:pStyle w:val="FootnoteText"/>
      </w:pPr>
      <w:r>
        <w:rPr>
          <w:rStyle w:val="FootnoteReference"/>
        </w:rPr>
        <w:footnoteRef/>
      </w:r>
      <w:r>
        <w:t xml:space="preserve"> </w:t>
      </w:r>
      <w:r>
        <w:rPr>
          <w:i/>
        </w:rPr>
        <w:t>McFarlane</w:t>
      </w:r>
      <w:r>
        <w:t xml:space="preserve"> at 77 per Lord Steyn.</w:t>
      </w:r>
    </w:p>
  </w:footnote>
  <w:footnote w:id="58">
    <w:p w14:paraId="746BF31D" w14:textId="77777777" w:rsidR="00F64EE3" w:rsidRPr="00094796" w:rsidRDefault="00F64EE3" w:rsidP="00F64EE3">
      <w:pPr>
        <w:pStyle w:val="FootnoteText"/>
      </w:pPr>
      <w:r>
        <w:rPr>
          <w:rStyle w:val="FootnoteReference"/>
        </w:rPr>
        <w:footnoteRef/>
      </w:r>
      <w:r>
        <w:t xml:space="preserve"> This is especially so when one looks at the very broad approach the courts take to determining this. See </w:t>
      </w:r>
      <w:r w:rsidRPr="00094796">
        <w:rPr>
          <w:i/>
        </w:rPr>
        <w:t xml:space="preserve">Smith v Eric S Bush </w:t>
      </w:r>
      <w:r>
        <w:t xml:space="preserve">[1990] 1 AC 831; </w:t>
      </w:r>
      <w:r>
        <w:rPr>
          <w:i/>
        </w:rPr>
        <w:t>Henderson</w:t>
      </w:r>
      <w:r>
        <w:t xml:space="preserve">; </w:t>
      </w:r>
      <w:r w:rsidRPr="00AA5247">
        <w:rPr>
          <w:i/>
        </w:rPr>
        <w:t>White v Jones</w:t>
      </w:r>
      <w:r>
        <w:t xml:space="preserve"> [1995] 2 AC 207 and </w:t>
      </w:r>
      <w:r w:rsidRPr="00AA5247">
        <w:rPr>
          <w:bCs/>
          <w:i/>
          <w:iCs/>
        </w:rPr>
        <w:t xml:space="preserve">Spring v Guardian Assurance </w:t>
      </w:r>
      <w:r w:rsidRPr="00AA5247">
        <w:rPr>
          <w:bCs/>
        </w:rPr>
        <w:t>[1995] 2 AC 296.</w:t>
      </w:r>
    </w:p>
  </w:footnote>
  <w:footnote w:id="59">
    <w:p w14:paraId="6C5AA5E1" w14:textId="77777777" w:rsidR="00F64EE3" w:rsidRDefault="00F64EE3" w:rsidP="00F64EE3">
      <w:pPr>
        <w:pStyle w:val="FootnoteText"/>
      </w:pPr>
      <w:r>
        <w:rPr>
          <w:rStyle w:val="FootnoteReference"/>
        </w:rPr>
        <w:footnoteRef/>
      </w:r>
      <w:r>
        <w:t xml:space="preserve"> </w:t>
      </w:r>
      <w:r>
        <w:rPr>
          <w:i/>
        </w:rPr>
        <w:t>Caparo</w:t>
      </w:r>
      <w:r w:rsidRPr="00DD2618">
        <w:t xml:space="preserve"> </w:t>
      </w:r>
      <w:r>
        <w:t xml:space="preserve">at </w:t>
      </w:r>
      <w:r w:rsidRPr="00DD2618">
        <w:t xml:space="preserve">618 </w:t>
      </w:r>
      <w:r>
        <w:t xml:space="preserve">per </w:t>
      </w:r>
      <w:r w:rsidRPr="00DD2618">
        <w:t>Lord Bridge.</w:t>
      </w:r>
    </w:p>
  </w:footnote>
  <w:footnote w:id="60">
    <w:p w14:paraId="6C9A9CCD" w14:textId="77777777" w:rsidR="00F64EE3" w:rsidRDefault="00F64EE3" w:rsidP="00F64EE3">
      <w:pPr>
        <w:pStyle w:val="FootnoteText"/>
      </w:pPr>
      <w:r>
        <w:rPr>
          <w:rStyle w:val="FootnoteReference"/>
        </w:rPr>
        <w:footnoteRef/>
      </w:r>
      <w:r>
        <w:t xml:space="preserve"> </w:t>
      </w:r>
      <w:r w:rsidRPr="00556EC0">
        <w:t>[1998] 1 WLR 830</w:t>
      </w:r>
      <w:r>
        <w:t>.</w:t>
      </w:r>
    </w:p>
  </w:footnote>
  <w:footnote w:id="61">
    <w:p w14:paraId="027E4C41" w14:textId="77777777" w:rsidR="00F64EE3" w:rsidRPr="00AE43E0" w:rsidRDefault="00F64EE3" w:rsidP="00F64EE3">
      <w:pPr>
        <w:pStyle w:val="FootnoteText"/>
        <w:rPr>
          <w:lang w:val="sv-SE"/>
        </w:rPr>
      </w:pPr>
      <w:r w:rsidRPr="0065613D">
        <w:rPr>
          <w:rStyle w:val="FootnoteReference"/>
        </w:rPr>
        <w:footnoteRef/>
      </w:r>
      <w:r>
        <w:rPr>
          <w:lang w:val="sv-SE"/>
        </w:rPr>
        <w:t xml:space="preserve"> [1994] 2 AC 145 at </w:t>
      </w:r>
      <w:r w:rsidRPr="00AE43E0">
        <w:rPr>
          <w:lang w:val="sv-SE"/>
        </w:rPr>
        <w:t>181.</w:t>
      </w:r>
    </w:p>
  </w:footnote>
  <w:footnote w:id="62">
    <w:p w14:paraId="423FFCC1" w14:textId="77777777" w:rsidR="00F64EE3" w:rsidRDefault="00F64EE3" w:rsidP="00F64EE3">
      <w:pPr>
        <w:pStyle w:val="FootnoteText"/>
      </w:pPr>
      <w:r>
        <w:rPr>
          <w:rStyle w:val="FootnoteReference"/>
        </w:rPr>
        <w:footnoteRef/>
      </w:r>
      <w:r>
        <w:t xml:space="preserve"> </w:t>
      </w:r>
      <w:r>
        <w:rPr>
          <w:i/>
        </w:rPr>
        <w:t>Williams</w:t>
      </w:r>
      <w:r>
        <w:t xml:space="preserve"> at </w:t>
      </w:r>
      <w:r w:rsidRPr="00802B5A">
        <w:t>834.</w:t>
      </w:r>
    </w:p>
  </w:footnote>
  <w:footnote w:id="63">
    <w:p w14:paraId="2BD05939" w14:textId="77777777" w:rsidR="00F64EE3" w:rsidRDefault="00F64EE3" w:rsidP="00F64EE3">
      <w:pPr>
        <w:pStyle w:val="FootnoteText"/>
      </w:pPr>
      <w:r>
        <w:rPr>
          <w:rStyle w:val="FootnoteReference"/>
        </w:rPr>
        <w:footnoteRef/>
      </w:r>
      <w:r>
        <w:t xml:space="preserve"> </w:t>
      </w:r>
      <w:r>
        <w:rPr>
          <w:i/>
        </w:rPr>
        <w:t>McFarlane</w:t>
      </w:r>
      <w:r>
        <w:t xml:space="preserve"> at 83 (my emphasis).</w:t>
      </w:r>
    </w:p>
  </w:footnote>
  <w:footnote w:id="64">
    <w:p w14:paraId="72FBB9C5" w14:textId="77777777" w:rsidR="00F64EE3" w:rsidRDefault="00F64EE3" w:rsidP="00F64EE3">
      <w:pPr>
        <w:pStyle w:val="FootnoteText"/>
      </w:pPr>
      <w:r>
        <w:rPr>
          <w:rStyle w:val="FootnoteReference"/>
        </w:rPr>
        <w:footnoteRef/>
      </w:r>
      <w:r>
        <w:t xml:space="preserve"> </w:t>
      </w:r>
      <w:r w:rsidRPr="001A62E4">
        <w:t>At</w:t>
      </w:r>
      <w:r>
        <w:t xml:space="preserve"> 95</w:t>
      </w:r>
      <w:r w:rsidRPr="00146076">
        <w:t>.</w:t>
      </w:r>
    </w:p>
  </w:footnote>
  <w:footnote w:id="65">
    <w:p w14:paraId="3E12A125" w14:textId="77777777" w:rsidR="00F64EE3" w:rsidRPr="001872F7" w:rsidRDefault="00F64EE3" w:rsidP="00F64EE3">
      <w:pPr>
        <w:pStyle w:val="FootnoteText"/>
      </w:pPr>
      <w:r>
        <w:rPr>
          <w:rStyle w:val="FootnoteReference"/>
        </w:rPr>
        <w:footnoteRef/>
      </w:r>
      <w:r>
        <w:t xml:space="preserve"> At 76.</w:t>
      </w:r>
    </w:p>
  </w:footnote>
  <w:footnote w:id="66">
    <w:p w14:paraId="6BBCD58A" w14:textId="77777777" w:rsidR="00F64EE3" w:rsidRDefault="00F64EE3" w:rsidP="00F64EE3">
      <w:pPr>
        <w:pStyle w:val="FootnoteText"/>
      </w:pPr>
      <w:r>
        <w:rPr>
          <w:rStyle w:val="FootnoteReference"/>
        </w:rPr>
        <w:footnoteRef/>
      </w:r>
      <w:r>
        <w:t xml:space="preserve"> </w:t>
      </w:r>
      <w:r w:rsidRPr="00BF5606">
        <w:rPr>
          <w:bCs/>
          <w:iCs/>
        </w:rPr>
        <w:t xml:space="preserve">That said, the latter also believed that there had </w:t>
      </w:r>
      <w:r w:rsidRPr="00BF5606">
        <w:rPr>
          <w:bCs/>
          <w:i/>
          <w:iCs/>
        </w:rPr>
        <w:t>not</w:t>
      </w:r>
      <w:r w:rsidRPr="00BF5606">
        <w:rPr>
          <w:bCs/>
          <w:iCs/>
        </w:rPr>
        <w:t xml:space="preserve"> been an assumption of responsibility for this type of damage. This avoids the trap of eliding the </w:t>
      </w:r>
      <w:r w:rsidRPr="00BF5606">
        <w:rPr>
          <w:bCs/>
          <w:i/>
          <w:iCs/>
        </w:rPr>
        <w:t xml:space="preserve">Caparo </w:t>
      </w:r>
      <w:r w:rsidRPr="00BF5606">
        <w:rPr>
          <w:bCs/>
          <w:iCs/>
        </w:rPr>
        <w:t xml:space="preserve">and </w:t>
      </w:r>
      <w:r w:rsidRPr="00BF5606">
        <w:rPr>
          <w:bCs/>
          <w:i/>
          <w:iCs/>
        </w:rPr>
        <w:t>Hedley Byrne</w:t>
      </w:r>
      <w:r w:rsidRPr="00BF5606">
        <w:rPr>
          <w:bCs/>
          <w:iCs/>
        </w:rPr>
        <w:t xml:space="preserve"> categories of cases but is perhaps even more i</w:t>
      </w:r>
      <w:r>
        <w:rPr>
          <w:bCs/>
          <w:iCs/>
        </w:rPr>
        <w:t>ndefensible</w:t>
      </w:r>
      <w:r w:rsidRPr="00BF5606">
        <w:rPr>
          <w:bCs/>
          <w:iCs/>
        </w:rPr>
        <w:t xml:space="preserve"> as one would struggle to find a more archetypal </w:t>
      </w:r>
      <w:r w:rsidRPr="00BF5606">
        <w:rPr>
          <w:bCs/>
          <w:i/>
          <w:iCs/>
        </w:rPr>
        <w:t>Hedley Byrne</w:t>
      </w:r>
      <w:r w:rsidRPr="00BF5606">
        <w:rPr>
          <w:bCs/>
          <w:iCs/>
        </w:rPr>
        <w:t xml:space="preserve"> situation than the facts of </w:t>
      </w:r>
      <w:r w:rsidRPr="00BF5606">
        <w:rPr>
          <w:bCs/>
          <w:i/>
          <w:iCs/>
        </w:rPr>
        <w:t>McFarlane</w:t>
      </w:r>
      <w:r>
        <w:rPr>
          <w:bCs/>
          <w:iCs/>
        </w:rPr>
        <w:t>.</w:t>
      </w:r>
      <w:r w:rsidRPr="00BF5606">
        <w:rPr>
          <w:bCs/>
          <w:iCs/>
        </w:rPr>
        <w:t xml:space="preserve"> As Hale LJ (as she then was) stated in </w:t>
      </w:r>
      <w:r w:rsidRPr="00BF5606">
        <w:rPr>
          <w:bCs/>
          <w:i/>
          <w:iCs/>
        </w:rPr>
        <w:t>Parkinson</w:t>
      </w:r>
      <w:r w:rsidRPr="00BF5606">
        <w:rPr>
          <w:i/>
          <w:iCs/>
        </w:rPr>
        <w:t xml:space="preserve"> </w:t>
      </w:r>
      <w:r w:rsidRPr="00BF5606">
        <w:rPr>
          <w:bCs/>
          <w:i/>
          <w:iCs/>
        </w:rPr>
        <w:t>v St James and Seacroft University Hospital NHS Trust</w:t>
      </w:r>
      <w:r>
        <w:rPr>
          <w:bCs/>
          <w:iCs/>
        </w:rPr>
        <w:t xml:space="preserve"> [2002] QB 266 at 289:</w:t>
      </w:r>
      <w:r w:rsidRPr="00BF5606">
        <w:rPr>
          <w:bCs/>
          <w:iCs/>
        </w:rPr>
        <w:t xml:space="preserve"> </w:t>
      </w:r>
      <w:r>
        <w:rPr>
          <w:bCs/>
          <w:iCs/>
        </w:rPr>
        <w:t>‘</w:t>
      </w:r>
      <w:r w:rsidRPr="00BF5606">
        <w:t>Given that the doctor clearly does assume some responsibility for preventing conception, it is difficult to understand why he assumes responsibility for some but not all of the clearly foreseeable, indeed highly probable, losses resulting.</w:t>
      </w:r>
      <w:r>
        <w:t>’</w:t>
      </w:r>
    </w:p>
  </w:footnote>
  <w:footnote w:id="67">
    <w:p w14:paraId="46590BD0" w14:textId="77777777" w:rsidR="00F64EE3" w:rsidRDefault="00F64EE3" w:rsidP="00F64EE3">
      <w:pPr>
        <w:pStyle w:val="FootnoteText"/>
      </w:pPr>
      <w:r>
        <w:rPr>
          <w:rStyle w:val="FootnoteReference"/>
        </w:rPr>
        <w:footnoteRef/>
      </w:r>
      <w:r>
        <w:t xml:space="preserve"> </w:t>
      </w:r>
      <w:r>
        <w:rPr>
          <w:i/>
        </w:rPr>
        <w:t>McFarlane</w:t>
      </w:r>
      <w:r>
        <w:t xml:space="preserve"> at 77. However it could be argued that this loss is not </w:t>
      </w:r>
      <w:r w:rsidRPr="009E6BF8">
        <w:rPr>
          <w:i/>
        </w:rPr>
        <w:t>purely</w:t>
      </w:r>
      <w:r>
        <w:t xml:space="preserve"> economic but consequent upon personal injury (</w:t>
      </w:r>
      <w:r w:rsidRPr="009E6BF8">
        <w:t>see</w:t>
      </w:r>
      <w:r>
        <w:t xml:space="preserve"> </w:t>
      </w:r>
      <w:r w:rsidRPr="009E6BF8">
        <w:t>Conaghan,</w:t>
      </w:r>
      <w:r>
        <w:t xml:space="preserve"> ‘Tort Law and Feminist Critique’, 193). However, this does not affect my argument that the majority failed to fully consider the issue of actionable damage in this case.</w:t>
      </w:r>
    </w:p>
  </w:footnote>
  <w:footnote w:id="68">
    <w:p w14:paraId="61270DFE" w14:textId="77777777" w:rsidR="00F64EE3" w:rsidRDefault="00F64EE3" w:rsidP="00F64EE3">
      <w:pPr>
        <w:pStyle w:val="FootnoteText"/>
      </w:pPr>
      <w:r>
        <w:rPr>
          <w:rStyle w:val="FootnoteReference"/>
        </w:rPr>
        <w:footnoteRef/>
      </w:r>
      <w:r>
        <w:t xml:space="preserve"> See </w:t>
      </w:r>
      <w:r>
        <w:rPr>
          <w:i/>
        </w:rPr>
        <w:t xml:space="preserve">Perrett </w:t>
      </w:r>
      <w:r>
        <w:t>at 86 per Hobhouse LJ</w:t>
      </w:r>
      <w:r w:rsidRPr="00D15E5D">
        <w:t>.</w:t>
      </w:r>
    </w:p>
  </w:footnote>
  <w:footnote w:id="69">
    <w:p w14:paraId="3250A48A" w14:textId="77777777" w:rsidR="00F64EE3" w:rsidRDefault="00F64EE3" w:rsidP="00F64EE3">
      <w:pPr>
        <w:pStyle w:val="FootnoteText"/>
      </w:pPr>
      <w:r>
        <w:rPr>
          <w:rStyle w:val="FootnoteReference"/>
        </w:rPr>
        <w:footnoteRef/>
      </w:r>
      <w:r>
        <w:t xml:space="preserve"> At 90-91</w:t>
      </w:r>
      <w:r w:rsidRPr="0002685B">
        <w:t>.</w:t>
      </w:r>
    </w:p>
  </w:footnote>
  <w:footnote w:id="70">
    <w:p w14:paraId="5AC4FEC0" w14:textId="77777777" w:rsidR="00F64EE3" w:rsidRDefault="00F64EE3" w:rsidP="00F64EE3">
      <w:pPr>
        <w:pStyle w:val="FootnoteText"/>
      </w:pPr>
      <w:r>
        <w:rPr>
          <w:rStyle w:val="FootnoteReference"/>
        </w:rPr>
        <w:footnoteRef/>
      </w:r>
      <w:r>
        <w:t xml:space="preserve"> </w:t>
      </w:r>
      <w:r w:rsidRPr="001A1CA0">
        <w:t>[2006] 1 AC 181</w:t>
      </w:r>
      <w:r>
        <w:t>.</w:t>
      </w:r>
    </w:p>
  </w:footnote>
  <w:footnote w:id="71">
    <w:p w14:paraId="526DE391" w14:textId="77777777" w:rsidR="00F64EE3" w:rsidRDefault="00F64EE3" w:rsidP="00F64EE3">
      <w:pPr>
        <w:pStyle w:val="FootnoteText"/>
      </w:pPr>
      <w:r>
        <w:rPr>
          <w:rStyle w:val="FootnoteReference"/>
        </w:rPr>
        <w:footnoteRef/>
      </w:r>
      <w:r>
        <w:t xml:space="preserve"> At </w:t>
      </w:r>
      <w:r w:rsidRPr="004A0629">
        <w:t>190.</w:t>
      </w:r>
      <w:r>
        <w:t xml:space="preserve"> See also </w:t>
      </w:r>
      <w:r w:rsidRPr="001627E9">
        <w:t>K</w:t>
      </w:r>
      <w:r>
        <w:t>eith</w:t>
      </w:r>
      <w:r w:rsidRPr="001627E9">
        <w:t xml:space="preserve"> </w:t>
      </w:r>
      <w:r w:rsidRPr="001627E9">
        <w:rPr>
          <w:iCs/>
        </w:rPr>
        <w:t>Stanton</w:t>
      </w:r>
      <w:r>
        <w:rPr>
          <w:iCs/>
        </w:rPr>
        <w:t>,</w:t>
      </w:r>
      <w:r w:rsidRPr="001627E9">
        <w:rPr>
          <w:iCs/>
        </w:rPr>
        <w:t xml:space="preserve"> ‘Professional Negligence: Duty of Care Methodolo</w:t>
      </w:r>
      <w:r>
        <w:rPr>
          <w:iCs/>
        </w:rPr>
        <w:t>gy in the Twenty First Century’</w:t>
      </w:r>
      <w:r w:rsidRPr="003D7E64">
        <w:rPr>
          <w:iCs/>
        </w:rPr>
        <w:t xml:space="preserve"> (2006)</w:t>
      </w:r>
      <w:r>
        <w:rPr>
          <w:iCs/>
        </w:rPr>
        <w:t xml:space="preserve"> 22</w:t>
      </w:r>
      <w:r w:rsidRPr="003D7E64">
        <w:rPr>
          <w:iCs/>
        </w:rPr>
        <w:t xml:space="preserve"> </w:t>
      </w:r>
      <w:r>
        <w:rPr>
          <w:i/>
          <w:iCs/>
        </w:rPr>
        <w:t xml:space="preserve">Professional Negligence </w:t>
      </w:r>
      <w:r>
        <w:rPr>
          <w:iCs/>
        </w:rPr>
        <w:t xml:space="preserve">134, </w:t>
      </w:r>
      <w:r w:rsidRPr="001627E9">
        <w:rPr>
          <w:iCs/>
        </w:rPr>
        <w:t>136.</w:t>
      </w:r>
    </w:p>
  </w:footnote>
  <w:footnote w:id="72">
    <w:p w14:paraId="5CC00705" w14:textId="77777777" w:rsidR="00F64EE3" w:rsidRPr="00CB73A5" w:rsidRDefault="00F64EE3" w:rsidP="00F64EE3">
      <w:pPr>
        <w:pStyle w:val="FootnoteText"/>
        <w:rPr>
          <w:lang w:val="sv-SE"/>
        </w:rPr>
      </w:pPr>
      <w:r>
        <w:rPr>
          <w:rStyle w:val="FootnoteReference"/>
        </w:rPr>
        <w:footnoteRef/>
      </w:r>
      <w:r>
        <w:t xml:space="preserve">  In </w:t>
      </w:r>
      <w:r w:rsidRPr="00F93F59">
        <w:rPr>
          <w:i/>
          <w:lang w:val="sv-SE"/>
        </w:rPr>
        <w:t>Henderson</w:t>
      </w:r>
      <w:r>
        <w:rPr>
          <w:lang w:val="sv-SE"/>
        </w:rPr>
        <w:t xml:space="preserve"> Lord Goff stated that the fact that </w:t>
      </w:r>
      <w:r>
        <w:rPr>
          <w:i/>
          <w:lang w:val="sv-SE"/>
        </w:rPr>
        <w:t>Hedley Byrne</w:t>
      </w:r>
      <w:r>
        <w:rPr>
          <w:lang w:val="sv-SE"/>
        </w:rPr>
        <w:t xml:space="preserve"> does not require a determination of whether liability is fair, just and reasonable, was important to the outcome of the case so cases relying on this decision would no longer be good law (at 181).</w:t>
      </w:r>
    </w:p>
  </w:footnote>
  <w:footnote w:id="73">
    <w:p w14:paraId="4DDA2062" w14:textId="77777777" w:rsidR="00F64EE3" w:rsidRDefault="00F64EE3" w:rsidP="00F64EE3">
      <w:pPr>
        <w:pStyle w:val="FootnoteText"/>
      </w:pPr>
      <w:r>
        <w:rPr>
          <w:rStyle w:val="FootnoteReference"/>
        </w:rPr>
        <w:footnoteRef/>
      </w:r>
      <w:r>
        <w:t xml:space="preserve"> </w:t>
      </w:r>
      <w:r>
        <w:rPr>
          <w:i/>
        </w:rPr>
        <w:t>McFarlane</w:t>
      </w:r>
      <w:r>
        <w:t xml:space="preserve"> at</w:t>
      </w:r>
      <w:r w:rsidRPr="00E810AA">
        <w:t xml:space="preserve"> 8</w:t>
      </w:r>
      <w:r>
        <w:t>3-84</w:t>
      </w:r>
      <w:r w:rsidRPr="00E810AA">
        <w:t>.</w:t>
      </w:r>
    </w:p>
  </w:footnote>
  <w:footnote w:id="74">
    <w:p w14:paraId="44193A13" w14:textId="77777777" w:rsidR="00F64EE3" w:rsidRDefault="00F64EE3" w:rsidP="00F64EE3">
      <w:pPr>
        <w:pStyle w:val="FootnoteText"/>
      </w:pPr>
      <w:r>
        <w:rPr>
          <w:rStyle w:val="FootnoteReference"/>
        </w:rPr>
        <w:footnoteRef/>
      </w:r>
      <w:r>
        <w:t xml:space="preserve"> </w:t>
      </w:r>
      <w:r w:rsidRPr="00896D06">
        <w:rPr>
          <w:bCs/>
          <w:iCs/>
        </w:rPr>
        <w:t>[1978] AC 728</w:t>
      </w:r>
      <w:r>
        <w:rPr>
          <w:bCs/>
          <w:iCs/>
        </w:rPr>
        <w:t xml:space="preserve"> at </w:t>
      </w:r>
      <w:r w:rsidRPr="00896D06">
        <w:rPr>
          <w:bCs/>
          <w:iCs/>
        </w:rPr>
        <w:t>751-752</w:t>
      </w:r>
      <w:r>
        <w:rPr>
          <w:bCs/>
          <w:iCs/>
        </w:rPr>
        <w:t>.</w:t>
      </w:r>
    </w:p>
  </w:footnote>
  <w:footnote w:id="75">
    <w:p w14:paraId="16D5C904" w14:textId="77777777" w:rsidR="00F64EE3" w:rsidRPr="00B442DF" w:rsidRDefault="00F64EE3" w:rsidP="00F64EE3">
      <w:pPr>
        <w:pStyle w:val="FootnoteText"/>
      </w:pPr>
      <w:r>
        <w:rPr>
          <w:rStyle w:val="FootnoteReference"/>
        </w:rPr>
        <w:footnoteRef/>
      </w:r>
      <w:r>
        <w:t xml:space="preserve"> See </w:t>
      </w:r>
      <w:r w:rsidRPr="000B7B51">
        <w:rPr>
          <w:i/>
          <w:iCs/>
        </w:rPr>
        <w:t>D &amp; F Estates</w:t>
      </w:r>
      <w:r w:rsidRPr="000B7B51">
        <w:t xml:space="preserve"> </w:t>
      </w:r>
      <w:r w:rsidRPr="000B7B51">
        <w:rPr>
          <w:i/>
          <w:iCs/>
        </w:rPr>
        <w:t>v</w:t>
      </w:r>
      <w:r w:rsidRPr="000B7B51">
        <w:t xml:space="preserve"> </w:t>
      </w:r>
      <w:r w:rsidRPr="000B7B51">
        <w:rPr>
          <w:i/>
          <w:iCs/>
        </w:rPr>
        <w:t>Church Commissioners for England </w:t>
      </w:r>
      <w:r>
        <w:t xml:space="preserve">[1989] AC 177, </w:t>
      </w:r>
      <w:r w:rsidRPr="000B7B51">
        <w:rPr>
          <w:bCs/>
          <w:i/>
          <w:iCs/>
        </w:rPr>
        <w:t>Leigh and Sillavan Ltd v Aliakmon Shipping Co Ltd</w:t>
      </w:r>
      <w:r w:rsidRPr="000B7B51">
        <w:rPr>
          <w:bCs/>
          <w:iCs/>
        </w:rPr>
        <w:t xml:space="preserve"> </w:t>
      </w:r>
      <w:r>
        <w:rPr>
          <w:bCs/>
          <w:iCs/>
        </w:rPr>
        <w:t>[1986] 1 AC 785, and</w:t>
      </w:r>
      <w:r>
        <w:t xml:space="preserve"> </w:t>
      </w:r>
      <w:r w:rsidRPr="00B442DF">
        <w:rPr>
          <w:i/>
        </w:rPr>
        <w:t>Murphy v Brentwood District Council</w:t>
      </w:r>
      <w:r w:rsidRPr="00B442DF">
        <w:t xml:space="preserve"> [1991] 1 AC 398</w:t>
      </w:r>
      <w:r>
        <w:t>.</w:t>
      </w:r>
    </w:p>
  </w:footnote>
  <w:footnote w:id="76">
    <w:p w14:paraId="228D5753" w14:textId="77777777" w:rsidR="00F64EE3" w:rsidRPr="00CD7B08" w:rsidRDefault="00F64EE3" w:rsidP="00F64EE3">
      <w:pPr>
        <w:pStyle w:val="FootnoteText"/>
        <w:rPr>
          <w:u w:val="single"/>
        </w:rPr>
      </w:pPr>
      <w:r>
        <w:rPr>
          <w:rStyle w:val="FootnoteReference"/>
        </w:rPr>
        <w:footnoteRef/>
      </w:r>
      <w:r>
        <w:t xml:space="preserve"> See </w:t>
      </w:r>
      <w:r w:rsidRPr="00DB3A15">
        <w:rPr>
          <w:i/>
          <w:iCs/>
        </w:rPr>
        <w:t xml:space="preserve">Caparo </w:t>
      </w:r>
      <w:r>
        <w:rPr>
          <w:iCs/>
        </w:rPr>
        <w:t xml:space="preserve">at 627 per Lord Bridge. It might be said that just because no damage has been suffered does not mean that the doctor does not have a duty to take care. However, this is a misunderstanding of the duty concept in negligence. As Dan Priel has argued negligence law does not treat violations of duties of care as behaviours that should be avoided but as behaviours for which one should pay damages when loss is caused by such violations – ‘Tort Law for Cynics’ (2014) 77 </w:t>
      </w:r>
      <w:r>
        <w:rPr>
          <w:i/>
          <w:iCs/>
        </w:rPr>
        <w:t>Modern Law Review</w:t>
      </w:r>
      <w:r>
        <w:rPr>
          <w:iCs/>
        </w:rPr>
        <w:t xml:space="preserve"> 703, 708. Provided one does not cause damage then one can behave as carelessly as one likes according to this tort. C.f. Nicholas McBride, ‘Duties of Care – Do They Really Exist?’ (2004) 24 </w:t>
      </w:r>
      <w:r>
        <w:rPr>
          <w:i/>
          <w:iCs/>
        </w:rPr>
        <w:t>Oxford Journal of Legal Studies</w:t>
      </w:r>
      <w:r>
        <w:rPr>
          <w:iCs/>
        </w:rPr>
        <w:t xml:space="preserve"> 417 for the contrary view.</w:t>
      </w:r>
    </w:p>
  </w:footnote>
  <w:footnote w:id="77">
    <w:p w14:paraId="235BDFD3" w14:textId="77777777" w:rsidR="00F64EE3" w:rsidRDefault="00F64EE3" w:rsidP="00F64EE3">
      <w:pPr>
        <w:pStyle w:val="FootnoteText"/>
      </w:pPr>
      <w:r>
        <w:rPr>
          <w:rStyle w:val="FootnoteReference"/>
        </w:rPr>
        <w:footnoteRef/>
      </w:r>
      <w:r>
        <w:t xml:space="preserve"> </w:t>
      </w:r>
      <w:r w:rsidRPr="00AF4518">
        <w:rPr>
          <w:i/>
        </w:rPr>
        <w:t xml:space="preserve">McFarlane </w:t>
      </w:r>
      <w:r>
        <w:t xml:space="preserve">at </w:t>
      </w:r>
      <w:r w:rsidRPr="00AF4518">
        <w:t>10</w:t>
      </w:r>
      <w:r>
        <w:t>2</w:t>
      </w:r>
      <w:r w:rsidRPr="00AF4518">
        <w:t>.</w:t>
      </w:r>
    </w:p>
  </w:footnote>
  <w:footnote w:id="78">
    <w:p w14:paraId="16A65EDF" w14:textId="77777777" w:rsidR="00F64EE3" w:rsidRDefault="00F64EE3" w:rsidP="00F64EE3">
      <w:pPr>
        <w:pStyle w:val="FootnoteText"/>
      </w:pPr>
      <w:r>
        <w:rPr>
          <w:rStyle w:val="FootnoteReference"/>
        </w:rPr>
        <w:footnoteRef/>
      </w:r>
      <w:r>
        <w:t xml:space="preserve"> At 99 per Lord Clyde.</w:t>
      </w:r>
    </w:p>
  </w:footnote>
  <w:footnote w:id="79">
    <w:p w14:paraId="079253DA" w14:textId="77777777" w:rsidR="00F64EE3" w:rsidRDefault="00F64EE3" w:rsidP="00F64EE3">
      <w:pPr>
        <w:pStyle w:val="FootnoteText"/>
      </w:pPr>
      <w:r>
        <w:rPr>
          <w:rStyle w:val="FootnoteReference"/>
        </w:rPr>
        <w:footnoteRef/>
      </w:r>
      <w:r>
        <w:t xml:space="preserve"> At</w:t>
      </w:r>
      <w:r w:rsidRPr="00256FB6">
        <w:t xml:space="preserve"> 105.</w:t>
      </w:r>
    </w:p>
  </w:footnote>
  <w:footnote w:id="80">
    <w:p w14:paraId="13A78693" w14:textId="77777777" w:rsidR="00F64EE3" w:rsidRDefault="00F64EE3" w:rsidP="00F64EE3">
      <w:pPr>
        <w:pStyle w:val="FootnoteText"/>
      </w:pPr>
      <w:r>
        <w:rPr>
          <w:rStyle w:val="FootnoteReference"/>
        </w:rPr>
        <w:footnoteRef/>
      </w:r>
      <w:r>
        <w:t xml:space="preserve"> At 105.</w:t>
      </w:r>
    </w:p>
  </w:footnote>
  <w:footnote w:id="81">
    <w:p w14:paraId="1CE2679B" w14:textId="77777777" w:rsidR="00F64EE3" w:rsidRDefault="00F64EE3" w:rsidP="00F64EE3">
      <w:pPr>
        <w:pStyle w:val="FootnoteText"/>
      </w:pPr>
      <w:r>
        <w:rPr>
          <w:rStyle w:val="FootnoteReference"/>
        </w:rPr>
        <w:footnoteRef/>
      </w:r>
      <w:r>
        <w:t xml:space="preserve"> At 108</w:t>
      </w:r>
      <w:r w:rsidRPr="00570D2D">
        <w:t xml:space="preserve"> </w:t>
      </w:r>
      <w:r>
        <w:t xml:space="preserve">per </w:t>
      </w:r>
      <w:r w:rsidRPr="00570D2D">
        <w:t>Lord Millett.</w:t>
      </w:r>
    </w:p>
  </w:footnote>
  <w:footnote w:id="82">
    <w:p w14:paraId="34AD739C" w14:textId="77777777" w:rsidR="00F64EE3" w:rsidRDefault="00F64EE3" w:rsidP="00F64EE3">
      <w:pPr>
        <w:pStyle w:val="FootnoteText"/>
      </w:pPr>
      <w:r>
        <w:rPr>
          <w:rStyle w:val="FootnoteReference"/>
        </w:rPr>
        <w:footnoteRef/>
      </w:r>
      <w:r>
        <w:t xml:space="preserve"> See </w:t>
      </w:r>
      <w:r w:rsidRPr="00F4743D">
        <w:rPr>
          <w:iCs/>
        </w:rPr>
        <w:t>Priaulx ‘Joy to the World!</w:t>
      </w:r>
      <w:r>
        <w:rPr>
          <w:iCs/>
        </w:rPr>
        <w:t xml:space="preserve">’, </w:t>
      </w:r>
      <w:r w:rsidRPr="001E0B84">
        <w:t>Adjin-Tettey,</w:t>
      </w:r>
      <w:r>
        <w:t xml:space="preserve"> </w:t>
      </w:r>
      <w:r w:rsidRPr="009971A7">
        <w:t>‘Claims of Involuntary Parenthood</w:t>
      </w:r>
      <w:r>
        <w:t>’</w:t>
      </w:r>
      <w:r w:rsidRPr="009971A7">
        <w:t xml:space="preserve"> </w:t>
      </w:r>
      <w:r>
        <w:t xml:space="preserve">and </w:t>
      </w:r>
      <w:r>
        <w:rPr>
          <w:iCs/>
        </w:rPr>
        <w:t xml:space="preserve">Chico, ‘Wrongful Conception’, </w:t>
      </w:r>
      <w:r w:rsidRPr="001E0B84">
        <w:rPr>
          <w:iCs/>
        </w:rPr>
        <w:t>154.</w:t>
      </w:r>
    </w:p>
  </w:footnote>
  <w:footnote w:id="83">
    <w:p w14:paraId="7D38FA64" w14:textId="77777777" w:rsidR="00F64EE3" w:rsidRPr="00231D17" w:rsidRDefault="00F64EE3" w:rsidP="00F64EE3">
      <w:pPr>
        <w:pStyle w:val="FootnoteText"/>
      </w:pPr>
      <w:r>
        <w:rPr>
          <w:rStyle w:val="FootnoteReference"/>
        </w:rPr>
        <w:footnoteRef/>
      </w:r>
      <w:r>
        <w:t xml:space="preserve"> </w:t>
      </w:r>
      <w:r>
        <w:rPr>
          <w:bCs/>
          <w:iCs/>
        </w:rPr>
        <w:t xml:space="preserve">See </w:t>
      </w:r>
      <w:r w:rsidRPr="00231D17">
        <w:rPr>
          <w:bCs/>
          <w:i/>
          <w:iCs/>
        </w:rPr>
        <w:t>Simaan Contracting Co v Pilkington Ltd.</w:t>
      </w:r>
      <w:r>
        <w:rPr>
          <w:bCs/>
          <w:iCs/>
        </w:rPr>
        <w:t xml:space="preserve"> [1988] 1 QB 758 and </w:t>
      </w:r>
      <w:r w:rsidRPr="00231D17">
        <w:rPr>
          <w:bCs/>
          <w:i/>
          <w:iCs/>
        </w:rPr>
        <w:t xml:space="preserve">Murphy v Brentwood District Council </w:t>
      </w:r>
      <w:r w:rsidRPr="00231D17">
        <w:rPr>
          <w:bCs/>
          <w:iCs/>
        </w:rPr>
        <w:t>[1991] 1 AC 398</w:t>
      </w:r>
      <w:r>
        <w:rPr>
          <w:bCs/>
          <w:iCs/>
        </w:rPr>
        <w:t>.</w:t>
      </w:r>
    </w:p>
  </w:footnote>
  <w:footnote w:id="84">
    <w:p w14:paraId="0DEABC8D" w14:textId="77777777" w:rsidR="00F64EE3" w:rsidRDefault="00F64EE3" w:rsidP="00F64EE3">
      <w:pPr>
        <w:pStyle w:val="FootnoteText"/>
      </w:pPr>
      <w:r>
        <w:rPr>
          <w:rStyle w:val="FootnoteReference"/>
        </w:rPr>
        <w:footnoteRef/>
      </w:r>
      <w:r>
        <w:t xml:space="preserve"> W.V.H. Rogers </w:t>
      </w:r>
      <w:r>
        <w:rPr>
          <w:i/>
        </w:rPr>
        <w:t xml:space="preserve">Winfield and Jolowicz on Tort </w:t>
      </w:r>
      <w:r>
        <w:t>18</w:t>
      </w:r>
      <w:r w:rsidRPr="00BE5291">
        <w:rPr>
          <w:vertAlign w:val="superscript"/>
        </w:rPr>
        <w:t>th</w:t>
      </w:r>
      <w:r>
        <w:t xml:space="preserve"> Edn. (London: Sweet &amp; Maxwell, 2010) 218.</w:t>
      </w:r>
    </w:p>
  </w:footnote>
  <w:footnote w:id="85">
    <w:p w14:paraId="01502832" w14:textId="77777777" w:rsidR="00F64EE3" w:rsidRDefault="00F64EE3" w:rsidP="00F64EE3">
      <w:pPr>
        <w:pStyle w:val="FootnoteText"/>
      </w:pPr>
      <w:r>
        <w:rPr>
          <w:rStyle w:val="FootnoteReference"/>
        </w:rPr>
        <w:footnoteRef/>
      </w:r>
      <w:r>
        <w:t xml:space="preserve"> </w:t>
      </w:r>
      <w:r w:rsidRPr="00022B49">
        <w:t xml:space="preserve">The discussion of this case here will be brief as some of the issues associated with it will take place in my analysis of </w:t>
      </w:r>
      <w:r w:rsidRPr="00022B49">
        <w:rPr>
          <w:i/>
        </w:rPr>
        <w:t>Chester</w:t>
      </w:r>
      <w:r w:rsidRPr="00022B49">
        <w:t xml:space="preserve"> in the next section.</w:t>
      </w:r>
    </w:p>
  </w:footnote>
  <w:footnote w:id="86">
    <w:p w14:paraId="7B22B7C3" w14:textId="77777777" w:rsidR="00F64EE3" w:rsidRDefault="00F64EE3" w:rsidP="00F64EE3">
      <w:pPr>
        <w:pStyle w:val="FootnoteText"/>
      </w:pPr>
      <w:r>
        <w:rPr>
          <w:rStyle w:val="FootnoteReference"/>
        </w:rPr>
        <w:footnoteRef/>
      </w:r>
      <w:r>
        <w:t xml:space="preserve"> </w:t>
      </w:r>
      <w:r w:rsidRPr="000F1E87">
        <w:rPr>
          <w:iCs/>
        </w:rPr>
        <w:t>[2002] QB 266.</w:t>
      </w:r>
    </w:p>
  </w:footnote>
  <w:footnote w:id="87">
    <w:p w14:paraId="7DF0BD7B" w14:textId="77777777" w:rsidR="00F64EE3" w:rsidRPr="004E51F4" w:rsidRDefault="00F64EE3" w:rsidP="00F64EE3">
      <w:pPr>
        <w:pStyle w:val="FootnoteText"/>
      </w:pPr>
      <w:r>
        <w:rPr>
          <w:rStyle w:val="FootnoteReference"/>
        </w:rPr>
        <w:footnoteRef/>
      </w:r>
      <w:r>
        <w:t xml:space="preserve"> </w:t>
      </w:r>
      <w:r>
        <w:rPr>
          <w:iCs/>
        </w:rPr>
        <w:t>At</w:t>
      </w:r>
      <w:r>
        <w:t xml:space="preserve"> 283 per Brooke LJ.</w:t>
      </w:r>
    </w:p>
  </w:footnote>
  <w:footnote w:id="88">
    <w:p w14:paraId="17A216FD" w14:textId="77777777" w:rsidR="00F64EE3" w:rsidRDefault="00F64EE3" w:rsidP="00F64EE3">
      <w:pPr>
        <w:pStyle w:val="FootnoteText"/>
      </w:pPr>
      <w:r>
        <w:rPr>
          <w:rStyle w:val="FootnoteReference"/>
        </w:rPr>
        <w:footnoteRef/>
      </w:r>
      <w:r>
        <w:t xml:space="preserve"> </w:t>
      </w:r>
      <w:r w:rsidRPr="00D87849">
        <w:rPr>
          <w:i/>
          <w:iCs/>
        </w:rPr>
        <w:t xml:space="preserve">Rees v Darlington Memorial Hospital NHS Trust </w:t>
      </w:r>
      <w:r>
        <w:rPr>
          <w:iCs/>
        </w:rPr>
        <w:t>[2003] QB 20 (Waller LJ dissenting).</w:t>
      </w:r>
    </w:p>
  </w:footnote>
  <w:footnote w:id="89">
    <w:p w14:paraId="4058B2C4" w14:textId="77777777" w:rsidR="00F64EE3" w:rsidRPr="00834949" w:rsidRDefault="00F64EE3" w:rsidP="00F64EE3">
      <w:pPr>
        <w:pStyle w:val="FootnoteText"/>
      </w:pPr>
      <w:r>
        <w:rPr>
          <w:rStyle w:val="FootnoteReference"/>
        </w:rPr>
        <w:footnoteRef/>
      </w:r>
      <w:r>
        <w:t xml:space="preserve"> See Roderick Bagshaw, ‘Children as Actionable Damage’ (2004) 15 </w:t>
      </w:r>
      <w:r>
        <w:rPr>
          <w:i/>
        </w:rPr>
        <w:t xml:space="preserve">Kings College Law Journal </w:t>
      </w:r>
      <w:r>
        <w:t>117, 118-119 for an interesting discussion of this issue.</w:t>
      </w:r>
    </w:p>
  </w:footnote>
  <w:footnote w:id="90">
    <w:p w14:paraId="25CECE4A" w14:textId="77777777" w:rsidR="00F64EE3" w:rsidRPr="00B5375A" w:rsidRDefault="00F64EE3" w:rsidP="00F64EE3">
      <w:pPr>
        <w:pStyle w:val="FootnoteText"/>
        <w:rPr>
          <w:b/>
          <w:bCs/>
        </w:rPr>
      </w:pPr>
      <w:r>
        <w:rPr>
          <w:rStyle w:val="FootnoteReference"/>
        </w:rPr>
        <w:footnoteRef/>
      </w:r>
      <w:r>
        <w:t xml:space="preserve"> </w:t>
      </w:r>
      <w:r w:rsidRPr="00B5375A">
        <w:t>[1966] 1 WLR 1234.</w:t>
      </w:r>
    </w:p>
  </w:footnote>
  <w:footnote w:id="91">
    <w:p w14:paraId="09CCB27F" w14:textId="77777777" w:rsidR="00F64EE3" w:rsidRDefault="00F64EE3" w:rsidP="00F64EE3">
      <w:pPr>
        <w:pStyle w:val="FootnoteText"/>
      </w:pPr>
      <w:r>
        <w:rPr>
          <w:rStyle w:val="FootnoteReference"/>
        </w:rPr>
        <w:footnoteRef/>
      </w:r>
      <w:r>
        <w:t xml:space="preserve"> The House of Lords did not overrule </w:t>
      </w:r>
      <w:r w:rsidRPr="009C2AF6">
        <w:rPr>
          <w:i/>
          <w:iCs/>
        </w:rPr>
        <w:t xml:space="preserve">Parkinson </w:t>
      </w:r>
      <w:r>
        <w:t>and so the extra costs associated with raising a disabled child are still recoverable.</w:t>
      </w:r>
    </w:p>
  </w:footnote>
  <w:footnote w:id="92">
    <w:p w14:paraId="0CE85BCD" w14:textId="77777777" w:rsidR="00F64EE3" w:rsidRDefault="00F64EE3" w:rsidP="00F64EE3">
      <w:pPr>
        <w:pStyle w:val="FootnoteText"/>
      </w:pPr>
      <w:r>
        <w:rPr>
          <w:rStyle w:val="FootnoteReference"/>
        </w:rPr>
        <w:footnoteRef/>
      </w:r>
      <w:r>
        <w:t xml:space="preserve"> </w:t>
      </w:r>
      <w:r>
        <w:rPr>
          <w:i/>
        </w:rPr>
        <w:t>Rees</w:t>
      </w:r>
      <w:r>
        <w:t xml:space="preserve"> at</w:t>
      </w:r>
      <w:r w:rsidRPr="00B62052">
        <w:t xml:space="preserve"> 31</w:t>
      </w:r>
      <w:r>
        <w:t>9</w:t>
      </w:r>
      <w:r w:rsidRPr="00B62052">
        <w:t xml:space="preserve"> </w:t>
      </w:r>
      <w:r>
        <w:t xml:space="preserve">per </w:t>
      </w:r>
      <w:r w:rsidRPr="00B62052">
        <w:t>Lord Nicholls.</w:t>
      </w:r>
    </w:p>
  </w:footnote>
  <w:footnote w:id="93">
    <w:p w14:paraId="49167AA6" w14:textId="77777777" w:rsidR="00F64EE3" w:rsidRDefault="00F64EE3" w:rsidP="00F64EE3">
      <w:pPr>
        <w:pStyle w:val="FootnoteText"/>
      </w:pPr>
      <w:r>
        <w:rPr>
          <w:rStyle w:val="FootnoteReference"/>
        </w:rPr>
        <w:footnoteRef/>
      </w:r>
      <w:r>
        <w:t xml:space="preserve"> See </w:t>
      </w:r>
      <w:r w:rsidRPr="00EB15F6">
        <w:t>Priau</w:t>
      </w:r>
      <w:r>
        <w:t xml:space="preserve">lx, </w:t>
      </w:r>
      <w:r>
        <w:rPr>
          <w:i/>
        </w:rPr>
        <w:t>The Harm Paradox</w:t>
      </w:r>
      <w:r>
        <w:t xml:space="preserve"> and </w:t>
      </w:r>
      <w:r w:rsidRPr="00EB15F6">
        <w:t xml:space="preserve">Adjin-Tettey, </w:t>
      </w:r>
      <w:r>
        <w:t>‘Claims of Involuntary Parenthood.’</w:t>
      </w:r>
    </w:p>
  </w:footnote>
  <w:footnote w:id="94">
    <w:p w14:paraId="7E6C0E77" w14:textId="77777777" w:rsidR="00F64EE3" w:rsidRDefault="00F64EE3" w:rsidP="00F64EE3">
      <w:pPr>
        <w:pStyle w:val="FootnoteText"/>
      </w:pPr>
      <w:r>
        <w:rPr>
          <w:rStyle w:val="FootnoteReference"/>
        </w:rPr>
        <w:footnoteRef/>
      </w:r>
      <w:r>
        <w:t xml:space="preserve"> See David Pearce</w:t>
      </w:r>
      <w:r w:rsidRPr="00F066F0">
        <w:t xml:space="preserve"> and </w:t>
      </w:r>
      <w:r>
        <w:t xml:space="preserve">Roger </w:t>
      </w:r>
      <w:r w:rsidRPr="00F066F0">
        <w:t>Halson</w:t>
      </w:r>
      <w:r>
        <w:t>,</w:t>
      </w:r>
      <w:r w:rsidRPr="00F066F0">
        <w:t xml:space="preserve"> ‘Damages for Breach of Contract: Compensation, Restituti</w:t>
      </w:r>
      <w:r>
        <w:t xml:space="preserve">on and Vindication’ (2008) 28 </w:t>
      </w:r>
      <w:r>
        <w:rPr>
          <w:i/>
        </w:rPr>
        <w:t xml:space="preserve">Oxford Journal of Legal Studies </w:t>
      </w:r>
      <w:r>
        <w:t xml:space="preserve">73, 88 and Nicholas </w:t>
      </w:r>
      <w:r w:rsidRPr="00F066F0">
        <w:t xml:space="preserve">McBride and </w:t>
      </w:r>
      <w:r>
        <w:t xml:space="preserve">Roderick </w:t>
      </w:r>
      <w:r w:rsidRPr="00F066F0">
        <w:t>Bagshaw</w:t>
      </w:r>
      <w:r>
        <w:t>,</w:t>
      </w:r>
      <w:r w:rsidRPr="00F066F0">
        <w:t xml:space="preserve"> </w:t>
      </w:r>
      <w:r>
        <w:rPr>
          <w:i/>
        </w:rPr>
        <w:t xml:space="preserve">Tort Law </w:t>
      </w:r>
      <w:r w:rsidRPr="00F066F0">
        <w:t>4</w:t>
      </w:r>
      <w:r w:rsidRPr="00F066F0">
        <w:rPr>
          <w:vertAlign w:val="superscript"/>
        </w:rPr>
        <w:t>th</w:t>
      </w:r>
      <w:r>
        <w:t xml:space="preserve"> Edn. (London: </w:t>
      </w:r>
      <w:r w:rsidRPr="00F066F0">
        <w:t>Pearson, 2012)</w:t>
      </w:r>
      <w:r>
        <w:t xml:space="preserve"> </w:t>
      </w:r>
      <w:r w:rsidRPr="00F066F0">
        <w:t>826.</w:t>
      </w:r>
      <w:r>
        <w:t xml:space="preserve"> </w:t>
      </w:r>
      <w:r w:rsidRPr="00B1412E">
        <w:rPr>
          <w:bCs/>
          <w:iCs/>
        </w:rPr>
        <w:t xml:space="preserve">It could be argued that this interpretation of </w:t>
      </w:r>
      <w:r w:rsidRPr="00B1412E">
        <w:rPr>
          <w:bCs/>
          <w:i/>
          <w:iCs/>
        </w:rPr>
        <w:t>Rees</w:t>
      </w:r>
      <w:r w:rsidRPr="00B1412E">
        <w:rPr>
          <w:bCs/>
          <w:iCs/>
        </w:rPr>
        <w:t xml:space="preserve"> is relatively uncontroversial when one considers the approach the courts take in mesothelioma cases (see </w:t>
      </w:r>
      <w:r w:rsidRPr="00B1412E">
        <w:rPr>
          <w:bCs/>
          <w:i/>
          <w:iCs/>
        </w:rPr>
        <w:t>Sienkiewicz v Greif Ltd</w:t>
      </w:r>
      <w:r w:rsidRPr="00B1412E">
        <w:rPr>
          <w:bCs/>
          <w:iCs/>
        </w:rPr>
        <w:t xml:space="preserve"> [2011] 2 AC 229). In such circumstances it might be argued that the law allows a claimant to recover damages even though the defendant has not caused them damage. I would reject an analogy between these cases and </w:t>
      </w:r>
      <w:r w:rsidRPr="00B1412E">
        <w:rPr>
          <w:bCs/>
          <w:i/>
          <w:iCs/>
        </w:rPr>
        <w:t>Rees</w:t>
      </w:r>
      <w:r w:rsidRPr="00B1412E">
        <w:rPr>
          <w:bCs/>
          <w:iCs/>
        </w:rPr>
        <w:t xml:space="preserve">. Unlike the interpretation of </w:t>
      </w:r>
      <w:r w:rsidRPr="00B1412E">
        <w:rPr>
          <w:bCs/>
          <w:i/>
          <w:iCs/>
        </w:rPr>
        <w:t>Rees</w:t>
      </w:r>
      <w:r w:rsidRPr="00B1412E">
        <w:rPr>
          <w:bCs/>
          <w:iCs/>
        </w:rPr>
        <w:t xml:space="preserve"> being considered, the claimants in the mesothelioma cases are actually suffering from a form of actionable damage – mesothelioma – and so such cases do not render the tort of negligence actionable per se. Instead they concern modified forms of causation when scientific uncertainty means we do not know who actually </w:t>
      </w:r>
      <w:r w:rsidRPr="00B1412E">
        <w:rPr>
          <w:bCs/>
          <w:i/>
          <w:iCs/>
        </w:rPr>
        <w:t xml:space="preserve">caused </w:t>
      </w:r>
      <w:r w:rsidRPr="00B1412E">
        <w:rPr>
          <w:bCs/>
          <w:iCs/>
        </w:rPr>
        <w:t>the damage.</w:t>
      </w:r>
    </w:p>
  </w:footnote>
  <w:footnote w:id="95">
    <w:p w14:paraId="1273D51B" w14:textId="77777777" w:rsidR="00F64EE3" w:rsidRDefault="00F64EE3" w:rsidP="00F64EE3">
      <w:pPr>
        <w:pStyle w:val="FootnoteText"/>
      </w:pPr>
      <w:r>
        <w:rPr>
          <w:rStyle w:val="FootnoteReference"/>
        </w:rPr>
        <w:footnoteRef/>
      </w:r>
      <w:r>
        <w:t xml:space="preserve"> </w:t>
      </w:r>
      <w:r w:rsidRPr="009713C4">
        <w:rPr>
          <w:i/>
        </w:rPr>
        <w:t xml:space="preserve">Rees </w:t>
      </w:r>
      <w:r>
        <w:t xml:space="preserve">at 317 per Lord Bingham. See also </w:t>
      </w:r>
      <w:r w:rsidRPr="00387863">
        <w:rPr>
          <w:bCs/>
          <w:iCs/>
        </w:rPr>
        <w:t>Lord Millett</w:t>
      </w:r>
      <w:r>
        <w:rPr>
          <w:bCs/>
          <w:iCs/>
        </w:rPr>
        <w:t>’s comment (at 349) that</w:t>
      </w:r>
      <w:r w:rsidRPr="00387863">
        <w:rPr>
          <w:bCs/>
          <w:iCs/>
        </w:rPr>
        <w:t xml:space="preserve"> the right to limit the size of one’s family is </w:t>
      </w:r>
      <w:r>
        <w:rPr>
          <w:bCs/>
          <w:iCs/>
        </w:rPr>
        <w:t>‘</w:t>
      </w:r>
      <w:r w:rsidRPr="00387863">
        <w:rPr>
          <w:bCs/>
          <w:iCs/>
        </w:rPr>
        <w:t xml:space="preserve">regarded as an important human </w:t>
      </w:r>
      <w:r w:rsidRPr="00387863">
        <w:rPr>
          <w:bCs/>
          <w:i/>
          <w:iCs/>
        </w:rPr>
        <w:t>right</w:t>
      </w:r>
      <w:r w:rsidRPr="00387863">
        <w:rPr>
          <w:bCs/>
          <w:iCs/>
        </w:rPr>
        <w:t xml:space="preserve"> which should be protected by law</w:t>
      </w:r>
      <w:r>
        <w:rPr>
          <w:bCs/>
          <w:iCs/>
        </w:rPr>
        <w:t xml:space="preserve">.’ </w:t>
      </w:r>
    </w:p>
  </w:footnote>
  <w:footnote w:id="96">
    <w:p w14:paraId="00C3399D" w14:textId="77777777" w:rsidR="00F64EE3" w:rsidRPr="008D4C12" w:rsidRDefault="00F64EE3" w:rsidP="00F64EE3">
      <w:pPr>
        <w:pStyle w:val="FootnoteText"/>
        <w:rPr>
          <w:bCs/>
          <w:i/>
          <w:iCs/>
        </w:rPr>
      </w:pPr>
      <w:r>
        <w:rPr>
          <w:rStyle w:val="FootnoteReference"/>
        </w:rPr>
        <w:footnoteRef/>
      </w:r>
      <w:r>
        <w:t xml:space="preserve"> </w:t>
      </w:r>
      <w:r w:rsidRPr="007A29C9">
        <w:t xml:space="preserve">Nolan, </w:t>
      </w:r>
      <w:r>
        <w:t xml:space="preserve">‘New Forms of Damage in Negligence’ 79. </w:t>
      </w:r>
    </w:p>
  </w:footnote>
  <w:footnote w:id="97">
    <w:p w14:paraId="5C85F67A" w14:textId="77777777" w:rsidR="00F64EE3" w:rsidRPr="006F292B" w:rsidRDefault="00F64EE3" w:rsidP="00F64EE3">
      <w:pPr>
        <w:pStyle w:val="FootnoteText"/>
      </w:pPr>
      <w:r>
        <w:rPr>
          <w:rStyle w:val="FootnoteReference"/>
        </w:rPr>
        <w:footnoteRef/>
      </w:r>
      <w:r>
        <w:t xml:space="preserve"> Ibid. See also Priaulx, </w:t>
      </w:r>
      <w:r>
        <w:rPr>
          <w:i/>
        </w:rPr>
        <w:t>The Harm Paradox</w:t>
      </w:r>
      <w:r>
        <w:t xml:space="preserve"> and Chico, </w:t>
      </w:r>
      <w:r>
        <w:rPr>
          <w:i/>
        </w:rPr>
        <w:t>Genomic Negligence</w:t>
      </w:r>
      <w:r>
        <w:t>.</w:t>
      </w:r>
    </w:p>
  </w:footnote>
  <w:footnote w:id="98">
    <w:p w14:paraId="1A4D9A3D" w14:textId="77777777" w:rsidR="00F64EE3" w:rsidRDefault="00F64EE3" w:rsidP="00F64EE3">
      <w:pPr>
        <w:pStyle w:val="FootnoteText"/>
      </w:pPr>
      <w:r>
        <w:rPr>
          <w:rStyle w:val="FootnoteReference"/>
        </w:rPr>
        <w:footnoteRef/>
      </w:r>
      <w:r>
        <w:t xml:space="preserve"> At</w:t>
      </w:r>
      <w:r w:rsidRPr="00EB7B5A">
        <w:t xml:space="preserve"> 31</w:t>
      </w:r>
      <w:r>
        <w:t>7</w:t>
      </w:r>
      <w:r w:rsidRPr="00EB7B5A">
        <w:t>.</w:t>
      </w:r>
    </w:p>
  </w:footnote>
  <w:footnote w:id="99">
    <w:p w14:paraId="2E22D507" w14:textId="77777777" w:rsidR="00F64EE3" w:rsidRDefault="00F64EE3" w:rsidP="00F64EE3">
      <w:pPr>
        <w:pStyle w:val="FootnoteText"/>
      </w:pPr>
      <w:r>
        <w:rPr>
          <w:rStyle w:val="FootnoteReference"/>
        </w:rPr>
        <w:footnoteRef/>
      </w:r>
      <w:r>
        <w:t xml:space="preserve"> At 356 (my emphasis).</w:t>
      </w:r>
    </w:p>
  </w:footnote>
  <w:footnote w:id="100">
    <w:p w14:paraId="0953303C" w14:textId="77777777" w:rsidR="00F64EE3" w:rsidRPr="00334BE5" w:rsidRDefault="00F64EE3" w:rsidP="00F64EE3">
      <w:pPr>
        <w:pStyle w:val="FootnoteText"/>
      </w:pPr>
      <w:r>
        <w:rPr>
          <w:rStyle w:val="FootnoteReference"/>
        </w:rPr>
        <w:footnoteRef/>
      </w:r>
      <w:r>
        <w:t xml:space="preserve"> Samantha Singer, ‘Case Note: </w:t>
      </w:r>
      <w:r>
        <w:rPr>
          <w:i/>
        </w:rPr>
        <w:t>Rees v Darlington Memorial Hospital NHS Trust</w:t>
      </w:r>
      <w:r>
        <w:t xml:space="preserve">’ (2004) 26 </w:t>
      </w:r>
      <w:r>
        <w:rPr>
          <w:i/>
        </w:rPr>
        <w:t xml:space="preserve">Journal of Social Welfare and Family Law </w:t>
      </w:r>
      <w:r>
        <w:t>403, 413.</w:t>
      </w:r>
    </w:p>
  </w:footnote>
  <w:footnote w:id="101">
    <w:p w14:paraId="576E143C" w14:textId="77777777" w:rsidR="00F64EE3" w:rsidRPr="00334BE5" w:rsidRDefault="00F64EE3" w:rsidP="00F64EE3">
      <w:pPr>
        <w:pStyle w:val="FootnoteText"/>
      </w:pPr>
      <w:r>
        <w:rPr>
          <w:rStyle w:val="FootnoteReference"/>
        </w:rPr>
        <w:footnoteRef/>
      </w:r>
      <w:r>
        <w:t xml:space="preserve"> Ibid., 413.</w:t>
      </w:r>
    </w:p>
  </w:footnote>
  <w:footnote w:id="102">
    <w:p w14:paraId="350B229B" w14:textId="77777777" w:rsidR="00F64EE3" w:rsidRDefault="00F64EE3" w:rsidP="00F64EE3">
      <w:pPr>
        <w:pStyle w:val="FootnoteText"/>
      </w:pPr>
      <w:r>
        <w:rPr>
          <w:rStyle w:val="FootnoteReference"/>
        </w:rPr>
        <w:footnoteRef/>
      </w:r>
      <w:r>
        <w:t xml:space="preserve"> </w:t>
      </w:r>
      <w:r w:rsidRPr="00393A5D">
        <w:t>[1941] AC 157</w:t>
      </w:r>
      <w:r>
        <w:t>.</w:t>
      </w:r>
    </w:p>
  </w:footnote>
  <w:footnote w:id="103">
    <w:p w14:paraId="073B61DD" w14:textId="77777777" w:rsidR="00F64EE3" w:rsidRDefault="00F64EE3" w:rsidP="00F64EE3">
      <w:pPr>
        <w:pStyle w:val="FootnoteText"/>
      </w:pPr>
      <w:r>
        <w:rPr>
          <w:rStyle w:val="FootnoteReference"/>
        </w:rPr>
        <w:footnoteRef/>
      </w:r>
      <w:r>
        <w:t xml:space="preserve"> </w:t>
      </w:r>
      <w:r w:rsidRPr="006A051A">
        <w:t>[1964] AC 326</w:t>
      </w:r>
      <w:r>
        <w:t>.</w:t>
      </w:r>
    </w:p>
  </w:footnote>
  <w:footnote w:id="104">
    <w:p w14:paraId="0C260EB1" w14:textId="77777777" w:rsidR="00F64EE3" w:rsidRDefault="00F64EE3" w:rsidP="00F64EE3">
      <w:pPr>
        <w:pStyle w:val="FootnoteText"/>
      </w:pPr>
      <w:r>
        <w:rPr>
          <w:rStyle w:val="FootnoteReference"/>
        </w:rPr>
        <w:footnoteRef/>
      </w:r>
      <w:r>
        <w:t xml:space="preserve"> At 367</w:t>
      </w:r>
      <w:r w:rsidRPr="008305A2">
        <w:t>.</w:t>
      </w:r>
    </w:p>
  </w:footnote>
  <w:footnote w:id="105">
    <w:p w14:paraId="2B0E40A5" w14:textId="77777777" w:rsidR="00F64EE3" w:rsidRPr="005B09AE" w:rsidRDefault="00F64EE3" w:rsidP="00F64EE3">
      <w:pPr>
        <w:pStyle w:val="FootnoteText"/>
      </w:pPr>
      <w:r>
        <w:rPr>
          <w:rStyle w:val="FootnoteReference"/>
        </w:rPr>
        <w:footnoteRef/>
      </w:r>
      <w:r>
        <w:t xml:space="preserve"> </w:t>
      </w:r>
      <w:r>
        <w:rPr>
          <w:i/>
        </w:rPr>
        <w:t>Benham v Gambling</w:t>
      </w:r>
      <w:r>
        <w:t xml:space="preserve"> [1941] AC 157 at 166 per Viscount Simon.</w:t>
      </w:r>
    </w:p>
  </w:footnote>
  <w:footnote w:id="106">
    <w:p w14:paraId="5CD2B116" w14:textId="77777777" w:rsidR="00F64EE3" w:rsidRDefault="00F64EE3" w:rsidP="00F64EE3">
      <w:pPr>
        <w:pStyle w:val="FootnoteText"/>
      </w:pPr>
      <w:r>
        <w:rPr>
          <w:rStyle w:val="FootnoteReference"/>
        </w:rPr>
        <w:footnoteRef/>
      </w:r>
      <w:r>
        <w:t xml:space="preserve"> </w:t>
      </w:r>
      <w:r w:rsidRPr="008305A2">
        <w:rPr>
          <w:i/>
        </w:rPr>
        <w:t>West &amp; Son Ltd v Shepherd</w:t>
      </w:r>
      <w:r>
        <w:t xml:space="preserve"> [1964] AC 326 at 367</w:t>
      </w:r>
      <w:r w:rsidRPr="008305A2">
        <w:t xml:space="preserve"> </w:t>
      </w:r>
      <w:r>
        <w:t xml:space="preserve">per </w:t>
      </w:r>
      <w:r w:rsidRPr="008305A2">
        <w:t>Lord Pearce.</w:t>
      </w:r>
    </w:p>
  </w:footnote>
  <w:footnote w:id="107">
    <w:p w14:paraId="19E08D35" w14:textId="77777777" w:rsidR="00F64EE3" w:rsidRDefault="00F64EE3" w:rsidP="00F64EE3">
      <w:pPr>
        <w:pStyle w:val="FootnoteText"/>
      </w:pPr>
      <w:r>
        <w:rPr>
          <w:rStyle w:val="FootnoteReference"/>
        </w:rPr>
        <w:footnoteRef/>
      </w:r>
      <w:r>
        <w:t xml:space="preserve"> </w:t>
      </w:r>
      <w:r w:rsidRPr="00044D04">
        <w:t>The same statute that abolished loss of expectation of life as a head of loss</w:t>
      </w:r>
      <w:r>
        <w:t xml:space="preserve"> (</w:t>
      </w:r>
      <w:r w:rsidRPr="00044D04">
        <w:t>Administration of Justice Act 1982</w:t>
      </w:r>
      <w:r>
        <w:t xml:space="preserve">, s 3) </w:t>
      </w:r>
      <w:r w:rsidRPr="00044D04">
        <w:t>inserted a provision into the Fatal Accidents Act 1976 permitting damages for bereavement for the spouse of the deceased or, if the de</w:t>
      </w:r>
      <w:r>
        <w:t xml:space="preserve">ceased was a minor, the parents (Fatal Accidents Act 1976, s 1A). </w:t>
      </w:r>
      <w:r w:rsidRPr="00044D04">
        <w:t>The severity of bereavement may vary from person-to-person but, regardless of this, £12,980 is awarded for successful bere</w:t>
      </w:r>
      <w:r>
        <w:t>avement claims under the Act. While this is statutory and not part of the tort of negligence, it demonstrates that conventional sums are also an established part of tort law damages.</w:t>
      </w:r>
    </w:p>
  </w:footnote>
  <w:footnote w:id="108">
    <w:p w14:paraId="5695F987" w14:textId="77777777" w:rsidR="00F64EE3" w:rsidRDefault="00F64EE3" w:rsidP="00F64EE3">
      <w:pPr>
        <w:pStyle w:val="FootnoteText"/>
      </w:pPr>
      <w:r>
        <w:rPr>
          <w:rStyle w:val="FootnoteReference"/>
        </w:rPr>
        <w:footnoteRef/>
      </w:r>
      <w:r>
        <w:t xml:space="preserve"> </w:t>
      </w:r>
      <w:r w:rsidRPr="008305A2">
        <w:rPr>
          <w:i/>
        </w:rPr>
        <w:t xml:space="preserve">West </w:t>
      </w:r>
      <w:r w:rsidRPr="007771CB">
        <w:t>at</w:t>
      </w:r>
      <w:r>
        <w:t xml:space="preserve"> 369</w:t>
      </w:r>
      <w:r w:rsidRPr="008305A2">
        <w:t xml:space="preserve"> </w:t>
      </w:r>
      <w:r>
        <w:t xml:space="preserve">per </w:t>
      </w:r>
      <w:r w:rsidRPr="008305A2">
        <w:t>Lord Pearce.</w:t>
      </w:r>
    </w:p>
  </w:footnote>
  <w:footnote w:id="109">
    <w:p w14:paraId="529290A0" w14:textId="77777777" w:rsidR="00F64EE3" w:rsidRPr="002E1E56" w:rsidRDefault="00F64EE3" w:rsidP="00F64EE3">
      <w:pPr>
        <w:pStyle w:val="FootnoteText"/>
      </w:pPr>
      <w:r>
        <w:rPr>
          <w:rStyle w:val="FootnoteReference"/>
        </w:rPr>
        <w:footnoteRef/>
      </w:r>
      <w:r>
        <w:t xml:space="preserve"> See Jonathan</w:t>
      </w:r>
      <w:r w:rsidRPr="000A0B77">
        <w:t xml:space="preserve"> Glover, </w:t>
      </w:r>
      <w:r w:rsidRPr="000A0B77">
        <w:rPr>
          <w:i/>
          <w:iCs/>
        </w:rPr>
        <w:t>Causing Death and Saving Lives</w:t>
      </w:r>
      <w:r>
        <w:t xml:space="preserve"> (London: </w:t>
      </w:r>
      <w:r w:rsidRPr="000A0B77">
        <w:t>Penguin, 1977)</w:t>
      </w:r>
      <w:r>
        <w:t xml:space="preserve"> 74, </w:t>
      </w:r>
      <w:r w:rsidRPr="000A0B77">
        <w:t>J</w:t>
      </w:r>
      <w:r>
        <w:t xml:space="preserve">ohn </w:t>
      </w:r>
      <w:r w:rsidRPr="000A0B77">
        <w:t xml:space="preserve">Harris, </w:t>
      </w:r>
      <w:r w:rsidRPr="000A0B77">
        <w:rPr>
          <w:i/>
          <w:iCs/>
        </w:rPr>
        <w:t>The Value of Life: An Introduction to Medical Ethics</w:t>
      </w:r>
      <w:r w:rsidRPr="000A0B77">
        <w:t xml:space="preserve"> (</w:t>
      </w:r>
      <w:r>
        <w:t xml:space="preserve">London: </w:t>
      </w:r>
      <w:r w:rsidRPr="000A0B77">
        <w:t>Routledge &amp; Kegan Paul, 1985)</w:t>
      </w:r>
      <w:r>
        <w:t xml:space="preserve">, </w:t>
      </w:r>
      <w:r w:rsidRPr="00BE5291">
        <w:rPr>
          <w:iCs/>
        </w:rPr>
        <w:t>Søren</w:t>
      </w:r>
      <w:r w:rsidRPr="00BE5291">
        <w:t xml:space="preserve"> Holm, ‘Autonomy’ in Ruth Chadwick (Ed.), </w:t>
      </w:r>
      <w:r w:rsidRPr="00BE5291">
        <w:rPr>
          <w:i/>
        </w:rPr>
        <w:t>Encyclopaedia of Applied Ethics Volume 1</w:t>
      </w:r>
      <w:r w:rsidRPr="00BE5291">
        <w:t xml:space="preserve"> (San Diego: Academic Press, 1998) </w:t>
      </w:r>
      <w:r w:rsidRPr="000A0B77">
        <w:t>267</w:t>
      </w:r>
      <w:r>
        <w:t xml:space="preserve">. </w:t>
      </w:r>
    </w:p>
  </w:footnote>
  <w:footnote w:id="110">
    <w:p w14:paraId="5BC32922" w14:textId="77777777" w:rsidR="00F64EE3" w:rsidRDefault="00F64EE3" w:rsidP="00F64EE3">
      <w:pPr>
        <w:pStyle w:val="FootnoteText"/>
      </w:pPr>
      <w:r>
        <w:rPr>
          <w:rStyle w:val="FootnoteReference"/>
        </w:rPr>
        <w:footnoteRef/>
      </w:r>
      <w:r>
        <w:t xml:space="preserve"> See Glover, ibid. See also sections 2.1-2.3 of this thesis.</w:t>
      </w:r>
    </w:p>
  </w:footnote>
  <w:footnote w:id="111">
    <w:p w14:paraId="690DE37A" w14:textId="77777777" w:rsidR="00F64EE3" w:rsidRDefault="00F64EE3" w:rsidP="00F64EE3">
      <w:pPr>
        <w:pStyle w:val="FootnoteText"/>
      </w:pPr>
      <w:r>
        <w:rPr>
          <w:rStyle w:val="FootnoteReference"/>
        </w:rPr>
        <w:footnoteRef/>
      </w:r>
      <w:r>
        <w:t xml:space="preserve"> </w:t>
      </w:r>
      <w:r w:rsidRPr="00693AD8">
        <w:rPr>
          <w:bCs/>
          <w:i/>
        </w:rPr>
        <w:t>Lim Poh Choo v Camden and Islington Area Health Authority</w:t>
      </w:r>
      <w:r w:rsidRPr="00693AD8">
        <w:rPr>
          <w:bCs/>
        </w:rPr>
        <w:t xml:space="preserve"> [1980] AC 174</w:t>
      </w:r>
      <w:r>
        <w:rPr>
          <w:bCs/>
        </w:rPr>
        <w:t xml:space="preserve"> at </w:t>
      </w:r>
      <w:r w:rsidRPr="00693AD8">
        <w:rPr>
          <w:bCs/>
        </w:rPr>
        <w:t xml:space="preserve">189 </w:t>
      </w:r>
      <w:r>
        <w:rPr>
          <w:bCs/>
        </w:rPr>
        <w:t xml:space="preserve">per </w:t>
      </w:r>
      <w:r w:rsidRPr="00693AD8">
        <w:rPr>
          <w:bCs/>
        </w:rPr>
        <w:t>Lord Scarman.</w:t>
      </w:r>
    </w:p>
  </w:footnote>
  <w:footnote w:id="112">
    <w:p w14:paraId="54DCAF43" w14:textId="77777777" w:rsidR="00F64EE3" w:rsidRDefault="00F64EE3" w:rsidP="00F64EE3">
      <w:pPr>
        <w:pStyle w:val="FootnoteText"/>
      </w:pPr>
      <w:r>
        <w:rPr>
          <w:rStyle w:val="FootnoteReference"/>
        </w:rPr>
        <w:footnoteRef/>
      </w:r>
      <w:r>
        <w:t xml:space="preserve"> </w:t>
      </w:r>
      <w:r w:rsidRPr="008305A2">
        <w:rPr>
          <w:i/>
        </w:rPr>
        <w:t>West</w:t>
      </w:r>
      <w:r>
        <w:t xml:space="preserve"> at 346 per Lord Morris.</w:t>
      </w:r>
    </w:p>
  </w:footnote>
  <w:footnote w:id="113">
    <w:p w14:paraId="313C856B" w14:textId="77777777" w:rsidR="00F64EE3" w:rsidRDefault="00F64EE3" w:rsidP="00F64EE3">
      <w:pPr>
        <w:pStyle w:val="FootnoteText"/>
      </w:pPr>
      <w:r>
        <w:rPr>
          <w:rStyle w:val="FootnoteReference"/>
        </w:rPr>
        <w:footnoteRef/>
      </w:r>
      <w:r>
        <w:t xml:space="preserve"> Ibid.</w:t>
      </w:r>
    </w:p>
  </w:footnote>
  <w:footnote w:id="114">
    <w:p w14:paraId="79D718CF" w14:textId="77777777" w:rsidR="00F64EE3" w:rsidRPr="006745D0" w:rsidRDefault="00F64EE3" w:rsidP="00F64EE3">
      <w:pPr>
        <w:pStyle w:val="FootnoteText"/>
      </w:pPr>
      <w:r>
        <w:rPr>
          <w:rStyle w:val="FootnoteReference"/>
        </w:rPr>
        <w:footnoteRef/>
      </w:r>
      <w:r>
        <w:t xml:space="preserve"> John Murphy and Christian Witting, </w:t>
      </w:r>
      <w:r>
        <w:rPr>
          <w:i/>
        </w:rPr>
        <w:t xml:space="preserve">Street on Torts </w:t>
      </w:r>
      <w:r>
        <w:t>13</w:t>
      </w:r>
      <w:r w:rsidRPr="00950690">
        <w:rPr>
          <w:vertAlign w:val="superscript"/>
        </w:rPr>
        <w:t>th</w:t>
      </w:r>
      <w:r>
        <w:t xml:space="preserve"> Edn. (Oxford: Oxford University Press, 2013) 718.</w:t>
      </w:r>
    </w:p>
  </w:footnote>
  <w:footnote w:id="115">
    <w:p w14:paraId="4BDFAD37" w14:textId="77777777" w:rsidR="00F64EE3" w:rsidRPr="004639B2" w:rsidRDefault="00F64EE3" w:rsidP="00F64EE3">
      <w:pPr>
        <w:pStyle w:val="FootnoteText"/>
        <w:rPr>
          <w:highlight w:val="yellow"/>
        </w:rPr>
      </w:pPr>
      <w:r>
        <w:rPr>
          <w:rStyle w:val="FootnoteReference"/>
        </w:rPr>
        <w:footnoteRef/>
      </w:r>
      <w:r>
        <w:t xml:space="preserve"> Judicial College,</w:t>
      </w:r>
      <w:r w:rsidRPr="004639B2">
        <w:t xml:space="preserve"> </w:t>
      </w:r>
      <w:r w:rsidRPr="004639B2">
        <w:rPr>
          <w:i/>
        </w:rPr>
        <w:t>Guidelines for the Assessment of General Damages in Personal Injury Cases</w:t>
      </w:r>
      <w:r w:rsidRPr="004639B2">
        <w:t xml:space="preserve"> (Oxford:</w:t>
      </w:r>
      <w:r>
        <w:t xml:space="preserve"> Oxford University Press, 2012) </w:t>
      </w:r>
      <w:r w:rsidRPr="004639B2">
        <w:t>15.</w:t>
      </w:r>
    </w:p>
  </w:footnote>
  <w:footnote w:id="116">
    <w:p w14:paraId="5F050619" w14:textId="77777777" w:rsidR="00F64EE3" w:rsidRDefault="00F64EE3" w:rsidP="00F64EE3">
      <w:pPr>
        <w:pStyle w:val="FootnoteText"/>
      </w:pPr>
      <w:r>
        <w:rPr>
          <w:rStyle w:val="FootnoteReference"/>
        </w:rPr>
        <w:footnoteRef/>
      </w:r>
      <w:r>
        <w:t xml:space="preserve"> </w:t>
      </w:r>
      <w:r w:rsidRPr="006E1069">
        <w:rPr>
          <w:i/>
        </w:rPr>
        <w:t>Rees</w:t>
      </w:r>
      <w:r>
        <w:t xml:space="preserve"> at </w:t>
      </w:r>
      <w:r w:rsidRPr="006E1069">
        <w:t>335.</w:t>
      </w:r>
    </w:p>
  </w:footnote>
  <w:footnote w:id="117">
    <w:p w14:paraId="5EC7D53B" w14:textId="77777777" w:rsidR="00F64EE3" w:rsidRDefault="00F64EE3" w:rsidP="00F64EE3">
      <w:pPr>
        <w:pStyle w:val="FootnoteText"/>
      </w:pPr>
      <w:r>
        <w:rPr>
          <w:rStyle w:val="FootnoteReference"/>
        </w:rPr>
        <w:footnoteRef/>
      </w:r>
      <w:r>
        <w:t xml:space="preserve"> At 327.</w:t>
      </w:r>
    </w:p>
  </w:footnote>
  <w:footnote w:id="118">
    <w:p w14:paraId="334C24B5" w14:textId="77777777" w:rsidR="00F64EE3" w:rsidRDefault="00F64EE3" w:rsidP="00F64EE3">
      <w:pPr>
        <w:pStyle w:val="FootnoteText"/>
      </w:pPr>
      <w:r>
        <w:rPr>
          <w:rStyle w:val="FootnoteReference"/>
        </w:rPr>
        <w:footnoteRef/>
      </w:r>
      <w:r>
        <w:t xml:space="preserve"> See ch 7. </w:t>
      </w:r>
    </w:p>
  </w:footnote>
  <w:footnote w:id="119">
    <w:p w14:paraId="0B28F94A" w14:textId="77777777" w:rsidR="00F64EE3" w:rsidRDefault="00F64EE3" w:rsidP="00F64EE3">
      <w:pPr>
        <w:pStyle w:val="FootnoteText"/>
      </w:pPr>
      <w:r>
        <w:rPr>
          <w:rStyle w:val="FootnoteReference"/>
        </w:rPr>
        <w:footnoteRef/>
      </w:r>
      <w:r>
        <w:t xml:space="preserve"> If she could have said this her claim would have been successful. See </w:t>
      </w:r>
      <w:r w:rsidRPr="00DD7AFC">
        <w:rPr>
          <w:bCs/>
          <w:i/>
        </w:rPr>
        <w:t>Sidaway v Board of Governors of the Bethlem Royal Hospital</w:t>
      </w:r>
      <w:r w:rsidRPr="00DD7AFC">
        <w:rPr>
          <w:b/>
          <w:bCs/>
        </w:rPr>
        <w:t> </w:t>
      </w:r>
      <w:r w:rsidRPr="00DD7AFC">
        <w:rPr>
          <w:bCs/>
        </w:rPr>
        <w:t>[1985] AC 871.</w:t>
      </w:r>
      <w:r>
        <w:t xml:space="preserve"> </w:t>
      </w:r>
    </w:p>
  </w:footnote>
  <w:footnote w:id="120">
    <w:p w14:paraId="3DF054F0" w14:textId="77777777" w:rsidR="00F64EE3" w:rsidRDefault="00F64EE3" w:rsidP="00F64EE3">
      <w:pPr>
        <w:pStyle w:val="FootnoteText"/>
      </w:pPr>
      <w:r>
        <w:rPr>
          <w:rStyle w:val="FootnoteReference"/>
        </w:rPr>
        <w:footnoteRef/>
      </w:r>
      <w:r>
        <w:t xml:space="preserve"> See Nolan,</w:t>
      </w:r>
      <w:r w:rsidRPr="00A7716F">
        <w:t xml:space="preserve"> ‘New Forms of Da</w:t>
      </w:r>
      <w:r>
        <w:t xml:space="preserve">mage in Negligence’ and ‘Damage in the English Law of Negligence’; Chico, </w:t>
      </w:r>
      <w:r>
        <w:rPr>
          <w:i/>
        </w:rPr>
        <w:t xml:space="preserve">Genomic </w:t>
      </w:r>
      <w:r w:rsidRPr="003F17E0">
        <w:t>Negligence</w:t>
      </w:r>
      <w:r>
        <w:t xml:space="preserve">; Priaulx, </w:t>
      </w:r>
      <w:r>
        <w:rPr>
          <w:i/>
        </w:rPr>
        <w:t>The Harm Paradox</w:t>
      </w:r>
      <w:r>
        <w:t xml:space="preserve">; </w:t>
      </w:r>
      <w:r w:rsidRPr="003F17E0">
        <w:t>and</w:t>
      </w:r>
      <w:r>
        <w:t xml:space="preserve">  ch 5 and 7 of this thesis.</w:t>
      </w:r>
    </w:p>
  </w:footnote>
  <w:footnote w:id="121">
    <w:p w14:paraId="47F758D9" w14:textId="77777777" w:rsidR="00F64EE3" w:rsidRDefault="00F64EE3" w:rsidP="00F64EE3">
      <w:pPr>
        <w:pStyle w:val="FootnoteText"/>
      </w:pPr>
      <w:r>
        <w:rPr>
          <w:rStyle w:val="FootnoteReference"/>
        </w:rPr>
        <w:footnoteRef/>
      </w:r>
      <w:r>
        <w:t xml:space="preserve"> Holm,</w:t>
      </w:r>
      <w:r w:rsidRPr="000A1FB1">
        <w:t xml:space="preserve"> ‘Autonomy’</w:t>
      </w:r>
      <w:r>
        <w:t>.</w:t>
      </w:r>
    </w:p>
  </w:footnote>
  <w:footnote w:id="122">
    <w:p w14:paraId="7718589E" w14:textId="77777777" w:rsidR="00F64EE3" w:rsidRDefault="00F64EE3" w:rsidP="00F64EE3">
      <w:pPr>
        <w:pStyle w:val="FootnoteText"/>
      </w:pPr>
      <w:r>
        <w:rPr>
          <w:rStyle w:val="FootnoteReference"/>
        </w:rPr>
        <w:footnoteRef/>
      </w:r>
      <w:r>
        <w:t xml:space="preserve"> </w:t>
      </w:r>
      <w:r>
        <w:rPr>
          <w:i/>
        </w:rPr>
        <w:t xml:space="preserve">Chester </w:t>
      </w:r>
      <w:r w:rsidRPr="003F17E0">
        <w:t>at</w:t>
      </w:r>
      <w:r>
        <w:t xml:space="preserve"> </w:t>
      </w:r>
      <w:r w:rsidRPr="00273955">
        <w:t>146.</w:t>
      </w:r>
    </w:p>
  </w:footnote>
  <w:footnote w:id="123">
    <w:p w14:paraId="7C0C92CA" w14:textId="77777777" w:rsidR="00F64EE3" w:rsidRDefault="00F64EE3" w:rsidP="00F64EE3">
      <w:pPr>
        <w:pStyle w:val="FootnoteText"/>
      </w:pPr>
      <w:r>
        <w:rPr>
          <w:rStyle w:val="FootnoteReference"/>
        </w:rPr>
        <w:footnoteRef/>
      </w:r>
      <w:r>
        <w:t xml:space="preserve"> Ibid.</w:t>
      </w:r>
    </w:p>
  </w:footnote>
  <w:footnote w:id="124">
    <w:p w14:paraId="09685715" w14:textId="77777777" w:rsidR="00F64EE3" w:rsidRDefault="00F64EE3" w:rsidP="00F64EE3">
      <w:pPr>
        <w:pStyle w:val="FootnoteText"/>
      </w:pPr>
      <w:r>
        <w:rPr>
          <w:rStyle w:val="FootnoteReference"/>
        </w:rPr>
        <w:footnoteRef/>
      </w:r>
      <w:r>
        <w:t xml:space="preserve"> At 143.</w:t>
      </w:r>
    </w:p>
  </w:footnote>
  <w:footnote w:id="125">
    <w:p w14:paraId="02E1724F" w14:textId="77777777" w:rsidR="00F64EE3" w:rsidRDefault="00F64EE3" w:rsidP="00F64EE3">
      <w:pPr>
        <w:pStyle w:val="FootnoteText"/>
      </w:pPr>
      <w:r>
        <w:rPr>
          <w:rStyle w:val="FootnoteReference"/>
        </w:rPr>
        <w:footnoteRef/>
      </w:r>
      <w:r>
        <w:t xml:space="preserve"> At</w:t>
      </w:r>
      <w:r w:rsidRPr="007F40CA">
        <w:t xml:space="preserve"> </w:t>
      </w:r>
      <w:r>
        <w:t>163.</w:t>
      </w:r>
    </w:p>
  </w:footnote>
  <w:footnote w:id="126">
    <w:p w14:paraId="1DEB0496" w14:textId="77777777" w:rsidR="00F64EE3" w:rsidRDefault="00F64EE3" w:rsidP="00F64EE3">
      <w:pPr>
        <w:pStyle w:val="FootnoteText"/>
      </w:pPr>
      <w:r>
        <w:rPr>
          <w:rStyle w:val="FootnoteReference"/>
        </w:rPr>
        <w:footnoteRef/>
      </w:r>
      <w:r>
        <w:t xml:space="preserve"> At</w:t>
      </w:r>
      <w:r w:rsidRPr="00C14CDA">
        <w:t xml:space="preserve"> 153</w:t>
      </w:r>
      <w:r>
        <w:t>-154</w:t>
      </w:r>
      <w:r w:rsidRPr="00C14CDA">
        <w:t>.</w:t>
      </w:r>
    </w:p>
  </w:footnote>
  <w:footnote w:id="127">
    <w:p w14:paraId="5C1BB7B3" w14:textId="77777777" w:rsidR="00F64EE3" w:rsidRDefault="00F64EE3" w:rsidP="00F64EE3">
      <w:pPr>
        <w:pStyle w:val="FootnoteText"/>
      </w:pPr>
      <w:r>
        <w:rPr>
          <w:rStyle w:val="FootnoteReference"/>
        </w:rPr>
        <w:footnoteRef/>
      </w:r>
      <w:r>
        <w:t xml:space="preserve"> At 147</w:t>
      </w:r>
      <w:r w:rsidRPr="007A4C09">
        <w:t>.</w:t>
      </w:r>
    </w:p>
  </w:footnote>
  <w:footnote w:id="128">
    <w:p w14:paraId="2E632A44" w14:textId="77777777" w:rsidR="00F64EE3" w:rsidRDefault="00F64EE3" w:rsidP="00F64EE3">
      <w:pPr>
        <w:pStyle w:val="FootnoteText"/>
      </w:pPr>
      <w:r>
        <w:rPr>
          <w:rStyle w:val="FootnoteReference"/>
        </w:rPr>
        <w:footnoteRef/>
      </w:r>
      <w:r>
        <w:t xml:space="preserve"> Sarah </w:t>
      </w:r>
      <w:r w:rsidRPr="0031590D">
        <w:t>Devaney</w:t>
      </w:r>
      <w:r>
        <w:t>,</w:t>
      </w:r>
      <w:r w:rsidRPr="0031590D">
        <w:t xml:space="preserve"> ‘Autonomy Rules Ok’ </w:t>
      </w:r>
      <w:r>
        <w:t xml:space="preserve">(2005) 13 </w:t>
      </w:r>
      <w:r>
        <w:rPr>
          <w:i/>
        </w:rPr>
        <w:t xml:space="preserve">Medical Law Review </w:t>
      </w:r>
      <w:r>
        <w:t>102,</w:t>
      </w:r>
      <w:r w:rsidRPr="0031590D">
        <w:t xml:space="preserve"> 107.</w:t>
      </w:r>
    </w:p>
  </w:footnote>
  <w:footnote w:id="129">
    <w:p w14:paraId="2D593D2F" w14:textId="77777777" w:rsidR="00F64EE3" w:rsidRDefault="00F64EE3" w:rsidP="00F64EE3">
      <w:pPr>
        <w:pStyle w:val="FootnoteText"/>
      </w:pPr>
      <w:r>
        <w:rPr>
          <w:rStyle w:val="FootnoteReference"/>
        </w:rPr>
        <w:footnoteRef/>
      </w:r>
      <w:r>
        <w:t xml:space="preserve"> See </w:t>
      </w:r>
      <w:r w:rsidRPr="0024365C">
        <w:t xml:space="preserve">Pearce and </w:t>
      </w:r>
      <w:r>
        <w:t>H</w:t>
      </w:r>
      <w:r w:rsidRPr="0024365C">
        <w:t>alson,</w:t>
      </w:r>
      <w:r>
        <w:t xml:space="preserve"> ‘Damages for Breach of Contract’ 98 and </w:t>
      </w:r>
      <w:r w:rsidRPr="00943485">
        <w:t>Murphy</w:t>
      </w:r>
      <w:r>
        <w:t xml:space="preserve"> and Witting,</w:t>
      </w:r>
      <w:r w:rsidRPr="00943485">
        <w:t xml:space="preserve"> </w:t>
      </w:r>
      <w:r>
        <w:rPr>
          <w:i/>
        </w:rPr>
        <w:t>Street on Torts</w:t>
      </w:r>
      <w:r>
        <w:t xml:space="preserve">, </w:t>
      </w:r>
      <w:r w:rsidRPr="00943485">
        <w:t>159.</w:t>
      </w:r>
    </w:p>
  </w:footnote>
  <w:footnote w:id="130">
    <w:p w14:paraId="538CFCAE" w14:textId="77777777" w:rsidR="00F64EE3" w:rsidRDefault="00F64EE3" w:rsidP="00F64EE3">
      <w:pPr>
        <w:pStyle w:val="FootnoteText"/>
      </w:pPr>
      <w:r>
        <w:rPr>
          <w:rStyle w:val="FootnoteReference"/>
        </w:rPr>
        <w:footnoteRef/>
      </w:r>
      <w:r>
        <w:t xml:space="preserve"> </w:t>
      </w:r>
      <w:r w:rsidRPr="002E69C6">
        <w:t xml:space="preserve">Kumaralingam </w:t>
      </w:r>
      <w:r w:rsidRPr="009F7865">
        <w:t>Amirthalingham</w:t>
      </w:r>
      <w:r>
        <w:t>,</w:t>
      </w:r>
      <w:r w:rsidRPr="009F7865">
        <w:t xml:space="preserve"> ‘Causation and the Gist of Negligence’</w:t>
      </w:r>
      <w:r>
        <w:t xml:space="preserve"> (2005) 62</w:t>
      </w:r>
      <w:r w:rsidRPr="009F7865">
        <w:t xml:space="preserve"> </w:t>
      </w:r>
      <w:r>
        <w:rPr>
          <w:i/>
        </w:rPr>
        <w:t xml:space="preserve">Cambridge Law Journal </w:t>
      </w:r>
      <w:r>
        <w:t xml:space="preserve">64 </w:t>
      </w:r>
      <w:r w:rsidRPr="009F7865">
        <w:t>(2005)</w:t>
      </w:r>
      <w:r>
        <w:t xml:space="preserve"> 32 and </w:t>
      </w:r>
      <w:r w:rsidRPr="0053587D">
        <w:t>‘The Changing Face of the Gist of</w:t>
      </w:r>
      <w:r>
        <w:t xml:space="preserve"> Negligence’</w:t>
      </w:r>
      <w:r w:rsidRPr="0053587D">
        <w:t xml:space="preserve"> </w:t>
      </w:r>
      <w:r w:rsidRPr="00593DB2">
        <w:t>in</w:t>
      </w:r>
      <w:r>
        <w:t xml:space="preserve"> Neyers </w:t>
      </w:r>
      <w:r>
        <w:rPr>
          <w:i/>
        </w:rPr>
        <w:t>et al</w:t>
      </w:r>
      <w:r>
        <w:t xml:space="preserve"> (Eds.),</w:t>
      </w:r>
      <w:r w:rsidRPr="00593DB2">
        <w:t xml:space="preserve"> </w:t>
      </w:r>
      <w:r w:rsidRPr="00593DB2">
        <w:rPr>
          <w:i/>
        </w:rPr>
        <w:t>Emergi</w:t>
      </w:r>
      <w:r>
        <w:rPr>
          <w:i/>
        </w:rPr>
        <w:t>ng Issues in Tort Law</w:t>
      </w:r>
      <w:r>
        <w:t>.</w:t>
      </w:r>
    </w:p>
  </w:footnote>
  <w:footnote w:id="131">
    <w:p w14:paraId="62C6796C" w14:textId="77777777" w:rsidR="00F64EE3" w:rsidRDefault="00F64EE3" w:rsidP="00F64EE3">
      <w:pPr>
        <w:pStyle w:val="FootnoteText"/>
      </w:pPr>
      <w:r>
        <w:rPr>
          <w:rStyle w:val="FootnoteReference"/>
        </w:rPr>
        <w:footnoteRef/>
      </w:r>
      <w:r>
        <w:t xml:space="preserve"> </w:t>
      </w:r>
      <w:r w:rsidRPr="00112CA2">
        <w:t>Amirthalingham</w:t>
      </w:r>
      <w:r>
        <w:t xml:space="preserve">, </w:t>
      </w:r>
      <w:r w:rsidRPr="00593DB2">
        <w:t>‘Causation and the Gist of Negligence’</w:t>
      </w:r>
      <w:r>
        <w:t>, 34.</w:t>
      </w:r>
    </w:p>
  </w:footnote>
  <w:footnote w:id="132">
    <w:p w14:paraId="732D18BF" w14:textId="77777777" w:rsidR="00F64EE3" w:rsidRDefault="00F64EE3" w:rsidP="00F64EE3">
      <w:pPr>
        <w:pStyle w:val="FootnoteText"/>
      </w:pPr>
      <w:r>
        <w:rPr>
          <w:rStyle w:val="FootnoteReference"/>
        </w:rPr>
        <w:footnoteRef/>
      </w:r>
      <w:r>
        <w:t xml:space="preserve"> </w:t>
      </w:r>
      <w:r w:rsidRPr="007A4C09">
        <w:rPr>
          <w:i/>
        </w:rPr>
        <w:t xml:space="preserve">Chester </w:t>
      </w:r>
      <w:r>
        <w:t>at 147</w:t>
      </w:r>
      <w:r w:rsidRPr="007A4C09">
        <w:t>.</w:t>
      </w:r>
    </w:p>
  </w:footnote>
  <w:footnote w:id="133">
    <w:p w14:paraId="241B4289" w14:textId="77777777" w:rsidR="00F64EE3" w:rsidRDefault="00F64EE3" w:rsidP="00F64EE3">
      <w:pPr>
        <w:pStyle w:val="FootnoteText"/>
      </w:pPr>
      <w:r>
        <w:rPr>
          <w:rStyle w:val="FootnoteReference"/>
        </w:rPr>
        <w:footnoteRef/>
      </w:r>
      <w:r>
        <w:t xml:space="preserve"> </w:t>
      </w:r>
      <w:r w:rsidRPr="00635AC0">
        <w:rPr>
          <w:i/>
        </w:rPr>
        <w:t xml:space="preserve">Rees </w:t>
      </w:r>
      <w:r>
        <w:t xml:space="preserve">at </w:t>
      </w:r>
      <w:r w:rsidRPr="00635AC0">
        <w:t>33</w:t>
      </w:r>
      <w:r>
        <w:t>4</w:t>
      </w:r>
      <w:r w:rsidRPr="00635AC0">
        <w:t>.</w:t>
      </w:r>
    </w:p>
  </w:footnote>
  <w:footnote w:id="134">
    <w:p w14:paraId="44D45205" w14:textId="77777777" w:rsidR="00F64EE3" w:rsidRDefault="00F64EE3" w:rsidP="00F64EE3">
      <w:pPr>
        <w:pStyle w:val="FootnoteText"/>
      </w:pPr>
      <w:r>
        <w:rPr>
          <w:rStyle w:val="FootnoteReference"/>
        </w:rPr>
        <w:footnoteRef/>
      </w:r>
      <w:r>
        <w:t xml:space="preserve"> Chico</w:t>
      </w:r>
      <w:r w:rsidRPr="00EA6EC4">
        <w:t xml:space="preserve">, </w:t>
      </w:r>
      <w:r>
        <w:rPr>
          <w:i/>
        </w:rPr>
        <w:t>Genomic Negligence,</w:t>
      </w:r>
      <w:r>
        <w:t xml:space="preserve"> 134.</w:t>
      </w:r>
    </w:p>
  </w:footnote>
  <w:footnote w:id="135">
    <w:p w14:paraId="205B51E6" w14:textId="77777777" w:rsidR="00F64EE3" w:rsidRDefault="00F64EE3" w:rsidP="00F64EE3">
      <w:pPr>
        <w:pStyle w:val="FootnoteText"/>
      </w:pPr>
      <w:r>
        <w:rPr>
          <w:rStyle w:val="FootnoteReference"/>
        </w:rPr>
        <w:footnoteRef/>
      </w:r>
      <w:r>
        <w:t xml:space="preserve"> </w:t>
      </w:r>
      <w:r w:rsidRPr="004F3096">
        <w:t>[1973] 1 QB 27.</w:t>
      </w:r>
    </w:p>
  </w:footnote>
  <w:footnote w:id="136">
    <w:p w14:paraId="6A61B45A" w14:textId="77777777" w:rsidR="00F64EE3" w:rsidRDefault="00F64EE3" w:rsidP="00F64EE3">
      <w:pPr>
        <w:pStyle w:val="FootnoteText"/>
      </w:pPr>
      <w:r>
        <w:rPr>
          <w:rStyle w:val="FootnoteReference"/>
        </w:rPr>
        <w:footnoteRef/>
      </w:r>
      <w:r>
        <w:t xml:space="preserve"> See also </w:t>
      </w:r>
      <w:r w:rsidRPr="00C52DF4">
        <w:rPr>
          <w:bCs/>
          <w:i/>
          <w:iCs/>
        </w:rPr>
        <w:t>Muirhead v Industrial Tank Specialities Ltd</w:t>
      </w:r>
      <w:r w:rsidRPr="00C52DF4">
        <w:rPr>
          <w:bCs/>
          <w:iCs/>
        </w:rPr>
        <w:t xml:space="preserve"> [1986] QB 507.</w:t>
      </w:r>
    </w:p>
  </w:footnote>
  <w:footnote w:id="137">
    <w:p w14:paraId="4150CBB1" w14:textId="77777777" w:rsidR="00F64EE3" w:rsidRDefault="00F64EE3" w:rsidP="00F64EE3">
      <w:pPr>
        <w:pStyle w:val="FootnoteText"/>
      </w:pPr>
      <w:r>
        <w:rPr>
          <w:rStyle w:val="FootnoteReference"/>
        </w:rPr>
        <w:footnoteRef/>
      </w:r>
      <w:r>
        <w:t xml:space="preserve"> [2015] UKSC 11</w:t>
      </w:r>
    </w:p>
  </w:footnote>
  <w:footnote w:id="138">
    <w:p w14:paraId="53A32DD3" w14:textId="77777777" w:rsidR="00F64EE3" w:rsidRDefault="00F64EE3" w:rsidP="00F64EE3">
      <w:pPr>
        <w:pStyle w:val="FootnoteText"/>
      </w:pPr>
      <w:r>
        <w:rPr>
          <w:rStyle w:val="FootnoteReference"/>
        </w:rPr>
        <w:footnoteRef/>
      </w:r>
      <w:r>
        <w:t xml:space="preserve"> At [108]</w:t>
      </w:r>
    </w:p>
  </w:footnote>
  <w:footnote w:id="139">
    <w:p w14:paraId="3621E067" w14:textId="77777777" w:rsidR="00F64EE3" w:rsidRDefault="00F64EE3" w:rsidP="00F64EE3">
      <w:pPr>
        <w:pStyle w:val="FootnoteText"/>
      </w:pPr>
      <w:r>
        <w:rPr>
          <w:rStyle w:val="FootnoteReference"/>
        </w:rPr>
        <w:footnoteRef/>
      </w:r>
      <w:r>
        <w:t xml:space="preserve"> </w:t>
      </w:r>
      <w:r w:rsidRPr="00AF76FE">
        <w:rPr>
          <w:i/>
        </w:rPr>
        <w:t xml:space="preserve">Chester </w:t>
      </w:r>
      <w:r>
        <w:t>at 148 per Lord Hope.</w:t>
      </w:r>
    </w:p>
  </w:footnote>
  <w:footnote w:id="140">
    <w:p w14:paraId="4CAAA6B5" w14:textId="77777777" w:rsidR="00F64EE3" w:rsidRDefault="00F64EE3" w:rsidP="00F64EE3">
      <w:pPr>
        <w:pStyle w:val="FootnoteText"/>
      </w:pPr>
      <w:r>
        <w:rPr>
          <w:rStyle w:val="FootnoteReference"/>
        </w:rPr>
        <w:footnoteRef/>
      </w:r>
      <w:r>
        <w:t xml:space="preserve"> </w:t>
      </w:r>
      <w:r w:rsidRPr="00863D93">
        <w:rPr>
          <w:i/>
          <w:iCs/>
        </w:rPr>
        <w:t>Barnett v Chelsea and Kensington Hospital Management Committee</w:t>
      </w:r>
      <w:r w:rsidRPr="00863D93">
        <w:t xml:space="preserve"> [2969] 1 QB 428.</w:t>
      </w:r>
    </w:p>
  </w:footnote>
  <w:footnote w:id="141">
    <w:p w14:paraId="49CA5F0C" w14:textId="77777777" w:rsidR="00F64EE3" w:rsidRPr="00863D93" w:rsidRDefault="00F64EE3" w:rsidP="00F64EE3">
      <w:pPr>
        <w:pStyle w:val="FootnoteText"/>
        <w:rPr>
          <w:iCs/>
        </w:rPr>
      </w:pPr>
      <w:r>
        <w:rPr>
          <w:rStyle w:val="FootnoteReference"/>
        </w:rPr>
        <w:footnoteRef/>
      </w:r>
      <w:r>
        <w:t xml:space="preserve"> </w:t>
      </w:r>
      <w:r w:rsidRPr="00863D93">
        <w:rPr>
          <w:i/>
          <w:iCs/>
        </w:rPr>
        <w:t>Fairchild v Glenhaven Funeral Services Ltd</w:t>
      </w:r>
      <w:r>
        <w:rPr>
          <w:iCs/>
        </w:rPr>
        <w:t xml:space="preserve"> [2003] 1 AC 32 at 44 Lord Bingham.</w:t>
      </w:r>
    </w:p>
  </w:footnote>
  <w:footnote w:id="142">
    <w:p w14:paraId="73AD1B69" w14:textId="77777777" w:rsidR="00F64EE3" w:rsidRPr="006D2627" w:rsidRDefault="00F64EE3" w:rsidP="00F64EE3">
      <w:pPr>
        <w:pStyle w:val="FootnoteText"/>
        <w:rPr>
          <w:i/>
        </w:rPr>
      </w:pPr>
      <w:r>
        <w:rPr>
          <w:rStyle w:val="FootnoteReference"/>
        </w:rPr>
        <w:footnoteRef/>
      </w:r>
      <w:r>
        <w:t xml:space="preserve"> Space constraints prevent a full description of these exceptions being undertaken here but several are described in Ariel </w:t>
      </w:r>
      <w:r>
        <w:rPr>
          <w:iCs/>
        </w:rPr>
        <w:t xml:space="preserve">Porat and Alex Stein, </w:t>
      </w:r>
      <w:r>
        <w:rPr>
          <w:i/>
          <w:iCs/>
        </w:rPr>
        <w:t>Tort Liability Under Uncertainty</w:t>
      </w:r>
      <w:r>
        <w:rPr>
          <w:iCs/>
        </w:rPr>
        <w:t xml:space="preserve"> (Oxford: Oxford University Press, 2001). For a more recent exception see </w:t>
      </w:r>
      <w:r w:rsidRPr="004F5BA7">
        <w:rPr>
          <w:i/>
          <w:iCs/>
        </w:rPr>
        <w:t>Fairchild</w:t>
      </w:r>
      <w:r>
        <w:rPr>
          <w:iCs/>
        </w:rPr>
        <w:t>.</w:t>
      </w:r>
    </w:p>
  </w:footnote>
  <w:footnote w:id="143">
    <w:p w14:paraId="530172FF" w14:textId="77777777" w:rsidR="00F64EE3" w:rsidRDefault="00F64EE3" w:rsidP="00F64EE3">
      <w:pPr>
        <w:pStyle w:val="FootnoteText"/>
      </w:pPr>
      <w:r>
        <w:rPr>
          <w:rStyle w:val="FootnoteReference"/>
        </w:rPr>
        <w:footnoteRef/>
      </w:r>
      <w:r>
        <w:t xml:space="preserve"> See </w:t>
      </w:r>
      <w:r w:rsidRPr="00CF1CDC">
        <w:rPr>
          <w:i/>
          <w:iCs/>
        </w:rPr>
        <w:t>Overseas Tankship (UK) Ltd v Morts Dock &amp; Engineering Co (The Wagon Mound No 1)</w:t>
      </w:r>
      <w:r>
        <w:t xml:space="preserve"> [1961] AC 388 and </w:t>
      </w:r>
      <w:r w:rsidRPr="00CF1CDC">
        <w:rPr>
          <w:i/>
          <w:iCs/>
        </w:rPr>
        <w:t>Overseas Tankship (U.K.) Ltd v The Miller Steamship Co and Another (The Wagon Mound No 2)</w:t>
      </w:r>
      <w:r w:rsidRPr="00CF1CDC">
        <w:t xml:space="preserve"> [1967] 1 AC 617.</w:t>
      </w:r>
    </w:p>
  </w:footnote>
  <w:footnote w:id="144">
    <w:p w14:paraId="79A5712E" w14:textId="77777777" w:rsidR="00F64EE3" w:rsidRDefault="00F64EE3" w:rsidP="00F64EE3">
      <w:pPr>
        <w:pStyle w:val="FootnoteText"/>
      </w:pPr>
      <w:r>
        <w:rPr>
          <w:rStyle w:val="FootnoteReference"/>
        </w:rPr>
        <w:footnoteRef/>
      </w:r>
      <w:r>
        <w:t xml:space="preserve"> See, e.g. </w:t>
      </w:r>
      <w:r w:rsidRPr="00CF1CDC">
        <w:rPr>
          <w:i/>
          <w:iCs/>
        </w:rPr>
        <w:t>Knightley v Johns</w:t>
      </w:r>
      <w:r w:rsidRPr="00CF1CDC">
        <w:rPr>
          <w:iCs/>
        </w:rPr>
        <w:t xml:space="preserve"> [1982] 1 WLR 349.</w:t>
      </w:r>
    </w:p>
  </w:footnote>
  <w:footnote w:id="145">
    <w:p w14:paraId="5AF3FC07" w14:textId="77777777" w:rsidR="00F64EE3" w:rsidRPr="009F5024" w:rsidRDefault="00F64EE3" w:rsidP="00F64EE3">
      <w:pPr>
        <w:pStyle w:val="FootnoteText"/>
        <w:rPr>
          <w:bCs/>
          <w:iCs/>
          <w:u w:val="single"/>
        </w:rPr>
      </w:pPr>
      <w:r>
        <w:rPr>
          <w:rStyle w:val="FootnoteReference"/>
        </w:rPr>
        <w:footnoteRef/>
      </w:r>
      <w:r>
        <w:t xml:space="preserve"> Jane Stapleton </w:t>
      </w:r>
      <w:r w:rsidRPr="00650243">
        <w:rPr>
          <w:bCs/>
          <w:iCs/>
        </w:rPr>
        <w:t xml:space="preserve">‘Occam’s Razor Reveals an Orthodox Basis for </w:t>
      </w:r>
      <w:r w:rsidRPr="00650243">
        <w:rPr>
          <w:bCs/>
          <w:i/>
          <w:iCs/>
        </w:rPr>
        <w:t>Chester v Afshar</w:t>
      </w:r>
      <w:r w:rsidRPr="00650243">
        <w:rPr>
          <w:bCs/>
          <w:iCs/>
        </w:rPr>
        <w:t>’</w:t>
      </w:r>
      <w:r>
        <w:rPr>
          <w:bCs/>
          <w:iCs/>
        </w:rPr>
        <w:t xml:space="preserve"> (2006) 122</w:t>
      </w:r>
      <w:r w:rsidRPr="00650243">
        <w:rPr>
          <w:bCs/>
          <w:iCs/>
        </w:rPr>
        <w:t xml:space="preserve"> </w:t>
      </w:r>
      <w:r>
        <w:rPr>
          <w:bCs/>
          <w:i/>
          <w:iCs/>
        </w:rPr>
        <w:t xml:space="preserve">Law Quarterly Review </w:t>
      </w:r>
      <w:r w:rsidRPr="00C75EC7">
        <w:rPr>
          <w:bCs/>
          <w:iCs/>
        </w:rPr>
        <w:t>430.</w:t>
      </w:r>
      <w:r>
        <w:rPr>
          <w:bCs/>
          <w:iCs/>
        </w:rPr>
        <w:t xml:space="preserve"> C.f. </w:t>
      </w:r>
      <w:r>
        <w:t>Tamsyn Clark and Donal</w:t>
      </w:r>
      <w:r w:rsidRPr="0023338A">
        <w:t xml:space="preserve"> Nolan, ‘A Critique of </w:t>
      </w:r>
      <w:r w:rsidRPr="0023338A">
        <w:rPr>
          <w:i/>
        </w:rPr>
        <w:t>Chester v Afshar</w:t>
      </w:r>
      <w:r w:rsidRPr="0023338A">
        <w:t xml:space="preserve">’ </w:t>
      </w:r>
      <w:r>
        <w:t xml:space="preserve">(2014) 34 </w:t>
      </w:r>
      <w:r>
        <w:rPr>
          <w:i/>
        </w:rPr>
        <w:t>Oxford Journal of Legal Studies</w:t>
      </w:r>
      <w:r>
        <w:t xml:space="preserve"> 659, 670-673.</w:t>
      </w:r>
    </w:p>
  </w:footnote>
  <w:footnote w:id="146">
    <w:p w14:paraId="5D187E5E" w14:textId="77777777" w:rsidR="00F64EE3" w:rsidRDefault="00F64EE3" w:rsidP="00F64EE3">
      <w:pPr>
        <w:pStyle w:val="FootnoteText"/>
      </w:pPr>
      <w:r>
        <w:rPr>
          <w:rStyle w:val="FootnoteReference"/>
        </w:rPr>
        <w:footnoteRef/>
      </w:r>
      <w:r>
        <w:t xml:space="preserve"> Stapleton, ‘Occam’s Razor’, 430.</w:t>
      </w:r>
    </w:p>
  </w:footnote>
  <w:footnote w:id="147">
    <w:p w14:paraId="0FB4D696" w14:textId="77777777" w:rsidR="00F64EE3" w:rsidRDefault="00F64EE3" w:rsidP="00F64EE3">
      <w:pPr>
        <w:pStyle w:val="FootnoteText"/>
      </w:pPr>
      <w:r>
        <w:rPr>
          <w:rStyle w:val="FootnoteReference"/>
        </w:rPr>
        <w:footnoteRef/>
      </w:r>
      <w:r>
        <w:t xml:space="preserve"> </w:t>
      </w:r>
      <w:r w:rsidRPr="00E05066">
        <w:rPr>
          <w:i/>
        </w:rPr>
        <w:t xml:space="preserve">Gregg </w:t>
      </w:r>
      <w:r>
        <w:t xml:space="preserve">at </w:t>
      </w:r>
      <w:r w:rsidRPr="00E05066">
        <w:t>18</w:t>
      </w:r>
      <w:r>
        <w:t>6</w:t>
      </w:r>
      <w:r w:rsidRPr="00E05066">
        <w:t xml:space="preserve"> </w:t>
      </w:r>
      <w:r>
        <w:t xml:space="preserve">per </w:t>
      </w:r>
      <w:r w:rsidRPr="00E05066">
        <w:t>Lord Nicholls.</w:t>
      </w:r>
    </w:p>
  </w:footnote>
  <w:footnote w:id="148">
    <w:p w14:paraId="2798E454" w14:textId="77777777" w:rsidR="00F64EE3" w:rsidRDefault="00F64EE3" w:rsidP="00F64EE3">
      <w:pPr>
        <w:pStyle w:val="FootnoteText"/>
      </w:pPr>
      <w:r>
        <w:rPr>
          <w:rStyle w:val="FootnoteReference"/>
        </w:rPr>
        <w:footnoteRef/>
      </w:r>
      <w:r>
        <w:t xml:space="preserve"> Janet </w:t>
      </w:r>
      <w:r w:rsidRPr="00255FB8">
        <w:t>O’Sullivan</w:t>
      </w:r>
      <w:r>
        <w:t>,</w:t>
      </w:r>
      <w:r w:rsidRPr="00255FB8">
        <w:t xml:space="preserve"> ‘Causation and Non-Disclosure of Medical Risks – Reflections on </w:t>
      </w:r>
      <w:r w:rsidRPr="00255FB8">
        <w:rPr>
          <w:i/>
        </w:rPr>
        <w:t>Chester v Afshar</w:t>
      </w:r>
      <w:r>
        <w:t xml:space="preserve">’ (2003) 19 </w:t>
      </w:r>
      <w:r>
        <w:rPr>
          <w:i/>
        </w:rPr>
        <w:t xml:space="preserve">Professional Negligence </w:t>
      </w:r>
      <w:r w:rsidRPr="00255FB8">
        <w:t xml:space="preserve"> </w:t>
      </w:r>
      <w:r>
        <w:t xml:space="preserve">370, </w:t>
      </w:r>
      <w:r w:rsidRPr="00255FB8">
        <w:t>377.</w:t>
      </w:r>
    </w:p>
  </w:footnote>
  <w:footnote w:id="149">
    <w:p w14:paraId="2F7C27F5" w14:textId="77777777" w:rsidR="00F64EE3" w:rsidRDefault="00F64EE3" w:rsidP="00F64EE3">
      <w:pPr>
        <w:pStyle w:val="FootnoteText"/>
      </w:pPr>
      <w:r>
        <w:rPr>
          <w:rStyle w:val="FootnoteReference"/>
        </w:rPr>
        <w:footnoteRef/>
      </w:r>
      <w:r>
        <w:t xml:space="preserve"> For a more detailed version of this argument see</w:t>
      </w:r>
      <w:r>
        <w:rPr>
          <w:bCs/>
          <w:iCs/>
        </w:rPr>
        <w:t xml:space="preserve"> Stapleton, ‘Occam’s Razor’</w:t>
      </w:r>
      <w:r w:rsidRPr="00C75EC7">
        <w:rPr>
          <w:bCs/>
          <w:iCs/>
        </w:rPr>
        <w:t>.</w:t>
      </w:r>
      <w:r>
        <w:rPr>
          <w:bCs/>
          <w:iCs/>
        </w:rPr>
        <w:t xml:space="preserve"> C.f. </w:t>
      </w:r>
      <w:r>
        <w:t xml:space="preserve">Clark and </w:t>
      </w:r>
      <w:r w:rsidRPr="0023338A">
        <w:t xml:space="preserve">Nolan, ‘A Critique of </w:t>
      </w:r>
      <w:r w:rsidRPr="0023338A">
        <w:rPr>
          <w:i/>
        </w:rPr>
        <w:t>Chester v Afshar</w:t>
      </w:r>
      <w:r w:rsidRPr="0023338A">
        <w:t>’</w:t>
      </w:r>
      <w:r>
        <w:t>, 670-673.</w:t>
      </w:r>
    </w:p>
  </w:footnote>
  <w:footnote w:id="150">
    <w:p w14:paraId="4915B9BF" w14:textId="77777777" w:rsidR="00F64EE3" w:rsidRPr="00425432" w:rsidRDefault="00F64EE3" w:rsidP="00F64EE3">
      <w:pPr>
        <w:pStyle w:val="FootnoteText"/>
      </w:pPr>
      <w:r>
        <w:rPr>
          <w:rStyle w:val="FootnoteReference"/>
        </w:rPr>
        <w:footnoteRef/>
      </w:r>
      <w:r>
        <w:t xml:space="preserve"> </w:t>
      </w:r>
      <w:r>
        <w:rPr>
          <w:i/>
        </w:rPr>
        <w:t xml:space="preserve">Chester </w:t>
      </w:r>
      <w:r>
        <w:t>at 161 per Lord Hope</w:t>
      </w:r>
      <w:r w:rsidRPr="00425432">
        <w:t>.</w:t>
      </w:r>
    </w:p>
  </w:footnote>
  <w:footnote w:id="151">
    <w:p w14:paraId="6183A2C3" w14:textId="77777777" w:rsidR="00F64EE3" w:rsidRDefault="00F64EE3" w:rsidP="00F64EE3">
      <w:pPr>
        <w:pStyle w:val="FootnoteText"/>
      </w:pPr>
      <w:r>
        <w:rPr>
          <w:rStyle w:val="FootnoteReference"/>
        </w:rPr>
        <w:footnoteRef/>
      </w:r>
      <w:r>
        <w:t xml:space="preserve"> See </w:t>
      </w:r>
      <w:r>
        <w:rPr>
          <w:i/>
        </w:rPr>
        <w:t xml:space="preserve">Chester </w:t>
      </w:r>
      <w:r>
        <w:t xml:space="preserve">at 141 per Lord Bingham and at 147 per Lord Hoffmann, </w:t>
      </w:r>
      <w:r w:rsidRPr="008A5044">
        <w:t>Foster</w:t>
      </w:r>
      <w:r>
        <w:t xml:space="preserve">, ‘It Should Be, Therefore It Is’; Robert </w:t>
      </w:r>
      <w:r w:rsidRPr="00BC33EE">
        <w:t>Stevens ‘An Opportunity to Reflect’</w:t>
      </w:r>
      <w:r>
        <w:t xml:space="preserve"> (2005) 121</w:t>
      </w:r>
      <w:r w:rsidRPr="00BC33EE">
        <w:t xml:space="preserve"> </w:t>
      </w:r>
      <w:r>
        <w:rPr>
          <w:i/>
        </w:rPr>
        <w:t xml:space="preserve">Law Quarterly Review </w:t>
      </w:r>
      <w:r>
        <w:t xml:space="preserve">189; </w:t>
      </w:r>
      <w:r w:rsidRPr="00FD31E1">
        <w:t>Green,</w:t>
      </w:r>
      <w:r>
        <w:t xml:space="preserve"> ‘A Game of Doctor’s and Purses’ and Clark and </w:t>
      </w:r>
      <w:r w:rsidRPr="0023338A">
        <w:t xml:space="preserve">Nolan, ‘A Critique of </w:t>
      </w:r>
      <w:r w:rsidRPr="0023338A">
        <w:rPr>
          <w:i/>
        </w:rPr>
        <w:t>Chester v Afshar</w:t>
      </w:r>
      <w:r>
        <w:t xml:space="preserve">’, 664-665. </w:t>
      </w:r>
    </w:p>
  </w:footnote>
  <w:footnote w:id="152">
    <w:p w14:paraId="1207EC88" w14:textId="77777777" w:rsidR="00F64EE3" w:rsidRDefault="00F64EE3" w:rsidP="00F64EE3">
      <w:pPr>
        <w:pStyle w:val="FootnoteText"/>
      </w:pPr>
      <w:r>
        <w:rPr>
          <w:rStyle w:val="FootnoteReference"/>
        </w:rPr>
        <w:footnoteRef/>
      </w:r>
      <w:r>
        <w:t xml:space="preserve"> </w:t>
      </w:r>
      <w:r w:rsidRPr="00AB20A9">
        <w:rPr>
          <w:bCs/>
          <w:iCs/>
        </w:rPr>
        <w:t>[1973] 1 WLR 1</w:t>
      </w:r>
      <w:r>
        <w:rPr>
          <w:bCs/>
          <w:iCs/>
        </w:rPr>
        <w:t>.</w:t>
      </w:r>
    </w:p>
  </w:footnote>
  <w:footnote w:id="153">
    <w:p w14:paraId="5509E124" w14:textId="77777777" w:rsidR="00F64EE3" w:rsidRDefault="00F64EE3" w:rsidP="00F64EE3">
      <w:pPr>
        <w:pStyle w:val="FootnoteText"/>
      </w:pPr>
      <w:r>
        <w:rPr>
          <w:rStyle w:val="FootnoteReference"/>
        </w:rPr>
        <w:footnoteRef/>
      </w:r>
      <w:r>
        <w:t xml:space="preserve"> </w:t>
      </w:r>
      <w:r w:rsidRPr="00AB20A9">
        <w:rPr>
          <w:bCs/>
          <w:iCs/>
        </w:rPr>
        <w:t>[2003] 1 AC 32</w:t>
      </w:r>
      <w:r>
        <w:rPr>
          <w:bCs/>
          <w:iCs/>
        </w:rPr>
        <w:t>.</w:t>
      </w:r>
    </w:p>
  </w:footnote>
  <w:footnote w:id="154">
    <w:p w14:paraId="770F03B5" w14:textId="77777777" w:rsidR="00F64EE3" w:rsidRDefault="00F64EE3" w:rsidP="00F64EE3">
      <w:pPr>
        <w:pStyle w:val="FootnoteText"/>
      </w:pPr>
      <w:r>
        <w:rPr>
          <w:rStyle w:val="FootnoteReference"/>
        </w:rPr>
        <w:footnoteRef/>
      </w:r>
      <w:r>
        <w:t xml:space="preserve"> See Clark and </w:t>
      </w:r>
      <w:r w:rsidRPr="0023338A">
        <w:t xml:space="preserve">Nolan, ‘A Critique of </w:t>
      </w:r>
      <w:r w:rsidRPr="0023338A">
        <w:rPr>
          <w:i/>
        </w:rPr>
        <w:t>Chester v Afshar</w:t>
      </w:r>
      <w:r w:rsidRPr="0023338A">
        <w:t>’.</w:t>
      </w:r>
    </w:p>
  </w:footnote>
  <w:footnote w:id="155">
    <w:p w14:paraId="160E2A99" w14:textId="77777777" w:rsidR="00F64EE3" w:rsidRPr="004B4864" w:rsidRDefault="00F64EE3" w:rsidP="00F64EE3">
      <w:pPr>
        <w:pStyle w:val="FootnoteText"/>
        <w:rPr>
          <w:i/>
        </w:rPr>
      </w:pPr>
      <w:r>
        <w:rPr>
          <w:rStyle w:val="FootnoteReference"/>
        </w:rPr>
        <w:footnoteRef/>
      </w:r>
      <w:r>
        <w:t xml:space="preserve"> Sarah</w:t>
      </w:r>
      <w:r w:rsidRPr="004B4864">
        <w:t xml:space="preserve"> Green ‘</w:t>
      </w:r>
      <w:r w:rsidRPr="004B4864">
        <w:rPr>
          <w:i/>
        </w:rPr>
        <w:t>Chester v Afshar</w:t>
      </w:r>
      <w:r w:rsidRPr="004B4864">
        <w:t xml:space="preserve">’ in </w:t>
      </w:r>
      <w:r>
        <w:t>Jonathan Herring and Jesse Wall (Eds.),</w:t>
      </w:r>
      <w:r w:rsidRPr="004B4864">
        <w:t xml:space="preserve"> </w:t>
      </w:r>
      <w:r w:rsidRPr="004B4864">
        <w:rPr>
          <w:i/>
        </w:rPr>
        <w:t>Landmark Cases in Medical Law</w:t>
      </w:r>
      <w:r w:rsidRPr="004B4864">
        <w:t xml:space="preserve"> (</w:t>
      </w:r>
      <w:r>
        <w:t xml:space="preserve">Hart </w:t>
      </w:r>
      <w:r w:rsidRPr="004B4864">
        <w:t>forthcoming), kindly sent by personal correspondence</w:t>
      </w:r>
      <w:r>
        <w:t>.</w:t>
      </w:r>
    </w:p>
  </w:footnote>
  <w:footnote w:id="156">
    <w:p w14:paraId="3884DC2A" w14:textId="77777777" w:rsidR="00F64EE3" w:rsidRDefault="00F64EE3" w:rsidP="00F64EE3">
      <w:pPr>
        <w:pStyle w:val="FootnoteText"/>
      </w:pPr>
      <w:r>
        <w:rPr>
          <w:rStyle w:val="FootnoteReference"/>
        </w:rPr>
        <w:footnoteRef/>
      </w:r>
      <w:r>
        <w:t xml:space="preserve"> </w:t>
      </w:r>
      <w:r w:rsidRPr="001C5D05">
        <w:t>[2005] 1 AC 176</w:t>
      </w:r>
      <w:r>
        <w:t>.</w:t>
      </w:r>
    </w:p>
  </w:footnote>
  <w:footnote w:id="157">
    <w:p w14:paraId="5BFF1405" w14:textId="77777777" w:rsidR="00F64EE3" w:rsidRDefault="00F64EE3" w:rsidP="00F64EE3">
      <w:pPr>
        <w:pStyle w:val="FootnoteText"/>
      </w:pPr>
      <w:r>
        <w:rPr>
          <w:rStyle w:val="FootnoteReference"/>
        </w:rPr>
        <w:footnoteRef/>
      </w:r>
      <w:r>
        <w:t xml:space="preserve"> On this issue, Helen Reece’s excellent article ‘Losses of Chances in the Law’ (1996) 59 </w:t>
      </w:r>
      <w:r>
        <w:rPr>
          <w:i/>
        </w:rPr>
        <w:t xml:space="preserve">Modern Law Review </w:t>
      </w:r>
      <w:r>
        <w:t>188 remains a persuasive justification of when lost chances can be compensated. More recently see Lord</w:t>
      </w:r>
      <w:r w:rsidRPr="00386316">
        <w:t xml:space="preserve"> Neuberger, ‘Loss of a Chance and Causation’</w:t>
      </w:r>
      <w:r>
        <w:t xml:space="preserve"> (2008) 24</w:t>
      </w:r>
      <w:r w:rsidRPr="00386316">
        <w:t xml:space="preserve"> </w:t>
      </w:r>
      <w:r>
        <w:rPr>
          <w:i/>
        </w:rPr>
        <w:t xml:space="preserve">Professional Negligence </w:t>
      </w:r>
      <w:r>
        <w:t>206.</w:t>
      </w:r>
    </w:p>
  </w:footnote>
  <w:footnote w:id="158">
    <w:p w14:paraId="63AFD8B5" w14:textId="77777777" w:rsidR="00F64EE3" w:rsidRPr="00C054E6" w:rsidRDefault="00F64EE3" w:rsidP="00F64EE3">
      <w:pPr>
        <w:pStyle w:val="FootnoteText"/>
      </w:pPr>
      <w:r>
        <w:rPr>
          <w:rStyle w:val="FootnoteReference"/>
        </w:rPr>
        <w:footnoteRef/>
      </w:r>
      <w:r>
        <w:t xml:space="preserve"> </w:t>
      </w:r>
      <w:r w:rsidRPr="00C054E6">
        <w:t>[1987] AC 750.</w:t>
      </w:r>
    </w:p>
  </w:footnote>
  <w:footnote w:id="159">
    <w:p w14:paraId="6C19903C" w14:textId="77777777" w:rsidR="00F64EE3" w:rsidRDefault="00F64EE3" w:rsidP="00F64EE3">
      <w:pPr>
        <w:pStyle w:val="FootnoteText"/>
      </w:pPr>
      <w:r>
        <w:rPr>
          <w:rStyle w:val="FootnoteReference"/>
        </w:rPr>
        <w:footnoteRef/>
      </w:r>
      <w:r>
        <w:t xml:space="preserve"> </w:t>
      </w:r>
      <w:r>
        <w:rPr>
          <w:iCs/>
        </w:rPr>
        <w:t xml:space="preserve">At </w:t>
      </w:r>
      <w:r>
        <w:t>783 per Lord Bridge and at 793 per Lord Ackner.</w:t>
      </w:r>
    </w:p>
  </w:footnote>
  <w:footnote w:id="160">
    <w:p w14:paraId="2BBF50FF" w14:textId="77777777" w:rsidR="00F64EE3" w:rsidRDefault="00F64EE3" w:rsidP="00F64EE3">
      <w:pPr>
        <w:pStyle w:val="FootnoteText"/>
      </w:pPr>
      <w:r>
        <w:rPr>
          <w:rStyle w:val="FootnoteReference"/>
        </w:rPr>
        <w:footnoteRef/>
      </w:r>
      <w:r>
        <w:t xml:space="preserve"> David </w:t>
      </w:r>
      <w:r w:rsidRPr="008E73AD">
        <w:t xml:space="preserve">Howarth, ‘Negligence After </w:t>
      </w:r>
      <w:r w:rsidRPr="008E73AD">
        <w:rPr>
          <w:i/>
          <w:iCs/>
        </w:rPr>
        <w:t>Murphy</w:t>
      </w:r>
      <w:r>
        <w:t xml:space="preserve">: Time to Re-Think’ (1991) 50 </w:t>
      </w:r>
      <w:r>
        <w:rPr>
          <w:i/>
        </w:rPr>
        <w:t xml:space="preserve">Cambridge Law Journal </w:t>
      </w:r>
      <w:r>
        <w:t>50 (1991) 58, 61.</w:t>
      </w:r>
    </w:p>
  </w:footnote>
  <w:footnote w:id="161">
    <w:p w14:paraId="65932292" w14:textId="77777777" w:rsidR="00F64EE3" w:rsidRDefault="00F64EE3" w:rsidP="00F64EE3">
      <w:pPr>
        <w:pStyle w:val="FootnoteText"/>
      </w:pPr>
      <w:r>
        <w:rPr>
          <w:rStyle w:val="FootnoteReference"/>
        </w:rPr>
        <w:footnoteRef/>
      </w:r>
      <w:r>
        <w:t xml:space="preserve"> </w:t>
      </w:r>
      <w:r w:rsidRPr="000937FA">
        <w:rPr>
          <w:i/>
        </w:rPr>
        <w:t xml:space="preserve">Gregg </w:t>
      </w:r>
      <w:r>
        <w:t>at 231-232 per Baroness Hale.</w:t>
      </w:r>
    </w:p>
  </w:footnote>
  <w:footnote w:id="162">
    <w:p w14:paraId="58A2365F" w14:textId="77777777" w:rsidR="00F64EE3" w:rsidRPr="003A3617" w:rsidRDefault="00F64EE3" w:rsidP="00F64EE3">
      <w:pPr>
        <w:pStyle w:val="FootnoteText"/>
      </w:pPr>
      <w:r>
        <w:rPr>
          <w:rStyle w:val="FootnoteReference"/>
        </w:rPr>
        <w:footnoteRef/>
      </w:r>
      <w:r>
        <w:t xml:space="preserve"> At 181 per Lord Nicholls. See also at 201 per Lord Hope. However, it is arguable that Lord Hope finessed the issue of damage by conflating the claimant’s physical injury (the enlarged tumour) with the lost chance.</w:t>
      </w:r>
    </w:p>
  </w:footnote>
  <w:footnote w:id="163">
    <w:p w14:paraId="620CB39A" w14:textId="77777777" w:rsidR="00F64EE3" w:rsidRPr="00935010" w:rsidRDefault="00F64EE3" w:rsidP="00F64EE3">
      <w:pPr>
        <w:pStyle w:val="FootnoteText"/>
      </w:pPr>
      <w:r>
        <w:rPr>
          <w:rStyle w:val="FootnoteReference"/>
        </w:rPr>
        <w:footnoteRef/>
      </w:r>
      <w:r>
        <w:t xml:space="preserve"> For example, Lord Hoffmann thoroughly considered the issue in </w:t>
      </w:r>
      <w:r w:rsidRPr="0069759E">
        <w:rPr>
          <w:i/>
        </w:rPr>
        <w:t>Barker v Corus UK Ltd</w:t>
      </w:r>
      <w:r>
        <w:t xml:space="preserve"> [2006] 2 AC 572 but his judgment is open to criticism. See James Lee, ‘Fidelity in Interpretation: Lord Hoffmann and </w:t>
      </w:r>
      <w:r>
        <w:rPr>
          <w:i/>
        </w:rPr>
        <w:t>The Adventure of the Empty House</w:t>
      </w:r>
      <w:r>
        <w:t xml:space="preserve">’ (2008) 28 </w:t>
      </w:r>
      <w:r>
        <w:rPr>
          <w:i/>
        </w:rPr>
        <w:t xml:space="preserve">Legal Studies </w:t>
      </w:r>
      <w:r>
        <w:t xml:space="preserve">1. Damage was also considered by the dissenting judges in </w:t>
      </w:r>
      <w:r>
        <w:rPr>
          <w:i/>
        </w:rPr>
        <w:t>Gregg</w:t>
      </w:r>
      <w:r>
        <w:t xml:space="preserve"> but in a less coherent way than the majority.</w:t>
      </w:r>
    </w:p>
  </w:footnote>
  <w:footnote w:id="164">
    <w:p w14:paraId="1C52F3AA" w14:textId="77777777" w:rsidR="00F64EE3" w:rsidRDefault="00F64EE3" w:rsidP="00F64EE3">
      <w:pPr>
        <w:pStyle w:val="FootnoteText"/>
      </w:pPr>
      <w:r>
        <w:rPr>
          <w:rStyle w:val="FootnoteReference"/>
        </w:rPr>
        <w:footnoteRef/>
      </w:r>
      <w:r>
        <w:t xml:space="preserve"> </w:t>
      </w:r>
      <w:r w:rsidRPr="00A540F8">
        <w:rPr>
          <w:iCs/>
        </w:rPr>
        <w:t>[1963] AC 758</w:t>
      </w:r>
      <w:r>
        <w:rPr>
          <w:iCs/>
        </w:rPr>
        <w:t>.</w:t>
      </w:r>
    </w:p>
  </w:footnote>
  <w:footnote w:id="165">
    <w:p w14:paraId="355A76A2" w14:textId="77777777" w:rsidR="00F64EE3" w:rsidRDefault="00F64EE3" w:rsidP="00F64EE3">
      <w:pPr>
        <w:pStyle w:val="FootnoteText"/>
      </w:pPr>
      <w:r>
        <w:rPr>
          <w:rStyle w:val="FootnoteReference"/>
        </w:rPr>
        <w:footnoteRef/>
      </w:r>
      <w:r>
        <w:t xml:space="preserve"> </w:t>
      </w:r>
      <w:r>
        <w:rPr>
          <w:iCs/>
        </w:rPr>
        <w:t xml:space="preserve">At </w:t>
      </w:r>
      <w:r w:rsidRPr="000C39CF">
        <w:rPr>
          <w:iCs/>
        </w:rPr>
        <w:t xml:space="preserve">779 </w:t>
      </w:r>
      <w:r>
        <w:rPr>
          <w:iCs/>
        </w:rPr>
        <w:t xml:space="preserve">per </w:t>
      </w:r>
      <w:r w:rsidRPr="000C39CF">
        <w:rPr>
          <w:iCs/>
        </w:rPr>
        <w:t>Lord Pearce.</w:t>
      </w:r>
    </w:p>
  </w:footnote>
  <w:footnote w:id="166">
    <w:p w14:paraId="6A85EF54" w14:textId="77777777" w:rsidR="00F64EE3" w:rsidRDefault="00F64EE3" w:rsidP="00F64EE3">
      <w:pPr>
        <w:pStyle w:val="FootnoteText"/>
      </w:pPr>
      <w:r>
        <w:rPr>
          <w:rStyle w:val="FootnoteReference"/>
        </w:rPr>
        <w:footnoteRef/>
      </w:r>
      <w:r>
        <w:t xml:space="preserve"> </w:t>
      </w:r>
      <w:r w:rsidRPr="00BE1A03">
        <w:t xml:space="preserve">See </w:t>
      </w:r>
      <w:r w:rsidRPr="00BE1A03">
        <w:rPr>
          <w:i/>
          <w:iCs/>
        </w:rPr>
        <w:t>McLoughlin v O’Brian</w:t>
      </w:r>
      <w:r w:rsidRPr="00BE1A03">
        <w:t xml:space="preserve"> [1983] 1 AC 410</w:t>
      </w:r>
      <w:r>
        <w:t xml:space="preserve"> at 431 per Lord Bridge.</w:t>
      </w:r>
    </w:p>
  </w:footnote>
  <w:footnote w:id="167">
    <w:p w14:paraId="2F3B587C" w14:textId="77777777" w:rsidR="00F64EE3" w:rsidRDefault="00F64EE3" w:rsidP="00F64EE3">
      <w:pPr>
        <w:pStyle w:val="FootnoteText"/>
      </w:pPr>
      <w:r>
        <w:rPr>
          <w:rStyle w:val="FootnoteReference"/>
        </w:rPr>
        <w:footnoteRef/>
      </w:r>
      <w:r>
        <w:t xml:space="preserve"> Though, of course, there are certain forms of damage where the courts do fully consider such topics. See</w:t>
      </w:r>
      <w:r w:rsidRPr="00F10E0E">
        <w:rPr>
          <w:i/>
        </w:rPr>
        <w:t xml:space="preserve"> West &amp; Son Ltd v Shepherd</w:t>
      </w:r>
      <w:r w:rsidRPr="00F10E0E">
        <w:t xml:space="preserve"> [1964] AC 326</w:t>
      </w:r>
      <w:r>
        <w:t>.</w:t>
      </w:r>
    </w:p>
  </w:footnote>
  <w:footnote w:id="168">
    <w:p w14:paraId="12BE6743" w14:textId="77777777" w:rsidR="00F64EE3" w:rsidRDefault="00F64EE3" w:rsidP="00F64EE3">
      <w:pPr>
        <w:pStyle w:val="FootnoteText"/>
      </w:pPr>
      <w:r>
        <w:rPr>
          <w:rStyle w:val="FootnoteReference"/>
        </w:rPr>
        <w:footnoteRef/>
      </w:r>
      <w:r>
        <w:t xml:space="preserve"> </w:t>
      </w:r>
      <w:r w:rsidRPr="00BF059B">
        <w:t>At</w:t>
      </w:r>
      <w:r w:rsidRPr="00BD605D">
        <w:t xml:space="preserve"> 1</w:t>
      </w:r>
      <w:r>
        <w:t>12</w:t>
      </w:r>
      <w:r w:rsidRPr="00BD605D">
        <w:t>.</w:t>
      </w:r>
    </w:p>
  </w:footnote>
  <w:footnote w:id="169">
    <w:p w14:paraId="2D8C437E" w14:textId="77777777" w:rsidR="00F64EE3" w:rsidRDefault="00F64EE3" w:rsidP="00F64EE3">
      <w:pPr>
        <w:pStyle w:val="FootnoteText"/>
      </w:pPr>
      <w:r>
        <w:rPr>
          <w:rStyle w:val="FootnoteReference"/>
        </w:rPr>
        <w:footnoteRef/>
      </w:r>
      <w:r>
        <w:t xml:space="preserve"> </w:t>
      </w:r>
      <w:r>
        <w:rPr>
          <w:i/>
          <w:iCs/>
        </w:rPr>
        <w:t xml:space="preserve">Cartledge v </w:t>
      </w:r>
      <w:r w:rsidRPr="005A1479">
        <w:rPr>
          <w:i/>
          <w:iCs/>
        </w:rPr>
        <w:t>Jopling &amp; Sons Ltd</w:t>
      </w:r>
      <w:r w:rsidRPr="005A1479">
        <w:rPr>
          <w:iCs/>
        </w:rPr>
        <w:t xml:space="preserve"> </w:t>
      </w:r>
      <w:r w:rsidRPr="000C39CF">
        <w:rPr>
          <w:iCs/>
        </w:rPr>
        <w:t>[1963] AC 758</w:t>
      </w:r>
      <w:r>
        <w:rPr>
          <w:iCs/>
        </w:rPr>
        <w:t>.</w:t>
      </w:r>
    </w:p>
  </w:footnote>
  <w:footnote w:id="170">
    <w:p w14:paraId="7905FD8E" w14:textId="77777777" w:rsidR="00F64EE3" w:rsidRPr="00916C3E" w:rsidRDefault="00F64EE3" w:rsidP="00F64EE3">
      <w:pPr>
        <w:pStyle w:val="FootnoteText"/>
      </w:pPr>
      <w:r>
        <w:rPr>
          <w:rStyle w:val="FootnoteReference"/>
        </w:rPr>
        <w:footnoteRef/>
      </w:r>
      <w:r>
        <w:t xml:space="preserve"> C.f. Ken Oliphant, ‘Against Certainty in Tort Law’ in Jason Neyers, Erika</w:t>
      </w:r>
      <w:r w:rsidRPr="002A261E">
        <w:t xml:space="preserve"> C</w:t>
      </w:r>
      <w:r>
        <w:t>hamberlain and Stephen Pitel, (E</w:t>
      </w:r>
      <w:r w:rsidRPr="002A261E">
        <w:t>ds</w:t>
      </w:r>
      <w:r>
        <w:t xml:space="preserve">.), </w:t>
      </w:r>
      <w:r>
        <w:rPr>
          <w:i/>
        </w:rPr>
        <w:t>Tort Law: Challenging Orthodoxy</w:t>
      </w:r>
      <w:r>
        <w:t xml:space="preserve"> (London: Hart Publishing, 2013) 1</w:t>
      </w:r>
    </w:p>
  </w:footnote>
  <w:footnote w:id="171">
    <w:p w14:paraId="75DD270B" w14:textId="77777777" w:rsidR="00F64EE3" w:rsidRDefault="00F64EE3" w:rsidP="00F64EE3">
      <w:pPr>
        <w:pStyle w:val="FootnoteText"/>
      </w:pPr>
      <w:r>
        <w:rPr>
          <w:rStyle w:val="FootnoteReference"/>
        </w:rPr>
        <w:footnoteRef/>
      </w:r>
      <w:r>
        <w:t xml:space="preserve"> </w:t>
      </w:r>
      <w:r w:rsidRPr="00380934">
        <w:rPr>
          <w:i/>
        </w:rPr>
        <w:t>McLoughlin v O’Brian</w:t>
      </w:r>
      <w:r w:rsidRPr="00380934">
        <w:t xml:space="preserve"> [1983] 1 AC 410 at 431 per Lord Bridge</w:t>
      </w:r>
      <w:r>
        <w:t>.</w:t>
      </w:r>
    </w:p>
  </w:footnote>
  <w:footnote w:id="172">
    <w:p w14:paraId="402FD7F1" w14:textId="77777777" w:rsidR="00F64EE3" w:rsidRDefault="00F64EE3" w:rsidP="00F64EE3">
      <w:pPr>
        <w:pStyle w:val="FootnoteText"/>
      </w:pPr>
      <w:r>
        <w:rPr>
          <w:rStyle w:val="FootnoteReference"/>
        </w:rPr>
        <w:footnoteRef/>
      </w:r>
      <w:r>
        <w:t xml:space="preserve"> Lord Reid, ‘The Judge as Law Maker’ (1997) 63 </w:t>
      </w:r>
      <w:r>
        <w:rPr>
          <w:i/>
        </w:rPr>
        <w:t xml:space="preserve">Arbitration </w:t>
      </w:r>
      <w:r>
        <w:t>180, 182.</w:t>
      </w:r>
    </w:p>
  </w:footnote>
  <w:footnote w:id="173">
    <w:p w14:paraId="067C17A3" w14:textId="77777777" w:rsidR="00F64EE3" w:rsidRPr="005842E6" w:rsidRDefault="00F64EE3" w:rsidP="00F64EE3">
      <w:pPr>
        <w:pStyle w:val="FootnoteText"/>
      </w:pPr>
      <w:r>
        <w:rPr>
          <w:rStyle w:val="FootnoteReference"/>
        </w:rPr>
        <w:footnoteRef/>
      </w:r>
      <w:r>
        <w:t xml:space="preserve"> Ibid., 183.</w:t>
      </w:r>
    </w:p>
  </w:footnote>
  <w:footnote w:id="174">
    <w:p w14:paraId="61A38EF2" w14:textId="77777777" w:rsidR="00F64EE3" w:rsidRDefault="00F64EE3" w:rsidP="00F64EE3">
      <w:pPr>
        <w:pStyle w:val="FootnoteText"/>
      </w:pPr>
      <w:r>
        <w:rPr>
          <w:rStyle w:val="FootnoteReference"/>
        </w:rPr>
        <w:footnoteRef/>
      </w:r>
      <w:r>
        <w:t xml:space="preserve"> See Jane Stapleton, ‘Duty of Care Factors: A Selection from the Judicial M</w:t>
      </w:r>
      <w:r w:rsidRPr="005842E6">
        <w:t>enus</w:t>
      </w:r>
      <w:r>
        <w:t xml:space="preserve">’ in Peter </w:t>
      </w:r>
      <w:r w:rsidRPr="00EF7807">
        <w:rPr>
          <w:iCs/>
        </w:rPr>
        <w:t xml:space="preserve">Cane and </w:t>
      </w:r>
      <w:r>
        <w:rPr>
          <w:iCs/>
        </w:rPr>
        <w:t xml:space="preserve">Jane </w:t>
      </w:r>
      <w:r w:rsidRPr="00EF7807">
        <w:rPr>
          <w:iCs/>
        </w:rPr>
        <w:t>Stapleton</w:t>
      </w:r>
      <w:r>
        <w:rPr>
          <w:iCs/>
        </w:rPr>
        <w:t xml:space="preserve"> (E</w:t>
      </w:r>
      <w:r w:rsidRPr="00EF7807">
        <w:rPr>
          <w:iCs/>
        </w:rPr>
        <w:t>ds</w:t>
      </w:r>
      <w:r>
        <w:rPr>
          <w:iCs/>
        </w:rPr>
        <w:t>.)</w:t>
      </w:r>
      <w:r w:rsidRPr="00EF7807">
        <w:rPr>
          <w:iCs/>
        </w:rPr>
        <w:t xml:space="preserve">, </w:t>
      </w:r>
      <w:r w:rsidRPr="00EF7807">
        <w:rPr>
          <w:i/>
          <w:iCs/>
        </w:rPr>
        <w:t>The Law of Obligations: Essays in Celebration of John Fleming</w:t>
      </w:r>
      <w:r w:rsidRPr="00EF7807">
        <w:rPr>
          <w:iCs/>
        </w:rPr>
        <w:t xml:space="preserve"> (Oxfor</w:t>
      </w:r>
      <w:r>
        <w:rPr>
          <w:iCs/>
        </w:rPr>
        <w:t>d: Oxford University Press, 1998</w:t>
      </w:r>
      <w:r w:rsidRPr="00EF7807">
        <w:rPr>
          <w:iCs/>
        </w:rPr>
        <w:t xml:space="preserve">) </w:t>
      </w:r>
      <w:r>
        <w:rPr>
          <w:iCs/>
        </w:rPr>
        <w:t xml:space="preserve">59, Morgan, </w:t>
      </w:r>
      <w:r>
        <w:t>‘The General Duty of Care’</w:t>
      </w:r>
      <w:r>
        <w:rPr>
          <w:iCs/>
        </w:rPr>
        <w:t xml:space="preserve">, 213 and Stanton, ‘Professional Negligence’, </w:t>
      </w:r>
      <w:r w:rsidRPr="00804195">
        <w:rPr>
          <w:iCs/>
        </w:rPr>
        <w:t>136.</w:t>
      </w:r>
    </w:p>
  </w:footnote>
  <w:footnote w:id="175">
    <w:p w14:paraId="5AAFC5BC" w14:textId="77777777" w:rsidR="00F64EE3" w:rsidRPr="00A77EC8" w:rsidRDefault="00F64EE3" w:rsidP="00F64EE3">
      <w:pPr>
        <w:pStyle w:val="FootnoteText"/>
      </w:pPr>
      <w:r>
        <w:rPr>
          <w:rStyle w:val="FootnoteReference"/>
        </w:rPr>
        <w:footnoteRef/>
      </w:r>
      <w:r>
        <w:t xml:space="preserve"> </w:t>
      </w:r>
      <w:r w:rsidRPr="00DE7FF3">
        <w:t>[2001] 2 AC 550</w:t>
      </w:r>
      <w:r>
        <w:t xml:space="preserve"> at 559. C.f. Robert Stevens, </w:t>
      </w:r>
      <w:r>
        <w:rPr>
          <w:i/>
        </w:rPr>
        <w:t>Torts and Rights</w:t>
      </w:r>
      <w:r>
        <w:t xml:space="preserve"> (Oxford: Oxford University Press, 2007) 1-2.</w:t>
      </w:r>
    </w:p>
  </w:footnote>
  <w:footnote w:id="176">
    <w:p w14:paraId="2441A5C0" w14:textId="77777777" w:rsidR="00F64EE3" w:rsidRDefault="00F64EE3" w:rsidP="00F64EE3">
      <w:pPr>
        <w:pStyle w:val="FootnoteText"/>
      </w:pPr>
      <w:r>
        <w:rPr>
          <w:rStyle w:val="FootnoteReference"/>
        </w:rPr>
        <w:footnoteRef/>
      </w:r>
      <w:r>
        <w:t xml:space="preserve"> </w:t>
      </w:r>
      <w:r w:rsidRPr="00EE633E">
        <w:rPr>
          <w:i/>
        </w:rPr>
        <w:t>Sidaway v Board of Governors of the Bethlem Royal Hospital and the Maudsley Hospital</w:t>
      </w:r>
      <w:r>
        <w:t xml:space="preserve"> [1985] AC 871 at </w:t>
      </w:r>
      <w:r w:rsidRPr="00EE633E">
        <w:t>883</w:t>
      </w:r>
      <w:r>
        <w:t>.</w:t>
      </w:r>
    </w:p>
  </w:footnote>
  <w:footnote w:id="177">
    <w:p w14:paraId="0580722C" w14:textId="77777777" w:rsidR="00F64EE3" w:rsidRDefault="00F64EE3" w:rsidP="00F64EE3">
      <w:pPr>
        <w:pStyle w:val="FootnoteText"/>
      </w:pPr>
      <w:r>
        <w:rPr>
          <w:rStyle w:val="FootnoteReference"/>
        </w:rPr>
        <w:footnoteRef/>
      </w:r>
      <w:r>
        <w:t xml:space="preserve"> </w:t>
      </w:r>
      <w:r w:rsidRPr="002963FE">
        <w:rPr>
          <w:i/>
        </w:rPr>
        <w:t xml:space="preserve">Rees </w:t>
      </w:r>
      <w:r>
        <w:t>at 323.</w:t>
      </w:r>
    </w:p>
  </w:footnote>
  <w:footnote w:id="178">
    <w:p w14:paraId="2BA8B709" w14:textId="77777777" w:rsidR="00F64EE3" w:rsidRDefault="00F64EE3" w:rsidP="00F64EE3">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E3"/>
    <w:rsid w:val="00007DFB"/>
    <w:rsid w:val="0003112E"/>
    <w:rsid w:val="000E0729"/>
    <w:rsid w:val="00220600"/>
    <w:rsid w:val="00243FBA"/>
    <w:rsid w:val="002457FE"/>
    <w:rsid w:val="002C3F25"/>
    <w:rsid w:val="00493DF6"/>
    <w:rsid w:val="004B6F1E"/>
    <w:rsid w:val="006D44CE"/>
    <w:rsid w:val="008E7A22"/>
    <w:rsid w:val="009B0A20"/>
    <w:rsid w:val="00A129C8"/>
    <w:rsid w:val="00AF57E5"/>
    <w:rsid w:val="00B574CD"/>
    <w:rsid w:val="00F6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7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CD"/>
    <w:pPr>
      <w:spacing w:line="480" w:lineRule="auto"/>
      <w:jc w:val="both"/>
    </w:pPr>
    <w:rPr>
      <w:rFonts w:ascii="Times New Roman" w:hAnsi="Times New Roman"/>
      <w:szCs w:val="22"/>
      <w:lang w:val="en-GB"/>
    </w:rPr>
  </w:style>
  <w:style w:type="paragraph" w:styleId="Heading1">
    <w:name w:val="heading 1"/>
    <w:basedOn w:val="Normal"/>
    <w:next w:val="Normal"/>
    <w:link w:val="Heading1Char"/>
    <w:uiPriority w:val="9"/>
    <w:qFormat/>
    <w:rsid w:val="00B574CD"/>
    <w:pPr>
      <w:keepNext/>
      <w:keepLines/>
      <w:jc w:val="center"/>
      <w:outlineLvl w:val="0"/>
    </w:pPr>
    <w:rPr>
      <w:rFonts w:eastAsiaTheme="majorEastAsia" w:cstheme="majorBidi"/>
      <w:b/>
      <w:bCs/>
      <w:i/>
      <w:sz w:val="36"/>
      <w:szCs w:val="28"/>
      <w:lang w:val="en-US"/>
    </w:rPr>
  </w:style>
  <w:style w:type="paragraph" w:styleId="Heading2">
    <w:name w:val="heading 2"/>
    <w:basedOn w:val="Normal"/>
    <w:next w:val="Normal"/>
    <w:link w:val="Heading2Char"/>
    <w:uiPriority w:val="9"/>
    <w:unhideWhenUsed/>
    <w:qFormat/>
    <w:rsid w:val="00B574CD"/>
    <w:pPr>
      <w:keepNext/>
      <w:keepLines/>
      <w:spacing w:before="40"/>
      <w:outlineLvl w:val="1"/>
    </w:pPr>
    <w:rPr>
      <w:rFonts w:eastAsiaTheme="majorEastAsia" w:cstheme="majorBidi"/>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B574CD"/>
    <w:pPr>
      <w:keepNext/>
      <w:keepLines/>
      <w:jc w:val="center"/>
      <w:outlineLvl w:val="0"/>
    </w:pPr>
    <w:rPr>
      <w:rFonts w:eastAsiaTheme="majorEastAsia" w:cstheme="majorBidi"/>
      <w:b/>
      <w:bCs/>
      <w:i/>
      <w:sz w:val="44"/>
      <w:szCs w:val="44"/>
    </w:rPr>
  </w:style>
  <w:style w:type="character" w:customStyle="1" w:styleId="Heading1Char">
    <w:name w:val="Heading 1 Char"/>
    <w:basedOn w:val="DefaultParagraphFont"/>
    <w:link w:val="Heading1"/>
    <w:uiPriority w:val="9"/>
    <w:rsid w:val="00B574CD"/>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B574CD"/>
    <w:rPr>
      <w:rFonts w:ascii="Times New Roman" w:eastAsiaTheme="majorEastAsia" w:hAnsi="Times New Roman" w:cstheme="majorBidi"/>
      <w:sz w:val="26"/>
      <w:szCs w:val="26"/>
    </w:rPr>
  </w:style>
  <w:style w:type="paragraph" w:styleId="FootnoteText">
    <w:name w:val="footnote text"/>
    <w:basedOn w:val="Normal"/>
    <w:link w:val="FootnoteTextChar"/>
    <w:autoRedefine/>
    <w:uiPriority w:val="99"/>
    <w:unhideWhenUsed/>
    <w:qFormat/>
    <w:rsid w:val="008E7A22"/>
    <w:pPr>
      <w:spacing w:line="240" w:lineRule="auto"/>
    </w:pPr>
    <w:rPr>
      <w:sz w:val="20"/>
      <w:szCs w:val="24"/>
    </w:rPr>
  </w:style>
  <w:style w:type="character" w:customStyle="1" w:styleId="FootnoteTextChar">
    <w:name w:val="Footnote Text Char"/>
    <w:basedOn w:val="DefaultParagraphFont"/>
    <w:link w:val="FootnoteText"/>
    <w:uiPriority w:val="99"/>
    <w:rsid w:val="008E7A22"/>
    <w:rPr>
      <w:rFonts w:ascii="Times New Roman" w:hAnsi="Times New Roman"/>
      <w:sz w:val="20"/>
      <w:lang w:val="en-GB"/>
    </w:rPr>
  </w:style>
  <w:style w:type="character" w:styleId="FootnoteReference">
    <w:name w:val="footnote reference"/>
    <w:basedOn w:val="DefaultParagraphFont"/>
    <w:uiPriority w:val="99"/>
    <w:semiHidden/>
    <w:unhideWhenUsed/>
    <w:rsid w:val="00F64EE3"/>
    <w:rPr>
      <w:vertAlign w:val="superscript"/>
    </w:rPr>
  </w:style>
  <w:style w:type="paragraph" w:styleId="NoSpacing">
    <w:name w:val="No Spacing"/>
    <w:uiPriority w:val="1"/>
    <w:qFormat/>
    <w:rsid w:val="00F64EE3"/>
    <w:pPr>
      <w:jc w:val="both"/>
    </w:pPr>
    <w:rPr>
      <w:rFonts w:ascii="Times New Roman" w:hAnsi="Times New Roman"/>
      <w:szCs w:val="22"/>
      <w:lang w:val="en-GB"/>
    </w:rPr>
  </w:style>
  <w:style w:type="paragraph" w:styleId="Footer">
    <w:name w:val="footer"/>
    <w:basedOn w:val="Normal"/>
    <w:link w:val="FooterChar"/>
    <w:uiPriority w:val="99"/>
    <w:unhideWhenUsed/>
    <w:rsid w:val="00AF57E5"/>
    <w:pPr>
      <w:tabs>
        <w:tab w:val="center" w:pos="4513"/>
        <w:tab w:val="right" w:pos="9026"/>
      </w:tabs>
      <w:spacing w:line="240" w:lineRule="auto"/>
    </w:pPr>
  </w:style>
  <w:style w:type="character" w:customStyle="1" w:styleId="FooterChar">
    <w:name w:val="Footer Char"/>
    <w:basedOn w:val="DefaultParagraphFont"/>
    <w:link w:val="Footer"/>
    <w:uiPriority w:val="99"/>
    <w:rsid w:val="00AF57E5"/>
    <w:rPr>
      <w:rFonts w:ascii="Times New Roman" w:hAnsi="Times New Roman"/>
      <w:szCs w:val="22"/>
      <w:lang w:val="en-GB"/>
    </w:rPr>
  </w:style>
  <w:style w:type="character" w:styleId="PageNumber">
    <w:name w:val="page number"/>
    <w:basedOn w:val="DefaultParagraphFont"/>
    <w:uiPriority w:val="99"/>
    <w:semiHidden/>
    <w:unhideWhenUsed/>
    <w:rsid w:val="00AF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744860">
      <w:bodyDiv w:val="1"/>
      <w:marLeft w:val="0"/>
      <w:marRight w:val="0"/>
      <w:marTop w:val="0"/>
      <w:marBottom w:val="0"/>
      <w:divBdr>
        <w:top w:val="none" w:sz="0" w:space="0" w:color="auto"/>
        <w:left w:val="none" w:sz="0" w:space="0" w:color="auto"/>
        <w:bottom w:val="none" w:sz="0" w:space="0" w:color="auto"/>
        <w:right w:val="none" w:sz="0" w:space="0" w:color="auto"/>
      </w:divBdr>
    </w:div>
    <w:div w:id="1817839476">
      <w:bodyDiv w:val="1"/>
      <w:marLeft w:val="0"/>
      <w:marRight w:val="0"/>
      <w:marTop w:val="0"/>
      <w:marBottom w:val="0"/>
      <w:divBdr>
        <w:top w:val="none" w:sz="0" w:space="0" w:color="auto"/>
        <w:left w:val="none" w:sz="0" w:space="0" w:color="auto"/>
        <w:bottom w:val="none" w:sz="0" w:space="0" w:color="auto"/>
        <w:right w:val="none" w:sz="0" w:space="0" w:color="auto"/>
      </w:divBdr>
    </w:div>
    <w:div w:id="1849589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9492</Words>
  <Characters>54105</Characters>
  <Application>Microsoft Macintosh Word</Application>
  <DocSecurity>0</DocSecurity>
  <Lines>450</Lines>
  <Paragraphs>126</Paragraphs>
  <ScaleCrop>false</ScaleCrop>
  <LinksUpToDate>false</LinksUpToDate>
  <CharactersWithSpaces>63471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dc:description/>
  <cp:lastModifiedBy>Purshouse, Craig</cp:lastModifiedBy>
  <cp:revision>9</cp:revision>
  <dcterms:created xsi:type="dcterms:W3CDTF">2016-02-20T09:47:00Z</dcterms:created>
  <dcterms:modified xsi:type="dcterms:W3CDTF">2016-02-20T10:00:00Z</dcterms:modified>
</cp:coreProperties>
</file>