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94" w:rsidRPr="00804D14" w:rsidRDefault="00AD6A94" w:rsidP="00804D14">
      <w:pPr>
        <w:pStyle w:val="Title"/>
        <w:rPr>
          <w:sz w:val="40"/>
        </w:rPr>
      </w:pPr>
      <w:r w:rsidRPr="00804D14">
        <w:rPr>
          <w:sz w:val="40"/>
        </w:rPr>
        <w:t>TECHNICAL APPENDIX</w:t>
      </w:r>
    </w:p>
    <w:p w:rsidR="00AD6A94" w:rsidRDefault="00AD6A94" w:rsidP="00804D14">
      <w:pPr>
        <w:pStyle w:val="Heading1"/>
      </w:pPr>
      <w:r>
        <w:t>Population projections</w:t>
      </w:r>
    </w:p>
    <w:p w:rsidR="00AD6A94" w:rsidRDefault="0062322C" w:rsidP="00804D14">
      <w:pPr>
        <w:spacing w:line="360" w:lineRule="auto"/>
        <w:ind w:firstLine="0"/>
      </w:pPr>
      <w:r>
        <w:t>Office for National Statistics (O</w:t>
      </w:r>
      <w:r w:rsidR="00AD6A94">
        <w:t>NS</w:t>
      </w:r>
      <w:r>
        <w:t>)</w:t>
      </w:r>
      <w:r w:rsidR="00AD6A94">
        <w:t xml:space="preserve"> published population counts by age group, </w:t>
      </w:r>
      <w:r w:rsidR="002D2DB8">
        <w:t>sex</w:t>
      </w:r>
      <w:r w:rsidR="00AD6A94">
        <w:t xml:space="preserve">, and </w:t>
      </w:r>
      <w:r w:rsidR="00804D14">
        <w:t xml:space="preserve">quintile groups of Index </w:t>
      </w:r>
      <w:proofErr w:type="gramStart"/>
      <w:r w:rsidR="00804D14">
        <w:t>Of</w:t>
      </w:r>
      <w:proofErr w:type="gramEnd"/>
      <w:r w:rsidR="00804D14">
        <w:t xml:space="preserve"> Multiple Deprivation (</w:t>
      </w:r>
      <w:r w:rsidR="00AD6A94">
        <w:t>IMDQ</w:t>
      </w:r>
      <w:r w:rsidR="00804D14">
        <w:t>)</w:t>
      </w:r>
      <w:r w:rsidR="00AD6A94">
        <w:t xml:space="preserve"> for 2002-2013. </w:t>
      </w:r>
      <w:r>
        <w:t>Unfortunately, ONS does not publish population projections by IMDQ, neither fertility rates by IMDQ. To overcome this, we assumed that the distribution of population within IMDQ</w:t>
      </w:r>
      <w:r w:rsidR="00F40B68">
        <w:t xml:space="preserve"> up to </w:t>
      </w:r>
      <w:proofErr w:type="gramStart"/>
      <w:r w:rsidR="00F40B68">
        <w:t>2015,</w:t>
      </w:r>
      <w:proofErr w:type="gramEnd"/>
      <w:r w:rsidR="00F40B68">
        <w:t xml:space="preserve"> will remain as of 2013 by age group and sex. Thus, w</w:t>
      </w:r>
      <w:r w:rsidR="00AD6A94">
        <w:t xml:space="preserve">e first summed the five-year age bands into ten-year age bands, by </w:t>
      </w:r>
      <w:r w:rsidR="002D2DB8">
        <w:t>sex</w:t>
      </w:r>
      <w:r w:rsidR="00AD6A94">
        <w:t>. For each age-</w:t>
      </w:r>
      <w:r w:rsidR="002D2DB8">
        <w:t>sex</w:t>
      </w:r>
      <w:r w:rsidR="00AD6A94">
        <w:t xml:space="preserve"> group, we calculated the proportion of the population in 2013 in each IMDQ. We then applied these proportions to population projections from 2015-2025. An example follows for men aged 65-74:</w:t>
      </w:r>
    </w:p>
    <w:tbl>
      <w:tblPr>
        <w:tblStyle w:val="LightList"/>
        <w:tblW w:w="5000" w:type="pct"/>
        <w:jc w:val="center"/>
        <w:tblBorders>
          <w:left w:val="none" w:sz="0" w:space="0" w:color="auto"/>
          <w:right w:val="none" w:sz="0" w:space="0" w:color="auto"/>
          <w:insideH w:val="single" w:sz="8" w:space="0" w:color="000000" w:themeColor="text1"/>
        </w:tblBorders>
        <w:tblLook w:val="04A0" w:firstRow="1" w:lastRow="0" w:firstColumn="1" w:lastColumn="0" w:noHBand="0" w:noVBand="1"/>
      </w:tblPr>
      <w:tblGrid>
        <w:gridCol w:w="1698"/>
        <w:gridCol w:w="1610"/>
        <w:gridCol w:w="1610"/>
        <w:gridCol w:w="2514"/>
        <w:gridCol w:w="1810"/>
      </w:tblGrid>
      <w:tr w:rsidR="00804D14" w:rsidRPr="00851737" w:rsidTr="00DA171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19" w:type="pct"/>
            <w:vAlign w:val="center"/>
          </w:tcPr>
          <w:p w:rsidR="00AD6A94" w:rsidRPr="00804D14" w:rsidRDefault="00AD6A94" w:rsidP="00804D14">
            <w:pPr>
              <w:spacing w:line="360" w:lineRule="auto"/>
              <w:ind w:firstLine="0"/>
              <w:rPr>
                <w:rFonts w:ascii="Calibri" w:eastAsia="Times New Roman" w:hAnsi="Calibri" w:cs="Times New Roman"/>
                <w:sz w:val="18"/>
                <w:lang w:eastAsia="en-GB"/>
              </w:rPr>
            </w:pPr>
            <w:r w:rsidRPr="00804D14">
              <w:rPr>
                <w:rFonts w:ascii="Calibri" w:eastAsia="Times New Roman" w:hAnsi="Calibri" w:cs="Times New Roman"/>
                <w:sz w:val="18"/>
                <w:lang w:eastAsia="en-GB"/>
              </w:rPr>
              <w:t>IMDQ</w:t>
            </w:r>
          </w:p>
        </w:tc>
        <w:tc>
          <w:tcPr>
            <w:tcW w:w="871" w:type="pct"/>
            <w:noWrap/>
            <w:vAlign w:val="center"/>
          </w:tcPr>
          <w:p w:rsidR="00AD6A94" w:rsidRPr="00804D14" w:rsidRDefault="00AD6A94" w:rsidP="00804D14">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r w:rsidRPr="00804D14">
              <w:rPr>
                <w:rFonts w:ascii="Calibri" w:eastAsia="Times New Roman" w:hAnsi="Calibri" w:cs="Times New Roman"/>
                <w:sz w:val="18"/>
                <w:lang w:eastAsia="en-GB"/>
              </w:rPr>
              <w:t>M 65</w:t>
            </w:r>
            <w:r w:rsidR="00804D14">
              <w:rPr>
                <w:rFonts w:ascii="Calibri" w:eastAsia="Times New Roman" w:hAnsi="Calibri" w:cs="Times New Roman"/>
                <w:sz w:val="18"/>
                <w:lang w:eastAsia="en-GB"/>
              </w:rPr>
              <w:t xml:space="preserve"> </w:t>
            </w:r>
            <w:r w:rsidRPr="00804D14">
              <w:rPr>
                <w:rFonts w:ascii="Calibri" w:eastAsia="Times New Roman" w:hAnsi="Calibri" w:cs="Times New Roman"/>
                <w:sz w:val="18"/>
                <w:lang w:eastAsia="en-GB"/>
              </w:rPr>
              <w:t>-</w:t>
            </w:r>
            <w:r w:rsidR="00804D14">
              <w:rPr>
                <w:rFonts w:ascii="Calibri" w:eastAsia="Times New Roman" w:hAnsi="Calibri" w:cs="Times New Roman"/>
                <w:sz w:val="18"/>
                <w:lang w:eastAsia="en-GB"/>
              </w:rPr>
              <w:t xml:space="preserve"> </w:t>
            </w:r>
            <w:r w:rsidRPr="00804D14">
              <w:rPr>
                <w:rFonts w:ascii="Calibri" w:eastAsia="Times New Roman" w:hAnsi="Calibri" w:cs="Times New Roman"/>
                <w:sz w:val="18"/>
                <w:lang w:eastAsia="en-GB"/>
              </w:rPr>
              <w:t>69</w:t>
            </w:r>
          </w:p>
        </w:tc>
        <w:tc>
          <w:tcPr>
            <w:tcW w:w="871" w:type="pct"/>
            <w:noWrap/>
            <w:vAlign w:val="center"/>
          </w:tcPr>
          <w:p w:rsidR="00AD6A94" w:rsidRPr="00804D14" w:rsidRDefault="00AD6A94" w:rsidP="00804D14">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r w:rsidRPr="00804D14">
              <w:rPr>
                <w:rFonts w:ascii="Calibri" w:eastAsia="Times New Roman" w:hAnsi="Calibri" w:cs="Times New Roman"/>
                <w:sz w:val="18"/>
                <w:lang w:eastAsia="en-GB"/>
              </w:rPr>
              <w:t>M 70</w:t>
            </w:r>
            <w:r w:rsidR="00804D14">
              <w:rPr>
                <w:rFonts w:ascii="Calibri" w:eastAsia="Times New Roman" w:hAnsi="Calibri" w:cs="Times New Roman"/>
                <w:sz w:val="18"/>
                <w:lang w:eastAsia="en-GB"/>
              </w:rPr>
              <w:t xml:space="preserve"> </w:t>
            </w:r>
            <w:r w:rsidRPr="00804D14">
              <w:rPr>
                <w:rFonts w:ascii="Calibri" w:eastAsia="Times New Roman" w:hAnsi="Calibri" w:cs="Times New Roman"/>
                <w:sz w:val="18"/>
                <w:lang w:eastAsia="en-GB"/>
              </w:rPr>
              <w:t>-</w:t>
            </w:r>
            <w:r w:rsidR="00804D14">
              <w:rPr>
                <w:rFonts w:ascii="Calibri" w:eastAsia="Times New Roman" w:hAnsi="Calibri" w:cs="Times New Roman"/>
                <w:sz w:val="18"/>
                <w:lang w:eastAsia="en-GB"/>
              </w:rPr>
              <w:t xml:space="preserve"> </w:t>
            </w:r>
            <w:r w:rsidRPr="00804D14">
              <w:rPr>
                <w:rFonts w:ascii="Calibri" w:eastAsia="Times New Roman" w:hAnsi="Calibri" w:cs="Times New Roman"/>
                <w:sz w:val="18"/>
                <w:lang w:eastAsia="en-GB"/>
              </w:rPr>
              <w:t>74</w:t>
            </w:r>
          </w:p>
        </w:tc>
        <w:tc>
          <w:tcPr>
            <w:tcW w:w="1360" w:type="pct"/>
            <w:noWrap/>
            <w:vAlign w:val="center"/>
          </w:tcPr>
          <w:p w:rsidR="00AD6A94" w:rsidRPr="00804D14" w:rsidRDefault="00AD6A94" w:rsidP="00804D14">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r w:rsidRPr="00804D14">
              <w:rPr>
                <w:rFonts w:ascii="Calibri" w:eastAsia="Times New Roman" w:hAnsi="Calibri" w:cs="Times New Roman"/>
                <w:sz w:val="18"/>
                <w:lang w:eastAsia="en-GB"/>
              </w:rPr>
              <w:t>M 65</w:t>
            </w:r>
            <w:r w:rsidR="00804D14">
              <w:rPr>
                <w:rFonts w:ascii="Calibri" w:eastAsia="Times New Roman" w:hAnsi="Calibri" w:cs="Times New Roman"/>
                <w:sz w:val="18"/>
                <w:lang w:eastAsia="en-GB"/>
              </w:rPr>
              <w:t xml:space="preserve"> – </w:t>
            </w:r>
            <w:r w:rsidRPr="00804D14">
              <w:rPr>
                <w:rFonts w:ascii="Calibri" w:eastAsia="Times New Roman" w:hAnsi="Calibri" w:cs="Times New Roman"/>
                <w:sz w:val="18"/>
                <w:lang w:eastAsia="en-GB"/>
              </w:rPr>
              <w:t>74</w:t>
            </w:r>
            <w:r w:rsidR="00804D14">
              <w:rPr>
                <w:rFonts w:ascii="Calibri" w:eastAsia="Times New Roman" w:hAnsi="Calibri" w:cs="Times New Roman"/>
                <w:sz w:val="18"/>
                <w:lang w:eastAsia="en-GB"/>
              </w:rPr>
              <w:t xml:space="preserve"> </w:t>
            </w:r>
            <w:r w:rsidRPr="00804D14">
              <w:rPr>
                <w:rFonts w:ascii="Calibri" w:eastAsia="Times New Roman" w:hAnsi="Calibri" w:cs="Times New Roman"/>
                <w:sz w:val="18"/>
                <w:lang w:eastAsia="en-GB"/>
              </w:rPr>
              <w:t>(Sum)</w:t>
            </w:r>
          </w:p>
        </w:tc>
        <w:tc>
          <w:tcPr>
            <w:tcW w:w="979" w:type="pct"/>
            <w:noWrap/>
            <w:vAlign w:val="center"/>
          </w:tcPr>
          <w:p w:rsidR="00AD6A94" w:rsidRPr="00804D14" w:rsidRDefault="00AD6A94" w:rsidP="00804D14">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r w:rsidRPr="00804D14">
              <w:rPr>
                <w:rFonts w:ascii="Calibri" w:eastAsia="Times New Roman" w:hAnsi="Calibri" w:cs="Times New Roman"/>
                <w:sz w:val="18"/>
                <w:lang w:eastAsia="en-GB"/>
              </w:rPr>
              <w:t>Proportion</w:t>
            </w:r>
          </w:p>
        </w:tc>
      </w:tr>
      <w:tr w:rsidR="00804D14" w:rsidRPr="00851737" w:rsidTr="00DA17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19" w:type="pct"/>
            <w:tcBorders>
              <w:top w:val="none" w:sz="0" w:space="0" w:color="auto"/>
              <w:left w:val="none" w:sz="0" w:space="0" w:color="auto"/>
              <w:bottom w:val="none" w:sz="0" w:space="0" w:color="auto"/>
            </w:tcBorders>
            <w:vAlign w:val="center"/>
          </w:tcPr>
          <w:p w:rsidR="00AD6A94" w:rsidRPr="00851737" w:rsidRDefault="00AD6A94" w:rsidP="00804D14">
            <w:pPr>
              <w:spacing w:line="360" w:lineRule="auto"/>
              <w:ind w:firstLine="0"/>
              <w:rPr>
                <w:rFonts w:ascii="Calibri" w:eastAsia="Times New Roman" w:hAnsi="Calibri" w:cs="Times New Roman"/>
                <w:color w:val="000000"/>
                <w:sz w:val="18"/>
                <w:lang w:eastAsia="en-GB"/>
              </w:rPr>
            </w:pPr>
            <w:r w:rsidRPr="00851737">
              <w:rPr>
                <w:rFonts w:ascii="Calibri" w:eastAsia="Times New Roman" w:hAnsi="Calibri" w:cs="Times New Roman"/>
                <w:color w:val="000000"/>
                <w:sz w:val="18"/>
                <w:lang w:eastAsia="en-GB"/>
              </w:rPr>
              <w:t>5</w:t>
            </w:r>
          </w:p>
        </w:tc>
        <w:tc>
          <w:tcPr>
            <w:tcW w:w="871" w:type="pct"/>
            <w:tcBorders>
              <w:top w:val="none" w:sz="0" w:space="0" w:color="auto"/>
              <w:bottom w:val="none" w:sz="0"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200,601</w:t>
            </w:r>
          </w:p>
        </w:tc>
        <w:tc>
          <w:tcPr>
            <w:tcW w:w="871" w:type="pct"/>
            <w:tcBorders>
              <w:top w:val="none" w:sz="0" w:space="0" w:color="auto"/>
              <w:bottom w:val="none" w:sz="0"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146,679</w:t>
            </w:r>
          </w:p>
        </w:tc>
        <w:tc>
          <w:tcPr>
            <w:tcW w:w="1360" w:type="pct"/>
            <w:tcBorders>
              <w:top w:val="none" w:sz="0" w:space="0" w:color="auto"/>
              <w:bottom w:val="none" w:sz="0"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347,280</w:t>
            </w:r>
          </w:p>
        </w:tc>
        <w:tc>
          <w:tcPr>
            <w:tcW w:w="979" w:type="pct"/>
            <w:tcBorders>
              <w:top w:val="none" w:sz="0" w:space="0" w:color="auto"/>
              <w:bottom w:val="none" w:sz="0" w:space="0" w:color="auto"/>
              <w:right w:val="none" w:sz="0"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0.14</w:t>
            </w:r>
            <w:r>
              <w:rPr>
                <w:rFonts w:ascii="Calibri" w:hAnsi="Calibri"/>
                <w:color w:val="000000"/>
                <w:sz w:val="18"/>
              </w:rPr>
              <w:t>4</w:t>
            </w:r>
          </w:p>
        </w:tc>
      </w:tr>
      <w:tr w:rsidR="00804D14" w:rsidRPr="00851737" w:rsidTr="00DA1712">
        <w:trPr>
          <w:trHeight w:val="300"/>
          <w:jc w:val="center"/>
        </w:trPr>
        <w:tc>
          <w:tcPr>
            <w:cnfStyle w:val="001000000000" w:firstRow="0" w:lastRow="0" w:firstColumn="1" w:lastColumn="0" w:oddVBand="0" w:evenVBand="0" w:oddHBand="0" w:evenHBand="0" w:firstRowFirstColumn="0" w:firstRowLastColumn="0" w:lastRowFirstColumn="0" w:lastRowLastColumn="0"/>
            <w:tcW w:w="919" w:type="pct"/>
            <w:vAlign w:val="center"/>
          </w:tcPr>
          <w:p w:rsidR="00AD6A94" w:rsidRPr="00851737" w:rsidRDefault="00AD6A94" w:rsidP="00804D14">
            <w:pPr>
              <w:spacing w:line="360" w:lineRule="auto"/>
              <w:ind w:firstLine="0"/>
              <w:rPr>
                <w:rFonts w:ascii="Calibri" w:eastAsia="Times New Roman" w:hAnsi="Calibri" w:cs="Times New Roman"/>
                <w:color w:val="000000"/>
                <w:sz w:val="18"/>
                <w:lang w:eastAsia="en-GB"/>
              </w:rPr>
            </w:pPr>
            <w:r w:rsidRPr="00851737">
              <w:rPr>
                <w:rFonts w:ascii="Calibri" w:eastAsia="Times New Roman" w:hAnsi="Calibri" w:cs="Times New Roman"/>
                <w:color w:val="000000"/>
                <w:sz w:val="18"/>
                <w:lang w:eastAsia="en-GB"/>
              </w:rPr>
              <w:t>4</w:t>
            </w:r>
          </w:p>
        </w:tc>
        <w:tc>
          <w:tcPr>
            <w:tcW w:w="871" w:type="pct"/>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851737">
              <w:rPr>
                <w:rFonts w:ascii="Calibri" w:hAnsi="Calibri"/>
                <w:color w:val="000000"/>
                <w:sz w:val="18"/>
              </w:rPr>
              <w:t>242,979</w:t>
            </w:r>
          </w:p>
        </w:tc>
        <w:tc>
          <w:tcPr>
            <w:tcW w:w="871" w:type="pct"/>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851737">
              <w:rPr>
                <w:rFonts w:ascii="Calibri" w:hAnsi="Calibri"/>
                <w:color w:val="000000"/>
                <w:sz w:val="18"/>
              </w:rPr>
              <w:t>173,038</w:t>
            </w:r>
          </w:p>
        </w:tc>
        <w:tc>
          <w:tcPr>
            <w:tcW w:w="1360" w:type="pct"/>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851737">
              <w:rPr>
                <w:rFonts w:ascii="Calibri" w:hAnsi="Calibri"/>
                <w:color w:val="000000"/>
                <w:sz w:val="18"/>
              </w:rPr>
              <w:t>416,017</w:t>
            </w:r>
          </w:p>
        </w:tc>
        <w:tc>
          <w:tcPr>
            <w:tcW w:w="979" w:type="pct"/>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851737">
              <w:rPr>
                <w:rFonts w:ascii="Calibri" w:hAnsi="Calibri"/>
                <w:color w:val="000000"/>
                <w:sz w:val="18"/>
              </w:rPr>
              <w:t>0.172</w:t>
            </w:r>
          </w:p>
        </w:tc>
      </w:tr>
      <w:tr w:rsidR="00804D14" w:rsidRPr="00851737" w:rsidTr="00DA17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19" w:type="pct"/>
            <w:tcBorders>
              <w:top w:val="none" w:sz="0" w:space="0" w:color="auto"/>
              <w:left w:val="none" w:sz="0" w:space="0" w:color="auto"/>
              <w:bottom w:val="none" w:sz="0" w:space="0" w:color="auto"/>
            </w:tcBorders>
            <w:vAlign w:val="center"/>
          </w:tcPr>
          <w:p w:rsidR="00AD6A94" w:rsidRPr="00851737" w:rsidRDefault="00AD6A94" w:rsidP="00804D14">
            <w:pPr>
              <w:spacing w:line="360" w:lineRule="auto"/>
              <w:ind w:firstLine="0"/>
              <w:rPr>
                <w:rFonts w:ascii="Calibri" w:eastAsia="Times New Roman" w:hAnsi="Calibri" w:cs="Times New Roman"/>
                <w:color w:val="000000"/>
                <w:sz w:val="18"/>
                <w:lang w:eastAsia="en-GB"/>
              </w:rPr>
            </w:pPr>
            <w:r w:rsidRPr="00851737">
              <w:rPr>
                <w:rFonts w:ascii="Calibri" w:eastAsia="Times New Roman" w:hAnsi="Calibri" w:cs="Times New Roman"/>
                <w:color w:val="000000"/>
                <w:sz w:val="18"/>
                <w:lang w:eastAsia="en-GB"/>
              </w:rPr>
              <w:t>3</w:t>
            </w:r>
          </w:p>
        </w:tc>
        <w:tc>
          <w:tcPr>
            <w:tcW w:w="871" w:type="pct"/>
            <w:tcBorders>
              <w:top w:val="none" w:sz="0" w:space="0" w:color="auto"/>
              <w:bottom w:val="none" w:sz="0"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303,520</w:t>
            </w:r>
          </w:p>
        </w:tc>
        <w:tc>
          <w:tcPr>
            <w:tcW w:w="871" w:type="pct"/>
            <w:tcBorders>
              <w:top w:val="none" w:sz="0" w:space="0" w:color="auto"/>
              <w:bottom w:val="none" w:sz="0"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214,651</w:t>
            </w:r>
          </w:p>
        </w:tc>
        <w:tc>
          <w:tcPr>
            <w:tcW w:w="1360" w:type="pct"/>
            <w:tcBorders>
              <w:top w:val="none" w:sz="0" w:space="0" w:color="auto"/>
              <w:bottom w:val="none" w:sz="0"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518,171</w:t>
            </w:r>
          </w:p>
        </w:tc>
        <w:tc>
          <w:tcPr>
            <w:tcW w:w="979" w:type="pct"/>
            <w:tcBorders>
              <w:top w:val="none" w:sz="0" w:space="0" w:color="auto"/>
              <w:bottom w:val="none" w:sz="0" w:space="0" w:color="auto"/>
              <w:right w:val="none" w:sz="0"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0.214</w:t>
            </w:r>
          </w:p>
        </w:tc>
      </w:tr>
      <w:tr w:rsidR="00804D14" w:rsidRPr="00851737" w:rsidTr="00DA1712">
        <w:trPr>
          <w:trHeight w:val="300"/>
          <w:jc w:val="center"/>
        </w:trPr>
        <w:tc>
          <w:tcPr>
            <w:cnfStyle w:val="001000000000" w:firstRow="0" w:lastRow="0" w:firstColumn="1" w:lastColumn="0" w:oddVBand="0" w:evenVBand="0" w:oddHBand="0" w:evenHBand="0" w:firstRowFirstColumn="0" w:firstRowLastColumn="0" w:lastRowFirstColumn="0" w:lastRowLastColumn="0"/>
            <w:tcW w:w="919" w:type="pct"/>
            <w:vAlign w:val="center"/>
          </w:tcPr>
          <w:p w:rsidR="00AD6A94" w:rsidRPr="00851737" w:rsidRDefault="00AD6A94" w:rsidP="00804D14">
            <w:pPr>
              <w:spacing w:line="360" w:lineRule="auto"/>
              <w:ind w:firstLine="0"/>
              <w:rPr>
                <w:rFonts w:ascii="Calibri" w:eastAsia="Times New Roman" w:hAnsi="Calibri" w:cs="Times New Roman"/>
                <w:color w:val="000000"/>
                <w:sz w:val="18"/>
                <w:lang w:eastAsia="en-GB"/>
              </w:rPr>
            </w:pPr>
            <w:r w:rsidRPr="00851737">
              <w:rPr>
                <w:rFonts w:ascii="Calibri" w:eastAsia="Times New Roman" w:hAnsi="Calibri" w:cs="Times New Roman"/>
                <w:color w:val="000000"/>
                <w:sz w:val="18"/>
                <w:lang w:eastAsia="en-GB"/>
              </w:rPr>
              <w:t>2</w:t>
            </w:r>
          </w:p>
        </w:tc>
        <w:tc>
          <w:tcPr>
            <w:tcW w:w="871" w:type="pct"/>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851737">
              <w:rPr>
                <w:rFonts w:ascii="Calibri" w:hAnsi="Calibri"/>
                <w:color w:val="000000"/>
                <w:sz w:val="18"/>
              </w:rPr>
              <w:t>337,354</w:t>
            </w:r>
          </w:p>
        </w:tc>
        <w:tc>
          <w:tcPr>
            <w:tcW w:w="871" w:type="pct"/>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851737">
              <w:rPr>
                <w:rFonts w:ascii="Calibri" w:hAnsi="Calibri"/>
                <w:color w:val="000000"/>
                <w:sz w:val="18"/>
              </w:rPr>
              <w:t>235,710</w:t>
            </w:r>
          </w:p>
        </w:tc>
        <w:tc>
          <w:tcPr>
            <w:tcW w:w="1360" w:type="pct"/>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851737">
              <w:rPr>
                <w:rFonts w:ascii="Calibri" w:hAnsi="Calibri"/>
                <w:color w:val="000000"/>
                <w:sz w:val="18"/>
              </w:rPr>
              <w:t>573,064</w:t>
            </w:r>
          </w:p>
        </w:tc>
        <w:tc>
          <w:tcPr>
            <w:tcW w:w="979" w:type="pct"/>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851737">
              <w:rPr>
                <w:rFonts w:ascii="Calibri" w:hAnsi="Calibri"/>
                <w:color w:val="000000"/>
                <w:sz w:val="18"/>
              </w:rPr>
              <w:t>0.23</w:t>
            </w:r>
            <w:r>
              <w:rPr>
                <w:rFonts w:ascii="Calibri" w:hAnsi="Calibri"/>
                <w:color w:val="000000"/>
                <w:sz w:val="18"/>
              </w:rPr>
              <w:t>7</w:t>
            </w:r>
          </w:p>
        </w:tc>
      </w:tr>
      <w:tr w:rsidR="00804D14" w:rsidRPr="00851737" w:rsidTr="001308E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19" w:type="pct"/>
            <w:tcBorders>
              <w:top w:val="none" w:sz="0" w:space="0" w:color="auto"/>
              <w:left w:val="none" w:sz="0" w:space="0" w:color="auto"/>
              <w:bottom w:val="double" w:sz="6" w:space="0" w:color="auto"/>
            </w:tcBorders>
            <w:vAlign w:val="center"/>
          </w:tcPr>
          <w:p w:rsidR="00AD6A94" w:rsidRPr="00851737" w:rsidRDefault="00AD6A94" w:rsidP="00804D14">
            <w:pPr>
              <w:spacing w:line="360" w:lineRule="auto"/>
              <w:ind w:firstLine="0"/>
              <w:rPr>
                <w:rFonts w:ascii="Calibri" w:eastAsia="Times New Roman" w:hAnsi="Calibri" w:cs="Times New Roman"/>
                <w:color w:val="000000"/>
                <w:sz w:val="18"/>
                <w:lang w:eastAsia="en-GB"/>
              </w:rPr>
            </w:pPr>
            <w:r w:rsidRPr="00851737">
              <w:rPr>
                <w:rFonts w:ascii="Calibri" w:eastAsia="Times New Roman" w:hAnsi="Calibri" w:cs="Times New Roman"/>
                <w:color w:val="000000"/>
                <w:sz w:val="18"/>
                <w:lang w:eastAsia="en-GB"/>
              </w:rPr>
              <w:t>1</w:t>
            </w:r>
          </w:p>
        </w:tc>
        <w:tc>
          <w:tcPr>
            <w:tcW w:w="871" w:type="pct"/>
            <w:tcBorders>
              <w:top w:val="none" w:sz="0" w:space="0" w:color="auto"/>
              <w:bottom w:val="double" w:sz="6"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335,226</w:t>
            </w:r>
          </w:p>
        </w:tc>
        <w:tc>
          <w:tcPr>
            <w:tcW w:w="871" w:type="pct"/>
            <w:tcBorders>
              <w:top w:val="none" w:sz="0" w:space="0" w:color="auto"/>
              <w:bottom w:val="double" w:sz="6"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228,845</w:t>
            </w:r>
          </w:p>
        </w:tc>
        <w:tc>
          <w:tcPr>
            <w:tcW w:w="1360" w:type="pct"/>
            <w:tcBorders>
              <w:top w:val="none" w:sz="0" w:space="0" w:color="auto"/>
              <w:bottom w:val="double" w:sz="6"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564,071</w:t>
            </w:r>
          </w:p>
        </w:tc>
        <w:tc>
          <w:tcPr>
            <w:tcW w:w="979" w:type="pct"/>
            <w:tcBorders>
              <w:top w:val="none" w:sz="0" w:space="0" w:color="auto"/>
              <w:bottom w:val="double" w:sz="6" w:space="0" w:color="auto"/>
              <w:right w:val="none" w:sz="0" w:space="0" w:color="auto"/>
            </w:tcBorders>
            <w:noWrap/>
            <w:vAlign w:val="center"/>
            <w:hideMark/>
          </w:tcPr>
          <w:p w:rsidR="00AD6A94" w:rsidRPr="00851737" w:rsidRDefault="00AD6A94" w:rsidP="00804D14">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851737">
              <w:rPr>
                <w:rFonts w:ascii="Calibri" w:hAnsi="Calibri"/>
                <w:color w:val="000000"/>
                <w:sz w:val="18"/>
              </w:rPr>
              <w:t>0.233</w:t>
            </w:r>
          </w:p>
        </w:tc>
      </w:tr>
      <w:tr w:rsidR="00804D14" w:rsidRPr="00851737" w:rsidTr="001308EB">
        <w:trPr>
          <w:trHeight w:val="300"/>
          <w:jc w:val="center"/>
        </w:trPr>
        <w:tc>
          <w:tcPr>
            <w:cnfStyle w:val="001000000000" w:firstRow="0" w:lastRow="0" w:firstColumn="1" w:lastColumn="0" w:oddVBand="0" w:evenVBand="0" w:oddHBand="0" w:evenHBand="0" w:firstRowFirstColumn="0" w:firstRowLastColumn="0" w:lastRowFirstColumn="0" w:lastRowLastColumn="0"/>
            <w:tcW w:w="919" w:type="pct"/>
            <w:tcBorders>
              <w:top w:val="double" w:sz="6" w:space="0" w:color="auto"/>
            </w:tcBorders>
            <w:vAlign w:val="center"/>
          </w:tcPr>
          <w:p w:rsidR="00AD6A94" w:rsidRPr="00851737" w:rsidRDefault="00804D14" w:rsidP="00804D14">
            <w:pPr>
              <w:spacing w:line="360" w:lineRule="auto"/>
              <w:ind w:firstLine="0"/>
              <w:rPr>
                <w:rFonts w:ascii="Calibri" w:eastAsia="Times New Roman" w:hAnsi="Calibri" w:cs="Times New Roman"/>
                <w:color w:val="000000"/>
                <w:sz w:val="18"/>
                <w:lang w:eastAsia="en-GB"/>
              </w:rPr>
            </w:pPr>
            <w:r>
              <w:rPr>
                <w:rFonts w:ascii="Calibri" w:hAnsi="Calibri"/>
                <w:color w:val="000000"/>
                <w:sz w:val="18"/>
              </w:rPr>
              <w:t>Total Sum</w:t>
            </w:r>
          </w:p>
        </w:tc>
        <w:tc>
          <w:tcPr>
            <w:tcW w:w="871" w:type="pct"/>
            <w:tcBorders>
              <w:top w:val="double" w:sz="6" w:space="0" w:color="auto"/>
            </w:tcBorders>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p>
        </w:tc>
        <w:tc>
          <w:tcPr>
            <w:tcW w:w="871" w:type="pct"/>
            <w:tcBorders>
              <w:top w:val="double" w:sz="6" w:space="0" w:color="auto"/>
            </w:tcBorders>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p>
        </w:tc>
        <w:tc>
          <w:tcPr>
            <w:tcW w:w="1360" w:type="pct"/>
            <w:tcBorders>
              <w:top w:val="double" w:sz="6" w:space="0" w:color="auto"/>
            </w:tcBorders>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851737">
              <w:rPr>
                <w:rFonts w:ascii="Calibri" w:hAnsi="Calibri"/>
                <w:color w:val="000000"/>
                <w:sz w:val="18"/>
              </w:rPr>
              <w:t>2,418,603</w:t>
            </w:r>
          </w:p>
        </w:tc>
        <w:tc>
          <w:tcPr>
            <w:tcW w:w="979" w:type="pct"/>
            <w:tcBorders>
              <w:top w:val="double" w:sz="6" w:space="0" w:color="auto"/>
            </w:tcBorders>
            <w:noWrap/>
            <w:vAlign w:val="center"/>
            <w:hideMark/>
          </w:tcPr>
          <w:p w:rsidR="00AD6A94" w:rsidRPr="00851737" w:rsidRDefault="00AD6A94" w:rsidP="00804D14">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Pr>
                <w:rFonts w:ascii="Calibri" w:hAnsi="Calibri"/>
                <w:color w:val="000000"/>
                <w:sz w:val="18"/>
              </w:rPr>
              <w:t>1</w:t>
            </w:r>
          </w:p>
        </w:tc>
      </w:tr>
    </w:tbl>
    <w:p w:rsidR="00804D14" w:rsidRDefault="00804D14" w:rsidP="00804D14">
      <w:pPr>
        <w:spacing w:line="360" w:lineRule="auto"/>
        <w:ind w:firstLine="0"/>
      </w:pPr>
    </w:p>
    <w:p w:rsidR="00AD6A94" w:rsidRDefault="00AD6A94" w:rsidP="00804D14">
      <w:pPr>
        <w:spacing w:line="360" w:lineRule="auto"/>
        <w:ind w:firstLine="0"/>
      </w:pPr>
      <w:r>
        <w:t xml:space="preserve">Then, based on ONS constant fertility population projections for England, we created the relevant age groups for each </w:t>
      </w:r>
      <w:r w:rsidR="002D2DB8">
        <w:t>sex</w:t>
      </w:r>
      <w:r>
        <w:t xml:space="preserve"> and multiplied by the IMDQ proportions from 2013. Continuing the example:</w:t>
      </w:r>
    </w:p>
    <w:tbl>
      <w:tblPr>
        <w:tblStyle w:val="LightList"/>
        <w:tblW w:w="5000" w:type="pct"/>
        <w:tblLook w:val="04A0" w:firstRow="1" w:lastRow="0" w:firstColumn="1" w:lastColumn="0" w:noHBand="0" w:noVBand="1"/>
      </w:tblPr>
      <w:tblGrid>
        <w:gridCol w:w="3108"/>
        <w:gridCol w:w="1598"/>
        <w:gridCol w:w="1007"/>
        <w:gridCol w:w="1085"/>
        <w:gridCol w:w="1086"/>
        <w:gridCol w:w="345"/>
        <w:gridCol w:w="1013"/>
      </w:tblGrid>
      <w:tr w:rsidR="00DA1712" w:rsidRPr="00E30211" w:rsidTr="002918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tcBorders>
              <w:top w:val="single" w:sz="8" w:space="0" w:color="000000" w:themeColor="text1"/>
              <w:left w:val="nil"/>
            </w:tcBorders>
            <w:noWrap/>
            <w:vAlign w:val="center"/>
            <w:hideMark/>
          </w:tcPr>
          <w:p w:rsidR="00AD6A94" w:rsidRPr="00590C2F" w:rsidRDefault="00AD6A94" w:rsidP="00DA1712">
            <w:pPr>
              <w:spacing w:line="360" w:lineRule="auto"/>
              <w:ind w:firstLine="0"/>
              <w:rPr>
                <w:rFonts w:ascii="Calibri" w:eastAsia="Times New Roman" w:hAnsi="Calibri" w:cs="Times New Roman"/>
                <w:sz w:val="18"/>
                <w:lang w:eastAsia="en-GB"/>
              </w:rPr>
            </w:pPr>
            <w:r w:rsidRPr="00590C2F">
              <w:rPr>
                <w:rFonts w:ascii="Calibri" w:eastAsia="Times New Roman" w:hAnsi="Calibri" w:cs="Times New Roman"/>
                <w:sz w:val="18"/>
                <w:lang w:eastAsia="en-GB"/>
              </w:rPr>
              <w:t>Year</w:t>
            </w:r>
          </w:p>
        </w:tc>
        <w:tc>
          <w:tcPr>
            <w:tcW w:w="741" w:type="pct"/>
            <w:tcBorders>
              <w:top w:val="single" w:sz="8" w:space="0" w:color="000000" w:themeColor="text1"/>
            </w:tcBorders>
            <w:vAlign w:val="center"/>
          </w:tcPr>
          <w:p w:rsidR="00AD6A94" w:rsidRPr="00590C2F" w:rsidRDefault="00AD6A94" w:rsidP="00DA1712">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p>
        </w:tc>
        <w:tc>
          <w:tcPr>
            <w:tcW w:w="618" w:type="pct"/>
            <w:tcBorders>
              <w:top w:val="single" w:sz="8" w:space="0" w:color="000000" w:themeColor="text1"/>
            </w:tcBorders>
            <w:noWrap/>
            <w:vAlign w:val="center"/>
            <w:hideMark/>
          </w:tcPr>
          <w:p w:rsidR="00AD6A94" w:rsidRPr="00590C2F" w:rsidRDefault="00AD6A94" w:rsidP="00DA1712">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r w:rsidRPr="00590C2F">
              <w:rPr>
                <w:rFonts w:ascii="Calibri" w:eastAsia="Times New Roman" w:hAnsi="Calibri" w:cs="Times New Roman"/>
                <w:sz w:val="18"/>
                <w:lang w:eastAsia="en-GB"/>
              </w:rPr>
              <w:t>2015</w:t>
            </w:r>
          </w:p>
        </w:tc>
        <w:tc>
          <w:tcPr>
            <w:tcW w:w="660" w:type="pct"/>
            <w:tcBorders>
              <w:top w:val="single" w:sz="8" w:space="0" w:color="000000" w:themeColor="text1"/>
            </w:tcBorders>
            <w:noWrap/>
            <w:vAlign w:val="center"/>
            <w:hideMark/>
          </w:tcPr>
          <w:p w:rsidR="00AD6A94" w:rsidRPr="00590C2F" w:rsidRDefault="00AD6A94" w:rsidP="00DA1712">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r w:rsidRPr="00590C2F">
              <w:rPr>
                <w:rFonts w:ascii="Calibri" w:eastAsia="Times New Roman" w:hAnsi="Calibri" w:cs="Times New Roman"/>
                <w:sz w:val="18"/>
                <w:lang w:eastAsia="en-GB"/>
              </w:rPr>
              <w:t>2016</w:t>
            </w:r>
          </w:p>
        </w:tc>
        <w:tc>
          <w:tcPr>
            <w:tcW w:w="660" w:type="pct"/>
            <w:tcBorders>
              <w:top w:val="single" w:sz="8" w:space="0" w:color="000000" w:themeColor="text1"/>
            </w:tcBorders>
            <w:noWrap/>
            <w:vAlign w:val="center"/>
            <w:hideMark/>
          </w:tcPr>
          <w:p w:rsidR="00AD6A94" w:rsidRPr="00590C2F" w:rsidRDefault="00AD6A94" w:rsidP="00DA1712">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r w:rsidRPr="00590C2F">
              <w:rPr>
                <w:rFonts w:ascii="Calibri" w:eastAsia="Times New Roman" w:hAnsi="Calibri" w:cs="Times New Roman"/>
                <w:sz w:val="18"/>
                <w:lang w:eastAsia="en-GB"/>
              </w:rPr>
              <w:t>2017</w:t>
            </w:r>
          </w:p>
        </w:tc>
        <w:tc>
          <w:tcPr>
            <w:tcW w:w="221" w:type="pct"/>
            <w:tcBorders>
              <w:top w:val="single" w:sz="8" w:space="0" w:color="000000" w:themeColor="text1"/>
            </w:tcBorders>
            <w:vAlign w:val="center"/>
          </w:tcPr>
          <w:p w:rsidR="00AD6A94" w:rsidRPr="00590C2F" w:rsidRDefault="00AD6A94" w:rsidP="00DA1712">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r w:rsidRPr="00590C2F">
              <w:rPr>
                <w:rFonts w:ascii="Calibri" w:eastAsia="Times New Roman" w:hAnsi="Calibri" w:cs="Times New Roman"/>
                <w:sz w:val="18"/>
                <w:lang w:eastAsia="en-GB"/>
              </w:rPr>
              <w:t>…</w:t>
            </w:r>
          </w:p>
        </w:tc>
        <w:tc>
          <w:tcPr>
            <w:tcW w:w="660" w:type="pct"/>
            <w:tcBorders>
              <w:top w:val="single" w:sz="8" w:space="0" w:color="000000" w:themeColor="text1"/>
              <w:right w:val="nil"/>
            </w:tcBorders>
            <w:noWrap/>
            <w:vAlign w:val="center"/>
            <w:hideMark/>
          </w:tcPr>
          <w:p w:rsidR="00AD6A94" w:rsidRPr="00590C2F" w:rsidRDefault="00AD6A94" w:rsidP="00DA1712">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lang w:eastAsia="en-GB"/>
              </w:rPr>
            </w:pPr>
            <w:r w:rsidRPr="00590C2F">
              <w:rPr>
                <w:rFonts w:ascii="Calibri" w:eastAsia="Times New Roman" w:hAnsi="Calibri" w:cs="Times New Roman"/>
                <w:sz w:val="18"/>
                <w:lang w:eastAsia="en-GB"/>
              </w:rPr>
              <w:t>2025</w:t>
            </w:r>
          </w:p>
        </w:tc>
      </w:tr>
      <w:tr w:rsidR="00AD6A94" w:rsidRPr="00E30211" w:rsidTr="002918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tcBorders>
              <w:left w:val="nil"/>
            </w:tcBorders>
            <w:noWrap/>
            <w:vAlign w:val="center"/>
            <w:hideMark/>
          </w:tcPr>
          <w:p w:rsidR="00AD6A94" w:rsidRPr="00E30211" w:rsidRDefault="00AD6A94" w:rsidP="00DA1712">
            <w:pPr>
              <w:spacing w:line="360" w:lineRule="auto"/>
              <w:ind w:firstLine="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Projected M 65-74</w:t>
            </w:r>
            <w:r>
              <w:rPr>
                <w:rFonts w:ascii="Calibri" w:eastAsia="Times New Roman" w:hAnsi="Calibri" w:cs="Times New Roman"/>
                <w:color w:val="000000"/>
                <w:sz w:val="18"/>
                <w:lang w:eastAsia="en-GB"/>
              </w:rPr>
              <w:t xml:space="preserve"> (ONS)</w:t>
            </w:r>
          </w:p>
        </w:tc>
        <w:tc>
          <w:tcPr>
            <w:tcW w:w="741" w:type="pct"/>
            <w:vAlign w:val="center"/>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p>
        </w:tc>
        <w:tc>
          <w:tcPr>
            <w:tcW w:w="618"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2,541,495</w:t>
            </w:r>
          </w:p>
        </w:tc>
        <w:tc>
          <w:tcPr>
            <w:tcW w:w="660"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2,602,704</w:t>
            </w:r>
          </w:p>
        </w:tc>
        <w:tc>
          <w:tcPr>
            <w:tcW w:w="660"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2,642,573</w:t>
            </w:r>
          </w:p>
        </w:tc>
        <w:tc>
          <w:tcPr>
            <w:tcW w:w="221" w:type="pct"/>
            <w:vAlign w:val="center"/>
          </w:tcPr>
          <w:p w:rsidR="00AD6A94" w:rsidRPr="002D3540"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sz w:val="18"/>
                <w:lang w:eastAsia="en-GB"/>
              </w:rPr>
              <w:t>…</w:t>
            </w:r>
          </w:p>
        </w:tc>
        <w:tc>
          <w:tcPr>
            <w:tcW w:w="660" w:type="pct"/>
            <w:tcBorders>
              <w:right w:val="nil"/>
            </w:tcBorders>
            <w:noWrap/>
            <w:vAlign w:val="center"/>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2D3540">
              <w:rPr>
                <w:rFonts w:ascii="Calibri" w:eastAsia="Times New Roman" w:hAnsi="Calibri" w:cs="Times New Roman"/>
                <w:color w:val="000000"/>
                <w:sz w:val="18"/>
                <w:lang w:eastAsia="en-GB"/>
              </w:rPr>
              <w:t>2,733,938</w:t>
            </w:r>
          </w:p>
        </w:tc>
      </w:tr>
      <w:tr w:rsidR="00DA1712" w:rsidRPr="00E30211" w:rsidTr="0029189A">
        <w:trPr>
          <w:trHeight w:val="300"/>
        </w:trPr>
        <w:tc>
          <w:tcPr>
            <w:cnfStyle w:val="001000000000" w:firstRow="0" w:lastRow="0" w:firstColumn="1" w:lastColumn="0" w:oddVBand="0" w:evenVBand="0" w:oddHBand="0" w:evenHBand="0" w:firstRowFirstColumn="0" w:firstRowLastColumn="0" w:lastRowFirstColumn="0" w:lastRowLastColumn="0"/>
            <w:tcW w:w="2182" w:type="pct"/>
            <w:gridSpan w:val="2"/>
            <w:tcBorders>
              <w:left w:val="nil"/>
            </w:tcBorders>
            <w:noWrap/>
            <w:vAlign w:val="center"/>
            <w:hideMark/>
          </w:tcPr>
          <w:p w:rsidR="00DA1712" w:rsidRPr="00E30211" w:rsidRDefault="00DA1712" w:rsidP="00DA1712">
            <w:pPr>
              <w:spacing w:line="360" w:lineRule="auto"/>
              <w:ind w:firstLine="0"/>
              <w:jc w:val="center"/>
              <w:rPr>
                <w:rFonts w:ascii="Calibri" w:eastAsia="Times New Roman" w:hAnsi="Calibri" w:cs="Times New Roman"/>
                <w:color w:val="000000"/>
                <w:sz w:val="18"/>
                <w:lang w:eastAsia="en-GB"/>
              </w:rPr>
            </w:pPr>
            <w:r>
              <w:rPr>
                <w:rFonts w:ascii="Calibri" w:eastAsia="Times New Roman" w:hAnsi="Calibri" w:cs="Times New Roman"/>
                <w:sz w:val="18"/>
                <w:lang w:eastAsia="en-GB"/>
              </w:rPr>
              <w:t>Proportion</w:t>
            </w:r>
            <w:r>
              <w:rPr>
                <w:rFonts w:ascii="Calibri" w:eastAsia="Times New Roman" w:hAnsi="Calibri" w:cs="Times New Roman"/>
                <w:color w:val="000000"/>
                <w:sz w:val="18"/>
                <w:lang w:eastAsia="en-GB"/>
              </w:rPr>
              <w:t xml:space="preserve"> estimates by IMDQ (Our calculations, </w:t>
            </w:r>
            <w:r>
              <w:rPr>
                <w:rFonts w:ascii="Calibri" w:eastAsia="Times New Roman" w:hAnsi="Calibri" w:cs="Times New Roman"/>
                <w:sz w:val="18"/>
                <w:lang w:eastAsia="en-GB"/>
              </w:rPr>
              <w:t>see above</w:t>
            </w:r>
            <w:r>
              <w:rPr>
                <w:rFonts w:ascii="Calibri" w:eastAsia="Times New Roman" w:hAnsi="Calibri" w:cs="Times New Roman"/>
                <w:color w:val="000000"/>
                <w:sz w:val="18"/>
                <w:lang w:eastAsia="en-GB"/>
              </w:rPr>
              <w:t>)</w:t>
            </w:r>
          </w:p>
        </w:tc>
        <w:tc>
          <w:tcPr>
            <w:tcW w:w="618" w:type="pct"/>
            <w:noWrap/>
            <w:vAlign w:val="center"/>
            <w:hideMark/>
          </w:tcPr>
          <w:p w:rsidR="00DA1712" w:rsidRPr="00E30211" w:rsidRDefault="00DA1712"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p>
        </w:tc>
        <w:tc>
          <w:tcPr>
            <w:tcW w:w="660" w:type="pct"/>
            <w:noWrap/>
            <w:vAlign w:val="center"/>
            <w:hideMark/>
          </w:tcPr>
          <w:p w:rsidR="00DA1712" w:rsidRPr="00E30211" w:rsidRDefault="00DA1712"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p>
        </w:tc>
        <w:tc>
          <w:tcPr>
            <w:tcW w:w="660" w:type="pct"/>
            <w:noWrap/>
            <w:vAlign w:val="center"/>
            <w:hideMark/>
          </w:tcPr>
          <w:p w:rsidR="00DA1712" w:rsidRPr="00E30211" w:rsidRDefault="00DA1712"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p>
        </w:tc>
        <w:tc>
          <w:tcPr>
            <w:tcW w:w="221" w:type="pct"/>
            <w:vAlign w:val="center"/>
          </w:tcPr>
          <w:p w:rsidR="00DA1712" w:rsidRPr="00E30211" w:rsidRDefault="00DA1712"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p>
        </w:tc>
        <w:tc>
          <w:tcPr>
            <w:tcW w:w="660" w:type="pct"/>
            <w:tcBorders>
              <w:right w:val="nil"/>
            </w:tcBorders>
            <w:noWrap/>
            <w:vAlign w:val="center"/>
          </w:tcPr>
          <w:p w:rsidR="00DA1712" w:rsidRPr="00E30211" w:rsidRDefault="00DA1712"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p>
        </w:tc>
      </w:tr>
      <w:tr w:rsidR="00AD6A94" w:rsidRPr="00E30211" w:rsidTr="002918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tcBorders>
              <w:left w:val="nil"/>
            </w:tcBorders>
            <w:noWrap/>
            <w:vAlign w:val="center"/>
            <w:hideMark/>
          </w:tcPr>
          <w:p w:rsidR="00AD6A94" w:rsidRPr="00E30211" w:rsidRDefault="00AD6A94" w:rsidP="00DA1712">
            <w:pPr>
              <w:spacing w:line="360" w:lineRule="auto"/>
              <w:ind w:firstLine="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5</w:t>
            </w:r>
          </w:p>
        </w:tc>
        <w:tc>
          <w:tcPr>
            <w:tcW w:w="741" w:type="pct"/>
            <w:vAlign w:val="center"/>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0.144</w:t>
            </w:r>
          </w:p>
        </w:tc>
        <w:tc>
          <w:tcPr>
            <w:tcW w:w="618"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364,926</w:t>
            </w:r>
          </w:p>
        </w:tc>
        <w:tc>
          <w:tcPr>
            <w:tcW w:w="660"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373,715</w:t>
            </w:r>
          </w:p>
        </w:tc>
        <w:tc>
          <w:tcPr>
            <w:tcW w:w="660"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379,439</w:t>
            </w:r>
          </w:p>
        </w:tc>
        <w:tc>
          <w:tcPr>
            <w:tcW w:w="221" w:type="pct"/>
            <w:vAlign w:val="center"/>
          </w:tcPr>
          <w:p w:rsidR="00AD6A94"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sz w:val="18"/>
                <w:lang w:eastAsia="en-GB"/>
              </w:rPr>
              <w:t>…</w:t>
            </w:r>
          </w:p>
        </w:tc>
        <w:tc>
          <w:tcPr>
            <w:tcW w:w="660" w:type="pct"/>
            <w:tcBorders>
              <w:right w:val="nil"/>
            </w:tcBorders>
            <w:noWrap/>
            <w:vAlign w:val="center"/>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2D3540">
              <w:rPr>
                <w:rFonts w:ascii="Calibri" w:eastAsia="Times New Roman" w:hAnsi="Calibri" w:cs="Times New Roman"/>
                <w:color w:val="000000"/>
                <w:sz w:val="18"/>
                <w:lang w:eastAsia="en-GB"/>
              </w:rPr>
              <w:t>392,558</w:t>
            </w:r>
          </w:p>
        </w:tc>
      </w:tr>
      <w:tr w:rsidR="00AD6A94" w:rsidRPr="00E30211" w:rsidTr="0029189A">
        <w:trPr>
          <w:trHeight w:val="300"/>
        </w:trPr>
        <w:tc>
          <w:tcPr>
            <w:cnfStyle w:val="001000000000" w:firstRow="0" w:lastRow="0" w:firstColumn="1" w:lastColumn="0" w:oddVBand="0" w:evenVBand="0" w:oddHBand="0" w:evenHBand="0" w:firstRowFirstColumn="0" w:firstRowLastColumn="0" w:lastRowFirstColumn="0" w:lastRowLastColumn="0"/>
            <w:tcW w:w="1441" w:type="pct"/>
            <w:tcBorders>
              <w:left w:val="nil"/>
            </w:tcBorders>
            <w:noWrap/>
            <w:vAlign w:val="center"/>
            <w:hideMark/>
          </w:tcPr>
          <w:p w:rsidR="00AD6A94" w:rsidRPr="00E30211" w:rsidRDefault="00AD6A94" w:rsidP="00DA1712">
            <w:pPr>
              <w:spacing w:line="360" w:lineRule="auto"/>
              <w:ind w:firstLine="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4</w:t>
            </w:r>
          </w:p>
        </w:tc>
        <w:tc>
          <w:tcPr>
            <w:tcW w:w="741" w:type="pct"/>
            <w:vAlign w:val="center"/>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0.172</w:t>
            </w:r>
          </w:p>
        </w:tc>
        <w:tc>
          <w:tcPr>
            <w:tcW w:w="618" w:type="pct"/>
            <w:noWrap/>
            <w:vAlign w:val="center"/>
            <w:hideMark/>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437,155</w:t>
            </w:r>
          </w:p>
        </w:tc>
        <w:tc>
          <w:tcPr>
            <w:tcW w:w="660" w:type="pct"/>
            <w:noWrap/>
            <w:vAlign w:val="center"/>
            <w:hideMark/>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447,684</w:t>
            </w:r>
          </w:p>
        </w:tc>
        <w:tc>
          <w:tcPr>
            <w:tcW w:w="660" w:type="pct"/>
            <w:noWrap/>
            <w:vAlign w:val="center"/>
            <w:hideMark/>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454,541</w:t>
            </w:r>
          </w:p>
        </w:tc>
        <w:tc>
          <w:tcPr>
            <w:tcW w:w="221" w:type="pct"/>
            <w:vAlign w:val="center"/>
          </w:tcPr>
          <w:p w:rsidR="00AD6A94"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sz w:val="18"/>
                <w:lang w:eastAsia="en-GB"/>
              </w:rPr>
              <w:t>…</w:t>
            </w:r>
          </w:p>
        </w:tc>
        <w:tc>
          <w:tcPr>
            <w:tcW w:w="660" w:type="pct"/>
            <w:tcBorders>
              <w:right w:val="nil"/>
            </w:tcBorders>
            <w:noWrap/>
            <w:vAlign w:val="center"/>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sidRPr="002D3540">
              <w:rPr>
                <w:rFonts w:ascii="Calibri" w:eastAsia="Times New Roman" w:hAnsi="Calibri" w:cs="Times New Roman"/>
                <w:color w:val="000000"/>
                <w:sz w:val="18"/>
                <w:lang w:eastAsia="en-GB"/>
              </w:rPr>
              <w:t>470,257</w:t>
            </w:r>
          </w:p>
        </w:tc>
      </w:tr>
      <w:tr w:rsidR="00AD6A94" w:rsidRPr="00E30211" w:rsidTr="002918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tcBorders>
              <w:left w:val="nil"/>
            </w:tcBorders>
            <w:noWrap/>
            <w:vAlign w:val="center"/>
            <w:hideMark/>
          </w:tcPr>
          <w:p w:rsidR="00AD6A94" w:rsidRPr="00E30211" w:rsidRDefault="00AD6A94" w:rsidP="00DA1712">
            <w:pPr>
              <w:spacing w:line="360" w:lineRule="auto"/>
              <w:ind w:firstLine="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3</w:t>
            </w:r>
          </w:p>
        </w:tc>
        <w:tc>
          <w:tcPr>
            <w:tcW w:w="741" w:type="pct"/>
            <w:vAlign w:val="center"/>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0.214</w:t>
            </w:r>
          </w:p>
        </w:tc>
        <w:tc>
          <w:tcPr>
            <w:tcW w:w="618"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544,500</w:t>
            </w:r>
          </w:p>
        </w:tc>
        <w:tc>
          <w:tcPr>
            <w:tcW w:w="660"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557,614</w:t>
            </w:r>
          </w:p>
        </w:tc>
        <w:tc>
          <w:tcPr>
            <w:tcW w:w="660"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566,155</w:t>
            </w:r>
          </w:p>
        </w:tc>
        <w:tc>
          <w:tcPr>
            <w:tcW w:w="221" w:type="pct"/>
            <w:vAlign w:val="center"/>
          </w:tcPr>
          <w:p w:rsidR="00AD6A94"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sz w:val="18"/>
                <w:lang w:eastAsia="en-GB"/>
              </w:rPr>
              <w:t>…</w:t>
            </w:r>
          </w:p>
        </w:tc>
        <w:tc>
          <w:tcPr>
            <w:tcW w:w="660" w:type="pct"/>
            <w:tcBorders>
              <w:right w:val="nil"/>
            </w:tcBorders>
            <w:noWrap/>
            <w:vAlign w:val="center"/>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2D3540">
              <w:rPr>
                <w:rFonts w:ascii="Calibri" w:eastAsia="Times New Roman" w:hAnsi="Calibri" w:cs="Times New Roman"/>
                <w:color w:val="000000"/>
                <w:sz w:val="18"/>
                <w:lang w:eastAsia="en-GB"/>
              </w:rPr>
              <w:t>585,730</w:t>
            </w:r>
          </w:p>
        </w:tc>
      </w:tr>
      <w:tr w:rsidR="00AD6A94" w:rsidRPr="00E30211" w:rsidTr="0029189A">
        <w:trPr>
          <w:trHeight w:val="300"/>
        </w:trPr>
        <w:tc>
          <w:tcPr>
            <w:cnfStyle w:val="001000000000" w:firstRow="0" w:lastRow="0" w:firstColumn="1" w:lastColumn="0" w:oddVBand="0" w:evenVBand="0" w:oddHBand="0" w:evenHBand="0" w:firstRowFirstColumn="0" w:firstRowLastColumn="0" w:lastRowFirstColumn="0" w:lastRowLastColumn="0"/>
            <w:tcW w:w="1441" w:type="pct"/>
            <w:tcBorders>
              <w:left w:val="nil"/>
            </w:tcBorders>
            <w:noWrap/>
            <w:vAlign w:val="center"/>
            <w:hideMark/>
          </w:tcPr>
          <w:p w:rsidR="00AD6A94" w:rsidRPr="00E30211" w:rsidRDefault="00AD6A94" w:rsidP="00DA1712">
            <w:pPr>
              <w:spacing w:line="360" w:lineRule="auto"/>
              <w:ind w:firstLine="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2</w:t>
            </w:r>
          </w:p>
        </w:tc>
        <w:tc>
          <w:tcPr>
            <w:tcW w:w="741" w:type="pct"/>
            <w:vAlign w:val="center"/>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0.237</w:t>
            </w:r>
          </w:p>
        </w:tc>
        <w:tc>
          <w:tcPr>
            <w:tcW w:w="618" w:type="pct"/>
            <w:noWrap/>
            <w:vAlign w:val="center"/>
            <w:hideMark/>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602,182</w:t>
            </w:r>
          </w:p>
        </w:tc>
        <w:tc>
          <w:tcPr>
            <w:tcW w:w="660" w:type="pct"/>
            <w:noWrap/>
            <w:vAlign w:val="center"/>
            <w:hideMark/>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616,685</w:t>
            </w:r>
          </w:p>
        </w:tc>
        <w:tc>
          <w:tcPr>
            <w:tcW w:w="660" w:type="pct"/>
            <w:noWrap/>
            <w:vAlign w:val="center"/>
            <w:hideMark/>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626,131</w:t>
            </w:r>
          </w:p>
        </w:tc>
        <w:tc>
          <w:tcPr>
            <w:tcW w:w="221" w:type="pct"/>
            <w:vAlign w:val="center"/>
          </w:tcPr>
          <w:p w:rsidR="00AD6A94"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sz w:val="18"/>
                <w:lang w:eastAsia="en-GB"/>
              </w:rPr>
              <w:t>…</w:t>
            </w:r>
          </w:p>
        </w:tc>
        <w:tc>
          <w:tcPr>
            <w:tcW w:w="660" w:type="pct"/>
            <w:tcBorders>
              <w:right w:val="nil"/>
            </w:tcBorders>
            <w:noWrap/>
            <w:vAlign w:val="center"/>
          </w:tcPr>
          <w:p w:rsidR="00AD6A94" w:rsidRPr="00E30211" w:rsidRDefault="00AD6A94" w:rsidP="00DA1712">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eastAsia="en-GB"/>
              </w:rPr>
            </w:pPr>
            <w:r w:rsidRPr="002D3540">
              <w:rPr>
                <w:rFonts w:ascii="Calibri" w:eastAsia="Times New Roman" w:hAnsi="Calibri" w:cs="Times New Roman"/>
                <w:color w:val="000000"/>
                <w:sz w:val="18"/>
                <w:lang w:eastAsia="en-GB"/>
              </w:rPr>
              <w:t>647,780</w:t>
            </w:r>
          </w:p>
        </w:tc>
      </w:tr>
      <w:tr w:rsidR="00AD6A94" w:rsidRPr="00E30211" w:rsidTr="002918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tcBorders>
              <w:left w:val="nil"/>
            </w:tcBorders>
            <w:noWrap/>
            <w:vAlign w:val="center"/>
            <w:hideMark/>
          </w:tcPr>
          <w:p w:rsidR="00AD6A94" w:rsidRPr="00E30211" w:rsidRDefault="00AD6A94" w:rsidP="00DA1712">
            <w:pPr>
              <w:spacing w:line="360" w:lineRule="auto"/>
              <w:ind w:firstLine="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1</w:t>
            </w:r>
          </w:p>
        </w:tc>
        <w:tc>
          <w:tcPr>
            <w:tcW w:w="741" w:type="pct"/>
            <w:vAlign w:val="center"/>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0.233</w:t>
            </w:r>
          </w:p>
        </w:tc>
        <w:tc>
          <w:tcPr>
            <w:tcW w:w="618"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592,732</w:t>
            </w:r>
          </w:p>
        </w:tc>
        <w:tc>
          <w:tcPr>
            <w:tcW w:w="660"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607,007</w:t>
            </w:r>
          </w:p>
        </w:tc>
        <w:tc>
          <w:tcPr>
            <w:tcW w:w="660" w:type="pct"/>
            <w:noWrap/>
            <w:vAlign w:val="center"/>
            <w:hideMark/>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E30211">
              <w:rPr>
                <w:rFonts w:ascii="Calibri" w:eastAsia="Times New Roman" w:hAnsi="Calibri" w:cs="Times New Roman"/>
                <w:color w:val="000000"/>
                <w:sz w:val="18"/>
                <w:lang w:eastAsia="en-GB"/>
              </w:rPr>
              <w:t>616,306</w:t>
            </w:r>
          </w:p>
        </w:tc>
        <w:tc>
          <w:tcPr>
            <w:tcW w:w="221" w:type="pct"/>
            <w:vAlign w:val="center"/>
          </w:tcPr>
          <w:p w:rsidR="00AD6A94"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Pr>
                <w:rFonts w:ascii="Calibri" w:eastAsia="Times New Roman" w:hAnsi="Calibri" w:cs="Times New Roman"/>
                <w:sz w:val="18"/>
                <w:lang w:eastAsia="en-GB"/>
              </w:rPr>
              <w:t>…</w:t>
            </w:r>
          </w:p>
        </w:tc>
        <w:tc>
          <w:tcPr>
            <w:tcW w:w="660" w:type="pct"/>
            <w:tcBorders>
              <w:right w:val="nil"/>
            </w:tcBorders>
            <w:noWrap/>
            <w:vAlign w:val="center"/>
          </w:tcPr>
          <w:p w:rsidR="00AD6A94" w:rsidRPr="00E30211" w:rsidRDefault="00AD6A94" w:rsidP="00DA1712">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eastAsia="en-GB"/>
              </w:rPr>
            </w:pPr>
            <w:r w:rsidRPr="002D3540">
              <w:rPr>
                <w:rFonts w:ascii="Calibri" w:eastAsia="Times New Roman" w:hAnsi="Calibri" w:cs="Times New Roman"/>
                <w:color w:val="000000"/>
                <w:sz w:val="18"/>
                <w:lang w:eastAsia="en-GB"/>
              </w:rPr>
              <w:t>637,614</w:t>
            </w:r>
          </w:p>
        </w:tc>
      </w:tr>
    </w:tbl>
    <w:p w:rsidR="00AD6A94" w:rsidRDefault="00AD6A94" w:rsidP="00804D14">
      <w:pPr>
        <w:spacing w:line="360" w:lineRule="auto"/>
        <w:ind w:firstLine="0"/>
      </w:pPr>
      <w:r>
        <w:t xml:space="preserve"> </w:t>
      </w:r>
    </w:p>
    <w:p w:rsidR="00AD6A94" w:rsidRDefault="00F40B68" w:rsidP="00F40B68">
      <w:pPr>
        <w:pStyle w:val="Heading2"/>
      </w:pPr>
      <w:r>
        <w:t>D</w:t>
      </w:r>
      <w:r w:rsidR="00AD6A94">
        <w:t>ata sources</w:t>
      </w:r>
    </w:p>
    <w:p w:rsidR="00F40B68" w:rsidRPr="00F40B68" w:rsidRDefault="00F40B68" w:rsidP="00F40B68">
      <w:pPr>
        <w:ind w:firstLine="0"/>
      </w:pPr>
      <w:r>
        <w:t>For the calculation above we used the data sources below:</w:t>
      </w:r>
    </w:p>
    <w:p w:rsidR="00AD6A94" w:rsidRDefault="00AD6A94" w:rsidP="00804D14">
      <w:pPr>
        <w:spacing w:line="360" w:lineRule="auto"/>
        <w:ind w:firstLine="0"/>
      </w:pPr>
      <w:r>
        <w:lastRenderedPageBreak/>
        <w:t>“</w:t>
      </w:r>
      <w:r w:rsidRPr="00E30211">
        <w:t>Number of deaths and populations broken down by sex, year, the adjusted IMD 2010 quintiles of English Lower Super Output Areas and age group, 2002-2013</w:t>
      </w:r>
      <w:r>
        <w:t xml:space="preserve">”. Available with reference number 003497 at </w:t>
      </w:r>
      <w:hyperlink r:id="rId4" w:history="1">
        <w:r w:rsidRPr="00F36A7E">
          <w:rPr>
            <w:rStyle w:val="Hyperlink"/>
          </w:rPr>
          <w:t>http://www.ons.gov.uk/ons/about-ons/business-transparency/freedom-of-information/what-can-i-request/published-ad-hoc-data/health/november-2014/index.html</w:t>
        </w:r>
      </w:hyperlink>
      <w:r>
        <w:t xml:space="preserve"> [26 November 2014]</w:t>
      </w:r>
    </w:p>
    <w:p w:rsidR="00AD6A94" w:rsidRDefault="00AD6A94" w:rsidP="00804D14">
      <w:pPr>
        <w:spacing w:line="360" w:lineRule="auto"/>
        <w:ind w:firstLine="0"/>
      </w:pPr>
      <w:r>
        <w:t>“</w:t>
      </w:r>
      <w:r w:rsidRPr="00E30211">
        <w:t>National Population Projections, 2012-based extra variants</w:t>
      </w:r>
      <w:r>
        <w:t xml:space="preserve">”. Available from: </w:t>
      </w:r>
      <w:hyperlink r:id="rId5" w:history="1">
        <w:r w:rsidRPr="00F36A7E">
          <w:rPr>
            <w:rStyle w:val="Hyperlink"/>
          </w:rPr>
          <w:t>http://www.ons.gov.uk/ons/rel/npp/national-population-projections/2012-based-extra-variants/index.html</w:t>
        </w:r>
      </w:hyperlink>
      <w:r>
        <w:t xml:space="preserve"> ; Specifically, the following ZIP file [caution: might download automatically] : </w:t>
      </w:r>
      <w:hyperlink r:id="rId6" w:history="1">
        <w:r w:rsidRPr="00F36A7E">
          <w:rPr>
            <w:rStyle w:val="Hyperlink"/>
          </w:rPr>
          <w:t>http://www.ons.gov.uk/ons/rel/npp/national-population-projections/2012-based-extra-variants/rft-table-z8-zipped-population-data-files---england.zip</w:t>
        </w:r>
      </w:hyperlink>
    </w:p>
    <w:p w:rsidR="00AD6A94" w:rsidRDefault="00AD6A94" w:rsidP="00804D14">
      <w:pPr>
        <w:pStyle w:val="Heading1"/>
      </w:pPr>
      <w:r>
        <w:t>Health Outcomes</w:t>
      </w:r>
    </w:p>
    <w:p w:rsidR="00AD6A94" w:rsidRDefault="00AD6A94" w:rsidP="00804D14">
      <w:pPr>
        <w:spacing w:line="360" w:lineRule="auto"/>
        <w:ind w:firstLine="0"/>
      </w:pPr>
      <w:r>
        <w:t xml:space="preserve">Analyses were stratified by age group (10-year bands from 35-44 to 65-74), </w:t>
      </w:r>
      <w:r w:rsidR="002D2DB8">
        <w:t>sex</w:t>
      </w:r>
      <w:r>
        <w:t xml:space="preserve">, and socioeconomic circumstance. Ages above 75 were not modelled because smoking is rare beyond this age </w:t>
      </w:r>
      <w:r w:rsidR="005F0424">
        <w:fldChar w:fldCharType="begin"/>
      </w:r>
      <w:r w:rsidR="005F0424">
        <w:instrText xml:space="preserve"> ADDIN ZOTERO_ITEM CSL_CITATION {"citationID":"mo798s5rd","properties":{"formattedCitation":"[1]","plainCitation":"[1]"},"citationItems":[{"id":1956,"uris":["http://zotero.org/users/1282898/items/QNQ94M5T"],"uri":["http://zotero.org/users/1282898/items/QNQ94M5T"],"itemData":{"id":1956,"type":"webpage","title":"Opinions and lifestyle survey, adult smoking habits in Great Britain, 2013","container-title":"Office for National Statistics","abstract":"Cigarette smoking statistics, including preliminary findings on e-cigarette use.\n\nLooks at differences in the proportion who smoke cigarettes by various demographic breakdowns, and changes over time. Also covers cigarette consumption.","URL":"http://www.ons.gov.uk/ons/rel/ghs/opinions-and-lifestyle-survey/adult-smoking-habits-in-great-britain--2013/index.html","note":"bibtex: .opinions.2014","language":"eng","author":[{"literal":"Office for National Statistics (ONS)"}],"issued":{"date-parts":[["2014",11,25]]},"accessed":{"date-parts":[["2015",8,3]]}}}],"schema":"https://github.com/citation-style-language/schema/raw/master/csl-citation.json"} </w:instrText>
      </w:r>
      <w:r w:rsidR="005F0424">
        <w:fldChar w:fldCharType="separate"/>
      </w:r>
      <w:r w:rsidR="005F0424" w:rsidRPr="005F0424">
        <w:rPr>
          <w:rFonts w:ascii="Calibri" w:hAnsi="Calibri"/>
        </w:rPr>
        <w:t>[1]</w:t>
      </w:r>
      <w:r w:rsidR="005F0424">
        <w:fldChar w:fldCharType="end"/>
      </w:r>
      <w:r>
        <w:t xml:space="preserve"> and because premature mortality (&lt; 75) has stronger socioeconomic gradients than total mortality </w:t>
      </w:r>
      <w:r w:rsidR="005F0424">
        <w:fldChar w:fldCharType="begin"/>
      </w:r>
      <w:r w:rsidR="005F0424">
        <w:instrText xml:space="preserve"> ADDIN ZOTERO_ITEM CSL_CITATION {"citationID":"2qdfkcen72","properties":{"formattedCitation":"[2]","plainCitation":"[2]"},"citationItems":[{"id":2401,"uris":["http://zotero.org/users/1282898/items/PU6TH4XV"],"uri":["http://zotero.org/users/1282898/items/PU6TH4XV"],"itemData":{"id":2401,"type":"article-journal","title":"OP69 Predicting future trends and inequalities in premature coronary heart disease deaths in England: modelling study","container-title":"Journal of Epidemiology and Community Health","page":"A35-A35","volume":"68","issue":"Suppl 1","source":"jech.bmj.com","abstract":"Background Coronary heart disease (CHD) deaths in the UK have plummeted since the 1970s. However, CHD remains the biggest single cause of premature mortality, particularly in deprived social groups. But have all social groups benefited equally from these declines? Or do the headline figures conceal differences in rates of decline among social strata, potentially generating conflicting views on inequalities? Our analysis therefore aimed to examine whether the rapid declines in overall CHD mortality have benefited all socio-economic groups, and explore the implications for future projections.\nMethods We used a Bayesian analysis of an age-period-cohort model for the English population with data from Office for National Statistics (ONS). We projected age-specific CHD mortality by gender and deprivation status for the period 2007–2035, using 1982–2006 as the input. We converted the age-specific values to premature CHD death rates (ages 35–74). Deprivation status was measured by Index of Multiple Deprivation quintiles, which aggregate seven types of deprivation, including health and income. We first analysed the influence of the population-level trend in premature CHD mortality on absolute inequality, and second investigated the contributions to change in relative inequality. We quantified inequality by the variance in the probability of premature death among deprivation quintiles. Furthermore, we introduced a method to analyse the contribution of each group to the change in variance over time.\nResults We found that overall mortality trends conceal heterogeneities. Our models predict more rapid declines in premature CHD death for the most affluent than for the most deprived quintiles (annualised rate of decline 2006–2025, 7.9% [95% CI 4.7–11.0%] versus 6.0% [1.9–10.0%] for men, and 6.3% [3.5–9.0%] versus 5.9% [2.2–9.5%] for women). Absolute inequality was projected to decrease by 87% (29–98%) among men and by 89% (48–98%) among women. This decrease was particularly driven by the most deprived groups, reflecting their higher premature death rates. However, relative inequality was projected to rise by 60% among men (26–107%) and by 10% (-15–42%) among women. Because premature death is declining more slowly in the most deprived, these increases are also mostly influenced by the most deprived.\nConclusion Overall, premature coronary death rates in England continue to decline steeply, regardless of deprivation status. Furthermore, absolute inequalities are decreasing, reflecting declines in the high premature mortality burden in deprived groups. However, relative inequalities are projected to widen further, reflecting slower mortality declines in the most deprived groups. We suggest that more aggressive and progressive prevention policies are urgently needed.","DOI":"10.1136/jech-2014-204726.72","ISSN":", 1470-2738","note":"bibtex: allen.op69.2014","shortTitle":"OP69 Predicting future trends and inequalities in premature coronary heart disease deaths in England","journalAbbreviation":"J Epidemiol Community Health","language":"en","author":[{"family":"Allen","given":"K."},{"family":"Gillespie","given":"D. O. S."},{"family":"Castillo","given":"M. Guzman"},{"family":"Diggle","given":"P. J."},{"family":"Capewell","given":"S."},{"family":"O’Flaherty","given":"M."}],"issued":{"date-parts":[["2014",9,1]]}}}],"schema":"https://github.com/citation-style-language/schema/raw/master/csl-citation.json"} </w:instrText>
      </w:r>
      <w:r w:rsidR="005F0424">
        <w:fldChar w:fldCharType="separate"/>
      </w:r>
      <w:r w:rsidR="005F0424" w:rsidRPr="005F0424">
        <w:rPr>
          <w:rFonts w:ascii="Calibri" w:hAnsi="Calibri"/>
        </w:rPr>
        <w:t>[2]</w:t>
      </w:r>
      <w:r w:rsidR="005F0424">
        <w:fldChar w:fldCharType="end"/>
      </w:r>
      <w:r>
        <w:t xml:space="preserve">. For socioeconomic circumstance, we used quintiles of the Index of Multiple Deprivation (IMDQ) </w:t>
      </w:r>
      <w:r w:rsidR="005F0424">
        <w:fldChar w:fldCharType="begin"/>
      </w:r>
      <w:r w:rsidR="005F0424">
        <w:instrText xml:space="preserve"> ADDIN ZOTERO_ITEM CSL_CITATION {"citationID":"1uk5615bru","properties":{"formattedCitation":"[3]","plainCitation":"[3]"},"citationItems":[{"id":2062,"uris":["http://zotero.org/users/1282898/items/ZDJACSXA"],"uri":["http://zotero.org/users/1282898/items/ZDJACSXA"],"itemData":{"id":2062,"type":"report","title":"The English indices of deprivation 2010","note":"bibtex: mclennan2011english","author":[{"family":"McLennan","given":"David"},{"family":"Barnes","given":"Helen"},{"family":"Noble","given":"Michael"},{"family":"Davies","given":"Joanna"},{"family":"Garratt","given":"Elisabeth"},{"family":"Dibben","given":"Chris"}],"issued":{"date-parts":[["2011"]]}}}],"schema":"https://github.com/citation-style-language/schema/raw/master/csl-citation.json"} </w:instrText>
      </w:r>
      <w:r w:rsidR="005F0424">
        <w:fldChar w:fldCharType="separate"/>
      </w:r>
      <w:r w:rsidR="005F0424" w:rsidRPr="005F0424">
        <w:rPr>
          <w:rFonts w:ascii="Calibri" w:hAnsi="Calibri"/>
        </w:rPr>
        <w:t>[3]</w:t>
      </w:r>
      <w:r w:rsidR="005F0424">
        <w:fldChar w:fldCharType="end"/>
      </w:r>
      <w:r>
        <w:t xml:space="preserve"> based on Public Health England’s 2010 adjusted IMD </w:t>
      </w:r>
      <w:r w:rsidR="005F0424">
        <w:fldChar w:fldCharType="begin"/>
      </w:r>
      <w:r w:rsidR="005F0424">
        <w:instrText xml:space="preserve"> ADDIN ZOTERO_ITEM CSL_CITATION {"citationID":"28pcimsrnd","properties":{"formattedCitation":"[4]","plainCitation":"[4]"},"citationItems":[{"id":2373,"uris":["http://zotero.org/users/1282898/items/ETES9Z7C"],"uri":["http://zotero.org/users/1282898/items/ETES9Z7C"],"itemData":{"id":2373,"type":"webpage","title":"Adjusted IMD 2010 scores for 2011 LSOAs","genre":"Dataset","abstract":"IMD 2010 scores adjusted to align with 2011 LSOAs","URL":"http://www.apho.org.uk/resource/item.aspx?RID=125887","note":"bibtex: allanbaker.adjusted.2013","author":[{"literal":"Public Health England"}],"issued":{"date-parts":[["2013",7,11]]},"accessed":{"date-parts":[["2015",8,5]]}}}],"schema":"https://github.com/citation-style-language/schema/raw/master/csl-citation.json"} </w:instrText>
      </w:r>
      <w:r w:rsidR="005F0424">
        <w:fldChar w:fldCharType="separate"/>
      </w:r>
      <w:r w:rsidR="005F0424" w:rsidRPr="005F0424">
        <w:rPr>
          <w:rFonts w:ascii="Calibri" w:hAnsi="Calibri"/>
        </w:rPr>
        <w:t>[4]</w:t>
      </w:r>
      <w:r w:rsidR="005F0424">
        <w:fldChar w:fldCharType="end"/>
      </w:r>
      <w:r>
        <w:t>.</w:t>
      </w:r>
    </w:p>
    <w:p w:rsidR="00AD6A94" w:rsidRDefault="00AD6A94" w:rsidP="00804D14">
      <w:pPr>
        <w:spacing w:line="360" w:lineRule="auto"/>
        <w:ind w:firstLine="0"/>
      </w:pPr>
      <w:r>
        <w:t>For the time horizon 2015</w:t>
      </w:r>
      <w:r w:rsidR="005F0424">
        <w:t xml:space="preserve"> </w:t>
      </w:r>
      <w:r>
        <w:t>-</w:t>
      </w:r>
      <w:r w:rsidR="005F0424">
        <w:t xml:space="preserve"> </w:t>
      </w:r>
      <w:r>
        <w:t>25, baseline CHD mortality was estimated based on past trends from 2002</w:t>
      </w:r>
      <w:r w:rsidR="005F0424">
        <w:t xml:space="preserve"> </w:t>
      </w:r>
      <w:r>
        <w:t>-</w:t>
      </w:r>
      <w:r w:rsidR="005F0424">
        <w:t xml:space="preserve"> </w:t>
      </w:r>
      <w:r>
        <w:t xml:space="preserve">2013 (ONS ad hoc data request) by age, </w:t>
      </w:r>
      <w:r w:rsidR="002D2DB8">
        <w:t>sex</w:t>
      </w:r>
      <w:r>
        <w:t xml:space="preserve">, and IMDQ using an age-period-cohort model </w:t>
      </w:r>
      <w:r w:rsidR="005F0424">
        <w:fldChar w:fldCharType="begin"/>
      </w:r>
      <w:r w:rsidR="005F0424">
        <w:instrText xml:space="preserve"> ADDIN ZOTERO_ITEM CSL_CITATION {"citationID":"j2veofj0a","properties":{"formattedCitation":"[5, 6]","plainCitation":"[5, 6]"},"citationItems":[{"id":2338,"uris":["http://zotero.org/users/1282898/items/2NFQG7DF"],"uri":["http://zotero.org/users/1282898/items/2NFQG7DF"],"itemData":{"id":2338,"type":"article-journal","title":"Future declines of coronary heart disease mortality in England and Wales could counter the burden of population ageing","container-title":"PloS One","page":"e99482","volume":"9","issue":"6","source":"PubMed","abstract":"BACKGROUND: Coronary Heart Disease (CHD) remains a major cause of mortality in the United Kingdom. Yet predictions of future CHD mortality are potentially problematic due to population ageing and increase in obesity and diabetes. Here we explore future projections of CHD mortality in England &amp; Wales under two contrasting future trend assumptions.\nMETHODS: In scenario A, we used the conventional counterfactual scenario that the last-observed CHD mortality rates from 2011 would persist unchanged to 2030. The future number of deaths was calculated by applying those rates to the 2012-2030 population estimates. In scenario B, we assumed that the recent falling trend in CHD mortality rates would continue. Using Lee-Carter and Bayesian Age Period Cohort (BAPC) models, we projected the linear trends up to 2030. We validate our methods using past data to predict mortality from 2002-2011. Then, we computed the error between observed and projected values.\nRESULTS: In scenario A, assuming that 2011 mortality rates stayed constant by 2030, the number of CHD deaths would increase 62% or approximately 39,600 additional deaths. In scenario B, assuming recent declines continued, the BAPC model (the model with lowest error) suggests the number of deaths will decrease by 56%, representing approximately 36,200 fewer deaths by 2030.\nCONCLUSIONS: The decline in CHD mortality has been reasonably continuous since 1979, and there is little reason to believe it will soon halt. The commonly used assumption that mortality will remain constant from 2011 therefore appears slightly dubious. By contrast, using the BAPC model and assuming continuing mortality falls offers a more plausible prediction of future trends. Thus, despite population ageing, the number of CHD deaths might halve again between 2011 and 2030. This has implications for how the potential benefits of future cardiovascular strategies might best be calculated and presented.","DOI":"10.1371/journal.pone.0099482","ISSN":"1932-6203","note":"PMID: 24918442\nPMCID: PMC4053422 \nbibtex: guzmancastillo.future.2014","journalAbbreviation":"PLoS ONE","language":"eng","author":[{"family":"Guzman Castillo","given":"Maria"},{"family":"Gillespie","given":"Duncan O. S."},{"family":"Allen","given":"Kirk"},{"family":"Bandosz","given":"Piotr"},{"family":"Schmid","given":"Volker"},{"family":"Capewell","given":"Simon"},{"family":"O’Flaherty","given":"Martin"}],"issued":{"date-parts":[["2014"]]},"PMID":"24918442","PMCID":"PMC4053422"}},{"id":1233,"uris":["http://zotero.org/users/1282898/items/XJKWRPX4"],"uri":["http://zotero.org/users/1282898/items/XJKWRPX4"],"itemData":{"id":1233,"type":"article-journal","title":"Bayesian age-period-cohort modeling and prediction-BAMP","container-title":"J Stat Software","page":"1–15","volume":"21","issue":"8","source":"Google Scholar","author":[{"family":"Schmid","given":"Volker J."},{"family":"Held","given":"Leonhard"}],"issued":{"date-parts":[["2007"]]}}}],"schema":"https://github.com/citation-style-language/schema/raw/master/csl-citation.json"} </w:instrText>
      </w:r>
      <w:r w:rsidR="005F0424">
        <w:fldChar w:fldCharType="separate"/>
      </w:r>
      <w:r w:rsidR="005F0424" w:rsidRPr="005F0424">
        <w:rPr>
          <w:rFonts w:ascii="Calibri" w:hAnsi="Calibri"/>
        </w:rPr>
        <w:t>[5, 6]</w:t>
      </w:r>
      <w:r w:rsidR="005F0424">
        <w:fldChar w:fldCharType="end"/>
      </w:r>
      <w:r>
        <w:t>. Reductions in premature CHD mortality associated with changes in smoking prevalence were estimated using the p</w:t>
      </w:r>
      <w:r w:rsidRPr="00256550">
        <w:t xml:space="preserve">opulation attributable risk fraction </w:t>
      </w:r>
      <w:r>
        <w:t xml:space="preserve">approach </w:t>
      </w:r>
      <w:r w:rsidR="005F0424">
        <w:fldChar w:fldCharType="begin"/>
      </w:r>
      <w:r w:rsidR="005F0424">
        <w:instrText xml:space="preserve"> ADDIN ZOTERO_ITEM CSL_CITATION {"citationID":"20i8erl0ce","properties":{"formattedCitation":"[7]","plainCitation":"[7]"},"citationItems":[{"id":1149,"uris":["http://zotero.org/users/1282898/items/VHWVBDTV"],"uri":["http://zotero.org/users/1282898/items/VHWVBDTV"],"itemData":{"id":1149,"type":"article-journal","title":"Analysing recent socioeconomic trends in coronary heart disease mortality in England, 2000–2007: a population modelling study","container-title":"PLoS Med","page":"e1001237","volume":"9","issue":"6","source":"PLoS Journals","abstract":"A modeling study conducted by Madhavi Bajekal and colleagues estimates the extent to which specific risk factors and changes in uptake of treatment contributed to the declines in coronary heart disease mortality in England between 2000 and 2007, across and within socioeconomic groups.","DOI":"10.1371/journal.pmed.1001237","call-number":"0013","note":"bibtex: bajekal_analysing_2012","shortTitle":"Analysing Recent Socioeconomic Trends in Coronary Heart Disease Mortality in England, 2000–2007","journalAbbreviation":"PLoS Med","author":[{"family":"Bajekal","given":"Madhavi"},{"family":"Scholes","given":"Shaun"},{"family":"Love","given":"Hande"},{"family":"Hawkins","given":"Nathaniel"},{"family":"O’Flaherty","given":"Martin"},{"family":"Raine","given":"Rosalind"},{"family":"Capewell","given":"Simon"}],"issued":{"date-parts":[["2012",6,12]]}}}],"schema":"https://github.com/citation-style-language/schema/raw/master/csl-citation.json"} </w:instrText>
      </w:r>
      <w:r w:rsidR="005F0424">
        <w:fldChar w:fldCharType="separate"/>
      </w:r>
      <w:r w:rsidR="005F0424" w:rsidRPr="005F0424">
        <w:rPr>
          <w:rFonts w:ascii="Calibri" w:hAnsi="Calibri"/>
        </w:rPr>
        <w:t>[7]</w:t>
      </w:r>
      <w:r w:rsidR="005F0424">
        <w:fldChar w:fldCharType="end"/>
      </w:r>
      <w:r>
        <w:t xml:space="preserve"> (</w:t>
      </w:r>
      <w:r w:rsidR="005F0424">
        <w:t>e</w:t>
      </w:r>
      <w:r>
        <w:t>xample in following sub-section). Changes in premature CHD mortality were converted to absolute numbers of deaths prevented or postponed (DPP) using p</w:t>
      </w:r>
      <w:r w:rsidR="005F0424">
        <w:t>opulation projections from ONS, as d</w:t>
      </w:r>
      <w:r>
        <w:t>escribed above.</w:t>
      </w:r>
    </w:p>
    <w:p w:rsidR="00AD6A94" w:rsidRDefault="00AD6A94" w:rsidP="00804D14">
      <w:pPr>
        <w:spacing w:line="360" w:lineRule="auto"/>
        <w:ind w:firstLine="0"/>
      </w:pPr>
      <w:r>
        <w:t xml:space="preserve">The Slope Index </w:t>
      </w:r>
      <w:r w:rsidR="005F0424">
        <w:fldChar w:fldCharType="begin"/>
      </w:r>
      <w:r w:rsidR="005F0424">
        <w:instrText xml:space="preserve"> ADDIN ZOTERO_ITEM CSL_CITATION {"citationID":"277h97f7m7","properties":{"formattedCitation":"[8]","plainCitation":"[8]"},"citationItems":[{"id":90,"uris":["http://zotero.org/users/1282898/items/4CBC55XM"],"uri":["http://zotero.org/users/1282898/items/4CBC55XM"],"itemData":{"id":90,"type":"webpage","title":"WHO | Handbook on health inequality monitoring with a special focus on low- and middle-income countries","container-title":"WHO","URL":"http://www.who.int/gho/health_equity/handbook/en/","accessed":{"date-parts":[["2014",10,24]]}}}],"schema":"https://github.com/citation-style-language/schema/raw/master/csl-citation.json"} </w:instrText>
      </w:r>
      <w:r w:rsidR="005F0424">
        <w:fldChar w:fldCharType="separate"/>
      </w:r>
      <w:r w:rsidR="005F0424" w:rsidRPr="005F0424">
        <w:rPr>
          <w:rFonts w:ascii="Calibri" w:hAnsi="Calibri"/>
        </w:rPr>
        <w:t>[8]</w:t>
      </w:r>
      <w:r w:rsidR="005F0424">
        <w:fldChar w:fldCharType="end"/>
      </w:r>
      <w:r>
        <w:t xml:space="preserve"> was used to measure the inequality of premature CHD deaths. The change in slope index is based on the aggregate numbers of deaths by IMDQ under the baseline scenario compared to the scenario with policies implemented.</w:t>
      </w:r>
    </w:p>
    <w:p w:rsidR="00AD6A94" w:rsidRDefault="00AD6A94" w:rsidP="00804D14">
      <w:pPr>
        <w:spacing w:line="360" w:lineRule="auto"/>
        <w:ind w:firstLine="0"/>
      </w:pPr>
      <w:r>
        <w:t xml:space="preserve">We also calculated Life Years Gained (LYG) using a method validated for CHD </w:t>
      </w:r>
      <w:r w:rsidR="005F0424">
        <w:fldChar w:fldCharType="begin"/>
      </w:r>
      <w:r w:rsidR="005F0424">
        <w:instrText xml:space="preserve"> ADDIN ZOTERO_ITEM CSL_CITATION {"citationID":"10mndtgson","properties":{"formattedCitation":"[9]","plainCitation":"[9]"},"citationItems":[{"id":2417,"uris":["http://zotero.org/users/1282898/items/5B2RR9IJ"],"uri":["http://zotero.org/users/1282898/items/5B2RR9IJ"],"itemData":{"id":2417,"type":"article-journal","title":"Long-term survival and recurrence after acute myocardial infarction in England, 2004 to 2010","container-title":"Circulation. Cardiovascular Quality and Outcomes","page":"532-540","volume":"5","issue":"4","source":"PubMed","abstract":"BACKGROUND: There are limited population-based national data on prognosis in survivors of acute myocardial infarction (AMI), particularly on long-term survival and the risk of recurrence.\nMETHODS AND RESULTS: Record linkage of hospital and mortality data identified 387 452 individuals in England who were admitted to hospital with a main diagnosis of AMI between 2004 and 2010 and who survived for at least 30 days. Seven years after an AMI, the risk of death from any cause in survivors of first or recurrent AMI was, respectively, 2 and 3 times higher than that in the English general population of equivalent age. For all survivors of a first AMI, the risk of a second AMI was highest during the first year and the cumulative risk increased more gradually thereafter. For men, 1- and 7-year cumulative risks were 5.6% (95% confidence interval [CI], 5.5-5.7) and 13.9% (95% CI, 13.7-14.1); for women, they were 7.2% (95% CI, 7.1-7.4) and 16.2% (95% CI, 16.0-16.5). Older age, higher deprivation, no revascularization procedures, and presence of comorbidities were associated with higher recurrence risk.\nCONCLUSIONS: Survivors of both first and recurrent AMI remained at a significantly higher risk of death compared with the general population for at least 7 years after the event. For survivors of first AMI, the influence of predisposing factors for second AMI lessened with time after the initial event. The results reinforce the importance of acute clinical care and secondary prevention in improving long-term prognosis of hospitalized AMI patients.","DOI":"10.1161/CIRCOUTCOMES.111.964700","ISSN":"1941-7705","note":"PMID: 22740013 \nbibtex: smolina.longterm.2012","journalAbbreviation":"Circ Cardiovasc Qual Outcomes","language":"eng","author":[{"family":"Smolina","given":"Kate"},{"family":"Wright","given":"F. Lucy"},{"family":"Rayner","given":"Mike"},{"family":"Goldacre","given":"Michael J."}],"issued":{"date-parts":[["2012",7,1]]},"PMID":"22740013"}}],"schema":"https://github.com/citation-style-language/schema/raw/master/csl-citation.json"} </w:instrText>
      </w:r>
      <w:r w:rsidR="005F0424">
        <w:fldChar w:fldCharType="separate"/>
      </w:r>
      <w:r w:rsidR="005F0424" w:rsidRPr="005F0424">
        <w:rPr>
          <w:rFonts w:ascii="Calibri" w:hAnsi="Calibri"/>
        </w:rPr>
        <w:t>[9]</w:t>
      </w:r>
      <w:r w:rsidR="005F0424">
        <w:fldChar w:fldCharType="end"/>
      </w:r>
      <w:r>
        <w:t>.</w:t>
      </w:r>
    </w:p>
    <w:p w:rsidR="00AD6A94" w:rsidRDefault="00AD6A94" w:rsidP="00804D14">
      <w:pPr>
        <w:pStyle w:val="Heading2"/>
      </w:pPr>
      <w:r>
        <w:t>Population attributable risk fraction (PARF) approach</w:t>
      </w:r>
    </w:p>
    <w:p w:rsidR="00AD6A94" w:rsidRDefault="00AD6A94" w:rsidP="00804D14">
      <w:pPr>
        <w:spacing w:line="360" w:lineRule="auto"/>
        <w:ind w:firstLine="0"/>
      </w:pPr>
      <w:r>
        <w:t xml:space="preserve">The CHD mortality risk ratios for smoking from the 2001 Global Burden of Disease Study </w:t>
      </w:r>
      <w:r w:rsidR="005F0424">
        <w:fldChar w:fldCharType="begin"/>
      </w:r>
      <w:r w:rsidR="001666BB">
        <w:instrText xml:space="preserve"> ADDIN ZOTERO_ITEM CSL_CITATION {"citationID":"15rhgd8mi8","properties":{"formattedCitation":"[10]","plainCitation":"[10]"},"citationItems":[{"id":373,"uris":["http://zotero.org/users/1282898/items/BBTJNUB5"],"uri":["http://zotero.org/users/1282898/items/BBTJNUB5"],"itemData":{"id":373,"type":"report","title":"Comparative quantification of health risks","publisher":"World Health Organisation","publisher-place":"Geneva","event-place":"Geneva","URL":"http://www.who.int/publications/cra/en/","collection-editor":[{"family":"Ezzati","given":"Majid"},{"family":"Lopez","given":"Alan D."},{"family":"Rodgers","given":"Anthony"},{"family":"Murray","given":"Christopher J.L."}],"issued":{"date-parts":[["2004"]]}}}],"schema":"https://github.com/citation-style-language/schema/raw/master/csl-citation.json"} </w:instrText>
      </w:r>
      <w:r w:rsidR="005F0424">
        <w:fldChar w:fldCharType="separate"/>
      </w:r>
      <w:r w:rsidR="001666BB" w:rsidRPr="001666BB">
        <w:rPr>
          <w:rFonts w:ascii="Calibri" w:hAnsi="Calibri"/>
        </w:rPr>
        <w:t>[10]</w:t>
      </w:r>
      <w:r w:rsidR="005F0424">
        <w:fldChar w:fldCharType="end"/>
      </w:r>
      <w:r>
        <w:t xml:space="preserve"> were adapted to the age groups used in the IMPACT-SEC model</w:t>
      </w:r>
      <w:r w:rsidR="001666BB">
        <w:t xml:space="preserve"> </w:t>
      </w:r>
      <w:r w:rsidR="001666BB">
        <w:fldChar w:fldCharType="begin"/>
      </w:r>
      <w:r w:rsidR="001666BB">
        <w:instrText xml:space="preserve"> ADDIN ZOTERO_ITEM CSL_CITATION {"citationID":"deo654dv8","properties":{"formattedCitation":"[7]","plainCitation":"[7]"},"citationItems":[{"id":1149,"uris":["http://zotero.org/users/1282898/items/VHWVBDTV"],"uri":["http://zotero.org/users/1282898/items/VHWVBDTV"],"itemData":{"id":1149,"type":"article-journal","title":"Analysing recent socioeconomic trends in coronary heart disease mortality in England, 2000–2007: a population modelling study","container-title":"PLoS Med","page":"e1001237","volume":"9","issue":"6","source":"PLoS Journals","abstract":"A modeling study conducted by Madhavi Bajekal and colleagues estimates the extent to which specific risk factors and changes in uptake of treatment contributed to the declines in coronary heart disease mortality in England between 2000 and 2007, across and within socioeconomic groups.","DOI":"10.1371/journal.pmed.1001237","call-number":"0013","note":"bibtex: bajekal_analysing_2012","shortTitle":"Analysing Recent Socioeconomic Trends in Coronary Heart Disease Mortality in England, 2000–2007","journalAbbreviation":"PLoS Med","author":[{"family":"Bajekal","given":"Madhavi"},{"family":"Scholes","given":"Shaun"},{"family":"Love","given":"Hande"},{"family":"Hawkins","given":"Nathaniel"},{"family":"O’Flaherty","given":"Martin"},{"family":"Raine","given":"Rosalind"},{"family":"Capewell","given":"Simon"}],"issued":{"date-parts":[["2012",6,12]]}}}],"schema":"https://github.com/citation-style-language/schema/raw/master/csl-citation.json"} </w:instrText>
      </w:r>
      <w:r w:rsidR="001666BB">
        <w:fldChar w:fldCharType="separate"/>
      </w:r>
      <w:r w:rsidR="001666BB" w:rsidRPr="001666BB">
        <w:rPr>
          <w:rFonts w:ascii="Calibri" w:hAnsi="Calibri"/>
        </w:rPr>
        <w:t>[7]</w:t>
      </w:r>
      <w:r w:rsidR="001666BB">
        <w:fldChar w:fldCharType="end"/>
      </w:r>
      <w:r>
        <w:t>.</w:t>
      </w:r>
    </w:p>
    <w:p w:rsidR="00AD6A94" w:rsidRDefault="00AD6A94" w:rsidP="00804D14">
      <w:pPr>
        <w:spacing w:line="360" w:lineRule="auto"/>
        <w:ind w:firstLine="0"/>
      </w:pPr>
      <w:r>
        <w:lastRenderedPageBreak/>
        <w:t>The population attribute risk fraction (PARF) calculates the proportion by which CHD mortality would be reduced if there were no smoking in the population. Symbolically, PARF is the following:</w:t>
      </w:r>
    </w:p>
    <w:p w:rsidR="00AD6A94" w:rsidRDefault="00AD6A94" w:rsidP="00804D14">
      <w:pPr>
        <w:spacing w:line="360" w:lineRule="auto"/>
        <w:ind w:firstLine="0"/>
      </w:pPr>
      <w:proofErr w:type="spellStart"/>
      <w:r w:rsidRPr="00011AD2">
        <w:t>PARF</w:t>
      </w:r>
      <w:r w:rsidRPr="00011AD2">
        <w:rPr>
          <w:vertAlign w:val="subscript"/>
        </w:rPr>
        <w:t>ijk</w:t>
      </w:r>
      <w:proofErr w:type="spellEnd"/>
      <w:r w:rsidRPr="00011AD2">
        <w:t xml:space="preserve"> = [</w:t>
      </w:r>
      <w:proofErr w:type="spellStart"/>
      <w:r w:rsidRPr="00011AD2">
        <w:t>P</w:t>
      </w:r>
      <w:r w:rsidRPr="00011AD2">
        <w:rPr>
          <w:vertAlign w:val="subscript"/>
        </w:rPr>
        <w:t>ijk</w:t>
      </w:r>
      <w:proofErr w:type="spellEnd"/>
      <w:r w:rsidRPr="00011AD2">
        <w:t xml:space="preserve"> × (</w:t>
      </w:r>
      <w:proofErr w:type="spellStart"/>
      <w:r w:rsidRPr="00011AD2">
        <w:t>RR</w:t>
      </w:r>
      <w:r w:rsidRPr="00011AD2">
        <w:rPr>
          <w:vertAlign w:val="subscript"/>
        </w:rPr>
        <w:t>ij</w:t>
      </w:r>
      <w:proofErr w:type="spellEnd"/>
      <w:r w:rsidRPr="00011AD2">
        <w:t xml:space="preserve"> - 1)] / [1 + </w:t>
      </w:r>
      <w:proofErr w:type="spellStart"/>
      <w:r w:rsidRPr="00011AD2">
        <w:t>P</w:t>
      </w:r>
      <w:r w:rsidRPr="00011AD2">
        <w:rPr>
          <w:vertAlign w:val="subscript"/>
        </w:rPr>
        <w:t>ijk</w:t>
      </w:r>
      <w:proofErr w:type="spellEnd"/>
      <w:r w:rsidRPr="00011AD2">
        <w:t xml:space="preserve"> × (</w:t>
      </w:r>
      <w:proofErr w:type="spellStart"/>
      <w:r w:rsidRPr="00011AD2">
        <w:t>RR</w:t>
      </w:r>
      <w:r>
        <w:rPr>
          <w:vertAlign w:val="subscript"/>
        </w:rPr>
        <w:t>ij</w:t>
      </w:r>
      <w:proofErr w:type="spellEnd"/>
      <w:r w:rsidRPr="00011AD2">
        <w:t xml:space="preserve"> - 1)]</w:t>
      </w:r>
    </w:p>
    <w:p w:rsidR="00AD6A94" w:rsidRDefault="00AD6A94" w:rsidP="00804D14">
      <w:pPr>
        <w:spacing w:line="360" w:lineRule="auto"/>
        <w:ind w:firstLine="0"/>
      </w:pPr>
      <w:r>
        <w:tab/>
      </w:r>
      <w:proofErr w:type="gramStart"/>
      <w:r>
        <w:t>where</w:t>
      </w:r>
      <w:proofErr w:type="gramEnd"/>
      <w:r>
        <w:tab/>
      </w:r>
      <w:proofErr w:type="spellStart"/>
      <w:r>
        <w:t>P</w:t>
      </w:r>
      <w:r w:rsidRPr="00011AD2">
        <w:rPr>
          <w:vertAlign w:val="subscript"/>
        </w:rPr>
        <w:t>ijk</w:t>
      </w:r>
      <w:proofErr w:type="spellEnd"/>
      <w:r>
        <w:t xml:space="preserve"> is the smoking prevalence for age </w:t>
      </w:r>
      <w:proofErr w:type="spellStart"/>
      <w:r w:rsidRPr="00011AD2">
        <w:rPr>
          <w:i/>
        </w:rPr>
        <w:t>i</w:t>
      </w:r>
      <w:proofErr w:type="spellEnd"/>
      <w:r>
        <w:t xml:space="preserve">, </w:t>
      </w:r>
      <w:r w:rsidR="002D2DB8">
        <w:t>sex</w:t>
      </w:r>
      <w:r>
        <w:t xml:space="preserve"> </w:t>
      </w:r>
      <w:r w:rsidRPr="00011AD2">
        <w:rPr>
          <w:i/>
        </w:rPr>
        <w:t>j</w:t>
      </w:r>
      <w:r>
        <w:t xml:space="preserve">, and IMDQ </w:t>
      </w:r>
      <w:r w:rsidRPr="00011AD2">
        <w:rPr>
          <w:i/>
        </w:rPr>
        <w:t>k</w:t>
      </w:r>
    </w:p>
    <w:p w:rsidR="00AD6A94" w:rsidRDefault="00AD6A94" w:rsidP="00804D14">
      <w:pPr>
        <w:spacing w:line="360" w:lineRule="auto"/>
        <w:ind w:firstLine="0"/>
      </w:pPr>
      <w:r>
        <w:tab/>
      </w:r>
      <w:r>
        <w:tab/>
      </w:r>
      <w:proofErr w:type="spellStart"/>
      <w:r>
        <w:t>RR</w:t>
      </w:r>
      <w:r w:rsidRPr="00011AD2">
        <w:rPr>
          <w:vertAlign w:val="subscript"/>
        </w:rPr>
        <w:t>ij</w:t>
      </w:r>
      <w:proofErr w:type="spellEnd"/>
      <w:r>
        <w:t xml:space="preserve"> is the CHD risk ratio for age </w:t>
      </w:r>
      <w:proofErr w:type="spellStart"/>
      <w:r w:rsidRPr="00011AD2">
        <w:rPr>
          <w:i/>
        </w:rPr>
        <w:t>i</w:t>
      </w:r>
      <w:proofErr w:type="spellEnd"/>
      <w:r>
        <w:t xml:space="preserve"> and </w:t>
      </w:r>
      <w:r w:rsidR="002D2DB8">
        <w:t>sex</w:t>
      </w:r>
      <w:r>
        <w:t xml:space="preserve"> </w:t>
      </w:r>
      <w:r w:rsidRPr="00011AD2">
        <w:rPr>
          <w:i/>
        </w:rPr>
        <w:t>j</w:t>
      </w:r>
      <w:r>
        <w:t xml:space="preserve"> (assumed not to vary by IMDQ)</w:t>
      </w:r>
    </w:p>
    <w:p w:rsidR="00AD6A94" w:rsidRDefault="00AD6A94" w:rsidP="00804D14">
      <w:pPr>
        <w:spacing w:line="360" w:lineRule="auto"/>
        <w:ind w:firstLine="0"/>
      </w:pPr>
      <w:r>
        <w:t>For example, if smoking prevalence is 20% and the risk ratio is 2.0, PARF is 17%. This means 17% of CHD deaths are attributable to smoking. We are interested in how this PARF changes as a result of changes in smoking prevalence. Symbolically, this would be:</w:t>
      </w:r>
    </w:p>
    <w:p w:rsidR="00AD6A94" w:rsidRDefault="00AD6A94" w:rsidP="00804D14">
      <w:pPr>
        <w:spacing w:line="360" w:lineRule="auto"/>
        <w:ind w:firstLine="0"/>
      </w:pPr>
      <w:r>
        <w:tab/>
      </w:r>
      <w:proofErr w:type="spellStart"/>
      <w:r>
        <w:t>Δ</w:t>
      </w:r>
      <w:r w:rsidRPr="00011AD2">
        <w:t>PARF</w:t>
      </w:r>
      <w:r w:rsidRPr="00011AD2">
        <w:rPr>
          <w:vertAlign w:val="subscript"/>
        </w:rPr>
        <w:t>ijk</w:t>
      </w:r>
      <w:proofErr w:type="spellEnd"/>
      <w:r>
        <w:t xml:space="preserve"> = </w:t>
      </w:r>
      <w:proofErr w:type="spellStart"/>
      <w:r w:rsidRPr="00011AD2">
        <w:t>PARF</w:t>
      </w:r>
      <w:r w:rsidRPr="00011AD2">
        <w:rPr>
          <w:vertAlign w:val="subscript"/>
        </w:rPr>
        <w:t>ijk</w:t>
      </w:r>
      <w:proofErr w:type="spellEnd"/>
      <w:r>
        <w:t xml:space="preserve"> – </w:t>
      </w:r>
      <w:proofErr w:type="spellStart"/>
      <w:r w:rsidRPr="00011AD2">
        <w:t>PARF</w:t>
      </w:r>
      <w:r>
        <w:t>’</w:t>
      </w:r>
      <w:r w:rsidRPr="00011AD2">
        <w:rPr>
          <w:vertAlign w:val="subscript"/>
        </w:rPr>
        <w:t>ijk</w:t>
      </w:r>
      <w:proofErr w:type="spellEnd"/>
    </w:p>
    <w:p w:rsidR="00AD6A94" w:rsidRDefault="00AD6A94" w:rsidP="00804D14">
      <w:pPr>
        <w:spacing w:line="360" w:lineRule="auto"/>
        <w:ind w:firstLine="0"/>
      </w:pPr>
      <w:r>
        <w:tab/>
      </w:r>
      <w:proofErr w:type="gramStart"/>
      <w:r>
        <w:t>where</w:t>
      </w:r>
      <w:proofErr w:type="gramEnd"/>
      <w:r>
        <w:tab/>
        <w:t>PARF’ is the calculated for the (lower) smoking prevalence after a policy change</w:t>
      </w:r>
    </w:p>
    <w:p w:rsidR="00AD6A94" w:rsidRDefault="00AD6A94" w:rsidP="00804D14">
      <w:pPr>
        <w:spacing w:line="360" w:lineRule="auto"/>
        <w:ind w:firstLine="0"/>
      </w:pPr>
      <w:r>
        <w:t>As defined here, the change in PARF (</w:t>
      </w:r>
      <w:proofErr w:type="spellStart"/>
      <w:r>
        <w:t>Δ</w:t>
      </w:r>
      <w:r w:rsidRPr="00011AD2">
        <w:t>PARF</w:t>
      </w:r>
      <w:r w:rsidRPr="00011AD2">
        <w:rPr>
          <w:vertAlign w:val="subscript"/>
        </w:rPr>
        <w:t>ijk</w:t>
      </w:r>
      <w:proofErr w:type="spellEnd"/>
      <w:r>
        <w:t xml:space="preserve">) is positive when the smoking prevalence declines. For the combined effect of all policies, we used a </w:t>
      </w:r>
      <w:r w:rsidR="003A4554">
        <w:t>multiplicative</w:t>
      </w:r>
      <w:r>
        <w:t xml:space="preserve"> effect. For example, if two policies each lower prevalence by 5%, the </w:t>
      </w:r>
      <w:r w:rsidR="003A4554">
        <w:t>multiplicative</w:t>
      </w:r>
      <w:r>
        <w:t xml:space="preserve"> effect is 9.75% [1 - (1</w:t>
      </w:r>
      <w:r w:rsidR="003A4554">
        <w:t xml:space="preserve"> </w:t>
      </w:r>
      <w:r>
        <w:t>-</w:t>
      </w:r>
      <w:r w:rsidR="003A4554">
        <w:t xml:space="preserve"> 0</w:t>
      </w:r>
      <w:r>
        <w:t>.05)*(1</w:t>
      </w:r>
      <w:r w:rsidR="003A4554">
        <w:t xml:space="preserve"> </w:t>
      </w:r>
      <w:r>
        <w:t>-</w:t>
      </w:r>
      <w:r w:rsidR="003A4554">
        <w:t xml:space="preserve"> 0</w:t>
      </w:r>
      <w:r>
        <w:t>.05)] rather than a simple addition of 10% [</w:t>
      </w:r>
      <w:r w:rsidR="003A4554">
        <w:t>0</w:t>
      </w:r>
      <w:r>
        <w:t>.05</w:t>
      </w:r>
      <w:r w:rsidR="003A4554">
        <w:t xml:space="preserve"> </w:t>
      </w:r>
      <w:r>
        <w:t>+</w:t>
      </w:r>
      <w:r w:rsidR="003A4554">
        <w:t xml:space="preserve"> 0</w:t>
      </w:r>
      <w:r>
        <w:t xml:space="preserve">.05]. </w:t>
      </w:r>
    </w:p>
    <w:p w:rsidR="00AD6A94" w:rsidRDefault="00AD6A94" w:rsidP="00804D14">
      <w:pPr>
        <w:spacing w:line="360" w:lineRule="auto"/>
        <w:ind w:firstLine="0"/>
      </w:pPr>
      <w:r>
        <w:t>The Δ</w:t>
      </w:r>
      <w:r w:rsidRPr="00011AD2">
        <w:t>PARF</w:t>
      </w:r>
      <w:r>
        <w:t xml:space="preserve"> is then multiplied by the CHD mortality counterfactual and population projection to obtain the CHD DPP:</w:t>
      </w:r>
    </w:p>
    <w:p w:rsidR="00AD6A94" w:rsidRPr="00C03639" w:rsidRDefault="00AD6A94" w:rsidP="00804D14">
      <w:pPr>
        <w:spacing w:line="360" w:lineRule="auto"/>
        <w:ind w:firstLine="0"/>
      </w:pPr>
      <w:r>
        <w:tab/>
      </w:r>
      <w:proofErr w:type="spellStart"/>
      <w:r>
        <w:t>DPP</w:t>
      </w:r>
      <w:r w:rsidRPr="00EE3F42">
        <w:rPr>
          <w:vertAlign w:val="subscript"/>
        </w:rPr>
        <w:t>ijk</w:t>
      </w:r>
      <w:proofErr w:type="spellEnd"/>
      <w:r>
        <w:t xml:space="preserve"> = </w:t>
      </w:r>
      <w:proofErr w:type="spellStart"/>
      <w:r>
        <w:t>Pop</w:t>
      </w:r>
      <w:r w:rsidRPr="00EE3F42">
        <w:rPr>
          <w:vertAlign w:val="subscript"/>
        </w:rPr>
        <w:t>ijk</w:t>
      </w:r>
      <w:proofErr w:type="spellEnd"/>
      <w:r>
        <w:t xml:space="preserve"> </w:t>
      </w:r>
      <w:r w:rsidRPr="00011AD2">
        <w:t>×</w:t>
      </w:r>
      <w:r>
        <w:t xml:space="preserve"> </w:t>
      </w:r>
      <w:proofErr w:type="spellStart"/>
      <w:r>
        <w:t>Mort</w:t>
      </w:r>
      <w:r w:rsidRPr="00EE3F42">
        <w:rPr>
          <w:vertAlign w:val="subscript"/>
        </w:rPr>
        <w:t>ijk</w:t>
      </w:r>
      <w:proofErr w:type="spellEnd"/>
      <w:r>
        <w:t xml:space="preserve"> </w:t>
      </w:r>
      <w:r w:rsidRPr="00011AD2">
        <w:t>×</w:t>
      </w:r>
      <w:r w:rsidRPr="00EE3F42">
        <w:t xml:space="preserve"> </w:t>
      </w:r>
      <w:proofErr w:type="spellStart"/>
      <w:r>
        <w:t>Δ</w:t>
      </w:r>
      <w:r w:rsidRPr="00011AD2">
        <w:t>PARF</w:t>
      </w:r>
      <w:r w:rsidRPr="00011AD2">
        <w:rPr>
          <w:vertAlign w:val="subscript"/>
        </w:rPr>
        <w:t>ijk</w:t>
      </w:r>
      <w:proofErr w:type="spellEnd"/>
    </w:p>
    <w:p w:rsidR="00AD6A94" w:rsidRDefault="00AD6A94" w:rsidP="00804D14">
      <w:pPr>
        <w:pStyle w:val="Heading1"/>
      </w:pPr>
      <w:r>
        <w:t>Sensitivity Analysis</w:t>
      </w:r>
    </w:p>
    <w:p w:rsidR="00B128EA" w:rsidRDefault="00AD6A94" w:rsidP="00B128EA">
      <w:pPr>
        <w:spacing w:line="360" w:lineRule="auto"/>
        <w:ind w:firstLine="0"/>
      </w:pPr>
      <w:r>
        <w:t xml:space="preserve">Probabilistic sensitivity analysis was performed to account for uncertainty in modelled parameters. Simulation was performed in </w:t>
      </w:r>
      <w:r w:rsidRPr="00ED59EB">
        <w:t>R version 3.0.1</w:t>
      </w:r>
      <w:r>
        <w:t xml:space="preserve"> using 1,000 iterations. The uncertainty and probability distributions used are shown in Table S1</w:t>
      </w:r>
    </w:p>
    <w:p w:rsidR="00B128EA" w:rsidRDefault="00B128EA" w:rsidP="00B128EA">
      <w:r>
        <w:br w:type="page"/>
      </w:r>
    </w:p>
    <w:p w:rsidR="00B128EA" w:rsidRDefault="00B128EA" w:rsidP="00B128EA">
      <w:pPr>
        <w:pStyle w:val="Heading1"/>
      </w:pPr>
      <w:r>
        <w:lastRenderedPageBreak/>
        <w:t>Tables</w:t>
      </w:r>
    </w:p>
    <w:p w:rsidR="00B128EA" w:rsidRDefault="00B128EA" w:rsidP="00B128EA">
      <w:pPr>
        <w:pStyle w:val="Caption"/>
        <w:keepNext/>
        <w:ind w:firstLine="0"/>
      </w:pPr>
      <w:r>
        <w:t xml:space="preserve">Table S </w:t>
      </w:r>
      <w:fldSimple w:instr=" SEQ Table_S \* ARABIC ">
        <w:r w:rsidR="00DE29A2">
          <w:rPr>
            <w:noProof/>
          </w:rPr>
          <w:t>1</w:t>
        </w:r>
      </w:fldSimple>
      <w:r w:rsidRPr="00B128EA">
        <w:t xml:space="preserve"> </w:t>
      </w:r>
      <w:r>
        <w:t>Model parameters and uncertainty. 1,000 simulations were performed in R version 3.0.1 with the probability distributions listed</w:t>
      </w:r>
    </w:p>
    <w:tbl>
      <w:tblPr>
        <w:tblStyle w:val="LightList"/>
        <w:tblW w:w="0" w:type="auto"/>
        <w:tblBorders>
          <w:left w:val="none" w:sz="0" w:space="0" w:color="auto"/>
          <w:right w:val="none" w:sz="0" w:space="0" w:color="auto"/>
          <w:insideH w:val="single" w:sz="8" w:space="0" w:color="000000" w:themeColor="text1"/>
        </w:tblBorders>
        <w:tblLook w:val="04A0" w:firstRow="1" w:lastRow="0" w:firstColumn="1" w:lastColumn="0" w:noHBand="0" w:noVBand="1"/>
      </w:tblPr>
      <w:tblGrid>
        <w:gridCol w:w="3080"/>
        <w:gridCol w:w="3081"/>
        <w:gridCol w:w="3081"/>
      </w:tblGrid>
      <w:tr w:rsidR="00AD6A94" w:rsidTr="00615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D6A94" w:rsidRDefault="00AD6A94" w:rsidP="0061578D">
            <w:pPr>
              <w:spacing w:line="360" w:lineRule="auto"/>
              <w:ind w:firstLine="0"/>
            </w:pPr>
            <w:r>
              <w:t>PARAMETER</w:t>
            </w:r>
          </w:p>
        </w:tc>
        <w:tc>
          <w:tcPr>
            <w:tcW w:w="3081" w:type="dxa"/>
          </w:tcPr>
          <w:p w:rsidR="00AD6A94" w:rsidRDefault="00AD6A94" w:rsidP="00C028D5">
            <w:pPr>
              <w:spacing w:line="360" w:lineRule="auto"/>
              <w:ind w:firstLine="0"/>
              <w:cnfStyle w:val="100000000000" w:firstRow="1" w:lastRow="0" w:firstColumn="0" w:lastColumn="0" w:oddVBand="0" w:evenVBand="0" w:oddHBand="0" w:evenHBand="0" w:firstRowFirstColumn="0" w:firstRowLastColumn="0" w:lastRowFirstColumn="0" w:lastRowLastColumn="0"/>
            </w:pPr>
            <w:r>
              <w:t>CENTRAL ESTIMATE</w:t>
            </w:r>
          </w:p>
        </w:tc>
        <w:tc>
          <w:tcPr>
            <w:tcW w:w="3081" w:type="dxa"/>
            <w:vAlign w:val="center"/>
          </w:tcPr>
          <w:p w:rsidR="00AD6A94" w:rsidRDefault="00AD6A94" w:rsidP="00C028D5">
            <w:pPr>
              <w:spacing w:line="360" w:lineRule="auto"/>
              <w:ind w:firstLine="0"/>
              <w:cnfStyle w:val="100000000000" w:firstRow="1" w:lastRow="0" w:firstColumn="0" w:lastColumn="0" w:oddVBand="0" w:evenVBand="0" w:oddHBand="0" w:evenHBand="0" w:firstRowFirstColumn="0" w:firstRowLastColumn="0" w:lastRowFirstColumn="0" w:lastRowLastColumn="0"/>
            </w:pPr>
            <w:r>
              <w:t>UNCERTAINTY</w:t>
            </w:r>
          </w:p>
        </w:tc>
      </w:tr>
      <w:tr w:rsidR="00AD6A94" w:rsidTr="00615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AD6A94" w:rsidRDefault="00AD6A94" w:rsidP="0061578D">
            <w:pPr>
              <w:spacing w:line="360" w:lineRule="auto"/>
              <w:ind w:firstLine="0"/>
            </w:pPr>
            <w:r>
              <w:t>Smoking prevalence in 2012</w:t>
            </w:r>
          </w:p>
        </w:tc>
        <w:tc>
          <w:tcPr>
            <w:tcW w:w="3081" w:type="dxa"/>
            <w:tcBorders>
              <w:top w:val="none" w:sz="0" w:space="0" w:color="auto"/>
              <w:bottom w:val="none" w:sz="0" w:space="0" w:color="auto"/>
            </w:tcBorders>
          </w:tcPr>
          <w:p w:rsidR="00AD6A94" w:rsidRDefault="00AD6A94" w:rsidP="00C028D5">
            <w:pPr>
              <w:spacing w:line="360" w:lineRule="auto"/>
              <w:ind w:firstLine="0"/>
              <w:jc w:val="both"/>
              <w:cnfStyle w:val="000000100000" w:firstRow="0" w:lastRow="0" w:firstColumn="0" w:lastColumn="0" w:oddVBand="0" w:evenVBand="0" w:oddHBand="1" w:evenHBand="0" w:firstRowFirstColumn="0" w:firstRowLastColumn="0" w:lastRowFirstColumn="0" w:lastRowLastColumn="0"/>
            </w:pPr>
            <w:r>
              <w:t>From ONS [12]</w:t>
            </w:r>
          </w:p>
        </w:tc>
        <w:tc>
          <w:tcPr>
            <w:tcW w:w="3081" w:type="dxa"/>
            <w:tcBorders>
              <w:top w:val="none" w:sz="0" w:space="0" w:color="auto"/>
              <w:bottom w:val="none" w:sz="0" w:space="0" w:color="auto"/>
              <w:right w:val="none" w:sz="0" w:space="0" w:color="auto"/>
            </w:tcBorders>
            <w:vAlign w:val="center"/>
          </w:tcPr>
          <w:p w:rsidR="00AD6A94" w:rsidRDefault="00AD6A94" w:rsidP="0061578D">
            <w:pPr>
              <w:spacing w:line="360" w:lineRule="auto"/>
              <w:ind w:firstLine="0"/>
              <w:cnfStyle w:val="000000100000" w:firstRow="0" w:lastRow="0" w:firstColumn="0" w:lastColumn="0" w:oddVBand="0" w:evenVBand="0" w:oddHBand="1" w:evenHBand="0" w:firstRowFirstColumn="0" w:firstRowLastColumn="0" w:lastRowFirstColumn="0" w:lastRowLastColumn="0"/>
            </w:pPr>
            <w:r>
              <w:t xml:space="preserve">Sample sizes by age and </w:t>
            </w:r>
            <w:r w:rsidR="002D2DB8">
              <w:t>sex</w:t>
            </w:r>
            <w:r>
              <w:t xml:space="preserve"> pulled from Integrated Household Survey. Split into IMDQ using method described above. Normal approximation to binomial assumed.</w:t>
            </w:r>
          </w:p>
        </w:tc>
      </w:tr>
      <w:tr w:rsidR="00AD6A94" w:rsidTr="0061578D">
        <w:tc>
          <w:tcPr>
            <w:cnfStyle w:val="001000000000" w:firstRow="0" w:lastRow="0" w:firstColumn="1" w:lastColumn="0" w:oddVBand="0" w:evenVBand="0" w:oddHBand="0" w:evenHBand="0" w:firstRowFirstColumn="0" w:firstRowLastColumn="0" w:lastRowFirstColumn="0" w:lastRowLastColumn="0"/>
            <w:tcW w:w="3080" w:type="dxa"/>
          </w:tcPr>
          <w:p w:rsidR="00AD6A94" w:rsidRDefault="00AD6A94" w:rsidP="0061578D">
            <w:pPr>
              <w:spacing w:line="360" w:lineRule="auto"/>
              <w:ind w:firstLine="0"/>
            </w:pPr>
            <w:r>
              <w:t>Policy effect sizes</w:t>
            </w:r>
          </w:p>
        </w:tc>
        <w:tc>
          <w:tcPr>
            <w:tcW w:w="3081" w:type="dxa"/>
          </w:tcPr>
          <w:p w:rsidR="00AD6A94" w:rsidRDefault="00AD6A94" w:rsidP="00C028D5">
            <w:pPr>
              <w:spacing w:line="360" w:lineRule="auto"/>
              <w:ind w:firstLine="0"/>
              <w:jc w:val="both"/>
              <w:cnfStyle w:val="000000000000" w:firstRow="0" w:lastRow="0" w:firstColumn="0" w:lastColumn="0" w:oddVBand="0" w:evenVBand="0" w:oddHBand="0" w:evenHBand="0" w:firstRowFirstColumn="0" w:firstRowLastColumn="0" w:lastRowFirstColumn="0" w:lastRowLastColumn="0"/>
            </w:pPr>
            <w:r>
              <w:t>See Table 1</w:t>
            </w:r>
          </w:p>
        </w:tc>
        <w:tc>
          <w:tcPr>
            <w:tcW w:w="3081" w:type="dxa"/>
            <w:vAlign w:val="center"/>
          </w:tcPr>
          <w:p w:rsidR="00AD6A94" w:rsidRDefault="00AD6A94" w:rsidP="0061578D">
            <w:pPr>
              <w:spacing w:line="360" w:lineRule="auto"/>
              <w:ind w:firstLine="0"/>
              <w:cnfStyle w:val="000000000000" w:firstRow="0" w:lastRow="0" w:firstColumn="0" w:lastColumn="0" w:oddVBand="0" w:evenVBand="0" w:oddHBand="0" w:evenHBand="0" w:firstRowFirstColumn="0" w:firstRowLastColumn="0" w:lastRowFirstColumn="0" w:lastRowLastColumn="0"/>
            </w:pPr>
            <w:r>
              <w:t xml:space="preserve">Assume PERT distribution </w:t>
            </w:r>
            <w:r w:rsidR="00B128EA">
              <w:fldChar w:fldCharType="begin"/>
            </w:r>
            <w:r w:rsidR="00B128EA">
              <w:instrText xml:space="preserve"> ADDIN ZOTERO_ITEM CSL_CITATION {"citationID":"1vu8dnfeg0","properties":{"formattedCitation":"[11]","plainCitation":"[11]"},"citationItems":[{"id":2420,"uris":["http://zotero.org/users/1282898/items/CEQPS5AQ"],"uri":["http://zotero.org/users/1282898/items/CEQPS5AQ"],"itemData":{"id":2420,"type":"article-journal","title":"Letter to the Editor-The PERT Model for the Distribution of an Activity Time","container-title":"Operations Research","page":"405-406","volume":"10","issue":"3","note":"bibtex: clark1962letter","author":[{"family":"Clark","given":"Charles E"}],"issued":{"date-parts":[["1962"]]}}}],"schema":"https://github.com/citation-style-language/schema/raw/master/csl-citation.json"} </w:instrText>
            </w:r>
            <w:r w:rsidR="00B128EA">
              <w:fldChar w:fldCharType="separate"/>
            </w:r>
            <w:r w:rsidR="00B128EA" w:rsidRPr="00B128EA">
              <w:rPr>
                <w:rFonts w:ascii="Calibri" w:hAnsi="Calibri"/>
              </w:rPr>
              <w:t>[11]</w:t>
            </w:r>
            <w:r w:rsidR="00B128EA">
              <w:fldChar w:fldCharType="end"/>
            </w:r>
            <w:r>
              <w:t xml:space="preserve"> with 20% uncertainty around given values</w:t>
            </w:r>
          </w:p>
        </w:tc>
      </w:tr>
      <w:tr w:rsidR="00AD6A94" w:rsidTr="00615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AD6A94" w:rsidRDefault="00AD6A94" w:rsidP="0061578D">
            <w:pPr>
              <w:spacing w:line="360" w:lineRule="auto"/>
              <w:ind w:firstLine="0"/>
            </w:pPr>
            <w:r>
              <w:t>Policy SEC gradients</w:t>
            </w:r>
          </w:p>
        </w:tc>
        <w:tc>
          <w:tcPr>
            <w:tcW w:w="3081" w:type="dxa"/>
            <w:tcBorders>
              <w:top w:val="none" w:sz="0" w:space="0" w:color="auto"/>
              <w:bottom w:val="none" w:sz="0" w:space="0" w:color="auto"/>
            </w:tcBorders>
          </w:tcPr>
          <w:p w:rsidR="00AD6A94" w:rsidRDefault="00AD6A94" w:rsidP="00C028D5">
            <w:pPr>
              <w:spacing w:line="360" w:lineRule="auto"/>
              <w:ind w:firstLine="0"/>
              <w:jc w:val="both"/>
              <w:cnfStyle w:val="000000100000" w:firstRow="0" w:lastRow="0" w:firstColumn="0" w:lastColumn="0" w:oddVBand="0" w:evenVBand="0" w:oddHBand="1" w:evenHBand="0" w:firstRowFirstColumn="0" w:firstRowLastColumn="0" w:lastRowFirstColumn="0" w:lastRowLastColumn="0"/>
            </w:pPr>
            <w:r>
              <w:t>See Table 1</w:t>
            </w:r>
          </w:p>
        </w:tc>
        <w:tc>
          <w:tcPr>
            <w:tcW w:w="3081" w:type="dxa"/>
            <w:tcBorders>
              <w:top w:val="none" w:sz="0" w:space="0" w:color="auto"/>
              <w:bottom w:val="none" w:sz="0" w:space="0" w:color="auto"/>
              <w:right w:val="none" w:sz="0" w:space="0" w:color="auto"/>
            </w:tcBorders>
            <w:vAlign w:val="center"/>
          </w:tcPr>
          <w:p w:rsidR="00AD6A94" w:rsidRDefault="00AD6A94" w:rsidP="0061578D">
            <w:pPr>
              <w:spacing w:line="360" w:lineRule="auto"/>
              <w:ind w:firstLine="0"/>
              <w:cnfStyle w:val="000000100000" w:firstRow="0" w:lastRow="0" w:firstColumn="0" w:lastColumn="0" w:oddVBand="0" w:evenVBand="0" w:oddHBand="1" w:evenHBand="0" w:firstRowFirstColumn="0" w:firstRowLastColumn="0" w:lastRowFirstColumn="0" w:lastRowLastColumn="0"/>
            </w:pPr>
            <w:r>
              <w:t xml:space="preserve">Probability of gradient direction proportional to number of studies from </w:t>
            </w:r>
            <w:r w:rsidR="00B128EA">
              <w:fldChar w:fldCharType="begin"/>
            </w:r>
            <w:r w:rsidR="00B128EA">
              <w:instrText xml:space="preserve"> ADDIN ZOTERO_ITEM CSL_CITATION {"citationID":"i5o3d1fq0","properties":{"formattedCitation":"[12, 13]","plainCitation":"[12, 13]"},"citationItems":[{"id":2040,"uris":["http://zotero.org/users/1282898/items/VBJ2F5DX"],"uri":["http://zotero.org/users/1282898/items/VBJ2F5DX"],"itemData":{"id":2040,"type":"article-journal","title":"Population tobacco control interventions and their effects on social inequalities in smoking: systematic review","container-title":"Tobacco Control","page":"230-237","volume":"17","issue":"4","source":"PubMed","abstract":"OBJECTIVE: To assess the effects of population tobacco control interventions on social inequalities in smoking.\nDATA SOURCES: Medical, nursing, psychological, social science and grey literature databases, bibliographies, hand-searches and contact with authors.\nSTUDY SELECTION: Studies were included (n = 84) if they reported the effects of any population-level tobacco control intervention on smoking behaviour or attitudes in individuals or groups with different demographic or socioeconomic characteristics.\nDATA EXTRACTION: Data extraction and quality assessment for each study were conducted by one reviewer and checked by a second.\nDATA SYNTHESIS: Data were synthesised using graphical (\"harvest plot\") and narrative methods. No strong evidence of differential effects was found for smoking restrictions in workplaces and public places, although those in higher occupational groups may be more likely to change their attitudes or behaviour. Smoking restrictions in schools may be more effective in girls. Restrictions on sales to minors may be more effective in girls and younger children. Increasing the price of tobacco products may be more effective in reducing smoking among lower-income adults and those in manual occupations, although there was also some evidence to suggest that adults with higher levels of education may be more price-sensitive. Young people aged under 25 are also affected by price increases, with some evidence that boys and non-white young people may be more sensitive to price.\nCONCLUSIONS: Population-level tobacco control interventions have the potential to benefit more disadvantaged groups and thereby contribute to reducing health inequalities.","DOI":"10.1136/tc.2007.023911","ISSN":"1468-3318","note":"PMID: 18426867\nPMCID: PMC2565568 \nbibtex: thomas.population.2008","shortTitle":"Population tobacco control interventions and their effects on social inequalities in smoking","journalAbbreviation":"Tob Control","language":"eng","author":[{"family":"Thomas","given":"S."},{"family":"Fayter","given":"D."},{"family":"Misso","given":"K."},{"family":"Ogilvie","given":"D."},{"family":"Petticrew","given":"M."},{"family":"Sowden","given":"A."},{"family":"Whitehead","given":"M."},{"family":"Worthy","given":"G."}],"issued":{"date-parts":[["2008",8]]},"PMID":"18426867","PMCID":"PMC2565568"}},{"id":2046,"uris":["http://zotero.org/users/1282898/items/3SDGEBNM"],"uri":["http://zotero.org/users/1282898/items/3SDGEBNM"],"itemData":{"id":2046,"type":"article-journal","title":"Impact of tobacco control interventions on socioeconomic inequalities in smoking: review of the evidence","container-title":"Tobacco Control","page":"e89-97","volume":"23","issue":"e2","source":"PubMed","abstract":"OBJECTIVE: We updated and expanded a previous systematic literature review examining the impact of tobacco control interventions on socioeconomic inequalities in smoking.\nMETHODS: We searched the academic literature for reviews and primary research articles published between January 2006 and November 2010 that examined the socioeconomic impact of six tobacco control interventions in adults: that is, price increases, smoke-free policies, advertising bans, mass media campaigns, warning labels, smoking cessation support and community-based programmes combining several interventions. We included English-language articles from countries at an advanced stage of the tobacco epidemic that examined the differential impact of tobacco control interventions by socioeconomic status or the effectiveness of interventions among disadvantaged socioeconomic groups. All articles were appraised by two authors and details recorded using a standardised approach. Data from 77 primary studies and seven reviews were synthesised via narrative review.\nRESULTS: We found strong evidence that increases in tobacco price have a pro-equity effect on socioeconomic disparities in smoking. Evidence on the equity impact of other interventions is inconclusive, with the exception of non-targeted smoking cessation programmes which have a negative equity impact due to higher quit rates among more advantaged smokers.\nCONCLUSIONS: Increased tobacco price via tax is the intervention with the greatest potential to reduce socioeconomic inequalities in smoking. Other measures studied appear unlikely to reduce inequalities in smoking without specific efforts to reach disadvantaged smokers. There is a need for more research evaluating the equity impact of tobacco control measures, and development of more effective approaches for reducing tobacco use in disadvantaged groups and communities.","DOI":"10.1136/tobaccocontrol-2013-051110","ISSN":"1468-3318","note":"PMID: 24046211 \nbibtex: hill.impact.2014","shortTitle":"Impact of tobacco control interventions on socioeconomic inequalities in smoking","journalAbbreviation":"Tob Control","language":"eng","author":[{"family":"Hill","given":"Sarah"},{"family":"Amos","given":"Amanda"},{"family":"Clifford","given":"David"},{"family":"Platt","given":"Stephen"}],"issued":{"date-parts":[["2014",11]]},"PMID":"24046211"}}],"schema":"https://github.com/citation-style-language/schema/raw/master/csl-citation.json"} </w:instrText>
            </w:r>
            <w:r w:rsidR="00B128EA">
              <w:fldChar w:fldCharType="separate"/>
            </w:r>
            <w:r w:rsidR="00B128EA" w:rsidRPr="00B128EA">
              <w:rPr>
                <w:rFonts w:ascii="Calibri" w:hAnsi="Calibri"/>
              </w:rPr>
              <w:t>[12, 13]</w:t>
            </w:r>
            <w:r w:rsidR="00B128EA">
              <w:fldChar w:fldCharType="end"/>
            </w:r>
            <w:r>
              <w:t>.</w:t>
            </w:r>
          </w:p>
        </w:tc>
      </w:tr>
      <w:tr w:rsidR="00AD6A94" w:rsidTr="0061578D">
        <w:tc>
          <w:tcPr>
            <w:cnfStyle w:val="001000000000" w:firstRow="0" w:lastRow="0" w:firstColumn="1" w:lastColumn="0" w:oddVBand="0" w:evenVBand="0" w:oddHBand="0" w:evenHBand="0" w:firstRowFirstColumn="0" w:firstRowLastColumn="0" w:lastRowFirstColumn="0" w:lastRowLastColumn="0"/>
            <w:tcW w:w="3080" w:type="dxa"/>
          </w:tcPr>
          <w:p w:rsidR="00AD6A94" w:rsidRDefault="00AD6A94" w:rsidP="0061578D">
            <w:pPr>
              <w:spacing w:line="360" w:lineRule="auto"/>
              <w:ind w:firstLine="0"/>
            </w:pPr>
            <w:r>
              <w:t>CHD Risk Ratios for smoking</w:t>
            </w:r>
          </w:p>
        </w:tc>
        <w:tc>
          <w:tcPr>
            <w:tcW w:w="3081" w:type="dxa"/>
          </w:tcPr>
          <w:p w:rsidR="00AD6A94" w:rsidRDefault="00AD6A94" w:rsidP="00C028D5">
            <w:pPr>
              <w:spacing w:line="360" w:lineRule="auto"/>
              <w:ind w:firstLine="0"/>
              <w:jc w:val="both"/>
              <w:cnfStyle w:val="000000000000" w:firstRow="0" w:lastRow="0" w:firstColumn="0" w:lastColumn="0" w:oddVBand="0" w:evenVBand="0" w:oddHBand="0" w:evenHBand="0" w:firstRowFirstColumn="0" w:firstRowLastColumn="0" w:lastRowFirstColumn="0" w:lastRowLastColumn="0"/>
            </w:pPr>
            <w:r>
              <w:t>Adapted from Global Burden of Disease 2001</w:t>
            </w:r>
            <w:r w:rsidRPr="0017638B">
              <w:t xml:space="preserve"> </w:t>
            </w:r>
            <w:r w:rsidR="00B128EA">
              <w:fldChar w:fldCharType="begin"/>
            </w:r>
            <w:r w:rsidR="00B128EA">
              <w:instrText xml:space="preserve"> ADDIN ZOTERO_ITEM CSL_CITATION {"citationID":"r0e572f7g","properties":{"formattedCitation":"[7, 10]","plainCitation":"[7, 10]"},"citationItems":[{"id":1149,"uris":["http://zotero.org/users/1282898/items/VHWVBDTV"],"uri":["http://zotero.org/users/1282898/items/VHWVBDTV"],"itemData":{"id":1149,"type":"article-journal","title":"Analysing recent socioeconomic trends in coronary heart disease mortality in England, 2000–2007: a population modelling study","container-title":"PLoS Med","page":"e1001237","volume":"9","issue":"6","source":"PLoS Journals","abstract":"A modeling study conducted by Madhavi Bajekal and colleagues estimates the extent to which specific risk factors and changes in uptake of treatment contributed to the declines in coronary heart disease mortality in England between 2000 and 2007, across and within socioeconomic groups.","DOI":"10.1371/journal.pmed.1001237","call-number":"0013","note":"bibtex: bajekal_analysing_2012","shortTitle":"Analysing Recent Socioeconomic Trends in Coronary Heart Disease Mortality in England, 2000–2007","journalAbbreviation":"PLoS Med","author":[{"family":"Bajekal","given":"Madhavi"},{"family":"Scholes","given":"Shaun"},{"family":"Love","given":"Hande"},{"family":"Hawkins","given":"Nathaniel"},{"family":"O’Flaherty","given":"Martin"},{"family":"Raine","given":"Rosalind"},{"family":"Capewell","given":"Simon"}],"issued":{"date-parts":[["2012",6,12]]}}},{"id":373,"uris":["http://zotero.org/users/1282898/items/BBTJNUB5"],"uri":["http://zotero.org/users/1282898/items/BBTJNUB5"],"itemData":{"id":373,"type":"report","title":"Comparative quantification of health risks","publisher":"World Health Organisation","publisher-place":"Geneva","event-place":"Geneva","URL":"http://www.who.int/publications/cra/en/","collection-editor":[{"family":"Ezzati","given":"Majid"},{"family":"Lopez","given":"Alan D."},{"family":"Rodgers","given":"Anthony"},{"family":"Murray","given":"Christopher J.L."}],"issued":{"date-parts":[["2004"]]}}}],"schema":"https://github.com/citation-style-language/schema/raw/master/csl-citation.json"} </w:instrText>
            </w:r>
            <w:r w:rsidR="00B128EA">
              <w:fldChar w:fldCharType="separate"/>
            </w:r>
            <w:r w:rsidR="00B128EA" w:rsidRPr="00B128EA">
              <w:rPr>
                <w:rFonts w:ascii="Calibri" w:hAnsi="Calibri"/>
              </w:rPr>
              <w:t>[7, 10]</w:t>
            </w:r>
            <w:r w:rsidR="00B128EA">
              <w:fldChar w:fldCharType="end"/>
            </w:r>
          </w:p>
        </w:tc>
        <w:tc>
          <w:tcPr>
            <w:tcW w:w="3081" w:type="dxa"/>
            <w:vAlign w:val="center"/>
          </w:tcPr>
          <w:p w:rsidR="00AD6A94" w:rsidRDefault="00AD6A94" w:rsidP="0061578D">
            <w:pPr>
              <w:spacing w:line="360" w:lineRule="auto"/>
              <w:ind w:firstLine="0"/>
              <w:cnfStyle w:val="000000000000" w:firstRow="0" w:lastRow="0" w:firstColumn="0" w:lastColumn="0" w:oddVBand="0" w:evenVBand="0" w:oddHBand="0" w:evenHBand="0" w:firstRowFirstColumn="0" w:firstRowLastColumn="0" w:lastRowFirstColumn="0" w:lastRowLastColumn="0"/>
            </w:pPr>
            <w:r>
              <w:t>Normal distribution based on lower and upper confidence intervals</w:t>
            </w:r>
          </w:p>
        </w:tc>
      </w:tr>
      <w:tr w:rsidR="00AD6A94" w:rsidTr="00615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AD6A94" w:rsidRDefault="00AD6A94" w:rsidP="0061578D">
            <w:pPr>
              <w:spacing w:line="360" w:lineRule="auto"/>
              <w:ind w:firstLine="0"/>
            </w:pPr>
            <w:r>
              <w:t>CHD mortality for 2015-2025</w:t>
            </w:r>
          </w:p>
        </w:tc>
        <w:tc>
          <w:tcPr>
            <w:tcW w:w="3081" w:type="dxa"/>
            <w:tcBorders>
              <w:top w:val="none" w:sz="0" w:space="0" w:color="auto"/>
              <w:bottom w:val="none" w:sz="0" w:space="0" w:color="auto"/>
            </w:tcBorders>
          </w:tcPr>
          <w:p w:rsidR="00AD6A94" w:rsidRDefault="00AD6A94" w:rsidP="00C028D5">
            <w:pPr>
              <w:spacing w:line="360" w:lineRule="auto"/>
              <w:ind w:firstLine="0"/>
              <w:jc w:val="both"/>
              <w:cnfStyle w:val="000000100000" w:firstRow="0" w:lastRow="0" w:firstColumn="0" w:lastColumn="0" w:oddVBand="0" w:evenVBand="0" w:oddHBand="1" w:evenHBand="0" w:firstRowFirstColumn="0" w:firstRowLastColumn="0" w:lastRowFirstColumn="0" w:lastRowLastColumn="0"/>
            </w:pPr>
            <w:r>
              <w:t xml:space="preserve">Extrapolated from data on 2002-2013 using an age-period-cohort model </w:t>
            </w:r>
            <w:r w:rsidR="00B128EA">
              <w:fldChar w:fldCharType="begin"/>
            </w:r>
            <w:r w:rsidR="00B128EA">
              <w:instrText xml:space="preserve"> ADDIN ZOTERO_ITEM CSL_CITATION {"citationID":"n9kcoujv9","properties":{"formattedCitation":"[2]","plainCitation":"[2]"},"citationItems":[{"id":2401,"uris":["http://zotero.org/users/1282898/items/PU6TH4XV"],"uri":["http://zotero.org/users/1282898/items/PU6TH4XV"],"itemData":{"id":2401,"type":"article-journal","title":"OP69 Predicting future trends and inequalities in premature coronary heart disease deaths in England: modelling study","container-title":"Journal of Epidemiology and Community Health","page":"A35-A35","volume":"68","issue":"Suppl 1","source":"jech.bmj.com","abstract":"Background Coronary heart disease (CHD) deaths in the UK have plummeted since the 1970s. However, CHD remains the biggest single cause of premature mortality, particularly in deprived social groups. But have all social groups benefited equally from these declines? Or do the headline figures conceal differences in rates of decline among social strata, potentially generating conflicting views on inequalities? Our analysis therefore aimed to examine whether the rapid declines in overall CHD mortality have benefited all socio-economic groups, and explore the implications for future projections.\nMethods We used a Bayesian analysis of an age-period-cohort model for the English population with data from Office for National Statistics (ONS). We projected age-specific CHD mortality by gender and deprivation status for the period 2007–2035, using 1982–2006 as the input. We converted the age-specific values to premature CHD death rates (ages 35–74). Deprivation status was measured by Index of Multiple Deprivation quintiles, which aggregate seven types of deprivation, including health and income. We first analysed the influence of the population-level trend in premature CHD mortality on absolute inequality, and second investigated the contributions to change in relative inequality. We quantified inequality by the variance in the probability of premature death among deprivation quintiles. Furthermore, we introduced a method to analyse the contribution of each group to the change in variance over time.\nResults We found that overall mortality trends conceal heterogeneities. Our models predict more rapid declines in premature CHD death for the most affluent than for the most deprived quintiles (annualised rate of decline 2006–2025, 7.9% [95% CI 4.7–11.0%] versus 6.0% [1.9–10.0%] for men, and 6.3% [3.5–9.0%] versus 5.9% [2.2–9.5%] for women). Absolute inequality was projected to decrease by 87% (29–98%) among men and by 89% (48–98%) among women. This decrease was particularly driven by the most deprived groups, reflecting their higher premature death rates. However, relative inequality was projected to rise by 60% among men (26–107%) and by 10% (-15–42%) among women. Because premature death is declining more slowly in the most deprived, these increases are also mostly influenced by the most deprived.\nConclusion Overall, premature coronary death rates in England continue to decline steeply, regardless of deprivation status. Furthermore, absolute inequalities are decreasing, reflecting declines in the high premature mortality burden in deprived groups. However, relative inequalities are projected to widen further, reflecting slower mortality declines in the most deprived groups. We suggest that more aggressive and progressive prevention policies are urgently needed.","DOI":"10.1136/jech-2014-204726.72","ISSN":", 1470-2738","note":"bibtex: allen.op69.2014","shortTitle":"OP69 Predicting future trends and inequalities in premature coronary heart disease deaths in England","journalAbbreviation":"J Epidemiol Community Health","language":"en","author":[{"family":"Allen","given":"K."},{"family":"Gillespie","given":"D. O. S."},{"family":"Castillo","given":"M. Guzman"},{"family":"Diggle","given":"P. J."},{"family":"Capewell","given":"S."},{"family":"O’Flaherty","given":"M."}],"issued":{"date-parts":[["2014",9,1]]}}}],"schema":"https://github.com/citation-style-language/schema/raw/master/csl-citation.json"} </w:instrText>
            </w:r>
            <w:r w:rsidR="00B128EA">
              <w:fldChar w:fldCharType="separate"/>
            </w:r>
            <w:r w:rsidR="00B128EA" w:rsidRPr="00B128EA">
              <w:rPr>
                <w:rFonts w:ascii="Calibri" w:hAnsi="Calibri"/>
              </w:rPr>
              <w:t>[2]</w:t>
            </w:r>
            <w:r w:rsidR="00B128EA">
              <w:fldChar w:fldCharType="end"/>
            </w:r>
          </w:p>
        </w:tc>
        <w:tc>
          <w:tcPr>
            <w:tcW w:w="3081" w:type="dxa"/>
            <w:tcBorders>
              <w:top w:val="none" w:sz="0" w:space="0" w:color="auto"/>
              <w:bottom w:val="none" w:sz="0" w:space="0" w:color="auto"/>
              <w:right w:val="none" w:sz="0" w:space="0" w:color="auto"/>
            </w:tcBorders>
            <w:vAlign w:val="center"/>
          </w:tcPr>
          <w:p w:rsidR="00AD6A94" w:rsidRPr="00ED59EB" w:rsidRDefault="00AD6A94" w:rsidP="0061578D">
            <w:pPr>
              <w:spacing w:line="360" w:lineRule="auto"/>
              <w:ind w:firstLine="0"/>
              <w:cnfStyle w:val="000000100000" w:firstRow="0" w:lastRow="0" w:firstColumn="0" w:lastColumn="0" w:oddVBand="0" w:evenVBand="0" w:oddHBand="1" w:evenHBand="0" w:firstRowFirstColumn="0" w:firstRowLastColumn="0" w:lastRowFirstColumn="0" w:lastRowLastColumn="0"/>
            </w:pPr>
            <w:r>
              <w:t xml:space="preserve">Normal distribution of the </w:t>
            </w:r>
            <w:r>
              <w:rPr>
                <w:i/>
              </w:rPr>
              <w:t>logit</w:t>
            </w:r>
            <w:r>
              <w:t xml:space="preserve"> of rates from model, based on lower and upper credible intervals </w:t>
            </w:r>
            <w:r w:rsidR="00B128EA">
              <w:fldChar w:fldCharType="begin"/>
            </w:r>
            <w:r w:rsidR="00B128EA">
              <w:instrText xml:space="preserve"> ADDIN ZOTERO_ITEM CSL_CITATION {"citationID":"s8e47bsq3","properties":{"formattedCitation":"[6]","plainCitation":"[6]"},"citationItems":[{"id":1233,"uris":["http://zotero.org/users/1282898/items/XJKWRPX4"],"uri":["http://zotero.org/users/1282898/items/XJKWRPX4"],"itemData":{"id":1233,"type":"article-journal","title":"Bayesian age-period-cohort modeling and prediction-BAMP","container-title":"J Stat Software","page":"1–15","volume":"21","issue":"8","source":"Google Scholar","author":[{"family":"Schmid","given":"Volker J."},{"family":"Held","given":"Leonhard"}],"issued":{"date-parts":[["2007"]]}}}],"schema":"https://github.com/citation-style-language/schema/raw/master/csl-citation.json"} </w:instrText>
            </w:r>
            <w:r w:rsidR="00B128EA">
              <w:fldChar w:fldCharType="separate"/>
            </w:r>
            <w:r w:rsidR="00B128EA" w:rsidRPr="00B128EA">
              <w:rPr>
                <w:rFonts w:ascii="Calibri" w:hAnsi="Calibri"/>
              </w:rPr>
              <w:t>[6]</w:t>
            </w:r>
            <w:r w:rsidR="00B128EA">
              <w:fldChar w:fldCharType="end"/>
            </w:r>
          </w:p>
        </w:tc>
      </w:tr>
    </w:tbl>
    <w:p w:rsidR="0052166F" w:rsidRDefault="0052166F" w:rsidP="00B128EA">
      <w:pPr>
        <w:spacing w:line="360" w:lineRule="auto"/>
        <w:ind w:firstLine="0"/>
      </w:pPr>
    </w:p>
    <w:p w:rsidR="0052166F" w:rsidRDefault="0052166F" w:rsidP="0052166F">
      <w:pPr>
        <w:pStyle w:val="Caption"/>
        <w:keepNext/>
        <w:ind w:firstLine="0"/>
      </w:pPr>
      <w:r>
        <w:t xml:space="preserve">Table S </w:t>
      </w:r>
      <w:r w:rsidR="00F42129">
        <w:fldChar w:fldCharType="begin"/>
      </w:r>
      <w:r w:rsidR="00F42129">
        <w:instrText xml:space="preserve"> SEQ Table</w:instrText>
      </w:r>
      <w:r w:rsidR="00F42129">
        <w:instrText xml:space="preserve">_S \* ARABIC </w:instrText>
      </w:r>
      <w:r w:rsidR="00F42129">
        <w:fldChar w:fldCharType="separate"/>
      </w:r>
      <w:r w:rsidR="00DE29A2">
        <w:rPr>
          <w:noProof/>
        </w:rPr>
        <w:t>2</w:t>
      </w:r>
      <w:r w:rsidR="00F42129">
        <w:rPr>
          <w:noProof/>
        </w:rPr>
        <w:fldChar w:fldCharType="end"/>
      </w:r>
      <w:r w:rsidR="00DB3DB5">
        <w:t xml:space="preserve"> Price elasticity by quintile group of Index of Multiple Deprivation (IMDQ)</w:t>
      </w:r>
    </w:p>
    <w:tbl>
      <w:tblPr>
        <w:tblStyle w:val="LightList"/>
        <w:tblW w:w="5000" w:type="pct"/>
        <w:tblBorders>
          <w:left w:val="none" w:sz="0" w:space="0" w:color="auto"/>
          <w:right w:val="none" w:sz="0" w:space="0" w:color="auto"/>
          <w:insideH w:val="single" w:sz="8" w:space="0" w:color="000000" w:themeColor="text1"/>
        </w:tblBorders>
        <w:tblLook w:val="04A0" w:firstRow="1" w:lastRow="0" w:firstColumn="1" w:lastColumn="0" w:noHBand="0" w:noVBand="1"/>
      </w:tblPr>
      <w:tblGrid>
        <w:gridCol w:w="5601"/>
        <w:gridCol w:w="3641"/>
      </w:tblGrid>
      <w:tr w:rsidR="0052166F" w:rsidTr="00C41B4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30" w:type="pct"/>
            <w:vAlign w:val="center"/>
          </w:tcPr>
          <w:p w:rsidR="0052166F" w:rsidRPr="0052166F" w:rsidRDefault="00DB3DB5" w:rsidP="00C41B47">
            <w:pPr>
              <w:spacing w:line="276" w:lineRule="auto"/>
              <w:ind w:firstLine="0"/>
              <w:rPr>
                <w:b w:val="0"/>
              </w:rPr>
            </w:pPr>
            <w:r>
              <w:rPr>
                <w:b w:val="0"/>
              </w:rPr>
              <w:t>IMDQ</w:t>
            </w:r>
          </w:p>
        </w:tc>
        <w:tc>
          <w:tcPr>
            <w:tcW w:w="1970" w:type="pct"/>
            <w:vAlign w:val="center"/>
          </w:tcPr>
          <w:p w:rsidR="0052166F" w:rsidRPr="00DB3DB5" w:rsidRDefault="00DB3DB5" w:rsidP="00C41B47">
            <w:pPr>
              <w:spacing w:line="276" w:lineRule="auto"/>
              <w:ind w:firstLine="0"/>
              <w:cnfStyle w:val="100000000000" w:firstRow="1" w:lastRow="0" w:firstColumn="0" w:lastColumn="0" w:oddVBand="0" w:evenVBand="0" w:oddHBand="0" w:evenHBand="0" w:firstRowFirstColumn="0" w:firstRowLastColumn="0" w:lastRowFirstColumn="0" w:lastRowLastColumn="0"/>
              <w:rPr>
                <w:b w:val="0"/>
              </w:rPr>
            </w:pPr>
            <w:r w:rsidRPr="00DB3DB5">
              <w:rPr>
                <w:b w:val="0"/>
              </w:rPr>
              <w:t>ELASTICITY</w:t>
            </w:r>
          </w:p>
        </w:tc>
      </w:tr>
      <w:tr w:rsidR="00DB3DB5" w:rsidTr="00C41B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30" w:type="pct"/>
            <w:tcBorders>
              <w:top w:val="none" w:sz="0" w:space="0" w:color="auto"/>
              <w:left w:val="none" w:sz="0" w:space="0" w:color="auto"/>
              <w:bottom w:val="none" w:sz="0" w:space="0" w:color="auto"/>
            </w:tcBorders>
            <w:vAlign w:val="center"/>
          </w:tcPr>
          <w:p w:rsidR="00DB3DB5" w:rsidRPr="00C41B47" w:rsidRDefault="00DB3DB5" w:rsidP="00C41B47">
            <w:pPr>
              <w:spacing w:line="276" w:lineRule="auto"/>
              <w:ind w:firstLine="0"/>
            </w:pPr>
            <w:r w:rsidRPr="00C41B47">
              <w:t>1 (least deprived)</w:t>
            </w:r>
          </w:p>
        </w:tc>
        <w:tc>
          <w:tcPr>
            <w:tcW w:w="1970" w:type="pct"/>
            <w:tcBorders>
              <w:top w:val="none" w:sz="0" w:space="0" w:color="auto"/>
              <w:bottom w:val="none" w:sz="0" w:space="0" w:color="auto"/>
              <w:right w:val="none" w:sz="0" w:space="0" w:color="auto"/>
            </w:tcBorders>
            <w:vAlign w:val="center"/>
          </w:tcPr>
          <w:p w:rsidR="00DB3DB5" w:rsidRDefault="00DB3DB5" w:rsidP="00C41B47">
            <w:pPr>
              <w:spacing w:line="276" w:lineRule="auto"/>
              <w:ind w:firstLine="0"/>
              <w:cnfStyle w:val="000000100000" w:firstRow="0" w:lastRow="0" w:firstColumn="0" w:lastColumn="0" w:oddVBand="0" w:evenVBand="0" w:oddHBand="1" w:evenHBand="0" w:firstRowFirstColumn="0" w:firstRowLastColumn="0" w:lastRowFirstColumn="0" w:lastRowLastColumn="0"/>
            </w:pPr>
            <w:r>
              <w:t>0.12</w:t>
            </w:r>
          </w:p>
        </w:tc>
      </w:tr>
      <w:tr w:rsidR="00DB3DB5" w:rsidTr="00C41B47">
        <w:trPr>
          <w:trHeight w:val="340"/>
        </w:trPr>
        <w:tc>
          <w:tcPr>
            <w:cnfStyle w:val="001000000000" w:firstRow="0" w:lastRow="0" w:firstColumn="1" w:lastColumn="0" w:oddVBand="0" w:evenVBand="0" w:oddHBand="0" w:evenHBand="0" w:firstRowFirstColumn="0" w:firstRowLastColumn="0" w:lastRowFirstColumn="0" w:lastRowLastColumn="0"/>
            <w:tcW w:w="3030" w:type="pct"/>
            <w:vAlign w:val="center"/>
          </w:tcPr>
          <w:p w:rsidR="00DB3DB5" w:rsidRPr="00C41B47" w:rsidRDefault="00DB3DB5" w:rsidP="00C41B47">
            <w:pPr>
              <w:spacing w:line="276" w:lineRule="auto"/>
              <w:ind w:firstLine="0"/>
            </w:pPr>
            <w:r w:rsidRPr="00C41B47">
              <w:t>2</w:t>
            </w:r>
          </w:p>
        </w:tc>
        <w:tc>
          <w:tcPr>
            <w:tcW w:w="1970" w:type="pct"/>
            <w:vAlign w:val="center"/>
          </w:tcPr>
          <w:p w:rsidR="00DB3DB5" w:rsidRDefault="00DB3DB5" w:rsidP="00C41B47">
            <w:pPr>
              <w:spacing w:line="276" w:lineRule="auto"/>
              <w:ind w:firstLine="0"/>
              <w:cnfStyle w:val="000000000000" w:firstRow="0" w:lastRow="0" w:firstColumn="0" w:lastColumn="0" w:oddVBand="0" w:evenVBand="0" w:oddHBand="0" w:evenHBand="0" w:firstRowFirstColumn="0" w:firstRowLastColumn="0" w:lastRowFirstColumn="0" w:lastRowLastColumn="0"/>
            </w:pPr>
            <w:r>
              <w:t>0.24</w:t>
            </w:r>
          </w:p>
        </w:tc>
      </w:tr>
      <w:tr w:rsidR="00DB3DB5" w:rsidTr="00C41B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30" w:type="pct"/>
            <w:tcBorders>
              <w:top w:val="none" w:sz="0" w:space="0" w:color="auto"/>
              <w:left w:val="none" w:sz="0" w:space="0" w:color="auto"/>
              <w:bottom w:val="none" w:sz="0" w:space="0" w:color="auto"/>
            </w:tcBorders>
            <w:vAlign w:val="center"/>
          </w:tcPr>
          <w:p w:rsidR="00DB3DB5" w:rsidRPr="00C41B47" w:rsidRDefault="00DB3DB5" w:rsidP="00C41B47">
            <w:pPr>
              <w:spacing w:line="276" w:lineRule="auto"/>
              <w:ind w:firstLine="0"/>
            </w:pPr>
            <w:r w:rsidRPr="00C41B47">
              <w:t>3</w:t>
            </w:r>
          </w:p>
        </w:tc>
        <w:tc>
          <w:tcPr>
            <w:tcW w:w="1970" w:type="pct"/>
            <w:tcBorders>
              <w:top w:val="none" w:sz="0" w:space="0" w:color="auto"/>
              <w:bottom w:val="none" w:sz="0" w:space="0" w:color="auto"/>
              <w:right w:val="none" w:sz="0" w:space="0" w:color="auto"/>
            </w:tcBorders>
            <w:vAlign w:val="center"/>
          </w:tcPr>
          <w:p w:rsidR="00DB3DB5" w:rsidRDefault="00DB3DB5" w:rsidP="00C41B47">
            <w:pPr>
              <w:spacing w:line="276" w:lineRule="auto"/>
              <w:ind w:firstLine="0"/>
              <w:cnfStyle w:val="000000100000" w:firstRow="0" w:lastRow="0" w:firstColumn="0" w:lastColumn="0" w:oddVBand="0" w:evenVBand="0" w:oddHBand="1" w:evenHBand="0" w:firstRowFirstColumn="0" w:firstRowLastColumn="0" w:lastRowFirstColumn="0" w:lastRowLastColumn="0"/>
            </w:pPr>
            <w:r>
              <w:t>0.35</w:t>
            </w:r>
          </w:p>
        </w:tc>
      </w:tr>
      <w:tr w:rsidR="00DB3DB5" w:rsidTr="00C41B47">
        <w:trPr>
          <w:trHeight w:val="340"/>
        </w:trPr>
        <w:tc>
          <w:tcPr>
            <w:cnfStyle w:val="001000000000" w:firstRow="0" w:lastRow="0" w:firstColumn="1" w:lastColumn="0" w:oddVBand="0" w:evenVBand="0" w:oddHBand="0" w:evenHBand="0" w:firstRowFirstColumn="0" w:firstRowLastColumn="0" w:lastRowFirstColumn="0" w:lastRowLastColumn="0"/>
            <w:tcW w:w="3030" w:type="pct"/>
            <w:vAlign w:val="center"/>
          </w:tcPr>
          <w:p w:rsidR="00DB3DB5" w:rsidRPr="00C41B47" w:rsidRDefault="00DB3DB5" w:rsidP="00C41B47">
            <w:pPr>
              <w:spacing w:line="276" w:lineRule="auto"/>
              <w:ind w:firstLine="0"/>
            </w:pPr>
            <w:r w:rsidRPr="00C41B47">
              <w:t>4</w:t>
            </w:r>
          </w:p>
        </w:tc>
        <w:tc>
          <w:tcPr>
            <w:tcW w:w="1970" w:type="pct"/>
            <w:vAlign w:val="center"/>
          </w:tcPr>
          <w:p w:rsidR="00DB3DB5" w:rsidRDefault="00DB3DB5" w:rsidP="00C41B47">
            <w:pPr>
              <w:spacing w:line="276" w:lineRule="auto"/>
              <w:ind w:firstLine="0"/>
              <w:cnfStyle w:val="000000000000" w:firstRow="0" w:lastRow="0" w:firstColumn="0" w:lastColumn="0" w:oddVBand="0" w:evenVBand="0" w:oddHBand="0" w:evenHBand="0" w:firstRowFirstColumn="0" w:firstRowLastColumn="0" w:lastRowFirstColumn="0" w:lastRowLastColumn="0"/>
            </w:pPr>
            <w:r>
              <w:t>0.42</w:t>
            </w:r>
          </w:p>
        </w:tc>
      </w:tr>
      <w:tr w:rsidR="00DB3DB5" w:rsidTr="00C41B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30" w:type="pct"/>
            <w:tcBorders>
              <w:top w:val="none" w:sz="0" w:space="0" w:color="auto"/>
              <w:left w:val="none" w:sz="0" w:space="0" w:color="auto"/>
              <w:bottom w:val="none" w:sz="0" w:space="0" w:color="auto"/>
            </w:tcBorders>
            <w:vAlign w:val="center"/>
          </w:tcPr>
          <w:p w:rsidR="00DB3DB5" w:rsidRPr="00C41B47" w:rsidRDefault="00DB3DB5" w:rsidP="00C41B47">
            <w:pPr>
              <w:spacing w:line="276" w:lineRule="auto"/>
              <w:ind w:firstLine="0"/>
            </w:pPr>
            <w:r w:rsidRPr="00C41B47">
              <w:t>5 (most deprived)</w:t>
            </w:r>
          </w:p>
        </w:tc>
        <w:tc>
          <w:tcPr>
            <w:tcW w:w="1970" w:type="pct"/>
            <w:tcBorders>
              <w:top w:val="none" w:sz="0" w:space="0" w:color="auto"/>
              <w:bottom w:val="none" w:sz="0" w:space="0" w:color="auto"/>
              <w:right w:val="none" w:sz="0" w:space="0" w:color="auto"/>
            </w:tcBorders>
            <w:vAlign w:val="center"/>
          </w:tcPr>
          <w:p w:rsidR="00DB3DB5" w:rsidRDefault="00DB3DB5" w:rsidP="00C41B47">
            <w:pPr>
              <w:spacing w:line="276" w:lineRule="auto"/>
              <w:ind w:firstLine="0"/>
              <w:cnfStyle w:val="000000100000" w:firstRow="0" w:lastRow="0" w:firstColumn="0" w:lastColumn="0" w:oddVBand="0" w:evenVBand="0" w:oddHBand="1" w:evenHBand="0" w:firstRowFirstColumn="0" w:firstRowLastColumn="0" w:lastRowFirstColumn="0" w:lastRowLastColumn="0"/>
            </w:pPr>
            <w:r>
              <w:t>0.63</w:t>
            </w:r>
          </w:p>
        </w:tc>
      </w:tr>
    </w:tbl>
    <w:p w:rsidR="00B128EA" w:rsidRDefault="00B128EA" w:rsidP="00B128EA">
      <w:pPr>
        <w:spacing w:line="360" w:lineRule="auto"/>
        <w:ind w:firstLine="0"/>
      </w:pPr>
      <w:r>
        <w:br w:type="page"/>
      </w:r>
    </w:p>
    <w:p w:rsidR="00B128EA" w:rsidRDefault="00B128EA" w:rsidP="00B128EA">
      <w:pPr>
        <w:spacing w:line="360" w:lineRule="auto"/>
        <w:ind w:firstLine="0"/>
      </w:pPr>
    </w:p>
    <w:p w:rsidR="00DE29A2" w:rsidRDefault="00DE29A2" w:rsidP="00F42129">
      <w:pPr>
        <w:pStyle w:val="Caption"/>
        <w:keepNext/>
        <w:ind w:firstLine="0"/>
      </w:pPr>
      <w:r>
        <w:t xml:space="preserve">Table S </w:t>
      </w:r>
      <w:fldSimple w:instr=" SEQ Table_S \* ARABIC ">
        <w:r>
          <w:rPr>
            <w:noProof/>
          </w:rPr>
          <w:t>3</w:t>
        </w:r>
      </w:fldSimple>
      <w:r>
        <w:t xml:space="preserve"> Contribution of the different policy components to the modelled prevalence reduction. Brackets contain 95% confid</w:t>
      </w:r>
      <w:r w:rsidR="00F42129">
        <w:t>ence intervals</w:t>
      </w:r>
    </w:p>
    <w:tbl>
      <w:tblPr>
        <w:tblStyle w:val="LightList"/>
        <w:tblW w:w="5000" w:type="pct"/>
        <w:tblBorders>
          <w:left w:val="none" w:sz="0" w:space="0" w:color="auto"/>
          <w:right w:val="none" w:sz="0" w:space="0" w:color="auto"/>
          <w:insideH w:val="single" w:sz="8" w:space="0" w:color="000000" w:themeColor="text1"/>
        </w:tblBorders>
        <w:tblLook w:val="04A0" w:firstRow="1" w:lastRow="0" w:firstColumn="1" w:lastColumn="0" w:noHBand="0" w:noVBand="1"/>
      </w:tblPr>
      <w:tblGrid>
        <w:gridCol w:w="4786"/>
        <w:gridCol w:w="4456"/>
      </w:tblGrid>
      <w:tr w:rsidR="00DE29A2" w:rsidTr="00F421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89" w:type="pct"/>
            <w:vAlign w:val="center"/>
          </w:tcPr>
          <w:p w:rsidR="00DE29A2" w:rsidRPr="0052166F" w:rsidRDefault="00DE29A2" w:rsidP="002B0BC2">
            <w:pPr>
              <w:spacing w:line="276" w:lineRule="auto"/>
              <w:ind w:firstLine="0"/>
              <w:rPr>
                <w:b w:val="0"/>
              </w:rPr>
            </w:pPr>
            <w:r>
              <w:rPr>
                <w:b w:val="0"/>
              </w:rPr>
              <w:t>POLICY</w:t>
            </w:r>
          </w:p>
        </w:tc>
        <w:tc>
          <w:tcPr>
            <w:tcW w:w="2411" w:type="pct"/>
            <w:vAlign w:val="center"/>
          </w:tcPr>
          <w:p w:rsidR="00DE29A2" w:rsidRPr="00DB3DB5" w:rsidRDefault="00F42129" w:rsidP="002B0BC2">
            <w:pPr>
              <w:spacing w:line="276" w:lineRule="auto"/>
              <w:ind w:firstLine="0"/>
              <w:cnfStyle w:val="100000000000" w:firstRow="1" w:lastRow="0" w:firstColumn="0" w:lastColumn="0" w:oddVBand="0" w:evenVBand="0" w:oddHBand="0" w:evenHBand="0" w:firstRowFirstColumn="0" w:firstRowLastColumn="0" w:lastRowFirstColumn="0" w:lastRowLastColumn="0"/>
              <w:rPr>
                <w:b w:val="0"/>
              </w:rPr>
            </w:pPr>
            <w:r>
              <w:rPr>
                <w:b w:val="0"/>
              </w:rPr>
              <w:t>CONTRIBUTION (95% confidence intervals)</w:t>
            </w:r>
          </w:p>
        </w:tc>
      </w:tr>
      <w:tr w:rsidR="00DE29A2" w:rsidTr="00F421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89" w:type="pct"/>
            <w:tcBorders>
              <w:top w:val="none" w:sz="0" w:space="0" w:color="auto"/>
              <w:left w:val="none" w:sz="0" w:space="0" w:color="auto"/>
              <w:bottom w:val="none" w:sz="0" w:space="0" w:color="auto"/>
            </w:tcBorders>
            <w:vAlign w:val="center"/>
          </w:tcPr>
          <w:p w:rsidR="00DE29A2" w:rsidRPr="00C41B47" w:rsidRDefault="00F42129" w:rsidP="002B0BC2">
            <w:pPr>
              <w:spacing w:line="276" w:lineRule="auto"/>
              <w:ind w:firstLine="0"/>
            </w:pPr>
            <w:r>
              <w:t>Price</w:t>
            </w:r>
          </w:p>
        </w:tc>
        <w:tc>
          <w:tcPr>
            <w:tcW w:w="2411" w:type="pct"/>
            <w:tcBorders>
              <w:top w:val="none" w:sz="0" w:space="0" w:color="auto"/>
              <w:bottom w:val="none" w:sz="0" w:space="0" w:color="auto"/>
              <w:right w:val="none" w:sz="0" w:space="0" w:color="auto"/>
            </w:tcBorders>
            <w:vAlign w:val="center"/>
          </w:tcPr>
          <w:p w:rsidR="00DE29A2" w:rsidRDefault="00F42129" w:rsidP="002B0BC2">
            <w:pPr>
              <w:spacing w:line="276" w:lineRule="auto"/>
              <w:ind w:firstLine="0"/>
              <w:cnfStyle w:val="000000100000" w:firstRow="0" w:lastRow="0" w:firstColumn="0" w:lastColumn="0" w:oddVBand="0" w:evenVBand="0" w:oddHBand="1" w:evenHBand="0" w:firstRowFirstColumn="0" w:firstRowLastColumn="0" w:lastRowFirstColumn="0" w:lastRowLastColumn="0"/>
            </w:pPr>
            <w:r>
              <w:t>48% (41% - 57%)</w:t>
            </w:r>
          </w:p>
        </w:tc>
      </w:tr>
      <w:tr w:rsidR="00DE29A2" w:rsidTr="00F42129">
        <w:trPr>
          <w:trHeight w:val="340"/>
        </w:trPr>
        <w:tc>
          <w:tcPr>
            <w:cnfStyle w:val="001000000000" w:firstRow="0" w:lastRow="0" w:firstColumn="1" w:lastColumn="0" w:oddVBand="0" w:evenVBand="0" w:oddHBand="0" w:evenHBand="0" w:firstRowFirstColumn="0" w:firstRowLastColumn="0" w:lastRowFirstColumn="0" w:lastRowLastColumn="0"/>
            <w:tcW w:w="2589" w:type="pct"/>
            <w:vAlign w:val="center"/>
          </w:tcPr>
          <w:p w:rsidR="00DE29A2" w:rsidRPr="00C41B47" w:rsidRDefault="00F42129" w:rsidP="002B0BC2">
            <w:pPr>
              <w:spacing w:line="276" w:lineRule="auto"/>
              <w:ind w:firstLine="0"/>
            </w:pPr>
            <w:r w:rsidRPr="00F42129">
              <w:t>Smoke-free places</w:t>
            </w:r>
          </w:p>
        </w:tc>
        <w:tc>
          <w:tcPr>
            <w:tcW w:w="2411" w:type="pct"/>
            <w:vAlign w:val="center"/>
          </w:tcPr>
          <w:p w:rsidR="00DE29A2" w:rsidRDefault="00F42129" w:rsidP="002B0BC2">
            <w:pPr>
              <w:spacing w:line="276" w:lineRule="auto"/>
              <w:ind w:firstLine="0"/>
              <w:cnfStyle w:val="000000000000" w:firstRow="0" w:lastRow="0" w:firstColumn="0" w:lastColumn="0" w:oddVBand="0" w:evenVBand="0" w:oddHBand="0" w:evenHBand="0" w:firstRowFirstColumn="0" w:firstRowLastColumn="0" w:lastRowFirstColumn="0" w:lastRowLastColumn="0"/>
            </w:pPr>
            <w:r>
              <w:t xml:space="preserve">7% </w:t>
            </w:r>
            <w:r>
              <w:t xml:space="preserve">  </w:t>
            </w:r>
            <w:r>
              <w:t>(6% - 8%)</w:t>
            </w:r>
          </w:p>
        </w:tc>
      </w:tr>
      <w:tr w:rsidR="00DE29A2" w:rsidTr="00F421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89" w:type="pct"/>
            <w:tcBorders>
              <w:top w:val="none" w:sz="0" w:space="0" w:color="auto"/>
              <w:left w:val="none" w:sz="0" w:space="0" w:color="auto"/>
              <w:bottom w:val="none" w:sz="0" w:space="0" w:color="auto"/>
            </w:tcBorders>
            <w:vAlign w:val="center"/>
          </w:tcPr>
          <w:p w:rsidR="00DE29A2" w:rsidRPr="00C41B47" w:rsidRDefault="00F42129" w:rsidP="002B0BC2">
            <w:pPr>
              <w:spacing w:line="276" w:lineRule="auto"/>
              <w:ind w:firstLine="0"/>
            </w:pPr>
            <w:r w:rsidRPr="00F42129">
              <w:t>Public information campaigns</w:t>
            </w:r>
          </w:p>
        </w:tc>
        <w:tc>
          <w:tcPr>
            <w:tcW w:w="2411" w:type="pct"/>
            <w:tcBorders>
              <w:top w:val="none" w:sz="0" w:space="0" w:color="auto"/>
              <w:bottom w:val="none" w:sz="0" w:space="0" w:color="auto"/>
              <w:right w:val="none" w:sz="0" w:space="0" w:color="auto"/>
            </w:tcBorders>
            <w:vAlign w:val="center"/>
          </w:tcPr>
          <w:p w:rsidR="00DE29A2" w:rsidRDefault="00F42129" w:rsidP="002B0BC2">
            <w:pPr>
              <w:spacing w:line="276" w:lineRule="auto"/>
              <w:ind w:firstLine="0"/>
              <w:cnfStyle w:val="000000100000" w:firstRow="0" w:lastRow="0" w:firstColumn="0" w:lastColumn="0" w:oddVBand="0" w:evenVBand="0" w:oddHBand="1" w:evenHBand="0" w:firstRowFirstColumn="0" w:firstRowLastColumn="0" w:lastRowFirstColumn="0" w:lastRowLastColumn="0"/>
            </w:pPr>
            <w:r>
              <w:t>7%</w:t>
            </w:r>
            <w:r>
              <w:t xml:space="preserve">  </w:t>
            </w:r>
            <w:r>
              <w:t xml:space="preserve"> (6% - 8%)</w:t>
            </w:r>
          </w:p>
        </w:tc>
      </w:tr>
      <w:tr w:rsidR="00DE29A2" w:rsidTr="00F42129">
        <w:trPr>
          <w:trHeight w:val="340"/>
        </w:trPr>
        <w:tc>
          <w:tcPr>
            <w:cnfStyle w:val="001000000000" w:firstRow="0" w:lastRow="0" w:firstColumn="1" w:lastColumn="0" w:oddVBand="0" w:evenVBand="0" w:oddHBand="0" w:evenHBand="0" w:firstRowFirstColumn="0" w:firstRowLastColumn="0" w:lastRowFirstColumn="0" w:lastRowLastColumn="0"/>
            <w:tcW w:w="2589" w:type="pct"/>
            <w:vAlign w:val="center"/>
          </w:tcPr>
          <w:p w:rsidR="00DE29A2" w:rsidRPr="00C41B47" w:rsidRDefault="00F42129" w:rsidP="002B0BC2">
            <w:pPr>
              <w:spacing w:line="276" w:lineRule="auto"/>
              <w:ind w:firstLine="0"/>
            </w:pPr>
            <w:r w:rsidRPr="00F42129">
              <w:t>Advertising bans</w:t>
            </w:r>
          </w:p>
        </w:tc>
        <w:tc>
          <w:tcPr>
            <w:tcW w:w="2411" w:type="pct"/>
            <w:vAlign w:val="center"/>
          </w:tcPr>
          <w:p w:rsidR="00DE29A2" w:rsidRDefault="00F42129" w:rsidP="002B0BC2">
            <w:pPr>
              <w:spacing w:line="276" w:lineRule="auto"/>
              <w:ind w:firstLine="0"/>
              <w:cnfStyle w:val="000000000000" w:firstRow="0" w:lastRow="0" w:firstColumn="0" w:lastColumn="0" w:oddVBand="0" w:evenVBand="0" w:oddHBand="0" w:evenHBand="0" w:firstRowFirstColumn="0" w:firstRowLastColumn="0" w:lastRowFirstColumn="0" w:lastRowLastColumn="0"/>
            </w:pPr>
            <w:r>
              <w:t>15% (12% - 16%)</w:t>
            </w:r>
          </w:p>
        </w:tc>
      </w:tr>
      <w:tr w:rsidR="00DE29A2" w:rsidTr="00F421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89" w:type="pct"/>
            <w:tcBorders>
              <w:top w:val="none" w:sz="0" w:space="0" w:color="auto"/>
              <w:left w:val="none" w:sz="0" w:space="0" w:color="auto"/>
              <w:bottom w:val="none" w:sz="0" w:space="0" w:color="auto"/>
            </w:tcBorders>
            <w:vAlign w:val="center"/>
          </w:tcPr>
          <w:p w:rsidR="00DE29A2" w:rsidRPr="00C41B47" w:rsidRDefault="00F42129" w:rsidP="002B0BC2">
            <w:pPr>
              <w:spacing w:line="276" w:lineRule="auto"/>
              <w:ind w:firstLine="0"/>
            </w:pPr>
            <w:r w:rsidRPr="00F42129">
              <w:t>Health Warnings</w:t>
            </w:r>
          </w:p>
        </w:tc>
        <w:tc>
          <w:tcPr>
            <w:tcW w:w="2411" w:type="pct"/>
            <w:tcBorders>
              <w:top w:val="none" w:sz="0" w:space="0" w:color="auto"/>
              <w:bottom w:val="none" w:sz="0" w:space="0" w:color="auto"/>
              <w:right w:val="none" w:sz="0" w:space="0" w:color="auto"/>
            </w:tcBorders>
            <w:vAlign w:val="center"/>
          </w:tcPr>
          <w:p w:rsidR="00DE29A2" w:rsidRDefault="00F42129" w:rsidP="002B0BC2">
            <w:pPr>
              <w:spacing w:line="276" w:lineRule="auto"/>
              <w:ind w:firstLine="0"/>
              <w:cnfStyle w:val="000000100000" w:firstRow="0" w:lastRow="0" w:firstColumn="0" w:lastColumn="0" w:oddVBand="0" w:evenVBand="0" w:oddHBand="1" w:evenHBand="0" w:firstRowFirstColumn="0" w:firstRowLastColumn="0" w:lastRowFirstColumn="0" w:lastRowLastColumn="0"/>
            </w:pPr>
            <w:r>
              <w:t>7%   (6% - 8%)</w:t>
            </w:r>
          </w:p>
        </w:tc>
      </w:tr>
      <w:tr w:rsidR="00F42129" w:rsidTr="00F42129">
        <w:trPr>
          <w:trHeight w:val="340"/>
        </w:trPr>
        <w:tc>
          <w:tcPr>
            <w:cnfStyle w:val="001000000000" w:firstRow="0" w:lastRow="0" w:firstColumn="1" w:lastColumn="0" w:oddVBand="0" w:evenVBand="0" w:oddHBand="0" w:evenHBand="0" w:firstRowFirstColumn="0" w:firstRowLastColumn="0" w:lastRowFirstColumn="0" w:lastRowLastColumn="0"/>
            <w:tcW w:w="2589" w:type="pct"/>
            <w:tcBorders>
              <w:bottom w:val="single" w:sz="8" w:space="0" w:color="000000" w:themeColor="text1"/>
            </w:tcBorders>
            <w:vAlign w:val="center"/>
          </w:tcPr>
          <w:p w:rsidR="00F42129" w:rsidRPr="00F42129" w:rsidRDefault="00F42129" w:rsidP="002B0BC2">
            <w:pPr>
              <w:spacing w:line="276" w:lineRule="auto"/>
              <w:ind w:firstLine="0"/>
            </w:pPr>
            <w:r>
              <w:t>Plain packaging</w:t>
            </w:r>
          </w:p>
        </w:tc>
        <w:tc>
          <w:tcPr>
            <w:tcW w:w="2411" w:type="pct"/>
            <w:tcBorders>
              <w:bottom w:val="single" w:sz="8" w:space="0" w:color="000000" w:themeColor="text1"/>
            </w:tcBorders>
            <w:vAlign w:val="center"/>
          </w:tcPr>
          <w:p w:rsidR="00F42129" w:rsidRDefault="00F42129" w:rsidP="002B0BC2">
            <w:pPr>
              <w:spacing w:line="276" w:lineRule="auto"/>
              <w:ind w:firstLine="0"/>
              <w:cnfStyle w:val="000000000000" w:firstRow="0" w:lastRow="0" w:firstColumn="0" w:lastColumn="0" w:oddVBand="0" w:evenVBand="0" w:oddHBand="0" w:evenHBand="0" w:firstRowFirstColumn="0" w:firstRowLastColumn="0" w:lastRowFirstColumn="0" w:lastRowLastColumn="0"/>
            </w:pPr>
            <w:r>
              <w:t>15% (12% - 16%)</w:t>
            </w:r>
          </w:p>
        </w:tc>
      </w:tr>
      <w:tr w:rsidR="00F42129" w:rsidTr="00F421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89" w:type="pct"/>
            <w:tcBorders>
              <w:left w:val="nil"/>
            </w:tcBorders>
            <w:vAlign w:val="center"/>
          </w:tcPr>
          <w:p w:rsidR="00F42129" w:rsidRPr="00F42129" w:rsidRDefault="00F42129" w:rsidP="002B0BC2">
            <w:pPr>
              <w:spacing w:line="276" w:lineRule="auto"/>
              <w:ind w:firstLine="0"/>
            </w:pPr>
            <w:r>
              <w:t>Treatment</w:t>
            </w:r>
          </w:p>
        </w:tc>
        <w:tc>
          <w:tcPr>
            <w:tcW w:w="2411" w:type="pct"/>
            <w:tcBorders>
              <w:right w:val="nil"/>
            </w:tcBorders>
            <w:vAlign w:val="center"/>
          </w:tcPr>
          <w:p w:rsidR="00F42129" w:rsidRDefault="00F42129" w:rsidP="002B0BC2">
            <w:pPr>
              <w:spacing w:line="276" w:lineRule="auto"/>
              <w:ind w:firstLine="0"/>
              <w:cnfStyle w:val="000000100000" w:firstRow="0" w:lastRow="0" w:firstColumn="0" w:lastColumn="0" w:oddVBand="0" w:evenVBand="0" w:oddHBand="1" w:evenHBand="0" w:firstRowFirstColumn="0" w:firstRowLastColumn="0" w:lastRowFirstColumn="0" w:lastRowLastColumn="0"/>
            </w:pPr>
            <w:r>
              <w:t xml:space="preserve">4%   </w:t>
            </w:r>
            <w:bookmarkStart w:id="0" w:name="_GoBack"/>
            <w:bookmarkEnd w:id="0"/>
            <w:r>
              <w:t>(3% - 5%)</w:t>
            </w:r>
          </w:p>
        </w:tc>
      </w:tr>
    </w:tbl>
    <w:p w:rsidR="00DE29A2" w:rsidRPr="0075204C" w:rsidRDefault="00DE29A2" w:rsidP="00B128EA">
      <w:pPr>
        <w:spacing w:line="360" w:lineRule="auto"/>
        <w:ind w:firstLine="0"/>
        <w:sectPr w:rsidR="00DE29A2" w:rsidRPr="0075204C">
          <w:pgSz w:w="11906" w:h="16838"/>
          <w:pgMar w:top="1440" w:right="1440" w:bottom="1440" w:left="1440" w:header="708" w:footer="708" w:gutter="0"/>
          <w:cols w:space="708"/>
          <w:docGrid w:linePitch="360"/>
        </w:sectPr>
      </w:pPr>
    </w:p>
    <w:p w:rsidR="00713545" w:rsidRDefault="00713545" w:rsidP="00713545">
      <w:pPr>
        <w:pStyle w:val="Caption"/>
        <w:keepNext/>
        <w:ind w:firstLine="0"/>
      </w:pPr>
      <w:r>
        <w:lastRenderedPageBreak/>
        <w:t xml:space="preserve">Table S </w:t>
      </w:r>
      <w:fldSimple w:instr=" SEQ Table_S \* ARABIC ">
        <w:r w:rsidR="00DE29A2">
          <w:rPr>
            <w:noProof/>
          </w:rPr>
          <w:t>4</w:t>
        </w:r>
      </w:fldSimple>
      <w:r w:rsidRPr="00713545">
        <w:t xml:space="preserve"> Principle results (compare with Table 2</w:t>
      </w:r>
      <w:r>
        <w:t xml:space="preserve"> in main text</w:t>
      </w:r>
      <w:r w:rsidRPr="00713545">
        <w:t>) if all policies are assumed to have no SEC gradient in effectiveness. This means that the relative reduction for all SEC groups is 14%. Since this corresponds to larger absolute reductions in smoking prevalence and because the disadvantaged SEC groups have higher CHD mortality, there would still be substantial gains among those who stand to gain the most. However, the differences across the SEC groups would be le</w:t>
      </w:r>
      <w:r w:rsidR="00E1373E">
        <w:t>ss</w:t>
      </w:r>
      <w:r w:rsidRPr="00713545">
        <w:t xml:space="preserve"> than calculated in the principle analysis.</w:t>
      </w:r>
    </w:p>
    <w:tbl>
      <w:tblPr>
        <w:tblStyle w:val="LightList"/>
        <w:tblW w:w="14674" w:type="dxa"/>
        <w:tblLook w:val="04A0" w:firstRow="1" w:lastRow="0" w:firstColumn="1" w:lastColumn="0" w:noHBand="0" w:noVBand="1"/>
      </w:tblPr>
      <w:tblGrid>
        <w:gridCol w:w="960"/>
        <w:gridCol w:w="960"/>
        <w:gridCol w:w="777"/>
        <w:gridCol w:w="1187"/>
        <w:gridCol w:w="1326"/>
        <w:gridCol w:w="1707"/>
        <w:gridCol w:w="992"/>
        <w:gridCol w:w="855"/>
        <w:gridCol w:w="1034"/>
        <w:gridCol w:w="1650"/>
        <w:gridCol w:w="1809"/>
        <w:gridCol w:w="1417"/>
      </w:tblGrid>
      <w:tr w:rsidR="00707B8A" w:rsidRPr="00A45437" w:rsidTr="00707B8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000000" w:themeColor="text1"/>
              <w:left w:val="nil"/>
            </w:tcBorders>
            <w:noWrap/>
            <w:vAlign w:val="center"/>
            <w:hideMark/>
          </w:tcPr>
          <w:p w:rsidR="00707B8A" w:rsidRPr="00683E62" w:rsidRDefault="00707B8A" w:rsidP="00707B8A">
            <w:pPr>
              <w:spacing w:line="360" w:lineRule="auto"/>
              <w:ind w:firstLine="0"/>
              <w:rPr>
                <w:rFonts w:ascii="Calibri" w:eastAsia="Times New Roman" w:hAnsi="Calibri" w:cs="Times New Roman"/>
                <w:sz w:val="16"/>
                <w:lang w:eastAsia="en-GB"/>
              </w:rPr>
            </w:pPr>
            <w:r w:rsidRPr="00683E62">
              <w:rPr>
                <w:rFonts w:ascii="Calibri" w:eastAsia="Times New Roman" w:hAnsi="Calibri" w:cs="Times New Roman"/>
                <w:sz w:val="16"/>
                <w:lang w:eastAsia="en-GB"/>
              </w:rPr>
              <w:t>IMDQ</w:t>
            </w:r>
          </w:p>
        </w:tc>
        <w:tc>
          <w:tcPr>
            <w:tcW w:w="960" w:type="dxa"/>
            <w:tcBorders>
              <w:top w:val="single" w:sz="8" w:space="0" w:color="000000" w:themeColor="text1"/>
            </w:tcBorders>
            <w:noWrap/>
            <w:vAlign w:val="center"/>
            <w:hideMark/>
          </w:tcPr>
          <w:p w:rsidR="00707B8A" w:rsidRPr="00683E62" w:rsidRDefault="00707B8A" w:rsidP="00707B8A">
            <w:pPr>
              <w:spacing w:line="36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lang w:eastAsia="en-GB"/>
              </w:rPr>
            </w:pPr>
            <w:r>
              <w:rPr>
                <w:rFonts w:ascii="Calibri" w:eastAsia="Times New Roman" w:hAnsi="Calibri" w:cs="Times New Roman"/>
                <w:sz w:val="16"/>
                <w:lang w:eastAsia="en-GB"/>
              </w:rPr>
              <w:t>SEX</w:t>
            </w:r>
          </w:p>
        </w:tc>
        <w:tc>
          <w:tcPr>
            <w:tcW w:w="3290" w:type="dxa"/>
            <w:gridSpan w:val="3"/>
            <w:tcBorders>
              <w:top w:val="single" w:sz="8" w:space="0" w:color="000000" w:themeColor="text1"/>
            </w:tcBorders>
            <w:noWrap/>
            <w:vAlign w:val="center"/>
            <w:hideMark/>
          </w:tcPr>
          <w:p w:rsidR="00707B8A" w:rsidRPr="00713545" w:rsidRDefault="00707B8A" w:rsidP="00707B8A">
            <w:pPr>
              <w:spacing w:line="36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lang w:eastAsia="en-GB"/>
              </w:rPr>
            </w:pPr>
            <w:r w:rsidRPr="00713545">
              <w:rPr>
                <w:rFonts w:ascii="Calibri" w:eastAsia="Times New Roman" w:hAnsi="Calibri" w:cs="Times New Roman"/>
                <w:sz w:val="16"/>
                <w:lang w:eastAsia="en-GB"/>
              </w:rPr>
              <w:t>SMOKING PREVALENCE</w:t>
            </w:r>
          </w:p>
        </w:tc>
        <w:tc>
          <w:tcPr>
            <w:tcW w:w="1707" w:type="dxa"/>
            <w:tcBorders>
              <w:top w:val="single" w:sz="8" w:space="0" w:color="000000" w:themeColor="text1"/>
            </w:tcBorders>
            <w:noWrap/>
            <w:vAlign w:val="center"/>
            <w:hideMark/>
          </w:tcPr>
          <w:p w:rsidR="00707B8A" w:rsidRPr="00713545" w:rsidRDefault="00707B8A" w:rsidP="00707B8A">
            <w:pPr>
              <w:spacing w:line="36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lang w:eastAsia="en-GB"/>
              </w:rPr>
            </w:pPr>
          </w:p>
        </w:tc>
        <w:tc>
          <w:tcPr>
            <w:tcW w:w="992" w:type="dxa"/>
            <w:tcBorders>
              <w:top w:val="single" w:sz="8" w:space="0" w:color="000000" w:themeColor="text1"/>
            </w:tcBorders>
            <w:noWrap/>
            <w:vAlign w:val="center"/>
            <w:hideMark/>
          </w:tcPr>
          <w:p w:rsidR="00707B8A" w:rsidRPr="00713545" w:rsidRDefault="00707B8A" w:rsidP="00707B8A">
            <w:pPr>
              <w:spacing w:line="36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lang w:eastAsia="en-GB"/>
              </w:rPr>
            </w:pPr>
          </w:p>
        </w:tc>
        <w:tc>
          <w:tcPr>
            <w:tcW w:w="3539" w:type="dxa"/>
            <w:gridSpan w:val="3"/>
            <w:tcBorders>
              <w:top w:val="single" w:sz="8" w:space="0" w:color="000000" w:themeColor="text1"/>
            </w:tcBorders>
            <w:noWrap/>
            <w:vAlign w:val="center"/>
            <w:hideMark/>
          </w:tcPr>
          <w:p w:rsidR="00707B8A" w:rsidRPr="00713545" w:rsidRDefault="00707B8A" w:rsidP="00707B8A">
            <w:pPr>
              <w:spacing w:line="36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lang w:eastAsia="en-GB"/>
              </w:rPr>
            </w:pPr>
            <w:r w:rsidRPr="00713545">
              <w:rPr>
                <w:rFonts w:ascii="Calibri" w:eastAsia="Times New Roman" w:hAnsi="Calibri" w:cs="Times New Roman"/>
                <w:sz w:val="16"/>
                <w:lang w:eastAsia="en-GB"/>
              </w:rPr>
              <w:t>PREMATURE CHD DEATHS</w:t>
            </w:r>
          </w:p>
        </w:tc>
        <w:tc>
          <w:tcPr>
            <w:tcW w:w="3226" w:type="dxa"/>
            <w:gridSpan w:val="2"/>
            <w:tcBorders>
              <w:top w:val="single" w:sz="8" w:space="0" w:color="000000" w:themeColor="text1"/>
            </w:tcBorders>
            <w:noWrap/>
            <w:vAlign w:val="center"/>
            <w:hideMark/>
          </w:tcPr>
          <w:p w:rsidR="00707B8A" w:rsidRPr="00713545" w:rsidRDefault="00707B8A" w:rsidP="00707B8A">
            <w:pPr>
              <w:spacing w:line="36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6"/>
                <w:lang w:eastAsia="en-GB"/>
              </w:rPr>
            </w:pPr>
            <w:r w:rsidRPr="00713545">
              <w:rPr>
                <w:rFonts w:ascii="Calibri" w:eastAsia="Times New Roman" w:hAnsi="Calibri" w:cs="Times New Roman"/>
                <w:sz w:val="16"/>
                <w:lang w:eastAsia="en-GB"/>
              </w:rPr>
              <w:t>LIFE YEARS GAINED</w:t>
            </w:r>
          </w:p>
        </w:tc>
      </w:tr>
      <w:tr w:rsidR="00707B8A" w:rsidRPr="00A45437" w:rsidTr="00707B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p>
        </w:tc>
        <w:tc>
          <w:tcPr>
            <w:tcW w:w="960"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p>
        </w:tc>
        <w:tc>
          <w:tcPr>
            <w:tcW w:w="77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Baseline</w:t>
            </w:r>
          </w:p>
        </w:tc>
        <w:tc>
          <w:tcPr>
            <w:tcW w:w="118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With policies</w:t>
            </w:r>
          </w:p>
        </w:tc>
        <w:tc>
          <w:tcPr>
            <w:tcW w:w="1326"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95%</w:t>
            </w:r>
            <w:r>
              <w:rPr>
                <w:rFonts w:ascii="Calibri" w:eastAsia="Times New Roman" w:hAnsi="Calibri" w:cs="Times New Roman"/>
                <w:color w:val="000000"/>
                <w:sz w:val="16"/>
                <w:lang w:eastAsia="en-GB"/>
              </w:rPr>
              <w:t xml:space="preserve"> </w:t>
            </w:r>
            <w:r w:rsidRPr="00A45437">
              <w:rPr>
                <w:rFonts w:ascii="Calibri" w:eastAsia="Times New Roman" w:hAnsi="Calibri" w:cs="Times New Roman"/>
                <w:color w:val="000000"/>
                <w:sz w:val="16"/>
                <w:lang w:eastAsia="en-GB"/>
              </w:rPr>
              <w:t>CI</w:t>
            </w:r>
          </w:p>
        </w:tc>
        <w:tc>
          <w:tcPr>
            <w:tcW w:w="170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Relative Reduction</w:t>
            </w:r>
          </w:p>
        </w:tc>
        <w:tc>
          <w:tcPr>
            <w:tcW w:w="992"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95%</w:t>
            </w:r>
            <w:r>
              <w:rPr>
                <w:rFonts w:ascii="Calibri" w:eastAsia="Times New Roman" w:hAnsi="Calibri" w:cs="Times New Roman"/>
                <w:color w:val="000000"/>
                <w:sz w:val="16"/>
                <w:lang w:eastAsia="en-GB"/>
              </w:rPr>
              <w:t xml:space="preserve"> </w:t>
            </w:r>
            <w:r w:rsidRPr="00A45437">
              <w:rPr>
                <w:rFonts w:ascii="Calibri" w:eastAsia="Times New Roman" w:hAnsi="Calibri" w:cs="Times New Roman"/>
                <w:color w:val="000000"/>
                <w:sz w:val="16"/>
                <w:lang w:eastAsia="en-GB"/>
              </w:rPr>
              <w:t>CI</w:t>
            </w:r>
          </w:p>
        </w:tc>
        <w:tc>
          <w:tcPr>
            <w:tcW w:w="855"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Baseline</w:t>
            </w:r>
          </w:p>
        </w:tc>
        <w:tc>
          <w:tcPr>
            <w:tcW w:w="1034"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Reduction</w:t>
            </w:r>
          </w:p>
        </w:tc>
        <w:tc>
          <w:tcPr>
            <w:tcW w:w="1650"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95%</w:t>
            </w:r>
            <w:r>
              <w:rPr>
                <w:rFonts w:ascii="Calibri" w:eastAsia="Times New Roman" w:hAnsi="Calibri" w:cs="Times New Roman"/>
                <w:color w:val="000000"/>
                <w:sz w:val="16"/>
                <w:lang w:eastAsia="en-GB"/>
              </w:rPr>
              <w:t xml:space="preserve"> </w:t>
            </w:r>
            <w:r w:rsidRPr="00A45437">
              <w:rPr>
                <w:rFonts w:ascii="Calibri" w:eastAsia="Times New Roman" w:hAnsi="Calibri" w:cs="Times New Roman"/>
                <w:color w:val="000000"/>
                <w:sz w:val="16"/>
                <w:lang w:eastAsia="en-GB"/>
              </w:rPr>
              <w:t>CI</w:t>
            </w:r>
          </w:p>
        </w:tc>
        <w:tc>
          <w:tcPr>
            <w:tcW w:w="1809"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p>
        </w:tc>
        <w:tc>
          <w:tcPr>
            <w:tcW w:w="1417" w:type="dxa"/>
            <w:tcBorders>
              <w:right w:val="nil"/>
            </w:tcBorders>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95%</w:t>
            </w:r>
            <w:r>
              <w:rPr>
                <w:rFonts w:ascii="Calibri" w:eastAsia="Times New Roman" w:hAnsi="Calibri" w:cs="Times New Roman"/>
                <w:color w:val="000000"/>
                <w:sz w:val="16"/>
                <w:lang w:eastAsia="en-GB"/>
              </w:rPr>
              <w:t xml:space="preserve"> </w:t>
            </w:r>
            <w:r w:rsidRPr="00A45437">
              <w:rPr>
                <w:rFonts w:ascii="Calibri" w:eastAsia="Times New Roman" w:hAnsi="Calibri" w:cs="Times New Roman"/>
                <w:color w:val="000000"/>
                <w:sz w:val="16"/>
                <w:lang w:eastAsia="en-GB"/>
              </w:rPr>
              <w:t>CI</w:t>
            </w:r>
          </w:p>
        </w:tc>
      </w:tr>
      <w:tr w:rsidR="00707B8A" w:rsidRPr="00A45437" w:rsidTr="00707B8A">
        <w:trPr>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w:t>
            </w:r>
          </w:p>
        </w:tc>
        <w:tc>
          <w:tcPr>
            <w:tcW w:w="960"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M</w:t>
            </w:r>
          </w:p>
        </w:tc>
        <w:tc>
          <w:tcPr>
            <w:tcW w:w="77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13.1%</w:t>
            </w:r>
          </w:p>
        </w:tc>
        <w:tc>
          <w:tcPr>
            <w:tcW w:w="118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11.3%</w:t>
            </w:r>
          </w:p>
        </w:tc>
        <w:tc>
          <w:tcPr>
            <w:tcW w:w="1326"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(10.8%-11.7%)</w:t>
            </w:r>
          </w:p>
        </w:tc>
        <w:tc>
          <w:tcPr>
            <w:tcW w:w="170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161</w:t>
            </w:r>
            <w:r>
              <w:rPr>
                <w:rFonts w:ascii="Calibri" w:eastAsia="Times New Roman" w:hAnsi="Calibri" w:cs="Times New Roman"/>
                <w:color w:val="000000"/>
                <w:sz w:val="16"/>
                <w:lang w:eastAsia="en-GB"/>
              </w:rPr>
              <w:t>00</w:t>
            </w:r>
          </w:p>
        </w:tc>
        <w:tc>
          <w:tcPr>
            <w:tcW w:w="1034"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200</w:t>
            </w:r>
          </w:p>
        </w:tc>
        <w:tc>
          <w:tcPr>
            <w:tcW w:w="1650"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(140</w:t>
            </w:r>
            <w:r w:rsidRPr="00A45437">
              <w:rPr>
                <w:rFonts w:ascii="Calibri" w:eastAsia="Times New Roman" w:hAnsi="Calibri" w:cs="Times New Roman"/>
                <w:color w:val="000000"/>
                <w:sz w:val="16"/>
                <w:lang w:eastAsia="en-GB"/>
              </w:rPr>
              <w:t>-2</w:t>
            </w:r>
            <w:r>
              <w:rPr>
                <w:rFonts w:ascii="Calibri" w:eastAsia="Times New Roman" w:hAnsi="Calibri" w:cs="Times New Roman"/>
                <w:color w:val="000000"/>
                <w:sz w:val="16"/>
                <w:lang w:eastAsia="en-GB"/>
              </w:rPr>
              <w:t>70</w:t>
            </w:r>
            <w:r w:rsidRPr="00A45437">
              <w:rPr>
                <w:rFonts w:ascii="Calibri" w:eastAsia="Times New Roman" w:hAnsi="Calibri" w:cs="Times New Roman"/>
                <w:color w:val="000000"/>
                <w:sz w:val="16"/>
                <w:lang w:eastAsia="en-GB"/>
              </w:rPr>
              <w:t>)</w:t>
            </w:r>
          </w:p>
        </w:tc>
        <w:tc>
          <w:tcPr>
            <w:tcW w:w="1809"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31</w:t>
            </w:r>
            <w:r>
              <w:rPr>
                <w:rFonts w:ascii="Calibri" w:eastAsia="Times New Roman" w:hAnsi="Calibri" w:cs="Times New Roman"/>
                <w:color w:val="000000"/>
                <w:sz w:val="16"/>
                <w:lang w:eastAsia="en-GB"/>
              </w:rPr>
              <w:t>00</w:t>
            </w:r>
          </w:p>
        </w:tc>
        <w:tc>
          <w:tcPr>
            <w:tcW w:w="1417" w:type="dxa"/>
            <w:tcBorders>
              <w:right w:val="nil"/>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(2200 - 4200</w:t>
            </w:r>
            <w:r w:rsidRPr="00A45437">
              <w:rPr>
                <w:rFonts w:ascii="Calibri" w:eastAsia="Times New Roman" w:hAnsi="Calibri" w:cs="Times New Roman"/>
                <w:color w:val="000000"/>
                <w:sz w:val="16"/>
                <w:lang w:eastAsia="en-GB"/>
              </w:rPr>
              <w:t>)</w:t>
            </w:r>
          </w:p>
        </w:tc>
      </w:tr>
      <w:tr w:rsidR="00707B8A" w:rsidRPr="00A45437" w:rsidTr="00707B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w:t>
            </w:r>
          </w:p>
        </w:tc>
        <w:tc>
          <w:tcPr>
            <w:tcW w:w="960"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M</w:t>
            </w:r>
          </w:p>
        </w:tc>
        <w:tc>
          <w:tcPr>
            <w:tcW w:w="77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16.7%</w:t>
            </w:r>
          </w:p>
        </w:tc>
        <w:tc>
          <w:tcPr>
            <w:tcW w:w="118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14.4%</w:t>
            </w:r>
          </w:p>
        </w:tc>
        <w:tc>
          <w:tcPr>
            <w:tcW w:w="1326"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(13.8%-14.9%)</w:t>
            </w:r>
          </w:p>
        </w:tc>
        <w:tc>
          <w:tcPr>
            <w:tcW w:w="170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20900</w:t>
            </w:r>
          </w:p>
        </w:tc>
        <w:tc>
          <w:tcPr>
            <w:tcW w:w="1034"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300</w:t>
            </w:r>
          </w:p>
        </w:tc>
        <w:tc>
          <w:tcPr>
            <w:tcW w:w="1650"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(220-390</w:t>
            </w:r>
            <w:r w:rsidRPr="00A45437">
              <w:rPr>
                <w:rFonts w:ascii="Calibri" w:eastAsia="Times New Roman" w:hAnsi="Calibri" w:cs="Times New Roman"/>
                <w:color w:val="000000"/>
                <w:sz w:val="16"/>
                <w:lang w:eastAsia="en-GB"/>
              </w:rPr>
              <w:t>)</w:t>
            </w:r>
          </w:p>
        </w:tc>
        <w:tc>
          <w:tcPr>
            <w:tcW w:w="1809"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4700</w:t>
            </w:r>
          </w:p>
        </w:tc>
        <w:tc>
          <w:tcPr>
            <w:tcW w:w="1417" w:type="dxa"/>
            <w:tcBorders>
              <w:right w:val="nil"/>
            </w:tcBorders>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(3500 - 6000</w:t>
            </w:r>
            <w:r w:rsidRPr="00A45437">
              <w:rPr>
                <w:rFonts w:ascii="Calibri" w:eastAsia="Times New Roman" w:hAnsi="Calibri" w:cs="Times New Roman"/>
                <w:color w:val="000000"/>
                <w:sz w:val="16"/>
                <w:lang w:eastAsia="en-GB"/>
              </w:rPr>
              <w:t>)</w:t>
            </w:r>
          </w:p>
        </w:tc>
      </w:tr>
      <w:tr w:rsidR="00707B8A" w:rsidRPr="00A45437" w:rsidTr="00707B8A">
        <w:trPr>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3</w:t>
            </w:r>
          </w:p>
        </w:tc>
        <w:tc>
          <w:tcPr>
            <w:tcW w:w="960"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M</w:t>
            </w:r>
          </w:p>
        </w:tc>
        <w:tc>
          <w:tcPr>
            <w:tcW w:w="77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21.1%</w:t>
            </w:r>
          </w:p>
        </w:tc>
        <w:tc>
          <w:tcPr>
            <w:tcW w:w="118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18.2%</w:t>
            </w:r>
          </w:p>
        </w:tc>
        <w:tc>
          <w:tcPr>
            <w:tcW w:w="1326"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(17.4%-18.8%)</w:t>
            </w:r>
          </w:p>
        </w:tc>
        <w:tc>
          <w:tcPr>
            <w:tcW w:w="170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25300</w:t>
            </w:r>
          </w:p>
        </w:tc>
        <w:tc>
          <w:tcPr>
            <w:tcW w:w="1034"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430</w:t>
            </w:r>
          </w:p>
        </w:tc>
        <w:tc>
          <w:tcPr>
            <w:tcW w:w="1650"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(300-600</w:t>
            </w:r>
            <w:r w:rsidRPr="00A45437">
              <w:rPr>
                <w:rFonts w:ascii="Calibri" w:eastAsia="Times New Roman" w:hAnsi="Calibri" w:cs="Times New Roman"/>
                <w:color w:val="000000"/>
                <w:sz w:val="16"/>
                <w:lang w:eastAsia="en-GB"/>
              </w:rPr>
              <w:t>)</w:t>
            </w:r>
          </w:p>
        </w:tc>
        <w:tc>
          <w:tcPr>
            <w:tcW w:w="1809"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6600</w:t>
            </w:r>
          </w:p>
        </w:tc>
        <w:tc>
          <w:tcPr>
            <w:tcW w:w="1417" w:type="dxa"/>
            <w:tcBorders>
              <w:right w:val="nil"/>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(4700 - 9300</w:t>
            </w:r>
            <w:r w:rsidRPr="00A45437">
              <w:rPr>
                <w:rFonts w:ascii="Calibri" w:eastAsia="Times New Roman" w:hAnsi="Calibri" w:cs="Times New Roman"/>
                <w:color w:val="000000"/>
                <w:sz w:val="16"/>
                <w:lang w:eastAsia="en-GB"/>
              </w:rPr>
              <w:t>)</w:t>
            </w:r>
          </w:p>
        </w:tc>
      </w:tr>
      <w:tr w:rsidR="00707B8A" w:rsidRPr="00A45437" w:rsidTr="00707B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4</w:t>
            </w:r>
          </w:p>
        </w:tc>
        <w:tc>
          <w:tcPr>
            <w:tcW w:w="960"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M</w:t>
            </w:r>
          </w:p>
        </w:tc>
        <w:tc>
          <w:tcPr>
            <w:tcW w:w="77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25.6%</w:t>
            </w:r>
          </w:p>
        </w:tc>
        <w:tc>
          <w:tcPr>
            <w:tcW w:w="118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22.1%</w:t>
            </w:r>
          </w:p>
        </w:tc>
        <w:tc>
          <w:tcPr>
            <w:tcW w:w="1326"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(21.1%-22.8%)</w:t>
            </w:r>
          </w:p>
        </w:tc>
        <w:tc>
          <w:tcPr>
            <w:tcW w:w="170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28700</w:t>
            </w:r>
          </w:p>
        </w:tc>
        <w:tc>
          <w:tcPr>
            <w:tcW w:w="1034"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600</w:t>
            </w:r>
          </w:p>
        </w:tc>
        <w:tc>
          <w:tcPr>
            <w:tcW w:w="1650"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(43</w:t>
            </w:r>
            <w:r>
              <w:rPr>
                <w:rFonts w:ascii="Calibri" w:eastAsia="Times New Roman" w:hAnsi="Calibri" w:cs="Times New Roman"/>
                <w:color w:val="000000"/>
                <w:sz w:val="16"/>
                <w:lang w:eastAsia="en-GB"/>
              </w:rPr>
              <w:t>0</w:t>
            </w:r>
            <w:r w:rsidRPr="00A45437">
              <w:rPr>
                <w:rFonts w:ascii="Calibri" w:eastAsia="Times New Roman" w:hAnsi="Calibri" w:cs="Times New Roman"/>
                <w:color w:val="000000"/>
                <w:sz w:val="16"/>
                <w:lang w:eastAsia="en-GB"/>
              </w:rPr>
              <w:t>-82</w:t>
            </w:r>
            <w:r>
              <w:rPr>
                <w:rFonts w:ascii="Calibri" w:eastAsia="Times New Roman" w:hAnsi="Calibri" w:cs="Times New Roman"/>
                <w:color w:val="000000"/>
                <w:sz w:val="16"/>
                <w:lang w:eastAsia="en-GB"/>
              </w:rPr>
              <w:t>0</w:t>
            </w:r>
            <w:r w:rsidRPr="00A45437">
              <w:rPr>
                <w:rFonts w:ascii="Calibri" w:eastAsia="Times New Roman" w:hAnsi="Calibri" w:cs="Times New Roman"/>
                <w:color w:val="000000"/>
                <w:sz w:val="16"/>
                <w:lang w:eastAsia="en-GB"/>
              </w:rPr>
              <w:t>)</w:t>
            </w:r>
          </w:p>
        </w:tc>
        <w:tc>
          <w:tcPr>
            <w:tcW w:w="1809"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9000</w:t>
            </w:r>
          </w:p>
        </w:tc>
        <w:tc>
          <w:tcPr>
            <w:tcW w:w="1417" w:type="dxa"/>
            <w:tcBorders>
              <w:right w:val="nil"/>
            </w:tcBorders>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(6500 - 12100</w:t>
            </w:r>
            <w:r w:rsidRPr="00A45437">
              <w:rPr>
                <w:rFonts w:ascii="Calibri" w:eastAsia="Times New Roman" w:hAnsi="Calibri" w:cs="Times New Roman"/>
                <w:color w:val="000000"/>
                <w:sz w:val="16"/>
                <w:lang w:eastAsia="en-GB"/>
              </w:rPr>
              <w:t>)</w:t>
            </w:r>
          </w:p>
        </w:tc>
      </w:tr>
      <w:tr w:rsidR="00707B8A" w:rsidRPr="00A45437" w:rsidTr="00707B8A">
        <w:trPr>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5</w:t>
            </w:r>
          </w:p>
        </w:tc>
        <w:tc>
          <w:tcPr>
            <w:tcW w:w="960"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M</w:t>
            </w:r>
          </w:p>
        </w:tc>
        <w:tc>
          <w:tcPr>
            <w:tcW w:w="77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34.3%</w:t>
            </w:r>
          </w:p>
        </w:tc>
        <w:tc>
          <w:tcPr>
            <w:tcW w:w="118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29.6%</w:t>
            </w:r>
          </w:p>
        </w:tc>
        <w:tc>
          <w:tcPr>
            <w:tcW w:w="1326"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(28.3%-30.6%)</w:t>
            </w:r>
          </w:p>
        </w:tc>
        <w:tc>
          <w:tcPr>
            <w:tcW w:w="170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32600</w:t>
            </w:r>
          </w:p>
        </w:tc>
        <w:tc>
          <w:tcPr>
            <w:tcW w:w="1034"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840</w:t>
            </w:r>
          </w:p>
        </w:tc>
        <w:tc>
          <w:tcPr>
            <w:tcW w:w="1650"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(640</w:t>
            </w:r>
            <w:r w:rsidRPr="00A45437">
              <w:rPr>
                <w:rFonts w:ascii="Calibri" w:eastAsia="Times New Roman" w:hAnsi="Calibri" w:cs="Times New Roman"/>
                <w:color w:val="000000"/>
                <w:sz w:val="16"/>
                <w:lang w:eastAsia="en-GB"/>
              </w:rPr>
              <w:t>-105</w:t>
            </w:r>
            <w:r>
              <w:rPr>
                <w:rFonts w:ascii="Calibri" w:eastAsia="Times New Roman" w:hAnsi="Calibri" w:cs="Times New Roman"/>
                <w:color w:val="000000"/>
                <w:sz w:val="16"/>
                <w:lang w:eastAsia="en-GB"/>
              </w:rPr>
              <w:t>0</w:t>
            </w:r>
            <w:r w:rsidRPr="00A45437">
              <w:rPr>
                <w:rFonts w:ascii="Calibri" w:eastAsia="Times New Roman" w:hAnsi="Calibri" w:cs="Times New Roman"/>
                <w:color w:val="000000"/>
                <w:sz w:val="16"/>
                <w:lang w:eastAsia="en-GB"/>
              </w:rPr>
              <w:t>)</w:t>
            </w:r>
          </w:p>
        </w:tc>
        <w:tc>
          <w:tcPr>
            <w:tcW w:w="1809"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11800</w:t>
            </w:r>
          </w:p>
        </w:tc>
        <w:tc>
          <w:tcPr>
            <w:tcW w:w="1417" w:type="dxa"/>
            <w:tcBorders>
              <w:right w:val="nil"/>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(94</w:t>
            </w:r>
            <w:r>
              <w:rPr>
                <w:rFonts w:ascii="Calibri" w:eastAsia="Times New Roman" w:hAnsi="Calibri" w:cs="Times New Roman"/>
                <w:color w:val="000000"/>
                <w:sz w:val="16"/>
                <w:lang w:eastAsia="en-GB"/>
              </w:rPr>
              <w:t>00</w:t>
            </w:r>
            <w:r w:rsidRPr="00A45437">
              <w:rPr>
                <w:rFonts w:ascii="Calibri" w:eastAsia="Times New Roman" w:hAnsi="Calibri" w:cs="Times New Roman"/>
                <w:color w:val="000000"/>
                <w:sz w:val="16"/>
                <w:lang w:eastAsia="en-GB"/>
              </w:rPr>
              <w:t xml:space="preserve"> - 1460</w:t>
            </w:r>
            <w:r>
              <w:rPr>
                <w:rFonts w:ascii="Calibri" w:eastAsia="Times New Roman" w:hAnsi="Calibri" w:cs="Times New Roman"/>
                <w:color w:val="000000"/>
                <w:sz w:val="16"/>
                <w:lang w:eastAsia="en-GB"/>
              </w:rPr>
              <w:t>0</w:t>
            </w:r>
            <w:r w:rsidRPr="00A45437">
              <w:rPr>
                <w:rFonts w:ascii="Calibri" w:eastAsia="Times New Roman" w:hAnsi="Calibri" w:cs="Times New Roman"/>
                <w:color w:val="000000"/>
                <w:sz w:val="16"/>
                <w:lang w:eastAsia="en-GB"/>
              </w:rPr>
              <w:t>)</w:t>
            </w:r>
          </w:p>
        </w:tc>
      </w:tr>
      <w:tr w:rsidR="00707B8A" w:rsidRPr="00A45437" w:rsidTr="00707B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w:t>
            </w:r>
          </w:p>
        </w:tc>
        <w:tc>
          <w:tcPr>
            <w:tcW w:w="960" w:type="dxa"/>
            <w:noWrap/>
            <w:vAlign w:val="center"/>
            <w:hideMark/>
          </w:tcPr>
          <w:p w:rsidR="00707B8A" w:rsidRPr="00A45437" w:rsidRDefault="00AA2E22"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W</w:t>
            </w:r>
          </w:p>
        </w:tc>
        <w:tc>
          <w:tcPr>
            <w:tcW w:w="77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10.2%</w:t>
            </w:r>
          </w:p>
        </w:tc>
        <w:tc>
          <w:tcPr>
            <w:tcW w:w="118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8.8%</w:t>
            </w:r>
          </w:p>
        </w:tc>
        <w:tc>
          <w:tcPr>
            <w:tcW w:w="1326"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(8.4%-9.1%)</w:t>
            </w:r>
          </w:p>
        </w:tc>
        <w:tc>
          <w:tcPr>
            <w:tcW w:w="170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4100</w:t>
            </w:r>
          </w:p>
        </w:tc>
        <w:tc>
          <w:tcPr>
            <w:tcW w:w="1034"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50</w:t>
            </w:r>
          </w:p>
        </w:tc>
        <w:tc>
          <w:tcPr>
            <w:tcW w:w="1650"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(40</w:t>
            </w:r>
            <w:r w:rsidRPr="00A45437">
              <w:rPr>
                <w:rFonts w:ascii="Calibri" w:eastAsia="Times New Roman" w:hAnsi="Calibri" w:cs="Times New Roman"/>
                <w:color w:val="000000"/>
                <w:sz w:val="16"/>
                <w:lang w:eastAsia="en-GB"/>
              </w:rPr>
              <w:t>-7</w:t>
            </w:r>
            <w:r>
              <w:rPr>
                <w:rFonts w:ascii="Calibri" w:eastAsia="Times New Roman" w:hAnsi="Calibri" w:cs="Times New Roman"/>
                <w:color w:val="000000"/>
                <w:sz w:val="16"/>
                <w:lang w:eastAsia="en-GB"/>
              </w:rPr>
              <w:t>0</w:t>
            </w:r>
            <w:r w:rsidRPr="00A45437">
              <w:rPr>
                <w:rFonts w:ascii="Calibri" w:eastAsia="Times New Roman" w:hAnsi="Calibri" w:cs="Times New Roman"/>
                <w:color w:val="000000"/>
                <w:sz w:val="16"/>
                <w:lang w:eastAsia="en-GB"/>
              </w:rPr>
              <w:t>)</w:t>
            </w:r>
          </w:p>
        </w:tc>
        <w:tc>
          <w:tcPr>
            <w:tcW w:w="1809"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900</w:t>
            </w:r>
          </w:p>
        </w:tc>
        <w:tc>
          <w:tcPr>
            <w:tcW w:w="1417" w:type="dxa"/>
            <w:tcBorders>
              <w:right w:val="nil"/>
            </w:tcBorders>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(60</w:t>
            </w:r>
            <w:r w:rsidRPr="00A45437">
              <w:rPr>
                <w:rFonts w:ascii="Calibri" w:eastAsia="Times New Roman" w:hAnsi="Calibri" w:cs="Times New Roman"/>
                <w:color w:val="000000"/>
                <w:sz w:val="16"/>
                <w:lang w:eastAsia="en-GB"/>
              </w:rPr>
              <w:t>0 - 13</w:t>
            </w:r>
            <w:r>
              <w:rPr>
                <w:rFonts w:ascii="Calibri" w:eastAsia="Times New Roman" w:hAnsi="Calibri" w:cs="Times New Roman"/>
                <w:color w:val="000000"/>
                <w:sz w:val="16"/>
                <w:lang w:eastAsia="en-GB"/>
              </w:rPr>
              <w:t>00</w:t>
            </w:r>
            <w:r w:rsidRPr="00A45437">
              <w:rPr>
                <w:rFonts w:ascii="Calibri" w:eastAsia="Times New Roman" w:hAnsi="Calibri" w:cs="Times New Roman"/>
                <w:color w:val="000000"/>
                <w:sz w:val="16"/>
                <w:lang w:eastAsia="en-GB"/>
              </w:rPr>
              <w:t>)</w:t>
            </w:r>
          </w:p>
        </w:tc>
      </w:tr>
      <w:tr w:rsidR="00707B8A" w:rsidRPr="00A45437" w:rsidTr="00707B8A">
        <w:trPr>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w:t>
            </w:r>
          </w:p>
        </w:tc>
        <w:tc>
          <w:tcPr>
            <w:tcW w:w="960" w:type="dxa"/>
            <w:noWrap/>
            <w:vAlign w:val="center"/>
            <w:hideMark/>
          </w:tcPr>
          <w:p w:rsidR="00707B8A" w:rsidRPr="00A45437" w:rsidRDefault="00AA2E22"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W</w:t>
            </w:r>
          </w:p>
        </w:tc>
        <w:tc>
          <w:tcPr>
            <w:tcW w:w="77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13.5%</w:t>
            </w:r>
          </w:p>
        </w:tc>
        <w:tc>
          <w:tcPr>
            <w:tcW w:w="118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11.7%</w:t>
            </w:r>
          </w:p>
        </w:tc>
        <w:tc>
          <w:tcPr>
            <w:tcW w:w="1326"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(11.1%-12.1%)</w:t>
            </w:r>
          </w:p>
        </w:tc>
        <w:tc>
          <w:tcPr>
            <w:tcW w:w="1707"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5300</w:t>
            </w:r>
          </w:p>
        </w:tc>
        <w:tc>
          <w:tcPr>
            <w:tcW w:w="1034"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80</w:t>
            </w:r>
          </w:p>
        </w:tc>
        <w:tc>
          <w:tcPr>
            <w:tcW w:w="1650"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(60-110</w:t>
            </w:r>
            <w:r w:rsidRPr="00A45437">
              <w:rPr>
                <w:rFonts w:ascii="Calibri" w:eastAsia="Times New Roman" w:hAnsi="Calibri" w:cs="Times New Roman"/>
                <w:color w:val="000000"/>
                <w:sz w:val="16"/>
                <w:lang w:eastAsia="en-GB"/>
              </w:rPr>
              <w:t>)</w:t>
            </w:r>
          </w:p>
        </w:tc>
        <w:tc>
          <w:tcPr>
            <w:tcW w:w="1809" w:type="dxa"/>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1400</w:t>
            </w:r>
          </w:p>
        </w:tc>
        <w:tc>
          <w:tcPr>
            <w:tcW w:w="1417" w:type="dxa"/>
            <w:tcBorders>
              <w:right w:val="nil"/>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(1000 - 2000</w:t>
            </w:r>
            <w:r w:rsidRPr="00A45437">
              <w:rPr>
                <w:rFonts w:ascii="Calibri" w:eastAsia="Times New Roman" w:hAnsi="Calibri" w:cs="Times New Roman"/>
                <w:color w:val="000000"/>
                <w:sz w:val="16"/>
                <w:lang w:eastAsia="en-GB"/>
              </w:rPr>
              <w:t>)</w:t>
            </w:r>
          </w:p>
        </w:tc>
      </w:tr>
      <w:tr w:rsidR="00707B8A" w:rsidRPr="00A45437" w:rsidTr="00707B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3</w:t>
            </w:r>
          </w:p>
        </w:tc>
        <w:tc>
          <w:tcPr>
            <w:tcW w:w="960" w:type="dxa"/>
            <w:noWrap/>
            <w:vAlign w:val="center"/>
            <w:hideMark/>
          </w:tcPr>
          <w:p w:rsidR="00707B8A" w:rsidRPr="00A45437" w:rsidRDefault="00AA2E22"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W</w:t>
            </w:r>
          </w:p>
        </w:tc>
        <w:tc>
          <w:tcPr>
            <w:tcW w:w="77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17.0%</w:t>
            </w:r>
          </w:p>
        </w:tc>
        <w:tc>
          <w:tcPr>
            <w:tcW w:w="118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14.6%</w:t>
            </w:r>
          </w:p>
        </w:tc>
        <w:tc>
          <w:tcPr>
            <w:tcW w:w="1326"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(14.0%-15.2%)</w:t>
            </w:r>
          </w:p>
        </w:tc>
        <w:tc>
          <w:tcPr>
            <w:tcW w:w="170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6900</w:t>
            </w:r>
          </w:p>
        </w:tc>
        <w:tc>
          <w:tcPr>
            <w:tcW w:w="1034"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130</w:t>
            </w:r>
          </w:p>
        </w:tc>
        <w:tc>
          <w:tcPr>
            <w:tcW w:w="1650"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(80</w:t>
            </w:r>
            <w:r w:rsidRPr="00A45437">
              <w:rPr>
                <w:rFonts w:ascii="Calibri" w:eastAsia="Times New Roman" w:hAnsi="Calibri" w:cs="Times New Roman"/>
                <w:color w:val="000000"/>
                <w:sz w:val="16"/>
                <w:lang w:eastAsia="en-GB"/>
              </w:rPr>
              <w:t>-1</w:t>
            </w:r>
            <w:r>
              <w:rPr>
                <w:rFonts w:ascii="Calibri" w:eastAsia="Times New Roman" w:hAnsi="Calibri" w:cs="Times New Roman"/>
                <w:color w:val="000000"/>
                <w:sz w:val="16"/>
                <w:lang w:eastAsia="en-GB"/>
              </w:rPr>
              <w:t>90</w:t>
            </w:r>
            <w:r w:rsidRPr="00A45437">
              <w:rPr>
                <w:rFonts w:ascii="Calibri" w:eastAsia="Times New Roman" w:hAnsi="Calibri" w:cs="Times New Roman"/>
                <w:color w:val="000000"/>
                <w:sz w:val="16"/>
                <w:lang w:eastAsia="en-GB"/>
              </w:rPr>
              <w:t>)</w:t>
            </w:r>
          </w:p>
        </w:tc>
        <w:tc>
          <w:tcPr>
            <w:tcW w:w="1809"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2300</w:t>
            </w:r>
          </w:p>
        </w:tc>
        <w:tc>
          <w:tcPr>
            <w:tcW w:w="1417" w:type="dxa"/>
            <w:tcBorders>
              <w:right w:val="nil"/>
            </w:tcBorders>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(1500 - 3400</w:t>
            </w:r>
            <w:r w:rsidRPr="00A45437">
              <w:rPr>
                <w:rFonts w:ascii="Calibri" w:eastAsia="Times New Roman" w:hAnsi="Calibri" w:cs="Times New Roman"/>
                <w:color w:val="000000"/>
                <w:sz w:val="16"/>
                <w:lang w:eastAsia="en-GB"/>
              </w:rPr>
              <w:t>)</w:t>
            </w:r>
          </w:p>
        </w:tc>
      </w:tr>
      <w:tr w:rsidR="00707B8A" w:rsidRPr="00A45437" w:rsidTr="00707B8A">
        <w:trPr>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bottom w:val="single" w:sz="8" w:space="0" w:color="000000" w:themeColor="text1"/>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4</w:t>
            </w:r>
          </w:p>
        </w:tc>
        <w:tc>
          <w:tcPr>
            <w:tcW w:w="960" w:type="dxa"/>
            <w:tcBorders>
              <w:bottom w:val="single" w:sz="8" w:space="0" w:color="000000" w:themeColor="text1"/>
            </w:tcBorders>
            <w:noWrap/>
            <w:vAlign w:val="center"/>
            <w:hideMark/>
          </w:tcPr>
          <w:p w:rsidR="00707B8A" w:rsidRPr="00A45437" w:rsidRDefault="00AA2E22"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W</w:t>
            </w:r>
          </w:p>
        </w:tc>
        <w:tc>
          <w:tcPr>
            <w:tcW w:w="777" w:type="dxa"/>
            <w:tcBorders>
              <w:bottom w:val="single" w:sz="8" w:space="0" w:color="000000" w:themeColor="text1"/>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21.4%</w:t>
            </w:r>
          </w:p>
        </w:tc>
        <w:tc>
          <w:tcPr>
            <w:tcW w:w="1187" w:type="dxa"/>
            <w:tcBorders>
              <w:bottom w:val="single" w:sz="8" w:space="0" w:color="000000" w:themeColor="text1"/>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18.5%</w:t>
            </w:r>
          </w:p>
        </w:tc>
        <w:tc>
          <w:tcPr>
            <w:tcW w:w="1326" w:type="dxa"/>
            <w:tcBorders>
              <w:bottom w:val="single" w:sz="8" w:space="0" w:color="000000" w:themeColor="text1"/>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(17.7%-19.1%)</w:t>
            </w:r>
          </w:p>
        </w:tc>
        <w:tc>
          <w:tcPr>
            <w:tcW w:w="1707" w:type="dxa"/>
            <w:tcBorders>
              <w:bottom w:val="single" w:sz="8" w:space="0" w:color="000000" w:themeColor="text1"/>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tcBorders>
              <w:bottom w:val="single" w:sz="8" w:space="0" w:color="000000" w:themeColor="text1"/>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tcBorders>
              <w:bottom w:val="single" w:sz="8" w:space="0" w:color="000000" w:themeColor="text1"/>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10300</w:t>
            </w:r>
          </w:p>
        </w:tc>
        <w:tc>
          <w:tcPr>
            <w:tcW w:w="1034" w:type="dxa"/>
            <w:tcBorders>
              <w:bottom w:val="single" w:sz="8" w:space="0" w:color="000000" w:themeColor="text1"/>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240</w:t>
            </w:r>
          </w:p>
        </w:tc>
        <w:tc>
          <w:tcPr>
            <w:tcW w:w="1650" w:type="dxa"/>
            <w:tcBorders>
              <w:bottom w:val="single" w:sz="8" w:space="0" w:color="000000" w:themeColor="text1"/>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(150-370</w:t>
            </w:r>
            <w:r w:rsidRPr="00A45437">
              <w:rPr>
                <w:rFonts w:ascii="Calibri" w:eastAsia="Times New Roman" w:hAnsi="Calibri" w:cs="Times New Roman"/>
                <w:color w:val="000000"/>
                <w:sz w:val="16"/>
                <w:lang w:eastAsia="en-GB"/>
              </w:rPr>
              <w:t>)</w:t>
            </w:r>
          </w:p>
        </w:tc>
        <w:tc>
          <w:tcPr>
            <w:tcW w:w="1809" w:type="dxa"/>
            <w:tcBorders>
              <w:bottom w:val="single" w:sz="8" w:space="0" w:color="000000" w:themeColor="text1"/>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4100</w:t>
            </w:r>
          </w:p>
        </w:tc>
        <w:tc>
          <w:tcPr>
            <w:tcW w:w="1417" w:type="dxa"/>
            <w:tcBorders>
              <w:bottom w:val="single" w:sz="8" w:space="0" w:color="000000" w:themeColor="text1"/>
              <w:right w:val="nil"/>
            </w:tcBorders>
            <w:noWrap/>
            <w:vAlign w:val="center"/>
            <w:hideMark/>
          </w:tcPr>
          <w:p w:rsidR="00707B8A" w:rsidRPr="00A45437" w:rsidRDefault="00707B8A" w:rsidP="00707B8A">
            <w:pPr>
              <w:spacing w:line="36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(2600</w:t>
            </w:r>
            <w:r w:rsidRPr="00A45437">
              <w:rPr>
                <w:rFonts w:ascii="Calibri" w:eastAsia="Times New Roman" w:hAnsi="Calibri" w:cs="Times New Roman"/>
                <w:color w:val="000000"/>
                <w:sz w:val="16"/>
                <w:lang w:eastAsia="en-GB"/>
              </w:rPr>
              <w:t xml:space="preserve"> -</w:t>
            </w:r>
            <w:r>
              <w:rPr>
                <w:rFonts w:ascii="Calibri" w:eastAsia="Times New Roman" w:hAnsi="Calibri" w:cs="Times New Roman"/>
                <w:color w:val="000000"/>
                <w:sz w:val="16"/>
                <w:lang w:eastAsia="en-GB"/>
              </w:rPr>
              <w:t xml:space="preserve"> 6500</w:t>
            </w:r>
            <w:r w:rsidRPr="00A45437">
              <w:rPr>
                <w:rFonts w:ascii="Calibri" w:eastAsia="Times New Roman" w:hAnsi="Calibri" w:cs="Times New Roman"/>
                <w:color w:val="000000"/>
                <w:sz w:val="16"/>
                <w:lang w:eastAsia="en-GB"/>
              </w:rPr>
              <w:t>)</w:t>
            </w:r>
          </w:p>
        </w:tc>
      </w:tr>
      <w:tr w:rsidR="00707B8A" w:rsidRPr="00A45437" w:rsidTr="00707B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left w:val="nil"/>
            </w:tcBorders>
            <w:noWrap/>
            <w:vAlign w:val="center"/>
            <w:hideMark/>
          </w:tcPr>
          <w:p w:rsidR="00707B8A" w:rsidRPr="00A45437" w:rsidRDefault="00707B8A" w:rsidP="00707B8A">
            <w:pPr>
              <w:spacing w:line="360" w:lineRule="auto"/>
              <w:ind w:firstLine="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5</w:t>
            </w:r>
          </w:p>
        </w:tc>
        <w:tc>
          <w:tcPr>
            <w:tcW w:w="960" w:type="dxa"/>
            <w:noWrap/>
            <w:vAlign w:val="center"/>
            <w:hideMark/>
          </w:tcPr>
          <w:p w:rsidR="00707B8A" w:rsidRPr="00A45437" w:rsidRDefault="00AA2E22"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W</w:t>
            </w:r>
          </w:p>
        </w:tc>
        <w:tc>
          <w:tcPr>
            <w:tcW w:w="77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28.3%</w:t>
            </w:r>
          </w:p>
        </w:tc>
        <w:tc>
          <w:tcPr>
            <w:tcW w:w="118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24.4%</w:t>
            </w:r>
          </w:p>
        </w:tc>
        <w:tc>
          <w:tcPr>
            <w:tcW w:w="1326"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(23.3%-25.3%)</w:t>
            </w:r>
          </w:p>
        </w:tc>
        <w:tc>
          <w:tcPr>
            <w:tcW w:w="1707"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14%</w:t>
            </w:r>
          </w:p>
        </w:tc>
        <w:tc>
          <w:tcPr>
            <w:tcW w:w="992"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(11%-18%)</w:t>
            </w:r>
          </w:p>
        </w:tc>
        <w:tc>
          <w:tcPr>
            <w:tcW w:w="855"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12500</w:t>
            </w:r>
          </w:p>
        </w:tc>
        <w:tc>
          <w:tcPr>
            <w:tcW w:w="1034"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350</w:t>
            </w:r>
          </w:p>
        </w:tc>
        <w:tc>
          <w:tcPr>
            <w:tcW w:w="1650"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(20</w:t>
            </w:r>
            <w:r>
              <w:rPr>
                <w:rFonts w:ascii="Calibri" w:eastAsia="Times New Roman" w:hAnsi="Calibri" w:cs="Times New Roman"/>
                <w:color w:val="000000"/>
                <w:sz w:val="16"/>
                <w:lang w:eastAsia="en-GB"/>
              </w:rPr>
              <w:t>0</w:t>
            </w:r>
            <w:r w:rsidRPr="00A45437">
              <w:rPr>
                <w:rFonts w:ascii="Calibri" w:eastAsia="Times New Roman" w:hAnsi="Calibri" w:cs="Times New Roman"/>
                <w:color w:val="000000"/>
                <w:sz w:val="16"/>
                <w:lang w:eastAsia="en-GB"/>
              </w:rPr>
              <w:t>-56</w:t>
            </w:r>
            <w:r>
              <w:rPr>
                <w:rFonts w:ascii="Calibri" w:eastAsia="Times New Roman" w:hAnsi="Calibri" w:cs="Times New Roman"/>
                <w:color w:val="000000"/>
                <w:sz w:val="16"/>
                <w:lang w:eastAsia="en-GB"/>
              </w:rPr>
              <w:t>0</w:t>
            </w:r>
            <w:r w:rsidRPr="00A45437">
              <w:rPr>
                <w:rFonts w:ascii="Calibri" w:eastAsia="Times New Roman" w:hAnsi="Calibri" w:cs="Times New Roman"/>
                <w:color w:val="000000"/>
                <w:sz w:val="16"/>
                <w:lang w:eastAsia="en-GB"/>
              </w:rPr>
              <w:t>)</w:t>
            </w:r>
          </w:p>
        </w:tc>
        <w:tc>
          <w:tcPr>
            <w:tcW w:w="1809" w:type="dxa"/>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Pr>
                <w:rFonts w:ascii="Calibri" w:eastAsia="Times New Roman" w:hAnsi="Calibri" w:cs="Times New Roman"/>
                <w:color w:val="000000"/>
                <w:sz w:val="16"/>
                <w:lang w:eastAsia="en-GB"/>
              </w:rPr>
              <w:t>6100</w:t>
            </w:r>
          </w:p>
        </w:tc>
        <w:tc>
          <w:tcPr>
            <w:tcW w:w="1417" w:type="dxa"/>
            <w:tcBorders>
              <w:right w:val="nil"/>
            </w:tcBorders>
            <w:noWrap/>
            <w:vAlign w:val="center"/>
            <w:hideMark/>
          </w:tcPr>
          <w:p w:rsidR="00707B8A" w:rsidRPr="00A45437" w:rsidRDefault="00707B8A" w:rsidP="00707B8A">
            <w:pPr>
              <w:spacing w:line="36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A45437">
              <w:rPr>
                <w:rFonts w:ascii="Calibri" w:eastAsia="Times New Roman" w:hAnsi="Calibri" w:cs="Times New Roman"/>
                <w:color w:val="000000"/>
                <w:sz w:val="16"/>
                <w:lang w:eastAsia="en-GB"/>
              </w:rPr>
              <w:t>(3</w:t>
            </w:r>
            <w:r>
              <w:rPr>
                <w:rFonts w:ascii="Calibri" w:eastAsia="Times New Roman" w:hAnsi="Calibri" w:cs="Times New Roman"/>
                <w:color w:val="000000"/>
                <w:sz w:val="16"/>
                <w:lang w:eastAsia="en-GB"/>
              </w:rPr>
              <w:t>700</w:t>
            </w:r>
            <w:r w:rsidRPr="00A45437">
              <w:rPr>
                <w:rFonts w:ascii="Calibri" w:eastAsia="Times New Roman" w:hAnsi="Calibri" w:cs="Times New Roman"/>
                <w:color w:val="000000"/>
                <w:sz w:val="16"/>
                <w:lang w:eastAsia="en-GB"/>
              </w:rPr>
              <w:t xml:space="preserve"> - 9</w:t>
            </w:r>
            <w:r>
              <w:rPr>
                <w:rFonts w:ascii="Calibri" w:eastAsia="Times New Roman" w:hAnsi="Calibri" w:cs="Times New Roman"/>
                <w:color w:val="000000"/>
                <w:sz w:val="16"/>
                <w:lang w:eastAsia="en-GB"/>
              </w:rPr>
              <w:t>900</w:t>
            </w:r>
            <w:r w:rsidRPr="00A45437">
              <w:rPr>
                <w:rFonts w:ascii="Calibri" w:eastAsia="Times New Roman" w:hAnsi="Calibri" w:cs="Times New Roman"/>
                <w:color w:val="000000"/>
                <w:sz w:val="16"/>
                <w:lang w:eastAsia="en-GB"/>
              </w:rPr>
              <w:t>)</w:t>
            </w:r>
          </w:p>
        </w:tc>
      </w:tr>
      <w:tr w:rsidR="00707B8A" w:rsidRPr="00A45437" w:rsidTr="00707B8A">
        <w:trPr>
          <w:trHeight w:val="300"/>
        </w:trPr>
        <w:tc>
          <w:tcPr>
            <w:cnfStyle w:val="001000000000" w:firstRow="0" w:lastRow="0" w:firstColumn="1" w:lastColumn="0" w:oddVBand="0" w:evenVBand="0" w:oddHBand="0" w:evenHBand="0" w:firstRowFirstColumn="0" w:firstRowLastColumn="0" w:lastRowFirstColumn="0" w:lastRowLastColumn="0"/>
            <w:tcW w:w="14674" w:type="dxa"/>
            <w:gridSpan w:val="12"/>
            <w:tcBorders>
              <w:top w:val="single" w:sz="8" w:space="0" w:color="000000" w:themeColor="text1"/>
              <w:left w:val="nil"/>
              <w:bottom w:val="nil"/>
              <w:right w:val="nil"/>
            </w:tcBorders>
            <w:noWrap/>
            <w:vAlign w:val="center"/>
          </w:tcPr>
          <w:p w:rsidR="00707B8A" w:rsidRPr="008F066E" w:rsidRDefault="00707B8A" w:rsidP="00707B8A">
            <w:pPr>
              <w:spacing w:line="360" w:lineRule="auto"/>
              <w:ind w:firstLine="0"/>
              <w:rPr>
                <w:b w:val="0"/>
                <w:sz w:val="16"/>
              </w:rPr>
            </w:pPr>
            <w:r w:rsidRPr="008F066E">
              <w:rPr>
                <w:b w:val="0"/>
                <w:sz w:val="16"/>
              </w:rPr>
              <w:t>IMDQ denotes quintile groups of Index of Multiple Deprivation (1 = le</w:t>
            </w:r>
            <w:r>
              <w:rPr>
                <w:b w:val="0"/>
                <w:sz w:val="16"/>
              </w:rPr>
              <w:t>ast</w:t>
            </w:r>
            <w:r w:rsidRPr="008F066E">
              <w:rPr>
                <w:b w:val="0"/>
                <w:sz w:val="16"/>
              </w:rPr>
              <w:t xml:space="preserve"> deprived, 5 = most deprived)</w:t>
            </w:r>
          </w:p>
          <w:p w:rsidR="00707B8A" w:rsidRDefault="00707B8A" w:rsidP="00707B8A">
            <w:pPr>
              <w:spacing w:line="360" w:lineRule="auto"/>
              <w:ind w:firstLine="0"/>
              <w:rPr>
                <w:rFonts w:ascii="Calibri" w:eastAsia="Times New Roman" w:hAnsi="Calibri" w:cs="Times New Roman"/>
                <w:b w:val="0"/>
                <w:color w:val="000000"/>
                <w:sz w:val="16"/>
                <w:lang w:eastAsia="en-GB"/>
              </w:rPr>
            </w:pPr>
            <w:r>
              <w:rPr>
                <w:rFonts w:ascii="Calibri" w:eastAsia="Times New Roman" w:hAnsi="Calibri" w:cs="Times New Roman"/>
                <w:b w:val="0"/>
                <w:color w:val="000000"/>
                <w:sz w:val="16"/>
                <w:lang w:eastAsia="en-GB"/>
              </w:rPr>
              <w:t>CI denotes confidence intervals</w:t>
            </w:r>
          </w:p>
          <w:p w:rsidR="00AA2E22" w:rsidRPr="00A45437" w:rsidRDefault="00AA2E22" w:rsidP="00AA2E22">
            <w:pPr>
              <w:spacing w:line="360" w:lineRule="auto"/>
              <w:ind w:firstLine="0"/>
              <w:rPr>
                <w:rFonts w:ascii="Calibri" w:eastAsia="Times New Roman" w:hAnsi="Calibri" w:cs="Times New Roman"/>
                <w:color w:val="000000"/>
                <w:sz w:val="16"/>
                <w:lang w:eastAsia="en-GB"/>
              </w:rPr>
            </w:pPr>
            <w:r>
              <w:rPr>
                <w:rFonts w:ascii="Calibri" w:eastAsia="Times New Roman" w:hAnsi="Calibri" w:cs="Times New Roman"/>
                <w:b w:val="0"/>
                <w:color w:val="000000"/>
                <w:sz w:val="16"/>
                <w:lang w:eastAsia="en-GB"/>
              </w:rPr>
              <w:t>M denotes Men and W denotes Women</w:t>
            </w:r>
          </w:p>
        </w:tc>
      </w:tr>
    </w:tbl>
    <w:p w:rsidR="0052166F" w:rsidRPr="00A45437" w:rsidRDefault="0052166F" w:rsidP="00713545">
      <w:pPr>
        <w:spacing w:line="360" w:lineRule="auto"/>
        <w:ind w:firstLine="0"/>
        <w:rPr>
          <w:sz w:val="16"/>
        </w:rPr>
      </w:pPr>
    </w:p>
    <w:p w:rsidR="00713545" w:rsidRPr="0075204C" w:rsidRDefault="00713545" w:rsidP="00713545">
      <w:pPr>
        <w:spacing w:line="360" w:lineRule="auto"/>
        <w:ind w:firstLine="0"/>
        <w:sectPr w:rsidR="00713545" w:rsidRPr="0075204C" w:rsidSect="00713545">
          <w:pgSz w:w="16838" w:h="11906" w:orient="landscape"/>
          <w:pgMar w:top="1440" w:right="1440" w:bottom="1440" w:left="1440" w:header="708" w:footer="708" w:gutter="0"/>
          <w:cols w:space="708"/>
          <w:docGrid w:linePitch="360"/>
        </w:sectPr>
      </w:pPr>
      <w:r>
        <w:br w:type="page"/>
      </w:r>
    </w:p>
    <w:p w:rsidR="00AD6A94" w:rsidRDefault="00804D14" w:rsidP="00804D14">
      <w:pPr>
        <w:pStyle w:val="Heading1"/>
      </w:pPr>
      <w:r>
        <w:lastRenderedPageBreak/>
        <w:t>References</w:t>
      </w:r>
    </w:p>
    <w:p w:rsidR="00B128EA" w:rsidRPr="00B128EA" w:rsidRDefault="005F0424" w:rsidP="00B128EA">
      <w:pPr>
        <w:pStyle w:val="Bibliography"/>
        <w:rPr>
          <w:rFonts w:ascii="Calibri" w:hAnsi="Calibri"/>
        </w:rPr>
      </w:pPr>
      <w:r>
        <w:fldChar w:fldCharType="begin"/>
      </w:r>
      <w:r w:rsidR="001666BB">
        <w:instrText xml:space="preserve"> ADDIN ZOTERO_BIBL {"custom":[]} CSL_BIBLIOGRAPHY </w:instrText>
      </w:r>
      <w:r>
        <w:fldChar w:fldCharType="separate"/>
      </w:r>
      <w:r w:rsidR="00B128EA" w:rsidRPr="00B128EA">
        <w:rPr>
          <w:rFonts w:ascii="Calibri" w:hAnsi="Calibri"/>
        </w:rPr>
        <w:t xml:space="preserve">1. </w:t>
      </w:r>
      <w:r w:rsidR="00B128EA" w:rsidRPr="00B128EA">
        <w:rPr>
          <w:rFonts w:ascii="Calibri" w:hAnsi="Calibri"/>
          <w:b/>
          <w:bCs/>
        </w:rPr>
        <w:t>Opinions and lifestyle survey, adult smoking habits in Great Britain, 2013</w:t>
      </w:r>
      <w:r w:rsidR="00B128EA" w:rsidRPr="00B128EA">
        <w:rPr>
          <w:rFonts w:ascii="Calibri" w:hAnsi="Calibri"/>
        </w:rPr>
        <w:t xml:space="preserve"> [http://www.ons.gov.uk/ons/rel/ghs/opinions-and-lifestyle-survey/adult-smoking-habits-in-great-britain--2013/index.html]</w:t>
      </w:r>
    </w:p>
    <w:p w:rsidR="00B128EA" w:rsidRPr="00B128EA" w:rsidRDefault="00B128EA" w:rsidP="00B128EA">
      <w:pPr>
        <w:pStyle w:val="Bibliography"/>
        <w:rPr>
          <w:rFonts w:ascii="Calibri" w:hAnsi="Calibri"/>
        </w:rPr>
      </w:pPr>
      <w:r w:rsidRPr="00B128EA">
        <w:rPr>
          <w:rFonts w:ascii="Calibri" w:hAnsi="Calibri"/>
        </w:rPr>
        <w:t xml:space="preserve">2. Allen K, Gillespie DOS, Castillo MG, Diggle PJ, Capewell S, O’Flaherty M: </w:t>
      </w:r>
      <w:r w:rsidRPr="00B128EA">
        <w:rPr>
          <w:rFonts w:ascii="Calibri" w:hAnsi="Calibri"/>
          <w:b/>
          <w:bCs/>
        </w:rPr>
        <w:t>OP69 Predicting future trends and inequalities in premature coronary heart disease deaths in England: modelling study</w:t>
      </w:r>
      <w:r w:rsidRPr="00B128EA">
        <w:rPr>
          <w:rFonts w:ascii="Calibri" w:hAnsi="Calibri"/>
        </w:rPr>
        <w:t xml:space="preserve">. </w:t>
      </w:r>
      <w:r w:rsidRPr="00B128EA">
        <w:rPr>
          <w:rFonts w:ascii="Calibri" w:hAnsi="Calibri"/>
          <w:i/>
          <w:iCs/>
        </w:rPr>
        <w:t>J Epidemiol Community Health</w:t>
      </w:r>
      <w:r w:rsidRPr="00B128EA">
        <w:rPr>
          <w:rFonts w:ascii="Calibri" w:hAnsi="Calibri"/>
        </w:rPr>
        <w:t xml:space="preserve"> 2014, </w:t>
      </w:r>
      <w:r w:rsidRPr="00B128EA">
        <w:rPr>
          <w:rFonts w:ascii="Calibri" w:hAnsi="Calibri"/>
          <w:b/>
          <w:bCs/>
        </w:rPr>
        <w:t>68</w:t>
      </w:r>
      <w:r w:rsidRPr="00B128EA">
        <w:rPr>
          <w:rFonts w:ascii="Calibri" w:hAnsi="Calibri"/>
        </w:rPr>
        <w:t>(Suppl 1):A35–A35.</w:t>
      </w:r>
    </w:p>
    <w:p w:rsidR="00B128EA" w:rsidRPr="00B128EA" w:rsidRDefault="00B128EA" w:rsidP="00B128EA">
      <w:pPr>
        <w:pStyle w:val="Bibliography"/>
        <w:rPr>
          <w:rFonts w:ascii="Calibri" w:hAnsi="Calibri"/>
        </w:rPr>
      </w:pPr>
      <w:r w:rsidRPr="00B128EA">
        <w:rPr>
          <w:rFonts w:ascii="Calibri" w:hAnsi="Calibri"/>
        </w:rPr>
        <w:t xml:space="preserve">3. McLennan D, Barnes H, Noble M, Davies J, Garratt E, Dibben C: </w:t>
      </w:r>
      <w:r w:rsidRPr="00B128EA">
        <w:rPr>
          <w:rFonts w:ascii="Calibri" w:hAnsi="Calibri"/>
          <w:i/>
          <w:iCs/>
        </w:rPr>
        <w:t>The English Indices of Deprivation 2010</w:t>
      </w:r>
      <w:r w:rsidRPr="00B128EA">
        <w:rPr>
          <w:rFonts w:ascii="Calibri" w:hAnsi="Calibri"/>
        </w:rPr>
        <w:t>. 2011.</w:t>
      </w:r>
    </w:p>
    <w:p w:rsidR="00B128EA" w:rsidRPr="00B128EA" w:rsidRDefault="00B128EA" w:rsidP="00B128EA">
      <w:pPr>
        <w:pStyle w:val="Bibliography"/>
        <w:rPr>
          <w:rFonts w:ascii="Calibri" w:hAnsi="Calibri"/>
        </w:rPr>
      </w:pPr>
      <w:r w:rsidRPr="00B128EA">
        <w:rPr>
          <w:rFonts w:ascii="Calibri" w:hAnsi="Calibri"/>
        </w:rPr>
        <w:t xml:space="preserve">4. </w:t>
      </w:r>
      <w:r w:rsidRPr="00B128EA">
        <w:rPr>
          <w:rFonts w:ascii="Calibri" w:hAnsi="Calibri"/>
          <w:b/>
          <w:bCs/>
        </w:rPr>
        <w:t>Adjusted IMD 2010 scores for 2011 LSOAs</w:t>
      </w:r>
      <w:r w:rsidRPr="00B128EA">
        <w:rPr>
          <w:rFonts w:ascii="Calibri" w:hAnsi="Calibri"/>
        </w:rPr>
        <w:t xml:space="preserve"> [http://www.apho.org.uk/resource/item.aspx?RID=125887]</w:t>
      </w:r>
    </w:p>
    <w:p w:rsidR="00B128EA" w:rsidRPr="00B128EA" w:rsidRDefault="00B128EA" w:rsidP="00B128EA">
      <w:pPr>
        <w:pStyle w:val="Bibliography"/>
        <w:rPr>
          <w:rFonts w:ascii="Calibri" w:hAnsi="Calibri"/>
        </w:rPr>
      </w:pPr>
      <w:r w:rsidRPr="00B128EA">
        <w:rPr>
          <w:rFonts w:ascii="Calibri" w:hAnsi="Calibri"/>
        </w:rPr>
        <w:t xml:space="preserve">5. Guzman Castillo M, Gillespie DOS, Allen K, Bandosz P, Schmid V, Capewell S, O’Flaherty M: </w:t>
      </w:r>
      <w:r w:rsidRPr="00B128EA">
        <w:rPr>
          <w:rFonts w:ascii="Calibri" w:hAnsi="Calibri"/>
          <w:b/>
          <w:bCs/>
        </w:rPr>
        <w:t>Future declines of coronary heart disease mortality in England and Wales could counter the burden of population ageing</w:t>
      </w:r>
      <w:r w:rsidRPr="00B128EA">
        <w:rPr>
          <w:rFonts w:ascii="Calibri" w:hAnsi="Calibri"/>
        </w:rPr>
        <w:t xml:space="preserve">. </w:t>
      </w:r>
      <w:r w:rsidRPr="00B128EA">
        <w:rPr>
          <w:rFonts w:ascii="Calibri" w:hAnsi="Calibri"/>
          <w:i/>
          <w:iCs/>
        </w:rPr>
        <w:t>PloS One</w:t>
      </w:r>
      <w:r w:rsidRPr="00B128EA">
        <w:rPr>
          <w:rFonts w:ascii="Calibri" w:hAnsi="Calibri"/>
        </w:rPr>
        <w:t xml:space="preserve"> 2014, </w:t>
      </w:r>
      <w:r w:rsidRPr="00B128EA">
        <w:rPr>
          <w:rFonts w:ascii="Calibri" w:hAnsi="Calibri"/>
          <w:b/>
          <w:bCs/>
        </w:rPr>
        <w:t>9</w:t>
      </w:r>
      <w:r w:rsidRPr="00B128EA">
        <w:rPr>
          <w:rFonts w:ascii="Calibri" w:hAnsi="Calibri"/>
        </w:rPr>
        <w:t>:e99482.</w:t>
      </w:r>
    </w:p>
    <w:p w:rsidR="00B128EA" w:rsidRPr="00B128EA" w:rsidRDefault="00B128EA" w:rsidP="00B128EA">
      <w:pPr>
        <w:pStyle w:val="Bibliography"/>
        <w:rPr>
          <w:rFonts w:ascii="Calibri" w:hAnsi="Calibri"/>
        </w:rPr>
      </w:pPr>
      <w:r w:rsidRPr="00B128EA">
        <w:rPr>
          <w:rFonts w:ascii="Calibri" w:hAnsi="Calibri"/>
        </w:rPr>
        <w:t xml:space="preserve">6. Schmid VJ, Held L: </w:t>
      </w:r>
      <w:r w:rsidRPr="00B128EA">
        <w:rPr>
          <w:rFonts w:ascii="Calibri" w:hAnsi="Calibri"/>
          <w:b/>
          <w:bCs/>
        </w:rPr>
        <w:t>Bayesian age-period-cohort modeling and prediction-BAMP</w:t>
      </w:r>
      <w:r w:rsidRPr="00B128EA">
        <w:rPr>
          <w:rFonts w:ascii="Calibri" w:hAnsi="Calibri"/>
        </w:rPr>
        <w:t xml:space="preserve">. </w:t>
      </w:r>
      <w:r w:rsidRPr="00B128EA">
        <w:rPr>
          <w:rFonts w:ascii="Calibri" w:hAnsi="Calibri"/>
          <w:i/>
          <w:iCs/>
        </w:rPr>
        <w:t>J Stat Softw</w:t>
      </w:r>
      <w:r w:rsidRPr="00B128EA">
        <w:rPr>
          <w:rFonts w:ascii="Calibri" w:hAnsi="Calibri"/>
        </w:rPr>
        <w:t xml:space="preserve"> 2007, </w:t>
      </w:r>
      <w:r w:rsidRPr="00B128EA">
        <w:rPr>
          <w:rFonts w:ascii="Calibri" w:hAnsi="Calibri"/>
          <w:b/>
          <w:bCs/>
        </w:rPr>
        <w:t>21</w:t>
      </w:r>
      <w:r w:rsidRPr="00B128EA">
        <w:rPr>
          <w:rFonts w:ascii="Calibri" w:hAnsi="Calibri"/>
        </w:rPr>
        <w:t>:1–15.</w:t>
      </w:r>
    </w:p>
    <w:p w:rsidR="00B128EA" w:rsidRPr="00B128EA" w:rsidRDefault="00B128EA" w:rsidP="00B128EA">
      <w:pPr>
        <w:pStyle w:val="Bibliography"/>
        <w:rPr>
          <w:rFonts w:ascii="Calibri" w:hAnsi="Calibri"/>
        </w:rPr>
      </w:pPr>
      <w:r w:rsidRPr="00B128EA">
        <w:rPr>
          <w:rFonts w:ascii="Calibri" w:hAnsi="Calibri"/>
        </w:rPr>
        <w:t xml:space="preserve">7. Bajekal M, Scholes S, Love H, Hawkins N, O’Flaherty M, Raine R, Capewell S: </w:t>
      </w:r>
      <w:r w:rsidRPr="00B128EA">
        <w:rPr>
          <w:rFonts w:ascii="Calibri" w:hAnsi="Calibri"/>
          <w:b/>
          <w:bCs/>
        </w:rPr>
        <w:t>Analysing recent socioeconomic trends in coronary heart disease mortality in England, 2000–2007: a population modelling study</w:t>
      </w:r>
      <w:r w:rsidRPr="00B128EA">
        <w:rPr>
          <w:rFonts w:ascii="Calibri" w:hAnsi="Calibri"/>
        </w:rPr>
        <w:t xml:space="preserve">. </w:t>
      </w:r>
      <w:r w:rsidRPr="00B128EA">
        <w:rPr>
          <w:rFonts w:ascii="Calibri" w:hAnsi="Calibri"/>
          <w:i/>
          <w:iCs/>
        </w:rPr>
        <w:t>PLoS Med</w:t>
      </w:r>
      <w:r w:rsidRPr="00B128EA">
        <w:rPr>
          <w:rFonts w:ascii="Calibri" w:hAnsi="Calibri"/>
        </w:rPr>
        <w:t xml:space="preserve"> 2012, </w:t>
      </w:r>
      <w:r w:rsidRPr="00B128EA">
        <w:rPr>
          <w:rFonts w:ascii="Calibri" w:hAnsi="Calibri"/>
          <w:b/>
          <w:bCs/>
        </w:rPr>
        <w:t>9</w:t>
      </w:r>
      <w:r w:rsidRPr="00B128EA">
        <w:rPr>
          <w:rFonts w:ascii="Calibri" w:hAnsi="Calibri"/>
        </w:rPr>
        <w:t>:e1001237.</w:t>
      </w:r>
    </w:p>
    <w:p w:rsidR="00B128EA" w:rsidRPr="00B128EA" w:rsidRDefault="00B128EA" w:rsidP="00B128EA">
      <w:pPr>
        <w:pStyle w:val="Bibliography"/>
        <w:rPr>
          <w:rFonts w:ascii="Calibri" w:hAnsi="Calibri"/>
        </w:rPr>
      </w:pPr>
      <w:r w:rsidRPr="00B128EA">
        <w:rPr>
          <w:rFonts w:ascii="Calibri" w:hAnsi="Calibri"/>
        </w:rPr>
        <w:t xml:space="preserve">8. </w:t>
      </w:r>
      <w:r w:rsidRPr="00B128EA">
        <w:rPr>
          <w:rFonts w:ascii="Calibri" w:hAnsi="Calibri"/>
          <w:b/>
          <w:bCs/>
        </w:rPr>
        <w:t>WHO | Handbook on health inequality monitoring with a special focus on low- and middle-income countries</w:t>
      </w:r>
      <w:r w:rsidRPr="00B128EA">
        <w:rPr>
          <w:rFonts w:ascii="Calibri" w:hAnsi="Calibri"/>
        </w:rPr>
        <w:t xml:space="preserve"> [http://www.who.int/gho/health_equity/handbook/en/]</w:t>
      </w:r>
    </w:p>
    <w:p w:rsidR="00B128EA" w:rsidRPr="00B128EA" w:rsidRDefault="00B128EA" w:rsidP="00B128EA">
      <w:pPr>
        <w:pStyle w:val="Bibliography"/>
        <w:rPr>
          <w:rFonts w:ascii="Calibri" w:hAnsi="Calibri"/>
        </w:rPr>
      </w:pPr>
      <w:r w:rsidRPr="00B128EA">
        <w:rPr>
          <w:rFonts w:ascii="Calibri" w:hAnsi="Calibri"/>
        </w:rPr>
        <w:t xml:space="preserve">9. Smolina K, Wright FL, Rayner M, Goldacre MJ: </w:t>
      </w:r>
      <w:r w:rsidRPr="00B128EA">
        <w:rPr>
          <w:rFonts w:ascii="Calibri" w:hAnsi="Calibri"/>
          <w:b/>
          <w:bCs/>
        </w:rPr>
        <w:t>Long-term survival and recurrence after acute myocardial infarction in England, 2004 to 2010</w:t>
      </w:r>
      <w:r w:rsidRPr="00B128EA">
        <w:rPr>
          <w:rFonts w:ascii="Calibri" w:hAnsi="Calibri"/>
        </w:rPr>
        <w:t xml:space="preserve">. </w:t>
      </w:r>
      <w:r w:rsidRPr="00B128EA">
        <w:rPr>
          <w:rFonts w:ascii="Calibri" w:hAnsi="Calibri"/>
          <w:i/>
          <w:iCs/>
        </w:rPr>
        <w:t>Circ Cardiovasc Qual Outcomes</w:t>
      </w:r>
      <w:r w:rsidRPr="00B128EA">
        <w:rPr>
          <w:rFonts w:ascii="Calibri" w:hAnsi="Calibri"/>
        </w:rPr>
        <w:t xml:space="preserve"> 2012, </w:t>
      </w:r>
      <w:r w:rsidRPr="00B128EA">
        <w:rPr>
          <w:rFonts w:ascii="Calibri" w:hAnsi="Calibri"/>
          <w:b/>
          <w:bCs/>
        </w:rPr>
        <w:t>5</w:t>
      </w:r>
      <w:r w:rsidRPr="00B128EA">
        <w:rPr>
          <w:rFonts w:ascii="Calibri" w:hAnsi="Calibri"/>
        </w:rPr>
        <w:t>:532–540.</w:t>
      </w:r>
    </w:p>
    <w:p w:rsidR="00B128EA" w:rsidRPr="00B128EA" w:rsidRDefault="00B128EA" w:rsidP="00B128EA">
      <w:pPr>
        <w:pStyle w:val="Bibliography"/>
        <w:rPr>
          <w:rFonts w:ascii="Calibri" w:hAnsi="Calibri"/>
        </w:rPr>
      </w:pPr>
      <w:r w:rsidRPr="00B128EA">
        <w:rPr>
          <w:rFonts w:ascii="Calibri" w:hAnsi="Calibri"/>
        </w:rPr>
        <w:t xml:space="preserve">10. </w:t>
      </w:r>
      <w:r w:rsidRPr="00B128EA">
        <w:rPr>
          <w:rFonts w:ascii="Calibri" w:hAnsi="Calibri"/>
          <w:i/>
          <w:iCs/>
        </w:rPr>
        <w:t>Comparative Quantification of Health Risks</w:t>
      </w:r>
      <w:r w:rsidRPr="00B128EA">
        <w:rPr>
          <w:rFonts w:ascii="Calibri" w:hAnsi="Calibri"/>
        </w:rPr>
        <w:t>. Geneva: World Health Organisation; 2004. [Ezzati M, Lopez AD, Rodgers A, Murray CJL (Series editors)]</w:t>
      </w:r>
    </w:p>
    <w:p w:rsidR="00B128EA" w:rsidRPr="00B128EA" w:rsidRDefault="00B128EA" w:rsidP="00B128EA">
      <w:pPr>
        <w:pStyle w:val="Bibliography"/>
        <w:rPr>
          <w:rFonts w:ascii="Calibri" w:hAnsi="Calibri"/>
        </w:rPr>
      </w:pPr>
      <w:r w:rsidRPr="00B128EA">
        <w:rPr>
          <w:rFonts w:ascii="Calibri" w:hAnsi="Calibri"/>
        </w:rPr>
        <w:t xml:space="preserve">11. Clark CE: </w:t>
      </w:r>
      <w:r w:rsidRPr="00B128EA">
        <w:rPr>
          <w:rFonts w:ascii="Calibri" w:hAnsi="Calibri"/>
          <w:b/>
          <w:bCs/>
        </w:rPr>
        <w:t>Letter to the Editor-The PERT Model for the Distribution of an Activity Time</w:t>
      </w:r>
      <w:r w:rsidRPr="00B128EA">
        <w:rPr>
          <w:rFonts w:ascii="Calibri" w:hAnsi="Calibri"/>
        </w:rPr>
        <w:t xml:space="preserve">. </w:t>
      </w:r>
      <w:r w:rsidRPr="00B128EA">
        <w:rPr>
          <w:rFonts w:ascii="Calibri" w:hAnsi="Calibri"/>
          <w:i/>
          <w:iCs/>
        </w:rPr>
        <w:t>Oper Res</w:t>
      </w:r>
      <w:r w:rsidRPr="00B128EA">
        <w:rPr>
          <w:rFonts w:ascii="Calibri" w:hAnsi="Calibri"/>
        </w:rPr>
        <w:t xml:space="preserve"> 1962, </w:t>
      </w:r>
      <w:r w:rsidRPr="00B128EA">
        <w:rPr>
          <w:rFonts w:ascii="Calibri" w:hAnsi="Calibri"/>
          <w:b/>
          <w:bCs/>
        </w:rPr>
        <w:t>10</w:t>
      </w:r>
      <w:r w:rsidRPr="00B128EA">
        <w:rPr>
          <w:rFonts w:ascii="Calibri" w:hAnsi="Calibri"/>
        </w:rPr>
        <w:t>:405–406.</w:t>
      </w:r>
    </w:p>
    <w:p w:rsidR="00B128EA" w:rsidRPr="00B128EA" w:rsidRDefault="00B128EA" w:rsidP="00B128EA">
      <w:pPr>
        <w:pStyle w:val="Bibliography"/>
        <w:rPr>
          <w:rFonts w:ascii="Calibri" w:hAnsi="Calibri"/>
        </w:rPr>
      </w:pPr>
      <w:r w:rsidRPr="00B128EA">
        <w:rPr>
          <w:rFonts w:ascii="Calibri" w:hAnsi="Calibri"/>
        </w:rPr>
        <w:t xml:space="preserve">12. Thomas S, Fayter D, Misso K, Ogilvie D, Petticrew M, Sowden A, Whitehead M, Worthy G: </w:t>
      </w:r>
      <w:r w:rsidRPr="00B128EA">
        <w:rPr>
          <w:rFonts w:ascii="Calibri" w:hAnsi="Calibri"/>
          <w:b/>
          <w:bCs/>
        </w:rPr>
        <w:t>Population tobacco control interventions and their effects on social inequalities in smoking: systematic review</w:t>
      </w:r>
      <w:r w:rsidRPr="00B128EA">
        <w:rPr>
          <w:rFonts w:ascii="Calibri" w:hAnsi="Calibri"/>
        </w:rPr>
        <w:t xml:space="preserve">. </w:t>
      </w:r>
      <w:r w:rsidRPr="00B128EA">
        <w:rPr>
          <w:rFonts w:ascii="Calibri" w:hAnsi="Calibri"/>
          <w:i/>
          <w:iCs/>
        </w:rPr>
        <w:t>Tob Control</w:t>
      </w:r>
      <w:r w:rsidRPr="00B128EA">
        <w:rPr>
          <w:rFonts w:ascii="Calibri" w:hAnsi="Calibri"/>
        </w:rPr>
        <w:t xml:space="preserve"> 2008, </w:t>
      </w:r>
      <w:r w:rsidRPr="00B128EA">
        <w:rPr>
          <w:rFonts w:ascii="Calibri" w:hAnsi="Calibri"/>
          <w:b/>
          <w:bCs/>
        </w:rPr>
        <w:t>17</w:t>
      </w:r>
      <w:r w:rsidRPr="00B128EA">
        <w:rPr>
          <w:rFonts w:ascii="Calibri" w:hAnsi="Calibri"/>
        </w:rPr>
        <w:t>:230–237.</w:t>
      </w:r>
    </w:p>
    <w:p w:rsidR="00B128EA" w:rsidRPr="00B128EA" w:rsidRDefault="00B128EA" w:rsidP="00B128EA">
      <w:pPr>
        <w:pStyle w:val="Bibliography"/>
        <w:rPr>
          <w:rFonts w:ascii="Calibri" w:hAnsi="Calibri"/>
        </w:rPr>
      </w:pPr>
      <w:r w:rsidRPr="00B128EA">
        <w:rPr>
          <w:rFonts w:ascii="Calibri" w:hAnsi="Calibri"/>
        </w:rPr>
        <w:t xml:space="preserve">13. Hill S, Amos A, Clifford D, Platt S: </w:t>
      </w:r>
      <w:r w:rsidRPr="00B128EA">
        <w:rPr>
          <w:rFonts w:ascii="Calibri" w:hAnsi="Calibri"/>
          <w:b/>
          <w:bCs/>
        </w:rPr>
        <w:t>Impact of tobacco control interventions on socioeconomic inequalities in smoking: review of the evidence</w:t>
      </w:r>
      <w:r w:rsidRPr="00B128EA">
        <w:rPr>
          <w:rFonts w:ascii="Calibri" w:hAnsi="Calibri"/>
        </w:rPr>
        <w:t xml:space="preserve">. </w:t>
      </w:r>
      <w:r w:rsidRPr="00B128EA">
        <w:rPr>
          <w:rFonts w:ascii="Calibri" w:hAnsi="Calibri"/>
          <w:i/>
          <w:iCs/>
        </w:rPr>
        <w:t>Tob Control</w:t>
      </w:r>
      <w:r w:rsidRPr="00B128EA">
        <w:rPr>
          <w:rFonts w:ascii="Calibri" w:hAnsi="Calibri"/>
        </w:rPr>
        <w:t xml:space="preserve"> 2014, </w:t>
      </w:r>
      <w:r w:rsidRPr="00B128EA">
        <w:rPr>
          <w:rFonts w:ascii="Calibri" w:hAnsi="Calibri"/>
          <w:b/>
          <w:bCs/>
        </w:rPr>
        <w:t>23</w:t>
      </w:r>
      <w:r w:rsidRPr="00B128EA">
        <w:rPr>
          <w:rFonts w:ascii="Calibri" w:hAnsi="Calibri"/>
        </w:rPr>
        <w:t>:e89–97.</w:t>
      </w:r>
    </w:p>
    <w:p w:rsidR="00AD6A94" w:rsidRDefault="005F0424" w:rsidP="005B0364">
      <w:pPr>
        <w:ind w:firstLine="0"/>
      </w:pPr>
      <w:r>
        <w:fldChar w:fldCharType="end"/>
      </w:r>
    </w:p>
    <w:sectPr w:rsidR="00AD6A94" w:rsidSect="005B0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94"/>
    <w:rsid w:val="000D7206"/>
    <w:rsid w:val="001308EB"/>
    <w:rsid w:val="001540AC"/>
    <w:rsid w:val="001666BB"/>
    <w:rsid w:val="0029189A"/>
    <w:rsid w:val="002D2DB8"/>
    <w:rsid w:val="00323DC2"/>
    <w:rsid w:val="003A034F"/>
    <w:rsid w:val="003A37EB"/>
    <w:rsid w:val="003A4554"/>
    <w:rsid w:val="0046043A"/>
    <w:rsid w:val="00465C56"/>
    <w:rsid w:val="004C470A"/>
    <w:rsid w:val="00515173"/>
    <w:rsid w:val="0052166F"/>
    <w:rsid w:val="00547176"/>
    <w:rsid w:val="00590879"/>
    <w:rsid w:val="00590C2F"/>
    <w:rsid w:val="005B0364"/>
    <w:rsid w:val="005F0424"/>
    <w:rsid w:val="00611539"/>
    <w:rsid w:val="0061578D"/>
    <w:rsid w:val="0062322C"/>
    <w:rsid w:val="00634380"/>
    <w:rsid w:val="00683E62"/>
    <w:rsid w:val="006B26D5"/>
    <w:rsid w:val="006D4909"/>
    <w:rsid w:val="00707B8A"/>
    <w:rsid w:val="00713545"/>
    <w:rsid w:val="00804D14"/>
    <w:rsid w:val="00805819"/>
    <w:rsid w:val="0082565D"/>
    <w:rsid w:val="008F066E"/>
    <w:rsid w:val="00922D22"/>
    <w:rsid w:val="00AA232C"/>
    <w:rsid w:val="00AA2E22"/>
    <w:rsid w:val="00AA559B"/>
    <w:rsid w:val="00AD6A94"/>
    <w:rsid w:val="00B128EA"/>
    <w:rsid w:val="00BF242B"/>
    <w:rsid w:val="00C028D5"/>
    <w:rsid w:val="00C41B47"/>
    <w:rsid w:val="00CD3E32"/>
    <w:rsid w:val="00DA1712"/>
    <w:rsid w:val="00DB3DB5"/>
    <w:rsid w:val="00DE29A2"/>
    <w:rsid w:val="00E1373E"/>
    <w:rsid w:val="00F16710"/>
    <w:rsid w:val="00F40B68"/>
    <w:rsid w:val="00F41C0D"/>
    <w:rsid w:val="00F42129"/>
    <w:rsid w:val="00FC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E18C6-197C-4B56-9396-A560B1D3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94"/>
  </w:style>
  <w:style w:type="paragraph" w:styleId="Heading1">
    <w:name w:val="heading 1"/>
    <w:basedOn w:val="Normal"/>
    <w:next w:val="Normal"/>
    <w:link w:val="Heading1Char"/>
    <w:uiPriority w:val="9"/>
    <w:qFormat/>
    <w:rsid w:val="00AD6A9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D6A9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D6A9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D6A9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AD6A9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D6A9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D6A9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D6A9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D6A9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A94"/>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D6A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D6A94"/>
    <w:rPr>
      <w:rFonts w:asciiTheme="majorHAnsi" w:eastAsiaTheme="majorEastAsia" w:hAnsiTheme="majorHAnsi" w:cstheme="majorBidi"/>
      <w:b/>
      <w:bCs/>
      <w:i/>
      <w:iCs/>
      <w:sz w:val="26"/>
      <w:szCs w:val="26"/>
    </w:rPr>
  </w:style>
  <w:style w:type="character" w:styleId="Hyperlink">
    <w:name w:val="Hyperlink"/>
    <w:basedOn w:val="DefaultParagraphFont"/>
    <w:uiPriority w:val="99"/>
    <w:unhideWhenUsed/>
    <w:rsid w:val="00AD6A94"/>
    <w:rPr>
      <w:color w:val="0000FF" w:themeColor="hyperlink"/>
      <w:u w:val="single"/>
    </w:rPr>
  </w:style>
  <w:style w:type="table" w:styleId="TableGrid">
    <w:name w:val="Table Grid"/>
    <w:basedOn w:val="TableNormal"/>
    <w:uiPriority w:val="59"/>
    <w:rsid w:val="00AD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D6A9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D6A9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D6A9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D6A9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D6A9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D6A94"/>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AD6A94"/>
    <w:rPr>
      <w:b/>
      <w:bCs/>
      <w:sz w:val="18"/>
      <w:szCs w:val="18"/>
    </w:rPr>
  </w:style>
  <w:style w:type="paragraph" w:styleId="Title">
    <w:name w:val="Title"/>
    <w:basedOn w:val="Normal"/>
    <w:next w:val="Normal"/>
    <w:link w:val="TitleChar"/>
    <w:uiPriority w:val="10"/>
    <w:qFormat/>
    <w:rsid w:val="00AD6A9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D6A9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D6A9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D6A94"/>
    <w:rPr>
      <w:i/>
      <w:iCs/>
      <w:color w:val="808080" w:themeColor="text1" w:themeTint="7F"/>
      <w:spacing w:val="10"/>
      <w:sz w:val="24"/>
      <w:szCs w:val="24"/>
    </w:rPr>
  </w:style>
  <w:style w:type="character" w:styleId="Strong">
    <w:name w:val="Strong"/>
    <w:basedOn w:val="DefaultParagraphFont"/>
    <w:uiPriority w:val="22"/>
    <w:qFormat/>
    <w:rsid w:val="00AD6A94"/>
    <w:rPr>
      <w:b/>
      <w:bCs/>
      <w:spacing w:val="0"/>
    </w:rPr>
  </w:style>
  <w:style w:type="character" w:styleId="Emphasis">
    <w:name w:val="Emphasis"/>
    <w:uiPriority w:val="20"/>
    <w:qFormat/>
    <w:rsid w:val="00AD6A94"/>
    <w:rPr>
      <w:b/>
      <w:bCs/>
      <w:i/>
      <w:iCs/>
      <w:color w:val="auto"/>
    </w:rPr>
  </w:style>
  <w:style w:type="paragraph" w:styleId="NoSpacing">
    <w:name w:val="No Spacing"/>
    <w:basedOn w:val="Normal"/>
    <w:uiPriority w:val="1"/>
    <w:qFormat/>
    <w:rsid w:val="00AD6A94"/>
    <w:pPr>
      <w:spacing w:after="0" w:line="240" w:lineRule="auto"/>
      <w:ind w:firstLine="0"/>
    </w:pPr>
  </w:style>
  <w:style w:type="paragraph" w:styleId="ListParagraph">
    <w:name w:val="List Paragraph"/>
    <w:basedOn w:val="Normal"/>
    <w:uiPriority w:val="34"/>
    <w:qFormat/>
    <w:rsid w:val="00AD6A94"/>
    <w:pPr>
      <w:ind w:left="720"/>
      <w:contextualSpacing/>
    </w:pPr>
  </w:style>
  <w:style w:type="paragraph" w:styleId="Quote">
    <w:name w:val="Quote"/>
    <w:basedOn w:val="Normal"/>
    <w:next w:val="Normal"/>
    <w:link w:val="QuoteChar"/>
    <w:uiPriority w:val="29"/>
    <w:qFormat/>
    <w:rsid w:val="00AD6A94"/>
    <w:rPr>
      <w:color w:val="5A5A5A" w:themeColor="text1" w:themeTint="A5"/>
    </w:rPr>
  </w:style>
  <w:style w:type="character" w:customStyle="1" w:styleId="QuoteChar">
    <w:name w:val="Quote Char"/>
    <w:basedOn w:val="DefaultParagraphFont"/>
    <w:link w:val="Quote"/>
    <w:uiPriority w:val="29"/>
    <w:rsid w:val="00AD6A94"/>
    <w:rPr>
      <w:color w:val="5A5A5A" w:themeColor="text1" w:themeTint="A5"/>
    </w:rPr>
  </w:style>
  <w:style w:type="paragraph" w:styleId="IntenseQuote">
    <w:name w:val="Intense Quote"/>
    <w:basedOn w:val="Normal"/>
    <w:next w:val="Normal"/>
    <w:link w:val="IntenseQuoteChar"/>
    <w:uiPriority w:val="30"/>
    <w:qFormat/>
    <w:rsid w:val="00AD6A9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D6A94"/>
    <w:rPr>
      <w:rFonts w:asciiTheme="majorHAnsi" w:eastAsiaTheme="majorEastAsia" w:hAnsiTheme="majorHAnsi" w:cstheme="majorBidi"/>
      <w:i/>
      <w:iCs/>
      <w:sz w:val="20"/>
      <w:szCs w:val="20"/>
    </w:rPr>
  </w:style>
  <w:style w:type="character" w:styleId="SubtleEmphasis">
    <w:name w:val="Subtle Emphasis"/>
    <w:uiPriority w:val="19"/>
    <w:qFormat/>
    <w:rsid w:val="00AD6A94"/>
    <w:rPr>
      <w:i/>
      <w:iCs/>
      <w:color w:val="5A5A5A" w:themeColor="text1" w:themeTint="A5"/>
    </w:rPr>
  </w:style>
  <w:style w:type="character" w:styleId="IntenseEmphasis">
    <w:name w:val="Intense Emphasis"/>
    <w:uiPriority w:val="21"/>
    <w:qFormat/>
    <w:rsid w:val="00AD6A94"/>
    <w:rPr>
      <w:b/>
      <w:bCs/>
      <w:i/>
      <w:iCs/>
      <w:color w:val="auto"/>
      <w:u w:val="single"/>
    </w:rPr>
  </w:style>
  <w:style w:type="character" w:styleId="SubtleReference">
    <w:name w:val="Subtle Reference"/>
    <w:uiPriority w:val="31"/>
    <w:qFormat/>
    <w:rsid w:val="00AD6A94"/>
    <w:rPr>
      <w:smallCaps/>
    </w:rPr>
  </w:style>
  <w:style w:type="character" w:styleId="IntenseReference">
    <w:name w:val="Intense Reference"/>
    <w:uiPriority w:val="32"/>
    <w:qFormat/>
    <w:rsid w:val="00AD6A94"/>
    <w:rPr>
      <w:b/>
      <w:bCs/>
      <w:smallCaps/>
      <w:color w:val="auto"/>
    </w:rPr>
  </w:style>
  <w:style w:type="character" w:styleId="BookTitle">
    <w:name w:val="Book Title"/>
    <w:uiPriority w:val="33"/>
    <w:qFormat/>
    <w:rsid w:val="00AD6A9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D6A94"/>
    <w:pPr>
      <w:outlineLvl w:val="9"/>
    </w:pPr>
    <w:rPr>
      <w:lang w:bidi="en-US"/>
    </w:rPr>
  </w:style>
  <w:style w:type="table" w:styleId="LightList">
    <w:name w:val="Light List"/>
    <w:basedOn w:val="TableNormal"/>
    <w:uiPriority w:val="61"/>
    <w:rsid w:val="00804D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phy">
    <w:name w:val="Bibliography"/>
    <w:basedOn w:val="Normal"/>
    <w:next w:val="Normal"/>
    <w:uiPriority w:val="37"/>
    <w:unhideWhenUsed/>
    <w:rsid w:val="005F0424"/>
    <w:pPr>
      <w:spacing w:line="240" w:lineRule="auto"/>
      <w:ind w:firstLine="0"/>
    </w:pPr>
  </w:style>
  <w:style w:type="paragraph" w:styleId="BalloonText">
    <w:name w:val="Balloon Text"/>
    <w:basedOn w:val="Normal"/>
    <w:link w:val="BalloonTextChar"/>
    <w:uiPriority w:val="99"/>
    <w:semiHidden/>
    <w:unhideWhenUsed/>
    <w:rsid w:val="008F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s.gov.uk/ons/rel/npp/national-population-projections/2012-based-extra-variants/rft-table-z8-zipped-population-data-files---england.zip" TargetMode="External"/><Relationship Id="rId5" Type="http://schemas.openxmlformats.org/officeDocument/2006/relationships/hyperlink" Target="http://www.ons.gov.uk/ons/rel/npp/national-population-projections/2012-based-extra-variants/index.html" TargetMode="External"/><Relationship Id="rId4" Type="http://schemas.openxmlformats.org/officeDocument/2006/relationships/hyperlink" Target="http://www.ons.gov.uk/ons/about-ons/business-transparency/freedom-of-information/what-can-i-request/published-ad-hoc-data/health/november-201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7</Pages>
  <Words>6296</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Kypridemos</dc:creator>
  <cp:lastModifiedBy>Kypridemos, Christodoulos</cp:lastModifiedBy>
  <cp:revision>32</cp:revision>
  <dcterms:created xsi:type="dcterms:W3CDTF">2015-08-05T09:03:00Z</dcterms:created>
  <dcterms:modified xsi:type="dcterms:W3CDTF">2016-01-27T15:49:00Z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id="lGv5jRVu"/&gt;&lt;style id="http://www.zotero.org/styles/bmc-public-health"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