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04" w:rsidRPr="00980D79" w:rsidRDefault="00980D79" w:rsidP="003A7937">
      <w:pPr>
        <w:rPr>
          <w:b/>
        </w:rPr>
      </w:pPr>
      <w:r>
        <w:rPr>
          <w:b/>
        </w:rPr>
        <w:t>T</w:t>
      </w:r>
      <w:r w:rsidR="00EE2725" w:rsidRPr="00304B61">
        <w:rPr>
          <w:b/>
        </w:rPr>
        <w:t>itle</w:t>
      </w:r>
      <w:r w:rsidR="00434115" w:rsidRPr="00304B61">
        <w:rPr>
          <w:b/>
        </w:rPr>
        <w:t>:</w:t>
      </w:r>
      <w:r w:rsidR="00434115">
        <w:t xml:space="preserve"> </w:t>
      </w:r>
      <w:r w:rsidRPr="00980D79">
        <w:rPr>
          <w:b/>
        </w:rPr>
        <w:t>Fruit and vegetable consumption and non-communicable disease: Time to update the 5 a day message</w:t>
      </w:r>
      <w:r>
        <w:rPr>
          <w:b/>
        </w:rPr>
        <w:t>?</w:t>
      </w:r>
    </w:p>
    <w:p w:rsidR="00EE2725" w:rsidRPr="00304B61" w:rsidRDefault="00EE2725" w:rsidP="003A7937">
      <w:pPr>
        <w:rPr>
          <w:b/>
        </w:rPr>
      </w:pPr>
      <w:r w:rsidRPr="00304B61">
        <w:rPr>
          <w:b/>
        </w:rPr>
        <w:t>Authors</w:t>
      </w:r>
      <w:r w:rsidR="00E43C61" w:rsidRPr="00304B61">
        <w:rPr>
          <w:b/>
        </w:rPr>
        <w:t>:</w:t>
      </w:r>
      <w:r w:rsidR="009854F7">
        <w:rPr>
          <w:b/>
        </w:rPr>
        <w:t xml:space="preserve">  C</w:t>
      </w:r>
      <w:r w:rsidR="00263D00">
        <w:rPr>
          <w:b/>
        </w:rPr>
        <w:t xml:space="preserve">hris </w:t>
      </w:r>
      <w:r w:rsidR="009854F7">
        <w:rPr>
          <w:b/>
        </w:rPr>
        <w:t>K</w:t>
      </w:r>
      <w:r w:rsidR="00263D00">
        <w:rPr>
          <w:b/>
        </w:rPr>
        <w:t>ypridemos</w:t>
      </w:r>
      <w:r w:rsidR="00263D00" w:rsidRPr="00263D00">
        <w:rPr>
          <w:b/>
          <w:vertAlign w:val="superscript"/>
        </w:rPr>
        <w:t>1</w:t>
      </w:r>
      <w:r w:rsidR="009854F7">
        <w:rPr>
          <w:b/>
        </w:rPr>
        <w:t>, M</w:t>
      </w:r>
      <w:r w:rsidR="00263D00">
        <w:rPr>
          <w:b/>
        </w:rPr>
        <w:t xml:space="preserve">artin </w:t>
      </w:r>
      <w:r w:rsidR="009854F7">
        <w:rPr>
          <w:b/>
        </w:rPr>
        <w:t>O</w:t>
      </w:r>
      <w:r w:rsidR="00263D00">
        <w:rPr>
          <w:b/>
        </w:rPr>
        <w:t>’</w:t>
      </w:r>
      <w:r w:rsidR="009854F7">
        <w:rPr>
          <w:b/>
        </w:rPr>
        <w:t>F</w:t>
      </w:r>
      <w:r w:rsidR="00263D00">
        <w:rPr>
          <w:b/>
        </w:rPr>
        <w:t>laherty</w:t>
      </w:r>
      <w:r w:rsidR="00263D00" w:rsidRPr="00263D00">
        <w:rPr>
          <w:b/>
          <w:vertAlign w:val="superscript"/>
        </w:rPr>
        <w:t>1</w:t>
      </w:r>
      <w:r w:rsidR="009854F7">
        <w:rPr>
          <w:b/>
        </w:rPr>
        <w:t>, S</w:t>
      </w:r>
      <w:r w:rsidR="00263D00">
        <w:rPr>
          <w:b/>
        </w:rPr>
        <w:t xml:space="preserve">imon </w:t>
      </w:r>
      <w:r w:rsidR="009854F7">
        <w:rPr>
          <w:b/>
        </w:rPr>
        <w:t>C</w:t>
      </w:r>
      <w:r w:rsidR="00263D00">
        <w:rPr>
          <w:b/>
        </w:rPr>
        <w:t>apewell</w:t>
      </w:r>
      <w:r w:rsidR="00263D00" w:rsidRPr="00263D00">
        <w:rPr>
          <w:b/>
          <w:vertAlign w:val="superscript"/>
        </w:rPr>
        <w:t>1</w:t>
      </w:r>
    </w:p>
    <w:p w:rsidR="00263D00" w:rsidRDefault="00980D79" w:rsidP="003A7937">
      <w:pPr>
        <w:rPr>
          <w:b/>
          <w:i/>
          <w:sz w:val="20"/>
        </w:rPr>
      </w:pPr>
      <w:r w:rsidRPr="00263D00">
        <w:rPr>
          <w:b/>
          <w:vertAlign w:val="superscript"/>
        </w:rPr>
        <w:t>1</w:t>
      </w:r>
      <w:r w:rsidR="00263D00" w:rsidRPr="00263D00">
        <w:rPr>
          <w:b/>
          <w:i/>
          <w:sz w:val="20"/>
        </w:rPr>
        <w:t>Division of Public Health and Policy, University of Liverpool.</w:t>
      </w:r>
    </w:p>
    <w:p w:rsidR="00980D79" w:rsidRPr="00D317ED" w:rsidRDefault="00980D79" w:rsidP="003A7937">
      <w:pPr>
        <w:rPr>
          <w:b/>
          <w:i/>
          <w:sz w:val="20"/>
          <w:szCs w:val="20"/>
        </w:rPr>
      </w:pPr>
      <w:r w:rsidRPr="00D317ED">
        <w:rPr>
          <w:sz w:val="20"/>
          <w:szCs w:val="20"/>
        </w:rPr>
        <w:t>Correspondence to: Chris Kypridemos, Department of Public Health &amp; Policy,</w:t>
      </w:r>
      <w:r w:rsidRPr="00D317ED">
        <w:rPr>
          <w:rFonts w:eastAsia="Times New Roman" w:cs="Tahoma"/>
          <w:noProof/>
          <w:sz w:val="20"/>
          <w:szCs w:val="20"/>
          <w:lang w:eastAsia="en-GB"/>
        </w:rPr>
        <w:t xml:space="preserve"> Institute of Psychology, Health &amp; Society.</w:t>
      </w:r>
      <w:r w:rsidRPr="00D317ED">
        <w:rPr>
          <w:sz w:val="20"/>
          <w:szCs w:val="20"/>
        </w:rPr>
        <w:t xml:space="preserve"> </w:t>
      </w:r>
      <w:r w:rsidRPr="00D317ED">
        <w:rPr>
          <w:rFonts w:eastAsia="Times New Roman" w:cs="Tahoma"/>
          <w:noProof/>
          <w:sz w:val="20"/>
          <w:szCs w:val="20"/>
          <w:lang w:eastAsia="en-GB"/>
        </w:rPr>
        <w:t xml:space="preserve">Whelan Building, Quadrangle, L69 3GB, Liverpool </w:t>
      </w:r>
      <w:r w:rsidRPr="00D317ED">
        <w:rPr>
          <w:sz w:val="20"/>
          <w:szCs w:val="20"/>
        </w:rPr>
        <w:t xml:space="preserve">UK Tel: </w:t>
      </w:r>
      <w:r w:rsidRPr="00D317ED">
        <w:rPr>
          <w:rFonts w:eastAsia="Times New Roman" w:cs="Tahoma"/>
          <w:noProof/>
          <w:sz w:val="20"/>
          <w:szCs w:val="20"/>
          <w:lang w:eastAsia="en-GB"/>
        </w:rPr>
        <w:t>0044 (0)151 795 0130</w:t>
      </w:r>
      <w:r w:rsidRPr="00D317ED">
        <w:rPr>
          <w:sz w:val="20"/>
          <w:szCs w:val="20"/>
        </w:rPr>
        <w:t xml:space="preserve">; e-mail: </w:t>
      </w:r>
      <w:hyperlink r:id="rId6" w:history="1">
        <w:r w:rsidRPr="00D317ED">
          <w:rPr>
            <w:rStyle w:val="Hyperlink"/>
            <w:rFonts w:eastAsia="Times New Roman" w:cs="Tahoma"/>
            <w:noProof/>
            <w:sz w:val="20"/>
            <w:szCs w:val="20"/>
            <w:lang w:eastAsia="en-GB"/>
          </w:rPr>
          <w:t>ckyprid@liverpool.ac.uk</w:t>
        </w:r>
      </w:hyperlink>
    </w:p>
    <w:p w:rsidR="00263D00" w:rsidRPr="00D317ED" w:rsidRDefault="00263D00" w:rsidP="003A7937">
      <w:pPr>
        <w:rPr>
          <w:b/>
          <w:i/>
          <w:sz w:val="20"/>
          <w:szCs w:val="20"/>
        </w:rPr>
      </w:pPr>
    </w:p>
    <w:p w:rsidR="00015AF9" w:rsidRDefault="003B47C0" w:rsidP="003A7937">
      <w:r>
        <w:t xml:space="preserve">Studies reporting </w:t>
      </w:r>
      <w:r w:rsidR="00980D79">
        <w:t>‘new’</w:t>
      </w:r>
      <w:r w:rsidR="009854F7">
        <w:t xml:space="preserve"> </w:t>
      </w:r>
      <w:r>
        <w:t xml:space="preserve">associations of food ingredients with diseases are </w:t>
      </w:r>
      <w:r w:rsidR="00980D79">
        <w:t>common</w:t>
      </w:r>
      <w:r w:rsidR="009C2A5F">
        <w:t xml:space="preserve"> </w:t>
      </w:r>
      <w:r>
        <w:t xml:space="preserve">and </w:t>
      </w:r>
      <w:r w:rsidR="009854F7">
        <w:t xml:space="preserve">sensational </w:t>
      </w:r>
      <w:r>
        <w:t xml:space="preserve">headlines </w:t>
      </w:r>
      <w:r w:rsidR="009854F7">
        <w:t xml:space="preserve">appear almost daily </w:t>
      </w:r>
      <w:r>
        <w:t xml:space="preserve">in the </w:t>
      </w:r>
      <w:r w:rsidR="00E924AE">
        <w:t>news</w:t>
      </w:r>
      <w:r>
        <w:t xml:space="preserve"> media. </w:t>
      </w:r>
      <w:r w:rsidR="009854F7">
        <w:t xml:space="preserve">Thus </w:t>
      </w:r>
      <w:proofErr w:type="spellStart"/>
      <w:r w:rsidR="00044F2A">
        <w:t>Schoenfeld</w:t>
      </w:r>
      <w:proofErr w:type="spellEnd"/>
      <w:r w:rsidR="00044F2A">
        <w:t xml:space="preserve"> </w:t>
      </w:r>
      <w:r>
        <w:t xml:space="preserve">and Ioannidis </w:t>
      </w:r>
      <w:r w:rsidR="00A965FA" w:rsidRPr="00A965FA">
        <w:rPr>
          <w:rFonts w:ascii="Calibri" w:hAnsi="Calibri"/>
        </w:rPr>
        <w:t>[1]</w:t>
      </w:r>
      <w:r w:rsidR="003E3861">
        <w:t>,</w:t>
      </w:r>
      <w:r w:rsidR="00E924AE">
        <w:t xml:space="preserve"> </w:t>
      </w:r>
      <w:r w:rsidR="003E3861">
        <w:t xml:space="preserve">in a </w:t>
      </w:r>
      <w:r w:rsidR="009854F7">
        <w:t xml:space="preserve">recent </w:t>
      </w:r>
      <w:r w:rsidR="003E3861">
        <w:t>provo</w:t>
      </w:r>
      <w:r w:rsidR="009854F7">
        <w:t xml:space="preserve">cative </w:t>
      </w:r>
      <w:r w:rsidR="003E3861">
        <w:t xml:space="preserve">paper, </w:t>
      </w:r>
      <w:r w:rsidR="009854F7">
        <w:t xml:space="preserve">randomly selected </w:t>
      </w:r>
      <w:r w:rsidR="00E924AE">
        <w:t>fifty common ingredients from a cookbook</w:t>
      </w:r>
      <w:r w:rsidR="009854F7">
        <w:t xml:space="preserve"> and reported that </w:t>
      </w:r>
      <w:r w:rsidR="00E924AE">
        <w:t xml:space="preserve">forty </w:t>
      </w:r>
      <w:r w:rsidR="009854F7">
        <w:t xml:space="preserve">were apparently associated with increased cancer risk in </w:t>
      </w:r>
      <w:r w:rsidR="00E924AE">
        <w:t xml:space="preserve">peer reviewed </w:t>
      </w:r>
      <w:r w:rsidR="009854F7">
        <w:t xml:space="preserve">studies. Unsurprisingly, </w:t>
      </w:r>
      <w:r w:rsidR="001501D2">
        <w:t>most of these associations</w:t>
      </w:r>
      <w:r w:rsidR="0085703A">
        <w:t xml:space="preserve"> disappeared in </w:t>
      </w:r>
      <w:r w:rsidR="00F41A69">
        <w:t xml:space="preserve">subsequent </w:t>
      </w:r>
      <w:r w:rsidR="0085703A">
        <w:t>meta- analyses</w:t>
      </w:r>
      <w:r w:rsidR="00387CD0">
        <w:t>. The r</w:t>
      </w:r>
      <w:r w:rsidR="009854F7">
        <w:t>esult</w:t>
      </w:r>
      <w:r w:rsidR="00387CD0">
        <w:t>:</w:t>
      </w:r>
      <w:r w:rsidR="009854F7">
        <w:t xml:space="preserve"> </w:t>
      </w:r>
      <w:r w:rsidR="00F41A69">
        <w:t xml:space="preserve">net </w:t>
      </w:r>
      <w:r w:rsidR="009854F7">
        <w:t>increase</w:t>
      </w:r>
      <w:r w:rsidR="00F41A69">
        <w:t>s</w:t>
      </w:r>
      <w:r w:rsidR="009854F7">
        <w:t xml:space="preserve"> in media profits, public anxiety and confused </w:t>
      </w:r>
      <w:r w:rsidR="00E73F7C">
        <w:t>politicians</w:t>
      </w:r>
      <w:r w:rsidR="009854F7">
        <w:t>. Indeed, the current landscape in nutritional epidemiology research is blighted by an oversaturation of contradictory evidence which risk</w:t>
      </w:r>
      <w:r w:rsidR="00304B61">
        <w:t xml:space="preserve"> </w:t>
      </w:r>
      <w:r w:rsidR="001501D2">
        <w:t>confus</w:t>
      </w:r>
      <w:r w:rsidR="00304B61">
        <w:t xml:space="preserve">ing </w:t>
      </w:r>
      <w:r w:rsidR="001501D2">
        <w:t>policy makers</w:t>
      </w:r>
      <w:r w:rsidR="009854F7">
        <w:t>, journalis</w:t>
      </w:r>
      <w:r w:rsidR="00E24B98">
        <w:t>ts</w:t>
      </w:r>
      <w:r w:rsidR="001501D2">
        <w:t xml:space="preserve"> </w:t>
      </w:r>
      <w:r w:rsidR="00371D79">
        <w:t xml:space="preserve">and public </w:t>
      </w:r>
      <w:r w:rsidR="00AC1495">
        <w:t xml:space="preserve">about what aspects of the Western diet </w:t>
      </w:r>
      <w:r w:rsidR="009854F7">
        <w:t xml:space="preserve">deserve attention </w:t>
      </w:r>
      <w:r w:rsidR="004D0D5F">
        <w:t xml:space="preserve">and then </w:t>
      </w:r>
      <w:r w:rsidR="009854F7">
        <w:t>intervention</w:t>
      </w:r>
      <w:r w:rsidR="00F17E7B">
        <w:t>.</w:t>
      </w:r>
      <w:r w:rsidR="00E43C61">
        <w:t xml:space="preserve"> </w:t>
      </w:r>
      <w:r w:rsidR="009854F7">
        <w:t xml:space="preserve"> </w:t>
      </w:r>
      <w:r w:rsidR="004D0D5F">
        <w:t>R</w:t>
      </w:r>
      <w:r w:rsidR="009854F7">
        <w:t>andomised controlled trails and meta</w:t>
      </w:r>
      <w:r w:rsidR="00E24B98">
        <w:t>-</w:t>
      </w:r>
      <w:r w:rsidR="009854F7">
        <w:t xml:space="preserve">analyses offer an evidence </w:t>
      </w:r>
      <w:r w:rsidR="00062DA8">
        <w:t>‘</w:t>
      </w:r>
      <w:r w:rsidR="009854F7">
        <w:t>gold standard</w:t>
      </w:r>
      <w:r w:rsidR="00062DA8">
        <w:t>’</w:t>
      </w:r>
      <w:r w:rsidR="009854F7">
        <w:t xml:space="preserve"> relatively free of biases</w:t>
      </w:r>
      <w:r w:rsidR="004D0D5F">
        <w:t>.  However,</w:t>
      </w:r>
      <w:r w:rsidR="009854F7">
        <w:t xml:space="preserve"> trials are simply not feasible, affordable or ethical for many of the most important dietary questions. We therefore fall back o</w:t>
      </w:r>
      <w:r w:rsidR="00E24B98">
        <w:t xml:space="preserve">n analyses of </w:t>
      </w:r>
      <w:r w:rsidR="00015AF9">
        <w:t>long term cohorts. At which point considerable cautions</w:t>
      </w:r>
      <w:r w:rsidR="004D0D5F">
        <w:t xml:space="preserve"> then</w:t>
      </w:r>
      <w:r w:rsidR="00015AF9">
        <w:t xml:space="preserve"> need to be sounded. Thus</w:t>
      </w:r>
      <w:r w:rsidR="00464BA9">
        <w:t xml:space="preserve"> the populations under study </w:t>
      </w:r>
      <w:r w:rsidR="008E0F16">
        <w:t>may be</w:t>
      </w:r>
      <w:r w:rsidR="00464BA9">
        <w:t xml:space="preserve"> highly selected</w:t>
      </w:r>
      <w:r w:rsidR="008E0F16">
        <w:t xml:space="preserve">, for instance American doctors </w:t>
      </w:r>
      <w:r w:rsidR="004D0D5F">
        <w:t>or</w:t>
      </w:r>
      <w:r w:rsidR="008E0F16">
        <w:t xml:space="preserve"> nurses</w:t>
      </w:r>
      <w:r w:rsidR="00015AF9">
        <w:t>, and</w:t>
      </w:r>
      <w:r w:rsidR="00464BA9">
        <w:t xml:space="preserve"> the</w:t>
      </w:r>
      <w:r w:rsidR="00EB0C89">
        <w:t xml:space="preserve"> results may not be </w:t>
      </w:r>
      <w:r w:rsidR="00464BA9">
        <w:t xml:space="preserve">directly transferable to the </w:t>
      </w:r>
      <w:r w:rsidR="008E0F16">
        <w:t xml:space="preserve">general </w:t>
      </w:r>
      <w:r w:rsidR="00EB0C89">
        <w:t>population</w:t>
      </w:r>
      <w:r w:rsidR="004D0D5F">
        <w:t xml:space="preserve"> in Europe or beyond</w:t>
      </w:r>
      <w:r w:rsidR="00EB0C89">
        <w:t>.</w:t>
      </w:r>
      <w:r w:rsidR="00F17E7B">
        <w:t xml:space="preserve"> </w:t>
      </w:r>
      <w:r w:rsidR="008E0F16">
        <w:t xml:space="preserve"> </w:t>
      </w:r>
      <w:r w:rsidR="00015AF9">
        <w:t xml:space="preserve">Above all, we need to apply the </w:t>
      </w:r>
      <w:r w:rsidR="004D0D5F">
        <w:t xml:space="preserve">very helpful </w:t>
      </w:r>
      <w:r w:rsidR="00015AF9">
        <w:t>criteria for causal relationships proposed by Bradford Hill</w:t>
      </w:r>
      <w:r w:rsidR="00387CD0">
        <w:t xml:space="preserve">, </w:t>
      </w:r>
      <w:r w:rsidR="002B3A46">
        <w:t xml:space="preserve">and more recent authors </w:t>
      </w:r>
      <w:r w:rsidR="002B3A46" w:rsidRPr="002B3A46">
        <w:rPr>
          <w:rFonts w:ascii="Calibri" w:hAnsi="Calibri"/>
        </w:rPr>
        <w:t>[2</w:t>
      </w:r>
      <w:proofErr w:type="gramStart"/>
      <w:r w:rsidR="002B3A46" w:rsidRPr="002B3A46">
        <w:rPr>
          <w:rFonts w:ascii="Calibri" w:hAnsi="Calibri"/>
        </w:rPr>
        <w:t>,3</w:t>
      </w:r>
      <w:proofErr w:type="gramEnd"/>
      <w:r w:rsidR="002B3A46" w:rsidRPr="002B3A46">
        <w:rPr>
          <w:rFonts w:ascii="Calibri" w:hAnsi="Calibri"/>
        </w:rPr>
        <w:t>]</w:t>
      </w:r>
      <w:r w:rsidR="002B3A46">
        <w:t>.</w:t>
      </w:r>
    </w:p>
    <w:p w:rsidR="008E0F16" w:rsidRDefault="00015AF9" w:rsidP="003A7937">
      <w:r>
        <w:t xml:space="preserve">Happily, </w:t>
      </w:r>
      <w:r w:rsidR="009D7CB1">
        <w:t xml:space="preserve">the study by </w:t>
      </w:r>
      <w:proofErr w:type="spellStart"/>
      <w:r w:rsidR="009D7CB1" w:rsidRPr="009D7CB1">
        <w:t>Oyebode</w:t>
      </w:r>
      <w:proofErr w:type="spellEnd"/>
      <w:r w:rsidR="009D7CB1">
        <w:t xml:space="preserve"> </w:t>
      </w:r>
      <w:r w:rsidR="00BE4652">
        <w:t>and colleagues</w:t>
      </w:r>
      <w:r w:rsidR="003E3861">
        <w:t xml:space="preserve"> </w:t>
      </w:r>
      <w:r w:rsidR="002B3A46" w:rsidRPr="002B3A46">
        <w:rPr>
          <w:rFonts w:ascii="Calibri" w:hAnsi="Calibri"/>
        </w:rPr>
        <w:t>[4]</w:t>
      </w:r>
      <w:r w:rsidR="009D7CB1">
        <w:t xml:space="preserve"> </w:t>
      </w:r>
      <w:r w:rsidR="00DC468B">
        <w:t>convincingly</w:t>
      </w:r>
      <w:r w:rsidR="00464BA9">
        <w:t xml:space="preserve"> </w:t>
      </w:r>
      <w:r>
        <w:t xml:space="preserve">builds on previous evidence to </w:t>
      </w:r>
      <w:r w:rsidR="003E3861">
        <w:t>confirm the beneficial effect of fruit and vegetable consumption on England’s</w:t>
      </w:r>
      <w:r w:rsidR="00BA5B84">
        <w:t xml:space="preserve"> </w:t>
      </w:r>
      <w:r w:rsidR="003E3861">
        <w:t>population</w:t>
      </w:r>
      <w:r w:rsidR="008A5CC6">
        <w:t xml:space="preserve">, </w:t>
      </w:r>
      <w:r>
        <w:t xml:space="preserve">by linking extensive data </w:t>
      </w:r>
      <w:r w:rsidR="008A5CC6">
        <w:t xml:space="preserve">from </w:t>
      </w:r>
      <w:r w:rsidR="00EE3C17">
        <w:t xml:space="preserve">the </w:t>
      </w:r>
      <w:r w:rsidR="008A5CC6">
        <w:t>Health Surveys for England</w:t>
      </w:r>
      <w:r w:rsidR="00EE3C17">
        <w:t xml:space="preserve"> and </w:t>
      </w:r>
      <w:r w:rsidR="005D02A3">
        <w:t>mortality records</w:t>
      </w:r>
      <w:r w:rsidR="003E3861">
        <w:t>.</w:t>
      </w:r>
      <w:r w:rsidR="00387CD0">
        <w:t xml:space="preserve"> </w:t>
      </w:r>
      <w:r w:rsidR="008E0F16">
        <w:t>Furthermore</w:t>
      </w:r>
      <w:r w:rsidR="00BE4652">
        <w:t xml:space="preserve">, </w:t>
      </w:r>
      <w:proofErr w:type="spellStart"/>
      <w:r w:rsidRPr="009D7CB1">
        <w:t>Oyebode</w:t>
      </w:r>
      <w:proofErr w:type="spellEnd"/>
      <w:r>
        <w:t xml:space="preserve"> and colleagues provide </w:t>
      </w:r>
      <w:r w:rsidR="00B22AA9">
        <w:t>three</w:t>
      </w:r>
      <w:r w:rsidR="00684B36">
        <w:t xml:space="preserve"> very interesting </w:t>
      </w:r>
      <w:r>
        <w:t xml:space="preserve">and potentially valuable </w:t>
      </w:r>
      <w:r w:rsidR="00684B36">
        <w:t>f</w:t>
      </w:r>
      <w:r w:rsidR="00BE4652">
        <w:t>indings</w:t>
      </w:r>
      <w:r w:rsidR="00684B36">
        <w:t xml:space="preserve"> that </w:t>
      </w:r>
      <w:r>
        <w:t>might</w:t>
      </w:r>
      <w:r w:rsidR="00684B36">
        <w:t xml:space="preserve"> inform </w:t>
      </w:r>
      <w:r w:rsidR="004D0D5F">
        <w:t xml:space="preserve">professionals, </w:t>
      </w:r>
      <w:r w:rsidR="00684B36">
        <w:t>policy makers</w:t>
      </w:r>
      <w:r w:rsidR="008E0F16">
        <w:t xml:space="preserve"> and journalists</w:t>
      </w:r>
      <w:r w:rsidR="00684B36">
        <w:t>.</w:t>
      </w:r>
      <w:r w:rsidR="008E0F16">
        <w:t xml:space="preserve"> </w:t>
      </w:r>
      <w:r w:rsidR="00684B36">
        <w:t xml:space="preserve"> </w:t>
      </w:r>
      <w:r w:rsidR="00684B36" w:rsidRPr="00015AF9">
        <w:rPr>
          <w:u w:val="single"/>
        </w:rPr>
        <w:t>Firstly,</w:t>
      </w:r>
      <w:r w:rsidR="00684B36">
        <w:t xml:space="preserve"> </w:t>
      </w:r>
      <w:proofErr w:type="spellStart"/>
      <w:r w:rsidR="008E0F16" w:rsidRPr="009D7CB1">
        <w:t>Oyebode</w:t>
      </w:r>
      <w:proofErr w:type="spellEnd"/>
      <w:r w:rsidR="008E0F16">
        <w:t xml:space="preserve"> and colleagues showed that for this English population, mortality is </w:t>
      </w:r>
      <w:r w:rsidR="005D3072">
        <w:t>decrea</w:t>
      </w:r>
      <w:bookmarkStart w:id="0" w:name="_GoBack"/>
      <w:bookmarkEnd w:id="0"/>
      <w:r w:rsidR="008E0F16">
        <w:t xml:space="preserve">sed more by </w:t>
      </w:r>
      <w:r w:rsidR="004D0D5F">
        <w:t xml:space="preserve">each </w:t>
      </w:r>
      <w:r w:rsidR="00387CD0">
        <w:t xml:space="preserve">additional </w:t>
      </w:r>
      <w:r w:rsidR="004D0D5F">
        <w:t xml:space="preserve">portion </w:t>
      </w:r>
      <w:r w:rsidR="00387CD0">
        <w:t xml:space="preserve">of </w:t>
      </w:r>
      <w:r w:rsidR="008E0F16">
        <w:t>vegetable</w:t>
      </w:r>
      <w:r w:rsidR="00387CD0">
        <w:t xml:space="preserve">s consumed </w:t>
      </w:r>
      <w:r w:rsidR="008E0F16">
        <w:t xml:space="preserve">than </w:t>
      </w:r>
      <w:r w:rsidR="004D0D5F">
        <w:t xml:space="preserve">each portion of </w:t>
      </w:r>
      <w:r w:rsidR="008E0F16">
        <w:t xml:space="preserve">fruit. This provides useful </w:t>
      </w:r>
      <w:r w:rsidR="004D0D5F">
        <w:t>messages for</w:t>
      </w:r>
      <w:r w:rsidR="00387CD0">
        <w:t xml:space="preserve"> </w:t>
      </w:r>
      <w:r w:rsidR="008E0F16">
        <w:t>Public Health practitioners and policy makers.</w:t>
      </w:r>
    </w:p>
    <w:p w:rsidR="00E24B98" w:rsidRDefault="008E0F16" w:rsidP="003A7937">
      <w:r w:rsidRPr="00E24B98">
        <w:rPr>
          <w:u w:val="single"/>
        </w:rPr>
        <w:t>Secondl</w:t>
      </w:r>
      <w:r>
        <w:rPr>
          <w:u w:val="single"/>
        </w:rPr>
        <w:t>y</w:t>
      </w:r>
      <w:r w:rsidRPr="00D13A62">
        <w:t xml:space="preserve">, </w:t>
      </w:r>
      <w:r w:rsidR="0084302D">
        <w:t>a diet rich in</w:t>
      </w:r>
      <w:r w:rsidR="00F61991">
        <w:t xml:space="preserve"> </w:t>
      </w:r>
      <w:r>
        <w:t xml:space="preserve">vegetables (and </w:t>
      </w:r>
      <w:r w:rsidR="00F61991">
        <w:t>fruit</w:t>
      </w:r>
      <w:r>
        <w:t>)</w:t>
      </w:r>
      <w:r w:rsidR="00F61991">
        <w:t xml:space="preserve"> </w:t>
      </w:r>
      <w:r w:rsidR="006B0F7C">
        <w:t xml:space="preserve">is </w:t>
      </w:r>
      <w:r w:rsidR="0084302D">
        <w:t>protective against</w:t>
      </w:r>
      <w:r w:rsidR="006B0F7C">
        <w:t xml:space="preserve"> cancer </w:t>
      </w:r>
      <w:r w:rsidR="00015AF9">
        <w:t xml:space="preserve">mortality, </w:t>
      </w:r>
      <w:r w:rsidR="0084302D">
        <w:t xml:space="preserve">cardio-vascular </w:t>
      </w:r>
      <w:r w:rsidR="006B0F7C">
        <w:t>mortality</w:t>
      </w:r>
      <w:r w:rsidR="00301239">
        <w:t xml:space="preserve"> and </w:t>
      </w:r>
      <w:r>
        <w:t>total</w:t>
      </w:r>
      <w:r w:rsidR="00301239">
        <w:t xml:space="preserve"> mortality</w:t>
      </w:r>
      <w:r w:rsidR="001B120B">
        <w:t xml:space="preserve">. </w:t>
      </w:r>
      <w:r w:rsidR="00015AF9">
        <w:t>Great</w:t>
      </w:r>
      <w:r w:rsidR="001B120B">
        <w:t xml:space="preserve"> benefits </w:t>
      </w:r>
      <w:r w:rsidR="00E04E05">
        <w:t>are</w:t>
      </w:r>
      <w:r w:rsidR="001B120B">
        <w:t xml:space="preserve"> </w:t>
      </w:r>
      <w:r>
        <w:t xml:space="preserve">thus </w:t>
      </w:r>
      <w:r w:rsidR="00015AF9">
        <w:t xml:space="preserve">potentially </w:t>
      </w:r>
      <w:r w:rsidR="001B120B">
        <w:t>achiev</w:t>
      </w:r>
      <w:r w:rsidR="00E04E05">
        <w:t>able</w:t>
      </w:r>
      <w:r w:rsidR="001B120B">
        <w:t xml:space="preserve"> in </w:t>
      </w:r>
      <w:r w:rsidR="00CE0771">
        <w:t>England</w:t>
      </w:r>
      <w:r w:rsidR="00015AF9">
        <w:t xml:space="preserve"> in future</w:t>
      </w:r>
      <w:r w:rsidR="001B120B">
        <w:t xml:space="preserve">, </w:t>
      </w:r>
      <w:r w:rsidR="00015AF9">
        <w:t xml:space="preserve">because at present only </w:t>
      </w:r>
      <w:r w:rsidR="00EC25C2">
        <w:t xml:space="preserve">25% of the adult population has already </w:t>
      </w:r>
      <w:r w:rsidR="00E04E05">
        <w:t>adopted a healthy diet</w:t>
      </w:r>
      <w:r w:rsidR="004D0D5F">
        <w:t xml:space="preserve"> including ‘5 a </w:t>
      </w:r>
      <w:proofErr w:type="gramStart"/>
      <w:r w:rsidR="004D0D5F">
        <w:t>day’</w:t>
      </w:r>
      <w:r w:rsidR="002B3A46" w:rsidRPr="002B3A46">
        <w:rPr>
          <w:rFonts w:ascii="Calibri" w:hAnsi="Calibri"/>
        </w:rPr>
        <w:t>[</w:t>
      </w:r>
      <w:proofErr w:type="gramEnd"/>
      <w:r w:rsidR="002B3A46" w:rsidRPr="002B3A46">
        <w:rPr>
          <w:rFonts w:ascii="Calibri" w:hAnsi="Calibri"/>
        </w:rPr>
        <w:t>5]</w:t>
      </w:r>
      <w:r w:rsidR="00CE0771">
        <w:t xml:space="preserve">. </w:t>
      </w:r>
      <w:r w:rsidR="00301239">
        <w:t xml:space="preserve">Therefore, the potential benefits from improving </w:t>
      </w:r>
      <w:r w:rsidR="004D0D5F">
        <w:t xml:space="preserve">the </w:t>
      </w:r>
      <w:r w:rsidR="00B527AA">
        <w:t>diet</w:t>
      </w:r>
      <w:r w:rsidR="006455D7">
        <w:t xml:space="preserve"> for the remain</w:t>
      </w:r>
      <w:r w:rsidR="00015AF9">
        <w:t xml:space="preserve">ing </w:t>
      </w:r>
      <w:r w:rsidR="006455D7">
        <w:t>75%</w:t>
      </w:r>
      <w:r w:rsidR="00B527AA">
        <w:t xml:space="preserve"> </w:t>
      </w:r>
      <w:r w:rsidR="004D0D5F">
        <w:t xml:space="preserve">of the population </w:t>
      </w:r>
      <w:r w:rsidR="00B527AA">
        <w:t xml:space="preserve">are </w:t>
      </w:r>
      <w:r w:rsidR="00015AF9">
        <w:t>huge</w:t>
      </w:r>
      <w:r>
        <w:t>. But this could be</w:t>
      </w:r>
      <w:r w:rsidR="00015AF9">
        <w:t xml:space="preserve"> politically</w:t>
      </w:r>
      <w:r w:rsidR="00F9412C">
        <w:t xml:space="preserve"> </w:t>
      </w:r>
      <w:r w:rsidR="00015AF9">
        <w:t>challenging for policy makers</w:t>
      </w:r>
      <w:r w:rsidR="002C0645">
        <w:t>.</w:t>
      </w:r>
      <w:r w:rsidR="00301239">
        <w:t xml:space="preserve"> </w:t>
      </w:r>
      <w:r>
        <w:t>Because the current voluntary agreements with food and beverage companies and televised health education messages are fashionable and inoffensive, but also ineffective</w:t>
      </w:r>
      <w:r w:rsidRPr="004D2AD2">
        <w:rPr>
          <w:color w:val="FF0000"/>
        </w:rPr>
        <w:t xml:space="preserve">.  </w:t>
      </w:r>
      <w:r w:rsidR="00E24B98">
        <w:t>A</w:t>
      </w:r>
      <w:r w:rsidR="00015AF9">
        <w:t xml:space="preserve">s tobacco </w:t>
      </w:r>
      <w:r w:rsidR="00E53E67">
        <w:t xml:space="preserve">and alcohol </w:t>
      </w:r>
      <w:r w:rsidR="00015AF9">
        <w:t>control</w:t>
      </w:r>
      <w:r w:rsidR="00E24B98">
        <w:t xml:space="preserve"> successes have </w:t>
      </w:r>
      <w:r w:rsidR="00387CD0">
        <w:t>so clearly</w:t>
      </w:r>
      <w:r w:rsidR="00E24B98">
        <w:t xml:space="preserve"> demonstrated, the most powerful interventions </w:t>
      </w:r>
      <w:r>
        <w:t>are policies which effectively</w:t>
      </w:r>
      <w:r w:rsidR="00E24B98">
        <w:t xml:space="preserve"> address</w:t>
      </w:r>
      <w:r w:rsidR="00015AF9">
        <w:t xml:space="preserve"> the </w:t>
      </w:r>
      <w:r w:rsidR="00062DA8">
        <w:t>‘</w:t>
      </w:r>
      <w:r w:rsidR="00E24B98">
        <w:t>3As</w:t>
      </w:r>
      <w:r w:rsidR="00062DA8">
        <w:t>’</w:t>
      </w:r>
      <w:r w:rsidR="00E24B98">
        <w:t xml:space="preserve"> of A</w:t>
      </w:r>
      <w:r w:rsidR="00015AF9">
        <w:t>ffordability, Availability and Acceptability</w:t>
      </w:r>
      <w:r w:rsidR="00301AB8">
        <w:t xml:space="preserve"> </w:t>
      </w:r>
      <w:r w:rsidR="002B3A46" w:rsidRPr="002B3A46">
        <w:rPr>
          <w:rFonts w:ascii="Calibri" w:hAnsi="Calibri"/>
        </w:rPr>
        <w:t>[6]</w:t>
      </w:r>
      <w:r w:rsidR="00301AB8">
        <w:t>.</w:t>
      </w:r>
    </w:p>
    <w:p w:rsidR="00E24B98" w:rsidRDefault="008E0F16" w:rsidP="003A7937">
      <w:r>
        <w:rPr>
          <w:u w:val="single"/>
        </w:rPr>
        <w:t>Thirdly</w:t>
      </w:r>
      <w:r w:rsidR="00301239" w:rsidRPr="00E24B98">
        <w:rPr>
          <w:u w:val="single"/>
        </w:rPr>
        <w:t>,</w:t>
      </w:r>
      <w:r w:rsidR="00301239">
        <w:t xml:space="preserve"> </w:t>
      </w:r>
      <w:r w:rsidR="00E24B98">
        <w:t xml:space="preserve">benefits continue to increase </w:t>
      </w:r>
      <w:r>
        <w:t xml:space="preserve">up </w:t>
      </w:r>
      <w:r w:rsidR="00E24B98">
        <w:t xml:space="preserve">to at least </w:t>
      </w:r>
      <w:r w:rsidR="00062DA8">
        <w:t>‘</w:t>
      </w:r>
      <w:r w:rsidR="00E24B98">
        <w:t>7 a day</w:t>
      </w:r>
      <w:r w:rsidR="00062DA8">
        <w:t>’</w:t>
      </w:r>
      <w:r w:rsidR="00E24B98">
        <w:t xml:space="preserve">. </w:t>
      </w:r>
      <w:r>
        <w:t>Indeed,</w:t>
      </w:r>
      <w:r w:rsidR="00301239">
        <w:t xml:space="preserve"> </w:t>
      </w:r>
      <w:r w:rsidR="004C12BD">
        <w:t>a maximum recommended</w:t>
      </w:r>
      <w:r w:rsidR="002B395E">
        <w:t xml:space="preserve"> </w:t>
      </w:r>
      <w:r w:rsidR="008A014E">
        <w:t xml:space="preserve">amount of </w:t>
      </w:r>
      <w:r w:rsidR="002B395E">
        <w:t xml:space="preserve">daily </w:t>
      </w:r>
      <w:r w:rsidR="008A014E">
        <w:t xml:space="preserve">fruit and vegetable </w:t>
      </w:r>
      <w:r w:rsidR="0015219B">
        <w:t xml:space="preserve">consumption cannot </w:t>
      </w:r>
      <w:r>
        <w:t>easily be defined. T</w:t>
      </w:r>
      <w:r w:rsidR="0015219B">
        <w:t>he beneficial effect on</w:t>
      </w:r>
      <w:r w:rsidR="002B395E">
        <w:t xml:space="preserve"> CVD specific </w:t>
      </w:r>
      <w:r w:rsidR="00540CFD">
        <w:t>mortality</w:t>
      </w:r>
      <w:r w:rsidR="0015219B">
        <w:t xml:space="preserve"> is dose</w:t>
      </w:r>
      <w:r w:rsidR="00E53E67">
        <w:t>-</w:t>
      </w:r>
      <w:r w:rsidR="0015219B">
        <w:t>rel</w:t>
      </w:r>
      <w:r w:rsidR="005114AA">
        <w:t>ated</w:t>
      </w:r>
      <w:r w:rsidR="00E53E67">
        <w:t>,</w:t>
      </w:r>
      <w:r w:rsidR="005114AA">
        <w:t xml:space="preserve"> with no </w:t>
      </w:r>
      <w:r w:rsidR="006E1938">
        <w:t>obvious</w:t>
      </w:r>
      <w:r w:rsidR="005114AA">
        <w:t xml:space="preserve"> thresh</w:t>
      </w:r>
      <w:r w:rsidR="0015219B">
        <w:t>old</w:t>
      </w:r>
      <w:r w:rsidR="006E1938">
        <w:t xml:space="preserve"> up to more than seven portions</w:t>
      </w:r>
      <w:r w:rsidR="004C12BD">
        <w:t>.</w:t>
      </w:r>
      <w:r w:rsidR="00540CFD">
        <w:t xml:space="preserve">  </w:t>
      </w:r>
      <w:r w:rsidR="005114AA">
        <w:lastRenderedPageBreak/>
        <w:t xml:space="preserve">Consequently, the </w:t>
      </w:r>
      <w:r>
        <w:t xml:space="preserve">UK </w:t>
      </w:r>
      <w:r w:rsidR="002C4682">
        <w:t>‘</w:t>
      </w:r>
      <w:r w:rsidR="00D93C72">
        <w:t>5</w:t>
      </w:r>
      <w:r w:rsidR="005114AA">
        <w:t xml:space="preserve"> a day</w:t>
      </w:r>
      <w:r w:rsidR="002C4682">
        <w:t>’</w:t>
      </w:r>
      <w:r w:rsidR="005114AA">
        <w:t xml:space="preserve"> campaign </w:t>
      </w:r>
      <w:r>
        <w:t xml:space="preserve">offers a target which is pragmatic, but one which </w:t>
      </w:r>
      <w:r w:rsidR="005114AA">
        <w:t>might provide a</w:t>
      </w:r>
      <w:r w:rsidR="00605C20">
        <w:t xml:space="preserve"> false reassurance </w:t>
      </w:r>
      <w:r w:rsidR="00E24B98">
        <w:t xml:space="preserve">and risk complacency in </w:t>
      </w:r>
      <w:r w:rsidR="005114AA">
        <w:t xml:space="preserve">the </w:t>
      </w:r>
      <w:r w:rsidR="00E53E67">
        <w:t>quarter</w:t>
      </w:r>
      <w:r>
        <w:t xml:space="preserve"> of</w:t>
      </w:r>
      <w:r w:rsidR="005114AA">
        <w:t xml:space="preserve"> the population</w:t>
      </w:r>
      <w:r w:rsidR="00605C20">
        <w:t xml:space="preserve"> that already </w:t>
      </w:r>
      <w:r w:rsidR="00E24B98">
        <w:t>hits this target</w:t>
      </w:r>
      <w:r w:rsidR="00605C20">
        <w:t>.</w:t>
      </w:r>
      <w:r w:rsidR="0070025E">
        <w:t xml:space="preserve"> </w:t>
      </w:r>
      <w:r w:rsidR="00E53E67">
        <w:t>They need to aim higher.</w:t>
      </w:r>
    </w:p>
    <w:p w:rsidR="00044F2A" w:rsidRPr="00D13A62" w:rsidRDefault="00B22AA9" w:rsidP="00044F2A">
      <w:pPr>
        <w:rPr>
          <w:sz w:val="8"/>
        </w:rPr>
      </w:pPr>
      <w:r>
        <w:t>Furthermore,</w:t>
      </w:r>
      <w:r w:rsidR="00E24B98">
        <w:t xml:space="preserve"> </w:t>
      </w:r>
      <w:r>
        <w:t xml:space="preserve">might </w:t>
      </w:r>
      <w:r w:rsidR="008E0F16">
        <w:t xml:space="preserve">refined sugars </w:t>
      </w:r>
      <w:r>
        <w:t xml:space="preserve">be acting </w:t>
      </w:r>
      <w:r w:rsidR="002B3A46">
        <w:t>as the</w:t>
      </w:r>
      <w:r>
        <w:t xml:space="preserve"> concealed villain in this </w:t>
      </w:r>
      <w:r w:rsidR="00E53E67">
        <w:t>Shakespeare</w:t>
      </w:r>
      <w:r w:rsidR="00387CD0">
        <w:t>a</w:t>
      </w:r>
      <w:r w:rsidR="00E53E67">
        <w:t xml:space="preserve">n </w:t>
      </w:r>
      <w:r>
        <w:t xml:space="preserve">drama?  </w:t>
      </w:r>
      <w:r w:rsidR="00044F2A">
        <w:t xml:space="preserve">Consider, gentle reader. A recent study </w:t>
      </w:r>
      <w:r w:rsidR="00E53E67">
        <w:t xml:space="preserve">now </w:t>
      </w:r>
      <w:r w:rsidR="00044F2A">
        <w:t>links sugar consumption to CVD mortality, as an independent risk factor and not only through obesity and diabetes</w:t>
      </w:r>
      <w:r w:rsidR="00387CD0">
        <w:t xml:space="preserve"> pathways</w:t>
      </w:r>
      <w:r w:rsidR="00044F2A">
        <w:t xml:space="preserve">. </w:t>
      </w:r>
      <w:r w:rsidR="00E53E67">
        <w:t>One can of sugary drink increases h</w:t>
      </w:r>
      <w:r w:rsidR="00044F2A">
        <w:t xml:space="preserve">eart attack risk by </w:t>
      </w:r>
      <w:r w:rsidR="00387CD0">
        <w:t xml:space="preserve">about one </w:t>
      </w:r>
      <w:r w:rsidR="00044F2A">
        <w:t>third</w:t>
      </w:r>
      <w:r w:rsidR="00387CD0">
        <w:t xml:space="preserve">, </w:t>
      </w:r>
      <w:r w:rsidR="00044F2A">
        <w:t xml:space="preserve">and </w:t>
      </w:r>
      <w:r w:rsidR="00010954">
        <w:t xml:space="preserve">risk is </w:t>
      </w:r>
      <w:r w:rsidR="00044F2A">
        <w:t xml:space="preserve">increased two-fold in the fifth of the US population with the highest sugar intake </w:t>
      </w:r>
      <w:r w:rsidR="002B3A46" w:rsidRPr="002B3A46">
        <w:rPr>
          <w:rFonts w:ascii="Calibri" w:hAnsi="Calibri"/>
        </w:rPr>
        <w:t>[7]</w:t>
      </w:r>
      <w:r w:rsidR="00044F2A">
        <w:t xml:space="preserve">. Which emphasises the urgent need for additional analyses to confirm or refute this deeply worrying possibility. </w:t>
      </w:r>
    </w:p>
    <w:p w:rsidR="00044F2A" w:rsidRDefault="00044F2A" w:rsidP="003A7937">
      <w:r>
        <w:t xml:space="preserve">The burning question is thus whether the refined sugars added to ‘processed’ fruit products might reduce, negate or even reverse the </w:t>
      </w:r>
      <w:r w:rsidR="00387CD0">
        <w:t xml:space="preserve">fruit </w:t>
      </w:r>
      <w:r>
        <w:t>potential benefit</w:t>
      </w:r>
      <w:r w:rsidR="00010954">
        <w:t>s</w:t>
      </w:r>
      <w:r w:rsidR="00387CD0">
        <w:t>,</w:t>
      </w:r>
      <w:r>
        <w:t xml:space="preserve"> and thus explain some of </w:t>
      </w:r>
      <w:proofErr w:type="spellStart"/>
      <w:r w:rsidRPr="009D7CB1">
        <w:t>Oyebode</w:t>
      </w:r>
      <w:proofErr w:type="spellEnd"/>
      <w:r>
        <w:t xml:space="preserve"> and colleagues’ more intriguing results.  </w:t>
      </w:r>
      <w:r w:rsidR="00010954">
        <w:t>Because</w:t>
      </w:r>
      <w:r>
        <w:t xml:space="preserve">, </w:t>
      </w:r>
      <w:proofErr w:type="spellStart"/>
      <w:r w:rsidRPr="009D7CB1">
        <w:t>Oyebode</w:t>
      </w:r>
      <w:proofErr w:type="spellEnd"/>
      <w:r>
        <w:t xml:space="preserve"> and colleagues found that fresh and dried fruit consumption is reducing the risk of death from all causes, while fruit in composites and fruit juice are less effective and </w:t>
      </w:r>
      <w:r w:rsidR="00387CD0">
        <w:t>probably</w:t>
      </w:r>
      <w:r>
        <w:t xml:space="preserve"> not associated with all-cause mortality reduction</w:t>
      </w:r>
      <w:r w:rsidR="00387CD0">
        <w:t xml:space="preserve">. </w:t>
      </w:r>
      <w:r w:rsidR="00010954">
        <w:t>This</w:t>
      </w:r>
      <w:r>
        <w:t xml:space="preserve"> finding </w:t>
      </w:r>
      <w:r w:rsidR="00010954">
        <w:t>clearly</w:t>
      </w:r>
      <w:r>
        <w:t xml:space="preserve"> supports experts’ </w:t>
      </w:r>
      <w:r w:rsidR="00010954">
        <w:t>recent advice</w:t>
      </w:r>
      <w:r>
        <w:t xml:space="preserve"> to remove fruit juice from the ‘5 a day’ recommendation </w:t>
      </w:r>
      <w:r w:rsidR="002B3A46" w:rsidRPr="002B3A46">
        <w:rPr>
          <w:rFonts w:ascii="Calibri" w:hAnsi="Calibri"/>
        </w:rPr>
        <w:t>[8]</w:t>
      </w:r>
      <w:r>
        <w:t xml:space="preserve">.  Finally, ‘frozen/canned’ fruit emerged as deleterious </w:t>
      </w:r>
      <w:r w:rsidR="00387CD0">
        <w:t>in</w:t>
      </w:r>
      <w:r>
        <w:t xml:space="preserve"> the statistical a</w:t>
      </w:r>
      <w:r w:rsidR="00387CD0">
        <w:t>nalysis. Although this finding wa</w:t>
      </w:r>
      <w:r>
        <w:t xml:space="preserve">s not well adjusted for confounding and blends two types of ‘processed’ fruit products, it might also </w:t>
      </w:r>
      <w:r w:rsidR="00010954">
        <w:t>reflect</w:t>
      </w:r>
      <w:r>
        <w:t xml:space="preserve"> the deleterious effect of sugar that is contained in some of the canned fruit products.</w:t>
      </w:r>
    </w:p>
    <w:p w:rsidR="004D2AD2" w:rsidRDefault="00044F2A" w:rsidP="003A7937">
      <w:r>
        <w:t xml:space="preserve">There are </w:t>
      </w:r>
      <w:r w:rsidR="00010954">
        <w:t>thus</w:t>
      </w:r>
      <w:r>
        <w:t xml:space="preserve"> major implications for</w:t>
      </w:r>
      <w:r w:rsidR="002C4682">
        <w:t xml:space="preserve"> </w:t>
      </w:r>
      <w:r w:rsidR="00687858">
        <w:t>official NHS guidance</w:t>
      </w:r>
      <w:r>
        <w:t xml:space="preserve">. This currently </w:t>
      </w:r>
      <w:r w:rsidR="00687858">
        <w:t xml:space="preserve">suggests that </w:t>
      </w:r>
      <w:r w:rsidR="00F45FAF">
        <w:t xml:space="preserve">dried, </w:t>
      </w:r>
      <w:r w:rsidR="002C4682">
        <w:t>tinned or canned fruit,</w:t>
      </w:r>
      <w:r w:rsidR="00687858">
        <w:t xml:space="preserve"> smoothies and</w:t>
      </w:r>
      <w:r w:rsidR="002C4682">
        <w:t xml:space="preserve"> </w:t>
      </w:r>
      <w:r w:rsidR="00687858">
        <w:t>up to 150m</w:t>
      </w:r>
      <w:r w:rsidR="00F45FAF">
        <w:t>L</w:t>
      </w:r>
      <w:r w:rsidR="00687858">
        <w:t xml:space="preserve"> of </w:t>
      </w:r>
      <w:r w:rsidR="002C4682">
        <w:t xml:space="preserve">fruit juice </w:t>
      </w:r>
      <w:r w:rsidR="00B22AA9">
        <w:t xml:space="preserve">all legitimately </w:t>
      </w:r>
      <w:r w:rsidR="002C4682">
        <w:t xml:space="preserve">count towards </w:t>
      </w:r>
      <w:r w:rsidR="006D55FB">
        <w:t xml:space="preserve">the </w:t>
      </w:r>
      <w:r w:rsidR="00D93C72">
        <w:t>‘5 a day’</w:t>
      </w:r>
      <w:r w:rsidR="002B3A46" w:rsidRPr="002B3A46">
        <w:rPr>
          <w:rFonts w:ascii="Calibri" w:hAnsi="Calibri"/>
        </w:rPr>
        <w:t>[9]</w:t>
      </w:r>
      <w:r w:rsidR="006D55FB">
        <w:t xml:space="preserve">. </w:t>
      </w:r>
      <w:r w:rsidR="00B22AA9">
        <w:t xml:space="preserve">While </w:t>
      </w:r>
      <w:r w:rsidR="00010954">
        <w:t>also</w:t>
      </w:r>
      <w:r w:rsidR="00B22AA9">
        <w:t xml:space="preserve"> silently delivering 60g of refined sugars. </w:t>
      </w:r>
      <w:r w:rsidR="00010954">
        <w:t>Yet</w:t>
      </w:r>
      <w:r w:rsidR="004A3649">
        <w:t>,</w:t>
      </w:r>
      <w:r w:rsidR="00D93C72">
        <w:t xml:space="preserve"> under the current recommendations</w:t>
      </w:r>
      <w:r w:rsidR="008057FF">
        <w:t xml:space="preserve"> 150m</w:t>
      </w:r>
      <w:r w:rsidR="00B22AA9">
        <w:t>l</w:t>
      </w:r>
      <w:r w:rsidR="008057FF">
        <w:t xml:space="preserve"> of freshly squeezed</w:t>
      </w:r>
      <w:r w:rsidR="00F45FAF">
        <w:t xml:space="preserve"> orange juice </w:t>
      </w:r>
      <w:r w:rsidR="00D93C72">
        <w:t>(</w:t>
      </w:r>
      <w:r w:rsidR="00FF44E2">
        <w:t xml:space="preserve">sugar </w:t>
      </w:r>
      <w:r w:rsidR="00B22AA9">
        <w:t xml:space="preserve">13 </w:t>
      </w:r>
      <w:r w:rsidR="008057FF">
        <w:t>g</w:t>
      </w:r>
      <w:r w:rsidR="00D93C72">
        <w:t>)</w:t>
      </w:r>
      <w:r w:rsidR="00F45FAF">
        <w:t>; 30g of</w:t>
      </w:r>
      <w:r w:rsidR="008057FF">
        <w:t xml:space="preserve"> dried figs</w:t>
      </w:r>
      <w:r w:rsidR="00F45FAF">
        <w:t xml:space="preserve"> </w:t>
      </w:r>
      <w:r w:rsidR="00D93C72">
        <w:t>(</w:t>
      </w:r>
      <w:r w:rsidR="00FF44E2">
        <w:t xml:space="preserve">sugar </w:t>
      </w:r>
      <w:r w:rsidR="00B22AA9">
        <w:t>14</w:t>
      </w:r>
      <w:r w:rsidR="00F45FAF">
        <w:t>g</w:t>
      </w:r>
      <w:r w:rsidR="00D93C72">
        <w:t>)</w:t>
      </w:r>
      <w:r w:rsidR="00F45FAF">
        <w:t>; 200m</w:t>
      </w:r>
      <w:r w:rsidR="00B22AA9">
        <w:t>l</w:t>
      </w:r>
      <w:r w:rsidR="00F45FAF">
        <w:t xml:space="preserve"> of a smoothie </w:t>
      </w:r>
      <w:r w:rsidR="00C114B4">
        <w:t xml:space="preserve">made with fruit and fruit juice </w:t>
      </w:r>
      <w:r w:rsidR="00D93C72">
        <w:t>(</w:t>
      </w:r>
      <w:r w:rsidR="00FF44E2">
        <w:t xml:space="preserve">sugar </w:t>
      </w:r>
      <w:r w:rsidR="00B22AA9">
        <w:t>23</w:t>
      </w:r>
      <w:r w:rsidR="00C114B4">
        <w:t>g</w:t>
      </w:r>
      <w:r w:rsidR="00D93C72">
        <w:t>)</w:t>
      </w:r>
      <w:r w:rsidR="00C114B4">
        <w:t xml:space="preserve"> and 80g of canned fruit salad in fruit juice </w:t>
      </w:r>
      <w:r w:rsidR="00D93C72">
        <w:t>(</w:t>
      </w:r>
      <w:r w:rsidR="00FF44E2">
        <w:t xml:space="preserve">sugar </w:t>
      </w:r>
      <w:r w:rsidR="00B22AA9">
        <w:t>10</w:t>
      </w:r>
      <w:r w:rsidR="00C114B4">
        <w:t>g</w:t>
      </w:r>
      <w:r w:rsidR="00D93C72">
        <w:t>)</w:t>
      </w:r>
      <w:r w:rsidR="004A3649">
        <w:t xml:space="preserve"> </w:t>
      </w:r>
      <w:r w:rsidR="00B22AA9">
        <w:t xml:space="preserve">all </w:t>
      </w:r>
      <w:r w:rsidR="004A3649">
        <w:t>count as the five portions of the ‘5 a day’</w:t>
      </w:r>
      <w:r w:rsidR="00B22AA9">
        <w:t xml:space="preserve">; </w:t>
      </w:r>
      <w:r w:rsidR="00691B58">
        <w:t>and contain a</w:t>
      </w:r>
      <w:r w:rsidR="00D93C72">
        <w:t xml:space="preserve"> total of </w:t>
      </w:r>
      <w:r w:rsidR="00B22AA9">
        <w:t xml:space="preserve">some </w:t>
      </w:r>
      <w:r w:rsidR="00D93C72">
        <w:t>60g of sugar</w:t>
      </w:r>
      <w:r w:rsidR="00691B58">
        <w:t xml:space="preserve">. This is </w:t>
      </w:r>
      <w:r w:rsidR="009B232B">
        <w:t xml:space="preserve">more </w:t>
      </w:r>
      <w:r w:rsidR="00691B58">
        <w:t>than the sugar in a 500m</w:t>
      </w:r>
      <w:r w:rsidR="00B22AA9">
        <w:t>l</w:t>
      </w:r>
      <w:r w:rsidR="00691B58">
        <w:t xml:space="preserve"> bottle of cola</w:t>
      </w:r>
      <w:r w:rsidR="00010954">
        <w:t>,</w:t>
      </w:r>
      <w:r w:rsidR="00E67481">
        <w:t xml:space="preserve"> and </w:t>
      </w:r>
      <w:r w:rsidR="007A4819">
        <w:t>exceeds</w:t>
      </w:r>
      <w:r w:rsidR="00E67481">
        <w:t xml:space="preserve"> </w:t>
      </w:r>
      <w:r w:rsidR="00B22AA9">
        <w:t xml:space="preserve">even </w:t>
      </w:r>
      <w:r w:rsidR="00E67481">
        <w:t xml:space="preserve">the </w:t>
      </w:r>
      <w:r w:rsidR="00B22AA9">
        <w:t xml:space="preserve">obsolete </w:t>
      </w:r>
      <w:r w:rsidR="00E67481">
        <w:t xml:space="preserve">World Health Organization recommendation </w:t>
      </w:r>
      <w:r w:rsidR="002B3A46" w:rsidRPr="002B3A46">
        <w:rPr>
          <w:rFonts w:ascii="Calibri" w:hAnsi="Calibri"/>
        </w:rPr>
        <w:t>[10]</w:t>
      </w:r>
      <w:r w:rsidR="00691B58">
        <w:t xml:space="preserve">. </w:t>
      </w:r>
      <w:r w:rsidR="008057FF">
        <w:t xml:space="preserve"> </w:t>
      </w:r>
    </w:p>
    <w:p w:rsidR="004D2AD2" w:rsidRDefault="00387CD0" w:rsidP="003A7937">
      <w:r>
        <w:t>I</w:t>
      </w:r>
      <w:r w:rsidR="004D2AD2">
        <w:t xml:space="preserve">s it </w:t>
      </w:r>
      <w:r w:rsidR="00010954">
        <w:t xml:space="preserve">now </w:t>
      </w:r>
      <w:r w:rsidR="004D2AD2">
        <w:t xml:space="preserve">time for the UK to update the </w:t>
      </w:r>
      <w:r w:rsidR="008D37F2">
        <w:t>‘</w:t>
      </w:r>
      <w:r w:rsidR="004D2AD2">
        <w:t>5 a day</w:t>
      </w:r>
      <w:r w:rsidR="008D37F2">
        <w:t>’</w:t>
      </w:r>
      <w:r w:rsidR="004D2AD2">
        <w:t xml:space="preserve"> </w:t>
      </w:r>
      <w:r w:rsidR="00010954">
        <w:t>message</w:t>
      </w:r>
      <w:r w:rsidR="004D2AD2">
        <w:t xml:space="preserve"> to </w:t>
      </w:r>
      <w:r w:rsidR="008D37F2">
        <w:t>‘</w:t>
      </w:r>
      <w:r w:rsidR="004D2AD2">
        <w:t>10 a day</w:t>
      </w:r>
      <w:r w:rsidR="008D37F2">
        <w:t>’</w:t>
      </w:r>
      <w:r w:rsidR="004D2AD2">
        <w:t>?</w:t>
      </w:r>
    </w:p>
    <w:p w:rsidR="003B3AC9" w:rsidRPr="00D13A62" w:rsidRDefault="003B3AC9" w:rsidP="00044F2A">
      <w:pPr>
        <w:spacing w:after="40" w:line="240" w:lineRule="auto"/>
        <w:rPr>
          <w:sz w:val="20"/>
        </w:rPr>
      </w:pPr>
    </w:p>
    <w:p w:rsidR="00387CD0" w:rsidRPr="00FD2E76" w:rsidRDefault="003B3AC9" w:rsidP="000E4C70">
      <w:pPr>
        <w:spacing w:after="40" w:line="480" w:lineRule="auto"/>
        <w:rPr>
          <w:i/>
          <w:color w:val="FF0000"/>
          <w:sz w:val="20"/>
        </w:rPr>
      </w:pPr>
      <w:r w:rsidRPr="00D13A62">
        <w:rPr>
          <w:b/>
          <w:sz w:val="20"/>
        </w:rPr>
        <w:t>References</w:t>
      </w:r>
    </w:p>
    <w:p w:rsidR="00FD2E76" w:rsidRPr="00FD2E76" w:rsidRDefault="00FD2E76" w:rsidP="000E4C70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t xml:space="preserve">1 </w:t>
      </w:r>
      <w:r w:rsidRPr="00FD2E76">
        <w:rPr>
          <w:rFonts w:ascii="Calibri" w:hAnsi="Calibri"/>
          <w:sz w:val="20"/>
        </w:rPr>
        <w:tab/>
      </w:r>
      <w:proofErr w:type="spellStart"/>
      <w:r w:rsidRPr="00FD2E76">
        <w:rPr>
          <w:rFonts w:ascii="Calibri" w:hAnsi="Calibri"/>
          <w:sz w:val="20"/>
        </w:rPr>
        <w:t>Schoenfeld</w:t>
      </w:r>
      <w:proofErr w:type="spellEnd"/>
      <w:r w:rsidRPr="00FD2E76">
        <w:rPr>
          <w:rFonts w:ascii="Calibri" w:hAnsi="Calibri"/>
          <w:sz w:val="20"/>
        </w:rPr>
        <w:t xml:space="preserve"> JD, Ioannidis JP. Is everything we eat associated with cancer? A systematic cookbook review. </w:t>
      </w:r>
      <w:r w:rsidRPr="00FD2E76">
        <w:rPr>
          <w:rFonts w:ascii="Calibri" w:hAnsi="Calibri"/>
          <w:i/>
          <w:iCs/>
          <w:sz w:val="20"/>
        </w:rPr>
        <w:t xml:space="preserve">Am J </w:t>
      </w:r>
      <w:proofErr w:type="spellStart"/>
      <w:r w:rsidRPr="00FD2E76">
        <w:rPr>
          <w:rFonts w:ascii="Calibri" w:hAnsi="Calibri"/>
          <w:i/>
          <w:iCs/>
          <w:sz w:val="20"/>
        </w:rPr>
        <w:t>Clin</w:t>
      </w:r>
      <w:proofErr w:type="spellEnd"/>
      <w:r w:rsidRPr="00FD2E76">
        <w:rPr>
          <w:rFonts w:ascii="Calibri" w:hAnsi="Calibri"/>
          <w:i/>
          <w:iCs/>
          <w:sz w:val="20"/>
        </w:rPr>
        <w:t xml:space="preserve"> </w:t>
      </w:r>
      <w:proofErr w:type="spellStart"/>
      <w:r w:rsidRPr="00FD2E76">
        <w:rPr>
          <w:rFonts w:ascii="Calibri" w:hAnsi="Calibri"/>
          <w:i/>
          <w:iCs/>
          <w:sz w:val="20"/>
        </w:rPr>
        <w:t>Nutr</w:t>
      </w:r>
      <w:proofErr w:type="spellEnd"/>
      <w:r w:rsidRPr="00FD2E76">
        <w:rPr>
          <w:rFonts w:ascii="Calibri" w:hAnsi="Calibri"/>
          <w:sz w:val="20"/>
        </w:rPr>
        <w:t xml:space="preserve"> 2013</w:t>
      </w:r>
      <w:proofErr w:type="gramStart"/>
      <w:r w:rsidRPr="00FD2E76">
        <w:rPr>
          <w:rFonts w:ascii="Calibri" w:hAnsi="Calibri"/>
          <w:sz w:val="20"/>
        </w:rPr>
        <w:t>;</w:t>
      </w:r>
      <w:r w:rsidRPr="00FD2E76">
        <w:rPr>
          <w:rFonts w:ascii="Calibri" w:hAnsi="Calibri"/>
          <w:b/>
          <w:bCs/>
          <w:sz w:val="20"/>
        </w:rPr>
        <w:t>97</w:t>
      </w:r>
      <w:r w:rsidRPr="00FD2E76">
        <w:rPr>
          <w:rFonts w:ascii="Calibri" w:hAnsi="Calibri"/>
          <w:sz w:val="20"/>
        </w:rPr>
        <w:t>:127</w:t>
      </w:r>
      <w:proofErr w:type="gramEnd"/>
      <w:r w:rsidRPr="00FD2E76">
        <w:rPr>
          <w:rFonts w:ascii="Calibri" w:hAnsi="Calibri"/>
          <w:sz w:val="20"/>
        </w:rPr>
        <w:t>–34. doi:10.3945/ajcn.112.047142</w:t>
      </w:r>
    </w:p>
    <w:p w:rsidR="00FD2E76" w:rsidRPr="00FD2E76" w:rsidRDefault="00FD2E76" w:rsidP="00FD2E76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t xml:space="preserve">2 </w:t>
      </w:r>
      <w:r w:rsidRPr="00FD2E76">
        <w:rPr>
          <w:rFonts w:ascii="Calibri" w:hAnsi="Calibri"/>
          <w:sz w:val="20"/>
        </w:rPr>
        <w:tab/>
        <w:t xml:space="preserve">Hill AB. The Environment and Disease: Association or Causation? </w:t>
      </w:r>
      <w:proofErr w:type="spellStart"/>
      <w:r w:rsidRPr="00FD2E76">
        <w:rPr>
          <w:rFonts w:ascii="Calibri" w:hAnsi="Calibri"/>
          <w:i/>
          <w:iCs/>
          <w:sz w:val="20"/>
        </w:rPr>
        <w:t>Proc</w:t>
      </w:r>
      <w:proofErr w:type="spellEnd"/>
      <w:r w:rsidRPr="00FD2E76">
        <w:rPr>
          <w:rFonts w:ascii="Calibri" w:hAnsi="Calibri"/>
          <w:i/>
          <w:iCs/>
          <w:sz w:val="20"/>
        </w:rPr>
        <w:t xml:space="preserve"> R </w:t>
      </w:r>
      <w:proofErr w:type="spellStart"/>
      <w:r w:rsidRPr="00FD2E76">
        <w:rPr>
          <w:rFonts w:ascii="Calibri" w:hAnsi="Calibri"/>
          <w:i/>
          <w:iCs/>
          <w:sz w:val="20"/>
        </w:rPr>
        <w:t>Soc</w:t>
      </w:r>
      <w:proofErr w:type="spellEnd"/>
      <w:r w:rsidRPr="00FD2E76">
        <w:rPr>
          <w:rFonts w:ascii="Calibri" w:hAnsi="Calibri"/>
          <w:i/>
          <w:iCs/>
          <w:sz w:val="20"/>
        </w:rPr>
        <w:t xml:space="preserve"> Med</w:t>
      </w:r>
      <w:r w:rsidRPr="00FD2E76">
        <w:rPr>
          <w:rFonts w:ascii="Calibri" w:hAnsi="Calibri"/>
          <w:sz w:val="20"/>
        </w:rPr>
        <w:t xml:space="preserve"> 1965</w:t>
      </w:r>
      <w:proofErr w:type="gramStart"/>
      <w:r w:rsidRPr="00FD2E76">
        <w:rPr>
          <w:rFonts w:ascii="Calibri" w:hAnsi="Calibri"/>
          <w:sz w:val="20"/>
        </w:rPr>
        <w:t>;</w:t>
      </w:r>
      <w:r w:rsidRPr="00FD2E76">
        <w:rPr>
          <w:rFonts w:ascii="Calibri" w:hAnsi="Calibri"/>
          <w:b/>
          <w:bCs/>
          <w:sz w:val="20"/>
        </w:rPr>
        <w:t>58</w:t>
      </w:r>
      <w:r w:rsidRPr="00FD2E76">
        <w:rPr>
          <w:rFonts w:ascii="Calibri" w:hAnsi="Calibri"/>
          <w:sz w:val="20"/>
        </w:rPr>
        <w:t>:295</w:t>
      </w:r>
      <w:proofErr w:type="gramEnd"/>
      <w:r w:rsidRPr="00FD2E76">
        <w:rPr>
          <w:rFonts w:ascii="Calibri" w:hAnsi="Calibri"/>
          <w:sz w:val="20"/>
        </w:rPr>
        <w:t>–300.</w:t>
      </w:r>
    </w:p>
    <w:p w:rsidR="00FD2E76" w:rsidRPr="00FD2E76" w:rsidRDefault="00FD2E76" w:rsidP="00FD2E76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t xml:space="preserve">3 </w:t>
      </w:r>
      <w:r w:rsidRPr="00FD2E76">
        <w:rPr>
          <w:rFonts w:ascii="Calibri" w:hAnsi="Calibri"/>
          <w:sz w:val="20"/>
        </w:rPr>
        <w:tab/>
        <w:t xml:space="preserve">Rothman KJ, Greenland S. Causation and Causal Inference in Epidemiology. </w:t>
      </w:r>
      <w:r w:rsidRPr="00FD2E76">
        <w:rPr>
          <w:rFonts w:ascii="Calibri" w:hAnsi="Calibri"/>
          <w:i/>
          <w:iCs/>
          <w:sz w:val="20"/>
        </w:rPr>
        <w:t>Am J Public Health</w:t>
      </w:r>
      <w:r w:rsidRPr="00FD2E76">
        <w:rPr>
          <w:rFonts w:ascii="Calibri" w:hAnsi="Calibri"/>
          <w:sz w:val="20"/>
        </w:rPr>
        <w:t xml:space="preserve"> 2005</w:t>
      </w:r>
      <w:proofErr w:type="gramStart"/>
      <w:r w:rsidRPr="00FD2E76">
        <w:rPr>
          <w:rFonts w:ascii="Calibri" w:hAnsi="Calibri"/>
          <w:sz w:val="20"/>
        </w:rPr>
        <w:t>;</w:t>
      </w:r>
      <w:r w:rsidRPr="00FD2E76">
        <w:rPr>
          <w:rFonts w:ascii="Calibri" w:hAnsi="Calibri"/>
          <w:b/>
          <w:bCs/>
          <w:sz w:val="20"/>
        </w:rPr>
        <w:t>95</w:t>
      </w:r>
      <w:r w:rsidRPr="00FD2E76">
        <w:rPr>
          <w:rFonts w:ascii="Calibri" w:hAnsi="Calibri"/>
          <w:sz w:val="20"/>
        </w:rPr>
        <w:t>:144</w:t>
      </w:r>
      <w:proofErr w:type="gramEnd"/>
      <w:r w:rsidRPr="00FD2E76">
        <w:rPr>
          <w:rFonts w:ascii="Calibri" w:hAnsi="Calibri"/>
          <w:sz w:val="20"/>
        </w:rPr>
        <w:t>–50. doi:10.2105/AJPH.2004.059204</w:t>
      </w:r>
    </w:p>
    <w:p w:rsidR="00FD2E76" w:rsidRPr="00FD2E76" w:rsidRDefault="00FD2E76" w:rsidP="00FD2E76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t xml:space="preserve">4 </w:t>
      </w:r>
      <w:r w:rsidRPr="00FD2E76">
        <w:rPr>
          <w:rFonts w:ascii="Calibri" w:hAnsi="Calibri"/>
          <w:sz w:val="20"/>
        </w:rPr>
        <w:tab/>
      </w:r>
      <w:proofErr w:type="spellStart"/>
      <w:r w:rsidRPr="00FD2E76">
        <w:rPr>
          <w:rFonts w:ascii="Calibri" w:hAnsi="Calibri"/>
          <w:sz w:val="20"/>
        </w:rPr>
        <w:t>Oyebode</w:t>
      </w:r>
      <w:proofErr w:type="spellEnd"/>
      <w:r w:rsidRPr="00FD2E76">
        <w:rPr>
          <w:rFonts w:ascii="Calibri" w:hAnsi="Calibri"/>
          <w:sz w:val="20"/>
        </w:rPr>
        <w:t xml:space="preserve"> O, Gordon-</w:t>
      </w:r>
      <w:proofErr w:type="spellStart"/>
      <w:r w:rsidRPr="00FD2E76">
        <w:rPr>
          <w:rFonts w:ascii="Calibri" w:hAnsi="Calibri"/>
          <w:sz w:val="20"/>
        </w:rPr>
        <w:t>Dseagu</w:t>
      </w:r>
      <w:proofErr w:type="spellEnd"/>
      <w:r w:rsidRPr="00FD2E76">
        <w:rPr>
          <w:rFonts w:ascii="Calibri" w:hAnsi="Calibri"/>
          <w:sz w:val="20"/>
        </w:rPr>
        <w:t xml:space="preserve"> V, Walker A, </w:t>
      </w:r>
      <w:r w:rsidRPr="00FD2E76">
        <w:rPr>
          <w:rFonts w:ascii="Calibri" w:hAnsi="Calibri"/>
          <w:i/>
          <w:iCs/>
          <w:sz w:val="20"/>
        </w:rPr>
        <w:t>et al.</w:t>
      </w:r>
      <w:r w:rsidRPr="00FD2E76">
        <w:rPr>
          <w:rFonts w:ascii="Calibri" w:hAnsi="Calibri"/>
          <w:sz w:val="20"/>
        </w:rPr>
        <w:t xml:space="preserve"> Fruit and vegetable consumption and all-cause, cancer and CVD mortality: analysis of Health Survey for England data. </w:t>
      </w:r>
      <w:r w:rsidRPr="00FD2E76">
        <w:rPr>
          <w:rFonts w:ascii="Calibri" w:hAnsi="Calibri"/>
          <w:i/>
          <w:iCs/>
          <w:sz w:val="20"/>
        </w:rPr>
        <w:t xml:space="preserve">J </w:t>
      </w:r>
      <w:proofErr w:type="spellStart"/>
      <w:r w:rsidRPr="00FD2E76">
        <w:rPr>
          <w:rFonts w:ascii="Calibri" w:hAnsi="Calibri"/>
          <w:i/>
          <w:iCs/>
          <w:sz w:val="20"/>
        </w:rPr>
        <w:t>Epidemiol</w:t>
      </w:r>
      <w:proofErr w:type="spellEnd"/>
      <w:r w:rsidRPr="00FD2E76">
        <w:rPr>
          <w:rFonts w:ascii="Calibri" w:hAnsi="Calibri"/>
          <w:i/>
          <w:iCs/>
          <w:sz w:val="20"/>
        </w:rPr>
        <w:t xml:space="preserve"> Community Health</w:t>
      </w:r>
      <w:proofErr w:type="gramStart"/>
      <w:r w:rsidRPr="00FD2E76">
        <w:rPr>
          <w:rFonts w:ascii="Calibri" w:hAnsi="Calibri"/>
          <w:sz w:val="20"/>
        </w:rPr>
        <w:t>;:</w:t>
      </w:r>
      <w:proofErr w:type="gramEnd"/>
      <w:r w:rsidRPr="00FD2E76">
        <w:rPr>
          <w:rFonts w:ascii="Calibri" w:hAnsi="Calibri"/>
          <w:sz w:val="20"/>
        </w:rPr>
        <w:t>2014.</w:t>
      </w:r>
    </w:p>
    <w:p w:rsidR="00FD2E76" w:rsidRPr="00FD2E76" w:rsidRDefault="00FD2E76" w:rsidP="00FD2E76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lastRenderedPageBreak/>
        <w:t xml:space="preserve">5 </w:t>
      </w:r>
      <w:r w:rsidRPr="00FD2E76">
        <w:rPr>
          <w:rFonts w:ascii="Calibri" w:hAnsi="Calibri"/>
          <w:sz w:val="20"/>
        </w:rPr>
        <w:tab/>
        <w:t>Health and Social Care Information Centre, 1 Trevelyan Square. Health Survey for England - 2011, Trend tables. 2012</w:t>
      </w:r>
      <w:proofErr w:type="gramStart"/>
      <w:r w:rsidRPr="00FD2E76">
        <w:rPr>
          <w:rFonts w:ascii="Calibri" w:hAnsi="Calibri"/>
          <w:sz w:val="20"/>
        </w:rPr>
        <w:t>.http</w:t>
      </w:r>
      <w:proofErr w:type="gramEnd"/>
      <w:r w:rsidRPr="00FD2E76">
        <w:rPr>
          <w:rFonts w:ascii="Calibri" w:hAnsi="Calibri"/>
          <w:sz w:val="20"/>
        </w:rPr>
        <w:t>://www.hscic.gov.uk/catalogue/PUB09302 (accessed 17 Feb2014).</w:t>
      </w:r>
    </w:p>
    <w:p w:rsidR="00FD2E76" w:rsidRPr="00FD2E76" w:rsidRDefault="00FD2E76" w:rsidP="00FD2E76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t xml:space="preserve">6 </w:t>
      </w:r>
      <w:r w:rsidRPr="00FD2E76">
        <w:rPr>
          <w:rFonts w:ascii="Calibri" w:hAnsi="Calibri"/>
          <w:sz w:val="20"/>
        </w:rPr>
        <w:tab/>
      </w:r>
      <w:proofErr w:type="spellStart"/>
      <w:r w:rsidRPr="00FD2E76">
        <w:rPr>
          <w:rFonts w:ascii="Calibri" w:hAnsi="Calibri"/>
          <w:sz w:val="20"/>
        </w:rPr>
        <w:t>Gornall</w:t>
      </w:r>
      <w:proofErr w:type="spellEnd"/>
      <w:r w:rsidRPr="00FD2E76">
        <w:rPr>
          <w:rFonts w:ascii="Calibri" w:hAnsi="Calibri"/>
          <w:sz w:val="20"/>
        </w:rPr>
        <w:t xml:space="preserve"> J. Doctors and the alcohol industry: an unhealthy mix? </w:t>
      </w:r>
      <w:r w:rsidRPr="00FD2E76">
        <w:rPr>
          <w:rFonts w:ascii="Calibri" w:hAnsi="Calibri"/>
          <w:i/>
          <w:iCs/>
          <w:sz w:val="20"/>
        </w:rPr>
        <w:t>BMJ</w:t>
      </w:r>
      <w:r w:rsidRPr="00FD2E76">
        <w:rPr>
          <w:rFonts w:ascii="Calibri" w:hAnsi="Calibri"/>
          <w:sz w:val="20"/>
        </w:rPr>
        <w:t xml:space="preserve"> 2013</w:t>
      </w:r>
      <w:proofErr w:type="gramStart"/>
      <w:r w:rsidRPr="00FD2E76">
        <w:rPr>
          <w:rFonts w:ascii="Calibri" w:hAnsi="Calibri"/>
          <w:sz w:val="20"/>
        </w:rPr>
        <w:t>;</w:t>
      </w:r>
      <w:r w:rsidRPr="00FD2E76">
        <w:rPr>
          <w:rFonts w:ascii="Calibri" w:hAnsi="Calibri"/>
          <w:b/>
          <w:bCs/>
          <w:sz w:val="20"/>
        </w:rPr>
        <w:t>346</w:t>
      </w:r>
      <w:r w:rsidRPr="00FD2E76">
        <w:rPr>
          <w:rFonts w:ascii="Calibri" w:hAnsi="Calibri"/>
          <w:sz w:val="20"/>
        </w:rPr>
        <w:t>:1889</w:t>
      </w:r>
      <w:proofErr w:type="gramEnd"/>
      <w:r w:rsidRPr="00FD2E76">
        <w:rPr>
          <w:rFonts w:ascii="Calibri" w:hAnsi="Calibri"/>
          <w:sz w:val="20"/>
        </w:rPr>
        <w:t>–1889. doi:10.1136/bmj.f1889</w:t>
      </w:r>
    </w:p>
    <w:p w:rsidR="00FD2E76" w:rsidRPr="00FD2E76" w:rsidRDefault="00FD2E76" w:rsidP="00FD2E76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t xml:space="preserve">7 </w:t>
      </w:r>
      <w:r w:rsidRPr="00FD2E76">
        <w:rPr>
          <w:rFonts w:ascii="Calibri" w:hAnsi="Calibri"/>
          <w:sz w:val="20"/>
        </w:rPr>
        <w:tab/>
        <w:t xml:space="preserve">Yang Q, Zhang Z, Gregg EW, </w:t>
      </w:r>
      <w:r w:rsidRPr="00FD2E76">
        <w:rPr>
          <w:rFonts w:ascii="Calibri" w:hAnsi="Calibri"/>
          <w:i/>
          <w:iCs/>
          <w:sz w:val="20"/>
        </w:rPr>
        <w:t>et al.</w:t>
      </w:r>
      <w:r w:rsidRPr="00FD2E76">
        <w:rPr>
          <w:rFonts w:ascii="Calibri" w:hAnsi="Calibri"/>
          <w:sz w:val="20"/>
        </w:rPr>
        <w:t xml:space="preserve"> Added sugar intake and cardiovascular diseases mortality among us adults. </w:t>
      </w:r>
      <w:r w:rsidRPr="00FD2E76">
        <w:rPr>
          <w:rFonts w:ascii="Calibri" w:hAnsi="Calibri"/>
          <w:i/>
          <w:iCs/>
          <w:sz w:val="20"/>
        </w:rPr>
        <w:t>JAMA Intern Med</w:t>
      </w:r>
      <w:r w:rsidRPr="00FD2E76">
        <w:rPr>
          <w:rFonts w:ascii="Calibri" w:hAnsi="Calibri"/>
          <w:sz w:val="20"/>
        </w:rPr>
        <w:t xml:space="preserve"> Published Online First: 2014. doi:doi:10.1001/jamainternmed.2013.13563</w:t>
      </w:r>
    </w:p>
    <w:p w:rsidR="00FD2E76" w:rsidRPr="00FD2E76" w:rsidRDefault="00FD2E76" w:rsidP="00FD2E76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t xml:space="preserve">8 </w:t>
      </w:r>
      <w:r w:rsidRPr="00FD2E76">
        <w:rPr>
          <w:rFonts w:ascii="Calibri" w:hAnsi="Calibri"/>
          <w:sz w:val="20"/>
        </w:rPr>
        <w:tab/>
        <w:t xml:space="preserve">Gill JM, </w:t>
      </w:r>
      <w:proofErr w:type="spellStart"/>
      <w:r w:rsidRPr="00FD2E76">
        <w:rPr>
          <w:rFonts w:ascii="Calibri" w:hAnsi="Calibri"/>
          <w:sz w:val="20"/>
        </w:rPr>
        <w:t>Sattar</w:t>
      </w:r>
      <w:proofErr w:type="spellEnd"/>
      <w:r w:rsidRPr="00FD2E76">
        <w:rPr>
          <w:rFonts w:ascii="Calibri" w:hAnsi="Calibri"/>
          <w:sz w:val="20"/>
        </w:rPr>
        <w:t xml:space="preserve"> N. Fruit juice: just another sugary drink? </w:t>
      </w:r>
      <w:r w:rsidRPr="00FD2E76">
        <w:rPr>
          <w:rFonts w:ascii="Calibri" w:hAnsi="Calibri"/>
          <w:i/>
          <w:iCs/>
          <w:sz w:val="20"/>
        </w:rPr>
        <w:t xml:space="preserve">Lancet Diabetes </w:t>
      </w:r>
      <w:proofErr w:type="spellStart"/>
      <w:r w:rsidRPr="00FD2E76">
        <w:rPr>
          <w:rFonts w:ascii="Calibri" w:hAnsi="Calibri"/>
          <w:i/>
          <w:iCs/>
          <w:sz w:val="20"/>
        </w:rPr>
        <w:t>Endocrinol</w:t>
      </w:r>
      <w:proofErr w:type="spellEnd"/>
      <w:r w:rsidRPr="00FD2E76">
        <w:rPr>
          <w:rFonts w:ascii="Calibri" w:hAnsi="Calibri"/>
          <w:sz w:val="20"/>
        </w:rPr>
        <w:t xml:space="preserve"> Published Online First: February 2014. </w:t>
      </w:r>
      <w:proofErr w:type="gramStart"/>
      <w:r w:rsidRPr="00FD2E76">
        <w:rPr>
          <w:rFonts w:ascii="Calibri" w:hAnsi="Calibri"/>
          <w:sz w:val="20"/>
        </w:rPr>
        <w:t>doi:</w:t>
      </w:r>
      <w:proofErr w:type="gramEnd"/>
      <w:r w:rsidRPr="00FD2E76">
        <w:rPr>
          <w:rFonts w:ascii="Calibri" w:hAnsi="Calibri"/>
          <w:sz w:val="20"/>
        </w:rPr>
        <w:t>10.1016/S2213-8587(14)70013-0</w:t>
      </w:r>
    </w:p>
    <w:p w:rsidR="00FD2E76" w:rsidRPr="00FD2E76" w:rsidRDefault="00FD2E76" w:rsidP="00FD2E76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t xml:space="preserve">9 </w:t>
      </w:r>
      <w:r w:rsidRPr="00FD2E76">
        <w:rPr>
          <w:rFonts w:ascii="Calibri" w:hAnsi="Calibri"/>
          <w:sz w:val="20"/>
        </w:rPr>
        <w:tab/>
        <w:t>NHS Choices. 5 A DAY: what counts? - Live Well. 2014</w:t>
      </w:r>
      <w:proofErr w:type="gramStart"/>
      <w:r w:rsidRPr="00FD2E76">
        <w:rPr>
          <w:rFonts w:ascii="Calibri" w:hAnsi="Calibri"/>
          <w:sz w:val="20"/>
        </w:rPr>
        <w:t>.http</w:t>
      </w:r>
      <w:proofErr w:type="gramEnd"/>
      <w:r w:rsidRPr="00FD2E76">
        <w:rPr>
          <w:rFonts w:ascii="Calibri" w:hAnsi="Calibri"/>
          <w:sz w:val="20"/>
        </w:rPr>
        <w:t>://www.nhs.uk/Livewell/5ADAY/Pages/Whatcounts.aspx (accessed 17 Feb2014).</w:t>
      </w:r>
    </w:p>
    <w:p w:rsidR="00FD2E76" w:rsidRPr="00FD2E76" w:rsidRDefault="00FD2E76" w:rsidP="00FD2E76">
      <w:pPr>
        <w:pStyle w:val="Bibliography"/>
        <w:spacing w:line="480" w:lineRule="auto"/>
        <w:rPr>
          <w:rFonts w:ascii="Calibri" w:hAnsi="Calibri"/>
          <w:sz w:val="20"/>
        </w:rPr>
      </w:pPr>
      <w:r w:rsidRPr="00FD2E76">
        <w:rPr>
          <w:rFonts w:ascii="Calibri" w:hAnsi="Calibri"/>
          <w:sz w:val="20"/>
        </w:rPr>
        <w:t xml:space="preserve">10 </w:t>
      </w:r>
      <w:r w:rsidRPr="00FD2E76">
        <w:rPr>
          <w:rFonts w:ascii="Calibri" w:hAnsi="Calibri"/>
          <w:sz w:val="20"/>
        </w:rPr>
        <w:tab/>
        <w:t xml:space="preserve">Nishida C, </w:t>
      </w:r>
      <w:proofErr w:type="spellStart"/>
      <w:r w:rsidRPr="00FD2E76">
        <w:rPr>
          <w:rFonts w:ascii="Calibri" w:hAnsi="Calibri"/>
          <w:sz w:val="20"/>
        </w:rPr>
        <w:t>Uauy</w:t>
      </w:r>
      <w:proofErr w:type="spellEnd"/>
      <w:r w:rsidRPr="00FD2E76">
        <w:rPr>
          <w:rFonts w:ascii="Calibri" w:hAnsi="Calibri"/>
          <w:sz w:val="20"/>
        </w:rPr>
        <w:t xml:space="preserve"> R, </w:t>
      </w:r>
      <w:proofErr w:type="spellStart"/>
      <w:r w:rsidRPr="00FD2E76">
        <w:rPr>
          <w:rFonts w:ascii="Calibri" w:hAnsi="Calibri"/>
          <w:sz w:val="20"/>
        </w:rPr>
        <w:t>Kumanyika</w:t>
      </w:r>
      <w:proofErr w:type="spellEnd"/>
      <w:r w:rsidRPr="00FD2E76">
        <w:rPr>
          <w:rFonts w:ascii="Calibri" w:hAnsi="Calibri"/>
          <w:sz w:val="20"/>
        </w:rPr>
        <w:t xml:space="preserve"> S, </w:t>
      </w:r>
      <w:r w:rsidRPr="00FD2E76">
        <w:rPr>
          <w:rFonts w:ascii="Calibri" w:hAnsi="Calibri"/>
          <w:i/>
          <w:iCs/>
          <w:sz w:val="20"/>
        </w:rPr>
        <w:t>et al.</w:t>
      </w:r>
      <w:r w:rsidRPr="00FD2E76">
        <w:rPr>
          <w:rFonts w:ascii="Calibri" w:hAnsi="Calibri"/>
          <w:sz w:val="20"/>
        </w:rPr>
        <w:t xml:space="preserve"> The Joint WHO/FAO Expert Consultation on diet, nutrition and the prevention of chronic diseases: process, product and policy implications. </w:t>
      </w:r>
      <w:r w:rsidRPr="00FD2E76">
        <w:rPr>
          <w:rFonts w:ascii="Calibri" w:hAnsi="Calibri"/>
          <w:i/>
          <w:iCs/>
          <w:sz w:val="20"/>
        </w:rPr>
        <w:t xml:space="preserve">Public Health </w:t>
      </w:r>
      <w:proofErr w:type="spellStart"/>
      <w:r w:rsidRPr="00FD2E76">
        <w:rPr>
          <w:rFonts w:ascii="Calibri" w:hAnsi="Calibri"/>
          <w:i/>
          <w:iCs/>
          <w:sz w:val="20"/>
        </w:rPr>
        <w:t>Nutr</w:t>
      </w:r>
      <w:proofErr w:type="spellEnd"/>
      <w:r w:rsidRPr="00FD2E76">
        <w:rPr>
          <w:rFonts w:ascii="Calibri" w:hAnsi="Calibri"/>
          <w:sz w:val="20"/>
        </w:rPr>
        <w:t xml:space="preserve"> 2007</w:t>
      </w:r>
      <w:proofErr w:type="gramStart"/>
      <w:r w:rsidRPr="00FD2E76">
        <w:rPr>
          <w:rFonts w:ascii="Calibri" w:hAnsi="Calibri"/>
          <w:sz w:val="20"/>
        </w:rPr>
        <w:t>;</w:t>
      </w:r>
      <w:r w:rsidRPr="00FD2E76">
        <w:rPr>
          <w:rFonts w:ascii="Calibri" w:hAnsi="Calibri"/>
          <w:b/>
          <w:bCs/>
          <w:sz w:val="20"/>
        </w:rPr>
        <w:t>7</w:t>
      </w:r>
      <w:r w:rsidRPr="00FD2E76">
        <w:rPr>
          <w:rFonts w:ascii="Calibri" w:hAnsi="Calibri"/>
          <w:sz w:val="20"/>
        </w:rPr>
        <w:t>:245</w:t>
      </w:r>
      <w:proofErr w:type="gramEnd"/>
      <w:r w:rsidRPr="00FD2E76">
        <w:rPr>
          <w:rFonts w:ascii="Calibri" w:hAnsi="Calibri"/>
          <w:sz w:val="20"/>
        </w:rPr>
        <w:t xml:space="preserve">–50. </w:t>
      </w:r>
      <w:proofErr w:type="gramStart"/>
      <w:r w:rsidRPr="00FD2E76">
        <w:rPr>
          <w:rFonts w:ascii="Calibri" w:hAnsi="Calibri"/>
          <w:sz w:val="20"/>
        </w:rPr>
        <w:t>doi:</w:t>
      </w:r>
      <w:proofErr w:type="gramEnd"/>
      <w:r w:rsidRPr="00FD2E76">
        <w:rPr>
          <w:rFonts w:ascii="Calibri" w:hAnsi="Calibri"/>
          <w:sz w:val="20"/>
        </w:rPr>
        <w:t>10.1079/PHN2003592</w:t>
      </w:r>
    </w:p>
    <w:p w:rsidR="00BA7274" w:rsidRPr="00D13A62" w:rsidRDefault="00BA7274" w:rsidP="00FD2E76">
      <w:pPr>
        <w:spacing w:after="40" w:line="480" w:lineRule="auto"/>
        <w:rPr>
          <w:sz w:val="10"/>
        </w:rPr>
      </w:pPr>
    </w:p>
    <w:sectPr w:rsidR="00BA7274" w:rsidRPr="00D13A62" w:rsidSect="004D2AD2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0B29"/>
    <w:multiLevelType w:val="multilevel"/>
    <w:tmpl w:val="B67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85FBA"/>
    <w:multiLevelType w:val="hybridMultilevel"/>
    <w:tmpl w:val="2C308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440C2"/>
    <w:multiLevelType w:val="multilevel"/>
    <w:tmpl w:val="0FB0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85414"/>
    <w:multiLevelType w:val="hybridMultilevel"/>
    <w:tmpl w:val="6F94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37"/>
    <w:rsid w:val="00010954"/>
    <w:rsid w:val="0001513B"/>
    <w:rsid w:val="00015AF9"/>
    <w:rsid w:val="000422D9"/>
    <w:rsid w:val="00044F2A"/>
    <w:rsid w:val="00062DA8"/>
    <w:rsid w:val="000C7D9B"/>
    <w:rsid w:val="000E4C70"/>
    <w:rsid w:val="00124BBB"/>
    <w:rsid w:val="001501D2"/>
    <w:rsid w:val="0015219B"/>
    <w:rsid w:val="001B120B"/>
    <w:rsid w:val="001C1CC9"/>
    <w:rsid w:val="001D23EC"/>
    <w:rsid w:val="00231583"/>
    <w:rsid w:val="00237115"/>
    <w:rsid w:val="00240C1A"/>
    <w:rsid w:val="00263D00"/>
    <w:rsid w:val="002A0B20"/>
    <w:rsid w:val="002B2A84"/>
    <w:rsid w:val="002B395E"/>
    <w:rsid w:val="002B3A46"/>
    <w:rsid w:val="002C0645"/>
    <w:rsid w:val="002C4682"/>
    <w:rsid w:val="002E706F"/>
    <w:rsid w:val="00301239"/>
    <w:rsid w:val="00301AB8"/>
    <w:rsid w:val="00304B61"/>
    <w:rsid w:val="00323DC2"/>
    <w:rsid w:val="00371D79"/>
    <w:rsid w:val="00387CD0"/>
    <w:rsid w:val="00395318"/>
    <w:rsid w:val="003A2135"/>
    <w:rsid w:val="003A7937"/>
    <w:rsid w:val="003B3AC9"/>
    <w:rsid w:val="003B47C0"/>
    <w:rsid w:val="003E3861"/>
    <w:rsid w:val="0040486C"/>
    <w:rsid w:val="00434115"/>
    <w:rsid w:val="00440F48"/>
    <w:rsid w:val="00464BA9"/>
    <w:rsid w:val="00480CF1"/>
    <w:rsid w:val="004850E2"/>
    <w:rsid w:val="004A3649"/>
    <w:rsid w:val="004B28FA"/>
    <w:rsid w:val="004C12BD"/>
    <w:rsid w:val="004D0D5F"/>
    <w:rsid w:val="004D2AD2"/>
    <w:rsid w:val="004D43EB"/>
    <w:rsid w:val="004E5CB1"/>
    <w:rsid w:val="005003B8"/>
    <w:rsid w:val="00505495"/>
    <w:rsid w:val="005114AA"/>
    <w:rsid w:val="00540CFD"/>
    <w:rsid w:val="00557C01"/>
    <w:rsid w:val="005A0D12"/>
    <w:rsid w:val="005D02A3"/>
    <w:rsid w:val="005D3072"/>
    <w:rsid w:val="005D677A"/>
    <w:rsid w:val="00605C20"/>
    <w:rsid w:val="00630523"/>
    <w:rsid w:val="006455D7"/>
    <w:rsid w:val="00652A4D"/>
    <w:rsid w:val="00672A33"/>
    <w:rsid w:val="00684B36"/>
    <w:rsid w:val="00687858"/>
    <w:rsid w:val="00691B58"/>
    <w:rsid w:val="00691E5D"/>
    <w:rsid w:val="006A3C8E"/>
    <w:rsid w:val="006B0F7C"/>
    <w:rsid w:val="006D3EDD"/>
    <w:rsid w:val="006D55FB"/>
    <w:rsid w:val="006E1938"/>
    <w:rsid w:val="006F1E75"/>
    <w:rsid w:val="0070025E"/>
    <w:rsid w:val="00715A16"/>
    <w:rsid w:val="00757504"/>
    <w:rsid w:val="007603F4"/>
    <w:rsid w:val="007777CD"/>
    <w:rsid w:val="007A4819"/>
    <w:rsid w:val="007E268E"/>
    <w:rsid w:val="008057FF"/>
    <w:rsid w:val="00810A1D"/>
    <w:rsid w:val="0082565D"/>
    <w:rsid w:val="0084302D"/>
    <w:rsid w:val="0085703A"/>
    <w:rsid w:val="0087767A"/>
    <w:rsid w:val="008821A1"/>
    <w:rsid w:val="008A014E"/>
    <w:rsid w:val="008A5CC6"/>
    <w:rsid w:val="008D37F2"/>
    <w:rsid w:val="008E0F16"/>
    <w:rsid w:val="00916039"/>
    <w:rsid w:val="009625C3"/>
    <w:rsid w:val="00980D79"/>
    <w:rsid w:val="009854F7"/>
    <w:rsid w:val="009956CE"/>
    <w:rsid w:val="009B232B"/>
    <w:rsid w:val="009B6A49"/>
    <w:rsid w:val="009C2A5F"/>
    <w:rsid w:val="009D7CB1"/>
    <w:rsid w:val="00A040D0"/>
    <w:rsid w:val="00A15F47"/>
    <w:rsid w:val="00A20190"/>
    <w:rsid w:val="00A82907"/>
    <w:rsid w:val="00A836CA"/>
    <w:rsid w:val="00A86E51"/>
    <w:rsid w:val="00A965FA"/>
    <w:rsid w:val="00AA2B73"/>
    <w:rsid w:val="00AC1495"/>
    <w:rsid w:val="00AC1BA7"/>
    <w:rsid w:val="00AF490F"/>
    <w:rsid w:val="00B22AA9"/>
    <w:rsid w:val="00B527AA"/>
    <w:rsid w:val="00B6073B"/>
    <w:rsid w:val="00B61858"/>
    <w:rsid w:val="00B82BDF"/>
    <w:rsid w:val="00B90B15"/>
    <w:rsid w:val="00BA5B84"/>
    <w:rsid w:val="00BA7274"/>
    <w:rsid w:val="00BE18CF"/>
    <w:rsid w:val="00BE4652"/>
    <w:rsid w:val="00BF28B1"/>
    <w:rsid w:val="00C114B4"/>
    <w:rsid w:val="00C22A4C"/>
    <w:rsid w:val="00C901CE"/>
    <w:rsid w:val="00CC2308"/>
    <w:rsid w:val="00CE0771"/>
    <w:rsid w:val="00D11B1B"/>
    <w:rsid w:val="00D13A62"/>
    <w:rsid w:val="00D317ED"/>
    <w:rsid w:val="00D4453A"/>
    <w:rsid w:val="00D913E9"/>
    <w:rsid w:val="00D93C72"/>
    <w:rsid w:val="00DA7A27"/>
    <w:rsid w:val="00DC468B"/>
    <w:rsid w:val="00E04E05"/>
    <w:rsid w:val="00E24B98"/>
    <w:rsid w:val="00E343A7"/>
    <w:rsid w:val="00E349EA"/>
    <w:rsid w:val="00E43C61"/>
    <w:rsid w:val="00E53E67"/>
    <w:rsid w:val="00E67481"/>
    <w:rsid w:val="00E73F7C"/>
    <w:rsid w:val="00E75CFD"/>
    <w:rsid w:val="00E924AE"/>
    <w:rsid w:val="00E92F31"/>
    <w:rsid w:val="00E94B57"/>
    <w:rsid w:val="00EB0C89"/>
    <w:rsid w:val="00EC25C2"/>
    <w:rsid w:val="00EE2725"/>
    <w:rsid w:val="00EE3C17"/>
    <w:rsid w:val="00F17884"/>
    <w:rsid w:val="00F17E7B"/>
    <w:rsid w:val="00F41A69"/>
    <w:rsid w:val="00F45FAF"/>
    <w:rsid w:val="00F51CAB"/>
    <w:rsid w:val="00F61991"/>
    <w:rsid w:val="00F9412C"/>
    <w:rsid w:val="00FD2E7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690487-D2E9-4D57-A1BD-C11D0889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3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B3AC9"/>
    <w:pPr>
      <w:tabs>
        <w:tab w:val="left" w:pos="264"/>
      </w:tabs>
      <w:spacing w:after="240" w:line="240" w:lineRule="auto"/>
      <w:ind w:left="264" w:hanging="264"/>
    </w:pPr>
  </w:style>
  <w:style w:type="character" w:styleId="CommentReference">
    <w:name w:val="annotation reference"/>
    <w:basedOn w:val="DefaultParagraphFont"/>
    <w:uiPriority w:val="99"/>
    <w:semiHidden/>
    <w:unhideWhenUsed/>
    <w:rsid w:val="0023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0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6249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7414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single" w:sz="6" w:space="0" w:color="000000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yprid@liverpoo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123C-421B-4513-A0BA-9ACE5CAA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Kypridemos</dc:creator>
  <cp:lastModifiedBy>Chris Kypridemos</cp:lastModifiedBy>
  <cp:revision>14</cp:revision>
  <cp:lastPrinted>2014-02-19T14:33:00Z</cp:lastPrinted>
  <dcterms:created xsi:type="dcterms:W3CDTF">2014-02-26T17:25:00Z</dcterms:created>
  <dcterms:modified xsi:type="dcterms:W3CDTF">2014-03-13T09:59:00Z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id="UNxtlwko"/&gt;&lt;style id="http://www.zotero.org/styles/journal-of-epidemiology-and-community-health" hasBibliography="1" bibliographyStyleHasBeenSet="1"/&gt;&lt;prefs&gt;&lt;pref name="fieldType" value="Field"</vt:lpwstr>
  </property>
  <property fmtid="{D5CDD505-2E9C-101B-9397-08002B2CF9AE}" pid="3" name="ZOTERO_PREF_2">
    <vt:lpwstr>/&gt;&lt;pref name="storeReferences" value="true"/&gt;&lt;pref name="automaticJournalAbbreviations" value="true"/&gt;&lt;pref name="noteType" value="0"/&gt;&lt;/prefs&gt;&lt;/data&gt;</vt:lpwstr>
  </property>
</Properties>
</file>