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B80BA" w14:textId="06563ECF" w:rsidR="00FF1480" w:rsidRDefault="00FF1480" w:rsidP="00777374">
      <w:pPr>
        <w:rPr>
          <w:b/>
          <w:sz w:val="28"/>
          <w:szCs w:val="28"/>
        </w:rPr>
      </w:pPr>
      <w:r>
        <w:rPr>
          <w:b/>
          <w:sz w:val="28"/>
          <w:szCs w:val="28"/>
        </w:rPr>
        <w:t>Addressing the challenges of cooperation and coordination in complex innovation environments: Narratives of openness</w:t>
      </w:r>
    </w:p>
    <w:p w14:paraId="4B4C6D20" w14:textId="77777777" w:rsidR="00714503" w:rsidRDefault="00714503" w:rsidP="00777374">
      <w:pPr>
        <w:rPr>
          <w:b/>
          <w:sz w:val="28"/>
          <w:szCs w:val="28"/>
        </w:rPr>
      </w:pPr>
    </w:p>
    <w:p w14:paraId="1E4180BE" w14:textId="77777777" w:rsidR="00B732E3" w:rsidRPr="001A6ED2" w:rsidRDefault="00B732E3">
      <w:pPr>
        <w:spacing w:before="0" w:line="240" w:lineRule="auto"/>
        <w:jc w:val="left"/>
        <w:rPr>
          <w:b/>
          <w:sz w:val="20"/>
          <w:szCs w:val="20"/>
        </w:rPr>
      </w:pPr>
      <w:r w:rsidRPr="001A6ED2">
        <w:rPr>
          <w:sz w:val="20"/>
          <w:szCs w:val="20"/>
        </w:rPr>
        <w:t>Submitted to Sub-theme 46: Open Organisations for an Open Society? Practicing Openness in Innovation and Beyond</w:t>
      </w:r>
      <w:r w:rsidRPr="001A6ED2">
        <w:rPr>
          <w:b/>
          <w:sz w:val="20"/>
          <w:szCs w:val="20"/>
        </w:rPr>
        <w:t xml:space="preserve"> </w:t>
      </w:r>
    </w:p>
    <w:p w14:paraId="32A17B23" w14:textId="77777777" w:rsidR="00B732E3" w:rsidRDefault="00B732E3">
      <w:pPr>
        <w:spacing w:before="0" w:line="240" w:lineRule="auto"/>
        <w:jc w:val="left"/>
        <w:rPr>
          <w:b/>
          <w:sz w:val="28"/>
          <w:szCs w:val="28"/>
        </w:rPr>
      </w:pPr>
    </w:p>
    <w:p w14:paraId="77FDCC7F" w14:textId="77777777" w:rsidR="00B732E3" w:rsidRDefault="00B732E3" w:rsidP="00B732E3">
      <w:pPr>
        <w:spacing w:line="240" w:lineRule="auto"/>
      </w:pPr>
      <w:r>
        <w:rPr>
          <w:b/>
        </w:rPr>
        <w:t>Paul Ellwood</w:t>
      </w:r>
      <w:r>
        <w:t>, University of Liverpool, UK</w:t>
      </w:r>
    </w:p>
    <w:p w14:paraId="5E9B1BB9" w14:textId="77777777" w:rsidR="00B732E3" w:rsidRPr="00777374" w:rsidRDefault="000360D0" w:rsidP="00B732E3">
      <w:pPr>
        <w:spacing w:line="240" w:lineRule="auto"/>
      </w:pPr>
      <w:hyperlink r:id="rId6" w:history="1">
        <w:r w:rsidR="00B732E3" w:rsidRPr="00777374">
          <w:rPr>
            <w:rStyle w:val="Hyperlink"/>
            <w:color w:val="auto"/>
            <w:u w:val="none"/>
          </w:rPr>
          <w:t>paul.ellwood@liverpool.ac.uk</w:t>
        </w:r>
      </w:hyperlink>
    </w:p>
    <w:p w14:paraId="7F835E25" w14:textId="77777777" w:rsidR="00B732E3" w:rsidRDefault="00B732E3" w:rsidP="00B732E3">
      <w:pPr>
        <w:spacing w:line="240" w:lineRule="auto"/>
      </w:pPr>
    </w:p>
    <w:p w14:paraId="6DBFBEC1" w14:textId="77777777" w:rsidR="00B732E3" w:rsidRDefault="00B732E3" w:rsidP="00B732E3">
      <w:pPr>
        <w:spacing w:line="240" w:lineRule="auto"/>
      </w:pPr>
      <w:proofErr w:type="spellStart"/>
      <w:r w:rsidRPr="00BE036E">
        <w:rPr>
          <w:b/>
        </w:rPr>
        <w:t>Krsto</w:t>
      </w:r>
      <w:proofErr w:type="spellEnd"/>
      <w:r w:rsidRPr="00BE036E">
        <w:rPr>
          <w:b/>
        </w:rPr>
        <w:t xml:space="preserve"> </w:t>
      </w:r>
      <w:proofErr w:type="spellStart"/>
      <w:r w:rsidRPr="00BE036E">
        <w:rPr>
          <w:b/>
        </w:rPr>
        <w:t>Pandza</w:t>
      </w:r>
      <w:proofErr w:type="spellEnd"/>
      <w:r>
        <w:t>, University of Leeds, UK</w:t>
      </w:r>
    </w:p>
    <w:p w14:paraId="5A55F35D" w14:textId="77777777" w:rsidR="00B732E3" w:rsidRDefault="000360D0" w:rsidP="00B732E3">
      <w:pPr>
        <w:spacing w:before="0" w:line="240" w:lineRule="auto"/>
        <w:jc w:val="left"/>
        <w:rPr>
          <w:rStyle w:val="Hyperlink"/>
          <w:color w:val="auto"/>
          <w:u w:val="none"/>
        </w:rPr>
      </w:pPr>
      <w:hyperlink r:id="rId7" w:history="1">
        <w:r w:rsidR="00B732E3" w:rsidRPr="00BE036E">
          <w:rPr>
            <w:rStyle w:val="Hyperlink"/>
            <w:color w:val="auto"/>
            <w:u w:val="none"/>
          </w:rPr>
          <w:t>k.pandza@leeds.ac.uk</w:t>
        </w:r>
      </w:hyperlink>
    </w:p>
    <w:p w14:paraId="2CFB108B" w14:textId="77777777" w:rsidR="00B732E3" w:rsidRDefault="00B732E3" w:rsidP="00B732E3">
      <w:pPr>
        <w:spacing w:before="0" w:line="240" w:lineRule="auto"/>
        <w:jc w:val="left"/>
        <w:rPr>
          <w:rStyle w:val="Hyperlink"/>
          <w:color w:val="auto"/>
          <w:u w:val="none"/>
        </w:rPr>
      </w:pPr>
    </w:p>
    <w:p w14:paraId="78AE6CA0" w14:textId="77777777" w:rsidR="00F6652C" w:rsidRDefault="00F6652C" w:rsidP="00B732E3">
      <w:pPr>
        <w:spacing w:before="0" w:line="240" w:lineRule="auto"/>
        <w:jc w:val="left"/>
        <w:rPr>
          <w:rStyle w:val="Hyperlink"/>
          <w:color w:val="auto"/>
          <w:u w:val="none"/>
        </w:rPr>
      </w:pPr>
    </w:p>
    <w:p w14:paraId="568A374D" w14:textId="77777777" w:rsidR="00F6652C" w:rsidRDefault="00F6652C" w:rsidP="00B732E3">
      <w:pPr>
        <w:spacing w:before="0" w:line="240" w:lineRule="auto"/>
        <w:jc w:val="left"/>
        <w:rPr>
          <w:rStyle w:val="Hyperlink"/>
          <w:color w:val="auto"/>
          <w:u w:val="none"/>
        </w:rPr>
      </w:pPr>
    </w:p>
    <w:p w14:paraId="5D2B19E4" w14:textId="17746BE5" w:rsidR="00A933DF" w:rsidRPr="00A933DF" w:rsidRDefault="00A933DF" w:rsidP="00B732E3">
      <w:pPr>
        <w:spacing w:before="0" w:line="240" w:lineRule="auto"/>
        <w:jc w:val="left"/>
        <w:rPr>
          <w:rStyle w:val="Hyperlink"/>
          <w:b/>
          <w:color w:val="auto"/>
          <w:sz w:val="28"/>
          <w:szCs w:val="28"/>
          <w:u w:val="none"/>
        </w:rPr>
      </w:pPr>
      <w:r w:rsidRPr="00A933DF">
        <w:rPr>
          <w:rStyle w:val="Hyperlink"/>
          <w:b/>
          <w:color w:val="auto"/>
          <w:sz w:val="28"/>
          <w:szCs w:val="28"/>
          <w:u w:val="none"/>
        </w:rPr>
        <w:t>Introduction</w:t>
      </w:r>
    </w:p>
    <w:p w14:paraId="598D2940" w14:textId="77777777" w:rsidR="00A933DF" w:rsidRDefault="00A933DF" w:rsidP="00B732E3">
      <w:pPr>
        <w:spacing w:before="0" w:line="240" w:lineRule="auto"/>
        <w:jc w:val="left"/>
        <w:rPr>
          <w:rStyle w:val="Hyperlink"/>
          <w:color w:val="auto"/>
          <w:u w:val="none"/>
        </w:rPr>
      </w:pPr>
    </w:p>
    <w:p w14:paraId="79229ED2" w14:textId="36B66649" w:rsidR="00EC1D77" w:rsidRPr="00B732E3" w:rsidRDefault="00696E54" w:rsidP="000558BF">
      <w:pPr>
        <w:rPr>
          <w:b/>
          <w:sz w:val="28"/>
          <w:szCs w:val="28"/>
        </w:rPr>
      </w:pPr>
      <w:r>
        <w:t xml:space="preserve">An </w:t>
      </w:r>
      <w:r w:rsidR="00DE35A8">
        <w:t>ever-increasing</w:t>
      </w:r>
      <w:r>
        <w:t xml:space="preserve"> stream of </w:t>
      </w:r>
      <w:r w:rsidR="002A6537">
        <w:t xml:space="preserve">literature </w:t>
      </w:r>
      <w:r w:rsidR="00D952FC">
        <w:t xml:space="preserve">proclaims that </w:t>
      </w:r>
      <w:r w:rsidR="00D952FC">
        <w:rPr>
          <w:i/>
        </w:rPr>
        <w:t xml:space="preserve">openness </w:t>
      </w:r>
      <w:r w:rsidR="00D952FC">
        <w:t>is or should become</w:t>
      </w:r>
      <w:r w:rsidR="002A6537">
        <w:t xml:space="preserve"> </w:t>
      </w:r>
      <w:r w:rsidR="00B3679E">
        <w:t xml:space="preserve">the </w:t>
      </w:r>
      <w:r w:rsidR="002A6537">
        <w:t>central aspiration of a modern innovative organis</w:t>
      </w:r>
      <w:r w:rsidR="00D952FC">
        <w:t>ation</w:t>
      </w:r>
      <w:r w:rsidR="002A6537">
        <w:t xml:space="preserve"> </w:t>
      </w:r>
      <w:r w:rsidR="002A79F9">
        <w:fldChar w:fldCharType="begin">
          <w:fldData xml:space="preserve">PEVuZE5vdGU+PENpdGU+PEF1dGhvcj5DaGVzYnJvdWdoPC9BdXRob3I+PFllYXI+MjAwMjwvWWVh
cj48UmVjTnVtPjIwNzg8L1JlY051bT48RGlzcGxheVRleHQ+KEFsZXh5LCBHZW9yZ2UsICZhbXA7
IFNhbHRlciwgMjAxMzsgQWxtaXJhbGwgJmFtcDsgQ2FzYWRlc3VzLU1hc2FuZWxsLCAyMDEwOyBD
aGVzYnJvdWdoICZhbXA7IFJvc2VuYmxvb20sIDIwMDIpPC9EaXNwbGF5VGV4dD48cmVjb3JkPjxy
ZWMtbnVtYmVyPjIwNzg8L3JlYy1udW1iZXI+PGZvcmVpZ24ta2V5cz48a2V5IGFwcD0iRU4iIGRi
LWlkPSJwZDJ6ZXdlOWNhYWZ0cmUydHM1cHpwd2g5cHZkd3Zyc3NzOTAiIHRpbWVzdGFtcD0iMTQy
MTA1OTUyOCI+MjA3ODwva2V5PjwvZm9yZWlnbi1rZXlzPjxyZWYtdHlwZSBuYW1lPSJKb3VybmFs
IEFydGljbGUiPjE3PC9yZWYtdHlwZT48Y29udHJpYnV0b3JzPjxhdXRob3JzPjxhdXRob3I+Q2hl
c2Jyb3VnaCwgSC48L2F1dGhvcj48YXV0aG9yPlJvc2VuYmxvb20sIFIuIFMuPC9hdXRob3I+PC9h
dXRob3JzPjwvY29udHJpYnV0b3JzPjx0aXRsZXM+PHRpdGxlPlRoZSByb2xlIG9mIGJ1c2luZXNz
IG1vZGVsIGluIGNhcHR1cmluZyB2YWx1ZSBmcm9tIGlubm92YXRpb246IEV2aWRlbmNlIGZyb21Y
ZXJveCBjb3Jwb3JhdGlvbiZhcG9zO3MgdGVjaG5vbG9neSBzcGluLW9mZiBjb21wYW5pZXM8L3Rp
dGxlPjxzZWNvbmRhcnktdGl0bGU+SW5kdXN0cmlhbCBhbmQgQ29ycG9yYXRlIENoYW5nZTwvc2Vj
b25kYXJ5LXRpdGxlPjwvdGl0bGVzPjxwZXJpb2RpY2FsPjxmdWxsLXRpdGxlPkluZHVzdHJpYWwg
YW5kIENvcnBvcmF0ZSBDaGFuZ2U8L2Z1bGwtdGl0bGU+PC9wZXJpb2RpY2FsPjxwYWdlcz41Mjkt
NTU1PC9wYWdlcz48dm9sdW1lPjExPC92b2x1bWU+PG51bWJlcj4zPC9udW1iZXI+PGRhdGVzPjx5
ZWFyPjIwMDI8L3llYXI+PC9kYXRlcz48dXJscz48L3VybHM+PC9yZWNvcmQ+PC9DaXRlPjxDaXRl
PjxBdXRob3I+QWxtaXJhbGw8L0F1dGhvcj48WWVhcj4yMDEwPC9ZZWFyPjxSZWNOdW0+MTQ4OTwv
UmVjTnVtPjxyZWNvcmQ+PHJlYy1udW1iZXI+MTQ4OTwvcmVjLW51bWJlcj48Zm9yZWlnbi1rZXlz
PjxrZXkgYXBwPSJFTiIgZGItaWQ9InBkMnpld2U5Y2FhZnRyZTJ0czVwenB3aDlwdmR3dnJzc3M5
MCIgdGltZXN0YW1wPSIxMjY0OTIxNTg4Ij4xNDg5PC9rZXk+PC9mb3JlaWduLWtleXM+PHJlZi10
eXBlIG5hbWU9IkpvdXJuYWwgQXJ0aWNsZSI+MTc8L3JlZi10eXBlPjxjb250cmlidXRvcnM+PGF1
dGhvcnM+PGF1dGhvcj5BbG1pcmFsbCwgRS48L2F1dGhvcj48YXV0aG9yPkNhc2FkZXN1cy1NYXNh
bmVsbCwgUi48L2F1dGhvcj48L2F1dGhvcnM+PC9jb250cmlidXRvcnM+PHRpdGxlcz48dGl0bGU+
T3BlbiB2ZXN1cyBjbG9zZWQgaW5ub3ZhdGlvbjogQSBtb2RlbCBvZiBkaXNjb3ZlcnkgYW5kIGRp
dmVyZ2VuY2U8L3RpdGxlPjxzZWNvbmRhcnktdGl0bGU+QWNhZGVteSBvZiBNYW5hZ2VtZW50IFJl
dmlldzwvc2Vjb25kYXJ5LXRpdGxlPjwvdGl0bGVzPjxwZXJpb2RpY2FsPjxmdWxsLXRpdGxlPkFj
YWRlbXkgb2YgTWFuYWdlbWVudCBSZXZpZXc8L2Z1bGwtdGl0bGU+PC9wZXJpb2RpY2FsPjxwYWdl
cz4yNy00NzwvcGFnZXM+PHZvbHVtZT4zNTwvdm9sdW1lPjxudW1iZXI+MTwvbnVtYmVyPjxkYXRl
cz48eWVhcj4yMDEwPC95ZWFyPjwvZGF0ZXM+PGlzYm4+MDM2My03NDI1PC9pc2JuPjxhY2Nlc3Np
b24tbnVtPldPUzowMDAyNzM0NjAzMDAwMDI8L2FjY2Vzc2lvbi1udW0+PHVybHM+PHJlbGF0ZWQt
dXJscz48dXJsPiZsdDtHbyB0byBJU0kmZ3Q7Oi8vV09TOjAwMDI3MzQ2MDMwMDAwMjwvdXJsPjwv
cmVsYXRlZC11cmxzPjwvdXJscz48cmVzZWFyY2gtbm90ZXM+U2ltdWxhdGlvbiBtb2RlbCBwcm9k
dWNlZC4gIEZvY3VzIG9uIHRyYWRlLW9mZiBiZXR3ZWVuIGRpdmVyZ2VuY2UgKHBhcnRuZXIgJnF1
b3Q7Z29hbHMgZ2VuZXJhbGx5IG5vdCBiZWluZyBwZXJmZWN0bHkgYWxpZ25lZCZxdW90OykgYW5k
IGRpc2NvdmVyeSAoJnF1b3Q7b3BlbmluZyB1cCB0aGUgc3lzdGVtLi4udG8gdXNlIGtub3dsZWRn
ZSBvZiBzdXBwbGllcnMgYW5kL29yIGNvbXBsZW1lbnRvcnMgdG8gZW5kIHVwIHdpdGggYSBiZXR0
ZXIgcHJvZHVjdCZxdW90OykuJiN4RDsmI3hEO1RoZXkgc2hvdyB0aGF0IG9wZW4gaW5ub3ZhdGlv
biBpcyBub3QgdW5pZm9ybWx5IGJldHRlci4mI3hEOyYjeEQ7JnF1b3Q7b3BlbiBpbm5vdmF0aW9u
IGlzIGdlbmVyYWxseSBzdXBlcmlvciB0byBjbG9zZWQgaW5ub3ZhdGlvbiB3aGVuIGNvbXBsZXhp
dHkgaXMgbm90IGhpZ2gmcXVvdDspPC9yZXNlYXJjaC1ub3Rlcz48L3JlY29yZD48L0NpdGU+PENp
dGU+PEF1dGhvcj5BbG1pcmFsbDwvQXV0aG9yPjxZZWFyPjIwMTA8L1llYXI+PFJlY051bT4xNDg5
PC9SZWNOdW0+PHJlY29yZD48cmVjLW51bWJlcj4xNDg5PC9yZWMtbnVtYmVyPjxmb3JlaWduLWtl
eXM+PGtleSBhcHA9IkVOIiBkYi1pZD0icGQyemV3ZTljYWFmdHJlMnRzNXB6cHdoOXB2ZHd2cnNz
czkwIiB0aW1lc3RhbXA9IjEyNjQ5MjE1ODgiPjE0ODk8L2tleT48L2ZvcmVpZ24ta2V5cz48cmVm
LXR5cGUgbmFtZT0iSm91cm5hbCBBcnRpY2xlIj4xNzwvcmVmLXR5cGU+PGNvbnRyaWJ1dG9ycz48
YXV0aG9ycz48YXV0aG9yPkFsbWlyYWxsLCBFLjwvYXV0aG9yPjxhdXRob3I+Q2FzYWRlc3VzLU1h
c2FuZWxsLCBSLjwvYXV0aG9yPjwvYXV0aG9ycz48L2NvbnRyaWJ1dG9ycz48dGl0bGVzPjx0aXRs
ZT5PcGVuIHZlc3VzIGNsb3NlZCBpbm5vdmF0aW9uOiBBIG1vZGVsIG9mIGRpc2NvdmVyeSBhbmQg
ZGl2ZXJnZW5jZTwvdGl0bGU+PHNlY29uZGFyeS10aXRsZT5BY2FkZW15IG9mIE1hbmFnZW1lbnQg
UmV2aWV3PC9zZWNvbmRhcnktdGl0bGU+PC90aXRsZXM+PHBlcmlvZGljYWw+PGZ1bGwtdGl0bGU+
QWNhZGVteSBvZiBNYW5hZ2VtZW50IFJldmlldzwvZnVsbC10aXRsZT48L3BlcmlvZGljYWw+PHBh
Z2VzPjI3LTQ3PC9wYWdlcz48dm9sdW1lPjM1PC92b2x1bWU+PG51bWJlcj4xPC9udW1iZXI+PGRh
dGVzPjx5ZWFyPjIwMTA8L3llYXI+PC9kYXRlcz48aXNibj4wMzYzLTc0MjU8L2lzYm4+PGFjY2Vz
c2lvbi1udW0+V09TOjAwMDI3MzQ2MDMwMDAwMjwvYWNjZXNzaW9uLW51bT48dXJscz48cmVsYXRl
ZC11cmxzPjx1cmw+Jmx0O0dvIHRvIElTSSZndDs6Ly9XT1M6MDAwMjczNDYwMzAwMDAyPC91cmw+
PC9yZWxhdGVkLXVybHM+PC91cmxzPjxyZXNlYXJjaC1ub3Rlcz5TaW11bGF0aW9uIG1vZGVsIHBy
b2R1Y2VkLiAgRm9jdXMgb24gdHJhZGUtb2ZmIGJldHdlZW4gZGl2ZXJnZW5jZSAocGFydG5lciAm
cXVvdDtnb2FscyBnZW5lcmFsbHkgbm90IGJlaW5nIHBlcmZlY3RseSBhbGlnbmVkJnF1b3Q7KSBh
bmQgZGlzY292ZXJ5ICgmcXVvdDtvcGVuaW5nIHVwIHRoZSBzeXN0ZW0uLi50byB1c2Uga25vd2xl
ZGdlIG9mIHN1cHBsaWVycyBhbmQvb3IgY29tcGxlbWVudG9ycyB0byBlbmQgdXAgd2l0aCBhIGJl
dHRlciBwcm9kdWN0JnF1b3Q7KS4mI3hEOyYjeEQ7VGhleSBzaG93IHRoYXQgb3BlbiBpbm5vdmF0
aW9uIGlzIG5vdCB1bmlmb3JtbHkgYmV0dGVyLiYjeEQ7JiN4RDsmcXVvdDtvcGVuIGlubm92YXRp
b24gaXMgZ2VuZXJhbGx5IHN1cGVyaW9yIHRvIGNsb3NlZCBpbm5vdmF0aW9uIHdoZW4gY29tcGxl
eGl0eSBpcyBub3QgaGlnaCZxdW90Oyk8L3Jlc2VhcmNoLW5vdGVzPjwvcmVjb3JkPjwvQ2l0ZT48
Q2l0ZT48QXV0aG9yPkFsZXh5PC9BdXRob3I+PFllYXI+MjAxMzwvWWVhcj48UmVjTnVtPjIwNzM8
L1JlY051bT48cmVjb3JkPjxyZWMtbnVtYmVyPjIwNzM8L3JlYy1udW1iZXI+PGZvcmVpZ24ta2V5
cz48a2V5IGFwcD0iRU4iIGRiLWlkPSJwZDJ6ZXdlOWNhYWZ0cmUydHM1cHpwd2g5cHZkd3Zyc3Nz
OTAiIHRpbWVzdGFtcD0iMTQyMTA1ODM5NSI+MjA3Mzwva2V5PjwvZm9yZWlnbi1rZXlzPjxyZWYt
dHlwZSBuYW1lPSJKb3VybmFsIEFydGljbGUiPjE3PC9yZWYtdHlwZT48Y29udHJpYnV0b3JzPjxh
dXRob3JzPjxhdXRob3I+QWxleHksIE8uPC9hdXRob3I+PGF1dGhvcj5HZW9yZ2UsIEcuPC9hdXRo
b3I+PGF1dGhvcj5TYWx0ZXIsIEEuSi48L2F1dGhvcj48L2F1dGhvcnM+PC9jb250cmlidXRvcnM+
PHRpdGxlcz48dGl0bGU+Q3VpIEJvbm8/IFRoZSBzZWxlY3RpdmUgcmV2ZWFsaW5nIG9mIGtub3ds
ZWRnZSBhbmQgaXRzIGltcGxpY2F0aW9ucyBmb3IgaW5ub3ZhdGl2ZSBhY3Rpdml0eTwvdGl0bGU+
PHNlY29uZGFyeS10aXRsZT5BY2FkZW15IG9mIE1hbmFnZW1lbnQgUmV2aWV3PC9zZWNvbmRhcnkt
dGl0bGU+PC90aXRsZXM+PHBlcmlvZGljYWw+PGZ1bGwtdGl0bGU+QWNhZGVteSBvZiBNYW5hZ2Vt
ZW50IFJldmlldzwvZnVsbC10aXRsZT48L3BlcmlvZGljYWw+PHBhZ2VzPjI3MC0yOTE8L3BhZ2Vz
Pjx2b2x1bWU+Mzg8L3ZvbHVtZT48bnVtYmVyPjI8L251bWJlcj48ZGF0ZXM+PHllYXI+MjAxMzwv
eWVhcj48L2RhdGVzPjx1cmxzPjwvdXJscz48L3JlY29yZD48L0NpdGU+PC9FbmROb3RlPn==
</w:fldData>
        </w:fldChar>
      </w:r>
      <w:r w:rsidR="00F34D8C">
        <w:instrText xml:space="preserve"> ADDIN EN.CITE </w:instrText>
      </w:r>
      <w:r w:rsidR="00F34D8C">
        <w:fldChar w:fldCharType="begin">
          <w:fldData xml:space="preserve">PEVuZE5vdGU+PENpdGU+PEF1dGhvcj5DaGVzYnJvdWdoPC9BdXRob3I+PFllYXI+MjAwMjwvWWVh
cj48UmVjTnVtPjIwNzg8L1JlY051bT48RGlzcGxheVRleHQ+KEFsZXh5LCBHZW9yZ2UsICZhbXA7
IFNhbHRlciwgMjAxMzsgQWxtaXJhbGwgJmFtcDsgQ2FzYWRlc3VzLU1hc2FuZWxsLCAyMDEwOyBD
aGVzYnJvdWdoICZhbXA7IFJvc2VuYmxvb20sIDIwMDIpPC9EaXNwbGF5VGV4dD48cmVjb3JkPjxy
ZWMtbnVtYmVyPjIwNzg8L3JlYy1udW1iZXI+PGZvcmVpZ24ta2V5cz48a2V5IGFwcD0iRU4iIGRi
LWlkPSJwZDJ6ZXdlOWNhYWZ0cmUydHM1cHpwd2g5cHZkd3Zyc3NzOTAiIHRpbWVzdGFtcD0iMTQy
MTA1OTUyOCI+MjA3ODwva2V5PjwvZm9yZWlnbi1rZXlzPjxyZWYtdHlwZSBuYW1lPSJKb3VybmFs
IEFydGljbGUiPjE3PC9yZWYtdHlwZT48Y29udHJpYnV0b3JzPjxhdXRob3JzPjxhdXRob3I+Q2hl
c2Jyb3VnaCwgSC48L2F1dGhvcj48YXV0aG9yPlJvc2VuYmxvb20sIFIuIFMuPC9hdXRob3I+PC9h
dXRob3JzPjwvY29udHJpYnV0b3JzPjx0aXRsZXM+PHRpdGxlPlRoZSByb2xlIG9mIGJ1c2luZXNz
IG1vZGVsIGluIGNhcHR1cmluZyB2YWx1ZSBmcm9tIGlubm92YXRpb246IEV2aWRlbmNlIGZyb21Y
ZXJveCBjb3Jwb3JhdGlvbiZhcG9zO3MgdGVjaG5vbG9neSBzcGluLW9mZiBjb21wYW5pZXM8L3Rp
dGxlPjxzZWNvbmRhcnktdGl0bGU+SW5kdXN0cmlhbCBhbmQgQ29ycG9yYXRlIENoYW5nZTwvc2Vj
b25kYXJ5LXRpdGxlPjwvdGl0bGVzPjxwZXJpb2RpY2FsPjxmdWxsLXRpdGxlPkluZHVzdHJpYWwg
YW5kIENvcnBvcmF0ZSBDaGFuZ2U8L2Z1bGwtdGl0bGU+PC9wZXJpb2RpY2FsPjxwYWdlcz41Mjkt
NTU1PC9wYWdlcz48dm9sdW1lPjExPC92b2x1bWU+PG51bWJlcj4zPC9udW1iZXI+PGRhdGVzPjx5
ZWFyPjIwMDI8L3llYXI+PC9kYXRlcz48dXJscz48L3VybHM+PC9yZWNvcmQ+PC9DaXRlPjxDaXRl
PjxBdXRob3I+QWxtaXJhbGw8L0F1dGhvcj48WWVhcj4yMDEwPC9ZZWFyPjxSZWNOdW0+MTQ4OTwv
UmVjTnVtPjxyZWNvcmQ+PHJlYy1udW1iZXI+MTQ4OTwvcmVjLW51bWJlcj48Zm9yZWlnbi1rZXlz
PjxrZXkgYXBwPSJFTiIgZGItaWQ9InBkMnpld2U5Y2FhZnRyZTJ0czVwenB3aDlwdmR3dnJzc3M5
MCIgdGltZXN0YW1wPSIxMjY0OTIxNTg4Ij4xNDg5PC9rZXk+PC9mb3JlaWduLWtleXM+PHJlZi10
eXBlIG5hbWU9IkpvdXJuYWwgQXJ0aWNsZSI+MTc8L3JlZi10eXBlPjxjb250cmlidXRvcnM+PGF1
dGhvcnM+PGF1dGhvcj5BbG1pcmFsbCwgRS48L2F1dGhvcj48YXV0aG9yPkNhc2FkZXN1cy1NYXNh
bmVsbCwgUi48L2F1dGhvcj48L2F1dGhvcnM+PC9jb250cmlidXRvcnM+PHRpdGxlcz48dGl0bGU+
T3BlbiB2ZXN1cyBjbG9zZWQgaW5ub3ZhdGlvbjogQSBtb2RlbCBvZiBkaXNjb3ZlcnkgYW5kIGRp
dmVyZ2VuY2U8L3RpdGxlPjxzZWNvbmRhcnktdGl0bGU+QWNhZGVteSBvZiBNYW5hZ2VtZW50IFJl
dmlldzwvc2Vjb25kYXJ5LXRpdGxlPjwvdGl0bGVzPjxwZXJpb2RpY2FsPjxmdWxsLXRpdGxlPkFj
YWRlbXkgb2YgTWFuYWdlbWVudCBSZXZpZXc8L2Z1bGwtdGl0bGU+PC9wZXJpb2RpY2FsPjxwYWdl
cz4yNy00NzwvcGFnZXM+PHZvbHVtZT4zNTwvdm9sdW1lPjxudW1iZXI+MTwvbnVtYmVyPjxkYXRl
cz48eWVhcj4yMDEwPC95ZWFyPjwvZGF0ZXM+PGlzYm4+MDM2My03NDI1PC9pc2JuPjxhY2Nlc3Np
b24tbnVtPldPUzowMDAyNzM0NjAzMDAwMDI8L2FjY2Vzc2lvbi1udW0+PHVybHM+PHJlbGF0ZWQt
dXJscz48dXJsPiZsdDtHbyB0byBJU0kmZ3Q7Oi8vV09TOjAwMDI3MzQ2MDMwMDAwMjwvdXJsPjwv
cmVsYXRlZC11cmxzPjwvdXJscz48cmVzZWFyY2gtbm90ZXM+U2ltdWxhdGlvbiBtb2RlbCBwcm9k
dWNlZC4gIEZvY3VzIG9uIHRyYWRlLW9mZiBiZXR3ZWVuIGRpdmVyZ2VuY2UgKHBhcnRuZXIgJnF1
b3Q7Z29hbHMgZ2VuZXJhbGx5IG5vdCBiZWluZyBwZXJmZWN0bHkgYWxpZ25lZCZxdW90OykgYW5k
IGRpc2NvdmVyeSAoJnF1b3Q7b3BlbmluZyB1cCB0aGUgc3lzdGVtLi4udG8gdXNlIGtub3dsZWRn
ZSBvZiBzdXBwbGllcnMgYW5kL29yIGNvbXBsZW1lbnRvcnMgdG8gZW5kIHVwIHdpdGggYSBiZXR0
ZXIgcHJvZHVjdCZxdW90OykuJiN4RDsmI3hEO1RoZXkgc2hvdyB0aGF0IG9wZW4gaW5ub3ZhdGlv
biBpcyBub3QgdW5pZm9ybWx5IGJldHRlci4mI3hEOyYjeEQ7JnF1b3Q7b3BlbiBpbm5vdmF0aW9u
IGlzIGdlbmVyYWxseSBzdXBlcmlvciB0byBjbG9zZWQgaW5ub3ZhdGlvbiB3aGVuIGNvbXBsZXhp
dHkgaXMgbm90IGhpZ2gmcXVvdDspPC9yZXNlYXJjaC1ub3Rlcz48L3JlY29yZD48L0NpdGU+PENp
dGU+PEF1dGhvcj5BbG1pcmFsbDwvQXV0aG9yPjxZZWFyPjIwMTA8L1llYXI+PFJlY051bT4xNDg5
PC9SZWNOdW0+PHJlY29yZD48cmVjLW51bWJlcj4xNDg5PC9yZWMtbnVtYmVyPjxmb3JlaWduLWtl
eXM+PGtleSBhcHA9IkVOIiBkYi1pZD0icGQyemV3ZTljYWFmdHJlMnRzNXB6cHdoOXB2ZHd2cnNz
czkwIiB0aW1lc3RhbXA9IjEyNjQ5MjE1ODgiPjE0ODk8L2tleT48L2ZvcmVpZ24ta2V5cz48cmVm
LXR5cGUgbmFtZT0iSm91cm5hbCBBcnRpY2xlIj4xNzwvcmVmLXR5cGU+PGNvbnRyaWJ1dG9ycz48
YXV0aG9ycz48YXV0aG9yPkFsbWlyYWxsLCBFLjwvYXV0aG9yPjxhdXRob3I+Q2FzYWRlc3VzLU1h
c2FuZWxsLCBSLjwvYXV0aG9yPjwvYXV0aG9ycz48L2NvbnRyaWJ1dG9ycz48dGl0bGVzPjx0aXRs
ZT5PcGVuIHZlc3VzIGNsb3NlZCBpbm5vdmF0aW9uOiBBIG1vZGVsIG9mIGRpc2NvdmVyeSBhbmQg
ZGl2ZXJnZW5jZTwvdGl0bGU+PHNlY29uZGFyeS10aXRsZT5BY2FkZW15IG9mIE1hbmFnZW1lbnQg
UmV2aWV3PC9zZWNvbmRhcnktdGl0bGU+PC90aXRsZXM+PHBlcmlvZGljYWw+PGZ1bGwtdGl0bGU+
QWNhZGVteSBvZiBNYW5hZ2VtZW50IFJldmlldzwvZnVsbC10aXRsZT48L3BlcmlvZGljYWw+PHBh
Z2VzPjI3LTQ3PC9wYWdlcz48dm9sdW1lPjM1PC92b2x1bWU+PG51bWJlcj4xPC9udW1iZXI+PGRh
dGVzPjx5ZWFyPjIwMTA8L3llYXI+PC9kYXRlcz48aXNibj4wMzYzLTc0MjU8L2lzYm4+PGFjY2Vz
c2lvbi1udW0+V09TOjAwMDI3MzQ2MDMwMDAwMjwvYWNjZXNzaW9uLW51bT48dXJscz48cmVsYXRl
ZC11cmxzPjx1cmw+Jmx0O0dvIHRvIElTSSZndDs6Ly9XT1M6MDAwMjczNDYwMzAwMDAyPC91cmw+
PC9yZWxhdGVkLXVybHM+PC91cmxzPjxyZXNlYXJjaC1ub3Rlcz5TaW11bGF0aW9uIG1vZGVsIHBy
b2R1Y2VkLiAgRm9jdXMgb24gdHJhZGUtb2ZmIGJldHdlZW4gZGl2ZXJnZW5jZSAocGFydG5lciAm
cXVvdDtnb2FscyBnZW5lcmFsbHkgbm90IGJlaW5nIHBlcmZlY3RseSBhbGlnbmVkJnF1b3Q7KSBh
bmQgZGlzY292ZXJ5ICgmcXVvdDtvcGVuaW5nIHVwIHRoZSBzeXN0ZW0uLi50byB1c2Uga25vd2xl
ZGdlIG9mIHN1cHBsaWVycyBhbmQvb3IgY29tcGxlbWVudG9ycyB0byBlbmQgdXAgd2l0aCBhIGJl
dHRlciBwcm9kdWN0JnF1b3Q7KS4mI3hEOyYjeEQ7VGhleSBzaG93IHRoYXQgb3BlbiBpbm5vdmF0
aW9uIGlzIG5vdCB1bmlmb3JtbHkgYmV0dGVyLiYjeEQ7JiN4RDsmcXVvdDtvcGVuIGlubm92YXRp
b24gaXMgZ2VuZXJhbGx5IHN1cGVyaW9yIHRvIGNsb3NlZCBpbm5vdmF0aW9uIHdoZW4gY29tcGxl
eGl0eSBpcyBub3QgaGlnaCZxdW90Oyk8L3Jlc2VhcmNoLW5vdGVzPjwvcmVjb3JkPjwvQ2l0ZT48
Q2l0ZT48QXV0aG9yPkFsZXh5PC9BdXRob3I+PFllYXI+MjAxMzwvWWVhcj48UmVjTnVtPjIwNzM8
L1JlY051bT48cmVjb3JkPjxyZWMtbnVtYmVyPjIwNzM8L3JlYy1udW1iZXI+PGZvcmVpZ24ta2V5
cz48a2V5IGFwcD0iRU4iIGRiLWlkPSJwZDJ6ZXdlOWNhYWZ0cmUydHM1cHpwd2g5cHZkd3Zyc3Nz
OTAiIHRpbWVzdGFtcD0iMTQyMTA1ODM5NSI+MjA3Mzwva2V5PjwvZm9yZWlnbi1rZXlzPjxyZWYt
dHlwZSBuYW1lPSJKb3VybmFsIEFydGljbGUiPjE3PC9yZWYtdHlwZT48Y29udHJpYnV0b3JzPjxh
dXRob3JzPjxhdXRob3I+QWxleHksIE8uPC9hdXRob3I+PGF1dGhvcj5HZW9yZ2UsIEcuPC9hdXRo
b3I+PGF1dGhvcj5TYWx0ZXIsIEEuSi48L2F1dGhvcj48L2F1dGhvcnM+PC9jb250cmlidXRvcnM+
PHRpdGxlcz48dGl0bGU+Q3VpIEJvbm8/IFRoZSBzZWxlY3RpdmUgcmV2ZWFsaW5nIG9mIGtub3ds
ZWRnZSBhbmQgaXRzIGltcGxpY2F0aW9ucyBmb3IgaW5ub3ZhdGl2ZSBhY3Rpdml0eTwvdGl0bGU+
PHNlY29uZGFyeS10aXRsZT5BY2FkZW15IG9mIE1hbmFnZW1lbnQgUmV2aWV3PC9zZWNvbmRhcnkt
dGl0bGU+PC90aXRsZXM+PHBlcmlvZGljYWw+PGZ1bGwtdGl0bGU+QWNhZGVteSBvZiBNYW5hZ2Vt
ZW50IFJldmlldzwvZnVsbC10aXRsZT48L3BlcmlvZGljYWw+PHBhZ2VzPjI3MC0yOTE8L3BhZ2Vz
Pjx2b2x1bWU+Mzg8L3ZvbHVtZT48bnVtYmVyPjI8L251bWJlcj48ZGF0ZXM+PHllYXI+MjAxMzwv
eWVhcj48L2RhdGVzPjx1cmxzPjwvdXJscz48L3JlY29yZD48L0NpdGU+PC9FbmROb3RlPn==
</w:fldData>
        </w:fldChar>
      </w:r>
      <w:r w:rsidR="00F34D8C">
        <w:instrText xml:space="preserve"> ADDIN EN.CITE.DATA </w:instrText>
      </w:r>
      <w:r w:rsidR="00F34D8C">
        <w:fldChar w:fldCharType="end"/>
      </w:r>
      <w:r w:rsidR="002A79F9">
        <w:fldChar w:fldCharType="separate"/>
      </w:r>
      <w:r w:rsidR="00F34D8C">
        <w:rPr>
          <w:noProof/>
        </w:rPr>
        <w:t>(Alexy, George, &amp; Salter, 2013; Almirall &amp; Casadesus-Masanell, 2010; Chesbrough &amp; Rosenbloom, 2002)</w:t>
      </w:r>
      <w:r w:rsidR="002A79F9">
        <w:fldChar w:fldCharType="end"/>
      </w:r>
      <w:r w:rsidR="002A6537">
        <w:t xml:space="preserve">. This </w:t>
      </w:r>
      <w:r w:rsidR="00544DDA">
        <w:t xml:space="preserve">very notion of </w:t>
      </w:r>
      <w:r w:rsidR="002A6537">
        <w:t>openness</w:t>
      </w:r>
      <w:r w:rsidR="00544DDA">
        <w:t xml:space="preserve"> </w:t>
      </w:r>
      <w:r w:rsidR="00063A72">
        <w:t xml:space="preserve">in the context of innovation </w:t>
      </w:r>
      <w:r w:rsidR="00544DDA">
        <w:t>is</w:t>
      </w:r>
      <w:r w:rsidR="002A6537">
        <w:t>, however</w:t>
      </w:r>
      <w:r w:rsidR="00544DDA">
        <w:t xml:space="preserve">, mostly </w:t>
      </w:r>
      <w:r w:rsidR="00B3679E">
        <w:t>t</w:t>
      </w:r>
      <w:r w:rsidR="00063A72">
        <w:t>reated as a strategizing</w:t>
      </w:r>
      <w:r w:rsidR="00544DDA">
        <w:t xml:space="preserve"> problem of </w:t>
      </w:r>
      <w:r w:rsidR="004433B7">
        <w:t xml:space="preserve">searching for </w:t>
      </w:r>
      <w:r w:rsidR="002A79F9">
        <w:t xml:space="preserve">an appropriate business model </w:t>
      </w:r>
      <w:r w:rsidR="002A79F9">
        <w:fldChar w:fldCharType="begin">
          <w:fldData xml:space="preserve">PEVuZE5vdGU+PENpdGU+PEF1dGhvcj5DaGVzYnJvdWdoPC9BdXRob3I+PFllYXI+MjAxMDwvWWVh
cj48UmVjTnVtPjIwNzk8L1JlY051bT48RGlzcGxheVRleHQ+KEJsb29kZ29vZCwgMjAxMzsgQ2hl
c2Jyb3VnaCwgMjAxMDsgRmVsaW4gJmFtcDsgWmVuZ2VyLCAyMDE0KTwvRGlzcGxheVRleHQ+PHJl
Y29yZD48cmVjLW51bWJlcj4yMDc5PC9yZWMtbnVtYmVyPjxmb3JlaWduLWtleXM+PGtleSBhcHA9
IkVOIiBkYi1pZD0icGQyemV3ZTljYWFmdHJlMnRzNXB6cHdoOXB2ZHd2cnNzczkwIiB0aW1lc3Rh
bXA9IjE0MjEwNTk2MTIiPjIwNzk8L2tleT48L2ZvcmVpZ24ta2V5cz48cmVmLXR5cGUgbmFtZT0i
Sm91cm5hbCBBcnRpY2xlIj4xNzwvcmVmLXR5cGU+PGNvbnRyaWJ1dG9ycz48YXV0aG9ycz48YXV0
aG9yPkNoZXNicm91Z2gsIEguPC9hdXRob3I+PC9hdXRob3JzPjwvY29udHJpYnV0b3JzPjx0aXRs
ZXM+PHRpdGxlPkJ1c2luZXNzIG1vZGVsIGlubm92YXRpb246IE9wcG9ydHVuaXRpZXMgYW5kIGJh
cnJpZXJzPC90aXRsZT48c2Vjb25kYXJ5LXRpdGxlPkxvbmcgUmFuZ2UgUGxhbm5pbmc8L3NlY29u
ZGFyeS10aXRsZT48L3RpdGxlcz48cGVyaW9kaWNhbD48ZnVsbC10aXRsZT5Mb25nIFJhbmdlIFBs
YW5uaW5nPC9mdWxsLXRpdGxlPjwvcGVyaW9kaWNhbD48cGFnZXM+MzU0LTM2MzwvcGFnZXM+PHZv
bHVtZT40Mzwvdm9sdW1lPjxudW1iZXI+Mi0zPC9udW1iZXI+PGRhdGVzPjx5ZWFyPjIwMTA8L3ll
YXI+PC9kYXRlcz48dXJscz48L3VybHM+PC9yZWNvcmQ+PC9DaXRlPjxDaXRlPjxBdXRob3I+Qmxv
b2Rnb29kPC9BdXRob3I+PFllYXI+MjAxMzwvWWVhcj48UmVjTnVtPjIwNzY8L1JlY051bT48cmVj
b3JkPjxyZWMtbnVtYmVyPjIwNzY8L3JlYy1udW1iZXI+PGZvcmVpZ24ta2V5cz48a2V5IGFwcD0i
RU4iIGRiLWlkPSJwZDJ6ZXdlOWNhYWZ0cmUydHM1cHpwd2g5cHZkd3Zyc3NzOTAiIHRpbWVzdGFt
cD0iMTQyMTA1OTI1NiI+MjA3Njwva2V5PjwvZm9yZWlnbi1rZXlzPjxyZWYtdHlwZSBuYW1lPSJK
b3VybmFsIEFydGljbGUiPjE3PC9yZWYtdHlwZT48Y29udHJpYnV0b3JzPjxhdXRob3JzPjxhdXRo
b3I+Qmxvb2Rnb29kLCBKLjwvYXV0aG9yPjwvYXV0aG9ycz48L2NvbnRyaWJ1dG9ycz48dGl0bGVz
Pjx0aXRsZT5Dcm93ZHNvdXJjaW5nOiBVc2VmdWwgZm9yIHByb2JsZW0gc29sdmluZywgYnV0IHdo
YXQgYWJvdXQgdmFsdWUgY2FwdHVyZT88L3RpdGxlPjxzZWNvbmRhcnktdGl0bGU+QWNhZGVteSBv
ZiBNYW5hZ2VtZW50IFJldmlldzwvc2Vjb25kYXJ5LXRpdGxlPjwvdGl0bGVzPjxwZXJpb2RpY2Fs
PjxmdWxsLXRpdGxlPkFjYWRlbXkgb2YgTWFuYWdlbWVudCBSZXZpZXc8L2Z1bGwtdGl0bGU+PC9w
ZXJpb2RpY2FsPjxwYWdlcz40NTUtNDU3PC9wYWdlcz48dm9sdW1lPjM4PC92b2x1bWU+PG51bWJl
cj4zPC9udW1iZXI+PGRhdGVzPjx5ZWFyPjIwMTM8L3llYXI+PC9kYXRlcz48dXJscz48L3VybHM+
PC9yZWNvcmQ+PC9DaXRlPjxDaXRlPjxBdXRob3I+RmVsaW48L0F1dGhvcj48WWVhcj4yMDE0PC9Z
ZWFyPjxSZWNOdW0+MjA4MTwvUmVjTnVtPjxyZWNvcmQ+PHJlYy1udW1iZXI+MjA4MTwvcmVjLW51
bWJlcj48Zm9yZWlnbi1rZXlzPjxrZXkgYXBwPSJFTiIgZGItaWQ9InBkMnpld2U5Y2FhZnRyZTJ0
czVwenB3aDlwdmR3dnJzc3M5MCIgdGltZXN0YW1wPSIxNDIxMDU5ODU0Ij4yMDgxPC9rZXk+PC9m
b3JlaWduLWtleXM+PHJlZi10eXBlIG5hbWU9IkpvdXJuYWwgQXJ0aWNsZSI+MTc8L3JlZi10eXBl
Pjxjb250cmlidXRvcnM+PGF1dGhvcnM+PGF1dGhvcj5GZWxpbiwgVC48L2F1dGhvcj48YXV0aG9y
PlplbmdlciwgVC5SLjwvYXV0aG9yPjwvYXV0aG9ycz48L2NvbnRyaWJ1dG9ycz48dGl0bGVzPjx0
aXRsZT5DbG9zZWQgb3Igb3BlbiBpbm5vdmF0aW9uPyBQcm9ibGVtIHNvbHZpbmcgYW5kIGdvdmVy
bmFuY2UgY2hvaWNlPC90aXRsZT48c2Vjb25kYXJ5LXRpdGxlPlJlc2VhcmNoIFBvbGljeTwvc2Vj
b25kYXJ5LXRpdGxlPjwvdGl0bGVzPjxwZXJpb2RpY2FsPjxmdWxsLXRpdGxlPlJlc2VhcmNoIFBv
bGljeTwvZnVsbC10aXRsZT48L3BlcmlvZGljYWw+PHBhZ2VzPjkxNC05MjU8L3BhZ2VzPjx2b2x1
bWU+NDM8L3ZvbHVtZT48bnVtYmVyPjU8L251bWJlcj48ZGF0ZXM+PHllYXI+MjAxNDwveWVhcj48
L2RhdGVzPjx1cmxzPjwvdXJscz48L3JlY29yZD48L0NpdGU+PC9FbmROb3RlPn==
</w:fldData>
        </w:fldChar>
      </w:r>
      <w:r w:rsidR="00F34D8C">
        <w:instrText xml:space="preserve"> ADDIN EN.CITE </w:instrText>
      </w:r>
      <w:r w:rsidR="00F34D8C">
        <w:fldChar w:fldCharType="begin">
          <w:fldData xml:space="preserve">PEVuZE5vdGU+PENpdGU+PEF1dGhvcj5DaGVzYnJvdWdoPC9BdXRob3I+PFllYXI+MjAxMDwvWWVh
cj48UmVjTnVtPjIwNzk8L1JlY051bT48RGlzcGxheVRleHQ+KEJsb29kZ29vZCwgMjAxMzsgQ2hl
c2Jyb3VnaCwgMjAxMDsgRmVsaW4gJmFtcDsgWmVuZ2VyLCAyMDE0KTwvRGlzcGxheVRleHQ+PHJl
Y29yZD48cmVjLW51bWJlcj4yMDc5PC9yZWMtbnVtYmVyPjxmb3JlaWduLWtleXM+PGtleSBhcHA9
IkVOIiBkYi1pZD0icGQyemV3ZTljYWFmdHJlMnRzNXB6cHdoOXB2ZHd2cnNzczkwIiB0aW1lc3Rh
bXA9IjE0MjEwNTk2MTIiPjIwNzk8L2tleT48L2ZvcmVpZ24ta2V5cz48cmVmLXR5cGUgbmFtZT0i
Sm91cm5hbCBBcnRpY2xlIj4xNzwvcmVmLXR5cGU+PGNvbnRyaWJ1dG9ycz48YXV0aG9ycz48YXV0
aG9yPkNoZXNicm91Z2gsIEguPC9hdXRob3I+PC9hdXRob3JzPjwvY29udHJpYnV0b3JzPjx0aXRs
ZXM+PHRpdGxlPkJ1c2luZXNzIG1vZGVsIGlubm92YXRpb246IE9wcG9ydHVuaXRpZXMgYW5kIGJh
cnJpZXJzPC90aXRsZT48c2Vjb25kYXJ5LXRpdGxlPkxvbmcgUmFuZ2UgUGxhbm5pbmc8L3NlY29u
ZGFyeS10aXRsZT48L3RpdGxlcz48cGVyaW9kaWNhbD48ZnVsbC10aXRsZT5Mb25nIFJhbmdlIFBs
YW5uaW5nPC9mdWxsLXRpdGxlPjwvcGVyaW9kaWNhbD48cGFnZXM+MzU0LTM2MzwvcGFnZXM+PHZv
bHVtZT40Mzwvdm9sdW1lPjxudW1iZXI+Mi0zPC9udW1iZXI+PGRhdGVzPjx5ZWFyPjIwMTA8L3ll
YXI+PC9kYXRlcz48dXJscz48L3VybHM+PC9yZWNvcmQ+PC9DaXRlPjxDaXRlPjxBdXRob3I+Qmxv
b2Rnb29kPC9BdXRob3I+PFllYXI+MjAxMzwvWWVhcj48UmVjTnVtPjIwNzY8L1JlY051bT48cmVj
b3JkPjxyZWMtbnVtYmVyPjIwNzY8L3JlYy1udW1iZXI+PGZvcmVpZ24ta2V5cz48a2V5IGFwcD0i
RU4iIGRiLWlkPSJwZDJ6ZXdlOWNhYWZ0cmUydHM1cHpwd2g5cHZkd3Zyc3NzOTAiIHRpbWVzdGFt
cD0iMTQyMTA1OTI1NiI+MjA3Njwva2V5PjwvZm9yZWlnbi1rZXlzPjxyZWYtdHlwZSBuYW1lPSJK
b3VybmFsIEFydGljbGUiPjE3PC9yZWYtdHlwZT48Y29udHJpYnV0b3JzPjxhdXRob3JzPjxhdXRo
b3I+Qmxvb2Rnb29kLCBKLjwvYXV0aG9yPjwvYXV0aG9ycz48L2NvbnRyaWJ1dG9ycz48dGl0bGVz
Pjx0aXRsZT5Dcm93ZHNvdXJjaW5nOiBVc2VmdWwgZm9yIHByb2JsZW0gc29sdmluZywgYnV0IHdo
YXQgYWJvdXQgdmFsdWUgY2FwdHVyZT88L3RpdGxlPjxzZWNvbmRhcnktdGl0bGU+QWNhZGVteSBv
ZiBNYW5hZ2VtZW50IFJldmlldzwvc2Vjb25kYXJ5LXRpdGxlPjwvdGl0bGVzPjxwZXJpb2RpY2Fs
PjxmdWxsLXRpdGxlPkFjYWRlbXkgb2YgTWFuYWdlbWVudCBSZXZpZXc8L2Z1bGwtdGl0bGU+PC9w
ZXJpb2RpY2FsPjxwYWdlcz40NTUtNDU3PC9wYWdlcz48dm9sdW1lPjM4PC92b2x1bWU+PG51bWJl
cj4zPC9udW1iZXI+PGRhdGVzPjx5ZWFyPjIwMTM8L3llYXI+PC9kYXRlcz48dXJscz48L3VybHM+
PC9yZWNvcmQ+PC9DaXRlPjxDaXRlPjxBdXRob3I+RmVsaW48L0F1dGhvcj48WWVhcj4yMDE0PC9Z
ZWFyPjxSZWNOdW0+MjA4MTwvUmVjTnVtPjxyZWNvcmQ+PHJlYy1udW1iZXI+MjA4MTwvcmVjLW51
bWJlcj48Zm9yZWlnbi1rZXlzPjxrZXkgYXBwPSJFTiIgZGItaWQ9InBkMnpld2U5Y2FhZnRyZTJ0
czVwenB3aDlwdmR3dnJzc3M5MCIgdGltZXN0YW1wPSIxNDIxMDU5ODU0Ij4yMDgxPC9rZXk+PC9m
b3JlaWduLWtleXM+PHJlZi10eXBlIG5hbWU9IkpvdXJuYWwgQXJ0aWNsZSI+MTc8L3JlZi10eXBl
Pjxjb250cmlidXRvcnM+PGF1dGhvcnM+PGF1dGhvcj5GZWxpbiwgVC48L2F1dGhvcj48YXV0aG9y
PlplbmdlciwgVC5SLjwvYXV0aG9yPjwvYXV0aG9ycz48L2NvbnRyaWJ1dG9ycz48dGl0bGVzPjx0
aXRsZT5DbG9zZWQgb3Igb3BlbiBpbm5vdmF0aW9uPyBQcm9ibGVtIHNvbHZpbmcgYW5kIGdvdmVy
bmFuY2UgY2hvaWNlPC90aXRsZT48c2Vjb25kYXJ5LXRpdGxlPlJlc2VhcmNoIFBvbGljeTwvc2Vj
b25kYXJ5LXRpdGxlPjwvdGl0bGVzPjxwZXJpb2RpY2FsPjxmdWxsLXRpdGxlPlJlc2VhcmNoIFBv
bGljeTwvZnVsbC10aXRsZT48L3BlcmlvZGljYWw+PHBhZ2VzPjkxNC05MjU8L3BhZ2VzPjx2b2x1
bWU+NDM8L3ZvbHVtZT48bnVtYmVyPjU8L251bWJlcj48ZGF0ZXM+PHllYXI+MjAxNDwveWVhcj48
L2RhdGVzPjx1cmxzPjwvdXJscz48L3JlY29yZD48L0NpdGU+PC9FbmROb3RlPn==
</w:fldData>
        </w:fldChar>
      </w:r>
      <w:r w:rsidR="00F34D8C">
        <w:instrText xml:space="preserve"> ADDIN EN.CITE.DATA </w:instrText>
      </w:r>
      <w:r w:rsidR="00F34D8C">
        <w:fldChar w:fldCharType="end"/>
      </w:r>
      <w:r w:rsidR="002A79F9">
        <w:fldChar w:fldCharType="separate"/>
      </w:r>
      <w:r w:rsidR="00F34D8C">
        <w:rPr>
          <w:noProof/>
        </w:rPr>
        <w:t>(Bloodgood, 2013; Chesbrough, 2010; Felin &amp; Zenger, 2014)</w:t>
      </w:r>
      <w:r w:rsidR="002A79F9">
        <w:fldChar w:fldCharType="end"/>
      </w:r>
      <w:r w:rsidR="00B3679E">
        <w:t>,</w:t>
      </w:r>
      <w:r w:rsidR="00544DDA">
        <w:t xml:space="preserve"> or </w:t>
      </w:r>
      <w:r w:rsidR="00B3679E">
        <w:t>an economic</w:t>
      </w:r>
      <w:r w:rsidR="00063A72">
        <w:t xml:space="preserve"> problem of efficient use of intellectual property</w:t>
      </w:r>
      <w:r w:rsidR="002A79F9">
        <w:t xml:space="preserve"> </w:t>
      </w:r>
      <w:r w:rsidR="002A79F9">
        <w:fldChar w:fldCharType="begin"/>
      </w:r>
      <w:r w:rsidR="00F34D8C">
        <w:instrText xml:space="preserve"> ADDIN EN.CITE &lt;EndNote&gt;&lt;Cite&gt;&lt;Author&gt;Lerner&lt;/Author&gt;&lt;Year&gt;2002&lt;/Year&gt;&lt;RecNum&gt;2085&lt;/RecNum&gt;&lt;DisplayText&gt;(Lerner &amp;amp; Tirole, 2002)&lt;/DisplayText&gt;&lt;record&gt;&lt;rec-number&gt;2085&lt;/rec-number&gt;&lt;foreign-keys&gt;&lt;key app="EN" db-id="pd2zewe9caaftre2ts5pzpwh9pvdwvrsss90" timestamp="1421060525"&gt;2085&lt;/key&gt;&lt;/foreign-keys&gt;&lt;ref-type name="Journal Article"&gt;17&lt;/ref-type&gt;&lt;contributors&gt;&lt;authors&gt;&lt;author&gt;Lerner, J.&lt;/author&gt;&lt;author&gt;Tirole, J.&lt;/author&gt;&lt;/authors&gt;&lt;/contributors&gt;&lt;titles&gt;&lt;title&gt;Some simple economics of open source&lt;/title&gt;&lt;secondary-title&gt;Journal of Industrial Economics&lt;/secondary-title&gt;&lt;/titles&gt;&lt;periodical&gt;&lt;full-title&gt;Journal of Industrial Economics&lt;/full-title&gt;&lt;/periodical&gt;&lt;pages&gt;197-234&lt;/pages&gt;&lt;volume&gt;50&lt;/volume&gt;&lt;number&gt;2&lt;/number&gt;&lt;dates&gt;&lt;year&gt;2002&lt;/year&gt;&lt;/dates&gt;&lt;urls&gt;&lt;/urls&gt;&lt;/record&gt;&lt;/Cite&gt;&lt;/EndNote&gt;</w:instrText>
      </w:r>
      <w:r w:rsidR="002A79F9">
        <w:fldChar w:fldCharType="separate"/>
      </w:r>
      <w:r w:rsidR="00F34D8C">
        <w:rPr>
          <w:noProof/>
        </w:rPr>
        <w:t>(Lerner &amp; Tirole, 2002)</w:t>
      </w:r>
      <w:r w:rsidR="002A79F9">
        <w:fldChar w:fldCharType="end"/>
      </w:r>
      <w:r w:rsidR="00063A72">
        <w:t xml:space="preserve">. Scholars interested in openness show much less enthusiasm in exploring the fundamental </w:t>
      </w:r>
      <w:r w:rsidR="00F87DE9" w:rsidRPr="00F87DE9">
        <w:rPr>
          <w:i/>
        </w:rPr>
        <w:t>organising</w:t>
      </w:r>
      <w:r w:rsidR="00F87DE9">
        <w:t xml:space="preserve"> principles that enable </w:t>
      </w:r>
      <w:r w:rsidR="006A58FA">
        <w:t>the production of</w:t>
      </w:r>
      <w:r w:rsidR="00F87DE9">
        <w:t xml:space="preserve"> a collective outcome </w:t>
      </w:r>
      <w:r w:rsidR="00471023">
        <w:t>in a way that allows wide access to</w:t>
      </w:r>
      <w:r w:rsidR="006A58FA">
        <w:t>,</w:t>
      </w:r>
      <w:r w:rsidR="00471023">
        <w:t xml:space="preserve"> or reveal</w:t>
      </w:r>
      <w:r w:rsidR="00AC4868">
        <w:t>s</w:t>
      </w:r>
      <w:r w:rsidR="00395023">
        <w:t xml:space="preserve"> </w:t>
      </w:r>
      <w:r w:rsidR="006A58FA">
        <w:t xml:space="preserve">the </w:t>
      </w:r>
      <w:r w:rsidR="00395023">
        <w:t>content of</w:t>
      </w:r>
      <w:r w:rsidR="006A58FA">
        <w:t>,</w:t>
      </w:r>
      <w:r w:rsidR="00471023">
        <w:t xml:space="preserve"> scarce knowledge resources. </w:t>
      </w:r>
      <w:r w:rsidR="004433B7">
        <w:t xml:space="preserve">If openness is indeed a major characteristic of </w:t>
      </w:r>
      <w:r w:rsidR="00395023">
        <w:t xml:space="preserve">an </w:t>
      </w:r>
      <w:r w:rsidR="004433B7">
        <w:t xml:space="preserve">innovative organisation then it requires novel ways of resolving </w:t>
      </w:r>
      <w:r w:rsidR="004433B7">
        <w:rPr>
          <w:i/>
        </w:rPr>
        <w:t xml:space="preserve">cooperation </w:t>
      </w:r>
      <w:r w:rsidR="00395023">
        <w:t xml:space="preserve">(decision to participate and contribute) and </w:t>
      </w:r>
      <w:r w:rsidR="00395023">
        <w:rPr>
          <w:i/>
        </w:rPr>
        <w:t xml:space="preserve">coordination </w:t>
      </w:r>
      <w:r w:rsidR="00395023">
        <w:t>(integration of interdependent activities</w:t>
      </w:r>
      <w:r w:rsidR="00524DC9">
        <w:t xml:space="preserve">) </w:t>
      </w:r>
      <w:r w:rsidR="00B50CDD">
        <w:t xml:space="preserve">problems </w:t>
      </w:r>
      <w:r w:rsidR="00D828D5">
        <w:fldChar w:fldCharType="begin"/>
      </w:r>
      <w:r w:rsidR="00F34D8C">
        <w:instrText xml:space="preserve"> ADDIN EN.CITE &lt;EndNote&gt;&lt;Cite&gt;&lt;Author&gt;Puranam&lt;/Author&gt;&lt;Year&gt;2014&lt;/Year&gt;&lt;RecNum&gt;2089&lt;/RecNum&gt;&lt;DisplayText&gt;(Puranam, Alexy, &amp;amp; Reitzig, 2014)&lt;/DisplayText&gt;&lt;record&gt;&lt;rec-number&gt;2089&lt;/rec-number&gt;&lt;foreign-keys&gt;&lt;key app="EN" db-id="pd2zewe9caaftre2ts5pzpwh9pvdwvrsss90" timestamp="1421061315"&gt;2089&lt;/key&gt;&lt;/foreign-keys&gt;&lt;ref-type name="Journal Article"&gt;17&lt;/ref-type&gt;&lt;contributors&gt;&lt;authors&gt;&lt;author&gt;Puranam, P.&lt;/author&gt;&lt;author&gt;Alexy, O.&lt;/author&gt;&lt;author&gt;Reitzig,M.&lt;/author&gt;&lt;/authors&gt;&lt;/contributors&gt;&lt;titles&gt;&lt;title&gt;What&amp;apos;s &amp;quot;new&amp;quot; about new forms of organising?&lt;/title&gt;&lt;secondary-title&gt;Academy of Management Review&lt;/secondary-title&gt;&lt;/titles&gt;&lt;periodical&gt;&lt;full-title&gt;Academy of Management Review&lt;/full-title&gt;&lt;/periodical&gt;&lt;pages&gt;162-180&lt;/pages&gt;&lt;volume&gt;39&lt;/volume&gt;&lt;number&gt;2&lt;/number&gt;&lt;dates&gt;&lt;year&gt;2014&lt;/year&gt;&lt;/dates&gt;&lt;urls&gt;&lt;/urls&gt;&lt;/record&gt;&lt;/Cite&gt;&lt;/EndNote&gt;</w:instrText>
      </w:r>
      <w:r w:rsidR="00D828D5">
        <w:fldChar w:fldCharType="separate"/>
      </w:r>
      <w:r w:rsidR="00F34D8C">
        <w:rPr>
          <w:noProof/>
        </w:rPr>
        <w:t>(Puranam, Alexy, &amp; Reitzig, 2014)</w:t>
      </w:r>
      <w:r w:rsidR="00D828D5">
        <w:fldChar w:fldCharType="end"/>
      </w:r>
      <w:r w:rsidR="00524DC9">
        <w:t xml:space="preserve"> </w:t>
      </w:r>
      <w:r w:rsidR="00EB7FD6">
        <w:t>for achieving collective and innovative outcome</w:t>
      </w:r>
      <w:r w:rsidR="006A58FA">
        <w:t>s</w:t>
      </w:r>
      <w:r w:rsidR="00EC1D77">
        <w:t xml:space="preserve">. </w:t>
      </w:r>
    </w:p>
    <w:p w14:paraId="7FA4E761" w14:textId="77777777" w:rsidR="00B83CA8" w:rsidRDefault="00B83CA8" w:rsidP="000558BF"/>
    <w:p w14:paraId="25290EC0" w14:textId="373A14C8" w:rsidR="005B52BD" w:rsidRDefault="00EC1D77" w:rsidP="000558BF">
      <w:r>
        <w:t xml:space="preserve">Different streams of open innovation literature </w:t>
      </w:r>
      <w:r w:rsidR="00435D45">
        <w:t>have only</w:t>
      </w:r>
      <w:r w:rsidR="00382436">
        <w:t xml:space="preserve"> indirectly</w:t>
      </w:r>
      <w:r w:rsidR="00435D45">
        <w:t xml:space="preserve"> acknowledged the importance</w:t>
      </w:r>
      <w:r w:rsidR="00D21789">
        <w:t xml:space="preserve"> </w:t>
      </w:r>
      <w:r w:rsidR="00435D45">
        <w:t>of cooperation and coordination, but</w:t>
      </w:r>
      <w:r w:rsidR="00AC4868">
        <w:t xml:space="preserve"> they do</w:t>
      </w:r>
      <w:r w:rsidR="00D21789">
        <w:t xml:space="preserve"> </w:t>
      </w:r>
      <w:r w:rsidR="00AC4868">
        <w:t>identify</w:t>
      </w:r>
      <w:r w:rsidR="00435D45">
        <w:t xml:space="preserve"> some useful </w:t>
      </w:r>
      <w:r w:rsidR="00E45B7C">
        <w:t xml:space="preserve">properties that define open organisations. The notion of open innovation has been introduced with an </w:t>
      </w:r>
      <w:r w:rsidR="006B1EE8">
        <w:t xml:space="preserve">argument that both knowledge generated outside </w:t>
      </w:r>
      <w:r w:rsidR="00397315">
        <w:t xml:space="preserve">organisational </w:t>
      </w:r>
      <w:r w:rsidR="00397315">
        <w:lastRenderedPageBreak/>
        <w:t xml:space="preserve">borders as well as internally produced knowledge are of equal importance </w:t>
      </w:r>
      <w:r w:rsidR="00D828D5">
        <w:fldChar w:fldCharType="begin"/>
      </w:r>
      <w:r w:rsidR="00D828D5">
        <w:instrText xml:space="preserve"> ADDIN EN.CITE &lt;EndNote&gt;&lt;Cite&gt;&lt;Author&gt;Chesbrough&lt;/Author&gt;&lt;Year&gt;2003&lt;/Year&gt;&lt;RecNum&gt;17&lt;/RecNum&gt;&lt;DisplayText&gt;(Chesbrough, 2003)&lt;/DisplayText&gt;&lt;record&gt;&lt;rec-number&gt;17&lt;/rec-number&gt;&lt;foreign-keys&gt;&lt;key app="EN" db-id="pd2zewe9caaftre2ts5pzpwh9pvdwvrsss90" timestamp="0"&gt;17&lt;/key&gt;&lt;/foreign-keys&gt;&lt;ref-type name="Book"&gt;6&lt;/ref-type&gt;&lt;contributors&gt;&lt;authors&gt;&lt;author&gt;Chesbrough, H.&lt;/author&gt;&lt;/authors&gt;&lt;/contributors&gt;&lt;titles&gt;&lt;title&gt;Open Innovation: The New Imperative for Creating and Profiting from Technology&lt;/title&gt;&lt;/titles&gt;&lt;dates&gt;&lt;year&gt;2003&lt;/year&gt;&lt;/dates&gt;&lt;pub-location&gt;Boston&lt;/pub-location&gt;&lt;publisher&gt;Harvard Business School Press&lt;/publisher&gt;&lt;urls&gt;&lt;/urls&gt;&lt;/record&gt;&lt;/Cite&gt;&lt;/EndNote&gt;</w:instrText>
      </w:r>
      <w:r w:rsidR="00D828D5">
        <w:fldChar w:fldCharType="separate"/>
      </w:r>
      <w:r w:rsidR="00D828D5">
        <w:rPr>
          <w:noProof/>
        </w:rPr>
        <w:t>(Chesbrough, 2003)</w:t>
      </w:r>
      <w:r w:rsidR="00D828D5">
        <w:fldChar w:fldCharType="end"/>
      </w:r>
      <w:r w:rsidR="00D828D5">
        <w:t>.</w:t>
      </w:r>
      <w:r w:rsidR="00397315">
        <w:t xml:space="preserve"> Since markets for knowledge (IP) </w:t>
      </w:r>
      <w:r w:rsidR="00AD3540">
        <w:t>exist</w:t>
      </w:r>
      <w:r w:rsidR="00AC4868">
        <w:t>,</w:t>
      </w:r>
      <w:r w:rsidR="0038766F">
        <w:t xml:space="preserve"> cooperation is not a central issue as decision</w:t>
      </w:r>
      <w:r w:rsidR="005856D8">
        <w:t>s</w:t>
      </w:r>
      <w:r w:rsidR="0038766F">
        <w:t xml:space="preserve"> to participate in such an economic exchange</w:t>
      </w:r>
      <w:r w:rsidR="005856D8">
        <w:t xml:space="preserve"> are</w:t>
      </w:r>
      <w:r w:rsidR="00AD3540">
        <w:t xml:space="preserve"> largely driven by unambiguous economic</w:t>
      </w:r>
      <w:r w:rsidR="006E7E41">
        <w:t>/market</w:t>
      </w:r>
      <w:r w:rsidR="009F272D">
        <w:t xml:space="preserve"> rules.  The c</w:t>
      </w:r>
      <w:r w:rsidR="00AD3540">
        <w:t xml:space="preserve">oordination problem is reduced </w:t>
      </w:r>
      <w:r w:rsidR="006E7E41">
        <w:t>to</w:t>
      </w:r>
      <w:r w:rsidR="00AD3540">
        <w:t xml:space="preserve"> search</w:t>
      </w:r>
      <w:r w:rsidR="00D828D5">
        <w:t xml:space="preserve"> </w:t>
      </w:r>
      <w:r w:rsidR="00D828D5">
        <w:fldChar w:fldCharType="begin"/>
      </w:r>
      <w:r w:rsidR="00F34D8C">
        <w:instrText xml:space="preserve"> ADDIN EN.CITE &lt;EndNote&gt;&lt;Cite&gt;&lt;Author&gt;Laursen&lt;/Author&gt;&lt;Year&gt;2006&lt;/Year&gt;&lt;RecNum&gt;107&lt;/RecNum&gt;&lt;DisplayText&gt;(Laursen &amp;amp; Salter, 2006)&lt;/DisplayText&gt;&lt;record&gt;&lt;rec-number&gt;107&lt;/rec-number&gt;&lt;foreign-keys&gt;&lt;key app="EN" db-id="pd2zewe9caaftre2ts5pzpwh9pvdwvrsss90" timestamp="0"&gt;107&lt;/key&gt;&lt;/foreign-keys&gt;&lt;ref-type name="Journal Article"&gt;17&lt;/ref-type&gt;&lt;contributors&gt;&lt;authors&gt;&lt;author&gt;Laursen, K.&lt;/author&gt;&lt;author&gt;Salter, A.&lt;/author&gt;&lt;/authors&gt;&lt;/contributors&gt;&lt;titles&gt;&lt;title&gt;Open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dates&gt;&lt;year&gt;2006&lt;/year&gt;&lt;/dates&gt;&lt;isbn&gt;0143-2095&lt;/isbn&gt;&lt;accession-num&gt;WOS:000234869500002&lt;/accession-num&gt;&lt;urls&gt;&lt;related-urls&gt;&lt;url&gt;&amp;lt;Go to ISI&amp;gt;://WOS:000234869500002&lt;/url&gt;&lt;/related-urls&gt;&lt;/urls&gt;&lt;electronic-resource-num&gt;10.1002/smj.507&lt;/electronic-resource-num&gt;&lt;/record&gt;&lt;/Cite&gt;&lt;/EndNote&gt;</w:instrText>
      </w:r>
      <w:r w:rsidR="00D828D5">
        <w:fldChar w:fldCharType="separate"/>
      </w:r>
      <w:r w:rsidR="00F34D8C">
        <w:rPr>
          <w:noProof/>
        </w:rPr>
        <w:t>(Laursen &amp; Salter, 2006)</w:t>
      </w:r>
      <w:r w:rsidR="00D828D5">
        <w:fldChar w:fldCharType="end"/>
      </w:r>
      <w:r w:rsidR="006E7E41">
        <w:t xml:space="preserve"> for an appropriate external partner that will buy and commercialise knowledge</w:t>
      </w:r>
      <w:r w:rsidR="009F272D">
        <w:t>,</w:t>
      </w:r>
      <w:r w:rsidR="006E7E41">
        <w:t xml:space="preserve"> or </w:t>
      </w:r>
      <w:r w:rsidR="007177EF">
        <w:t xml:space="preserve">sell it to </w:t>
      </w:r>
      <w:r w:rsidR="000E5862">
        <w:t xml:space="preserve">a </w:t>
      </w:r>
      <w:r w:rsidR="007177EF">
        <w:t>focal organisation for commercialisation. This initial n</w:t>
      </w:r>
      <w:r w:rsidR="005856D8">
        <w:t>otion of openness says little about</w:t>
      </w:r>
      <w:r w:rsidR="007177EF">
        <w:t xml:space="preserve"> organising principles, yet it implicitly suggests that </w:t>
      </w:r>
      <w:r w:rsidR="00286294">
        <w:t xml:space="preserve">fluidity of </w:t>
      </w:r>
      <w:r w:rsidR="007177EF">
        <w:t>organisational boundaries</w:t>
      </w:r>
      <w:r w:rsidR="00286294">
        <w:t xml:space="preserve"> may be </w:t>
      </w:r>
      <w:r w:rsidR="005856D8">
        <w:t xml:space="preserve">a </w:t>
      </w:r>
      <w:r w:rsidR="0025735A">
        <w:t>central property of open organis</w:t>
      </w:r>
      <w:r w:rsidR="00286294">
        <w:t xml:space="preserve">ations </w:t>
      </w:r>
      <w:r w:rsidR="00D828D5">
        <w:fldChar w:fldCharType="begin"/>
      </w:r>
      <w:r w:rsidR="00F34D8C">
        <w:instrText xml:space="preserve"> ADDIN EN.CITE &lt;EndNote&gt;&lt;Cite&gt;&lt;Author&gt;Dhanaraj&lt;/Author&gt;&lt;Year&gt;2006&lt;/Year&gt;&lt;RecNum&gt;4&lt;/RecNum&gt;&lt;DisplayText&gt;(Dhanaraj &amp;amp; Parkhe, 2006)&lt;/DisplayText&gt;&lt;record&gt;&lt;rec-number&gt;4&lt;/rec-number&gt;&lt;foreign-keys&gt;&lt;key app="EN" db-id="pd2zewe9caaftre2ts5pzpwh9pvdwvrsss90" timestamp="0"&gt;4&lt;/key&gt;&lt;/foreign-keys&gt;&lt;ref-type name="Journal Article"&gt;17&lt;/ref-type&gt;&lt;contributors&gt;&lt;authors&gt;&lt;author&gt;Dhanaraj, C.&lt;/author&gt;&lt;author&gt;Parkhe, A.&lt;/author&gt;&lt;/authors&gt;&lt;/contributors&gt;&lt;titles&gt;&lt;title&gt;Orchestrating innovation networks&lt;/title&gt;&lt;secondary-title&gt;Academy of Management Review&lt;/secondary-title&gt;&lt;/titles&gt;&lt;periodical&gt;&lt;full-title&gt;Academy of Management Review&lt;/full-title&gt;&lt;/periodical&gt;&lt;pages&gt;659-669&lt;/pages&gt;&lt;volume&gt;31&lt;/volume&gt;&lt;number&gt;3&lt;/number&gt;&lt;dates&gt;&lt;year&gt;2006&lt;/year&gt;&lt;/dates&gt;&lt;accession-num&gt;WOS:000238379400010&lt;/accession-num&gt;&lt;urls&gt;&lt;related-urls&gt;&lt;url&gt;&amp;lt;Go to ISI&amp;gt;://WOS:000238379400010&lt;/url&gt;&lt;/related-urls&gt;&lt;pdf-urls&gt;&lt;url&gt;file://C:\Documents and Settings\Admin\My Documents\Paul&amp;apos;s Files\Library\Academy of Management Review\AMR2006 Dhanaraj  Innovation Networks.pdf&lt;/url&gt;&lt;/pdf-urls&gt;&lt;/urls&gt;&lt;/record&gt;&lt;/Cite&gt;&lt;/EndNote&gt;</w:instrText>
      </w:r>
      <w:r w:rsidR="00D828D5">
        <w:fldChar w:fldCharType="separate"/>
      </w:r>
      <w:r w:rsidR="00F34D8C">
        <w:rPr>
          <w:noProof/>
        </w:rPr>
        <w:t>(Dhanaraj &amp; Parkhe, 2006)</w:t>
      </w:r>
      <w:r w:rsidR="00D828D5">
        <w:fldChar w:fldCharType="end"/>
      </w:r>
      <w:r w:rsidR="00286294">
        <w:t>.</w:t>
      </w:r>
    </w:p>
    <w:p w14:paraId="744D81B3" w14:textId="77777777" w:rsidR="00B83CA8" w:rsidRDefault="00B83CA8" w:rsidP="000558BF"/>
    <w:p w14:paraId="33278F74" w14:textId="42A57112" w:rsidR="005B52BD" w:rsidRDefault="00286294" w:rsidP="000558BF">
      <w:r>
        <w:t>The notion of boundaries is even more pronounced in the literature</w:t>
      </w:r>
      <w:r w:rsidR="004517AB">
        <w:t xml:space="preserve"> on crowdsourcing</w:t>
      </w:r>
      <w:r>
        <w:t xml:space="preserve"> that equate</w:t>
      </w:r>
      <w:r w:rsidR="008255F2">
        <w:t>s</w:t>
      </w:r>
      <w:r>
        <w:t xml:space="preserve"> open innovation with </w:t>
      </w:r>
      <w:r w:rsidR="00ED4C36">
        <w:t xml:space="preserve">distributed problem solving </w:t>
      </w:r>
      <w:r w:rsidR="004C6FF1">
        <w:fldChar w:fldCharType="begin"/>
      </w:r>
      <w:r w:rsidR="00F34D8C">
        <w:instrText xml:space="preserve"> ADDIN EN.CITE &lt;EndNote&gt;&lt;Cite&gt;&lt;Author&gt;Afuah&lt;/Author&gt;&lt;Year&gt;2012&lt;/Year&gt;&lt;RecNum&gt;2072&lt;/RecNum&gt;&lt;DisplayText&gt;(Afuah &amp;amp; Tucci, 2012)&lt;/DisplayText&gt;&lt;record&gt;&lt;rec-number&gt;2072&lt;/rec-number&gt;&lt;foreign-keys&gt;&lt;key app="EN" db-id="pd2zewe9caaftre2ts5pzpwh9pvdwvrsss90" timestamp="1421058269"&gt;2072&lt;/key&gt;&lt;/foreign-keys&gt;&lt;ref-type name="Journal Article"&gt;17&lt;/ref-type&gt;&lt;contributors&gt;&lt;authors&gt;&lt;author&gt;Afuah, A.&lt;/author&gt;&lt;author&gt;Tucci, C. L.&lt;/author&gt;&lt;/authors&gt;&lt;/contributors&gt;&lt;titles&gt;&lt;title&gt;Crowdsourcing as a solution to distant search&lt;/title&gt;&lt;secondary-title&gt;Academy of Management Review&lt;/secondary-title&gt;&lt;/titles&gt;&lt;periodical&gt;&lt;full-title&gt;Academy of Management Review&lt;/full-title&gt;&lt;/periodical&gt;&lt;pages&gt;355-375&lt;/pages&gt;&lt;volume&gt;37&lt;/volume&gt;&lt;number&gt;3&lt;/number&gt;&lt;dates&gt;&lt;year&gt;2012&lt;/year&gt;&lt;/dates&gt;&lt;urls&gt;&lt;/urls&gt;&lt;/record&gt;&lt;/Cite&gt;&lt;/EndNote&gt;</w:instrText>
      </w:r>
      <w:r w:rsidR="004C6FF1">
        <w:fldChar w:fldCharType="separate"/>
      </w:r>
      <w:r w:rsidR="00F34D8C">
        <w:rPr>
          <w:noProof/>
        </w:rPr>
        <w:t>(Afuah &amp; Tucci, 2012)</w:t>
      </w:r>
      <w:r w:rsidR="004C6FF1">
        <w:fldChar w:fldCharType="end"/>
      </w:r>
      <w:r w:rsidR="004517AB">
        <w:t>.</w:t>
      </w:r>
      <w:r w:rsidR="008255F2">
        <w:t xml:space="preserve"> This</w:t>
      </w:r>
      <w:r w:rsidR="000E5862">
        <w:t xml:space="preserve"> literature is somehow more sensitive to cooperation and coordination problem</w:t>
      </w:r>
      <w:r w:rsidR="00AC4868">
        <w:t>s</w:t>
      </w:r>
      <w:r w:rsidR="000E5862">
        <w:t xml:space="preserve"> as</w:t>
      </w:r>
      <w:r w:rsidR="0038384B">
        <w:t xml:space="preserve"> it</w:t>
      </w:r>
      <w:r w:rsidR="007E108E">
        <w:t xml:space="preserve"> assume</w:t>
      </w:r>
      <w:r w:rsidR="0038384B">
        <w:t>s</w:t>
      </w:r>
      <w:r w:rsidR="007E108E">
        <w:t xml:space="preserve"> that coordination of widely dispersed knowledge is made possible by ubiquity of </w:t>
      </w:r>
      <w:proofErr w:type="gramStart"/>
      <w:r w:rsidR="007E108E">
        <w:t>internet</w:t>
      </w:r>
      <w:proofErr w:type="gramEnd"/>
      <w:r w:rsidR="007E108E">
        <w:t xml:space="preserve"> technology and social networking. </w:t>
      </w:r>
      <w:r w:rsidR="0038384B">
        <w:t xml:space="preserve">Optimal financial incentives resolve </w:t>
      </w:r>
      <w:r w:rsidR="004517AB">
        <w:t xml:space="preserve">the </w:t>
      </w:r>
      <w:r w:rsidR="0038384B">
        <w:t>cooperation problem</w:t>
      </w:r>
      <w:r w:rsidR="004C6FF1">
        <w:t xml:space="preserve"> </w:t>
      </w:r>
      <w:r w:rsidR="004C6FF1">
        <w:fldChar w:fldCharType="begin"/>
      </w:r>
      <w:r w:rsidR="00F34D8C">
        <w:instrText xml:space="preserve"> ADDIN EN.CITE &lt;EndNote&gt;&lt;Cite&gt;&lt;Author&gt;Boudreau&lt;/Author&gt;&lt;Year&gt;2011&lt;/Year&gt;&lt;RecNum&gt;2077&lt;/RecNum&gt;&lt;DisplayText&gt;(Boudreau, Lacetera, &amp;amp; Lakhani, 2011)&lt;/DisplayText&gt;&lt;record&gt;&lt;rec-number&gt;2077&lt;/rec-number&gt;&lt;foreign-keys&gt;&lt;key app="EN" db-id="pd2zewe9caaftre2ts5pzpwh9pvdwvrsss90" timestamp="1421059372"&gt;2077&lt;/key&gt;&lt;/foreign-keys&gt;&lt;ref-type name="Journal Article"&gt;17&lt;/ref-type&gt;&lt;contributors&gt;&lt;authors&gt;&lt;author&gt;Boudreau, K.J.&lt;/author&gt;&lt;author&gt;Lacetera, N.&lt;/author&gt;&lt;author&gt;Lakhani, K.R.&lt;/author&gt;&lt;/authors&gt;&lt;/contributors&gt;&lt;titles&gt;&lt;title&gt;Incentives and problem uncertainty in innovation contests: An empirical analysis&lt;/title&gt;&lt;secondary-title&gt;Management Science&lt;/secondary-title&gt;&lt;/titles&gt;&lt;periodical&gt;&lt;full-title&gt;Management Science&lt;/full-title&gt;&lt;/periodical&gt;&lt;pages&gt;843-863&lt;/pages&gt;&lt;volume&gt;57&lt;/volume&gt;&lt;number&gt;5&lt;/number&gt;&lt;dates&gt;&lt;year&gt;2011&lt;/year&gt;&lt;/dates&gt;&lt;urls&gt;&lt;/urls&gt;&lt;/record&gt;&lt;/Cite&gt;&lt;/EndNote&gt;</w:instrText>
      </w:r>
      <w:r w:rsidR="004C6FF1">
        <w:fldChar w:fldCharType="separate"/>
      </w:r>
      <w:r w:rsidR="00F34D8C">
        <w:rPr>
          <w:noProof/>
        </w:rPr>
        <w:t>(Boudreau, Lacetera, &amp; Lakhani, 2011)</w:t>
      </w:r>
      <w:r w:rsidR="004C6FF1">
        <w:fldChar w:fldCharType="end"/>
      </w:r>
      <w:r w:rsidR="004517AB">
        <w:t>,</w:t>
      </w:r>
      <w:r w:rsidR="002540C8">
        <w:t xml:space="preserve"> and </w:t>
      </w:r>
      <w:r w:rsidR="004517AB">
        <w:t xml:space="preserve">the </w:t>
      </w:r>
      <w:r w:rsidR="002540C8">
        <w:t xml:space="preserve">modularity of </w:t>
      </w:r>
      <w:r w:rsidR="003B0F6F">
        <w:t xml:space="preserve">an </w:t>
      </w:r>
      <w:r w:rsidR="002540C8">
        <w:t>innovation task</w:t>
      </w:r>
      <w:r w:rsidR="00AC4868">
        <w:t xml:space="preserve"> at hand</w:t>
      </w:r>
      <w:r w:rsidR="002540C8">
        <w:t xml:space="preserve"> </w:t>
      </w:r>
      <w:r w:rsidR="004A5D98">
        <w:fldChar w:fldCharType="begin"/>
      </w:r>
      <w:r w:rsidR="00F34D8C">
        <w:instrText xml:space="preserve"> ADDIN EN.CITE &lt;EndNote&gt;&lt;Cite&gt;&lt;Author&gt;Baldwin&lt;/Author&gt;&lt;Year&gt;2006&lt;/Year&gt;&lt;RecNum&gt;2074&lt;/RecNum&gt;&lt;DisplayText&gt;(Baldwin &amp;amp; Clark, 2006)&lt;/DisplayText&gt;&lt;record&gt;&lt;rec-number&gt;2074&lt;/rec-number&gt;&lt;foreign-keys&gt;&lt;key app="EN" db-id="pd2zewe9caaftre2ts5pzpwh9pvdwvrsss90" timestamp="1421059023"&gt;2074&lt;/key&gt;&lt;/foreign-keys&gt;&lt;ref-type name="Journal Article"&gt;17&lt;/ref-type&gt;&lt;contributors&gt;&lt;authors&gt;&lt;author&gt;Baldwin, C.Y.&lt;/author&gt;&lt;author&gt;Clark, K.B.&lt;/author&gt;&lt;/authors&gt;&lt;/contributors&gt;&lt;titles&gt;&lt;title&gt;The architecture of participation: Does code architecture mitigate free riding in the open source development model?&lt;/title&gt;&lt;secondary-title&gt;Management Science&lt;/secondary-title&gt;&lt;/titles&gt;&lt;periodical&gt;&lt;full-title&gt;Management Science&lt;/full-title&gt;&lt;/periodical&gt;&lt;pages&gt;1116-1127&lt;/pages&gt;&lt;volume&gt;52&lt;/volume&gt;&lt;dates&gt;&lt;year&gt;2006&lt;/year&gt;&lt;/dates&gt;&lt;urls&gt;&lt;/urls&gt;&lt;/record&gt;&lt;/Cite&gt;&lt;/EndNote&gt;</w:instrText>
      </w:r>
      <w:r w:rsidR="004A5D98">
        <w:fldChar w:fldCharType="separate"/>
      </w:r>
      <w:r w:rsidR="00F34D8C">
        <w:rPr>
          <w:noProof/>
        </w:rPr>
        <w:t>(Baldwin &amp; Clark, 2006)</w:t>
      </w:r>
      <w:r w:rsidR="004A5D98">
        <w:fldChar w:fldCharType="end"/>
      </w:r>
      <w:r w:rsidR="003B0F6F">
        <w:t xml:space="preserve"> helps with coordination</w:t>
      </w:r>
      <w:r w:rsidR="004A5D98">
        <w:t xml:space="preserve"> </w:t>
      </w:r>
      <w:r w:rsidR="004A5D98">
        <w:fldChar w:fldCharType="begin"/>
      </w:r>
      <w:r w:rsidR="00F34D8C">
        <w:instrText xml:space="preserve"> ADDIN EN.CITE &lt;EndNote&gt;&lt;Cite&gt;&lt;Author&gt;Afuah&lt;/Author&gt;&lt;Year&gt;2012&lt;/Year&gt;&lt;RecNum&gt;2072&lt;/RecNum&gt;&lt;DisplayText&gt;(Afuah &amp;amp; Tucci, 2012)&lt;/DisplayText&gt;&lt;record&gt;&lt;rec-number&gt;2072&lt;/rec-number&gt;&lt;foreign-keys&gt;&lt;key app="EN" db-id="pd2zewe9caaftre2ts5pzpwh9pvdwvrsss90" timestamp="1421058269"&gt;2072&lt;/key&gt;&lt;/foreign-keys&gt;&lt;ref-type name="Journal Article"&gt;17&lt;/ref-type&gt;&lt;contributors&gt;&lt;authors&gt;&lt;author&gt;Afuah, A.&lt;/author&gt;&lt;author&gt;Tucci, C. L.&lt;/author&gt;&lt;/authors&gt;&lt;/contributors&gt;&lt;titles&gt;&lt;title&gt;Crowdsourcing as a solution to distant search&lt;/title&gt;&lt;secondary-title&gt;Academy of Management Review&lt;/secondary-title&gt;&lt;/titles&gt;&lt;periodical&gt;&lt;full-title&gt;Academy of Management Review&lt;/full-title&gt;&lt;/periodical&gt;&lt;pages&gt;355-375&lt;/pages&gt;&lt;volume&gt;37&lt;/volume&gt;&lt;number&gt;3&lt;/number&gt;&lt;dates&gt;&lt;year&gt;2012&lt;/year&gt;&lt;/dates&gt;&lt;urls&gt;&lt;/urls&gt;&lt;/record&gt;&lt;/Cite&gt;&lt;/EndNote&gt;</w:instrText>
      </w:r>
      <w:r w:rsidR="004A5D98">
        <w:fldChar w:fldCharType="separate"/>
      </w:r>
      <w:r w:rsidR="00F34D8C">
        <w:rPr>
          <w:noProof/>
        </w:rPr>
        <w:t>(Afuah &amp; Tucci, 2012)</w:t>
      </w:r>
      <w:r w:rsidR="004A5D98">
        <w:fldChar w:fldCharType="end"/>
      </w:r>
      <w:r w:rsidR="004A5D98">
        <w:t>.</w:t>
      </w:r>
      <w:r w:rsidR="003B0F6F">
        <w:t xml:space="preserve"> This literature suggest</w:t>
      </w:r>
      <w:r w:rsidR="00AC4868">
        <w:t>s</w:t>
      </w:r>
      <w:r w:rsidR="003B0F6F">
        <w:t xml:space="preserve"> that an open organization will require capability to coordinate</w:t>
      </w:r>
      <w:r w:rsidR="004A5D98">
        <w:t xml:space="preserve"> </w:t>
      </w:r>
      <w:r w:rsidR="004A5D98">
        <w:fldChar w:fldCharType="begin"/>
      </w:r>
      <w:r w:rsidR="00F34D8C">
        <w:instrText xml:space="preserve"> ADDIN EN.CITE &lt;EndNote&gt;&lt;Cite&gt;&lt;Author&gt;Kogut&lt;/Author&gt;&lt;Year&gt;1996&lt;/Year&gt;&lt;RecNum&gt;2083&lt;/RecNum&gt;&lt;DisplayText&gt;(Kogut &amp;amp; Zander, 1996)&lt;/DisplayText&gt;&lt;record&gt;&lt;rec-number&gt;2083&lt;/rec-number&gt;&lt;foreign-keys&gt;&lt;key app="EN" db-id="pd2zewe9caaftre2ts5pzpwh9pvdwvrsss90" timestamp="1421060286"&gt;2083&lt;/key&gt;&lt;/foreign-keys&gt;&lt;ref-type name="Journal Article"&gt;17&lt;/ref-type&gt;&lt;contributors&gt;&lt;authors&gt;&lt;author&gt;Kogut, A.&lt;/author&gt;&lt;author&gt;Zander, U.&lt;/author&gt;&lt;/authors&gt;&lt;/contributors&gt;&lt;titles&gt;&lt;title&gt;What do firms do? Coordination, identity and learning&lt;/title&gt;&lt;secondary-title&gt;Organization Science&lt;/secondary-title&gt;&lt;/titles&gt;&lt;periodical&gt;&lt;full-title&gt;Organization Science&lt;/full-title&gt;&lt;/periodical&gt;&lt;pages&gt;502-518&lt;/pages&gt;&lt;volume&gt;7&lt;/volume&gt;&lt;number&gt;5&lt;/number&gt;&lt;dates&gt;&lt;year&gt;1996&lt;/year&gt;&lt;/dates&gt;&lt;urls&gt;&lt;/urls&gt;&lt;/record&gt;&lt;/Cite&gt;&lt;/EndNote&gt;</w:instrText>
      </w:r>
      <w:r w:rsidR="004A5D98">
        <w:fldChar w:fldCharType="separate"/>
      </w:r>
      <w:r w:rsidR="00F34D8C">
        <w:rPr>
          <w:noProof/>
        </w:rPr>
        <w:t>(Kogut &amp; Zander, 1996)</w:t>
      </w:r>
      <w:r w:rsidR="004A5D98">
        <w:fldChar w:fldCharType="end"/>
      </w:r>
      <w:r w:rsidR="003B0F6F">
        <w:t xml:space="preserve"> very dispersed and distant knowledge.</w:t>
      </w:r>
    </w:p>
    <w:p w14:paraId="5C75ADD5" w14:textId="77777777" w:rsidR="00B83CA8" w:rsidRDefault="00B83CA8" w:rsidP="000558BF"/>
    <w:p w14:paraId="4EA2668B" w14:textId="031F7246" w:rsidR="00276F26" w:rsidRDefault="00F739AB" w:rsidP="000558BF">
      <w:r>
        <w:t xml:space="preserve">Gulati </w:t>
      </w:r>
      <w:r w:rsidRPr="00F739AB">
        <w:rPr>
          <w:i/>
        </w:rPr>
        <w:t>et al.</w:t>
      </w:r>
      <w:r>
        <w:rPr>
          <w:i/>
        </w:rPr>
        <w:t>,</w:t>
      </w:r>
      <w:r>
        <w:t xml:space="preserve"> </w:t>
      </w:r>
      <w:r w:rsidR="00926207">
        <w:fldChar w:fldCharType="begin"/>
      </w:r>
      <w:r w:rsidR="00926207">
        <w:instrText xml:space="preserve"> ADDIN EN.CITE &lt;EndNote&gt;&lt;Cite ExcludeAuth="1"&gt;&lt;Author&gt;Gulati&lt;/Author&gt;&lt;Year&gt;2012&lt;/Year&gt;&lt;RecNum&gt;2082&lt;/RecNum&gt;&lt;DisplayText&gt;(2012)&lt;/DisplayText&gt;&lt;record&gt;&lt;rec-number&gt;2082&lt;/rec-number&gt;&lt;foreign-keys&gt;&lt;key app="EN" db-id="pd2zewe9caaftre2ts5pzpwh9pvdwvrsss90" timestamp="1421060185"&gt;2082&lt;/key&gt;&lt;/foreign-keys&gt;&lt;ref-type name="Journal Article"&gt;17&lt;/ref-type&gt;&lt;contributors&gt;&lt;authors&gt;&lt;author&gt;Gulati, R.&lt;/author&gt;&lt;author&gt;Puranam, P.&lt;/author&gt;&lt;author&gt;Tushman, M. L.&lt;/author&gt;&lt;/authors&gt;&lt;/contributors&gt;&lt;titles&gt;&lt;title&gt;Meta-organization design: Rethinking design in interorganizational and community contexts&lt;/title&gt;&lt;secondary-title&gt;Strategic Management Journal&lt;/secondary-title&gt;&lt;/titles&gt;&lt;periodical&gt;&lt;full-title&gt;Strategic Management Journal&lt;/full-title&gt;&lt;/periodical&gt;&lt;pages&gt;571-586&lt;/pages&gt;&lt;volume&gt;33&lt;/volume&gt;&lt;number&gt;6&lt;/number&gt;&lt;dates&gt;&lt;year&gt;2012&lt;/year&gt;&lt;/dates&gt;&lt;urls&gt;&lt;/urls&gt;&lt;/record&gt;&lt;/Cite&gt;&lt;/EndNote&gt;</w:instrText>
      </w:r>
      <w:r w:rsidR="00926207">
        <w:fldChar w:fldCharType="separate"/>
      </w:r>
      <w:r w:rsidR="00926207">
        <w:rPr>
          <w:noProof/>
        </w:rPr>
        <w:t>(2012)</w:t>
      </w:r>
      <w:r w:rsidR="00926207">
        <w:fldChar w:fldCharType="end"/>
      </w:r>
      <w:r>
        <w:t xml:space="preserve"> identify open innovation communities (e.g. open source) as </w:t>
      </w:r>
      <w:r w:rsidR="00C86948">
        <w:t>one of the important emerging meta-organizational f</w:t>
      </w:r>
      <w:r w:rsidR="001710E4">
        <w:t>orms</w:t>
      </w:r>
      <w:r w:rsidR="00C86948">
        <w:t xml:space="preserve">. </w:t>
      </w:r>
      <w:r w:rsidR="001710E4">
        <w:t xml:space="preserve">Here again coordination is </w:t>
      </w:r>
      <w:r w:rsidR="001710E4" w:rsidRPr="001710E4">
        <w:t>accomplished by strict architectural rules</w:t>
      </w:r>
      <w:r w:rsidR="00926207">
        <w:t xml:space="preserve"> </w:t>
      </w:r>
      <w:r w:rsidR="00926207">
        <w:fldChar w:fldCharType="begin"/>
      </w:r>
      <w:r w:rsidR="00F34D8C">
        <w:instrText xml:space="preserve"> ADDIN EN.CITE &lt;EndNote&gt;&lt;Cite&gt;&lt;Author&gt;Baldwin&lt;/Author&gt;&lt;Year&gt;2006&lt;/Year&gt;&lt;RecNum&gt;2074&lt;/RecNum&gt;&lt;DisplayText&gt;(Baldwin &amp;amp; Clark, 2006)&lt;/DisplayText&gt;&lt;record&gt;&lt;rec-number&gt;2074&lt;/rec-number&gt;&lt;foreign-keys&gt;&lt;key app="EN" db-id="pd2zewe9caaftre2ts5pzpwh9pvdwvrsss90" timestamp="1421059023"&gt;2074&lt;/key&gt;&lt;/foreign-keys&gt;&lt;ref-type name="Journal Article"&gt;17&lt;/ref-type&gt;&lt;contributors&gt;&lt;authors&gt;&lt;author&gt;Baldwin, C.Y.&lt;/author&gt;&lt;author&gt;Clark, K.B.&lt;/author&gt;&lt;/authors&gt;&lt;/contributors&gt;&lt;titles&gt;&lt;title&gt;The architecture of participation: Does code architecture mitigate free riding in the open source development model?&lt;/title&gt;&lt;secondary-title&gt;Management Science&lt;/secondary-title&gt;&lt;/titles&gt;&lt;periodical&gt;&lt;full-title&gt;Management Science&lt;/full-title&gt;&lt;/periodical&gt;&lt;pages&gt;1116-1127&lt;/pages&gt;&lt;volume&gt;52&lt;/volume&gt;&lt;dates&gt;&lt;year&gt;2006&lt;/year&gt;&lt;/dates&gt;&lt;urls&gt;&lt;/urls&gt;&lt;/record&gt;&lt;/Cite&gt;&lt;/EndNote&gt;</w:instrText>
      </w:r>
      <w:r w:rsidR="00926207">
        <w:fldChar w:fldCharType="separate"/>
      </w:r>
      <w:r w:rsidR="00F34D8C">
        <w:rPr>
          <w:noProof/>
        </w:rPr>
        <w:t>(Baldwin &amp; Clark, 2006)</w:t>
      </w:r>
      <w:r w:rsidR="00926207">
        <w:fldChar w:fldCharType="end"/>
      </w:r>
      <w:r w:rsidR="00926207">
        <w:t>,</w:t>
      </w:r>
      <w:r w:rsidR="001710E4">
        <w:t xml:space="preserve"> yet </w:t>
      </w:r>
      <w:r w:rsidR="00673DDA">
        <w:t>it is intriguing that cooperation</w:t>
      </w:r>
      <w:r w:rsidR="001710E4">
        <w:t xml:space="preserve"> at such innovation communities </w:t>
      </w:r>
      <w:r w:rsidR="00823C42">
        <w:t>is often</w:t>
      </w:r>
      <w:r w:rsidR="00673DDA">
        <w:t xml:space="preserve"> attributed to particular values that motivate diverse actors to contribute to a</w:t>
      </w:r>
      <w:r w:rsidR="00823C42">
        <w:t xml:space="preserve"> </w:t>
      </w:r>
      <w:r w:rsidR="00673DDA">
        <w:t>collective outcome without clear economic incentives</w:t>
      </w:r>
      <w:r w:rsidR="00926207">
        <w:t xml:space="preserve"> </w:t>
      </w:r>
      <w:r w:rsidR="00926207">
        <w:fldChar w:fldCharType="begin"/>
      </w:r>
      <w:r w:rsidR="00F34D8C">
        <w:instrText xml:space="preserve"> ADDIN EN.CITE &lt;EndNote&gt;&lt;Cite&gt;&lt;Author&gt;O&amp;apos;Mahoney&lt;/Author&gt;&lt;Year&gt;2008&lt;/Year&gt;&lt;RecNum&gt;2087&lt;/RecNum&gt;&lt;DisplayText&gt;(O&amp;apos;Mahoney &amp;amp; Bechky, 2008)&lt;/DisplayText&gt;&lt;record&gt;&lt;rec-number&gt;2087&lt;/rec-number&gt;&lt;foreign-keys&gt;&lt;key app="EN" db-id="pd2zewe9caaftre2ts5pzpwh9pvdwvrsss90" timestamp="1421060902"&gt;2087&lt;/key&gt;&lt;/foreign-keys&gt;&lt;ref-type name="Journal Article"&gt;17&lt;/ref-type&gt;&lt;contributors&gt;&lt;authors&gt;&lt;author&gt;O&amp;apos;Mahoney, S.&lt;/author&gt;&lt;author&gt;Bechky, B.&lt;/author&gt;&lt;/authors&gt;&lt;/contributors&gt;&lt;titles&gt;&lt;title&gt;Boundary organizations: Enabling collaboration among unexpected allies&lt;/title&gt;&lt;secondary-title&gt;Administrative Science Quarterly&lt;/secondary-title&gt;&lt;/titles&gt;&lt;periodical&gt;&lt;full-title&gt;Administrative Science Quarterly&lt;/full-title&gt;&lt;/periodical&gt;&lt;pages&gt;422-459&lt;/pages&gt;&lt;volume&gt;53&lt;/volume&gt;&lt;number&gt;3&lt;/number&gt;&lt;dates&gt;&lt;year&gt;2008&lt;/year&gt;&lt;/dates&gt;&lt;urls&gt;&lt;/urls&gt;&lt;/record&gt;&lt;/Cite&gt;&lt;/EndNote&gt;</w:instrText>
      </w:r>
      <w:r w:rsidR="00926207">
        <w:fldChar w:fldCharType="separate"/>
      </w:r>
      <w:r w:rsidR="00F34D8C">
        <w:rPr>
          <w:noProof/>
        </w:rPr>
        <w:t>(O'Mahoney &amp; Bechky, 2008)</w:t>
      </w:r>
      <w:r w:rsidR="00926207">
        <w:fldChar w:fldCharType="end"/>
      </w:r>
      <w:r w:rsidR="00926207">
        <w:t xml:space="preserve">. </w:t>
      </w:r>
      <w:r w:rsidR="00673DDA">
        <w:t xml:space="preserve"> This indicates that openness will not only require </w:t>
      </w:r>
      <w:r w:rsidR="00A72882">
        <w:t xml:space="preserve">an </w:t>
      </w:r>
      <w:r w:rsidR="00673DDA">
        <w:t xml:space="preserve">organisation to coordinate knowledge resources, but </w:t>
      </w:r>
      <w:r w:rsidR="00C27A2A">
        <w:t xml:space="preserve">also develop capabilities to combine cultural resources such as values, identities and narratives </w:t>
      </w:r>
      <w:r w:rsidR="00B45C51">
        <w:fldChar w:fldCharType="begin">
          <w:fldData xml:space="preserve">PEVuZE5vdGU+PENpdGU+PEF1dGhvcj5CYXJ0ZWw8L0F1dGhvcj48WWVhcj4yMDA5PC9ZZWFyPjxS
ZWNOdW0+MjA3NTwvUmVjTnVtPjxEaXNwbGF5VGV4dD4oQmFydGVsICZhbXA7IEdhcnVkLCAyMDA5
OyBGYXVsa25lciAmYW1wOyBSdW5kZSwgMjAwOTsgTGVvbmFyZGksIDIwMTEpPC9EaXNwbGF5VGV4
dD48cmVjb3JkPjxyZWMtbnVtYmVyPjIwNzU8L3JlYy1udW1iZXI+PGZvcmVpZ24ta2V5cz48a2V5
IGFwcD0iRU4iIGRiLWlkPSJwZDJ6ZXdlOWNhYWZ0cmUydHM1cHpwd2g5cHZkd3Zyc3NzOTAiIHRp
bWVzdGFtcD0iMTQyMTA1OTE0OSI+MjA3NTwva2V5PjwvZm9yZWlnbi1rZXlzPjxyZWYtdHlwZSBu
YW1lPSJKb3VybmFsIEFydGljbGUiPjE3PC9yZWYtdHlwZT48Y29udHJpYnV0b3JzPjxhdXRob3Jz
PjxhdXRob3I+QmFydGVsLCBDLkEuPC9hdXRob3I+PGF1dGhvcj5HYXJ1ZCwgUi48L2F1dGhvcj48
L2F1dGhvcnM+PC9jb250cmlidXRvcnM+PHRpdGxlcz48dGl0bGU+VGhlIHJvbGUgb2YgbmFycmF0
aXZlcyBpbiBzdXN0YWluaW5nIG9yZ2FuaXphdGlvbmFsIGlubm92YXRpb248L3RpdGxlPjxzZWNv
bmRhcnktdGl0bGU+T3JnYW5pemF0aW9uIFNjaWVuY2U8L3NlY29uZGFyeS10aXRsZT48L3RpdGxl
cz48cGVyaW9kaWNhbD48ZnVsbC10aXRsZT5Pcmdhbml6YXRpb24gU2NpZW5jZTwvZnVsbC10aXRs
ZT48L3BlcmlvZGljYWw+PHBhZ2VzPjEwNy0xMTc8L3BhZ2VzPjx2b2x1bWU+MjA8L3ZvbHVtZT48
bnVtYmVyPjE8L251bWJlcj48ZGF0ZXM+PHllYXI+MjAwOTwveWVhcj48L2RhdGVzPjx1cmxzPjwv
dXJscz48L3JlY29yZD48L0NpdGU+PENpdGU+PEF1dGhvcj5GYXVsa25lcjwvQXV0aG9yPjxZZWFy
PjIwMDk8L1llYXI+PFJlY051bT4yMDgwPC9SZWNOdW0+PHJlY29yZD48cmVjLW51bWJlcj4yMDgw
PC9yZWMtbnVtYmVyPjxmb3JlaWduLWtleXM+PGtleSBhcHA9IkVOIiBkYi1pZD0icGQyemV3ZTlj
YWFmdHJlMnRzNXB6cHdoOXB2ZHd2cnNzczkwIiB0aW1lc3RhbXA9IjE0MjEwNTk3NDYiPjIwODA8
L2tleT48L2ZvcmVpZ24ta2V5cz48cmVmLXR5cGUgbmFtZT0iSm91cm5hbCBBcnRpY2xlIj4xNzwv
cmVmLXR5cGU+PGNvbnRyaWJ1dG9ycz48YXV0aG9ycz48YXV0aG9yPkZhdWxrbmVyLCBQLjwvYXV0
aG9yPjxhdXRob3I+UnVuZGUsIEouPC9hdXRob3I+PC9hdXRob3JzPjwvY29udHJpYnV0b3JzPjx0
aXRsZXM+PHRpdGxlPk9uIGlkZW50aXR5IG9mIHRlY2hub2xvZ2ljYWwgb2JqZWN0cyBhbmQgdXNl
ciBpbm5vdmF0aW9ucyBpbiBmdW5jdGlvbjwvdGl0bGU+PHNlY29uZGFyeS10aXRsZT5BY2FkZW15
IG9mIE1hbmFnZW1lbnQgUmV2aWV3PC9zZWNvbmRhcnktdGl0bGU+PC90aXRsZXM+PHBlcmlvZGlj
YWw+PGZ1bGwtdGl0bGU+QWNhZGVteSBvZiBNYW5hZ2VtZW50IFJldmlldzwvZnVsbC10aXRsZT48
L3BlcmlvZGljYWw+PHBhZ2VzPjQ0Mi00NjI8L3BhZ2VzPjx2b2x1bWU+MzQ8L3ZvbHVtZT48bnVt
YmVyPjM8L251bWJlcj48ZGF0ZXM+PHllYXI+MjAwOTwveWVhcj48L2RhdGVzPjx1cmxzPjwvdXJs
cz48L3JlY29yZD48L0NpdGU+PENpdGU+PEF1dGhvcj5MZW9uYXJkaTwvQXV0aG9yPjxZZWFyPjIw
MTE8L1llYXI+PFJlY051bT4yMDg0PC9SZWNOdW0+PHJlY29yZD48cmVjLW51bWJlcj4yMDg0PC9y
ZWMtbnVtYmVyPjxmb3JlaWduLWtleXM+PGtleSBhcHA9IkVOIiBkYi1pZD0icGQyemV3ZTljYWFm
dHJlMnRzNXB6cHdoOXB2ZHd2cnNzczkwIiB0aW1lc3RhbXA9IjE0MjEwNjA0MTQiPjIwODQ8L2tl
eT48L2ZvcmVpZ24ta2V5cz48cmVmLXR5cGUgbmFtZT0iSm91cm5hbCBBcnRpY2xlIj4xNzwvcmVm
LXR5cGU+PGNvbnRyaWJ1dG9ycz48YXV0aG9ycz48YXV0aG9yPkxlb25hcmRpLCBQLk0uPC9hdXRo
b3I+PC9hdXRob3JzPjwvY29udHJpYnV0b3JzPjx0aXRsZXM+PHRpdGxlPklubm92YXRpb24gYmxp
bmRuZXNzOiBDdWx0dXJlLCBmcmFtZXMgYW5kIGNyb3NzLWJvdW5kYXJ5IHByb2JsZW0gY29uc3Ry
dWN0aW9uIGluIHRoZSBkZXZlbG9wbWVudCBvZiBuZXcgdGVjaG5vbG9neSBjb25jZXB0czwvdGl0
bGU+PHNlY29uZGFyeS10aXRsZT5Pcmdhbml6YXRpb24gU2NpZW5jZTwvc2Vjb25kYXJ5LXRpdGxl
PjwvdGl0bGVzPjxwZXJpb2RpY2FsPjxmdWxsLXRpdGxlPk9yZ2FuaXphdGlvbiBTY2llbmNlPC9m
dWxsLXRpdGxlPjwvcGVyaW9kaWNhbD48cGFnZXM+MzQ3LTM2OTwvcGFnZXM+PHZvbHVtZT4yMjwv
dm9sdW1lPjxudW1iZXI+MjwvbnVtYmVyPjxkYXRlcz48eWVhcj4yMDExPC95ZWFyPjwvZGF0ZXM+
PHVybHM+PC91cmxzPjwvcmVjb3JkPjwvQ2l0ZT48L0VuZE5vdGU+AG==
</w:fldData>
        </w:fldChar>
      </w:r>
      <w:r w:rsidR="00F34D8C">
        <w:instrText xml:space="preserve"> ADDIN EN.CITE </w:instrText>
      </w:r>
      <w:r w:rsidR="00F34D8C">
        <w:fldChar w:fldCharType="begin">
          <w:fldData xml:space="preserve">PEVuZE5vdGU+PENpdGU+PEF1dGhvcj5CYXJ0ZWw8L0F1dGhvcj48WWVhcj4yMDA5PC9ZZWFyPjxS
ZWNOdW0+MjA3NTwvUmVjTnVtPjxEaXNwbGF5VGV4dD4oQmFydGVsICZhbXA7IEdhcnVkLCAyMDA5
OyBGYXVsa25lciAmYW1wOyBSdW5kZSwgMjAwOTsgTGVvbmFyZGksIDIwMTEpPC9EaXNwbGF5VGV4
dD48cmVjb3JkPjxyZWMtbnVtYmVyPjIwNzU8L3JlYy1udW1iZXI+PGZvcmVpZ24ta2V5cz48a2V5
IGFwcD0iRU4iIGRiLWlkPSJwZDJ6ZXdlOWNhYWZ0cmUydHM1cHpwd2g5cHZkd3Zyc3NzOTAiIHRp
bWVzdGFtcD0iMTQyMTA1OTE0OSI+MjA3NTwva2V5PjwvZm9yZWlnbi1rZXlzPjxyZWYtdHlwZSBu
YW1lPSJKb3VybmFsIEFydGljbGUiPjE3PC9yZWYtdHlwZT48Y29udHJpYnV0b3JzPjxhdXRob3Jz
PjxhdXRob3I+QmFydGVsLCBDLkEuPC9hdXRob3I+PGF1dGhvcj5HYXJ1ZCwgUi48L2F1dGhvcj48
L2F1dGhvcnM+PC9jb250cmlidXRvcnM+PHRpdGxlcz48dGl0bGU+VGhlIHJvbGUgb2YgbmFycmF0
aXZlcyBpbiBzdXN0YWluaW5nIG9yZ2FuaXphdGlvbmFsIGlubm92YXRpb248L3RpdGxlPjxzZWNv
bmRhcnktdGl0bGU+T3JnYW5pemF0aW9uIFNjaWVuY2U8L3NlY29uZGFyeS10aXRsZT48L3RpdGxl
cz48cGVyaW9kaWNhbD48ZnVsbC10aXRsZT5Pcmdhbml6YXRpb24gU2NpZW5jZTwvZnVsbC10aXRs
ZT48L3BlcmlvZGljYWw+PHBhZ2VzPjEwNy0xMTc8L3BhZ2VzPjx2b2x1bWU+MjA8L3ZvbHVtZT48
bnVtYmVyPjE8L251bWJlcj48ZGF0ZXM+PHllYXI+MjAwOTwveWVhcj48L2RhdGVzPjx1cmxzPjwv
dXJscz48L3JlY29yZD48L0NpdGU+PENpdGU+PEF1dGhvcj5GYXVsa25lcjwvQXV0aG9yPjxZZWFy
PjIwMDk8L1llYXI+PFJlY051bT4yMDgwPC9SZWNOdW0+PHJlY29yZD48cmVjLW51bWJlcj4yMDgw
PC9yZWMtbnVtYmVyPjxmb3JlaWduLWtleXM+PGtleSBhcHA9IkVOIiBkYi1pZD0icGQyemV3ZTlj
YWFmdHJlMnRzNXB6cHdoOXB2ZHd2cnNzczkwIiB0aW1lc3RhbXA9IjE0MjEwNTk3NDYiPjIwODA8
L2tleT48L2ZvcmVpZ24ta2V5cz48cmVmLXR5cGUgbmFtZT0iSm91cm5hbCBBcnRpY2xlIj4xNzwv
cmVmLXR5cGU+PGNvbnRyaWJ1dG9ycz48YXV0aG9ycz48YXV0aG9yPkZhdWxrbmVyLCBQLjwvYXV0
aG9yPjxhdXRob3I+UnVuZGUsIEouPC9hdXRob3I+PC9hdXRob3JzPjwvY29udHJpYnV0b3JzPjx0
aXRsZXM+PHRpdGxlPk9uIGlkZW50aXR5IG9mIHRlY2hub2xvZ2ljYWwgb2JqZWN0cyBhbmQgdXNl
ciBpbm5vdmF0aW9ucyBpbiBmdW5jdGlvbjwvdGl0bGU+PHNlY29uZGFyeS10aXRsZT5BY2FkZW15
IG9mIE1hbmFnZW1lbnQgUmV2aWV3PC9zZWNvbmRhcnktdGl0bGU+PC90aXRsZXM+PHBlcmlvZGlj
YWw+PGZ1bGwtdGl0bGU+QWNhZGVteSBvZiBNYW5hZ2VtZW50IFJldmlldzwvZnVsbC10aXRsZT48
L3BlcmlvZGljYWw+PHBhZ2VzPjQ0Mi00NjI8L3BhZ2VzPjx2b2x1bWU+MzQ8L3ZvbHVtZT48bnVt
YmVyPjM8L251bWJlcj48ZGF0ZXM+PHllYXI+MjAwOTwveWVhcj48L2RhdGVzPjx1cmxzPjwvdXJs
cz48L3JlY29yZD48L0NpdGU+PENpdGU+PEF1dGhvcj5MZW9uYXJkaTwvQXV0aG9yPjxZZWFyPjIw
MTE8L1llYXI+PFJlY051bT4yMDg0PC9SZWNOdW0+PHJlY29yZD48cmVjLW51bWJlcj4yMDg0PC9y
ZWMtbnVtYmVyPjxmb3JlaWduLWtleXM+PGtleSBhcHA9IkVOIiBkYi1pZD0icGQyemV3ZTljYWFm
dHJlMnRzNXB6cHdoOXB2ZHd2cnNzczkwIiB0aW1lc3RhbXA9IjE0MjEwNjA0MTQiPjIwODQ8L2tl
eT48L2ZvcmVpZ24ta2V5cz48cmVmLXR5cGUgbmFtZT0iSm91cm5hbCBBcnRpY2xlIj4xNzwvcmVm
LXR5cGU+PGNvbnRyaWJ1dG9ycz48YXV0aG9ycz48YXV0aG9yPkxlb25hcmRpLCBQLk0uPC9hdXRo
b3I+PC9hdXRob3JzPjwvY29udHJpYnV0b3JzPjx0aXRsZXM+PHRpdGxlPklubm92YXRpb24gYmxp
bmRuZXNzOiBDdWx0dXJlLCBmcmFtZXMgYW5kIGNyb3NzLWJvdW5kYXJ5IHByb2JsZW0gY29uc3Ry
dWN0aW9uIGluIHRoZSBkZXZlbG9wbWVudCBvZiBuZXcgdGVjaG5vbG9neSBjb25jZXB0czwvdGl0
bGU+PHNlY29uZGFyeS10aXRsZT5Pcmdhbml6YXRpb24gU2NpZW5jZTwvc2Vjb25kYXJ5LXRpdGxl
PjwvdGl0bGVzPjxwZXJpb2RpY2FsPjxmdWxsLXRpdGxlPk9yZ2FuaXphdGlvbiBTY2llbmNlPC9m
dWxsLXRpdGxlPjwvcGVyaW9kaWNhbD48cGFnZXM+MzQ3LTM2OTwvcGFnZXM+PHZvbHVtZT4yMjwv
dm9sdW1lPjxudW1iZXI+MjwvbnVtYmVyPjxkYXRlcz48eWVhcj4yMDExPC95ZWFyPjwvZGF0ZXM+
PHVybHM+PC91cmxzPjwvcmVjb3JkPjwvQ2l0ZT48L0VuZE5vdGU+AG==
</w:fldData>
        </w:fldChar>
      </w:r>
      <w:r w:rsidR="00F34D8C">
        <w:instrText xml:space="preserve"> ADDIN EN.CITE.DATA </w:instrText>
      </w:r>
      <w:r w:rsidR="00F34D8C">
        <w:fldChar w:fldCharType="end"/>
      </w:r>
      <w:r w:rsidR="00B45C51">
        <w:fldChar w:fldCharType="separate"/>
      </w:r>
      <w:r w:rsidR="00F34D8C">
        <w:rPr>
          <w:noProof/>
        </w:rPr>
        <w:t>(Bartel &amp; Garud, 2009; Faulkner &amp; Runde, 2009; Leonardi, 2011)</w:t>
      </w:r>
      <w:r w:rsidR="00B45C51">
        <w:fldChar w:fldCharType="end"/>
      </w:r>
      <w:r w:rsidR="00276F26">
        <w:t>.</w:t>
      </w:r>
    </w:p>
    <w:p w14:paraId="0FB7155C" w14:textId="77777777" w:rsidR="005B52BD" w:rsidRDefault="005B52BD" w:rsidP="000558BF"/>
    <w:p w14:paraId="6B134DE5" w14:textId="707C77F7" w:rsidR="00DA6A47" w:rsidRDefault="00276F26" w:rsidP="000558BF">
      <w:r>
        <w:lastRenderedPageBreak/>
        <w:t xml:space="preserve">An organisation characterised by openness will most likely coordinate knowledge </w:t>
      </w:r>
      <w:r w:rsidR="00514228">
        <w:t xml:space="preserve">dispersed </w:t>
      </w:r>
      <w:r>
        <w:t>across organisational boundari</w:t>
      </w:r>
      <w:r w:rsidR="00514228">
        <w:t>es and strive to incentivise pluralistic</w:t>
      </w:r>
      <w:r>
        <w:t xml:space="preserve"> constituencies</w:t>
      </w:r>
      <w:r w:rsidR="00514228">
        <w:t xml:space="preserve"> with a variety of backgrounds and interests</w:t>
      </w:r>
      <w:r w:rsidR="00A72882">
        <w:t xml:space="preserve"> to participate in an</w:t>
      </w:r>
      <w:r>
        <w:t xml:space="preserve"> innovation endeavour</w:t>
      </w:r>
      <w:r w:rsidR="00514228">
        <w:t xml:space="preserve">. It is highly likely that coordination and cooperation problems of such </w:t>
      </w:r>
      <w:r w:rsidR="008D7D33">
        <w:t xml:space="preserve">organisations have scarcely been studied </w:t>
      </w:r>
      <w:r w:rsidR="00DA6A47">
        <w:t xml:space="preserve">as scholars failed to identify a prototypical </w:t>
      </w:r>
      <w:r w:rsidR="00F34D8C">
        <w:t xml:space="preserve">and novel organizational form </w:t>
      </w:r>
      <w:r w:rsidR="00F34D8C">
        <w:fldChar w:fldCharType="begin"/>
      </w:r>
      <w:r w:rsidR="00F34D8C">
        <w:instrText xml:space="preserve"> ADDIN EN.CITE &lt;EndNote&gt;&lt;Cite&gt;&lt;Author&gt;Miller&lt;/Author&gt;&lt;Year&gt;2009&lt;/Year&gt;&lt;RecNum&gt;2086&lt;/RecNum&gt;&lt;DisplayText&gt;(Miller, Greenwood, &amp;amp; Prakash, 2009)&lt;/DisplayText&gt;&lt;record&gt;&lt;rec-number&gt;2086&lt;/rec-number&gt;&lt;foreign-keys&gt;&lt;key app="EN" db-id="pd2zewe9caaftre2ts5pzpwh9pvdwvrsss90" timestamp="1421060789"&gt;2086&lt;/key&gt;&lt;/foreign-keys&gt;&lt;ref-type name="Journal Article"&gt;17&lt;/ref-type&gt;&lt;contributors&gt;&lt;authors&gt;&lt;author&gt;Miller, D.&lt;/author&gt;&lt;author&gt;Greenwood, R.&lt;/author&gt;&lt;author&gt;Prakash, R.&lt;/author&gt;&lt;/authors&gt;&lt;/contributors&gt;&lt;titles&gt;&lt;title&gt;What happened to organization theory?&lt;/title&gt;&lt;secondary-title&gt;Journal of Management Inquiry&lt;/secondary-title&gt;&lt;/titles&gt;&lt;periodical&gt;&lt;full-title&gt;Journal of Management Inquiry&lt;/full-title&gt;&lt;/periodical&gt;&lt;pages&gt;273-279&lt;/pages&gt;&lt;volume&gt;18&lt;/volume&gt;&lt;number&gt;4&lt;/number&gt;&lt;dates&gt;&lt;year&gt;2009&lt;/year&gt;&lt;/dates&gt;&lt;urls&gt;&lt;/urls&gt;&lt;/record&gt;&lt;/Cite&gt;&lt;/EndNote&gt;</w:instrText>
      </w:r>
      <w:r w:rsidR="00F34D8C">
        <w:fldChar w:fldCharType="separate"/>
      </w:r>
      <w:r w:rsidR="00F34D8C">
        <w:rPr>
          <w:noProof/>
        </w:rPr>
        <w:t>(Miller, Greenwood, &amp; Prakash, 2009)</w:t>
      </w:r>
      <w:r w:rsidR="00F34D8C">
        <w:fldChar w:fldCharType="end"/>
      </w:r>
      <w:r w:rsidR="00DA6A47">
        <w:t xml:space="preserve"> whose main mission is delivering innovation in open mode. </w:t>
      </w:r>
    </w:p>
    <w:p w14:paraId="7DBB1115" w14:textId="77777777" w:rsidR="005B52BD" w:rsidRDefault="005B52BD" w:rsidP="000558BF"/>
    <w:p w14:paraId="168F3CC2" w14:textId="522E5423" w:rsidR="00743948" w:rsidRDefault="007D291F" w:rsidP="000558BF">
      <w:r>
        <w:t xml:space="preserve">Scholars interested in investigating organisational principles of open innovation do not need to search far to identify organizational forms characterised by </w:t>
      </w:r>
      <w:r w:rsidR="00743948">
        <w:t xml:space="preserve">aspiration for </w:t>
      </w:r>
      <w:r>
        <w:t xml:space="preserve">openness. </w:t>
      </w:r>
      <w:r w:rsidR="00F7350D">
        <w:t xml:space="preserve">The institutional changes imposed on Universities </w:t>
      </w:r>
      <w:r w:rsidR="00F34D8C">
        <w:fldChar w:fldCharType="begin"/>
      </w:r>
      <w:r w:rsidR="00F34D8C">
        <w:instrText xml:space="preserve"> ADDIN EN.CITE &lt;EndNote&gt;&lt;Cite&gt;&lt;Author&gt;Youtie&lt;/Author&gt;&lt;Year&gt;2008&lt;/Year&gt;&lt;RecNum&gt;1388&lt;/RecNum&gt;&lt;DisplayText&gt;(Youtie &amp;amp; Shapira, 2008)&lt;/DisplayText&gt;&lt;record&gt;&lt;rec-number&gt;1388&lt;/rec-number&gt;&lt;foreign-keys&gt;&lt;key app="EN" db-id="pd2zewe9caaftre2ts5pzpwh9pvdwvrsss90" timestamp="1261897996"&gt;1388&lt;/key&gt;&lt;/foreign-keys&gt;&lt;ref-type name="Journal Article"&gt;17&lt;/ref-type&gt;&lt;contributors&gt;&lt;authors&gt;&lt;author&gt;Youtie, J.&lt;/author&gt;&lt;author&gt;Shapira, P.&lt;/author&gt;&lt;/authors&gt;&lt;/contributors&gt;&lt;titles&gt;&lt;title&gt;Building an innovation hub: A case study of the transformation of university roles in regional technological and economic development&lt;/title&gt;&lt;secondary-title&gt;Research Policy&lt;/secondary-title&gt;&lt;/titles&gt;&lt;periodical&gt;&lt;full-title&gt;Research Policy&lt;/full-title&gt;&lt;/periodical&gt;&lt;pages&gt;1188-1204&lt;/pages&gt;&lt;volume&gt;37&lt;/volume&gt;&lt;number&gt;8&lt;/number&gt;&lt;dates&gt;&lt;year&gt;2008&lt;/year&gt;&lt;/dates&gt;&lt;isbn&gt;0048-7333&lt;/isbn&gt;&lt;accession-num&gt;WOS:000259129300004&lt;/accession-num&gt;&lt;urls&gt;&lt;related-urls&gt;&lt;url&gt;&amp;lt;Go to ISI&amp;gt;://WOS:000259129300004&lt;/url&gt;&lt;/related-urls&gt;&lt;/urls&gt;&lt;electronic-resource-num&gt;10.1016/j.respol.2008.04.012&lt;/electronic-resource-num&gt;&lt;/record&gt;&lt;/Cite&gt;&lt;/EndNote&gt;</w:instrText>
      </w:r>
      <w:r w:rsidR="00F34D8C">
        <w:fldChar w:fldCharType="separate"/>
      </w:r>
      <w:r w:rsidR="00F34D8C">
        <w:rPr>
          <w:noProof/>
        </w:rPr>
        <w:t>(Youtie &amp; Shapira, 2008)</w:t>
      </w:r>
      <w:r w:rsidR="00F34D8C">
        <w:fldChar w:fldCharType="end"/>
      </w:r>
      <w:r w:rsidR="00F34D8C">
        <w:t xml:space="preserve"> </w:t>
      </w:r>
      <w:r w:rsidR="00F7350D">
        <w:t>make this institution</w:t>
      </w:r>
      <w:r w:rsidR="00743948">
        <w:t xml:space="preserve"> a</w:t>
      </w:r>
      <w:r w:rsidR="00F7350D">
        <w:t xml:space="preserve"> valuable organizational context that produce new organisational form</w:t>
      </w:r>
      <w:r w:rsidR="00743948">
        <w:t>s</w:t>
      </w:r>
      <w:r w:rsidR="00F7350D">
        <w:t xml:space="preserve"> </w:t>
      </w:r>
      <w:r w:rsidR="00743948">
        <w:t xml:space="preserve">that develop capabilities for successful cooperation and effective coordination under aspiration for openness. </w:t>
      </w:r>
    </w:p>
    <w:p w14:paraId="0C8B4858" w14:textId="77777777" w:rsidR="005B52BD" w:rsidRDefault="005B52BD" w:rsidP="000558BF"/>
    <w:p w14:paraId="4046914B" w14:textId="3ACF4AAC" w:rsidR="007D291F" w:rsidRDefault="00743948" w:rsidP="000558BF">
      <w:r>
        <w:t>In this paper we report an in-depth</w:t>
      </w:r>
      <w:r w:rsidR="009A3EAD">
        <w:t xml:space="preserve"> case stu</w:t>
      </w:r>
      <w:r w:rsidR="009F272D">
        <w:t>dy of a Medical Technology</w:t>
      </w:r>
      <w:r w:rsidR="009A3EAD">
        <w:t xml:space="preserve"> Innovation Centre</w:t>
      </w:r>
      <w:r w:rsidR="0031182D">
        <w:t xml:space="preserve"> (known as “</w:t>
      </w:r>
      <w:proofErr w:type="spellStart"/>
      <w:r w:rsidR="0031182D">
        <w:t>MedTech</w:t>
      </w:r>
      <w:proofErr w:type="spellEnd"/>
      <w:r w:rsidR="0031182D">
        <w:t xml:space="preserve"> Centre</w:t>
      </w:r>
      <w:r w:rsidR="009F272D">
        <w:t>”)</w:t>
      </w:r>
      <w:r w:rsidR="009A3EAD">
        <w:t xml:space="preserve">. This Centre has been established with a clear mandate to produce valuable knowledge that will be commercialised by corporate partners. </w:t>
      </w:r>
      <w:r w:rsidR="00750F11">
        <w:t>Such Centre</w:t>
      </w:r>
      <w:r w:rsidR="004517AB">
        <w:t>s act as</w:t>
      </w:r>
      <w:r w:rsidR="00750F11">
        <w:t xml:space="preserve"> boundary organisation</w:t>
      </w:r>
      <w:r w:rsidR="004517AB">
        <w:t>s</w:t>
      </w:r>
      <w:r w:rsidR="00750F11">
        <w:t xml:space="preserve"> </w:t>
      </w:r>
      <w:r w:rsidR="00F34D8C">
        <w:fldChar w:fldCharType="begin"/>
      </w:r>
      <w:r w:rsidR="00F34D8C">
        <w:instrText xml:space="preserve"> ADDIN EN.CITE &lt;EndNote&gt;&lt;Cite&gt;&lt;Author&gt;Perkmann&lt;/Author&gt;&lt;Year&gt;in press&lt;/Year&gt;&lt;RecNum&gt;2088&lt;/RecNum&gt;&lt;DisplayText&gt;(Perkmann &amp;amp; Schildt, in press)&lt;/DisplayText&gt;&lt;record&gt;&lt;rec-number&gt;2088&lt;/rec-number&gt;&lt;foreign-keys&gt;&lt;key app="EN" db-id="pd2zewe9caaftre2ts5pzpwh9pvdwvrsss90" timestamp="1421061221"&gt;2088&lt;/key&gt;&lt;/foreign-keys&gt;&lt;ref-type name="Journal Article"&gt;17&lt;/ref-type&gt;&lt;contributors&gt;&lt;authors&gt;&lt;author&gt;Perkmann, M.&lt;/author&gt;&lt;author&gt;Schildt, H.&lt;/author&gt;&lt;/authors&gt;&lt;/contributors&gt;&lt;titles&gt;&lt;title&gt;Open data partnerships between firms and universities: The rule of boundary organizations&lt;/title&gt;&lt;secondary-title&gt;Research Policy&lt;/secondary-title&gt;&lt;/titles&gt;&lt;periodical&gt;&lt;full-title&gt;Research Policy&lt;/full-title&gt;&lt;/periodical&gt;&lt;volume&gt;&lt;style face="underline" font="default" size="100%"&gt;http://dx.doi.org/10.10.1016/j.respol.2014.12.006&lt;/style&gt;&lt;/volume&gt;&lt;dates&gt;&lt;year&gt;in press&lt;/year&gt;&lt;/dates&gt;&lt;urls&gt;&lt;related-urls&gt;&lt;url&gt;http://dx.doi.org/10.10.1016/j.respol.2014.12.006&lt;/url&gt;&lt;/related-urls&gt;&lt;/urls&gt;&lt;/record&gt;&lt;/Cite&gt;&lt;/EndNote&gt;</w:instrText>
      </w:r>
      <w:r w:rsidR="00F34D8C">
        <w:fldChar w:fldCharType="separate"/>
      </w:r>
      <w:r w:rsidR="00F34D8C">
        <w:rPr>
          <w:noProof/>
        </w:rPr>
        <w:t>(Perkmann &amp; Schildt, in press)</w:t>
      </w:r>
      <w:r w:rsidR="00F34D8C">
        <w:fldChar w:fldCharType="end"/>
      </w:r>
      <w:r w:rsidR="004517AB">
        <w:t xml:space="preserve"> that span</w:t>
      </w:r>
      <w:r w:rsidR="00750F11">
        <w:t xml:space="preserve"> scientific and industrial communities, create novel interdependencies among diverse constituencies and respond to new institutional mandates </w:t>
      </w:r>
      <w:r w:rsidR="009C5305">
        <w:t xml:space="preserve">for responsibility of academic research </w:t>
      </w:r>
      <w:r w:rsidR="00F34D8C">
        <w:fldChar w:fldCharType="begin"/>
      </w:r>
      <w:r w:rsidR="00F34D8C">
        <w:instrText xml:space="preserve"> ADDIN EN.CITE &lt;EndNote&gt;&lt;Cite&gt;&lt;Author&gt;Pandza&lt;/Author&gt;&lt;Year&gt;2013&lt;/Year&gt;&lt;RecNum&gt;1683&lt;/RecNum&gt;&lt;DisplayText&gt;(Pandza &amp;amp; Ellwood, 2013)&lt;/DisplayText&gt;&lt;record&gt;&lt;rec-number&gt;1683&lt;/rec-number&gt;&lt;foreign-keys&gt;&lt;key app="EN" db-id="pd2zewe9caaftre2ts5pzpwh9pvdwvrsss90" timestamp="1325342327"&gt;1683&lt;/key&gt;&lt;/foreign-keys&gt;&lt;ref-type name="Journal Article"&gt;17&lt;/ref-type&gt;&lt;contributors&gt;&lt;authors&gt;&lt;author&gt;Pandza, K.&lt;/author&gt;&lt;author&gt;Ellwood, P.&lt;/author&gt;&lt;/authors&gt;&lt;/contributors&gt;&lt;titles&gt;&lt;title&gt;Strategic and ethical foundations for responsible innovation&lt;/title&gt;&lt;secondary-title&gt;Research Policy&lt;/secondary-title&gt;&lt;/titles&gt;&lt;periodical&gt;&lt;full-title&gt;Research Policy&lt;/full-title&gt;&lt;/periodical&gt;&lt;pages&gt;1112-1125&lt;/pages&gt;&lt;volume&gt;42&lt;/volume&gt;&lt;number&gt;5&lt;/number&gt;&lt;dates&gt;&lt;year&gt;2013&lt;/year&gt;&lt;/dates&gt;&lt;urls&gt;&lt;/urls&gt;&lt;/record&gt;&lt;/Cite&gt;&lt;/EndNote&gt;</w:instrText>
      </w:r>
      <w:r w:rsidR="00F34D8C">
        <w:fldChar w:fldCharType="separate"/>
      </w:r>
      <w:r w:rsidR="00F34D8C">
        <w:rPr>
          <w:noProof/>
        </w:rPr>
        <w:t>(Pandza &amp; Ellwood, 2013)</w:t>
      </w:r>
      <w:r w:rsidR="00F34D8C">
        <w:fldChar w:fldCharType="end"/>
      </w:r>
      <w:r w:rsidR="00F34D8C">
        <w:t>.</w:t>
      </w:r>
      <w:r w:rsidR="009C5305">
        <w:t xml:space="preserve"> </w:t>
      </w:r>
      <w:r w:rsidR="00750F11">
        <w:t xml:space="preserve">   </w:t>
      </w:r>
      <w:r w:rsidR="009A3EAD">
        <w:t xml:space="preserve"> </w:t>
      </w:r>
      <w:r>
        <w:t xml:space="preserve">  </w:t>
      </w:r>
      <w:r w:rsidR="00F7350D">
        <w:t xml:space="preserve">  </w:t>
      </w:r>
      <w:r w:rsidR="007D291F">
        <w:t xml:space="preserve">  </w:t>
      </w:r>
    </w:p>
    <w:p w14:paraId="16694464" w14:textId="77777777" w:rsidR="00A72882" w:rsidRDefault="00A72882" w:rsidP="00777374">
      <w:pPr>
        <w:pStyle w:val="MainText"/>
        <w:ind w:firstLine="284"/>
      </w:pPr>
    </w:p>
    <w:p w14:paraId="3F739413" w14:textId="77777777" w:rsidR="001A6B24" w:rsidRPr="00A933DF" w:rsidRDefault="001A6B24" w:rsidP="00777374">
      <w:pPr>
        <w:pStyle w:val="FirstPara"/>
        <w:rPr>
          <w:b/>
          <w:sz w:val="28"/>
          <w:szCs w:val="28"/>
        </w:rPr>
      </w:pPr>
      <w:r w:rsidRPr="00A933DF">
        <w:rPr>
          <w:b/>
          <w:sz w:val="28"/>
          <w:szCs w:val="28"/>
        </w:rPr>
        <w:t>Methodology</w:t>
      </w:r>
    </w:p>
    <w:p w14:paraId="5851916A" w14:textId="5F2115AC" w:rsidR="001A6B24" w:rsidRDefault="001A6B24" w:rsidP="000558BF">
      <w:r w:rsidRPr="00E93081">
        <w:t xml:space="preserve">The research </w:t>
      </w:r>
      <w:r w:rsidR="00EC5DD4">
        <w:t>explored</w:t>
      </w:r>
      <w:r w:rsidRPr="00E93081">
        <w:t xml:space="preserve"> the development and operation of a Medical Technology Innovation Centre </w:t>
      </w:r>
      <w:r w:rsidR="00B91582" w:rsidRPr="00E93081">
        <w:t>whose operation depended upon a series of open innovation relationships</w:t>
      </w:r>
      <w:r w:rsidRPr="00E93081">
        <w:t xml:space="preserve">.  The methodology adopted </w:t>
      </w:r>
      <w:r w:rsidR="009F272D">
        <w:t xml:space="preserve">in the study of open innovation at the </w:t>
      </w:r>
      <w:proofErr w:type="spellStart"/>
      <w:r w:rsidR="0031182D">
        <w:t>MedTech</w:t>
      </w:r>
      <w:proofErr w:type="spellEnd"/>
      <w:r w:rsidR="0031182D">
        <w:t xml:space="preserve"> Centre</w:t>
      </w:r>
      <w:r w:rsidR="009F272D">
        <w:t xml:space="preserve"> was that of longitudinal case research</w:t>
      </w:r>
      <w:r w:rsidRPr="00E93081">
        <w:t xml:space="preserve">.  An exploratory case study approach </w:t>
      </w:r>
      <w:r w:rsidRPr="00E93081">
        <w:fldChar w:fldCharType="begin"/>
      </w:r>
      <w:r w:rsidRPr="00E93081">
        <w:instrText xml:space="preserve"> ADDIN EN.CITE &lt;EndNote&gt;&lt;Cite&gt;&lt;Author&gt;Yin&lt;/Author&gt;&lt;Year&gt;2002&lt;/Year&gt;&lt;RecNum&gt;1430&lt;/RecNum&gt;&lt;DisplayText&gt;(Yin, 2002)&lt;/DisplayText&gt;&lt;record&gt;&lt;rec-number&gt;1430&lt;/rec-number&gt;&lt;foreign-keys&gt;&lt;key app="EN" db-id="pd2zewe9caaftre2ts5pzpwh9pvdwvrsss90" timestamp="1263592485"&gt;1430&lt;/key&gt;&lt;/foreign-keys&gt;&lt;ref-type name="Book"&gt;6&lt;/ref-type&gt;&lt;contributors&gt;&lt;authors&gt;&lt;author&gt;Yin, R.K.&lt;/author&gt;&lt;/authors&gt;&lt;/contributors&gt;&lt;titles&gt;&lt;title&gt;Case Study Research: Design and Methods&lt;/title&gt;&lt;/titles&gt;&lt;edition&gt;3rd&lt;/edition&gt;&lt;dates&gt;&lt;year&gt;2002&lt;/year&gt;&lt;/dates&gt;&lt;pub-location&gt;London&lt;/pub-location&gt;&lt;publisher&gt;Sager&lt;/publisher&gt;&lt;urls&gt;&lt;/urls&gt;&lt;/record&gt;&lt;/Cite&gt;&lt;/EndNote&gt;</w:instrText>
      </w:r>
      <w:r w:rsidRPr="00E93081">
        <w:fldChar w:fldCharType="separate"/>
      </w:r>
      <w:r w:rsidRPr="00E93081">
        <w:rPr>
          <w:noProof/>
        </w:rPr>
        <w:t>(Yin, 2002)</w:t>
      </w:r>
      <w:r w:rsidRPr="00E93081">
        <w:fldChar w:fldCharType="end"/>
      </w:r>
      <w:r w:rsidRPr="00E93081">
        <w:t xml:space="preserve"> is justified </w:t>
      </w:r>
      <w:r w:rsidR="00B91582" w:rsidRPr="00E93081">
        <w:t xml:space="preserve">in order to delineate the constituents of openness across all </w:t>
      </w:r>
      <w:r w:rsidR="009F272D">
        <w:t>the Centre’s</w:t>
      </w:r>
      <w:r w:rsidR="00B91582" w:rsidRPr="00E93081">
        <w:t xml:space="preserve"> innovation interactions</w:t>
      </w:r>
      <w:r w:rsidRPr="00E93081">
        <w:t xml:space="preserve">.  This research strategy allows the development of new ideas </w:t>
      </w:r>
      <w:r w:rsidRPr="00E93081">
        <w:fldChar w:fldCharType="begin"/>
      </w:r>
      <w:r w:rsidRPr="00E93081">
        <w:instrText xml:space="preserve"> ADDIN EN.CITE &lt;EndNote&gt;&lt;Cite&gt;&lt;Author&gt;Siggelkow&lt;/Author&gt;&lt;Year&gt;2007&lt;/Year&gt;&lt;RecNum&gt;1591&lt;/RecNum&gt;&lt;DisplayText&gt;(Siggelkow, 2007)&lt;/DisplayText&gt;&lt;record&gt;&lt;rec-number&gt;1591&lt;/rec-number&gt;&lt;foreign-keys&gt;&lt;key app="EN" db-id="pd2zewe9caaftre2ts5pzpwh9pvdwvrsss90" timestamp="1302460803"&gt;1591&lt;/key&gt;&lt;/foreign-keys&gt;&lt;ref-type name="Journal Article"&gt;17&lt;/ref-type&gt;&lt;contributors&gt;&lt;authors&gt;&lt;author&gt;Siggelkow, N.&lt;/author&gt;&lt;/authors&gt;&lt;/contributors&gt;&lt;titles&gt;&lt;title&gt;Persuasion with case studies&lt;/title&gt;&lt;secondary-title&gt;Academy of Management Journal&lt;/secondary-title&gt;&lt;/titles&gt;&lt;periodical&gt;&lt;full-title&gt;Academy of Management Journal&lt;/full-title&gt;&lt;/periodical&gt;&lt;pages&gt;20-24&lt;/pages&gt;&lt;volume&gt;50&lt;/volume&gt;&lt;number&gt;1&lt;/number&gt;&lt;dates&gt;&lt;year&gt;2007&lt;/year&gt;&lt;/dates&gt;&lt;isbn&gt;0001-4273&lt;/isbn&gt;&lt;accession-num&gt;WOS:000244976900003&lt;/accession-num&gt;&lt;urls&gt;&lt;related-urls&gt;&lt;url&gt;&amp;lt;Go to ISI&amp;gt;://WOS:000244976900003&lt;/url&gt;&lt;/related-urls&gt;&lt;/urls&gt;&lt;/record&gt;&lt;/Cite&gt;&lt;/EndNote&gt;</w:instrText>
      </w:r>
      <w:r w:rsidRPr="00E93081">
        <w:fldChar w:fldCharType="separate"/>
      </w:r>
      <w:r w:rsidRPr="00E93081">
        <w:rPr>
          <w:noProof/>
        </w:rPr>
        <w:t>(Siggelkow, 2007)</w:t>
      </w:r>
      <w:r w:rsidRPr="00E93081">
        <w:fldChar w:fldCharType="end"/>
      </w:r>
      <w:r w:rsidRPr="00E93081">
        <w:t xml:space="preserve"> and the study of the relations between them </w:t>
      </w:r>
      <w:r w:rsidRPr="00E93081">
        <w:fldChar w:fldCharType="begin"/>
      </w:r>
      <w:r w:rsidRPr="00E93081">
        <w:instrText xml:space="preserve"> ADDIN EN.CITE &lt;EndNote&gt;&lt;Cite&gt;&lt;Author&gt;Eisenhardt&lt;/Author&gt;&lt;Year&gt;1989&lt;/Year&gt;&lt;RecNum&gt;155&lt;/RecNum&gt;&lt;DisplayText&gt;(Eisenhardt, 1989)&lt;/DisplayText&gt;&lt;record&gt;&lt;rec-number&gt;155&lt;/rec-number&gt;&lt;foreign-keys&gt;&lt;key app="EN" db-id="pd2zewe9caaftre2ts5pzpwh9pvdwvrsss90" timestamp="0"&gt;155&lt;/key&gt;&lt;/foreign-keys&gt;&lt;ref-type name="Journal Article"&gt;17&lt;/ref-type&gt;&lt;contributors&gt;&lt;authors&gt;&lt;author&gt;Eisenhardt, K.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isbn&gt;0363-7425&lt;/isbn&gt;&lt;accession-num&gt;WOS:A1989AV14400005&lt;/accession-num&gt;&lt;urls&gt;&lt;related-urls&gt;&lt;url&gt;&amp;lt;Go to ISI&amp;gt;://WOS:A1989AV14400005&lt;/url&gt;&lt;/related-urls&gt;&lt;/urls&gt;&lt;/record&gt;&lt;/Cite&gt;&lt;/EndNote&gt;</w:instrText>
      </w:r>
      <w:r w:rsidRPr="00E93081">
        <w:fldChar w:fldCharType="separate"/>
      </w:r>
      <w:r w:rsidRPr="00E93081">
        <w:rPr>
          <w:noProof/>
        </w:rPr>
        <w:t>(Eisenhardt, 1989)</w:t>
      </w:r>
      <w:r w:rsidRPr="00E93081">
        <w:fldChar w:fldCharType="end"/>
      </w:r>
      <w:r w:rsidRPr="00E93081">
        <w:t xml:space="preserve">.  Researching a single case study over an extended period of </w:t>
      </w:r>
      <w:r w:rsidRPr="00E93081">
        <w:lastRenderedPageBreak/>
        <w:t xml:space="preserve">time (5 years) allows the production of a rich picture of the </w:t>
      </w:r>
      <w:r w:rsidR="00B91582" w:rsidRPr="00E93081">
        <w:t>development</w:t>
      </w:r>
      <w:r w:rsidRPr="00E93081">
        <w:t xml:space="preserve"> of</w:t>
      </w:r>
      <w:r w:rsidR="00B91582" w:rsidRPr="00E93081">
        <w:t xml:space="preserve"> open</w:t>
      </w:r>
      <w:r w:rsidRPr="00E93081">
        <w:t xml:space="preserve"> innovation practice</w:t>
      </w:r>
      <w:r w:rsidR="00B91582" w:rsidRPr="00E93081">
        <w:t>s within the centre</w:t>
      </w:r>
      <w:r w:rsidRPr="00E93081">
        <w:t>.</w:t>
      </w:r>
      <w:r w:rsidR="008B4589">
        <w:t xml:space="preserve">  </w:t>
      </w:r>
      <w:r w:rsidRPr="00E93081">
        <w:t>This Centre was one of a s</w:t>
      </w:r>
      <w:r w:rsidR="001A6922" w:rsidRPr="00E93081">
        <w:t>mall number of</w:t>
      </w:r>
      <w:r w:rsidRPr="00E93081">
        <w:t xml:space="preserve"> technology-themed university centres created in a programme funded by the (primarily business-facing) Department of Business, Innovation and Skills and the (primarily university-facing) Research Councils. </w:t>
      </w:r>
      <w:r w:rsidR="009F272D" w:rsidRPr="00E93081">
        <w:t>Two individuals initially conceived the vision, strateg</w:t>
      </w:r>
      <w:r w:rsidR="0031182D">
        <w:t>y and operational plan for the Centre</w:t>
      </w:r>
      <w:r w:rsidR="009F272D">
        <w:t>, but t</w:t>
      </w:r>
      <w:r w:rsidR="004061FB" w:rsidRPr="00E93081">
        <w:t xml:space="preserve">he innovation </w:t>
      </w:r>
      <w:r w:rsidR="009F272D" w:rsidRPr="00E93081">
        <w:t>work of the centre required the leverage of the knowledge and capabilities of a ran</w:t>
      </w:r>
      <w:r w:rsidR="009F272D">
        <w:t>ge of different stakeholders and</w:t>
      </w:r>
      <w:r w:rsidR="009F272D" w:rsidRPr="00E93081">
        <w:t xml:space="preserve"> is</w:t>
      </w:r>
      <w:r w:rsidR="007419CE" w:rsidRPr="00E93081">
        <w:t xml:space="preserve"> presented in the Research Findings section.</w:t>
      </w:r>
    </w:p>
    <w:p w14:paraId="35C00402" w14:textId="77777777" w:rsidR="00E93081" w:rsidRPr="00E93081" w:rsidRDefault="00E93081" w:rsidP="000558BF"/>
    <w:p w14:paraId="6C123D84" w14:textId="7E1DD224" w:rsidR="00E93A97" w:rsidRPr="00B83CA8" w:rsidRDefault="001A6B24" w:rsidP="000558BF">
      <w:r w:rsidRPr="00B83CA8">
        <w:t>The research for creating this longitudinal case study involved</w:t>
      </w:r>
      <w:r w:rsidR="00785FE3" w:rsidRPr="00B83CA8">
        <w:t xml:space="preserve"> small team of postgraduate and post-</w:t>
      </w:r>
      <w:r w:rsidR="009A0A8D">
        <w:t>doctoral Management Researchers</w:t>
      </w:r>
      <w:r w:rsidR="007419CE" w:rsidRPr="00B83CA8">
        <w:t xml:space="preserve"> coordinated by the authors.</w:t>
      </w:r>
      <w:r w:rsidR="00785FE3" w:rsidRPr="00B83CA8">
        <w:t xml:space="preserve">  Data collection and analysis proceeded through</w:t>
      </w:r>
      <w:r w:rsidRPr="00B83CA8">
        <w:t xml:space="preserve"> a cyclical process of: (1) generating case data; (2) </w:t>
      </w:r>
      <w:r w:rsidR="00785FE3" w:rsidRPr="00B83CA8">
        <w:t>individual management researchers analysing the data they generated; (3) the management research team discussing emerging finding at a monthly meeting</w:t>
      </w:r>
      <w:r w:rsidRPr="00B83CA8">
        <w:t>; (</w:t>
      </w:r>
      <w:r w:rsidR="00785FE3" w:rsidRPr="00B83CA8">
        <w:t>4</w:t>
      </w:r>
      <w:r w:rsidRPr="00B83CA8">
        <w:t xml:space="preserve">) feeding back this data analysis to managers within the </w:t>
      </w:r>
      <w:r w:rsidR="0031182D">
        <w:t>Centre</w:t>
      </w:r>
      <w:r w:rsidRPr="00B83CA8">
        <w:t>; (</w:t>
      </w:r>
      <w:r w:rsidR="00EE3B94" w:rsidRPr="00B83CA8">
        <w:t>5</w:t>
      </w:r>
      <w:r w:rsidRPr="00B83CA8">
        <w:t xml:space="preserve">) initiating next research cycle with generation of new data etc. The data generated included: unobtrusive documentary evidence </w:t>
      </w:r>
      <w:r w:rsidRPr="00B83CA8">
        <w:fldChar w:fldCharType="begin"/>
      </w:r>
      <w:r w:rsidR="00F34D8C" w:rsidRPr="00B83CA8">
        <w:instrText xml:space="preserve"> ADDIN EN.CITE &lt;EndNote&gt;&lt;Cite&gt;&lt;Author&gt;Webb&lt;/Author&gt;&lt;Year&gt;1979&lt;/Year&gt;&lt;RecNum&gt;1497&lt;/RecNum&gt;&lt;DisplayText&gt;(Webb &amp;amp; Weick, 1979)&lt;/DisplayText&gt;&lt;record&gt;&lt;rec-number&gt;1497&lt;/rec-number&gt;&lt;foreign-keys&gt;&lt;key app="EN" db-id="pd2zewe9caaftre2ts5pzpwh9pvdwvrsss90" timestamp="1266700412"&gt;1497&lt;/key&gt;&lt;/foreign-keys&gt;&lt;ref-type name="Journal Article"&gt;17&lt;/ref-type&gt;&lt;contributors&gt;&lt;authors&gt;&lt;author&gt;Webb, E.&lt;/author&gt;&lt;author&gt;Weick, K. E.&lt;/author&gt;&lt;/authors&gt;&lt;/contributors&gt;&lt;titles&gt;&lt;title&gt;Unobtrusive Measures in Organizational Theory - A Reminder&lt;/title&gt;&lt;secondary-title&gt;Administrative Science Quarterly&lt;/secondary-title&gt;&lt;/titles&gt;&lt;periodical&gt;&lt;full-title&gt;Administrative Science Quarterly&lt;/full-title&gt;&lt;/periodical&gt;&lt;pages&gt;650-659&lt;/pages&gt;&lt;volume&gt;24&lt;/volume&gt;&lt;number&gt;4&lt;/number&gt;&lt;dates&gt;&lt;year&gt;1979&lt;/year&gt;&lt;/dates&gt;&lt;isbn&gt;0001-8392&lt;/isbn&gt;&lt;accession-num&gt;WOS:A1979HX29300013&lt;/accession-num&gt;&lt;urls&gt;&lt;related-urls&gt;&lt;url&gt;&amp;lt;Go to ISI&amp;gt;://WOS:A1979HX29300013&lt;/url&gt;&lt;/related-urls&gt;&lt;/urls&gt;&lt;/record&gt;&lt;/Cite&gt;&lt;/EndNote&gt;</w:instrText>
      </w:r>
      <w:r w:rsidRPr="00B83CA8">
        <w:fldChar w:fldCharType="separate"/>
      </w:r>
      <w:r w:rsidR="00F34D8C" w:rsidRPr="00B83CA8">
        <w:t>(Webb &amp; Weick, 1979)</w:t>
      </w:r>
      <w:r w:rsidRPr="00B83CA8">
        <w:fldChar w:fldCharType="end"/>
      </w:r>
      <w:r w:rsidRPr="00B83CA8">
        <w:t>; int</w:t>
      </w:r>
      <w:r w:rsidR="001A6922" w:rsidRPr="00B83CA8">
        <w:t>erviews with managers, academic researchers</w:t>
      </w:r>
      <w:r w:rsidRPr="00B83CA8">
        <w:t xml:space="preserve"> and industrialists associated with the Centre; an</w:t>
      </w:r>
      <w:r w:rsidR="001A6922" w:rsidRPr="00B83CA8">
        <w:t>d participant observation of meetings within individual innovation projects that were funded by the Centre</w:t>
      </w:r>
      <w:r w:rsidRPr="00B83CA8">
        <w:t xml:space="preserve">.  </w:t>
      </w:r>
      <w:r w:rsidR="009D35DF" w:rsidRPr="00B83CA8">
        <w:t xml:space="preserve">The volume of data collected over five years was very large and summarised in Table 1.  </w:t>
      </w:r>
      <w:r w:rsidR="00A720B5" w:rsidRPr="00B83CA8">
        <w:t>Data were obtained or converted</w:t>
      </w:r>
      <w:r w:rsidR="009D35DF" w:rsidRPr="00B83CA8">
        <w:t xml:space="preserve"> </w:t>
      </w:r>
      <w:r w:rsidR="00A720B5" w:rsidRPr="00B83CA8">
        <w:t>to an electronic format</w:t>
      </w:r>
      <w:r w:rsidR="009D35DF" w:rsidRPr="00B83CA8">
        <w:t xml:space="preserve">.  These files were held on secure university networks to which all management researchers working on the project had access.  </w:t>
      </w:r>
      <w:r w:rsidRPr="00B83CA8">
        <w:t xml:space="preserve">Data were analysed in the conventional manner of qualitative case research </w:t>
      </w:r>
      <w:r w:rsidRPr="00B83CA8">
        <w:fldChar w:fldCharType="begin"/>
      </w:r>
      <w:r w:rsidR="00F34D8C" w:rsidRPr="00B83CA8">
        <w:instrText xml:space="preserve"> ADDIN EN.CITE &lt;EndNote&gt;&lt;Cite&gt;&lt;Author&gt;Miles&lt;/Author&gt;&lt;Year&gt;1994&lt;/Year&gt;&lt;RecNum&gt;1915&lt;/RecNum&gt;&lt;Prefix&gt;cf. &lt;/Prefix&gt;&lt;DisplayText&gt;(cf. Miles &amp;amp; Huberman, 1994)&lt;/DisplayText&gt;&lt;record&gt;&lt;rec-number&gt;1915&lt;/rec-number&gt;&lt;foreign-keys&gt;&lt;key app="EN" db-id="pd2zewe9caaftre2ts5pzpwh9pvdwvrsss90" timestamp="1365920782"&gt;1915&lt;/key&gt;&lt;/foreign-keys&gt;&lt;ref-type name="Book"&gt;6&lt;/ref-type&gt;&lt;contributors&gt;&lt;authors&gt;&lt;author&gt;Miles, M. B.&lt;/author&gt;&lt;author&gt;Huberman, A. M.&lt;/author&gt;&lt;/authors&gt;&lt;/contributors&gt;&lt;titles&gt;&lt;title&gt;Qualitative Data Analysis&lt;/title&gt;&lt;/titles&gt;&lt;dates&gt;&lt;year&gt;1994&lt;/year&gt;&lt;/dates&gt;&lt;pub-location&gt;Beverley Hills, CA&lt;/pub-location&gt;&lt;publisher&gt;Sage&lt;/publisher&gt;&lt;urls&gt;&lt;/urls&gt;&lt;/record&gt;&lt;/Cite&gt;&lt;/EndNote&gt;</w:instrText>
      </w:r>
      <w:r w:rsidRPr="00B83CA8">
        <w:fldChar w:fldCharType="separate"/>
      </w:r>
      <w:r w:rsidR="00F34D8C" w:rsidRPr="00B83CA8">
        <w:t>(cf. Miles &amp; Huberman, 1994)</w:t>
      </w:r>
      <w:r w:rsidRPr="00B83CA8">
        <w:fldChar w:fldCharType="end"/>
      </w:r>
      <w:r w:rsidRPr="00B83CA8">
        <w:t xml:space="preserve"> in order to identify key </w:t>
      </w:r>
      <w:r w:rsidR="009D35DF" w:rsidRPr="00B83CA8">
        <w:t>themes</w:t>
      </w:r>
      <w:r w:rsidRPr="00B83CA8">
        <w:t xml:space="preserve"> of inn</w:t>
      </w:r>
      <w:r w:rsidR="009D35DF" w:rsidRPr="00B83CA8">
        <w:t>ovati</w:t>
      </w:r>
      <w:r w:rsidR="00EE3B94" w:rsidRPr="00B83CA8">
        <w:t>on work with the Centre.  The</w:t>
      </w:r>
      <w:r w:rsidR="009D35DF" w:rsidRPr="00B83CA8">
        <w:t xml:space="preserve"> emerging picture of the</w:t>
      </w:r>
      <w:r w:rsidRPr="00B83CA8">
        <w:t xml:space="preserve"> </w:t>
      </w:r>
      <w:r w:rsidR="009D35DF" w:rsidRPr="00B83CA8">
        <w:t>innovation</w:t>
      </w:r>
      <w:r w:rsidRPr="00B83CA8">
        <w:t xml:space="preserve"> work was critiqued in relation to both established local commercialisation practices, and the extant literature on technology transfer</w:t>
      </w:r>
      <w:r w:rsidR="001A6922" w:rsidRPr="00B83CA8">
        <w:t xml:space="preserve"> an</w:t>
      </w:r>
      <w:r w:rsidR="00455A00" w:rsidRPr="00B83CA8">
        <w:t>d the commercialisation of</w:t>
      </w:r>
      <w:r w:rsidR="001A6922" w:rsidRPr="00B83CA8">
        <w:t xml:space="preserve"> science</w:t>
      </w:r>
      <w:r w:rsidRPr="00B83CA8">
        <w:t xml:space="preserve">.  </w:t>
      </w:r>
      <w:r w:rsidR="00455A00" w:rsidRPr="00B83CA8">
        <w:t>Further discussion</w:t>
      </w:r>
      <w:r w:rsidRPr="00B83CA8">
        <w:t xml:space="preserve"> of the emerging findings took place at monthly meetings held between the </w:t>
      </w:r>
      <w:r w:rsidR="00785FE3" w:rsidRPr="00B83CA8">
        <w:t xml:space="preserve">management </w:t>
      </w:r>
      <w:r w:rsidRPr="00B83CA8">
        <w:t xml:space="preserve">researchers and the </w:t>
      </w:r>
      <w:r w:rsidR="0031182D">
        <w:t>Centre’s</w:t>
      </w:r>
      <w:r w:rsidR="00455A00" w:rsidRPr="00B83CA8">
        <w:t xml:space="preserve"> </w:t>
      </w:r>
      <w:r w:rsidRPr="00B83CA8">
        <w:t xml:space="preserve">operational team. These sessions acted both to clarify the understanding of data generated by </w:t>
      </w:r>
      <w:r w:rsidR="00FC465A" w:rsidRPr="00B83CA8">
        <w:t xml:space="preserve">management </w:t>
      </w:r>
      <w:r w:rsidRPr="00B83CA8">
        <w:t xml:space="preserve">researchers, and as a challenge to the operations team’s management of </w:t>
      </w:r>
      <w:r w:rsidR="001A6922" w:rsidRPr="00B83CA8">
        <w:t>innovation</w:t>
      </w:r>
      <w:r w:rsidRPr="00B83CA8">
        <w:t xml:space="preserve">.  The rich, longitudinal case study reported in this paper </w:t>
      </w:r>
      <w:r w:rsidRPr="00B83CA8">
        <w:lastRenderedPageBreak/>
        <w:t xml:space="preserve">was </w:t>
      </w:r>
      <w:r w:rsidR="001A6922" w:rsidRPr="00B83CA8">
        <w:t xml:space="preserve">thus </w:t>
      </w:r>
      <w:r w:rsidRPr="00B83CA8">
        <w:t>built upon these repeated cycles of qualitative data analysis by management researchers, and critical reflection on the part of innovation managers.</w:t>
      </w:r>
    </w:p>
    <w:p w14:paraId="354406DC" w14:textId="77777777" w:rsidR="007419CE" w:rsidRPr="00E93081" w:rsidRDefault="007419CE" w:rsidP="00777374"/>
    <w:p w14:paraId="2EB22A08" w14:textId="6F71D9D2" w:rsidR="00BA6EF7" w:rsidRPr="00BA6EF7" w:rsidRDefault="00BA6EF7" w:rsidP="00BA6EF7">
      <w:pPr>
        <w:pStyle w:val="Caption"/>
      </w:pPr>
      <w:r w:rsidRPr="00BA6EF7">
        <w:t xml:space="preserve">Table </w:t>
      </w:r>
      <w:r w:rsidR="00B6021A">
        <w:fldChar w:fldCharType="begin"/>
      </w:r>
      <w:r w:rsidR="00B6021A">
        <w:instrText xml:space="preserve"> SEQ Table \* ARABIC </w:instrText>
      </w:r>
      <w:r w:rsidR="00B6021A">
        <w:fldChar w:fldCharType="separate"/>
      </w:r>
      <w:r w:rsidR="007F3570">
        <w:rPr>
          <w:noProof/>
        </w:rPr>
        <w:t>1</w:t>
      </w:r>
      <w:r w:rsidR="00B6021A">
        <w:rPr>
          <w:noProof/>
        </w:rPr>
        <w:fldChar w:fldCharType="end"/>
      </w:r>
      <w:r w:rsidRPr="00BA6EF7">
        <w:t xml:space="preserve"> – Qualitative data generated through case research</w:t>
      </w:r>
    </w:p>
    <w:tbl>
      <w:tblPr>
        <w:tblStyle w:val="TableGrid"/>
        <w:tblW w:w="0" w:type="auto"/>
        <w:tblLook w:val="04A0" w:firstRow="1" w:lastRow="0" w:firstColumn="1" w:lastColumn="0" w:noHBand="0" w:noVBand="1"/>
      </w:tblPr>
      <w:tblGrid>
        <w:gridCol w:w="2376"/>
        <w:gridCol w:w="6140"/>
      </w:tblGrid>
      <w:tr w:rsidR="007419CE" w14:paraId="77D23423" w14:textId="77777777" w:rsidTr="00B83CA8">
        <w:tc>
          <w:tcPr>
            <w:tcW w:w="2376" w:type="dxa"/>
            <w:shd w:val="clear" w:color="auto" w:fill="C0C0C0"/>
          </w:tcPr>
          <w:p w14:paraId="69382D14" w14:textId="2DC6014A" w:rsidR="007419CE" w:rsidRPr="002B5C3B" w:rsidRDefault="007419CE" w:rsidP="00777374">
            <w:pPr>
              <w:jc w:val="center"/>
              <w:rPr>
                <w:b/>
              </w:rPr>
            </w:pPr>
            <w:r w:rsidRPr="002B5C3B">
              <w:rPr>
                <w:b/>
              </w:rPr>
              <w:t>Method</w:t>
            </w:r>
          </w:p>
        </w:tc>
        <w:tc>
          <w:tcPr>
            <w:tcW w:w="6140" w:type="dxa"/>
            <w:shd w:val="clear" w:color="auto" w:fill="C0C0C0"/>
          </w:tcPr>
          <w:p w14:paraId="2B264FDA" w14:textId="6DE1C9FB" w:rsidR="007419CE" w:rsidRPr="002B5C3B" w:rsidRDefault="002B5C3B" w:rsidP="00777374">
            <w:pPr>
              <w:jc w:val="center"/>
              <w:rPr>
                <w:b/>
              </w:rPr>
            </w:pPr>
            <w:r w:rsidRPr="002B5C3B">
              <w:rPr>
                <w:b/>
              </w:rPr>
              <w:t>Type</w:t>
            </w:r>
            <w:r>
              <w:rPr>
                <w:b/>
              </w:rPr>
              <w:t xml:space="preserve"> (and quantity)</w:t>
            </w:r>
          </w:p>
        </w:tc>
      </w:tr>
      <w:tr w:rsidR="007419CE" w14:paraId="58FFD0F9" w14:textId="77777777" w:rsidTr="00B83CA8">
        <w:tc>
          <w:tcPr>
            <w:tcW w:w="2376" w:type="dxa"/>
          </w:tcPr>
          <w:p w14:paraId="562709AA" w14:textId="0041FC04" w:rsidR="007419CE" w:rsidRDefault="002B5C3B" w:rsidP="001A6ED2">
            <w:pPr>
              <w:spacing w:line="240" w:lineRule="auto"/>
            </w:pPr>
            <w:r>
              <w:t>Semi-structured interviews</w:t>
            </w:r>
          </w:p>
        </w:tc>
        <w:tc>
          <w:tcPr>
            <w:tcW w:w="6140" w:type="dxa"/>
          </w:tcPr>
          <w:p w14:paraId="630B96CE" w14:textId="5913AF21" w:rsidR="007419CE" w:rsidRDefault="002B5C3B" w:rsidP="001A6ED2">
            <w:pPr>
              <w:pStyle w:val="ListParagraph"/>
              <w:numPr>
                <w:ilvl w:val="0"/>
                <w:numId w:val="1"/>
              </w:numPr>
              <w:spacing w:line="240" w:lineRule="auto"/>
              <w:ind w:left="0" w:hanging="218"/>
            </w:pPr>
            <w:r>
              <w:t>Executive team members (31)</w:t>
            </w:r>
          </w:p>
          <w:p w14:paraId="36993535" w14:textId="63326F29" w:rsidR="002B5C3B" w:rsidRDefault="002B5C3B" w:rsidP="001A6ED2">
            <w:pPr>
              <w:pStyle w:val="ListParagraph"/>
              <w:numPr>
                <w:ilvl w:val="0"/>
                <w:numId w:val="1"/>
              </w:numPr>
              <w:spacing w:line="240" w:lineRule="auto"/>
              <w:ind w:left="0" w:hanging="218"/>
            </w:pPr>
            <w:r>
              <w:t>Operational team members (27)</w:t>
            </w:r>
          </w:p>
          <w:p w14:paraId="107C12BA" w14:textId="77777777" w:rsidR="002B5C3B" w:rsidRDefault="002B5C3B" w:rsidP="001A6ED2">
            <w:pPr>
              <w:pStyle w:val="ListParagraph"/>
              <w:numPr>
                <w:ilvl w:val="0"/>
                <w:numId w:val="1"/>
              </w:numPr>
              <w:spacing w:line="240" w:lineRule="auto"/>
              <w:ind w:left="0" w:hanging="218"/>
            </w:pPr>
            <w:r>
              <w:t>Individual innovation project members (24)</w:t>
            </w:r>
          </w:p>
          <w:p w14:paraId="32AAAEC7" w14:textId="4FD825D9" w:rsidR="002B5C3B" w:rsidRDefault="002B5C3B" w:rsidP="001A6ED2">
            <w:pPr>
              <w:pStyle w:val="ListParagraph"/>
              <w:numPr>
                <w:ilvl w:val="0"/>
                <w:numId w:val="1"/>
              </w:numPr>
              <w:spacing w:line="240" w:lineRule="auto"/>
              <w:ind w:left="0" w:hanging="218"/>
            </w:pPr>
            <w:r>
              <w:t>Industrial collaborators (</w:t>
            </w:r>
            <w:r w:rsidR="00625848">
              <w:t>6</w:t>
            </w:r>
            <w:r>
              <w:t>)</w:t>
            </w:r>
          </w:p>
        </w:tc>
      </w:tr>
      <w:tr w:rsidR="007419CE" w14:paraId="029977D6" w14:textId="77777777" w:rsidTr="00B83CA8">
        <w:tc>
          <w:tcPr>
            <w:tcW w:w="2376" w:type="dxa"/>
          </w:tcPr>
          <w:p w14:paraId="6900C1A3" w14:textId="02E71E19" w:rsidR="007419CE" w:rsidRDefault="002B5C3B" w:rsidP="001A6ED2">
            <w:pPr>
              <w:spacing w:line="240" w:lineRule="auto"/>
            </w:pPr>
            <w:r>
              <w:t>Documentary evidence</w:t>
            </w:r>
          </w:p>
        </w:tc>
        <w:tc>
          <w:tcPr>
            <w:tcW w:w="6140" w:type="dxa"/>
          </w:tcPr>
          <w:p w14:paraId="732CDEE0" w14:textId="07F701F3" w:rsidR="00BB6618" w:rsidRDefault="0031182D" w:rsidP="001A6ED2">
            <w:pPr>
              <w:pStyle w:val="ListParagraph"/>
              <w:numPr>
                <w:ilvl w:val="0"/>
                <w:numId w:val="2"/>
              </w:numPr>
              <w:spacing w:line="240" w:lineRule="auto"/>
              <w:ind w:left="0" w:hanging="218"/>
              <w:jc w:val="left"/>
              <w:rPr>
                <w:lang w:val="en-US"/>
              </w:rPr>
            </w:pPr>
            <w:r>
              <w:rPr>
                <w:lang w:val="en-US"/>
              </w:rPr>
              <w:t>S</w:t>
            </w:r>
            <w:r w:rsidR="00BB6618" w:rsidRPr="00BB6618">
              <w:rPr>
                <w:lang w:val="en-US"/>
              </w:rPr>
              <w:t>trategy statements/op</w:t>
            </w:r>
            <w:r w:rsidR="00BB6618">
              <w:rPr>
                <w:lang w:val="en-US"/>
              </w:rPr>
              <w:t>erating plans/funding proposals</w:t>
            </w:r>
            <w:r w:rsidR="00BB6618" w:rsidRPr="00BB6618">
              <w:rPr>
                <w:lang w:val="en-US"/>
              </w:rPr>
              <w:t xml:space="preserve"> </w:t>
            </w:r>
            <w:r w:rsidR="00BB6618">
              <w:rPr>
                <w:lang w:val="en-US"/>
              </w:rPr>
              <w:t>(</w:t>
            </w:r>
            <w:r w:rsidR="00BB6618" w:rsidRPr="00BB6618">
              <w:rPr>
                <w:lang w:val="en-US"/>
              </w:rPr>
              <w:t>29 documents</w:t>
            </w:r>
            <w:r w:rsidR="00BB6618">
              <w:rPr>
                <w:lang w:val="en-US"/>
              </w:rPr>
              <w:t>)</w:t>
            </w:r>
          </w:p>
          <w:p w14:paraId="5A573DAE" w14:textId="1FCE68E0" w:rsidR="004A6EFB" w:rsidRDefault="0031182D" w:rsidP="001A6ED2">
            <w:pPr>
              <w:pStyle w:val="ListParagraph"/>
              <w:numPr>
                <w:ilvl w:val="0"/>
                <w:numId w:val="2"/>
              </w:numPr>
              <w:spacing w:line="240" w:lineRule="auto"/>
              <w:ind w:left="0" w:hanging="218"/>
              <w:jc w:val="left"/>
              <w:rPr>
                <w:lang w:val="en-US"/>
              </w:rPr>
            </w:pPr>
            <w:r>
              <w:rPr>
                <w:lang w:val="en-US"/>
              </w:rPr>
              <w:t>Q</w:t>
            </w:r>
            <w:r w:rsidR="004A6EFB">
              <w:rPr>
                <w:lang w:val="en-US"/>
              </w:rPr>
              <w:t>uarterly progress reports (</w:t>
            </w:r>
            <w:r w:rsidR="00625848">
              <w:rPr>
                <w:lang w:val="en-US"/>
              </w:rPr>
              <w:t>20</w:t>
            </w:r>
            <w:r w:rsidR="004A6EFB">
              <w:rPr>
                <w:lang w:val="en-US"/>
              </w:rPr>
              <w:t xml:space="preserve"> reports)</w:t>
            </w:r>
          </w:p>
          <w:p w14:paraId="732E8F82" w14:textId="41440591" w:rsidR="00BB6618" w:rsidRDefault="00BB6618" w:rsidP="001A6ED2">
            <w:pPr>
              <w:pStyle w:val="ListParagraph"/>
              <w:numPr>
                <w:ilvl w:val="0"/>
                <w:numId w:val="2"/>
              </w:numPr>
              <w:spacing w:line="240" w:lineRule="auto"/>
              <w:ind w:left="0" w:hanging="218"/>
              <w:jc w:val="left"/>
              <w:rPr>
                <w:lang w:val="en-US"/>
              </w:rPr>
            </w:pPr>
            <w:r>
              <w:rPr>
                <w:lang w:val="en-US"/>
              </w:rPr>
              <w:t>Annual Reports</w:t>
            </w:r>
            <w:r w:rsidRPr="00BB6618">
              <w:rPr>
                <w:lang w:val="en-US"/>
              </w:rPr>
              <w:t xml:space="preserve"> </w:t>
            </w:r>
            <w:r>
              <w:rPr>
                <w:lang w:val="en-US"/>
              </w:rPr>
              <w:t>(</w:t>
            </w:r>
            <w:r w:rsidRPr="00BB6618">
              <w:rPr>
                <w:lang w:val="en-US"/>
              </w:rPr>
              <w:t>3 reports</w:t>
            </w:r>
            <w:r>
              <w:rPr>
                <w:lang w:val="en-US"/>
              </w:rPr>
              <w:t>)</w:t>
            </w:r>
          </w:p>
          <w:p w14:paraId="69965AB9" w14:textId="77777777" w:rsidR="007419CE" w:rsidRDefault="00BB6618" w:rsidP="001A6ED2">
            <w:pPr>
              <w:pStyle w:val="ListParagraph"/>
              <w:numPr>
                <w:ilvl w:val="0"/>
                <w:numId w:val="2"/>
              </w:numPr>
              <w:spacing w:line="240" w:lineRule="auto"/>
              <w:ind w:left="0" w:hanging="218"/>
              <w:jc w:val="left"/>
              <w:rPr>
                <w:lang w:val="en-US"/>
              </w:rPr>
            </w:pPr>
            <w:r w:rsidRPr="00BB6618">
              <w:rPr>
                <w:lang w:val="en-US"/>
              </w:rPr>
              <w:t>Papers &amp; minut</w:t>
            </w:r>
            <w:r>
              <w:rPr>
                <w:lang w:val="en-US"/>
              </w:rPr>
              <w:t>es of Executive Board Meetings (</w:t>
            </w:r>
            <w:r w:rsidRPr="00BB6618">
              <w:rPr>
                <w:lang w:val="en-US"/>
              </w:rPr>
              <w:t>38 meetings</w:t>
            </w:r>
            <w:r>
              <w:rPr>
                <w:lang w:val="en-US"/>
              </w:rPr>
              <w:t>)</w:t>
            </w:r>
          </w:p>
          <w:p w14:paraId="5D117A9B" w14:textId="607F3B37" w:rsidR="00BB6618" w:rsidRPr="004A6EFB" w:rsidRDefault="00BB6618" w:rsidP="001A6ED2">
            <w:pPr>
              <w:pStyle w:val="ListParagraph"/>
              <w:numPr>
                <w:ilvl w:val="0"/>
                <w:numId w:val="2"/>
              </w:numPr>
              <w:spacing w:line="240" w:lineRule="auto"/>
              <w:ind w:left="0" w:hanging="218"/>
              <w:jc w:val="left"/>
              <w:rPr>
                <w:lang w:val="en-US"/>
              </w:rPr>
            </w:pPr>
            <w:r>
              <w:rPr>
                <w:lang w:val="en-US"/>
              </w:rPr>
              <w:t>Individual innovation project funding proposals and progress reports (</w:t>
            </w:r>
            <w:r w:rsidR="00356296">
              <w:rPr>
                <w:lang w:val="en-US"/>
              </w:rPr>
              <w:t>16 funded projects</w:t>
            </w:r>
            <w:r>
              <w:rPr>
                <w:lang w:val="en-US"/>
              </w:rPr>
              <w:t>)</w:t>
            </w:r>
          </w:p>
        </w:tc>
      </w:tr>
      <w:tr w:rsidR="007419CE" w14:paraId="3EA5F133" w14:textId="77777777" w:rsidTr="00B83CA8">
        <w:tc>
          <w:tcPr>
            <w:tcW w:w="2376" w:type="dxa"/>
          </w:tcPr>
          <w:p w14:paraId="5496F2F4" w14:textId="551CD953" w:rsidR="007419CE" w:rsidRDefault="002B5C3B" w:rsidP="001A6ED2">
            <w:pPr>
              <w:spacing w:line="240" w:lineRule="auto"/>
            </w:pPr>
            <w:r>
              <w:t>Participant Observations</w:t>
            </w:r>
          </w:p>
        </w:tc>
        <w:tc>
          <w:tcPr>
            <w:tcW w:w="6140" w:type="dxa"/>
          </w:tcPr>
          <w:p w14:paraId="3DF36CE9" w14:textId="16062660" w:rsidR="007419CE" w:rsidRDefault="004A6EFB" w:rsidP="001A6ED2">
            <w:pPr>
              <w:pStyle w:val="ListParagraph"/>
              <w:numPr>
                <w:ilvl w:val="0"/>
                <w:numId w:val="3"/>
              </w:numPr>
              <w:spacing w:line="240" w:lineRule="auto"/>
              <w:ind w:left="0" w:hanging="218"/>
            </w:pPr>
            <w:r>
              <w:t>Observation of individual innovation projects (</w:t>
            </w:r>
            <w:r w:rsidR="00625848">
              <w:t>6</w:t>
            </w:r>
            <w:r>
              <w:t xml:space="preserve"> projects were followed)</w:t>
            </w:r>
          </w:p>
        </w:tc>
      </w:tr>
    </w:tbl>
    <w:p w14:paraId="46CCFB7E" w14:textId="77777777" w:rsidR="00E93081" w:rsidRDefault="00E93081" w:rsidP="00777374">
      <w:pPr>
        <w:rPr>
          <w:b/>
        </w:rPr>
      </w:pPr>
    </w:p>
    <w:p w14:paraId="18A3A4A5" w14:textId="1CB0F257" w:rsidR="005116B8" w:rsidRPr="005116B8" w:rsidRDefault="005116B8" w:rsidP="000558BF">
      <w:r w:rsidRPr="005116B8">
        <w:t>In this paper we have focussed on</w:t>
      </w:r>
      <w:r>
        <w:t xml:space="preserve"> information provided in the official documents produced by the </w:t>
      </w:r>
      <w:proofErr w:type="spellStart"/>
      <w:r>
        <w:t>MedTech</w:t>
      </w:r>
      <w:proofErr w:type="spellEnd"/>
      <w:r>
        <w:t xml:space="preserve"> Cen</w:t>
      </w:r>
      <w:r w:rsidR="009C07EA">
        <w:t xml:space="preserve">tre.  From these documents we have collected 56 innovation narratives </w:t>
      </w:r>
      <w:r w:rsidR="009C07EA">
        <w:fldChar w:fldCharType="begin"/>
      </w:r>
      <w:r w:rsidR="009C07EA">
        <w:instrText xml:space="preserve"> ADDIN EN.CITE &lt;EndNote&gt;&lt;Cite&gt;&lt;Author&gt;Bartel&lt;/Author&gt;&lt;Year&gt;2009&lt;/Year&gt;&lt;RecNum&gt;2075&lt;/RecNum&gt;&lt;Prefix&gt;cf. &lt;/Prefix&gt;&lt;DisplayText&gt;(cf. Bartel &amp;amp; Garud, 2009)&lt;/DisplayText&gt;&lt;record&gt;&lt;rec-number&gt;2075&lt;/rec-number&gt;&lt;foreign-keys&gt;&lt;key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9C07EA">
        <w:fldChar w:fldCharType="separate"/>
      </w:r>
      <w:r w:rsidR="009C07EA">
        <w:rPr>
          <w:noProof/>
        </w:rPr>
        <w:t>(cf. Bartel &amp; Garud, 2009)</w:t>
      </w:r>
      <w:r w:rsidR="009C07EA">
        <w:fldChar w:fldCharType="end"/>
      </w:r>
      <w:r w:rsidR="009C07EA">
        <w:t xml:space="preserve"> related to individual projects funded by the Centre.  In addition we collected 21 </w:t>
      </w:r>
      <w:r w:rsidR="009C07EA" w:rsidRPr="009C07EA">
        <w:rPr>
          <w:i/>
        </w:rPr>
        <w:t>strategic innovation narratives</w:t>
      </w:r>
      <w:r w:rsidR="009C07EA">
        <w:t xml:space="preserve"> that described, in a structured manner, the aims and organisation of innovation at the level of the Centre itself.</w:t>
      </w:r>
      <w:r w:rsidR="009F5E58">
        <w:t xml:space="preserve">  Each of these narratives </w:t>
      </w:r>
      <w:r w:rsidR="0069324B">
        <w:t>was</w:t>
      </w:r>
      <w:r w:rsidR="009F5E58">
        <w:t xml:space="preserve"> coded by different ideas that reoccurred within the narratives</w:t>
      </w:r>
      <w:r w:rsidR="002617B6">
        <w:t>.  The 28 ideas were then clustered into more coherent “themes”.  We came to understand this stock of themes as a resource which managers in the Centre drew from in order to craft various narratives (we note that these also reoccurred in interviews with the managers and in our participant observations; though we do not draw upon this data in this paper).  The same stock of themes reoccurred within the innovation narratives of individual projects and the strategic innovation narratives of the Centre itself.  In the final part of our analysis to date we split the documents into three broad chronological phases:</w:t>
      </w:r>
      <w:r w:rsidR="00826AA2">
        <w:t xml:space="preserve"> (1) the preparation of the Centre’s funding proposal and the set up of its operation (after funding was secured); (2) the </w:t>
      </w:r>
      <w:r w:rsidR="008D6247">
        <w:t>middle</w:t>
      </w:r>
      <w:r w:rsidR="00826AA2">
        <w:t xml:space="preserve"> years (2,3 and 4) of the 5 year funded programme; and (3) the final </w:t>
      </w:r>
      <w:r w:rsidR="00826AA2">
        <w:lastRenderedPageBreak/>
        <w:t>year of the funded programme.  We exami</w:t>
      </w:r>
      <w:r w:rsidR="008D6247">
        <w:t>ned how (if at all</w:t>
      </w:r>
      <w:r w:rsidR="001329D6">
        <w:t>) the themes changed across this broad chronological sweep.  The findings from this process of coding, clustering and examination for cha</w:t>
      </w:r>
      <w:r w:rsidR="000C730D">
        <w:t xml:space="preserve">nge are presented after a </w:t>
      </w:r>
      <w:r w:rsidR="001329D6">
        <w:t>case description.</w:t>
      </w:r>
    </w:p>
    <w:p w14:paraId="21641C6F" w14:textId="77777777" w:rsidR="005116B8" w:rsidRDefault="005116B8" w:rsidP="00777374">
      <w:pPr>
        <w:rPr>
          <w:b/>
        </w:rPr>
      </w:pPr>
    </w:p>
    <w:p w14:paraId="549BD36A" w14:textId="2E5CE850" w:rsidR="000C730D" w:rsidRPr="00D712C8" w:rsidRDefault="000C730D" w:rsidP="000C730D">
      <w:pPr>
        <w:rPr>
          <w:b/>
          <w:bCs/>
        </w:rPr>
      </w:pPr>
      <w:bookmarkStart w:id="0" w:name="_Toc286345837"/>
      <w:r w:rsidRPr="000C730D">
        <w:rPr>
          <w:b/>
          <w:bCs/>
        </w:rPr>
        <w:t xml:space="preserve">Case Study – The </w:t>
      </w:r>
      <w:bookmarkEnd w:id="0"/>
      <w:proofErr w:type="spellStart"/>
      <w:r w:rsidRPr="000C730D">
        <w:rPr>
          <w:b/>
          <w:bCs/>
        </w:rPr>
        <w:t>MedTech</w:t>
      </w:r>
      <w:proofErr w:type="spellEnd"/>
      <w:r w:rsidRPr="000C730D">
        <w:rPr>
          <w:b/>
          <w:bCs/>
        </w:rPr>
        <w:t xml:space="preserve"> Innovation Centre</w:t>
      </w:r>
    </w:p>
    <w:p w14:paraId="79FF659A" w14:textId="50B7B402" w:rsidR="000C730D" w:rsidRDefault="000C730D" w:rsidP="000C730D">
      <w:r w:rsidRPr="000C730D">
        <w:t xml:space="preserve">Focussed primarily on medical technology areas in which the host university had a demonstrable strength, the Centre sought to accelerate the commercialization of new therapies and devices with the introduction of new routines to institutionally established proof of concept (PoC) processes.  Conventional PoC processes had been applied at the host university over a number of years and were judged locally to have delivered mixed results.  Such PoC processes in keeping with known practices incorporated routines such as: proposal development supported by business development specialists; mandating commercial interest in proposals from academics; funding decisions taken by an independent panel of both university and industry people knowledgeable about medical technology in general.  To these general routines, the </w:t>
      </w:r>
      <w:r w:rsidR="0031182D">
        <w:t>Centre</w:t>
      </w:r>
      <w:r w:rsidRPr="000C730D">
        <w:t xml:space="preserve">’s original design intent was to contribute new expertise to support effective early-stage decision-making.  Such expertise incorporated that of health economics analysis, clinical trials design, improved diagnostics for enhanced patient targeting and complex simulation methodologies (“patient in the lab”) for improving short-term predictions of the long-term clinical outcomes.  The overall aim was to create “innovation in the discovery process by </w:t>
      </w:r>
      <w:proofErr w:type="spellStart"/>
      <w:r w:rsidRPr="000C730D">
        <w:t>operationalising</w:t>
      </w:r>
      <w:proofErr w:type="spellEnd"/>
      <w:r w:rsidRPr="000C730D">
        <w:t xml:space="preserve"> a philosophy of early testing for failure” [</w:t>
      </w:r>
      <w:proofErr w:type="spellStart"/>
      <w:r w:rsidR="0031182D">
        <w:t>MedTech</w:t>
      </w:r>
      <w:proofErr w:type="spellEnd"/>
      <w:r w:rsidR="0031182D">
        <w:t xml:space="preserve"> Centre</w:t>
      </w:r>
      <w:r w:rsidRPr="000C730D">
        <w:t xml:space="preserve"> Chairman at Early Stakeholder consultation event].</w:t>
      </w:r>
    </w:p>
    <w:p w14:paraId="18B49969" w14:textId="77777777" w:rsidR="00F6652C" w:rsidRPr="000C730D" w:rsidRDefault="00F6652C" w:rsidP="000C730D"/>
    <w:p w14:paraId="55E9C2F9" w14:textId="77777777" w:rsidR="000C730D" w:rsidRPr="000C730D" w:rsidRDefault="000C730D" w:rsidP="000C730D">
      <w:pPr>
        <w:rPr>
          <w:b/>
          <w:bCs/>
          <w:i/>
        </w:rPr>
      </w:pPr>
      <w:r w:rsidRPr="000C730D">
        <w:rPr>
          <w:b/>
          <w:bCs/>
          <w:i/>
        </w:rPr>
        <w:t>Proposal stage and first year of operation</w:t>
      </w:r>
    </w:p>
    <w:p w14:paraId="03E9B861" w14:textId="77777777" w:rsidR="000C730D" w:rsidRDefault="000C730D" w:rsidP="000C730D">
      <w:r w:rsidRPr="000C730D">
        <w:t xml:space="preserve">This outline case history starts with the Centre’s two originators: Professor A, a distinguished university scientist with a track record in commercialising science; and Dr B, and innovation practitioner experienced not only in the practice of technology transfer but also in working with Government funding agencies.  At the outset they did not have the resources or capabilities necessary to operate a technology innovation centre. Prof A and Dr B worked with other scientists and companies from within their personal networks, combining their capabilities, in order to produce a </w:t>
      </w:r>
      <w:r w:rsidRPr="000C730D">
        <w:lastRenderedPageBreak/>
        <w:t>coherent strategy and operational plan for the centre.  These artefacts then formed the basis of a funding application to Government agencies.</w:t>
      </w:r>
    </w:p>
    <w:p w14:paraId="4B4DC7E6" w14:textId="77777777" w:rsidR="0069324B" w:rsidRPr="000C730D" w:rsidRDefault="0069324B" w:rsidP="000C730D"/>
    <w:p w14:paraId="3853269F" w14:textId="77777777" w:rsidR="000C730D" w:rsidRPr="000C730D" w:rsidRDefault="000C730D" w:rsidP="000C730D">
      <w:pPr>
        <w:rPr>
          <w:lang w:val="en-US"/>
        </w:rPr>
      </w:pPr>
      <w:r w:rsidRPr="000C730D">
        <w:t>This call for funding for university innovation centres did not specify an operating model.  A policy document from the main sponsoring department of Government noted: “</w:t>
      </w:r>
      <w:r w:rsidRPr="000C730D">
        <w:rPr>
          <w:i/>
          <w:lang w:val="en-US"/>
        </w:rPr>
        <w:t>we regard them as early stage nucleating points for an emerging industry – that is they act as a magnet for those working in an emerging technology area, helping to advance the science, helping companies to explore the potential of that technology in a range of markets to see which are the most promising, and helping to build the skills that will accelerate commercialisation of new products and services</w:t>
      </w:r>
      <w:r w:rsidRPr="000C730D">
        <w:rPr>
          <w:lang w:val="en-US"/>
        </w:rPr>
        <w:t xml:space="preserve">” </w:t>
      </w:r>
      <w:r w:rsidRPr="000C730D">
        <w:rPr>
          <w:lang w:val="en-US"/>
        </w:rPr>
        <w:fldChar w:fldCharType="begin"/>
      </w:r>
      <w:r w:rsidRPr="000C730D">
        <w:rPr>
          <w:lang w:val="en-US"/>
        </w:rPr>
        <w:instrText xml:space="preserve"> ADDIN EN.CITE &lt;EndNote&gt;&lt;Cite&gt;&lt;Author&gt;U.K._Government&lt;/Author&gt;&lt;Year&gt;2014&lt;/Year&gt;&lt;RecNum&gt;2062&lt;/RecNum&gt;&lt;Suffix&gt;`, p.15&lt;/Suffix&gt;&lt;DisplayText&gt;(U.K._Government, 2014, p.15)&lt;/DisplayText&gt;&lt;record&gt;&lt;rec-number&gt;2062&lt;/rec-number&gt;&lt;foreign-keys&gt;&lt;key app="EN" db-id="pd2zewe9caaftre2ts5pzpwh9pvdwvrsss90" timestamp="1415702771"&gt;2062&lt;/key&gt;&lt;/foreign-keys&gt;&lt;ref-type name="Web Page"&gt;12&lt;/ref-type&gt;&lt;contributors&gt;&lt;authors&gt;&lt;author&gt;U.K._Government&lt;/author&gt;&lt;/authors&gt;&lt;/contributors&gt;&lt;titles&gt;&lt;title&gt;Emerging Technologies and Industries: strategy 2014-2018&lt;/title&gt;&lt;/titles&gt;&lt;volume&gt;11th November 2014&lt;/volume&gt;&lt;dates&gt;&lt;year&gt;2014&lt;/year&gt;&lt;/dates&gt;&lt;pub-location&gt;London&lt;/pub-location&gt;&lt;publisher&gt;InnovateUK&lt;/publisher&gt;&lt;urls&gt;&lt;related-urls&gt;&lt;url&gt;https://www.gov.uk/government/uploads/system/uploads/attachment_data/file/370017/Emerging_technologies_-strategy_2014-2018.pdf&lt;/url&gt;&lt;/related-urls&gt;&lt;/urls&gt;&lt;/record&gt;&lt;/Cite&gt;&lt;/EndNote&gt;</w:instrText>
      </w:r>
      <w:r w:rsidRPr="000C730D">
        <w:rPr>
          <w:lang w:val="en-US"/>
        </w:rPr>
        <w:fldChar w:fldCharType="separate"/>
      </w:r>
      <w:r w:rsidRPr="000C730D">
        <w:rPr>
          <w:lang w:val="en-US"/>
        </w:rPr>
        <w:t>(U.K._Government, 2014, p.15)</w:t>
      </w:r>
      <w:r w:rsidRPr="000C730D">
        <w:fldChar w:fldCharType="end"/>
      </w:r>
      <w:r w:rsidRPr="000C730D">
        <w:rPr>
          <w:lang w:val="en-US"/>
        </w:rPr>
        <w:t xml:space="preserve">.  </w:t>
      </w:r>
      <w:proofErr w:type="spellStart"/>
      <w:r w:rsidRPr="000C730D">
        <w:rPr>
          <w:lang w:val="en-US"/>
        </w:rPr>
        <w:t>Recognising</w:t>
      </w:r>
      <w:proofErr w:type="spellEnd"/>
      <w:r w:rsidRPr="000C730D">
        <w:rPr>
          <w:lang w:val="en-US"/>
        </w:rPr>
        <w:t xml:space="preserve"> the emerging nature of the outcomes from these centres, the 5-year duration of the programme, and given the relatively large size of the investment, performance criteria set by the funders were often vague and subject to policy shifts.  Therefore, the process of evaluating the performance of the centre was itself co-developed with funders across the five years.  New core capabilities of the centre were mooted, adopted or rejected as the funding bodies sought to align this programme with their wider gamut of the support for business innovation.  The Centre’s strategy documents described this approach as “embedding a sector-led approach to direct [Government] funding”.</w:t>
      </w:r>
    </w:p>
    <w:p w14:paraId="68FD833E" w14:textId="77777777" w:rsidR="000C730D" w:rsidRPr="000C730D" w:rsidRDefault="000C730D" w:rsidP="000C730D"/>
    <w:p w14:paraId="60A0C76D" w14:textId="77777777" w:rsidR="000C730D" w:rsidRPr="000C730D" w:rsidRDefault="000C730D" w:rsidP="000C730D">
      <w:r w:rsidRPr="000C730D">
        <w:t xml:space="preserve">The overarching philosophy was to be one “based on identifying and addressing barriers and risks to the successful delivery of an innovative product at the earliest possible stage in the research and innovation pipeline” [taken from original funding proposal].  It was acknowledged that framing the translation effort upon a series of such “innovation challenges” represented something of an issue with current commercialization practices within universities.  Stopping projects at an early stage was understood to be a significant departure from known academic practice where the </w:t>
      </w:r>
      <w:proofErr w:type="spellStart"/>
      <w:r w:rsidRPr="000C730D">
        <w:t>mindset</w:t>
      </w:r>
      <w:proofErr w:type="spellEnd"/>
      <w:r w:rsidRPr="000C730D">
        <w:t xml:space="preserve"> was one of perpetual exploration and </w:t>
      </w:r>
      <w:proofErr w:type="gramStart"/>
      <w:r w:rsidRPr="000C730D">
        <w:t>problem-solving</w:t>
      </w:r>
      <w:proofErr w:type="gramEnd"/>
      <w:r w:rsidRPr="000C730D">
        <w:t>.  However, the rationale was that killing projects early “will accelerate innovation by focusing research and development on those activities that increase the probability of a successful regulatory and reimbursement outcome, thereby reducing the risk of costly late failures” [Prof A].</w:t>
      </w:r>
    </w:p>
    <w:p w14:paraId="130F7BA3" w14:textId="77777777" w:rsidR="000C730D" w:rsidRPr="000C730D" w:rsidRDefault="000C730D" w:rsidP="000C730D"/>
    <w:p w14:paraId="5406EA4A" w14:textId="7586AB88" w:rsidR="000C730D" w:rsidRPr="000C730D" w:rsidRDefault="000C730D" w:rsidP="000C730D">
      <w:r w:rsidRPr="000C730D">
        <w:t xml:space="preserve">Whilst the ultimate organizational design and routines for achieving such acceleration was not articulated in detail in the proposal, it did contain some distinctive design elements that had not previously been evident in local practices for the commercialization of science.  The key objective for the </w:t>
      </w:r>
      <w:r w:rsidR="0031182D">
        <w:t>Centre</w:t>
      </w:r>
      <w:r w:rsidRPr="000C730D">
        <w:t xml:space="preserve"> in this regard was to “develop new methods for the preclinical assessment of clinical performance, assess the economic barriers to translation and clinical trials, and work with standards and regulatory bodies to develop new guidelines to support innovation” [Original Funding Proposal].  University colleagues in health economics and the Clinical Trials Research Unit were recruited to the project to support this initiative, in order to realize its bold promise to “reduce the time to market by half from 10-15 to 5-7 years” [Original Funding Proposal].  </w:t>
      </w:r>
    </w:p>
    <w:p w14:paraId="2856FD10" w14:textId="77777777" w:rsidR="000C730D" w:rsidRPr="000C730D" w:rsidRDefault="000C730D" w:rsidP="000C730D"/>
    <w:p w14:paraId="2C372309" w14:textId="1F6EB766" w:rsidR="000C730D" w:rsidRPr="000C730D" w:rsidRDefault="000C730D" w:rsidP="000C730D">
      <w:r w:rsidRPr="000C730D">
        <w:t xml:space="preserve">Following the award of funding, an interim project director was appointed and a period followed which involved the design of processes to support PoC projects.  This process design was undertaken with existing industrial partners, with the espoused approach been one to “use methods to accelerate innovation that were used in industry” (Interim Project Director).  The resulting approach was based upon the combination of a stage-gate design (Cooper, 1993) with the use of </w:t>
      </w:r>
      <w:proofErr w:type="spellStart"/>
      <w:r w:rsidRPr="000C730D">
        <w:t>Nasa’s</w:t>
      </w:r>
      <w:proofErr w:type="spellEnd"/>
      <w:r w:rsidRPr="000C730D">
        <w:t xml:space="preserve"> “Technology Read</w:t>
      </w:r>
      <w:r w:rsidR="008D2749">
        <w:t>iness Levels”</w:t>
      </w:r>
      <w:r w:rsidRPr="000C730D">
        <w:t>.</w:t>
      </w:r>
    </w:p>
    <w:p w14:paraId="5A47CA0A" w14:textId="77777777" w:rsidR="000C730D" w:rsidRPr="000C730D" w:rsidRDefault="000C730D" w:rsidP="000C730D"/>
    <w:p w14:paraId="0F1EBD33" w14:textId="77777777" w:rsidR="000C730D" w:rsidRPr="000C730D" w:rsidRDefault="000C730D" w:rsidP="000C730D">
      <w:r w:rsidRPr="000C730D">
        <w:t xml:space="preserve">These process design ideas were conveyed in two stakeholder engagement events: one with industry and clinical partners, and one with academics.  An important part of the Centre’s rhetoric was to position the programme as involving a change in the culture of how such technology projects are viewed.  A new culture of development was advocated which sought to demonstrate the success of products rather than one that emphasised the management of risk.  Critical to realising such a cultural change would be the early (in the innovation process) testing for failure.  The feedback from industrialists expressed satisfaction with working with a stage-gate process.  However, there were few indications of generic criteria that would aid more effective decision making at the early gates.  Rather a more highly contextual decision-making processes was mooted; one that required a project to present its claims for clinical and </w:t>
      </w:r>
      <w:r w:rsidRPr="000C730D">
        <w:lastRenderedPageBreak/>
        <w:t>commercial efficacy before the stakeholders present would commit their input.  At the consultation event for Academics an important thread of discussion concerned re-thinking failure.  The concept of actively seeking to reject ideas at an early stage did not sit comfortably with the academics (at least in comparison with the industrialists in their stakeholder meeting).  The language of rejection was replaced with “exit points” from which ideas might be “recycled”.  Also there was a desire to articulate “other characteristics of success” than those implicit in the stage-gate methodology.</w:t>
      </w:r>
    </w:p>
    <w:p w14:paraId="294CFFA8" w14:textId="77777777" w:rsidR="000C730D" w:rsidRPr="000C730D" w:rsidRDefault="000C730D" w:rsidP="000C730D"/>
    <w:p w14:paraId="09F8975E" w14:textId="62A1A4C0" w:rsidR="000C730D" w:rsidRPr="000C730D" w:rsidRDefault="000C730D" w:rsidP="000C730D">
      <w:r w:rsidRPr="000C730D">
        <w:t>In these stakeholder engagement meetings</w:t>
      </w:r>
      <w:r w:rsidR="0069324B">
        <w:t>,</w:t>
      </w:r>
      <w:r w:rsidRPr="000C730D">
        <w:t xml:space="preserve"> conceived to shape the processes and support mechanisms for the </w:t>
      </w:r>
      <w:proofErr w:type="spellStart"/>
      <w:r w:rsidR="0031182D">
        <w:t>MedTech</w:t>
      </w:r>
      <w:proofErr w:type="spellEnd"/>
      <w:r w:rsidR="0031182D">
        <w:t xml:space="preserve"> Centre</w:t>
      </w:r>
      <w:r w:rsidR="0069324B">
        <w:t>,</w:t>
      </w:r>
      <w:r w:rsidRPr="000C730D">
        <w:t xml:space="preserve"> we hear the familiar tensions between academic and industry expectations.  For industry, the answers sought to project funding decisions allow less room for prevarication; either the prospects are demonstrably favourable and we progress the exploitation, or the project is dropped.  The academic approach errs towards continued exploration in order to find a better project concept.  For the </w:t>
      </w:r>
      <w:r w:rsidR="0031182D">
        <w:t>Centre</w:t>
      </w:r>
      <w:r w:rsidRPr="000C730D">
        <w:t xml:space="preserve">, managing this industry/academic tension remains at the heart of its innovation challenge.  The novel technology ideas are born of the exploratory research world of its network of academics, and only strong candidates for focused processes of exploitation will secure the industrial backing that the </w:t>
      </w:r>
      <w:r w:rsidR="0031182D">
        <w:t>whole initiative</w:t>
      </w:r>
      <w:r w:rsidRPr="000C730D">
        <w:t xml:space="preserve"> needs to be</w:t>
      </w:r>
      <w:r w:rsidR="0069324B">
        <w:t xml:space="preserve"> successful.  How this tension wa</w:t>
      </w:r>
      <w:r w:rsidRPr="000C730D">
        <w:t xml:space="preserve">s managed involved organizational design work that </w:t>
      </w:r>
      <w:r w:rsidR="0031182D">
        <w:t>took place over the following</w:t>
      </w:r>
      <w:r w:rsidRPr="000C730D">
        <w:t xml:space="preserve"> 12 months.</w:t>
      </w:r>
    </w:p>
    <w:p w14:paraId="20D3A1A1" w14:textId="77777777" w:rsidR="000C730D" w:rsidRPr="000C730D" w:rsidRDefault="000C730D" w:rsidP="000C730D"/>
    <w:p w14:paraId="71EC64F8" w14:textId="4CF075F6" w:rsidR="000C730D" w:rsidRPr="000C730D" w:rsidRDefault="000C730D" w:rsidP="000C730D">
      <w:r w:rsidRPr="000C730D">
        <w:t xml:space="preserve">The next stage in such design work saw the recruitment of a full time Programme Director from a leading medical technology company.  This recruitment brought to the Centre an overriding focus on commercial exploitation.  Many candidate projects, which had formerly been judged to have good prospects, now fell out of favour, and only ideas that were deemed close enough to market to guarantee full launch within the funding timeframe, were progressed.  Adopting a very hands-on approach, the new Director took the lead in identifying ideas to be developed into candidate PoC projects.  This approach was viewed by academic stakeholders as shifting the balance between translation/exploitation too far in the direction of the latter.  Criticisms were levelled that the distinctive technological identity of the programme had been discarded in a drive to realize funding targets by progress any </w:t>
      </w:r>
      <w:proofErr w:type="gramStart"/>
      <w:r w:rsidRPr="000C730D">
        <w:t>medically-related</w:t>
      </w:r>
      <w:proofErr w:type="gramEnd"/>
      <w:r w:rsidRPr="000C730D">
        <w:t xml:space="preserve"> near-</w:t>
      </w:r>
      <w:r w:rsidRPr="000C730D">
        <w:lastRenderedPageBreak/>
        <w:t xml:space="preserve">to-market project.  Extensive discussions occurred at this time amongst the programme’s leadership that spoke to issues of the role of universities in an </w:t>
      </w:r>
      <w:proofErr w:type="gramStart"/>
      <w:r w:rsidRPr="000C730D">
        <w:t>industrially-centred</w:t>
      </w:r>
      <w:proofErr w:type="gramEnd"/>
      <w:r w:rsidRPr="000C730D">
        <w:t xml:space="preserve"> innovation ecosystem.  From out of such discussions the idea of different pathways to innovation gained traction.  In addition to the translation of academic research into investment-ready propositions, service offerings in support of company innovation gained in emphasis: undertaking preclinical testing and simulation, design and delivery of robust, effective clinical trials, and health economic evaluations.  These discussions also reaffirmed the primary technology identity of the project as </w:t>
      </w:r>
      <w:r w:rsidR="0069324B" w:rsidRPr="000C730D">
        <w:t>one that</w:t>
      </w:r>
      <w:r w:rsidRPr="000C730D">
        <w:t xml:space="preserve"> “develops biological and biomimetic tissue scaffolds, stem cells, hybrid physical devices and also supports technologies such as imaging diagnostics and supply chain technologies” [End of Year 1 Report].  However, one other consequence of this re-positioning of the project was that the Director of Operations left the programme and was replaced by Dr B, the author of the original funding proposal.</w:t>
      </w:r>
    </w:p>
    <w:p w14:paraId="7EDFEAB0" w14:textId="77777777" w:rsidR="000C730D" w:rsidRPr="000C730D" w:rsidRDefault="000C730D" w:rsidP="000C730D"/>
    <w:p w14:paraId="6F3B4E6E" w14:textId="77777777" w:rsidR="000C730D" w:rsidRPr="000C730D" w:rsidRDefault="000C730D" w:rsidP="000C730D">
      <w:pPr>
        <w:rPr>
          <w:b/>
          <w:bCs/>
          <w:i/>
        </w:rPr>
      </w:pPr>
      <w:r w:rsidRPr="000C730D">
        <w:rPr>
          <w:b/>
          <w:bCs/>
          <w:i/>
        </w:rPr>
        <w:t>The Middle Years</w:t>
      </w:r>
    </w:p>
    <w:p w14:paraId="513CD2C3" w14:textId="3DAC9840" w:rsidR="000C730D" w:rsidRPr="000C730D" w:rsidRDefault="000C730D" w:rsidP="000C730D">
      <w:r w:rsidRPr="000C730D">
        <w:t xml:space="preserve">The next phase in the </w:t>
      </w:r>
      <w:proofErr w:type="spellStart"/>
      <w:r w:rsidR="000431DE">
        <w:t>MedTech</w:t>
      </w:r>
      <w:proofErr w:type="spellEnd"/>
      <w:r w:rsidR="000431DE">
        <w:t xml:space="preserve"> Centre’s</w:t>
      </w:r>
      <w:r w:rsidRPr="000C730D">
        <w:t xml:space="preserve"> programme comprised the design and implementation of basic project processes: identification of candidate PoC projects; preparation of PoC funding proposals; PoC grant decision-making processes.  Associated organizational changes took place at all governance levels within the project from the Advisory Board, through the executive group to the operational team.  Efforts were now made to incorporate the adjunct Faculty into the centre’s routines. The contribution of health economics and clinical trials experts was initiated on a project-by-project basis.  Early operational work included establishing a record keeping system in order to track all potential projects undertaken by academics scientists. The system was introduced by the Director and developed by the first Technology Innovation Manager.  It was based on the analogous system at the industrial company with whom they have both worked.  The system included all types of projects with which the Centre had a direct interest: Proof of Concept (PoC) projects</w:t>
      </w:r>
      <w:proofErr w:type="gramStart"/>
      <w:r w:rsidRPr="000C730D">
        <w:t>;</w:t>
      </w:r>
      <w:proofErr w:type="gramEnd"/>
      <w:r w:rsidRPr="000C730D">
        <w:t xml:space="preserve"> industry collaborations and product testing work.</w:t>
      </w:r>
    </w:p>
    <w:p w14:paraId="256E65F9" w14:textId="77777777" w:rsidR="000C730D" w:rsidRPr="000C730D" w:rsidRDefault="000C730D" w:rsidP="000C730D"/>
    <w:p w14:paraId="174AC0D9" w14:textId="1A103D2F" w:rsidR="000C730D" w:rsidRPr="000C730D" w:rsidRDefault="000C730D" w:rsidP="000C730D">
      <w:r w:rsidRPr="000C730D">
        <w:lastRenderedPageBreak/>
        <w:t xml:space="preserve">The work of project identification and development fell to ‘Technology Innovation Managers’; only one had been in place at the time of Dr B’s assumption of the Director role, and more were now recruited.  In a departure from local practice, individuals who were both educated in science to postdoctoral level and had extensive new product development experience within the medical technology sector filled these roles.  Hitherto generalists had filled such business development roles: people with industry experience but whose project portfolios within the technology transfer office would span a range of sectors.  The capability of the operational team was also expanded with the recruitment of people into marketing and IP management roles.  Building such capabilities gave the appearance of a high degree of independence from the support offered by the home university’s technology transfer office (TTO).  The latter had originally viewed the </w:t>
      </w:r>
      <w:r w:rsidR="000431DE">
        <w:t>Centre</w:t>
      </w:r>
      <w:r w:rsidRPr="000C730D">
        <w:t xml:space="preserve"> as but the latest initiative offering funding for early stage projects.  However, the innovation management capabilities that were being developed </w:t>
      </w:r>
      <w:r w:rsidR="000431DE">
        <w:t>at the Centre</w:t>
      </w:r>
      <w:r w:rsidRPr="000C730D">
        <w:t xml:space="preserve"> indicated that this initiated was to do more than simply administer the dispersal of funds.  Originally attributed to personal “communication issues”, this antagonism between the Centre and TTO waxed and waned with personnel changes, but it never disappeared completely.</w:t>
      </w:r>
    </w:p>
    <w:p w14:paraId="29D511EF" w14:textId="77777777" w:rsidR="000C730D" w:rsidRPr="000C730D" w:rsidRDefault="000C730D" w:rsidP="000C730D"/>
    <w:p w14:paraId="6E1DD424" w14:textId="7DC130A7" w:rsidR="000C730D" w:rsidRPr="000C730D" w:rsidRDefault="000C730D" w:rsidP="000C730D">
      <w:r w:rsidRPr="000C730D">
        <w:t xml:space="preserve">The initial tendency to view the </w:t>
      </w:r>
      <w:proofErr w:type="spellStart"/>
      <w:r w:rsidRPr="000C730D">
        <w:t>MedTech</w:t>
      </w:r>
      <w:proofErr w:type="spellEnd"/>
      <w:r w:rsidRPr="000C730D">
        <w:t xml:space="preserve"> Innovation Centre as the latest source of innovation funds was not confined to the TTO.  Academics adept at detecting changes in the funding landscape were keen to approach the centre for monies.  Similarly the Advisory Board noted that external to the university there was confusion about the aims of the Centre.  There was a clear imperative to articulate what </w:t>
      </w:r>
      <w:r w:rsidR="0069324B" w:rsidRPr="000C730D">
        <w:t>this</w:t>
      </w:r>
      <w:r w:rsidRPr="000C730D">
        <w:t xml:space="preserve"> Innovation Centre was, and what it was not: both to internal and external stakeholders.  The work this prompted led to greater clarity in the strategic positioning the Centre within a wider innovation landscape.  In this regard the model of Technology R</w:t>
      </w:r>
      <w:r w:rsidR="008D2749">
        <w:t>eadiness Levels</w:t>
      </w:r>
      <w:r w:rsidR="0069324B">
        <w:t xml:space="preserve"> </w:t>
      </w:r>
      <w:r w:rsidR="0069324B">
        <w:fldChar w:fldCharType="begin"/>
      </w:r>
      <w:r w:rsidR="0069324B">
        <w:instrText xml:space="preserve"> ADDIN EN.CITE &lt;EndNote&gt;&lt;Cite&gt;&lt;Author&gt;Mankins&lt;/Author&gt;&lt;Year&gt;1995&lt;/Year&gt;&lt;RecNum&gt;2067&lt;/RecNum&gt;&lt;DisplayText&gt;(Mankins, 1995)&lt;/DisplayText&gt;&lt;record&gt;&lt;rec-number&gt;2067&lt;/rec-number&gt;&lt;foreign-keys&gt;&lt;key app="EN" db-id="pd2zewe9caaftre2ts5pzpwh9pvdwvrsss90" timestamp="1415719910"&gt;2067&lt;/key&gt;&lt;/foreign-keys&gt;&lt;ref-type name="Web Page"&gt;12&lt;/ref-type&gt;&lt;contributors&gt;&lt;authors&gt;&lt;author&gt;Mankins, J.C.&lt;/author&gt;&lt;/authors&gt;&lt;/contributors&gt;&lt;titles&gt;&lt;title&gt;Technology Readiness Levels&lt;/title&gt;&lt;/titles&gt;&lt;volume&gt;11th November 2014&lt;/volume&gt;&lt;dates&gt;&lt;year&gt;1995&lt;/year&gt;&lt;/dates&gt;&lt;publisher&gt;Office of Space Access and Technology, NASA&lt;/publisher&gt;&lt;urls&gt;&lt;related-urls&gt;&lt;url&gt;http://orion.asu.edu/Additional%20Reading/Mankins_trl.pdf&lt;/url&gt;&lt;/related-urls&gt;&lt;/urls&gt;&lt;/record&gt;&lt;/Cite&gt;&lt;/EndNote&gt;</w:instrText>
      </w:r>
      <w:r w:rsidR="0069324B">
        <w:fldChar w:fldCharType="separate"/>
      </w:r>
      <w:r w:rsidR="0069324B">
        <w:rPr>
          <w:noProof/>
        </w:rPr>
        <w:t>(Mankins, 1995)</w:t>
      </w:r>
      <w:r w:rsidR="0069324B">
        <w:fldChar w:fldCharType="end"/>
      </w:r>
      <w:r w:rsidRPr="000C730D">
        <w:t xml:space="preserve"> became the predominant way to frame the core innovation activities.</w:t>
      </w:r>
    </w:p>
    <w:p w14:paraId="09604C83" w14:textId="77777777" w:rsidR="000C730D" w:rsidRPr="000C730D" w:rsidRDefault="000C730D" w:rsidP="000C730D"/>
    <w:p w14:paraId="4E63F290" w14:textId="77777777" w:rsidR="000C730D" w:rsidRPr="000C730D" w:rsidRDefault="000C730D" w:rsidP="000C730D">
      <w:r w:rsidRPr="000C730D">
        <w:t xml:space="preserve">With this framing in mind the next phase in the programme saw work concentrate on the development of (principally) PoC and collaborative development projects.  Project ideas surfaced through the existing medical innovation networks on which the Centre </w:t>
      </w:r>
      <w:r w:rsidRPr="000C730D">
        <w:lastRenderedPageBreak/>
        <w:t>had been built.  Crucially now, the Technology Innovation Managers were working from a clear understanding of the type of projects that would be supported.  The modus operandi of project development would be for the technology innovation managers to immerse themselves in a given project idea and work actively with the academics who generated the idea in order to craft a proposal for funding.  The academics and their co-workers would largely write the proposal, but in doing so they were offered very detailed guidance on what they should write.  In the background, the Centre Director and Chairman regularly reviewed the project development process in a manner the reinforced in the minds of everyone those features of a proposal that constituted a ‘good project’.  The work of the Centre at this point was characterized by a strong learning orientation.  Each manager within the team could certainly bring a wealth of experience on project development, but progress was achieved through a process of refining the criteria for a good project, rather than simply executing a list of criteria agreed at the outset.</w:t>
      </w:r>
    </w:p>
    <w:p w14:paraId="6B5D6842" w14:textId="77777777" w:rsidR="000C730D" w:rsidRPr="000C730D" w:rsidRDefault="000C730D" w:rsidP="000C730D"/>
    <w:p w14:paraId="7975A608" w14:textId="185E7DB6" w:rsidR="000C730D" w:rsidRPr="000C730D" w:rsidRDefault="000C730D" w:rsidP="000C730D">
      <w:r w:rsidRPr="000C730D">
        <w:t xml:space="preserve">One distinguishing feature of the project development process, compared with previous local practice, was for significant effort to be applied to articulating the goals of the project.  In previous programmes such objectives had been more defined in terms of (relatively vague) long-term market potential and specific short-term technical goals, with little effort devoted to strengthening the logic between the two.  By contrast the </w:t>
      </w:r>
      <w:proofErr w:type="spellStart"/>
      <w:r w:rsidR="000431DE">
        <w:t>MedTech</w:t>
      </w:r>
      <w:proofErr w:type="spellEnd"/>
      <w:r w:rsidR="000431DE">
        <w:t xml:space="preserve"> Centre’s</w:t>
      </w:r>
      <w:r w:rsidRPr="000C730D">
        <w:t xml:space="preserve"> development process sought to identify not simply the projects goals, but also to articulate why the achievement of these goals would represent progress on the ‘innovation journey’.  Such articulation of progress was couched in terms of why attainment of a project’s goals would prepare it for the next stage in the innovation journey.  The phrase used by the </w:t>
      </w:r>
      <w:r w:rsidR="000431DE">
        <w:t>Centre</w:t>
      </w:r>
      <w:r w:rsidRPr="000C730D">
        <w:t xml:space="preserve">’s technology innovation managers concerned the “investment readiness” of projects: those features of a project that had to be demonstrated for a commercial organization to be prepared to finance the subsequent commercial development of the project.  In this manner, development logic was established between the technical work funded and progress of the project when viewed in commercial terms.  This logic was informed by the health economics and clinical trials expertise with project’s goals being expressed in terms of alignment with healthcare pathways or in establishing the data threshold needed to initiate a clinical trial.  As projects continued to be developed with such close </w:t>
      </w:r>
      <w:r w:rsidRPr="000C730D">
        <w:lastRenderedPageBreak/>
        <w:t>attention to detail, it was invariably the case that any proposal that made it as far of the Executive Group met with funding approval.  The decision-making processes of refinement and clarification were accomplished along the way.  In this manner a total of 11 PoC projects and 4 collaborative developments were initiated during the first full operational year.</w:t>
      </w:r>
    </w:p>
    <w:p w14:paraId="316F7D10" w14:textId="77777777" w:rsidR="000C730D" w:rsidRPr="000C730D" w:rsidRDefault="000C730D" w:rsidP="000C730D"/>
    <w:p w14:paraId="1D1DA7E8" w14:textId="0EF5B472" w:rsidR="000C730D" w:rsidRPr="000C730D" w:rsidRDefault="000C730D" w:rsidP="000C730D">
      <w:r w:rsidRPr="000C730D">
        <w:t xml:space="preserve">Having established their opening portfolio of PoC projects and R&amp;D </w:t>
      </w:r>
      <w:r w:rsidR="000431DE">
        <w:t xml:space="preserve">collaborative projects, the </w:t>
      </w:r>
      <w:r w:rsidRPr="000C730D">
        <w:t xml:space="preserve">Operations and Executive teams undertook a strategic review of their work.  Prompted by a critical funding milestone, this review saw them realizing a number of important goals: refreshing their innovation mission and vision; aligning research competences with technology priorities; consolidation of operational processes; extending their geographical reach through strategic partnerships; developing a plan to sustain the Centre after the end of the grant funding; incorporating all these elements within a rebranding exercise.  </w:t>
      </w:r>
    </w:p>
    <w:p w14:paraId="15BF21A3" w14:textId="77777777" w:rsidR="000C730D" w:rsidRPr="000C730D" w:rsidRDefault="000C730D" w:rsidP="000C730D"/>
    <w:p w14:paraId="482DDCD6" w14:textId="36776DD5" w:rsidR="000C730D" w:rsidRDefault="000C730D" w:rsidP="000C730D">
      <w:r w:rsidRPr="000C730D">
        <w:t xml:space="preserve">The Centre articulated its position with a medical technologies landscape as “bridging the innovation valley of death”.  This vision was captured in a striking graphic that once again framed the innovation journey in terms of NASA’s technology readiness levels (Figure </w:t>
      </w:r>
      <w:r w:rsidR="00F6652C">
        <w:t>1</w:t>
      </w:r>
      <w:r w:rsidRPr="000C730D">
        <w:t>).  The associated mission was articulated as “closing the translation gap”, something that would be achieved by the Centre supporting “innovation in order to develop technologies to a stage that is attractive for further investment”</w:t>
      </w:r>
      <w:r w:rsidR="0069324B">
        <w:t xml:space="preserve"> [end of Year 3 Report]</w:t>
      </w:r>
      <w:r w:rsidRPr="000C730D">
        <w:t xml:space="preserve">. </w:t>
      </w:r>
    </w:p>
    <w:p w14:paraId="02DEB121" w14:textId="343DF311" w:rsidR="0069324B" w:rsidRDefault="0069324B">
      <w:pPr>
        <w:spacing w:before="0" w:line="240" w:lineRule="auto"/>
        <w:jc w:val="left"/>
      </w:pPr>
      <w:r>
        <w:br w:type="page"/>
      </w:r>
    </w:p>
    <w:p w14:paraId="47A28FDF" w14:textId="77777777" w:rsidR="0069324B" w:rsidRPr="000C730D" w:rsidRDefault="0069324B" w:rsidP="000C730D"/>
    <w:p w14:paraId="227DC65A" w14:textId="77777777" w:rsidR="000C730D" w:rsidRPr="000C730D" w:rsidRDefault="000C730D" w:rsidP="000C730D">
      <w:r w:rsidRPr="000C730D">
        <w:rPr>
          <w:noProof/>
          <w:lang w:val="en-US"/>
        </w:rPr>
        <w:drawing>
          <wp:inline distT="0" distB="0" distL="0" distR="0" wp14:anchorId="0693E4F8" wp14:editId="72C3BE6B">
            <wp:extent cx="5270500" cy="2814304"/>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814304"/>
                    </a:xfrm>
                    <a:prstGeom prst="rect">
                      <a:avLst/>
                    </a:prstGeom>
                    <a:noFill/>
                    <a:ln>
                      <a:noFill/>
                    </a:ln>
                  </pic:spPr>
                </pic:pic>
              </a:graphicData>
            </a:graphic>
          </wp:inline>
        </w:drawing>
      </w:r>
    </w:p>
    <w:p w14:paraId="00B3AF04" w14:textId="53917041" w:rsidR="000C730D" w:rsidRPr="000C730D" w:rsidRDefault="000C730D" w:rsidP="000C730D">
      <w:r w:rsidRPr="000C730D">
        <w:t xml:space="preserve">Figure </w:t>
      </w:r>
      <w:r w:rsidR="00F6652C">
        <w:t>1</w:t>
      </w:r>
      <w:r w:rsidRPr="000C730D">
        <w:t xml:space="preserve"> – Graphic representation of </w:t>
      </w:r>
      <w:proofErr w:type="spellStart"/>
      <w:r w:rsidR="000431DE">
        <w:t>MedTech</w:t>
      </w:r>
      <w:proofErr w:type="spellEnd"/>
      <w:r w:rsidR="000431DE">
        <w:t xml:space="preserve"> Centre</w:t>
      </w:r>
      <w:r w:rsidRPr="000C730D">
        <w:t xml:space="preserve"> Vision</w:t>
      </w:r>
    </w:p>
    <w:p w14:paraId="084DCAE1" w14:textId="77777777" w:rsidR="000C730D" w:rsidRPr="000C730D" w:rsidRDefault="000C730D" w:rsidP="000C730D"/>
    <w:p w14:paraId="521FFB59" w14:textId="4118007B" w:rsidR="00681426" w:rsidRPr="00B6021A" w:rsidRDefault="00D712C8" w:rsidP="00B6021A">
      <w:pPr>
        <w:rPr>
          <w:b/>
          <w:i/>
        </w:rPr>
      </w:pPr>
      <w:r w:rsidRPr="00B6021A">
        <w:rPr>
          <w:b/>
          <w:i/>
        </w:rPr>
        <w:t>The Final Year</w:t>
      </w:r>
    </w:p>
    <w:p w14:paraId="3C19E00B" w14:textId="77777777" w:rsidR="00B6021A" w:rsidRPr="00B6021A" w:rsidRDefault="00B6021A" w:rsidP="00B6021A">
      <w:r w:rsidRPr="00B6021A">
        <w:t>The period of time following the strategic review could be characterised as the principle implementation phase of the programme.  The innovation support systems had been designed, and experienced mangers recruited to deliver them.  Routines had been established that drew upon academic support in the complementary disciples of clinical trials design and health economics assessment.  Experienced industry professionals were developing new channels for engaging clinicians, and selling intellectual property.  The geographical reach of the Centre had expanded: investments were made in Proof of Concept projects at other UK universities and a memorandum of understanding signed for a strategic collaboration with comparable innovation centres in Singapore.  And so within this strategic context the individual innovation projects were delivered.</w:t>
      </w:r>
    </w:p>
    <w:p w14:paraId="47B4CE27" w14:textId="77777777" w:rsidR="00B6021A" w:rsidRPr="00B6021A" w:rsidRDefault="00B6021A" w:rsidP="00B6021A"/>
    <w:p w14:paraId="7E5584EE" w14:textId="291AF5BF" w:rsidR="00B6021A" w:rsidRPr="00B6021A" w:rsidRDefault="00B6021A" w:rsidP="00B6021A">
      <w:r w:rsidRPr="00B6021A">
        <w:t xml:space="preserve">In the final year of the Centre's original 5-year funding programme activity at the level of the Centre turned toward the final report to public sector Funders and pursing opportunities for follow on funding.  Both of these goals provided an opportunity to re-visit the strategic innovation narrative encompassing the Centre's vision and </w:t>
      </w:r>
      <w:r w:rsidRPr="00B6021A">
        <w:lastRenderedPageBreak/>
        <w:t>approach to collaborative innovation.  The manner in which this strategic narrative changed is covered in the next section.  In closing this short case history, it is enough to note</w:t>
      </w:r>
      <w:r>
        <w:t xml:space="preserve"> that the public sector funders’</w:t>
      </w:r>
      <w:r w:rsidRPr="00B6021A">
        <w:t xml:space="preserve"> were sufficiently satisfied </w:t>
      </w:r>
      <w:r>
        <w:t>with</w:t>
      </w:r>
      <w:r w:rsidRPr="00B6021A">
        <w:t xml:space="preserve"> the inno</w:t>
      </w:r>
      <w:r>
        <w:t>vation impacts achieved by the C</w:t>
      </w:r>
      <w:r w:rsidRPr="00B6021A">
        <w:t>entre to award them follow on funding.</w:t>
      </w:r>
    </w:p>
    <w:p w14:paraId="50D7447A" w14:textId="77777777" w:rsidR="00B6021A" w:rsidRPr="00B6021A" w:rsidRDefault="00B6021A" w:rsidP="00B6021A"/>
    <w:p w14:paraId="719ADD5D" w14:textId="2FFA5E0C" w:rsidR="00A933DF" w:rsidRPr="00681426" w:rsidRDefault="00A933DF" w:rsidP="00A933DF">
      <w:pPr>
        <w:pStyle w:val="NoSpacing"/>
        <w:ind w:firstLine="0"/>
        <w:rPr>
          <w:b/>
          <w:sz w:val="28"/>
          <w:szCs w:val="28"/>
          <w:lang w:val="en-US"/>
        </w:rPr>
      </w:pPr>
      <w:r w:rsidRPr="00A933DF">
        <w:rPr>
          <w:b/>
          <w:sz w:val="28"/>
          <w:szCs w:val="28"/>
          <w:lang w:val="en-US"/>
        </w:rPr>
        <w:t>Research Findings</w:t>
      </w:r>
    </w:p>
    <w:p w14:paraId="30CA52CA" w14:textId="5C3BB723" w:rsidR="00103E56" w:rsidRDefault="007B37AB" w:rsidP="00F6652C">
      <w:pPr>
        <w:pStyle w:val="NoSpacing"/>
        <w:ind w:firstLine="0"/>
        <w:rPr>
          <w:lang w:val="en-US"/>
        </w:rPr>
      </w:pPr>
      <w:r>
        <w:rPr>
          <w:lang w:val="en-US"/>
        </w:rPr>
        <w:fldChar w:fldCharType="begin"/>
      </w:r>
      <w:r>
        <w:rPr>
          <w:lang w:val="en-US"/>
        </w:rPr>
        <w:instrText xml:space="preserve"> REF _Ref295845993 \h </w:instrText>
      </w:r>
      <w:r>
        <w:rPr>
          <w:lang w:val="en-US"/>
        </w:rPr>
      </w:r>
      <w:r>
        <w:rPr>
          <w:lang w:val="en-US"/>
        </w:rPr>
        <w:fldChar w:fldCharType="separate"/>
      </w:r>
      <w:r>
        <w:t xml:space="preserve">Table </w:t>
      </w:r>
      <w:r>
        <w:rPr>
          <w:noProof/>
        </w:rPr>
        <w:t>2</w:t>
      </w:r>
      <w:r>
        <w:rPr>
          <w:lang w:val="en-US"/>
        </w:rPr>
        <w:fldChar w:fldCharType="end"/>
      </w:r>
      <w:r w:rsidR="00BA6EF7">
        <w:rPr>
          <w:lang w:val="en-US"/>
        </w:rPr>
        <w:t xml:space="preserve"> explains the themes that we discerned in our coding of innovation narratives within the documentary evidence we examined from the </w:t>
      </w:r>
      <w:proofErr w:type="spellStart"/>
      <w:r w:rsidR="00BA6EF7">
        <w:rPr>
          <w:lang w:val="en-US"/>
        </w:rPr>
        <w:t>MedTech</w:t>
      </w:r>
      <w:proofErr w:type="spellEnd"/>
      <w:r w:rsidR="00BA6EF7">
        <w:rPr>
          <w:lang w:val="en-US"/>
        </w:rPr>
        <w:t xml:space="preserve"> Centre.  Included also is an </w:t>
      </w:r>
      <w:r>
        <w:rPr>
          <w:lang w:val="en-US"/>
        </w:rPr>
        <w:t>illustrative</w:t>
      </w:r>
      <w:r w:rsidR="00BA6EF7">
        <w:rPr>
          <w:lang w:val="en-US"/>
        </w:rPr>
        <w:t xml:space="preserve"> vignette drawn from one of the Centre’s </w:t>
      </w:r>
      <w:r w:rsidR="00BA6EF7" w:rsidRPr="00BA6EF7">
        <w:rPr>
          <w:i/>
          <w:lang w:val="en-US"/>
        </w:rPr>
        <w:t>strategic innovation narratives</w:t>
      </w:r>
      <w:r w:rsidR="000E607C">
        <w:rPr>
          <w:lang w:val="en-US"/>
        </w:rPr>
        <w:t>.</w:t>
      </w:r>
    </w:p>
    <w:p w14:paraId="1170D140" w14:textId="77777777" w:rsidR="000E607C" w:rsidRDefault="000E607C" w:rsidP="00B83CA8">
      <w:pPr>
        <w:pStyle w:val="NoSpacing"/>
        <w:rPr>
          <w:lang w:val="en-US"/>
        </w:rPr>
      </w:pPr>
    </w:p>
    <w:p w14:paraId="125D74EA" w14:textId="77777777" w:rsidR="000558BF" w:rsidRDefault="000558BF" w:rsidP="00B83CA8">
      <w:pPr>
        <w:pStyle w:val="NoSpacing"/>
        <w:rPr>
          <w:lang w:val="en-US"/>
        </w:rPr>
      </w:pPr>
    </w:p>
    <w:p w14:paraId="05B7068C" w14:textId="7443831B" w:rsidR="00BA6EF7" w:rsidRDefault="00BA6EF7" w:rsidP="00BA6EF7">
      <w:pPr>
        <w:pStyle w:val="Caption"/>
      </w:pPr>
      <w:bookmarkStart w:id="1" w:name="_Ref295845993"/>
      <w:r>
        <w:t xml:space="preserve">Table </w:t>
      </w:r>
      <w:r w:rsidR="00B6021A">
        <w:fldChar w:fldCharType="begin"/>
      </w:r>
      <w:r w:rsidR="00B6021A">
        <w:instrText xml:space="preserve"> SEQ Table \* ARABIC </w:instrText>
      </w:r>
      <w:r w:rsidR="00B6021A">
        <w:fldChar w:fldCharType="separate"/>
      </w:r>
      <w:r w:rsidR="007F3570">
        <w:rPr>
          <w:noProof/>
        </w:rPr>
        <w:t>2</w:t>
      </w:r>
      <w:r w:rsidR="00B6021A">
        <w:rPr>
          <w:noProof/>
        </w:rPr>
        <w:fldChar w:fldCharType="end"/>
      </w:r>
      <w:bookmarkEnd w:id="1"/>
      <w:r>
        <w:t xml:space="preserve"> – Themes within </w:t>
      </w:r>
      <w:proofErr w:type="spellStart"/>
      <w:r>
        <w:t>MedTech</w:t>
      </w:r>
      <w:proofErr w:type="spellEnd"/>
      <w:r>
        <w:t xml:space="preserve"> Centre Innovation Narratives</w:t>
      </w:r>
    </w:p>
    <w:tbl>
      <w:tblPr>
        <w:tblStyle w:val="TableGrid"/>
        <w:tblW w:w="0" w:type="auto"/>
        <w:tblLook w:val="04A0" w:firstRow="1" w:lastRow="0" w:firstColumn="1" w:lastColumn="0" w:noHBand="0" w:noVBand="1"/>
      </w:tblPr>
      <w:tblGrid>
        <w:gridCol w:w="1434"/>
        <w:gridCol w:w="2218"/>
        <w:gridCol w:w="4864"/>
      </w:tblGrid>
      <w:tr w:rsidR="005112D6" w14:paraId="185E0D27" w14:textId="77777777" w:rsidTr="005112D6">
        <w:tc>
          <w:tcPr>
            <w:tcW w:w="1434" w:type="dxa"/>
            <w:shd w:val="clear" w:color="auto" w:fill="C0C0C0"/>
          </w:tcPr>
          <w:p w14:paraId="0F5CE91E" w14:textId="3207D6F3" w:rsidR="000E607C" w:rsidRPr="006D51A9" w:rsidRDefault="000E607C" w:rsidP="006D51A9">
            <w:pPr>
              <w:pStyle w:val="NoSpacing"/>
              <w:spacing w:line="240" w:lineRule="auto"/>
              <w:ind w:firstLine="0"/>
              <w:jc w:val="center"/>
              <w:rPr>
                <w:b/>
                <w:sz w:val="20"/>
                <w:szCs w:val="20"/>
                <w:lang w:val="en-US"/>
              </w:rPr>
            </w:pPr>
            <w:r w:rsidRPr="006D51A9">
              <w:rPr>
                <w:b/>
                <w:sz w:val="20"/>
                <w:szCs w:val="20"/>
                <w:lang w:val="en-US"/>
              </w:rPr>
              <w:t>Theme</w:t>
            </w:r>
          </w:p>
        </w:tc>
        <w:tc>
          <w:tcPr>
            <w:tcW w:w="2218" w:type="dxa"/>
            <w:shd w:val="clear" w:color="auto" w:fill="C0C0C0"/>
          </w:tcPr>
          <w:p w14:paraId="7A67D4C0" w14:textId="067C12DA" w:rsidR="000E607C" w:rsidRPr="006D51A9" w:rsidRDefault="000E607C" w:rsidP="006D51A9">
            <w:pPr>
              <w:pStyle w:val="NoSpacing"/>
              <w:spacing w:line="240" w:lineRule="auto"/>
              <w:ind w:firstLine="0"/>
              <w:jc w:val="center"/>
              <w:rPr>
                <w:b/>
                <w:sz w:val="20"/>
                <w:szCs w:val="20"/>
                <w:lang w:val="en-US"/>
              </w:rPr>
            </w:pPr>
            <w:r w:rsidRPr="006D51A9">
              <w:rPr>
                <w:b/>
                <w:sz w:val="20"/>
                <w:szCs w:val="20"/>
                <w:lang w:val="en-US"/>
              </w:rPr>
              <w:t>Explanation</w:t>
            </w:r>
          </w:p>
        </w:tc>
        <w:tc>
          <w:tcPr>
            <w:tcW w:w="4864" w:type="dxa"/>
            <w:shd w:val="clear" w:color="auto" w:fill="C0C0C0"/>
          </w:tcPr>
          <w:p w14:paraId="7C59B412" w14:textId="4547084C" w:rsidR="000E607C" w:rsidRPr="006D51A9" w:rsidRDefault="001939A0" w:rsidP="006D51A9">
            <w:pPr>
              <w:pStyle w:val="NoSpacing"/>
              <w:spacing w:line="240" w:lineRule="auto"/>
              <w:ind w:firstLine="0"/>
              <w:jc w:val="center"/>
              <w:rPr>
                <w:b/>
                <w:sz w:val="20"/>
                <w:szCs w:val="20"/>
                <w:lang w:val="en-US"/>
              </w:rPr>
            </w:pPr>
            <w:r>
              <w:rPr>
                <w:b/>
                <w:sz w:val="20"/>
                <w:szCs w:val="20"/>
                <w:lang w:val="en-US"/>
              </w:rPr>
              <w:t>Illustrative Vignette</w:t>
            </w:r>
          </w:p>
        </w:tc>
      </w:tr>
      <w:tr w:rsidR="005112D6" w14:paraId="19F1B29B" w14:textId="77777777" w:rsidTr="00003A86">
        <w:tc>
          <w:tcPr>
            <w:tcW w:w="1434" w:type="dxa"/>
            <w:vAlign w:val="center"/>
          </w:tcPr>
          <w:p w14:paraId="6B2B5952" w14:textId="7E0DD92B" w:rsidR="000E607C" w:rsidRPr="000E607C" w:rsidRDefault="000E607C" w:rsidP="00003A86">
            <w:pPr>
              <w:pStyle w:val="NoSpacing"/>
              <w:spacing w:line="240" w:lineRule="auto"/>
              <w:ind w:firstLine="0"/>
              <w:jc w:val="left"/>
              <w:rPr>
                <w:sz w:val="16"/>
                <w:szCs w:val="16"/>
                <w:lang w:val="en-US"/>
              </w:rPr>
            </w:pPr>
            <w:r>
              <w:rPr>
                <w:sz w:val="16"/>
                <w:szCs w:val="16"/>
                <w:lang w:val="en-US"/>
              </w:rPr>
              <w:t>Accelerated Innovation</w:t>
            </w:r>
          </w:p>
        </w:tc>
        <w:tc>
          <w:tcPr>
            <w:tcW w:w="2218" w:type="dxa"/>
          </w:tcPr>
          <w:p w14:paraId="790E9BEB" w14:textId="785FB756" w:rsidR="000E607C" w:rsidRPr="000E607C" w:rsidRDefault="005112D6" w:rsidP="000E607C">
            <w:pPr>
              <w:pStyle w:val="NoSpacing"/>
              <w:spacing w:line="240" w:lineRule="auto"/>
              <w:ind w:firstLine="0"/>
              <w:jc w:val="left"/>
              <w:rPr>
                <w:sz w:val="16"/>
                <w:szCs w:val="16"/>
                <w:lang w:val="en-US"/>
              </w:rPr>
            </w:pPr>
            <w:r>
              <w:rPr>
                <w:sz w:val="16"/>
                <w:szCs w:val="16"/>
                <w:lang w:val="en-US"/>
              </w:rPr>
              <w:t>The Centre will accelerate the rate of translation of research into investment-ready propositions for commercial investment.</w:t>
            </w:r>
          </w:p>
        </w:tc>
        <w:tc>
          <w:tcPr>
            <w:tcW w:w="4864" w:type="dxa"/>
          </w:tcPr>
          <w:p w14:paraId="40806D66" w14:textId="6A9AB15D" w:rsidR="000E607C" w:rsidRPr="005112D6" w:rsidRDefault="005112D6" w:rsidP="000E607C">
            <w:pPr>
              <w:pStyle w:val="NoSpacing"/>
              <w:spacing w:line="240" w:lineRule="auto"/>
              <w:ind w:firstLine="0"/>
              <w:jc w:val="left"/>
              <w:rPr>
                <w:sz w:val="16"/>
                <w:szCs w:val="16"/>
              </w:rPr>
            </w:pPr>
            <w:r>
              <w:rPr>
                <w:sz w:val="16"/>
                <w:szCs w:val="16"/>
              </w:rPr>
              <w:t>“</w:t>
            </w:r>
            <w:r w:rsidRPr="005112D6">
              <w:rPr>
                <w:sz w:val="16"/>
                <w:szCs w:val="16"/>
              </w:rPr>
              <w:t>The centre and its partners will develop new and different approaches to innovation at an early stage of the innovation cycle, to substantially accelerate innovation, shorten the time period to clinical trials and market, and mitigate technology risks associated with this emergent sector.</w:t>
            </w:r>
            <w:r>
              <w:rPr>
                <w:sz w:val="16"/>
                <w:szCs w:val="16"/>
              </w:rPr>
              <w:t>” (Taken from original funding proposal).</w:t>
            </w:r>
          </w:p>
        </w:tc>
      </w:tr>
      <w:tr w:rsidR="005B6AB0" w14:paraId="2794B62E" w14:textId="77777777" w:rsidTr="00003A86">
        <w:tc>
          <w:tcPr>
            <w:tcW w:w="1434" w:type="dxa"/>
            <w:vAlign w:val="center"/>
          </w:tcPr>
          <w:p w14:paraId="6CFB5A5D" w14:textId="5892434B" w:rsidR="005B6AB0" w:rsidRDefault="005B6AB0" w:rsidP="00003A86">
            <w:pPr>
              <w:pStyle w:val="NoSpacing"/>
              <w:spacing w:line="240" w:lineRule="auto"/>
              <w:ind w:firstLine="0"/>
              <w:jc w:val="left"/>
              <w:rPr>
                <w:sz w:val="16"/>
                <w:szCs w:val="16"/>
                <w:lang w:val="en-US"/>
              </w:rPr>
            </w:pPr>
            <w:r>
              <w:rPr>
                <w:sz w:val="16"/>
                <w:szCs w:val="16"/>
                <w:lang w:val="en-US"/>
              </w:rPr>
              <w:t>Breadth of collaboration</w:t>
            </w:r>
          </w:p>
        </w:tc>
        <w:tc>
          <w:tcPr>
            <w:tcW w:w="2218" w:type="dxa"/>
          </w:tcPr>
          <w:p w14:paraId="01C69507" w14:textId="2276D024" w:rsidR="005B6AB0" w:rsidRDefault="00EB0CA5" w:rsidP="000E607C">
            <w:pPr>
              <w:pStyle w:val="NoSpacing"/>
              <w:spacing w:line="240" w:lineRule="auto"/>
              <w:ind w:firstLine="0"/>
              <w:jc w:val="left"/>
              <w:rPr>
                <w:sz w:val="16"/>
                <w:szCs w:val="16"/>
                <w:lang w:val="en-US"/>
              </w:rPr>
            </w:pPr>
            <w:r>
              <w:rPr>
                <w:sz w:val="16"/>
                <w:szCs w:val="16"/>
                <w:lang w:val="en-US"/>
              </w:rPr>
              <w:t>The centre does not have control of all the elements that comprise a technology innovation project.  Collaborating with a wide range of stakeholders is inherent to its mode of operation.</w:t>
            </w:r>
          </w:p>
        </w:tc>
        <w:tc>
          <w:tcPr>
            <w:tcW w:w="4864" w:type="dxa"/>
          </w:tcPr>
          <w:p w14:paraId="3A4FEF1B" w14:textId="71C6C9C4" w:rsidR="005B6AB0" w:rsidRDefault="001939A0" w:rsidP="003645BF">
            <w:pPr>
              <w:pStyle w:val="NoSpacing"/>
              <w:spacing w:line="240" w:lineRule="auto"/>
              <w:ind w:firstLine="0"/>
              <w:jc w:val="left"/>
              <w:rPr>
                <w:sz w:val="16"/>
                <w:szCs w:val="16"/>
              </w:rPr>
            </w:pPr>
            <w:r>
              <w:rPr>
                <w:sz w:val="16"/>
                <w:szCs w:val="16"/>
              </w:rPr>
              <w:t>“</w:t>
            </w:r>
            <w:r w:rsidRPr="001939A0">
              <w:rPr>
                <w:sz w:val="16"/>
                <w:szCs w:val="16"/>
              </w:rPr>
              <w:t>We facilitate collaboration between companies, engineers, scientists and clinicians to develop innovative technologies that help the body repair and restore function, bridging the translation gap between fundamental research and the development of technology that’s ready for serious commercial investment.</w:t>
            </w:r>
            <w:r>
              <w:rPr>
                <w:sz w:val="16"/>
                <w:szCs w:val="16"/>
              </w:rPr>
              <w:t>” (Taken from an Annual Review at the midpoint of the Centre’s original funded programme</w:t>
            </w:r>
            <w:r w:rsidR="000656C6">
              <w:rPr>
                <w:sz w:val="16"/>
                <w:szCs w:val="16"/>
              </w:rPr>
              <w:t>)</w:t>
            </w:r>
            <w:r>
              <w:rPr>
                <w:sz w:val="16"/>
                <w:szCs w:val="16"/>
              </w:rPr>
              <w:t>.</w:t>
            </w:r>
          </w:p>
        </w:tc>
      </w:tr>
      <w:tr w:rsidR="005112D6" w14:paraId="427F85E6" w14:textId="77777777" w:rsidTr="00003A86">
        <w:tc>
          <w:tcPr>
            <w:tcW w:w="1434" w:type="dxa"/>
            <w:vAlign w:val="center"/>
          </w:tcPr>
          <w:p w14:paraId="685DA1E6" w14:textId="2DD15054" w:rsidR="000E607C" w:rsidRPr="000E607C" w:rsidRDefault="000E607C" w:rsidP="00761657">
            <w:pPr>
              <w:pStyle w:val="NoSpacing"/>
              <w:spacing w:line="240" w:lineRule="auto"/>
              <w:ind w:firstLine="0"/>
              <w:jc w:val="left"/>
              <w:rPr>
                <w:sz w:val="16"/>
                <w:szCs w:val="16"/>
                <w:lang w:val="en-US"/>
              </w:rPr>
            </w:pPr>
            <w:r>
              <w:rPr>
                <w:sz w:val="16"/>
                <w:szCs w:val="16"/>
                <w:lang w:val="en-US"/>
              </w:rPr>
              <w:t xml:space="preserve">Breadth of </w:t>
            </w:r>
            <w:r w:rsidR="00761657">
              <w:rPr>
                <w:sz w:val="16"/>
                <w:szCs w:val="16"/>
                <w:lang w:val="en-US"/>
              </w:rPr>
              <w:t>expertise</w:t>
            </w:r>
          </w:p>
        </w:tc>
        <w:tc>
          <w:tcPr>
            <w:tcW w:w="2218" w:type="dxa"/>
          </w:tcPr>
          <w:p w14:paraId="6B18DA3B" w14:textId="2332E753" w:rsidR="000E607C" w:rsidRPr="000E607C" w:rsidRDefault="00FC136A" w:rsidP="000E607C">
            <w:pPr>
              <w:pStyle w:val="NoSpacing"/>
              <w:spacing w:line="240" w:lineRule="auto"/>
              <w:ind w:firstLine="0"/>
              <w:jc w:val="left"/>
              <w:rPr>
                <w:sz w:val="16"/>
                <w:szCs w:val="16"/>
                <w:lang w:val="en-US"/>
              </w:rPr>
            </w:pPr>
            <w:r>
              <w:rPr>
                <w:sz w:val="16"/>
                <w:szCs w:val="16"/>
                <w:lang w:val="en-US"/>
              </w:rPr>
              <w:t>The Centre can draw upon a multi-disciplinary mix of research knowledge, facilities and expertise in innovation support functions.  These allow the Centre to operate across a breadth of innovation challenges from translation of original research to near-to-market product testing.</w:t>
            </w:r>
          </w:p>
        </w:tc>
        <w:tc>
          <w:tcPr>
            <w:tcW w:w="4864" w:type="dxa"/>
          </w:tcPr>
          <w:p w14:paraId="3378F5EE" w14:textId="51220BC0" w:rsidR="000E607C" w:rsidRPr="00017DE8" w:rsidRDefault="003645BF" w:rsidP="000E607C">
            <w:pPr>
              <w:pStyle w:val="NoSpacing"/>
              <w:spacing w:line="240" w:lineRule="auto"/>
              <w:ind w:firstLine="0"/>
              <w:jc w:val="left"/>
              <w:rPr>
                <w:sz w:val="16"/>
                <w:szCs w:val="16"/>
              </w:rPr>
            </w:pPr>
            <w:r>
              <w:rPr>
                <w:sz w:val="16"/>
                <w:szCs w:val="16"/>
              </w:rPr>
              <w:t xml:space="preserve">[The Centre can] </w:t>
            </w:r>
            <w:r w:rsidRPr="003645BF">
              <w:rPr>
                <w:sz w:val="16"/>
                <w:szCs w:val="16"/>
              </w:rPr>
              <w:t>translate and deliver high quality multi-disciplinary research through developing strong partnerships with</w:t>
            </w:r>
            <w:r>
              <w:rPr>
                <w:sz w:val="16"/>
                <w:szCs w:val="16"/>
              </w:rPr>
              <w:t xml:space="preserve"> companies. Furthermore, we play </w:t>
            </w:r>
            <w:r w:rsidRPr="003645BF">
              <w:rPr>
                <w:sz w:val="16"/>
                <w:szCs w:val="16"/>
              </w:rPr>
              <w:t>a role in validating new medical technology and regener</w:t>
            </w:r>
            <w:r>
              <w:rPr>
                <w:sz w:val="16"/>
                <w:szCs w:val="16"/>
              </w:rPr>
              <w:t>ative therapy products</w:t>
            </w:r>
            <w:r w:rsidRPr="003645BF">
              <w:rPr>
                <w:sz w:val="16"/>
                <w:szCs w:val="16"/>
              </w:rPr>
              <w:t xml:space="preserve"> through our Proof of concept investments. It should how</w:t>
            </w:r>
            <w:r>
              <w:rPr>
                <w:sz w:val="16"/>
                <w:szCs w:val="16"/>
              </w:rPr>
              <w:t>ever, also be noted that the Centre</w:t>
            </w:r>
            <w:r w:rsidRPr="003645BF">
              <w:rPr>
                <w:sz w:val="16"/>
                <w:szCs w:val="16"/>
              </w:rPr>
              <w:t xml:space="preserve"> also has significant capacity and capability to support late stage innovation undertaken in companies through the provision of high quality, FDA approved pre-clinical testing laboratories for medical devices as well as virtual simulation, health economic assessments and clinical trial design methodologies</w:t>
            </w:r>
            <w:r>
              <w:rPr>
                <w:sz w:val="16"/>
                <w:szCs w:val="16"/>
              </w:rPr>
              <w:t>.” (Taken from Centre’s “Sustainability Strategy”)</w:t>
            </w:r>
          </w:p>
        </w:tc>
      </w:tr>
      <w:tr w:rsidR="005112D6" w14:paraId="7638D883" w14:textId="77777777" w:rsidTr="00003A86">
        <w:tc>
          <w:tcPr>
            <w:tcW w:w="1434" w:type="dxa"/>
            <w:vAlign w:val="center"/>
          </w:tcPr>
          <w:p w14:paraId="3140AB9C" w14:textId="73342A37" w:rsidR="000E607C" w:rsidRPr="000E607C" w:rsidRDefault="006D51A9" w:rsidP="00761657">
            <w:pPr>
              <w:pStyle w:val="NoSpacing"/>
              <w:spacing w:line="240" w:lineRule="auto"/>
              <w:ind w:firstLine="0"/>
              <w:jc w:val="left"/>
              <w:rPr>
                <w:sz w:val="16"/>
                <w:szCs w:val="16"/>
                <w:lang w:val="en-US"/>
              </w:rPr>
            </w:pPr>
            <w:r>
              <w:rPr>
                <w:sz w:val="16"/>
                <w:szCs w:val="16"/>
                <w:lang w:val="en-US"/>
              </w:rPr>
              <w:t xml:space="preserve">Clinician </w:t>
            </w:r>
            <w:r w:rsidR="00761657">
              <w:rPr>
                <w:sz w:val="16"/>
                <w:szCs w:val="16"/>
                <w:lang w:val="en-US"/>
              </w:rPr>
              <w:t>input</w:t>
            </w:r>
          </w:p>
        </w:tc>
        <w:tc>
          <w:tcPr>
            <w:tcW w:w="2218" w:type="dxa"/>
          </w:tcPr>
          <w:p w14:paraId="19045E75" w14:textId="42BB5237" w:rsidR="000E607C" w:rsidRPr="000E607C" w:rsidRDefault="00EB0CA5" w:rsidP="000E607C">
            <w:pPr>
              <w:pStyle w:val="NoSpacing"/>
              <w:spacing w:line="240" w:lineRule="auto"/>
              <w:ind w:firstLine="0"/>
              <w:jc w:val="left"/>
              <w:rPr>
                <w:sz w:val="16"/>
                <w:szCs w:val="16"/>
                <w:lang w:val="en-US"/>
              </w:rPr>
            </w:pPr>
            <w:r>
              <w:rPr>
                <w:sz w:val="16"/>
                <w:szCs w:val="16"/>
                <w:lang w:val="en-US"/>
              </w:rPr>
              <w:t>Clinician input to a medical technology project is intuitively a good thing.  However, the associated practices appear highly contingent and difficult to organize.</w:t>
            </w:r>
          </w:p>
        </w:tc>
        <w:tc>
          <w:tcPr>
            <w:tcW w:w="4864" w:type="dxa"/>
          </w:tcPr>
          <w:p w14:paraId="57A87FBA" w14:textId="5D639A44" w:rsidR="000E607C" w:rsidRPr="00017DE8" w:rsidRDefault="00017DE8" w:rsidP="000E607C">
            <w:pPr>
              <w:pStyle w:val="NoSpacing"/>
              <w:spacing w:line="240" w:lineRule="auto"/>
              <w:ind w:firstLine="0"/>
              <w:jc w:val="left"/>
              <w:rPr>
                <w:sz w:val="16"/>
                <w:szCs w:val="16"/>
              </w:rPr>
            </w:pPr>
            <w:r>
              <w:rPr>
                <w:sz w:val="16"/>
                <w:szCs w:val="16"/>
              </w:rPr>
              <w:t>“</w:t>
            </w:r>
            <w:r w:rsidRPr="00017DE8">
              <w:rPr>
                <w:sz w:val="16"/>
                <w:szCs w:val="16"/>
              </w:rPr>
              <w:t>Clinical engagement is needed to provide a perception of prospective value throughout the product development process by informing concept creation (invention/discovery) and then aligning development with end-user requirements (innovation). This should ensure end-consumer perception of value is continuously underst</w:t>
            </w:r>
            <w:r>
              <w:rPr>
                <w:sz w:val="16"/>
                <w:szCs w:val="16"/>
              </w:rPr>
              <w:t>ood and enhanced through the Centre’s</w:t>
            </w:r>
            <w:r w:rsidRPr="00017DE8">
              <w:rPr>
                <w:sz w:val="16"/>
                <w:szCs w:val="16"/>
              </w:rPr>
              <w:t xml:space="preserve"> innovation process</w:t>
            </w:r>
            <w:r>
              <w:rPr>
                <w:sz w:val="16"/>
                <w:szCs w:val="16"/>
              </w:rPr>
              <w:t>”.  (Taken from Centre’s “Clinical Engagement Strategy”)</w:t>
            </w:r>
          </w:p>
        </w:tc>
      </w:tr>
      <w:tr w:rsidR="005112D6" w14:paraId="6B90B097" w14:textId="77777777" w:rsidTr="00003A86">
        <w:tc>
          <w:tcPr>
            <w:tcW w:w="1434" w:type="dxa"/>
            <w:vAlign w:val="center"/>
          </w:tcPr>
          <w:p w14:paraId="4A549186" w14:textId="085C82D2" w:rsidR="000E607C" w:rsidRPr="000E607C" w:rsidRDefault="007E42D1" w:rsidP="00003A86">
            <w:pPr>
              <w:pStyle w:val="NoSpacing"/>
              <w:spacing w:line="240" w:lineRule="auto"/>
              <w:ind w:firstLine="0"/>
              <w:jc w:val="left"/>
              <w:rPr>
                <w:sz w:val="16"/>
                <w:szCs w:val="16"/>
                <w:lang w:val="en-US"/>
              </w:rPr>
            </w:pPr>
            <w:r>
              <w:rPr>
                <w:sz w:val="16"/>
                <w:szCs w:val="16"/>
                <w:lang w:val="en-US"/>
              </w:rPr>
              <w:t>Commercialisation</w:t>
            </w:r>
          </w:p>
        </w:tc>
        <w:tc>
          <w:tcPr>
            <w:tcW w:w="2218" w:type="dxa"/>
          </w:tcPr>
          <w:p w14:paraId="295F9527" w14:textId="737D2751" w:rsidR="000E607C" w:rsidRPr="000E607C" w:rsidRDefault="00EB0CA5" w:rsidP="000E607C">
            <w:pPr>
              <w:pStyle w:val="NoSpacing"/>
              <w:spacing w:line="240" w:lineRule="auto"/>
              <w:ind w:firstLine="0"/>
              <w:jc w:val="left"/>
              <w:rPr>
                <w:sz w:val="16"/>
                <w:szCs w:val="16"/>
                <w:lang w:val="en-US"/>
              </w:rPr>
            </w:pPr>
            <w:r>
              <w:rPr>
                <w:sz w:val="16"/>
                <w:szCs w:val="16"/>
                <w:lang w:val="en-US"/>
              </w:rPr>
              <w:t>The resources</w:t>
            </w:r>
            <w:r w:rsidR="00750D1E">
              <w:rPr>
                <w:sz w:val="16"/>
                <w:szCs w:val="16"/>
                <w:lang w:val="en-US"/>
              </w:rPr>
              <w:t xml:space="preserve"> </w:t>
            </w:r>
            <w:r w:rsidR="00017DE8">
              <w:rPr>
                <w:sz w:val="16"/>
                <w:szCs w:val="16"/>
                <w:lang w:val="en-US"/>
              </w:rPr>
              <w:t xml:space="preserve">closely </w:t>
            </w:r>
            <w:r w:rsidR="00750D1E">
              <w:rPr>
                <w:sz w:val="16"/>
                <w:szCs w:val="16"/>
                <w:lang w:val="en-US"/>
              </w:rPr>
              <w:t>connected to the Centre that constitute its main contribution to commercialisation projects, e.g. intellectual property, established commercialisation channels of the host university</w:t>
            </w:r>
          </w:p>
        </w:tc>
        <w:tc>
          <w:tcPr>
            <w:tcW w:w="4864" w:type="dxa"/>
          </w:tcPr>
          <w:p w14:paraId="52E9B9FB" w14:textId="749F57BE" w:rsidR="000E607C" w:rsidRPr="00017DE8" w:rsidRDefault="00017DE8" w:rsidP="000E607C">
            <w:pPr>
              <w:pStyle w:val="NoSpacing"/>
              <w:spacing w:line="240" w:lineRule="auto"/>
              <w:ind w:firstLine="0"/>
              <w:jc w:val="left"/>
              <w:rPr>
                <w:sz w:val="16"/>
                <w:szCs w:val="16"/>
              </w:rPr>
            </w:pPr>
            <w:r>
              <w:rPr>
                <w:sz w:val="16"/>
                <w:szCs w:val="16"/>
              </w:rPr>
              <w:t>“The Centre’s]</w:t>
            </w:r>
            <w:r w:rsidRPr="00017DE8">
              <w:rPr>
                <w:sz w:val="16"/>
                <w:szCs w:val="16"/>
              </w:rPr>
              <w:t xml:space="preserve"> medical technologies patent portfolio has grown, with new priority applications being filed and existing patents progressing through subsequent stages of the application process. The strength of the portfolio is maintained through our strategy of filing robust patents and conducting rigorous market research to determine the geographical areas that each invention should be protected in. We also have substantial proprietary know-how that helps maintain and improve our </w:t>
            </w:r>
            <w:r w:rsidRPr="00017DE8">
              <w:rPr>
                <w:sz w:val="16"/>
                <w:szCs w:val="16"/>
              </w:rPr>
              <w:lastRenderedPageBreak/>
              <w:t xml:space="preserve">competitive position, which is protected by confidentiality agreements with all staff and NDAs with external organisations. Proposed inventions are subjected to internal review by a dedicated Intellectual Property Management Group and support from the </w:t>
            </w:r>
            <w:r>
              <w:rPr>
                <w:sz w:val="16"/>
                <w:szCs w:val="16"/>
              </w:rPr>
              <w:t>[host] University’</w:t>
            </w:r>
            <w:r w:rsidRPr="00017DE8">
              <w:rPr>
                <w:sz w:val="16"/>
                <w:szCs w:val="16"/>
              </w:rPr>
              <w:t>s Commercialisation Services team, with advice from patent attorneys where applicable.</w:t>
            </w:r>
            <w:r>
              <w:rPr>
                <w:sz w:val="16"/>
                <w:szCs w:val="16"/>
              </w:rPr>
              <w:t>” (Taken from Interim Report to the Centre’</w:t>
            </w:r>
            <w:r w:rsidR="0080238B">
              <w:rPr>
                <w:sz w:val="16"/>
                <w:szCs w:val="16"/>
              </w:rPr>
              <w:t>s Public F</w:t>
            </w:r>
            <w:r>
              <w:rPr>
                <w:sz w:val="16"/>
                <w:szCs w:val="16"/>
              </w:rPr>
              <w:t>unders)</w:t>
            </w:r>
          </w:p>
        </w:tc>
      </w:tr>
      <w:tr w:rsidR="005112D6" w14:paraId="3D00E4FF" w14:textId="77777777" w:rsidTr="00003A86">
        <w:tc>
          <w:tcPr>
            <w:tcW w:w="1434" w:type="dxa"/>
            <w:vAlign w:val="center"/>
          </w:tcPr>
          <w:p w14:paraId="28D38BF7" w14:textId="53FBB20E" w:rsidR="000E607C" w:rsidRPr="000E607C" w:rsidRDefault="005B6AB0" w:rsidP="00026A67">
            <w:pPr>
              <w:pStyle w:val="NoSpacing"/>
              <w:spacing w:line="240" w:lineRule="auto"/>
              <w:ind w:firstLine="0"/>
              <w:jc w:val="left"/>
              <w:rPr>
                <w:sz w:val="16"/>
                <w:szCs w:val="16"/>
                <w:lang w:val="en-US"/>
              </w:rPr>
            </w:pPr>
            <w:r>
              <w:rPr>
                <w:sz w:val="16"/>
                <w:szCs w:val="16"/>
                <w:lang w:val="en-US"/>
              </w:rPr>
              <w:lastRenderedPageBreak/>
              <w:t>D</w:t>
            </w:r>
            <w:r w:rsidR="00026A67">
              <w:rPr>
                <w:sz w:val="16"/>
                <w:szCs w:val="16"/>
                <w:lang w:val="en-US"/>
              </w:rPr>
              <w:t>e-risking</w:t>
            </w:r>
          </w:p>
        </w:tc>
        <w:tc>
          <w:tcPr>
            <w:tcW w:w="2218" w:type="dxa"/>
          </w:tcPr>
          <w:p w14:paraId="56AD46FD" w14:textId="4701012D" w:rsidR="000E607C" w:rsidRPr="000E607C" w:rsidRDefault="005B1FDE" w:rsidP="000E607C">
            <w:pPr>
              <w:pStyle w:val="NoSpacing"/>
              <w:spacing w:line="240" w:lineRule="auto"/>
              <w:ind w:firstLine="0"/>
              <w:jc w:val="left"/>
              <w:rPr>
                <w:sz w:val="16"/>
                <w:szCs w:val="16"/>
                <w:lang w:val="en-US"/>
              </w:rPr>
            </w:pPr>
            <w:r>
              <w:rPr>
                <w:sz w:val="16"/>
                <w:szCs w:val="16"/>
                <w:lang w:val="en-US"/>
              </w:rPr>
              <w:t>Practices managed by the centre that de-risk projects to the extent that they are attractive investments for private capital.</w:t>
            </w:r>
            <w:r w:rsidR="00372A19">
              <w:rPr>
                <w:sz w:val="16"/>
                <w:szCs w:val="16"/>
                <w:lang w:val="en-US"/>
              </w:rPr>
              <w:t xml:space="preserve">  This in corporates both financial risk and product safety risk.</w:t>
            </w:r>
          </w:p>
        </w:tc>
        <w:tc>
          <w:tcPr>
            <w:tcW w:w="4864" w:type="dxa"/>
          </w:tcPr>
          <w:p w14:paraId="175F2AF1" w14:textId="40115E3F" w:rsidR="002D4B8A" w:rsidRPr="002D4B8A" w:rsidRDefault="002D4B8A" w:rsidP="002D4B8A">
            <w:pPr>
              <w:pStyle w:val="NoSpacing"/>
              <w:spacing w:line="240" w:lineRule="auto"/>
              <w:ind w:firstLine="0"/>
              <w:jc w:val="left"/>
              <w:rPr>
                <w:sz w:val="16"/>
                <w:szCs w:val="16"/>
              </w:rPr>
            </w:pPr>
            <w:r>
              <w:rPr>
                <w:sz w:val="16"/>
                <w:szCs w:val="16"/>
              </w:rPr>
              <w:t>“As an [Innovation Centre]</w:t>
            </w:r>
            <w:r w:rsidRPr="002D4B8A">
              <w:rPr>
                <w:sz w:val="16"/>
                <w:szCs w:val="16"/>
              </w:rPr>
              <w:t>, our role is to reduce the risk and uncertainty associated with a new technology, so the private sector will consider investment to develop commercial products and deliver economic beneﬁts</w:t>
            </w:r>
            <w:r>
              <w:rPr>
                <w:sz w:val="16"/>
                <w:szCs w:val="16"/>
              </w:rPr>
              <w:t>.”  (Opening statement of the final year’s annual review document)</w:t>
            </w:r>
          </w:p>
          <w:p w14:paraId="508943F5" w14:textId="77777777" w:rsidR="000E607C" w:rsidRPr="000E607C" w:rsidRDefault="000E607C" w:rsidP="000E607C">
            <w:pPr>
              <w:pStyle w:val="NoSpacing"/>
              <w:spacing w:line="240" w:lineRule="auto"/>
              <w:ind w:firstLine="0"/>
              <w:jc w:val="left"/>
              <w:rPr>
                <w:sz w:val="16"/>
                <w:szCs w:val="16"/>
                <w:lang w:val="en-US"/>
              </w:rPr>
            </w:pPr>
          </w:p>
        </w:tc>
      </w:tr>
      <w:tr w:rsidR="005112D6" w14:paraId="76798604" w14:textId="77777777" w:rsidTr="00003A86">
        <w:tc>
          <w:tcPr>
            <w:tcW w:w="1434" w:type="dxa"/>
            <w:vAlign w:val="center"/>
          </w:tcPr>
          <w:p w14:paraId="665DE00E" w14:textId="3759AFDE" w:rsidR="000E607C" w:rsidRPr="000E607C" w:rsidRDefault="005B6AB0" w:rsidP="00003A86">
            <w:pPr>
              <w:pStyle w:val="NoSpacing"/>
              <w:spacing w:line="240" w:lineRule="auto"/>
              <w:ind w:firstLine="0"/>
              <w:jc w:val="left"/>
              <w:rPr>
                <w:sz w:val="16"/>
                <w:szCs w:val="16"/>
                <w:lang w:val="en-US"/>
              </w:rPr>
            </w:pPr>
            <w:r>
              <w:rPr>
                <w:sz w:val="16"/>
                <w:szCs w:val="16"/>
                <w:lang w:val="en-US"/>
              </w:rPr>
              <w:t>Impact</w:t>
            </w:r>
          </w:p>
        </w:tc>
        <w:tc>
          <w:tcPr>
            <w:tcW w:w="2218" w:type="dxa"/>
          </w:tcPr>
          <w:p w14:paraId="3A69559F" w14:textId="396A0D64" w:rsidR="000E607C" w:rsidRPr="000E607C" w:rsidRDefault="005B1FDE" w:rsidP="000E607C">
            <w:pPr>
              <w:pStyle w:val="NoSpacing"/>
              <w:spacing w:line="240" w:lineRule="auto"/>
              <w:ind w:firstLine="0"/>
              <w:jc w:val="left"/>
              <w:rPr>
                <w:sz w:val="16"/>
                <w:szCs w:val="16"/>
                <w:lang w:val="en-US"/>
              </w:rPr>
            </w:pPr>
            <w:r>
              <w:rPr>
                <w:sz w:val="16"/>
                <w:szCs w:val="16"/>
                <w:lang w:val="en-US"/>
              </w:rPr>
              <w:t>The outcomes of the investments made by the Centre in terms of patient benefits, economic development agendas and geographical reach</w:t>
            </w:r>
          </w:p>
        </w:tc>
        <w:tc>
          <w:tcPr>
            <w:tcW w:w="4864" w:type="dxa"/>
          </w:tcPr>
          <w:p w14:paraId="502F1C94" w14:textId="14707CAD" w:rsidR="0080238B" w:rsidRPr="0080238B" w:rsidRDefault="0080238B" w:rsidP="0080238B">
            <w:pPr>
              <w:pStyle w:val="NoSpacing"/>
              <w:spacing w:line="240" w:lineRule="auto"/>
              <w:ind w:firstLine="0"/>
              <w:jc w:val="left"/>
              <w:rPr>
                <w:sz w:val="16"/>
                <w:szCs w:val="16"/>
              </w:rPr>
            </w:pPr>
            <w:r>
              <w:rPr>
                <w:sz w:val="16"/>
                <w:szCs w:val="16"/>
              </w:rPr>
              <w:t>“</w:t>
            </w:r>
            <w:r w:rsidRPr="0080238B">
              <w:rPr>
                <w:sz w:val="16"/>
                <w:szCs w:val="16"/>
              </w:rPr>
              <w:t>Our integrated research and innovation centre aims to improve the quality of life of the ageing population who expect 50 active years after 50</w:t>
            </w:r>
            <w:r>
              <w:rPr>
                <w:sz w:val="16"/>
                <w:szCs w:val="16"/>
              </w:rPr>
              <w:t>.” (Part of Centre’s vision statement in an Interim Report to its Public Funders)</w:t>
            </w:r>
          </w:p>
          <w:p w14:paraId="76069B1C" w14:textId="77777777" w:rsidR="000E607C" w:rsidRPr="000E607C" w:rsidRDefault="000E607C" w:rsidP="000E607C">
            <w:pPr>
              <w:pStyle w:val="NoSpacing"/>
              <w:spacing w:line="240" w:lineRule="auto"/>
              <w:ind w:firstLine="0"/>
              <w:jc w:val="left"/>
              <w:rPr>
                <w:sz w:val="16"/>
                <w:szCs w:val="16"/>
                <w:lang w:val="en-US"/>
              </w:rPr>
            </w:pPr>
          </w:p>
        </w:tc>
      </w:tr>
      <w:tr w:rsidR="005112D6" w14:paraId="251B710C" w14:textId="77777777" w:rsidTr="00003A86">
        <w:tc>
          <w:tcPr>
            <w:tcW w:w="1434" w:type="dxa"/>
            <w:vAlign w:val="center"/>
          </w:tcPr>
          <w:p w14:paraId="2F17499B" w14:textId="221B3E68" w:rsidR="000E607C" w:rsidRPr="000E607C" w:rsidRDefault="006D51A9" w:rsidP="00003A86">
            <w:pPr>
              <w:pStyle w:val="NoSpacing"/>
              <w:spacing w:line="240" w:lineRule="auto"/>
              <w:ind w:firstLine="0"/>
              <w:jc w:val="left"/>
              <w:rPr>
                <w:sz w:val="16"/>
                <w:szCs w:val="16"/>
                <w:lang w:val="en-US"/>
              </w:rPr>
            </w:pPr>
            <w:r>
              <w:rPr>
                <w:sz w:val="16"/>
                <w:szCs w:val="16"/>
                <w:lang w:val="en-US"/>
              </w:rPr>
              <w:t>Industry collaboration</w:t>
            </w:r>
          </w:p>
        </w:tc>
        <w:tc>
          <w:tcPr>
            <w:tcW w:w="2218" w:type="dxa"/>
          </w:tcPr>
          <w:p w14:paraId="2B6F866B" w14:textId="5C3E3F1D" w:rsidR="000E607C" w:rsidRPr="000E607C" w:rsidRDefault="005B1FDE" w:rsidP="000E607C">
            <w:pPr>
              <w:pStyle w:val="NoSpacing"/>
              <w:spacing w:line="240" w:lineRule="auto"/>
              <w:ind w:firstLine="0"/>
              <w:jc w:val="left"/>
              <w:rPr>
                <w:sz w:val="16"/>
                <w:szCs w:val="16"/>
                <w:lang w:val="en-US"/>
              </w:rPr>
            </w:pPr>
            <w:r>
              <w:rPr>
                <w:sz w:val="16"/>
                <w:szCs w:val="16"/>
                <w:lang w:val="en-US"/>
              </w:rPr>
              <w:t>Innovation practices associated with the collaboration of industry partners</w:t>
            </w:r>
          </w:p>
        </w:tc>
        <w:tc>
          <w:tcPr>
            <w:tcW w:w="4864" w:type="dxa"/>
          </w:tcPr>
          <w:p w14:paraId="7716971F" w14:textId="794BE50D" w:rsidR="00C948C2" w:rsidRPr="00C948C2" w:rsidRDefault="00C948C2" w:rsidP="00C948C2">
            <w:pPr>
              <w:pStyle w:val="NoSpacing"/>
              <w:spacing w:line="240" w:lineRule="auto"/>
              <w:ind w:firstLine="0"/>
              <w:jc w:val="left"/>
              <w:rPr>
                <w:sz w:val="16"/>
                <w:szCs w:val="16"/>
              </w:rPr>
            </w:pPr>
            <w:r>
              <w:rPr>
                <w:sz w:val="16"/>
                <w:szCs w:val="16"/>
              </w:rPr>
              <w:t xml:space="preserve">“ </w:t>
            </w:r>
            <w:proofErr w:type="gramStart"/>
            <w:r w:rsidRPr="00C948C2">
              <w:rPr>
                <w:sz w:val="16"/>
                <w:szCs w:val="16"/>
              </w:rPr>
              <w:t>many</w:t>
            </w:r>
            <w:proofErr w:type="gramEnd"/>
            <w:r w:rsidRPr="00C948C2">
              <w:rPr>
                <w:sz w:val="16"/>
                <w:szCs w:val="16"/>
              </w:rPr>
              <w:t xml:space="preserve"> of our challenge led research projects are carried out in partnership with companies and so create an early shared relationship to ensure outcomes can be shaped towards commercial needs and also that companies have access to the very latest research findings and so can help identify further opportunities for new technology identification and validation of those technologies that offer potentia</w:t>
            </w:r>
            <w:r w:rsidR="0033614F">
              <w:rPr>
                <w:sz w:val="16"/>
                <w:szCs w:val="16"/>
              </w:rPr>
              <w:t>l for further development.” (Taken from the Centre’s “Sustainability Strategy”)</w:t>
            </w:r>
          </w:p>
          <w:p w14:paraId="708478CE" w14:textId="77777777" w:rsidR="000E607C" w:rsidRPr="000E607C" w:rsidRDefault="000E607C" w:rsidP="000E607C">
            <w:pPr>
              <w:pStyle w:val="NoSpacing"/>
              <w:spacing w:line="240" w:lineRule="auto"/>
              <w:ind w:firstLine="0"/>
              <w:jc w:val="left"/>
              <w:rPr>
                <w:sz w:val="16"/>
                <w:szCs w:val="16"/>
                <w:lang w:val="en-US"/>
              </w:rPr>
            </w:pPr>
          </w:p>
        </w:tc>
      </w:tr>
      <w:tr w:rsidR="005112D6" w14:paraId="3FEE868C" w14:textId="77777777" w:rsidTr="00003A86">
        <w:tc>
          <w:tcPr>
            <w:tcW w:w="1434" w:type="dxa"/>
            <w:vAlign w:val="center"/>
          </w:tcPr>
          <w:p w14:paraId="28CC96BA" w14:textId="0A35D57B" w:rsidR="000E607C" w:rsidRPr="000E607C" w:rsidRDefault="006D51A9" w:rsidP="00003A86">
            <w:pPr>
              <w:pStyle w:val="NoSpacing"/>
              <w:spacing w:line="240" w:lineRule="auto"/>
              <w:ind w:firstLine="0"/>
              <w:jc w:val="left"/>
              <w:rPr>
                <w:sz w:val="16"/>
                <w:szCs w:val="16"/>
                <w:lang w:val="en-US"/>
              </w:rPr>
            </w:pPr>
            <w:r>
              <w:rPr>
                <w:sz w:val="16"/>
                <w:szCs w:val="16"/>
                <w:lang w:val="en-US"/>
              </w:rPr>
              <w:t>National Centre</w:t>
            </w:r>
          </w:p>
        </w:tc>
        <w:tc>
          <w:tcPr>
            <w:tcW w:w="2218" w:type="dxa"/>
          </w:tcPr>
          <w:p w14:paraId="4BBF2E58" w14:textId="36E94E0F" w:rsidR="000E607C" w:rsidRPr="000E607C" w:rsidRDefault="005B1FDE" w:rsidP="000E607C">
            <w:pPr>
              <w:pStyle w:val="NoSpacing"/>
              <w:spacing w:line="240" w:lineRule="auto"/>
              <w:ind w:firstLine="0"/>
              <w:jc w:val="left"/>
              <w:rPr>
                <w:sz w:val="16"/>
                <w:szCs w:val="16"/>
                <w:lang w:val="en-US"/>
              </w:rPr>
            </w:pPr>
            <w:r>
              <w:rPr>
                <w:sz w:val="16"/>
                <w:szCs w:val="16"/>
                <w:lang w:val="en-US"/>
              </w:rPr>
              <w:t>The identity of the Centre as being national in in scope and reach (as distinct from being local or regional to the host university)</w:t>
            </w:r>
          </w:p>
        </w:tc>
        <w:tc>
          <w:tcPr>
            <w:tcW w:w="4864" w:type="dxa"/>
          </w:tcPr>
          <w:p w14:paraId="55AE769C" w14:textId="0FECC283" w:rsidR="0033614F" w:rsidRPr="0033614F" w:rsidRDefault="0033614F" w:rsidP="0033614F">
            <w:pPr>
              <w:pStyle w:val="NoSpacing"/>
              <w:spacing w:line="240" w:lineRule="auto"/>
              <w:ind w:firstLine="0"/>
              <w:jc w:val="left"/>
              <w:rPr>
                <w:sz w:val="16"/>
                <w:szCs w:val="16"/>
              </w:rPr>
            </w:pPr>
            <w:r>
              <w:rPr>
                <w:sz w:val="16"/>
                <w:szCs w:val="16"/>
              </w:rPr>
              <w:t>“</w:t>
            </w:r>
            <w:r w:rsidRPr="0033614F">
              <w:rPr>
                <w:sz w:val="16"/>
                <w:szCs w:val="16"/>
              </w:rPr>
              <w:t xml:space="preserve">We’re widening our reach throughout the UK and have established the </w:t>
            </w:r>
            <w:proofErr w:type="spellStart"/>
            <w:r>
              <w:rPr>
                <w:sz w:val="16"/>
                <w:szCs w:val="16"/>
              </w:rPr>
              <w:t>MedTech</w:t>
            </w:r>
            <w:proofErr w:type="spellEnd"/>
            <w:r>
              <w:rPr>
                <w:sz w:val="16"/>
                <w:szCs w:val="16"/>
              </w:rPr>
              <w:t xml:space="preserve"> Innovation Centre</w:t>
            </w:r>
            <w:r w:rsidRPr="0033614F">
              <w:rPr>
                <w:sz w:val="16"/>
                <w:szCs w:val="16"/>
              </w:rPr>
              <w:t xml:space="preserve"> as a national centre. We now have nine Proof of Concept projects in progress with national university partners. The innovative practice and culture that we’ve n</w:t>
            </w:r>
            <w:r>
              <w:rPr>
                <w:sz w:val="16"/>
                <w:szCs w:val="16"/>
              </w:rPr>
              <w:t>urtured and developed at the Centre</w:t>
            </w:r>
            <w:r w:rsidRPr="0033614F">
              <w:rPr>
                <w:sz w:val="16"/>
                <w:szCs w:val="16"/>
              </w:rPr>
              <w:t xml:space="preserve"> is now being embedded in universities around the UK. This is producing a change in how researchers – both early career researchers and seasoned academics - think about the translation of research to reach a deﬁned commercial application.</w:t>
            </w:r>
          </w:p>
          <w:p w14:paraId="0061B878" w14:textId="77777777" w:rsidR="000E607C" w:rsidRPr="000E607C" w:rsidRDefault="000E607C" w:rsidP="000E607C">
            <w:pPr>
              <w:pStyle w:val="NoSpacing"/>
              <w:spacing w:line="240" w:lineRule="auto"/>
              <w:ind w:firstLine="0"/>
              <w:jc w:val="left"/>
              <w:rPr>
                <w:sz w:val="16"/>
                <w:szCs w:val="16"/>
                <w:lang w:val="en-US"/>
              </w:rPr>
            </w:pPr>
          </w:p>
        </w:tc>
      </w:tr>
    </w:tbl>
    <w:p w14:paraId="7D139FA0" w14:textId="77777777" w:rsidR="00E7523E" w:rsidRDefault="00E7523E" w:rsidP="00777374">
      <w:pPr>
        <w:jc w:val="left"/>
      </w:pPr>
    </w:p>
    <w:p w14:paraId="5D09A52F" w14:textId="77777777" w:rsidR="00BA6EF7" w:rsidRDefault="00BA6EF7" w:rsidP="00777374">
      <w:pPr>
        <w:jc w:val="left"/>
      </w:pPr>
    </w:p>
    <w:p w14:paraId="3AF778D0" w14:textId="242AB620" w:rsidR="007169A4" w:rsidRPr="001B4792" w:rsidRDefault="007169A4" w:rsidP="007169A4">
      <w:pPr>
        <w:spacing w:before="0" w:line="240" w:lineRule="auto"/>
        <w:jc w:val="left"/>
        <w:rPr>
          <w:b/>
        </w:rPr>
      </w:pPr>
      <w:r w:rsidRPr="001B4792">
        <w:rPr>
          <w:b/>
        </w:rPr>
        <w:t>Plot Dynamics</w:t>
      </w:r>
    </w:p>
    <w:p w14:paraId="1599B42E" w14:textId="77777777" w:rsidR="007169A4" w:rsidRDefault="007169A4" w:rsidP="007169A4">
      <w:pPr>
        <w:spacing w:before="0" w:line="240" w:lineRule="auto"/>
        <w:jc w:val="left"/>
      </w:pPr>
    </w:p>
    <w:p w14:paraId="44A21849" w14:textId="09458B7C" w:rsidR="007169A4" w:rsidRDefault="008F10E3" w:rsidP="007169A4">
      <w:pPr>
        <w:spacing w:before="0" w:line="240" w:lineRule="auto"/>
        <w:jc w:val="left"/>
      </w:pPr>
      <w:r>
        <w:t>We use the term “plot” as a label for the way in which a particular theme is used within innovation narratives</w:t>
      </w:r>
      <w:r w:rsidR="00B6021A">
        <w:t xml:space="preserve"> </w:t>
      </w:r>
      <w:r w:rsidR="00B6021A">
        <w:fldChar w:fldCharType="begin"/>
      </w:r>
      <w:r w:rsidR="00B6021A">
        <w:instrText xml:space="preserve"> ADDIN EN.CITE &lt;EndNote&gt;&lt;Cite&gt;&lt;Author&gt;Bartel&lt;/Author&gt;&lt;Year&gt;2009&lt;/Year&gt;&lt;RecNum&gt;2075&lt;/RecNum&gt;&lt;Prefix&gt;cf. &lt;/Prefix&gt;&lt;Suffix&gt;`, p.111&lt;/Suffix&gt;&lt;DisplayText&gt;(cf. Bartel &amp;amp; Garud, 2009, p.111)&lt;/DisplayText&gt;&lt;record&gt;&lt;rec-number&gt;2075&lt;/rec-number&gt;&lt;foreign-keys&gt;&lt;key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B6021A">
        <w:fldChar w:fldCharType="separate"/>
      </w:r>
      <w:r w:rsidR="00B6021A">
        <w:rPr>
          <w:noProof/>
        </w:rPr>
        <w:t>(cf. Bartel &amp; Garud, 2009, p.111)</w:t>
      </w:r>
      <w:r w:rsidR="00B6021A">
        <w:fldChar w:fldCharType="end"/>
      </w:r>
      <w:r>
        <w:t xml:space="preserve">.  </w:t>
      </w:r>
      <w:r w:rsidR="00BA6EF7">
        <w:t>We examined the Centre’s</w:t>
      </w:r>
      <w:r w:rsidR="007169A4">
        <w:t xml:space="preserve"> </w:t>
      </w:r>
      <w:r w:rsidR="007169A4" w:rsidRPr="00BA6EF7">
        <w:rPr>
          <w:i/>
        </w:rPr>
        <w:t>strategic innovation narratives</w:t>
      </w:r>
      <w:r w:rsidR="00BA6EF7">
        <w:t xml:space="preserve"> </w:t>
      </w:r>
      <w:r w:rsidR="007169A4">
        <w:t xml:space="preserve">at </w:t>
      </w:r>
      <w:r w:rsidR="000656C6">
        <w:t>start</w:t>
      </w:r>
      <w:r w:rsidR="007169A4">
        <w:t>, middle and</w:t>
      </w:r>
      <w:r w:rsidR="007B37AB">
        <w:t xml:space="preserve"> end of original 5 year funding,</w:t>
      </w:r>
      <w:r w:rsidR="007169A4">
        <w:t xml:space="preserve"> and </w:t>
      </w:r>
      <w:r w:rsidR="007B37AB">
        <w:t>considered any</w:t>
      </w:r>
      <w:r w:rsidR="007169A4">
        <w:t xml:space="preserve"> changes in the way </w:t>
      </w:r>
      <w:r w:rsidR="007B37AB">
        <w:t>themes</w:t>
      </w:r>
      <w:r w:rsidR="007169A4">
        <w:t xml:space="preserve"> are employed.  We discern</w:t>
      </w:r>
      <w:r w:rsidR="007B37AB">
        <w:t>ed</w:t>
      </w:r>
      <w:r w:rsidR="007169A4">
        <w:t xml:space="preserve"> a number of </w:t>
      </w:r>
      <w:r w:rsidR="007B37AB">
        <w:t>change types (</w:t>
      </w:r>
      <w:r w:rsidR="007B37AB">
        <w:fldChar w:fldCharType="begin"/>
      </w:r>
      <w:r w:rsidR="007B37AB">
        <w:instrText xml:space="preserve"> REF _Ref295846119 \h </w:instrText>
      </w:r>
      <w:r w:rsidR="007B37AB">
        <w:fldChar w:fldCharType="separate"/>
      </w:r>
      <w:r w:rsidR="007B37AB">
        <w:t xml:space="preserve">Table </w:t>
      </w:r>
      <w:r w:rsidR="007B37AB">
        <w:rPr>
          <w:noProof/>
        </w:rPr>
        <w:t>3</w:t>
      </w:r>
      <w:r w:rsidR="007B37AB">
        <w:fldChar w:fldCharType="end"/>
      </w:r>
      <w:r w:rsidR="007B37AB">
        <w:t>)</w:t>
      </w:r>
      <w:r w:rsidR="007169A4">
        <w:t>:</w:t>
      </w:r>
    </w:p>
    <w:p w14:paraId="3E0F6050" w14:textId="77777777" w:rsidR="007169A4" w:rsidRDefault="007169A4" w:rsidP="007169A4">
      <w:pPr>
        <w:spacing w:before="0" w:line="240" w:lineRule="auto"/>
        <w:jc w:val="left"/>
      </w:pPr>
    </w:p>
    <w:p w14:paraId="79EDA469" w14:textId="1EBD4711" w:rsidR="0069324B" w:rsidRDefault="0069324B">
      <w:pPr>
        <w:spacing w:before="0" w:line="240" w:lineRule="auto"/>
        <w:jc w:val="left"/>
      </w:pPr>
      <w:r>
        <w:br w:type="page"/>
      </w:r>
    </w:p>
    <w:p w14:paraId="5E5C23FA" w14:textId="77777777" w:rsidR="007B37AB" w:rsidRDefault="007B37AB" w:rsidP="007169A4">
      <w:pPr>
        <w:spacing w:before="0" w:line="240" w:lineRule="auto"/>
        <w:jc w:val="left"/>
      </w:pPr>
    </w:p>
    <w:p w14:paraId="7F376ADD" w14:textId="731CD80B" w:rsidR="007B37AB" w:rsidRDefault="007B37AB" w:rsidP="007B37AB">
      <w:pPr>
        <w:pStyle w:val="Caption"/>
      </w:pPr>
      <w:bookmarkStart w:id="2" w:name="_Ref295846119"/>
      <w:r>
        <w:t xml:space="preserve">Table </w:t>
      </w:r>
      <w:r w:rsidR="00B6021A">
        <w:fldChar w:fldCharType="begin"/>
      </w:r>
      <w:r w:rsidR="00B6021A">
        <w:instrText xml:space="preserve"> SEQ Table \* ARABIC </w:instrText>
      </w:r>
      <w:r w:rsidR="00B6021A">
        <w:fldChar w:fldCharType="separate"/>
      </w:r>
      <w:r w:rsidR="007F3570">
        <w:rPr>
          <w:noProof/>
        </w:rPr>
        <w:t>3</w:t>
      </w:r>
      <w:r w:rsidR="00B6021A">
        <w:rPr>
          <w:noProof/>
        </w:rPr>
        <w:fldChar w:fldCharType="end"/>
      </w:r>
      <w:bookmarkEnd w:id="2"/>
      <w:r>
        <w:t xml:space="preserve"> – Changes in use of themes (plots) with strategic innovation narratives of </w:t>
      </w:r>
      <w:proofErr w:type="spellStart"/>
      <w:r>
        <w:t>MedTech</w:t>
      </w:r>
      <w:proofErr w:type="spellEnd"/>
      <w:r>
        <w:t xml:space="preserve"> Centre</w:t>
      </w:r>
    </w:p>
    <w:tbl>
      <w:tblPr>
        <w:tblStyle w:val="TableGrid"/>
        <w:tblW w:w="0" w:type="auto"/>
        <w:tblLook w:val="04A0" w:firstRow="1" w:lastRow="0" w:firstColumn="1" w:lastColumn="0" w:noHBand="0" w:noVBand="1"/>
      </w:tblPr>
      <w:tblGrid>
        <w:gridCol w:w="2696"/>
        <w:gridCol w:w="2018"/>
        <w:gridCol w:w="1980"/>
        <w:gridCol w:w="1822"/>
      </w:tblGrid>
      <w:tr w:rsidR="00C7654C" w14:paraId="01D67713" w14:textId="3896E938" w:rsidTr="00C7654C">
        <w:tc>
          <w:tcPr>
            <w:tcW w:w="2696" w:type="dxa"/>
            <w:vMerge w:val="restart"/>
            <w:shd w:val="clear" w:color="auto" w:fill="C0C0C0"/>
            <w:vAlign w:val="bottom"/>
          </w:tcPr>
          <w:p w14:paraId="1BEEC5D8" w14:textId="6117496C" w:rsidR="00C7654C" w:rsidRPr="00E935DC" w:rsidRDefault="00C7654C" w:rsidP="00E935DC">
            <w:pPr>
              <w:spacing w:before="0" w:line="240" w:lineRule="auto"/>
              <w:jc w:val="center"/>
              <w:rPr>
                <w:b/>
              </w:rPr>
            </w:pPr>
            <w:r w:rsidRPr="00E935DC">
              <w:rPr>
                <w:b/>
              </w:rPr>
              <w:t>Label for Plot Dynamic</w:t>
            </w:r>
          </w:p>
        </w:tc>
        <w:tc>
          <w:tcPr>
            <w:tcW w:w="3998" w:type="dxa"/>
            <w:gridSpan w:val="2"/>
            <w:shd w:val="clear" w:color="auto" w:fill="C0C0C0"/>
          </w:tcPr>
          <w:p w14:paraId="60B45966" w14:textId="0F311547" w:rsidR="00C7654C" w:rsidRPr="00E935DC" w:rsidRDefault="00C7654C" w:rsidP="00E935DC">
            <w:pPr>
              <w:spacing w:before="0" w:line="240" w:lineRule="auto"/>
              <w:jc w:val="center"/>
              <w:rPr>
                <w:b/>
              </w:rPr>
            </w:pPr>
            <w:r w:rsidRPr="00E935DC">
              <w:rPr>
                <w:b/>
              </w:rPr>
              <w:t>Change</w:t>
            </w:r>
          </w:p>
        </w:tc>
        <w:tc>
          <w:tcPr>
            <w:tcW w:w="1822" w:type="dxa"/>
            <w:vMerge w:val="restart"/>
            <w:shd w:val="clear" w:color="auto" w:fill="C0C0C0"/>
          </w:tcPr>
          <w:p w14:paraId="107DEDE7" w14:textId="3293BAAE" w:rsidR="00C7654C" w:rsidRPr="00E935DC" w:rsidRDefault="00C7654C" w:rsidP="00E935DC">
            <w:pPr>
              <w:spacing w:before="0" w:line="240" w:lineRule="auto"/>
              <w:jc w:val="center"/>
              <w:rPr>
                <w:b/>
              </w:rPr>
            </w:pPr>
            <w:r>
              <w:rPr>
                <w:b/>
              </w:rPr>
              <w:t>Themes undergoing this change</w:t>
            </w:r>
          </w:p>
        </w:tc>
      </w:tr>
      <w:tr w:rsidR="00C7654C" w14:paraId="0C528AE5" w14:textId="4A1C6141" w:rsidTr="00C7654C">
        <w:tc>
          <w:tcPr>
            <w:tcW w:w="2696" w:type="dxa"/>
            <w:vMerge/>
            <w:shd w:val="clear" w:color="auto" w:fill="C0C0C0"/>
          </w:tcPr>
          <w:p w14:paraId="1BA2BF4A" w14:textId="77777777" w:rsidR="00C7654C" w:rsidRPr="00E935DC" w:rsidRDefault="00C7654C" w:rsidP="007169A4">
            <w:pPr>
              <w:spacing w:before="0" w:line="240" w:lineRule="auto"/>
              <w:jc w:val="left"/>
              <w:rPr>
                <w:b/>
              </w:rPr>
            </w:pPr>
          </w:p>
        </w:tc>
        <w:tc>
          <w:tcPr>
            <w:tcW w:w="2018" w:type="dxa"/>
            <w:shd w:val="clear" w:color="auto" w:fill="C0C0C0"/>
          </w:tcPr>
          <w:p w14:paraId="4D9133E1" w14:textId="07AEFF46" w:rsidR="00C7654C" w:rsidRPr="00E935DC" w:rsidRDefault="00C7654C" w:rsidP="00E935DC">
            <w:pPr>
              <w:spacing w:before="0" w:line="240" w:lineRule="auto"/>
              <w:jc w:val="center"/>
              <w:rPr>
                <w:b/>
              </w:rPr>
            </w:pPr>
            <w:r w:rsidRPr="00E935DC">
              <w:rPr>
                <w:b/>
              </w:rPr>
              <w:t>Start</w:t>
            </w:r>
          </w:p>
        </w:tc>
        <w:tc>
          <w:tcPr>
            <w:tcW w:w="1980" w:type="dxa"/>
            <w:shd w:val="clear" w:color="auto" w:fill="C0C0C0"/>
          </w:tcPr>
          <w:p w14:paraId="56801FD8" w14:textId="5F83DF38" w:rsidR="00C7654C" w:rsidRPr="00E935DC" w:rsidRDefault="00C7654C" w:rsidP="00E935DC">
            <w:pPr>
              <w:spacing w:before="0" w:line="240" w:lineRule="auto"/>
              <w:jc w:val="center"/>
              <w:rPr>
                <w:b/>
              </w:rPr>
            </w:pPr>
            <w:r w:rsidRPr="00E935DC">
              <w:rPr>
                <w:b/>
              </w:rPr>
              <w:t>End</w:t>
            </w:r>
          </w:p>
        </w:tc>
        <w:tc>
          <w:tcPr>
            <w:tcW w:w="1822" w:type="dxa"/>
            <w:vMerge/>
            <w:shd w:val="clear" w:color="auto" w:fill="C0C0C0"/>
          </w:tcPr>
          <w:p w14:paraId="3DCBC624" w14:textId="77777777" w:rsidR="00C7654C" w:rsidRPr="00E935DC" w:rsidRDefault="00C7654C" w:rsidP="00E935DC">
            <w:pPr>
              <w:spacing w:before="0" w:line="240" w:lineRule="auto"/>
              <w:jc w:val="center"/>
              <w:rPr>
                <w:b/>
              </w:rPr>
            </w:pPr>
          </w:p>
        </w:tc>
      </w:tr>
      <w:tr w:rsidR="00C7654C" w14:paraId="5F667DD0" w14:textId="4D7D3083" w:rsidTr="00C7654C">
        <w:tc>
          <w:tcPr>
            <w:tcW w:w="2696" w:type="dxa"/>
          </w:tcPr>
          <w:p w14:paraId="2E770F4F" w14:textId="13F603E2" w:rsidR="00C7654C" w:rsidRDefault="00C7654C" w:rsidP="007169A4">
            <w:pPr>
              <w:spacing w:before="0" w:line="240" w:lineRule="auto"/>
              <w:jc w:val="left"/>
            </w:pPr>
            <w:r>
              <w:t>Continuance</w:t>
            </w:r>
          </w:p>
        </w:tc>
        <w:tc>
          <w:tcPr>
            <w:tcW w:w="2018" w:type="dxa"/>
          </w:tcPr>
          <w:p w14:paraId="28931B99" w14:textId="5FFFAD4C" w:rsidR="00C7654C" w:rsidRDefault="00C7654C" w:rsidP="007169A4">
            <w:pPr>
              <w:spacing w:before="0" w:line="240" w:lineRule="auto"/>
              <w:jc w:val="left"/>
            </w:pPr>
            <w:r>
              <w:t>Plot x</w:t>
            </w:r>
          </w:p>
        </w:tc>
        <w:tc>
          <w:tcPr>
            <w:tcW w:w="1980" w:type="dxa"/>
          </w:tcPr>
          <w:p w14:paraId="2E968484" w14:textId="6EA81F4A" w:rsidR="00C7654C" w:rsidRDefault="00C7654C" w:rsidP="007169A4">
            <w:pPr>
              <w:spacing w:before="0" w:line="240" w:lineRule="auto"/>
              <w:jc w:val="left"/>
            </w:pPr>
            <w:r>
              <w:t>Plot x</w:t>
            </w:r>
          </w:p>
        </w:tc>
        <w:tc>
          <w:tcPr>
            <w:tcW w:w="1822" w:type="dxa"/>
          </w:tcPr>
          <w:p w14:paraId="56BAFED6" w14:textId="657B679F" w:rsidR="00C7654C" w:rsidRPr="00C7654C" w:rsidRDefault="00C7654C" w:rsidP="007169A4">
            <w:pPr>
              <w:spacing w:before="0" w:line="240" w:lineRule="auto"/>
              <w:jc w:val="left"/>
              <w:rPr>
                <w:sz w:val="20"/>
                <w:szCs w:val="20"/>
              </w:rPr>
            </w:pPr>
            <w:r w:rsidRPr="00C7654C">
              <w:rPr>
                <w:sz w:val="20"/>
                <w:szCs w:val="20"/>
              </w:rPr>
              <w:t>Breadth of collaborat</w:t>
            </w:r>
            <w:r w:rsidR="007E42D1">
              <w:rPr>
                <w:sz w:val="20"/>
                <w:szCs w:val="20"/>
              </w:rPr>
              <w:t>ion, Commercialisation</w:t>
            </w:r>
            <w:r w:rsidRPr="00C7654C">
              <w:rPr>
                <w:sz w:val="20"/>
                <w:szCs w:val="20"/>
              </w:rPr>
              <w:t>, Clinical input</w:t>
            </w:r>
          </w:p>
        </w:tc>
      </w:tr>
      <w:tr w:rsidR="00C7654C" w14:paraId="0A6136C5" w14:textId="5ECF2B23" w:rsidTr="00C7654C">
        <w:tc>
          <w:tcPr>
            <w:tcW w:w="2696" w:type="dxa"/>
          </w:tcPr>
          <w:p w14:paraId="769A2D1F" w14:textId="116EE38A" w:rsidR="00C7654C" w:rsidRDefault="00C7654C" w:rsidP="007169A4">
            <w:pPr>
              <w:spacing w:before="0" w:line="240" w:lineRule="auto"/>
              <w:jc w:val="left"/>
            </w:pPr>
            <w:r>
              <w:t>Morphing</w:t>
            </w:r>
          </w:p>
        </w:tc>
        <w:tc>
          <w:tcPr>
            <w:tcW w:w="2018" w:type="dxa"/>
          </w:tcPr>
          <w:p w14:paraId="13C2086F" w14:textId="06118751" w:rsidR="00C7654C" w:rsidRDefault="00C7654C" w:rsidP="00E935DC">
            <w:pPr>
              <w:spacing w:before="0" w:line="240" w:lineRule="auto"/>
              <w:jc w:val="left"/>
            </w:pPr>
            <w:r>
              <w:t>Plot x</w:t>
            </w:r>
          </w:p>
        </w:tc>
        <w:tc>
          <w:tcPr>
            <w:tcW w:w="1980" w:type="dxa"/>
          </w:tcPr>
          <w:p w14:paraId="15CA3BB4" w14:textId="0E1CC6FA" w:rsidR="00C7654C" w:rsidRDefault="00C7654C" w:rsidP="00E935DC">
            <w:pPr>
              <w:spacing w:before="0" w:line="240" w:lineRule="auto"/>
              <w:jc w:val="left"/>
            </w:pPr>
            <w:r>
              <w:t>Plot y</w:t>
            </w:r>
          </w:p>
        </w:tc>
        <w:tc>
          <w:tcPr>
            <w:tcW w:w="1822" w:type="dxa"/>
          </w:tcPr>
          <w:p w14:paraId="4CB6BDEC" w14:textId="462DD2C7" w:rsidR="00C7654C" w:rsidRPr="00FB68CD" w:rsidRDefault="00C7654C" w:rsidP="00E935DC">
            <w:pPr>
              <w:spacing w:before="0" w:line="240" w:lineRule="auto"/>
              <w:jc w:val="left"/>
              <w:rPr>
                <w:sz w:val="20"/>
                <w:szCs w:val="20"/>
              </w:rPr>
            </w:pPr>
            <w:r w:rsidRPr="00FB68CD">
              <w:rPr>
                <w:sz w:val="20"/>
                <w:szCs w:val="20"/>
              </w:rPr>
              <w:t>Accelerated Innovation to de-risking</w:t>
            </w:r>
          </w:p>
        </w:tc>
      </w:tr>
      <w:tr w:rsidR="00C7654C" w14:paraId="1E302F60" w14:textId="19A0E945" w:rsidTr="00C7654C">
        <w:tc>
          <w:tcPr>
            <w:tcW w:w="2696" w:type="dxa"/>
          </w:tcPr>
          <w:p w14:paraId="30177690" w14:textId="7C4D6685" w:rsidR="00C7654C" w:rsidRDefault="007E42D1" w:rsidP="007E42D1">
            <w:pPr>
              <w:spacing w:before="0" w:line="240" w:lineRule="auto"/>
              <w:jc w:val="left"/>
            </w:pPr>
            <w:r>
              <w:t>Emergence</w:t>
            </w:r>
            <w:r w:rsidR="00C7654C">
              <w:t xml:space="preserve"> </w:t>
            </w:r>
          </w:p>
        </w:tc>
        <w:tc>
          <w:tcPr>
            <w:tcW w:w="2018" w:type="dxa"/>
          </w:tcPr>
          <w:p w14:paraId="0F2C3441" w14:textId="4F649632" w:rsidR="00C7654C" w:rsidRDefault="00C7654C" w:rsidP="007169A4">
            <w:pPr>
              <w:spacing w:before="0" w:line="240" w:lineRule="auto"/>
              <w:jc w:val="left"/>
            </w:pPr>
            <w:proofErr w:type="gramStart"/>
            <w:r>
              <w:t>none</w:t>
            </w:r>
            <w:proofErr w:type="gramEnd"/>
          </w:p>
        </w:tc>
        <w:tc>
          <w:tcPr>
            <w:tcW w:w="1980" w:type="dxa"/>
          </w:tcPr>
          <w:p w14:paraId="2DDD4F19" w14:textId="60E2DACC" w:rsidR="00C7654C" w:rsidRDefault="00C7654C" w:rsidP="007169A4">
            <w:pPr>
              <w:spacing w:before="0" w:line="240" w:lineRule="auto"/>
              <w:jc w:val="left"/>
            </w:pPr>
            <w:r>
              <w:t>Plot x</w:t>
            </w:r>
          </w:p>
        </w:tc>
        <w:tc>
          <w:tcPr>
            <w:tcW w:w="1822" w:type="dxa"/>
          </w:tcPr>
          <w:p w14:paraId="4D21AA12" w14:textId="00011080" w:rsidR="00C7654C" w:rsidRPr="00FB68CD" w:rsidRDefault="00FB68CD" w:rsidP="007169A4">
            <w:pPr>
              <w:spacing w:before="0" w:line="240" w:lineRule="auto"/>
              <w:jc w:val="left"/>
              <w:rPr>
                <w:sz w:val="20"/>
                <w:szCs w:val="20"/>
              </w:rPr>
            </w:pPr>
            <w:r w:rsidRPr="00FB68CD">
              <w:rPr>
                <w:sz w:val="20"/>
                <w:szCs w:val="20"/>
              </w:rPr>
              <w:t>National Centre</w:t>
            </w:r>
          </w:p>
        </w:tc>
      </w:tr>
      <w:tr w:rsidR="00C7654C" w14:paraId="40A4FCCE" w14:textId="1F86629C" w:rsidTr="00C7654C">
        <w:tc>
          <w:tcPr>
            <w:tcW w:w="2696" w:type="dxa"/>
          </w:tcPr>
          <w:p w14:paraId="7E7823FF" w14:textId="5DB0DE08" w:rsidR="00C7654C" w:rsidRDefault="00C7654C" w:rsidP="007169A4">
            <w:pPr>
              <w:spacing w:before="0" w:line="240" w:lineRule="auto"/>
              <w:jc w:val="left"/>
            </w:pPr>
            <w:r>
              <w:t>Enhancement</w:t>
            </w:r>
          </w:p>
        </w:tc>
        <w:tc>
          <w:tcPr>
            <w:tcW w:w="2018" w:type="dxa"/>
          </w:tcPr>
          <w:p w14:paraId="6209F3D5" w14:textId="6542D463" w:rsidR="00C7654C" w:rsidRDefault="00C7654C" w:rsidP="007169A4">
            <w:pPr>
              <w:spacing w:before="0" w:line="240" w:lineRule="auto"/>
              <w:jc w:val="left"/>
            </w:pPr>
            <w:r>
              <w:t>Plot x</w:t>
            </w:r>
          </w:p>
        </w:tc>
        <w:tc>
          <w:tcPr>
            <w:tcW w:w="1980" w:type="dxa"/>
          </w:tcPr>
          <w:p w14:paraId="32DC1882" w14:textId="4FDAC0FE" w:rsidR="00C7654C" w:rsidRDefault="00C7654C" w:rsidP="007169A4">
            <w:pPr>
              <w:spacing w:before="0" w:line="240" w:lineRule="auto"/>
              <w:jc w:val="left"/>
            </w:pPr>
            <w:r>
              <w:t>Plot X</w:t>
            </w:r>
          </w:p>
        </w:tc>
        <w:tc>
          <w:tcPr>
            <w:tcW w:w="1822" w:type="dxa"/>
          </w:tcPr>
          <w:p w14:paraId="0181CDFF" w14:textId="43E2A071" w:rsidR="00C7654C" w:rsidRPr="00FB68CD" w:rsidRDefault="00FB68CD" w:rsidP="007169A4">
            <w:pPr>
              <w:spacing w:before="0" w:line="240" w:lineRule="auto"/>
              <w:jc w:val="left"/>
              <w:rPr>
                <w:sz w:val="20"/>
                <w:szCs w:val="20"/>
              </w:rPr>
            </w:pPr>
            <w:r w:rsidRPr="00FB68CD">
              <w:rPr>
                <w:sz w:val="20"/>
                <w:szCs w:val="20"/>
              </w:rPr>
              <w:t>Impact, Industry collaboration</w:t>
            </w:r>
          </w:p>
        </w:tc>
      </w:tr>
      <w:tr w:rsidR="00C7654C" w14:paraId="3B56BFF2" w14:textId="6BC86283" w:rsidTr="00C7654C">
        <w:tc>
          <w:tcPr>
            <w:tcW w:w="2696" w:type="dxa"/>
          </w:tcPr>
          <w:p w14:paraId="55A73C78" w14:textId="4058563F" w:rsidR="00C7654C" w:rsidRDefault="00614FED" w:rsidP="007169A4">
            <w:pPr>
              <w:spacing w:before="0" w:line="240" w:lineRule="auto"/>
              <w:jc w:val="left"/>
            </w:pPr>
            <w:r>
              <w:t>Clarification</w:t>
            </w:r>
          </w:p>
        </w:tc>
        <w:tc>
          <w:tcPr>
            <w:tcW w:w="2018" w:type="dxa"/>
          </w:tcPr>
          <w:p w14:paraId="0BC7BA2A" w14:textId="41956A53" w:rsidR="00C7654C" w:rsidRDefault="00614FED" w:rsidP="007169A4">
            <w:pPr>
              <w:spacing w:before="0" w:line="240" w:lineRule="auto"/>
              <w:jc w:val="left"/>
            </w:pPr>
            <w:r>
              <w:t>Provisional</w:t>
            </w:r>
            <w:r w:rsidR="00C7654C">
              <w:t xml:space="preserve"> plot x</w:t>
            </w:r>
          </w:p>
        </w:tc>
        <w:tc>
          <w:tcPr>
            <w:tcW w:w="1980" w:type="dxa"/>
          </w:tcPr>
          <w:p w14:paraId="083D8652" w14:textId="57F696F7" w:rsidR="00C7654C" w:rsidRDefault="00614FED" w:rsidP="007169A4">
            <w:pPr>
              <w:spacing w:before="0" w:line="240" w:lineRule="auto"/>
              <w:jc w:val="left"/>
            </w:pPr>
            <w:r>
              <w:t>Finalised</w:t>
            </w:r>
            <w:r w:rsidR="00C7654C">
              <w:t xml:space="preserve"> plot x</w:t>
            </w:r>
          </w:p>
        </w:tc>
        <w:tc>
          <w:tcPr>
            <w:tcW w:w="1822" w:type="dxa"/>
          </w:tcPr>
          <w:p w14:paraId="0178223F" w14:textId="5F611F9C" w:rsidR="00C7654C" w:rsidRPr="00FB68CD" w:rsidRDefault="00FB68CD" w:rsidP="007169A4">
            <w:pPr>
              <w:spacing w:before="0" w:line="240" w:lineRule="auto"/>
              <w:jc w:val="left"/>
              <w:rPr>
                <w:sz w:val="20"/>
                <w:szCs w:val="20"/>
              </w:rPr>
            </w:pPr>
            <w:r w:rsidRPr="00FB68CD">
              <w:rPr>
                <w:sz w:val="20"/>
                <w:szCs w:val="20"/>
              </w:rPr>
              <w:t>Breadth of expertise</w:t>
            </w:r>
          </w:p>
        </w:tc>
      </w:tr>
    </w:tbl>
    <w:p w14:paraId="6EEEA477" w14:textId="77777777" w:rsidR="007169A4" w:rsidRDefault="007169A4" w:rsidP="007169A4">
      <w:pPr>
        <w:spacing w:before="0" w:line="240" w:lineRule="auto"/>
        <w:jc w:val="left"/>
      </w:pPr>
    </w:p>
    <w:p w14:paraId="3131B240" w14:textId="5BEAB857" w:rsidR="002C0F8C" w:rsidRDefault="002C0F8C" w:rsidP="007169A4">
      <w:pPr>
        <w:spacing w:before="0" w:line="240" w:lineRule="auto"/>
        <w:jc w:val="left"/>
      </w:pPr>
      <w:r>
        <w:t xml:space="preserve">We might imagine a possible </w:t>
      </w:r>
      <w:r w:rsidR="00C130D5">
        <w:t xml:space="preserve">sixth plot </w:t>
      </w:r>
      <w:r w:rsidR="000656C6">
        <w:t>dynamic that</w:t>
      </w:r>
      <w:r>
        <w:t xml:space="preserve"> is “retirement” (i.e. Plot x to none).  However, empirically in this case we did not observe such retirements.</w:t>
      </w:r>
    </w:p>
    <w:p w14:paraId="776F3E63" w14:textId="77777777" w:rsidR="001B4792" w:rsidRDefault="001B4792" w:rsidP="007169A4">
      <w:pPr>
        <w:spacing w:before="0" w:line="240" w:lineRule="auto"/>
        <w:jc w:val="left"/>
      </w:pPr>
    </w:p>
    <w:p w14:paraId="01B962FD" w14:textId="09B6DC20" w:rsidR="001B4792" w:rsidRDefault="00C130D5" w:rsidP="007169A4">
      <w:pPr>
        <w:spacing w:before="0" w:line="240" w:lineRule="auto"/>
        <w:jc w:val="left"/>
      </w:pPr>
      <w:r>
        <w:t>The following subsections describe the different ways in which the use of themes changed within strategic innovation narratives.</w:t>
      </w:r>
    </w:p>
    <w:p w14:paraId="6C803183" w14:textId="77777777" w:rsidR="001B4792" w:rsidRDefault="001B4792" w:rsidP="007169A4">
      <w:pPr>
        <w:spacing w:before="0" w:line="240" w:lineRule="auto"/>
        <w:jc w:val="left"/>
      </w:pPr>
    </w:p>
    <w:p w14:paraId="0EAB8864" w14:textId="30A7369A" w:rsidR="007169A4" w:rsidRPr="001B4792" w:rsidRDefault="001B4792" w:rsidP="00777374">
      <w:pPr>
        <w:jc w:val="left"/>
        <w:rPr>
          <w:b/>
          <w:i/>
        </w:rPr>
      </w:pPr>
      <w:r>
        <w:t xml:space="preserve"> </w:t>
      </w:r>
      <w:r w:rsidRPr="001B4792">
        <w:rPr>
          <w:b/>
          <w:i/>
        </w:rPr>
        <w:t>Continuance</w:t>
      </w:r>
    </w:p>
    <w:p w14:paraId="39C76FA3" w14:textId="4D3359E9" w:rsidR="001B4792" w:rsidRDefault="001B4792" w:rsidP="00777374">
      <w:pPr>
        <w:jc w:val="left"/>
      </w:pPr>
      <w:r>
        <w:t xml:space="preserve">Examples of plots whose use within strategic narrative did not seem to change markedly through the 5 years of the </w:t>
      </w:r>
      <w:proofErr w:type="spellStart"/>
      <w:r>
        <w:t>MedTech</w:t>
      </w:r>
      <w:proofErr w:type="spellEnd"/>
      <w:r>
        <w:t xml:space="preserve"> Centre were: “breadth of collaboration”, “commercialisation resources” and “clinical input”.  The first two of these represent a set of practices that are institutionalised within university open innovation projects </w:t>
      </w:r>
      <w:r w:rsidR="00D712C8">
        <w:fldChar w:fldCharType="begin"/>
      </w:r>
      <w:r w:rsidR="008F10E3">
        <w:instrText xml:space="preserve"> ADDIN EN.CITE &lt;EndNote&gt;&lt;Cite&gt;&lt;Author&gt;Perkmann&lt;/Author&gt;&lt;Year&gt;2007&lt;/Year&gt;&lt;RecNum&gt;64&lt;/RecNum&gt;&lt;Prefix&gt;cf. &lt;/Prefix&gt;&lt;DisplayText&gt;(cf. Perkmann &amp;amp; Walsh, 2007)&lt;/DisplayText&gt;&lt;record&gt;&lt;rec-number&gt;64&lt;/rec-number&gt;&lt;foreign-keys&gt;&lt;key app="EN" db-id="pd2zewe9caaftre2ts5pzpwh9pvdwvrsss90" timestamp="0"&gt;64&lt;/key&gt;&lt;/foreign-keys&gt;&lt;ref-type name="Journal Article"&gt;17&lt;/ref-type&gt;&lt;contributors&gt;&lt;authors&gt;&lt;author&gt;Perkmann, M.&lt;/author&gt;&lt;author&gt;Walsh, K.&lt;/author&gt;&lt;/authors&gt;&lt;/contributors&gt;&lt;titles&gt;&lt;title&gt;University-industry relationships and open innovation: Towards a research agenda&lt;/title&gt;&lt;secondary-title&gt;International Journal of Management Reviews&lt;/secondary-title&gt;&lt;/titles&gt;&lt;periodical&gt;&lt;full-title&gt;International Journal of Management Reviews&lt;/full-title&gt;&lt;/periodical&gt;&lt;pages&gt;259-280&lt;/pages&gt;&lt;volume&gt;9&lt;/volume&gt;&lt;dates&gt;&lt;year&gt;2007&lt;/year&gt;&lt;/dates&gt;&lt;isbn&gt;1460-8545&lt;/isbn&gt;&lt;accession-num&gt;WOS:000251191300001&lt;/accession-num&gt;&lt;urls&gt;&lt;related-urls&gt;&lt;url&gt;&amp;lt;Go to ISI&amp;gt;://WOS:000251191300001&lt;/url&gt;&lt;/related-urls&gt;&lt;/urls&gt;&lt;electronic-resource-num&gt;10.1111/j.1468-2370.2007.00225.x&lt;/electronic-resource-num&gt;&lt;research-notes&gt;Questions:  University-industry relationships and open university.&amp;#xD;&amp;#xD;Data/method:  Literature Review&amp;#x9;&amp;#x9;&amp;#xD;&amp;#xD;Main findings:  Framework that distinguishes uni-ind relationships from mechanisms such as tech transfer &amp;amp; human mobility.  Research agenda proposed relates to detail organizational dynamics: esp search/match processes and orgsn of collaborative rel/ships.&amp;#x9;&amp;#xD;&amp;#xD;Comments:  Thorough literature review.  Good source for references in this area.&lt;/research-notes&gt;&lt;/record&gt;&lt;/Cite&gt;&lt;/EndNote&gt;</w:instrText>
      </w:r>
      <w:r w:rsidR="00D712C8">
        <w:fldChar w:fldCharType="separate"/>
      </w:r>
      <w:r w:rsidR="008F10E3">
        <w:rPr>
          <w:noProof/>
        </w:rPr>
        <w:t>(cf. Perkmann &amp; Walsh, 2007)</w:t>
      </w:r>
      <w:r w:rsidR="00D712C8">
        <w:fldChar w:fldCharType="end"/>
      </w:r>
      <w:r>
        <w:t>.</w:t>
      </w:r>
      <w:r w:rsidR="00C41D69">
        <w:t xml:space="preserve">  “Clinical input”</w:t>
      </w:r>
      <w:r w:rsidR="00A84CEF">
        <w:t xml:space="preserve"> is an element of medical innovation practice that appears highly contingent </w:t>
      </w:r>
      <w:r w:rsidR="000558BF">
        <w:t xml:space="preserve">and defies easy prescription.  </w:t>
      </w:r>
      <w:r w:rsidR="00A84CEF">
        <w:t>As a theme within the Centre’s innovation narrative, “clinical input” is presented throughout as</w:t>
      </w:r>
      <w:r w:rsidR="008358D2">
        <w:t xml:space="preserve"> a guiding principle to be adopted when possible (i.e. when a suitable clinician can be identified and attracted to connect with a project).</w:t>
      </w:r>
    </w:p>
    <w:p w14:paraId="40FB232A" w14:textId="77777777" w:rsidR="008358D2" w:rsidRDefault="008358D2" w:rsidP="00777374">
      <w:pPr>
        <w:jc w:val="left"/>
      </w:pPr>
    </w:p>
    <w:p w14:paraId="7D80E995" w14:textId="558DE579" w:rsidR="008358D2" w:rsidRPr="00944376" w:rsidRDefault="008358D2" w:rsidP="00777374">
      <w:pPr>
        <w:jc w:val="left"/>
        <w:rPr>
          <w:b/>
          <w:i/>
        </w:rPr>
      </w:pPr>
      <w:r w:rsidRPr="00944376">
        <w:rPr>
          <w:b/>
          <w:i/>
        </w:rPr>
        <w:t>Morphing</w:t>
      </w:r>
    </w:p>
    <w:p w14:paraId="3FA945F9" w14:textId="71353321" w:rsidR="008358D2" w:rsidRDefault="00C130D5" w:rsidP="00777374">
      <w:pPr>
        <w:jc w:val="left"/>
      </w:pPr>
      <w:r>
        <w:t>This change type concerns</w:t>
      </w:r>
      <w:r w:rsidR="006D6FD2">
        <w:t xml:space="preserve"> a </w:t>
      </w:r>
      <w:r w:rsidR="001D31D5">
        <w:t>plot, which through use in innovation narratives with stakeholders, comes to be refined, and better expressive of the original intention.  This is illustrated with in this case study with the plot of “accelerated innovation”</w:t>
      </w:r>
      <w:r>
        <w:t xml:space="preserve"> (</w:t>
      </w:r>
      <w:r>
        <w:fldChar w:fldCharType="begin"/>
      </w:r>
      <w:r>
        <w:instrText xml:space="preserve"> REF _Ref295846364 \h </w:instrText>
      </w:r>
      <w:r>
        <w:fldChar w:fldCharType="separate"/>
      </w:r>
      <w:r>
        <w:t xml:space="preserve">Table </w:t>
      </w:r>
      <w:r>
        <w:rPr>
          <w:noProof/>
        </w:rPr>
        <w:t>4</w:t>
      </w:r>
      <w:r>
        <w:fldChar w:fldCharType="end"/>
      </w:r>
      <w:r>
        <w:t>)</w:t>
      </w:r>
      <w:r w:rsidR="001D31D5">
        <w:t xml:space="preserve">.  A defining proposal at the outset of the project, the core narrative of acceleration </w:t>
      </w:r>
      <w:r w:rsidR="001D31D5">
        <w:lastRenderedPageBreak/>
        <w:t xml:space="preserve">was prompted by a similar theme in the funding call for the programme.  However, the same them received a muted response from both academic scientists and industry stakeholders.  For them, speed (in some absolute sense) was less important that “making the correct investment decision early”.  Whilst still having an implication of speed, such early effective </w:t>
      </w:r>
      <w:r w:rsidR="00F521A2">
        <w:t>decision-making</w:t>
      </w:r>
      <w:r w:rsidR="001D31D5">
        <w:t xml:space="preserve"> became </w:t>
      </w:r>
      <w:r w:rsidR="00F521A2">
        <w:t>couched</w:t>
      </w:r>
      <w:r w:rsidR="001D31D5">
        <w:t xml:space="preserve"> in terms of risk mitigation.</w:t>
      </w:r>
      <w:r w:rsidR="00F521A2">
        <w:t xml:space="preserve">  By the end of the 5 year funding programme, this theme of mitigating financial risk of early technology investments had become a core plot, and use of the “accelerated innovation” plot were much less evident.</w:t>
      </w:r>
    </w:p>
    <w:p w14:paraId="6A7DEC0C" w14:textId="2E87040A" w:rsidR="000558BF" w:rsidRDefault="000558BF" w:rsidP="000558BF">
      <w:pPr>
        <w:spacing w:before="0" w:line="240" w:lineRule="auto"/>
        <w:jc w:val="left"/>
      </w:pPr>
    </w:p>
    <w:p w14:paraId="33EDB052" w14:textId="36C6FCE8" w:rsidR="00C130D5" w:rsidRDefault="00C130D5" w:rsidP="00C130D5">
      <w:pPr>
        <w:pStyle w:val="Caption"/>
      </w:pPr>
      <w:bookmarkStart w:id="3" w:name="_Ref295846364"/>
      <w:r>
        <w:t xml:space="preserve">Table </w:t>
      </w:r>
      <w:r w:rsidR="00B6021A">
        <w:fldChar w:fldCharType="begin"/>
      </w:r>
      <w:r w:rsidR="00B6021A">
        <w:instrText xml:space="preserve"> SEQ Table \* ARABIC </w:instrText>
      </w:r>
      <w:r w:rsidR="00B6021A">
        <w:fldChar w:fldCharType="separate"/>
      </w:r>
      <w:r w:rsidR="007F3570">
        <w:rPr>
          <w:noProof/>
        </w:rPr>
        <w:t>4</w:t>
      </w:r>
      <w:r w:rsidR="00B6021A">
        <w:rPr>
          <w:noProof/>
        </w:rPr>
        <w:fldChar w:fldCharType="end"/>
      </w:r>
      <w:bookmarkEnd w:id="3"/>
      <w:r>
        <w:t xml:space="preserve"> – Illustration and case commentary concerning the </w:t>
      </w:r>
      <w:r w:rsidRPr="00C130D5">
        <w:rPr>
          <w:i/>
        </w:rPr>
        <w:t>morphing</w:t>
      </w:r>
      <w:r>
        <w:t xml:space="preserve"> of themes</w:t>
      </w:r>
    </w:p>
    <w:tbl>
      <w:tblPr>
        <w:tblStyle w:val="TableGrid"/>
        <w:tblW w:w="0" w:type="auto"/>
        <w:tblLook w:val="04A0" w:firstRow="1" w:lastRow="0" w:firstColumn="1" w:lastColumn="0" w:noHBand="0" w:noVBand="1"/>
      </w:tblPr>
      <w:tblGrid>
        <w:gridCol w:w="959"/>
        <w:gridCol w:w="4718"/>
        <w:gridCol w:w="2839"/>
      </w:tblGrid>
      <w:tr w:rsidR="008358D2" w14:paraId="52A28092" w14:textId="77777777" w:rsidTr="008358D2">
        <w:tc>
          <w:tcPr>
            <w:tcW w:w="959" w:type="dxa"/>
            <w:shd w:val="clear" w:color="auto" w:fill="C0C0C0"/>
          </w:tcPr>
          <w:p w14:paraId="4EC00E6D" w14:textId="4C04CE6A" w:rsidR="008358D2" w:rsidRPr="008358D2" w:rsidRDefault="008358D2" w:rsidP="006D6FD2">
            <w:pPr>
              <w:spacing w:line="240" w:lineRule="auto"/>
              <w:rPr>
                <w:b/>
                <w:sz w:val="20"/>
                <w:szCs w:val="20"/>
              </w:rPr>
            </w:pPr>
            <w:r w:rsidRPr="008358D2">
              <w:rPr>
                <w:b/>
                <w:sz w:val="20"/>
                <w:szCs w:val="20"/>
              </w:rPr>
              <w:t>Stage</w:t>
            </w:r>
          </w:p>
        </w:tc>
        <w:tc>
          <w:tcPr>
            <w:tcW w:w="4718" w:type="dxa"/>
            <w:shd w:val="clear" w:color="auto" w:fill="C0C0C0"/>
          </w:tcPr>
          <w:p w14:paraId="38F65C37" w14:textId="66B05C73" w:rsidR="008358D2" w:rsidRPr="008358D2" w:rsidRDefault="008358D2" w:rsidP="008358D2">
            <w:pPr>
              <w:spacing w:line="240" w:lineRule="auto"/>
              <w:jc w:val="center"/>
              <w:rPr>
                <w:b/>
                <w:sz w:val="20"/>
                <w:szCs w:val="20"/>
              </w:rPr>
            </w:pPr>
            <w:r>
              <w:rPr>
                <w:b/>
                <w:sz w:val="20"/>
                <w:szCs w:val="20"/>
              </w:rPr>
              <w:t xml:space="preserve">Illustrative vignettes for Innovation Narrative of </w:t>
            </w:r>
            <w:proofErr w:type="spellStart"/>
            <w:r>
              <w:rPr>
                <w:b/>
                <w:sz w:val="20"/>
                <w:szCs w:val="20"/>
              </w:rPr>
              <w:t>MedTech</w:t>
            </w:r>
            <w:proofErr w:type="spellEnd"/>
            <w:r>
              <w:rPr>
                <w:b/>
                <w:sz w:val="20"/>
                <w:szCs w:val="20"/>
              </w:rPr>
              <w:t xml:space="preserve"> Innovation Centre</w:t>
            </w:r>
          </w:p>
        </w:tc>
        <w:tc>
          <w:tcPr>
            <w:tcW w:w="2839" w:type="dxa"/>
            <w:shd w:val="clear" w:color="auto" w:fill="C0C0C0"/>
          </w:tcPr>
          <w:p w14:paraId="5E3C840B" w14:textId="6A95375A" w:rsidR="008358D2" w:rsidRPr="008358D2" w:rsidRDefault="008358D2" w:rsidP="008358D2">
            <w:pPr>
              <w:spacing w:line="240" w:lineRule="auto"/>
              <w:jc w:val="center"/>
              <w:rPr>
                <w:b/>
                <w:sz w:val="20"/>
                <w:szCs w:val="20"/>
              </w:rPr>
            </w:pPr>
            <w:r w:rsidRPr="008358D2">
              <w:rPr>
                <w:b/>
                <w:sz w:val="20"/>
                <w:szCs w:val="20"/>
              </w:rPr>
              <w:t>Commentary</w:t>
            </w:r>
          </w:p>
        </w:tc>
      </w:tr>
      <w:tr w:rsidR="008358D2" w14:paraId="501EFF4A" w14:textId="77777777" w:rsidTr="008358D2">
        <w:tc>
          <w:tcPr>
            <w:tcW w:w="959" w:type="dxa"/>
          </w:tcPr>
          <w:p w14:paraId="3F2B546E" w14:textId="79795A5F" w:rsidR="008358D2" w:rsidRPr="008358D2" w:rsidRDefault="008358D2" w:rsidP="008358D2">
            <w:pPr>
              <w:spacing w:line="240" w:lineRule="auto"/>
              <w:jc w:val="left"/>
              <w:rPr>
                <w:sz w:val="20"/>
                <w:szCs w:val="20"/>
              </w:rPr>
            </w:pPr>
            <w:r w:rsidRPr="008358D2">
              <w:rPr>
                <w:sz w:val="20"/>
                <w:szCs w:val="20"/>
              </w:rPr>
              <w:t>Start</w:t>
            </w:r>
          </w:p>
        </w:tc>
        <w:tc>
          <w:tcPr>
            <w:tcW w:w="4718" w:type="dxa"/>
          </w:tcPr>
          <w:p w14:paraId="0FC6D9A6" w14:textId="77777777" w:rsidR="008358D2" w:rsidRDefault="008358D2" w:rsidP="008358D2">
            <w:pPr>
              <w:spacing w:line="240" w:lineRule="auto"/>
              <w:jc w:val="left"/>
              <w:rPr>
                <w:sz w:val="16"/>
                <w:szCs w:val="16"/>
              </w:rPr>
            </w:pPr>
            <w:r w:rsidRPr="000C5D81">
              <w:rPr>
                <w:sz w:val="16"/>
                <w:szCs w:val="16"/>
              </w:rPr>
              <w:t xml:space="preserve">The </w:t>
            </w:r>
            <w:proofErr w:type="spellStart"/>
            <w:r>
              <w:rPr>
                <w:sz w:val="16"/>
                <w:szCs w:val="16"/>
              </w:rPr>
              <w:t>MedTech</w:t>
            </w:r>
            <w:proofErr w:type="spellEnd"/>
            <w:r>
              <w:rPr>
                <w:sz w:val="16"/>
                <w:szCs w:val="16"/>
              </w:rPr>
              <w:t xml:space="preserve"> Innovation Centre</w:t>
            </w:r>
            <w:r w:rsidRPr="000C5D81">
              <w:rPr>
                <w:sz w:val="16"/>
                <w:szCs w:val="16"/>
              </w:rPr>
              <w:t xml:space="preserve"> will provide a sustainable regional and international platform to address the creation of new technologies in Regenerative Therapies and Devices and their accelerated adoption within a complex global market place with increasing cost constraints.</w:t>
            </w:r>
          </w:p>
          <w:p w14:paraId="15FC09F6" w14:textId="77777777" w:rsidR="008358D2" w:rsidRDefault="008358D2" w:rsidP="008358D2">
            <w:pPr>
              <w:spacing w:line="240" w:lineRule="auto"/>
              <w:jc w:val="left"/>
              <w:rPr>
                <w:sz w:val="16"/>
                <w:szCs w:val="16"/>
              </w:rPr>
            </w:pPr>
            <w:r w:rsidRPr="000C5D81">
              <w:rPr>
                <w:sz w:val="16"/>
                <w:szCs w:val="16"/>
              </w:rPr>
              <w:t>The delivery of these emerging technologies to patients will be accelerated by improved diagnostics and imaging for enhanced patient targeting and by new complex simulation methodologies (patient in the lab) for improved short term predictions of the long term clinical outcomes.</w:t>
            </w:r>
          </w:p>
          <w:p w14:paraId="7C52CF4F" w14:textId="0AF793D7" w:rsidR="008358D2" w:rsidRPr="008358D2" w:rsidRDefault="008358D2" w:rsidP="008358D2">
            <w:pPr>
              <w:spacing w:line="240" w:lineRule="auto"/>
              <w:jc w:val="left"/>
              <w:rPr>
                <w:sz w:val="16"/>
                <w:szCs w:val="16"/>
              </w:rPr>
            </w:pPr>
            <w:r w:rsidRPr="000C5D81">
              <w:rPr>
                <w:sz w:val="16"/>
                <w:szCs w:val="16"/>
              </w:rPr>
              <w:t>The centre and its partners will develop new and different approaches to innovation at an early stage of the innovation cycle, to substantially accelerate innovation, shorten the time period to clinical trials and market, and mitigate technology risks associated with this emergent sector.</w:t>
            </w:r>
          </w:p>
        </w:tc>
        <w:tc>
          <w:tcPr>
            <w:tcW w:w="2839" w:type="dxa"/>
          </w:tcPr>
          <w:p w14:paraId="0FE7F141" w14:textId="284D6CD3" w:rsidR="008358D2" w:rsidRPr="008358D2" w:rsidRDefault="008358D2" w:rsidP="008358D2">
            <w:pPr>
              <w:spacing w:line="240" w:lineRule="auto"/>
              <w:jc w:val="left"/>
              <w:rPr>
                <w:sz w:val="16"/>
                <w:szCs w:val="16"/>
              </w:rPr>
            </w:pPr>
            <w:r>
              <w:rPr>
                <w:sz w:val="16"/>
                <w:szCs w:val="16"/>
              </w:rPr>
              <w:t>Explanation at the proposal stage of the project drew particular attention to the idea of accelerating the innovation cycle time.  Indeed ambitious targets for reducing such times were mooted</w:t>
            </w:r>
            <w:r w:rsidR="00B35F68">
              <w:rPr>
                <w:sz w:val="16"/>
                <w:szCs w:val="16"/>
              </w:rPr>
              <w:t>.  These targets were to be realised through the development of “new and different approaches at an early stage of the innovation cycle” (these would leverage clinical trials design and health economic assessment expertise).  It was recognised that the enhanced decision-making capability brought by these techniques would also mitigate the (financial) risk in investments in new technology projects.</w:t>
            </w:r>
          </w:p>
        </w:tc>
      </w:tr>
      <w:tr w:rsidR="008358D2" w14:paraId="624A7661" w14:textId="77777777" w:rsidTr="008358D2">
        <w:tc>
          <w:tcPr>
            <w:tcW w:w="959" w:type="dxa"/>
          </w:tcPr>
          <w:p w14:paraId="503487F5" w14:textId="1DF3858A" w:rsidR="008358D2" w:rsidRPr="008358D2" w:rsidRDefault="008358D2" w:rsidP="008358D2">
            <w:pPr>
              <w:spacing w:line="240" w:lineRule="auto"/>
              <w:jc w:val="left"/>
              <w:rPr>
                <w:sz w:val="20"/>
                <w:szCs w:val="20"/>
              </w:rPr>
            </w:pPr>
            <w:r w:rsidRPr="008358D2">
              <w:rPr>
                <w:sz w:val="20"/>
                <w:szCs w:val="20"/>
              </w:rPr>
              <w:t>Middle</w:t>
            </w:r>
          </w:p>
        </w:tc>
        <w:tc>
          <w:tcPr>
            <w:tcW w:w="4718" w:type="dxa"/>
          </w:tcPr>
          <w:p w14:paraId="0A50A630" w14:textId="482D4B6E" w:rsidR="008358D2" w:rsidRPr="008358D2" w:rsidRDefault="008358D2" w:rsidP="008358D2">
            <w:pPr>
              <w:spacing w:line="240" w:lineRule="auto"/>
              <w:jc w:val="left"/>
              <w:rPr>
                <w:sz w:val="16"/>
                <w:szCs w:val="16"/>
              </w:rPr>
            </w:pPr>
            <w:r w:rsidRPr="00A404C0">
              <w:rPr>
                <w:sz w:val="16"/>
                <w:szCs w:val="16"/>
              </w:rPr>
              <w:t xml:space="preserve">Our </w:t>
            </w:r>
            <w:r>
              <w:rPr>
                <w:sz w:val="16"/>
                <w:szCs w:val="16"/>
              </w:rPr>
              <w:t>Centre</w:t>
            </w:r>
            <w:r w:rsidRPr="00A404C0">
              <w:rPr>
                <w:sz w:val="16"/>
                <w:szCs w:val="16"/>
              </w:rPr>
              <w:t xml:space="preserve"> focuses upon early validation of technical concept and commercial feasibility to reduce late failure and cost and accelerate innovation opportunities with a higher probability of commercial success.</w:t>
            </w:r>
          </w:p>
        </w:tc>
        <w:tc>
          <w:tcPr>
            <w:tcW w:w="2839" w:type="dxa"/>
          </w:tcPr>
          <w:p w14:paraId="53042D4B" w14:textId="5F610A2B" w:rsidR="008358D2" w:rsidRPr="008358D2" w:rsidRDefault="00B35F68" w:rsidP="008358D2">
            <w:pPr>
              <w:spacing w:line="240" w:lineRule="auto"/>
              <w:jc w:val="left"/>
              <w:rPr>
                <w:sz w:val="16"/>
                <w:szCs w:val="16"/>
              </w:rPr>
            </w:pPr>
            <w:r>
              <w:rPr>
                <w:sz w:val="16"/>
                <w:szCs w:val="16"/>
              </w:rPr>
              <w:t>The narrative of accelerated innovation started to become expressed in terms of “reducing late failure” and ensuring a “</w:t>
            </w:r>
            <w:r w:rsidR="0075537E">
              <w:rPr>
                <w:sz w:val="16"/>
                <w:szCs w:val="16"/>
              </w:rPr>
              <w:t>higher probability of commercial success”.</w:t>
            </w:r>
          </w:p>
        </w:tc>
      </w:tr>
      <w:tr w:rsidR="008358D2" w14:paraId="1CB955A8" w14:textId="77777777" w:rsidTr="008358D2">
        <w:tc>
          <w:tcPr>
            <w:tcW w:w="959" w:type="dxa"/>
          </w:tcPr>
          <w:p w14:paraId="5DAC42CD" w14:textId="77F14415" w:rsidR="008358D2" w:rsidRPr="008358D2" w:rsidRDefault="008358D2" w:rsidP="008358D2">
            <w:pPr>
              <w:spacing w:line="240" w:lineRule="auto"/>
              <w:jc w:val="left"/>
              <w:rPr>
                <w:sz w:val="20"/>
                <w:szCs w:val="20"/>
              </w:rPr>
            </w:pPr>
            <w:r w:rsidRPr="008358D2">
              <w:rPr>
                <w:sz w:val="20"/>
                <w:szCs w:val="20"/>
              </w:rPr>
              <w:t>End</w:t>
            </w:r>
          </w:p>
        </w:tc>
        <w:tc>
          <w:tcPr>
            <w:tcW w:w="4718" w:type="dxa"/>
          </w:tcPr>
          <w:p w14:paraId="348B8AF7" w14:textId="420D0D50" w:rsidR="008358D2" w:rsidRPr="008358D2" w:rsidRDefault="0075537E" w:rsidP="008358D2">
            <w:pPr>
              <w:spacing w:line="240" w:lineRule="auto"/>
              <w:jc w:val="left"/>
              <w:rPr>
                <w:sz w:val="16"/>
                <w:szCs w:val="16"/>
              </w:rPr>
            </w:pPr>
            <w:r>
              <w:rPr>
                <w:sz w:val="16"/>
                <w:szCs w:val="16"/>
              </w:rPr>
              <w:t>As a</w:t>
            </w:r>
            <w:r w:rsidRPr="004A33CA">
              <w:rPr>
                <w:sz w:val="16"/>
                <w:szCs w:val="16"/>
              </w:rPr>
              <w:t xml:space="preserve"> </w:t>
            </w:r>
            <w:proofErr w:type="spellStart"/>
            <w:r>
              <w:rPr>
                <w:sz w:val="16"/>
                <w:szCs w:val="16"/>
              </w:rPr>
              <w:t>MedTech</w:t>
            </w:r>
            <w:proofErr w:type="spellEnd"/>
            <w:r>
              <w:rPr>
                <w:sz w:val="16"/>
                <w:szCs w:val="16"/>
              </w:rPr>
              <w:t xml:space="preserve"> Innovation Centre</w:t>
            </w:r>
            <w:r w:rsidRPr="004A33CA">
              <w:rPr>
                <w:sz w:val="16"/>
                <w:szCs w:val="16"/>
              </w:rPr>
              <w:t>, our role is to reduce the risk and uncertainty associated with a new technology, so the private sector will consider investment to develop commercial products and deliver economic beneﬁts</w:t>
            </w:r>
            <w:r>
              <w:rPr>
                <w:sz w:val="16"/>
                <w:szCs w:val="16"/>
              </w:rPr>
              <w:t>…</w:t>
            </w:r>
            <w:r w:rsidRPr="00BB06AF">
              <w:rPr>
                <w:sz w:val="16"/>
                <w:szCs w:val="16"/>
              </w:rPr>
              <w:t xml:space="preserve"> We believe that if a commercial company is willing to invest, that’s a sign of their conﬁdence in the technology and ensures a greater likelihood of successful commercial product development. While we continue to support the companies in new product development, through translation of skilled people and know how, this private sector take-up and investment is a strong indicator that the </w:t>
            </w:r>
            <w:r>
              <w:rPr>
                <w:sz w:val="16"/>
                <w:szCs w:val="16"/>
              </w:rPr>
              <w:t>Centre</w:t>
            </w:r>
            <w:r w:rsidRPr="00BB06AF">
              <w:rPr>
                <w:sz w:val="16"/>
                <w:szCs w:val="16"/>
              </w:rPr>
              <w:t xml:space="preserve"> has done its primary job in reducing the risk involved in the translation of emerging technology.</w:t>
            </w:r>
          </w:p>
        </w:tc>
        <w:tc>
          <w:tcPr>
            <w:tcW w:w="2839" w:type="dxa"/>
          </w:tcPr>
          <w:p w14:paraId="685EED0F" w14:textId="55F0E3B0" w:rsidR="008358D2" w:rsidRPr="008358D2" w:rsidRDefault="0075537E" w:rsidP="008358D2">
            <w:pPr>
              <w:spacing w:line="240" w:lineRule="auto"/>
              <w:jc w:val="left"/>
              <w:rPr>
                <w:sz w:val="16"/>
                <w:szCs w:val="16"/>
              </w:rPr>
            </w:pPr>
            <w:r>
              <w:rPr>
                <w:sz w:val="16"/>
                <w:szCs w:val="16"/>
              </w:rPr>
              <w:t>Explicit reference to “accelerating innovation” is less evident toward the end of the project.</w:t>
            </w:r>
            <w:r w:rsidR="006D6FD2">
              <w:rPr>
                <w:sz w:val="16"/>
                <w:szCs w:val="16"/>
              </w:rPr>
              <w:t xml:space="preserve">  Whereas, the them</w:t>
            </w:r>
            <w:r w:rsidR="00F521A2">
              <w:rPr>
                <w:sz w:val="16"/>
                <w:szCs w:val="16"/>
              </w:rPr>
              <w:t>e</w:t>
            </w:r>
            <w:r w:rsidR="006D6FD2">
              <w:rPr>
                <w:sz w:val="16"/>
                <w:szCs w:val="16"/>
              </w:rPr>
              <w:t xml:space="preserve"> of de-risking projects ahead of further private investment becomes the core role of the Innovation Centre.</w:t>
            </w:r>
          </w:p>
        </w:tc>
      </w:tr>
    </w:tbl>
    <w:p w14:paraId="5BEE3454" w14:textId="77777777" w:rsidR="008358D2" w:rsidRDefault="008358D2" w:rsidP="00777374">
      <w:pPr>
        <w:jc w:val="left"/>
      </w:pPr>
    </w:p>
    <w:p w14:paraId="41608E10" w14:textId="77777777" w:rsidR="00681426" w:rsidRDefault="00681426" w:rsidP="00777374">
      <w:pPr>
        <w:jc w:val="left"/>
      </w:pPr>
    </w:p>
    <w:p w14:paraId="49B3F02F" w14:textId="77777777" w:rsidR="000558BF" w:rsidRDefault="000558BF">
      <w:pPr>
        <w:spacing w:before="0" w:line="240" w:lineRule="auto"/>
        <w:jc w:val="left"/>
        <w:rPr>
          <w:b/>
          <w:i/>
        </w:rPr>
      </w:pPr>
      <w:r>
        <w:rPr>
          <w:b/>
          <w:i/>
        </w:rPr>
        <w:br w:type="page"/>
      </w:r>
    </w:p>
    <w:p w14:paraId="659C24B1" w14:textId="7BD58749" w:rsidR="007169A4" w:rsidRPr="00944376" w:rsidRDefault="007E42D1" w:rsidP="00777374">
      <w:pPr>
        <w:jc w:val="left"/>
        <w:rPr>
          <w:b/>
          <w:i/>
        </w:rPr>
      </w:pPr>
      <w:r>
        <w:rPr>
          <w:b/>
          <w:i/>
        </w:rPr>
        <w:lastRenderedPageBreak/>
        <w:t>Emergence</w:t>
      </w:r>
    </w:p>
    <w:p w14:paraId="6EDB1713" w14:textId="7B32D8E0" w:rsidR="00C130D5" w:rsidRDefault="00C130D5" w:rsidP="00777374">
      <w:pPr>
        <w:jc w:val="left"/>
      </w:pPr>
      <w:r>
        <w:t xml:space="preserve">The </w:t>
      </w:r>
      <w:r w:rsidRPr="00C130D5">
        <w:rPr>
          <w:i/>
        </w:rPr>
        <w:t>emergence</w:t>
      </w:r>
      <w:r>
        <w:t xml:space="preserve"> dynamic relates to the situation where a theme was not originally present in the Centre’s narratives, but rather developed during the course of </w:t>
      </w:r>
      <w:r w:rsidR="00884B51">
        <w:t>the funded programme.  The development of the theme “National Centre”</w:t>
      </w:r>
      <w:r w:rsidR="002853CF">
        <w:t xml:space="preserve"> falls into this category, and resulted from the interactions between the leadership of the Centre </w:t>
      </w:r>
      <w:r w:rsidR="000558BF">
        <w:t>and the public sector funders</w:t>
      </w:r>
      <w:r w:rsidR="002853CF">
        <w:t>.</w:t>
      </w:r>
    </w:p>
    <w:p w14:paraId="68B7011C" w14:textId="77777777" w:rsidR="000558BF" w:rsidRDefault="000558BF" w:rsidP="00777374">
      <w:pPr>
        <w:jc w:val="left"/>
      </w:pPr>
    </w:p>
    <w:p w14:paraId="2426D4C1" w14:textId="76ECC5B9" w:rsidR="002853CF" w:rsidRDefault="002853CF" w:rsidP="002853CF">
      <w:pPr>
        <w:pStyle w:val="Caption"/>
      </w:pPr>
      <w:r>
        <w:t xml:space="preserve">Table </w:t>
      </w:r>
      <w:r w:rsidR="00B6021A">
        <w:fldChar w:fldCharType="begin"/>
      </w:r>
      <w:r w:rsidR="00B6021A">
        <w:instrText xml:space="preserve"> SEQ Table \* ARABIC </w:instrText>
      </w:r>
      <w:r w:rsidR="00B6021A">
        <w:fldChar w:fldCharType="separate"/>
      </w:r>
      <w:r w:rsidR="007F3570">
        <w:rPr>
          <w:noProof/>
        </w:rPr>
        <w:t>5</w:t>
      </w:r>
      <w:r w:rsidR="00B6021A">
        <w:rPr>
          <w:noProof/>
        </w:rPr>
        <w:fldChar w:fldCharType="end"/>
      </w:r>
      <w:r>
        <w:t xml:space="preserve"> - Illustration and case commentary concerning the </w:t>
      </w:r>
      <w:r>
        <w:rPr>
          <w:i/>
        </w:rPr>
        <w:t>emergence</w:t>
      </w:r>
      <w:r>
        <w:t xml:space="preserve"> of themes</w:t>
      </w:r>
    </w:p>
    <w:tbl>
      <w:tblPr>
        <w:tblStyle w:val="TableGrid"/>
        <w:tblW w:w="0" w:type="auto"/>
        <w:tblLook w:val="04A0" w:firstRow="1" w:lastRow="0" w:firstColumn="1" w:lastColumn="0" w:noHBand="0" w:noVBand="1"/>
      </w:tblPr>
      <w:tblGrid>
        <w:gridCol w:w="959"/>
        <w:gridCol w:w="4718"/>
        <w:gridCol w:w="2839"/>
      </w:tblGrid>
      <w:tr w:rsidR="006705E0" w14:paraId="732D0C1B" w14:textId="77777777" w:rsidTr="006F14E2">
        <w:tc>
          <w:tcPr>
            <w:tcW w:w="959" w:type="dxa"/>
            <w:shd w:val="clear" w:color="auto" w:fill="C0C0C0"/>
          </w:tcPr>
          <w:p w14:paraId="0FA24A64" w14:textId="6F6FA573" w:rsidR="006705E0" w:rsidRPr="008358D2" w:rsidRDefault="006705E0" w:rsidP="006F14E2">
            <w:pPr>
              <w:spacing w:line="240" w:lineRule="auto"/>
              <w:rPr>
                <w:b/>
                <w:sz w:val="20"/>
                <w:szCs w:val="20"/>
              </w:rPr>
            </w:pPr>
            <w:r w:rsidRPr="008358D2">
              <w:rPr>
                <w:b/>
                <w:sz w:val="20"/>
                <w:szCs w:val="20"/>
              </w:rPr>
              <w:t>Stage</w:t>
            </w:r>
          </w:p>
        </w:tc>
        <w:tc>
          <w:tcPr>
            <w:tcW w:w="4718" w:type="dxa"/>
            <w:shd w:val="clear" w:color="auto" w:fill="C0C0C0"/>
          </w:tcPr>
          <w:p w14:paraId="600CA1E9" w14:textId="77777777" w:rsidR="006705E0" w:rsidRPr="008358D2" w:rsidRDefault="006705E0" w:rsidP="006F14E2">
            <w:pPr>
              <w:spacing w:line="240" w:lineRule="auto"/>
              <w:jc w:val="center"/>
              <w:rPr>
                <w:b/>
                <w:sz w:val="20"/>
                <w:szCs w:val="20"/>
              </w:rPr>
            </w:pPr>
            <w:r>
              <w:rPr>
                <w:b/>
                <w:sz w:val="20"/>
                <w:szCs w:val="20"/>
              </w:rPr>
              <w:t xml:space="preserve">Illustrative vignettes for Innovation Narrative of </w:t>
            </w:r>
            <w:proofErr w:type="spellStart"/>
            <w:r>
              <w:rPr>
                <w:b/>
                <w:sz w:val="20"/>
                <w:szCs w:val="20"/>
              </w:rPr>
              <w:t>MedTech</w:t>
            </w:r>
            <w:proofErr w:type="spellEnd"/>
            <w:r>
              <w:rPr>
                <w:b/>
                <w:sz w:val="20"/>
                <w:szCs w:val="20"/>
              </w:rPr>
              <w:t xml:space="preserve"> Innovation Centre</w:t>
            </w:r>
          </w:p>
        </w:tc>
        <w:tc>
          <w:tcPr>
            <w:tcW w:w="2839" w:type="dxa"/>
            <w:shd w:val="clear" w:color="auto" w:fill="C0C0C0"/>
          </w:tcPr>
          <w:p w14:paraId="5FAC61B3" w14:textId="77777777" w:rsidR="006705E0" w:rsidRPr="008358D2" w:rsidRDefault="006705E0" w:rsidP="006F14E2">
            <w:pPr>
              <w:spacing w:line="240" w:lineRule="auto"/>
              <w:jc w:val="center"/>
              <w:rPr>
                <w:b/>
                <w:sz w:val="20"/>
                <w:szCs w:val="20"/>
              </w:rPr>
            </w:pPr>
            <w:r w:rsidRPr="008358D2">
              <w:rPr>
                <w:b/>
                <w:sz w:val="20"/>
                <w:szCs w:val="20"/>
              </w:rPr>
              <w:t>Commentary</w:t>
            </w:r>
          </w:p>
        </w:tc>
      </w:tr>
      <w:tr w:rsidR="006705E0" w14:paraId="103C1CE2" w14:textId="77777777" w:rsidTr="006F14E2">
        <w:tc>
          <w:tcPr>
            <w:tcW w:w="959" w:type="dxa"/>
          </w:tcPr>
          <w:p w14:paraId="22366038" w14:textId="77777777" w:rsidR="006705E0" w:rsidRPr="008358D2" w:rsidRDefault="006705E0" w:rsidP="006F14E2">
            <w:pPr>
              <w:spacing w:line="240" w:lineRule="auto"/>
              <w:jc w:val="left"/>
              <w:rPr>
                <w:sz w:val="20"/>
                <w:szCs w:val="20"/>
              </w:rPr>
            </w:pPr>
            <w:r w:rsidRPr="008358D2">
              <w:rPr>
                <w:sz w:val="20"/>
                <w:szCs w:val="20"/>
              </w:rPr>
              <w:t>Start</w:t>
            </w:r>
          </w:p>
        </w:tc>
        <w:tc>
          <w:tcPr>
            <w:tcW w:w="4718" w:type="dxa"/>
          </w:tcPr>
          <w:p w14:paraId="783E7075" w14:textId="3E531CB2" w:rsidR="006705E0" w:rsidRPr="008358D2" w:rsidRDefault="00AD230F" w:rsidP="006F14E2">
            <w:pPr>
              <w:spacing w:line="240" w:lineRule="auto"/>
              <w:jc w:val="left"/>
              <w:rPr>
                <w:sz w:val="16"/>
                <w:szCs w:val="16"/>
              </w:rPr>
            </w:pPr>
            <w:r w:rsidRPr="000C5D81">
              <w:rPr>
                <w:sz w:val="16"/>
                <w:szCs w:val="16"/>
              </w:rPr>
              <w:t xml:space="preserve">The </w:t>
            </w:r>
            <w:proofErr w:type="spellStart"/>
            <w:r>
              <w:rPr>
                <w:sz w:val="16"/>
                <w:szCs w:val="16"/>
              </w:rPr>
              <w:t>MedTech</w:t>
            </w:r>
            <w:proofErr w:type="spellEnd"/>
            <w:r>
              <w:rPr>
                <w:sz w:val="16"/>
                <w:szCs w:val="16"/>
              </w:rPr>
              <w:t xml:space="preserve"> Innovation Centre</w:t>
            </w:r>
            <w:r w:rsidRPr="000C5D81">
              <w:rPr>
                <w:sz w:val="16"/>
                <w:szCs w:val="16"/>
              </w:rPr>
              <w:t xml:space="preserve"> will provide a sustainable regional and international platform to address the creation of new technologies in Regenerative Therapies and Devices and their accelerated adoption within a complex global market place with increasing cost constraints.</w:t>
            </w:r>
          </w:p>
        </w:tc>
        <w:tc>
          <w:tcPr>
            <w:tcW w:w="2839" w:type="dxa"/>
          </w:tcPr>
          <w:p w14:paraId="0E6D3FFA" w14:textId="182627B8" w:rsidR="006705E0" w:rsidRPr="008358D2" w:rsidRDefault="00AD230F" w:rsidP="00AD230F">
            <w:pPr>
              <w:spacing w:line="240" w:lineRule="auto"/>
              <w:jc w:val="left"/>
              <w:rPr>
                <w:sz w:val="16"/>
                <w:szCs w:val="16"/>
              </w:rPr>
            </w:pPr>
            <w:r>
              <w:rPr>
                <w:sz w:val="16"/>
                <w:szCs w:val="16"/>
              </w:rPr>
              <w:t>At the outset of the project, there had been a significant regional policy for 10 years in England led by “Regional Development Agencies” (RDAs).  Public investments in innovation were expected to align with this policy.</w:t>
            </w:r>
          </w:p>
        </w:tc>
      </w:tr>
      <w:tr w:rsidR="006705E0" w14:paraId="5CE69A71" w14:textId="77777777" w:rsidTr="006F14E2">
        <w:tc>
          <w:tcPr>
            <w:tcW w:w="959" w:type="dxa"/>
          </w:tcPr>
          <w:p w14:paraId="6D2CD361" w14:textId="77777777" w:rsidR="006705E0" w:rsidRPr="008358D2" w:rsidRDefault="006705E0" w:rsidP="006F14E2">
            <w:pPr>
              <w:spacing w:line="240" w:lineRule="auto"/>
              <w:jc w:val="left"/>
              <w:rPr>
                <w:sz w:val="20"/>
                <w:szCs w:val="20"/>
              </w:rPr>
            </w:pPr>
            <w:r w:rsidRPr="008358D2">
              <w:rPr>
                <w:sz w:val="20"/>
                <w:szCs w:val="20"/>
              </w:rPr>
              <w:t>Middle</w:t>
            </w:r>
          </w:p>
        </w:tc>
        <w:tc>
          <w:tcPr>
            <w:tcW w:w="4718" w:type="dxa"/>
          </w:tcPr>
          <w:p w14:paraId="6BB622CD" w14:textId="7133E873" w:rsidR="006705E0" w:rsidRPr="008358D2" w:rsidRDefault="006705E0" w:rsidP="006F14E2">
            <w:pPr>
              <w:spacing w:line="240" w:lineRule="auto"/>
              <w:jc w:val="left"/>
              <w:rPr>
                <w:sz w:val="16"/>
                <w:szCs w:val="16"/>
              </w:rPr>
            </w:pPr>
          </w:p>
        </w:tc>
        <w:tc>
          <w:tcPr>
            <w:tcW w:w="2839" w:type="dxa"/>
          </w:tcPr>
          <w:p w14:paraId="45620856" w14:textId="551E9BED" w:rsidR="006705E0" w:rsidRPr="008358D2" w:rsidRDefault="00AD230F" w:rsidP="006F14E2">
            <w:pPr>
              <w:spacing w:line="240" w:lineRule="auto"/>
              <w:jc w:val="left"/>
              <w:rPr>
                <w:sz w:val="16"/>
                <w:szCs w:val="16"/>
              </w:rPr>
            </w:pPr>
            <w:r>
              <w:rPr>
                <w:sz w:val="16"/>
                <w:szCs w:val="16"/>
              </w:rPr>
              <w:t>Shortly after the start of the project, the English RDAs were disbanded by th</w:t>
            </w:r>
            <w:r w:rsidR="00092717">
              <w:rPr>
                <w:sz w:val="16"/>
                <w:szCs w:val="16"/>
              </w:rPr>
              <w:t>e Coalition Government</w:t>
            </w:r>
            <w:r>
              <w:rPr>
                <w:sz w:val="16"/>
                <w:szCs w:val="16"/>
              </w:rPr>
              <w:t>, and the regional theme in the Centre’s innovation narrative dropped.</w:t>
            </w:r>
          </w:p>
        </w:tc>
      </w:tr>
      <w:tr w:rsidR="006705E0" w14:paraId="3CF51198" w14:textId="77777777" w:rsidTr="006F14E2">
        <w:tc>
          <w:tcPr>
            <w:tcW w:w="959" w:type="dxa"/>
          </w:tcPr>
          <w:p w14:paraId="15BFBAAB" w14:textId="77777777" w:rsidR="006705E0" w:rsidRPr="008358D2" w:rsidRDefault="006705E0" w:rsidP="006F14E2">
            <w:pPr>
              <w:spacing w:line="240" w:lineRule="auto"/>
              <w:jc w:val="left"/>
              <w:rPr>
                <w:sz w:val="20"/>
                <w:szCs w:val="20"/>
              </w:rPr>
            </w:pPr>
            <w:r w:rsidRPr="008358D2">
              <w:rPr>
                <w:sz w:val="20"/>
                <w:szCs w:val="20"/>
              </w:rPr>
              <w:t>End</w:t>
            </w:r>
          </w:p>
        </w:tc>
        <w:tc>
          <w:tcPr>
            <w:tcW w:w="4718" w:type="dxa"/>
          </w:tcPr>
          <w:p w14:paraId="1017E1FF" w14:textId="77777777" w:rsidR="00AD230F" w:rsidRDefault="00AD230F" w:rsidP="00AD230F">
            <w:pPr>
              <w:pStyle w:val="NoSpacing"/>
              <w:spacing w:line="240" w:lineRule="auto"/>
              <w:ind w:firstLine="0"/>
              <w:jc w:val="left"/>
              <w:rPr>
                <w:sz w:val="16"/>
                <w:szCs w:val="16"/>
              </w:rPr>
            </w:pPr>
            <w:r w:rsidRPr="00BB06AF">
              <w:rPr>
                <w:sz w:val="16"/>
                <w:szCs w:val="16"/>
              </w:rPr>
              <w:t>We’ve had to adapt our strategy over the ﬁve years to achieve these successes. We’ve focused on the regenerative device sector as technologies in this ﬁeld can be translated more quickly and cost-effectively. We’ve been strategic in deﬁning which technologies to invest in and we’ve worked with incremental as well as disruptive technologies to increase the chances of gaining investment in the economic climate of the last ﬁve years. As our expertise has grown, we’ve expanded to become a national centre.</w:t>
            </w:r>
          </w:p>
          <w:p w14:paraId="7768EEE3" w14:textId="3E49824F" w:rsidR="006705E0" w:rsidRPr="008358D2" w:rsidRDefault="006705E0" w:rsidP="006F14E2">
            <w:pPr>
              <w:spacing w:line="240" w:lineRule="auto"/>
              <w:jc w:val="left"/>
              <w:rPr>
                <w:sz w:val="16"/>
                <w:szCs w:val="16"/>
              </w:rPr>
            </w:pPr>
          </w:p>
        </w:tc>
        <w:tc>
          <w:tcPr>
            <w:tcW w:w="2839" w:type="dxa"/>
          </w:tcPr>
          <w:p w14:paraId="0FA16039" w14:textId="19D91E0D" w:rsidR="006705E0" w:rsidRPr="008358D2" w:rsidRDefault="00092717" w:rsidP="006F14E2">
            <w:pPr>
              <w:spacing w:line="240" w:lineRule="auto"/>
              <w:jc w:val="left"/>
              <w:rPr>
                <w:sz w:val="16"/>
                <w:szCs w:val="16"/>
              </w:rPr>
            </w:pPr>
            <w:r>
              <w:rPr>
                <w:sz w:val="16"/>
                <w:szCs w:val="16"/>
              </w:rPr>
              <w:t xml:space="preserve">In response to cues from the Funding partners, a new theme of being a “National Centre” emerged within the Centre’s innovation narrative. </w:t>
            </w:r>
          </w:p>
        </w:tc>
      </w:tr>
    </w:tbl>
    <w:p w14:paraId="654E8071" w14:textId="77777777" w:rsidR="006705E0" w:rsidRDefault="006705E0" w:rsidP="00777374">
      <w:pPr>
        <w:jc w:val="left"/>
      </w:pPr>
    </w:p>
    <w:p w14:paraId="746A302E" w14:textId="77777777" w:rsidR="002853CF" w:rsidRDefault="002853CF" w:rsidP="00777374">
      <w:pPr>
        <w:jc w:val="left"/>
      </w:pPr>
    </w:p>
    <w:p w14:paraId="5FF2C710" w14:textId="38B73C3C" w:rsidR="00F521A2" w:rsidRPr="00C7654C" w:rsidRDefault="006F14E2" w:rsidP="000558BF">
      <w:pPr>
        <w:spacing w:before="0" w:line="240" w:lineRule="auto"/>
        <w:jc w:val="left"/>
        <w:rPr>
          <w:b/>
          <w:i/>
        </w:rPr>
      </w:pPr>
      <w:r w:rsidRPr="00C7654C">
        <w:rPr>
          <w:b/>
          <w:i/>
        </w:rPr>
        <w:t>Enhancement</w:t>
      </w:r>
    </w:p>
    <w:p w14:paraId="4E567A77" w14:textId="7699D89C" w:rsidR="00C7654C" w:rsidRDefault="00C7654C" w:rsidP="00777374">
      <w:pPr>
        <w:jc w:val="left"/>
      </w:pPr>
      <w:r>
        <w:t xml:space="preserve">Two themes can be described as having an enhanced role within the Centre’s innovation narratives by the end of the </w:t>
      </w:r>
      <w:r w:rsidR="002853CF">
        <w:t>5-year</w:t>
      </w:r>
      <w:r>
        <w:t xml:space="preserve"> </w:t>
      </w:r>
      <w:r w:rsidR="00FB68CD">
        <w:t>funding</w:t>
      </w:r>
      <w:r>
        <w:t xml:space="preserve"> round.</w:t>
      </w:r>
      <w:r w:rsidR="00FB68CD">
        <w:t xml:space="preserve"> “Industry collaboration” was always likely to be a key element of any innovation narrative associated with the centre.  Over the 5 years it was enhanced in quantitative terms as more firms become worke</w:t>
      </w:r>
      <w:r w:rsidR="002853CF">
        <w:t>d with the centre on both Proof of C</w:t>
      </w:r>
      <w:r w:rsidR="00FB68CD">
        <w:t xml:space="preserve">oncept projects and R&amp;D collaborations.  Illustrated in </w:t>
      </w:r>
      <w:r w:rsidR="002853CF">
        <w:fldChar w:fldCharType="begin"/>
      </w:r>
      <w:r w:rsidR="002853CF">
        <w:instrText xml:space="preserve"> REF _Ref295846780 \h </w:instrText>
      </w:r>
      <w:r w:rsidR="002853CF">
        <w:fldChar w:fldCharType="separate"/>
      </w:r>
      <w:r w:rsidR="002853CF">
        <w:t xml:space="preserve">Table </w:t>
      </w:r>
      <w:r w:rsidR="002853CF">
        <w:rPr>
          <w:noProof/>
        </w:rPr>
        <w:t>6</w:t>
      </w:r>
      <w:r w:rsidR="002853CF">
        <w:fldChar w:fldCharType="end"/>
      </w:r>
      <w:r w:rsidR="002853CF">
        <w:t xml:space="preserve"> </w:t>
      </w:r>
      <w:r w:rsidR="00FB68CD">
        <w:t xml:space="preserve">below are the qualitative changes that occurred in the richness with which </w:t>
      </w:r>
      <w:r w:rsidR="002853CF">
        <w:t>the “Impact” of the C</w:t>
      </w:r>
      <w:r w:rsidR="00FB68CD">
        <w:t>entre</w:t>
      </w:r>
      <w:r w:rsidR="002853CF">
        <w:t>’</w:t>
      </w:r>
      <w:r w:rsidR="00FB68CD">
        <w:t>s innovation work was described.</w:t>
      </w:r>
    </w:p>
    <w:p w14:paraId="0717D0C9" w14:textId="77777777" w:rsidR="002853CF" w:rsidRDefault="002853CF" w:rsidP="00777374">
      <w:pPr>
        <w:jc w:val="left"/>
      </w:pPr>
    </w:p>
    <w:p w14:paraId="3B50B4DE" w14:textId="1D4E6A67" w:rsidR="002853CF" w:rsidRDefault="002853CF" w:rsidP="002853CF">
      <w:pPr>
        <w:pStyle w:val="Caption"/>
      </w:pPr>
      <w:bookmarkStart w:id="4" w:name="_Ref295846780"/>
      <w:r>
        <w:lastRenderedPageBreak/>
        <w:t xml:space="preserve">Table </w:t>
      </w:r>
      <w:r w:rsidR="00B6021A">
        <w:fldChar w:fldCharType="begin"/>
      </w:r>
      <w:r w:rsidR="00B6021A">
        <w:instrText xml:space="preserve"> SEQ Table \* ARABIC </w:instrText>
      </w:r>
      <w:r w:rsidR="00B6021A">
        <w:fldChar w:fldCharType="separate"/>
      </w:r>
      <w:r w:rsidR="007F3570">
        <w:rPr>
          <w:noProof/>
        </w:rPr>
        <w:t>6</w:t>
      </w:r>
      <w:r w:rsidR="00B6021A">
        <w:rPr>
          <w:noProof/>
        </w:rPr>
        <w:fldChar w:fldCharType="end"/>
      </w:r>
      <w:bookmarkEnd w:id="4"/>
      <w:r>
        <w:t xml:space="preserve"> - Illustration and case commentary concerning the </w:t>
      </w:r>
      <w:r>
        <w:rPr>
          <w:i/>
        </w:rPr>
        <w:t>enhancement</w:t>
      </w:r>
      <w:r>
        <w:t xml:space="preserve"> of themes</w:t>
      </w:r>
    </w:p>
    <w:tbl>
      <w:tblPr>
        <w:tblStyle w:val="TableGrid"/>
        <w:tblW w:w="0" w:type="auto"/>
        <w:tblLook w:val="04A0" w:firstRow="1" w:lastRow="0" w:firstColumn="1" w:lastColumn="0" w:noHBand="0" w:noVBand="1"/>
      </w:tblPr>
      <w:tblGrid>
        <w:gridCol w:w="959"/>
        <w:gridCol w:w="4718"/>
        <w:gridCol w:w="2839"/>
      </w:tblGrid>
      <w:tr w:rsidR="00C7654C" w14:paraId="3A106E26" w14:textId="77777777" w:rsidTr="00C7654C">
        <w:tc>
          <w:tcPr>
            <w:tcW w:w="959" w:type="dxa"/>
            <w:shd w:val="clear" w:color="auto" w:fill="C0C0C0"/>
          </w:tcPr>
          <w:p w14:paraId="1582B348" w14:textId="292B3107" w:rsidR="00C7654C" w:rsidRPr="008358D2" w:rsidRDefault="00C7654C" w:rsidP="00C7654C">
            <w:pPr>
              <w:spacing w:line="240" w:lineRule="auto"/>
              <w:rPr>
                <w:b/>
                <w:sz w:val="20"/>
                <w:szCs w:val="20"/>
              </w:rPr>
            </w:pPr>
            <w:r w:rsidRPr="008358D2">
              <w:rPr>
                <w:b/>
                <w:sz w:val="20"/>
                <w:szCs w:val="20"/>
              </w:rPr>
              <w:t>Stage</w:t>
            </w:r>
          </w:p>
        </w:tc>
        <w:tc>
          <w:tcPr>
            <w:tcW w:w="4718" w:type="dxa"/>
            <w:shd w:val="clear" w:color="auto" w:fill="C0C0C0"/>
          </w:tcPr>
          <w:p w14:paraId="52248335" w14:textId="77777777" w:rsidR="00C7654C" w:rsidRPr="008358D2" w:rsidRDefault="00C7654C" w:rsidP="00C7654C">
            <w:pPr>
              <w:spacing w:line="240" w:lineRule="auto"/>
              <w:jc w:val="center"/>
              <w:rPr>
                <w:b/>
                <w:sz w:val="20"/>
                <w:szCs w:val="20"/>
              </w:rPr>
            </w:pPr>
            <w:r>
              <w:rPr>
                <w:b/>
                <w:sz w:val="20"/>
                <w:szCs w:val="20"/>
              </w:rPr>
              <w:t xml:space="preserve">Illustrative vignettes for Innovation Narrative of </w:t>
            </w:r>
            <w:proofErr w:type="spellStart"/>
            <w:r>
              <w:rPr>
                <w:b/>
                <w:sz w:val="20"/>
                <w:szCs w:val="20"/>
              </w:rPr>
              <w:t>MedTech</w:t>
            </w:r>
            <w:proofErr w:type="spellEnd"/>
            <w:r>
              <w:rPr>
                <w:b/>
                <w:sz w:val="20"/>
                <w:szCs w:val="20"/>
              </w:rPr>
              <w:t xml:space="preserve"> Innovation Centre</w:t>
            </w:r>
          </w:p>
        </w:tc>
        <w:tc>
          <w:tcPr>
            <w:tcW w:w="2839" w:type="dxa"/>
            <w:shd w:val="clear" w:color="auto" w:fill="C0C0C0"/>
          </w:tcPr>
          <w:p w14:paraId="5DCA6EFB" w14:textId="77777777" w:rsidR="00C7654C" w:rsidRPr="008358D2" w:rsidRDefault="00C7654C" w:rsidP="00C7654C">
            <w:pPr>
              <w:spacing w:line="240" w:lineRule="auto"/>
              <w:jc w:val="center"/>
              <w:rPr>
                <w:b/>
                <w:sz w:val="20"/>
                <w:szCs w:val="20"/>
              </w:rPr>
            </w:pPr>
            <w:r w:rsidRPr="008358D2">
              <w:rPr>
                <w:b/>
                <w:sz w:val="20"/>
                <w:szCs w:val="20"/>
              </w:rPr>
              <w:t>Commentary</w:t>
            </w:r>
          </w:p>
        </w:tc>
      </w:tr>
      <w:tr w:rsidR="00C7654C" w14:paraId="3AC75935" w14:textId="77777777" w:rsidTr="00C7654C">
        <w:tc>
          <w:tcPr>
            <w:tcW w:w="959" w:type="dxa"/>
          </w:tcPr>
          <w:p w14:paraId="235E6EEA" w14:textId="77777777" w:rsidR="00C7654C" w:rsidRPr="008358D2" w:rsidRDefault="00C7654C" w:rsidP="00C7654C">
            <w:pPr>
              <w:spacing w:line="240" w:lineRule="auto"/>
              <w:jc w:val="left"/>
              <w:rPr>
                <w:sz w:val="20"/>
                <w:szCs w:val="20"/>
              </w:rPr>
            </w:pPr>
            <w:r w:rsidRPr="008358D2">
              <w:rPr>
                <w:sz w:val="20"/>
                <w:szCs w:val="20"/>
              </w:rPr>
              <w:t>Start</w:t>
            </w:r>
          </w:p>
        </w:tc>
        <w:tc>
          <w:tcPr>
            <w:tcW w:w="4718" w:type="dxa"/>
          </w:tcPr>
          <w:p w14:paraId="6FAD50BF" w14:textId="216737D3" w:rsidR="00FB68CD" w:rsidRDefault="00FB68CD" w:rsidP="00614FED">
            <w:pPr>
              <w:pStyle w:val="NoSpacing"/>
              <w:spacing w:line="240" w:lineRule="auto"/>
              <w:ind w:firstLine="0"/>
              <w:jc w:val="left"/>
              <w:rPr>
                <w:sz w:val="16"/>
                <w:szCs w:val="16"/>
              </w:rPr>
            </w:pPr>
            <w:r w:rsidRPr="000C5D81">
              <w:rPr>
                <w:sz w:val="16"/>
                <w:szCs w:val="16"/>
              </w:rPr>
              <w:t xml:space="preserve">Therapies and </w:t>
            </w:r>
            <w:r w:rsidR="00614FED" w:rsidRPr="000C5D81">
              <w:rPr>
                <w:sz w:val="16"/>
                <w:szCs w:val="16"/>
              </w:rPr>
              <w:t>devices, which facilitate the regeneration of body tissues,</w:t>
            </w:r>
            <w:r w:rsidRPr="000C5D81">
              <w:rPr>
                <w:sz w:val="16"/>
                <w:szCs w:val="16"/>
              </w:rPr>
              <w:t xml:space="preserve"> offer the potential to revolutionise healthcare and be a catalyst for economic growth, creating a new business sector within healthcare technolog</w:t>
            </w:r>
            <w:r>
              <w:rPr>
                <w:sz w:val="16"/>
                <w:szCs w:val="16"/>
              </w:rPr>
              <w:t>y.</w:t>
            </w:r>
          </w:p>
          <w:p w14:paraId="78D1C8F1" w14:textId="42421835" w:rsidR="00C7654C" w:rsidRPr="008358D2" w:rsidRDefault="00FB68CD" w:rsidP="00C7654C">
            <w:pPr>
              <w:spacing w:line="240" w:lineRule="auto"/>
              <w:jc w:val="left"/>
              <w:rPr>
                <w:sz w:val="16"/>
                <w:szCs w:val="16"/>
              </w:rPr>
            </w:pPr>
            <w:r w:rsidRPr="000C5D81">
              <w:rPr>
                <w:sz w:val="16"/>
                <w:szCs w:val="16"/>
              </w:rPr>
              <w:t xml:space="preserve">The </w:t>
            </w:r>
            <w:proofErr w:type="spellStart"/>
            <w:r>
              <w:rPr>
                <w:sz w:val="16"/>
                <w:szCs w:val="16"/>
              </w:rPr>
              <w:t>MedTech</w:t>
            </w:r>
            <w:proofErr w:type="spellEnd"/>
            <w:r>
              <w:rPr>
                <w:sz w:val="16"/>
                <w:szCs w:val="16"/>
              </w:rPr>
              <w:t xml:space="preserve"> Innovation Centre</w:t>
            </w:r>
            <w:r w:rsidRPr="000C5D81">
              <w:rPr>
                <w:sz w:val="16"/>
                <w:szCs w:val="16"/>
              </w:rPr>
              <w:t xml:space="preserve"> will address the needs and quality of life of the ageing population, and address their expectations of an active lifestyle for </w:t>
            </w:r>
            <w:r>
              <w:rPr>
                <w:sz w:val="16"/>
                <w:szCs w:val="16"/>
              </w:rPr>
              <w:t>"fifty more years after fifty”</w:t>
            </w:r>
          </w:p>
        </w:tc>
        <w:tc>
          <w:tcPr>
            <w:tcW w:w="2839" w:type="dxa"/>
          </w:tcPr>
          <w:p w14:paraId="2316BFC3" w14:textId="24743851" w:rsidR="00C7654C" w:rsidRPr="008358D2" w:rsidRDefault="00614FED" w:rsidP="00C7654C">
            <w:pPr>
              <w:spacing w:line="240" w:lineRule="auto"/>
              <w:jc w:val="left"/>
              <w:rPr>
                <w:sz w:val="16"/>
                <w:szCs w:val="16"/>
              </w:rPr>
            </w:pPr>
            <w:r>
              <w:rPr>
                <w:sz w:val="16"/>
                <w:szCs w:val="16"/>
              </w:rPr>
              <w:t>Two important sub-themes relating to Impact had a prominent place in early strategic narratives of the Centre.  The first of these (“New Business Sector”) originated in t</w:t>
            </w:r>
            <w:r w:rsidR="00E03585">
              <w:rPr>
                <w:sz w:val="16"/>
                <w:szCs w:val="16"/>
              </w:rPr>
              <w:t xml:space="preserve">he policy rationale for the Government Agency’s funding call. The second (“50 active years after 50”) was </w:t>
            </w:r>
            <w:proofErr w:type="gramStart"/>
            <w:r w:rsidR="00E03585">
              <w:rPr>
                <w:sz w:val="16"/>
                <w:szCs w:val="16"/>
              </w:rPr>
              <w:t>a product of the Centre’s own</w:t>
            </w:r>
            <w:proofErr w:type="gramEnd"/>
            <w:r w:rsidR="00E03585">
              <w:rPr>
                <w:sz w:val="16"/>
                <w:szCs w:val="16"/>
              </w:rPr>
              <w:t xml:space="preserve"> marketing efforts, and it succeeded in placing the Centre’s launch on the front page of national newspapers.</w:t>
            </w:r>
          </w:p>
        </w:tc>
      </w:tr>
      <w:tr w:rsidR="00C7654C" w14:paraId="6384B388" w14:textId="77777777" w:rsidTr="00C7654C">
        <w:tc>
          <w:tcPr>
            <w:tcW w:w="959" w:type="dxa"/>
          </w:tcPr>
          <w:p w14:paraId="0CB61708" w14:textId="77777777" w:rsidR="00C7654C" w:rsidRPr="008358D2" w:rsidRDefault="00C7654C" w:rsidP="00C7654C">
            <w:pPr>
              <w:spacing w:line="240" w:lineRule="auto"/>
              <w:jc w:val="left"/>
              <w:rPr>
                <w:sz w:val="20"/>
                <w:szCs w:val="20"/>
              </w:rPr>
            </w:pPr>
            <w:r w:rsidRPr="008358D2">
              <w:rPr>
                <w:sz w:val="20"/>
                <w:szCs w:val="20"/>
              </w:rPr>
              <w:t>Middle</w:t>
            </w:r>
          </w:p>
        </w:tc>
        <w:tc>
          <w:tcPr>
            <w:tcW w:w="4718" w:type="dxa"/>
          </w:tcPr>
          <w:p w14:paraId="2AAF83EB" w14:textId="77777777" w:rsidR="00FB68CD" w:rsidRDefault="00FB68CD" w:rsidP="00FB68CD">
            <w:pPr>
              <w:pStyle w:val="NoSpacing"/>
              <w:spacing w:line="240" w:lineRule="auto"/>
              <w:ind w:firstLine="0"/>
              <w:rPr>
                <w:sz w:val="16"/>
                <w:szCs w:val="16"/>
              </w:rPr>
            </w:pPr>
            <w:r w:rsidRPr="00A404C0">
              <w:rPr>
                <w:sz w:val="16"/>
                <w:szCs w:val="16"/>
              </w:rPr>
              <w:t>Our integrated research and innovation centre aims to improve the quality of life of the population who expect 50 ac</w:t>
            </w:r>
            <w:r>
              <w:rPr>
                <w:sz w:val="16"/>
                <w:szCs w:val="16"/>
              </w:rPr>
              <w:t xml:space="preserve">tive years after 50. </w:t>
            </w:r>
          </w:p>
          <w:p w14:paraId="2A6486CB" w14:textId="77777777" w:rsidR="00FB68CD" w:rsidRDefault="00FB68CD" w:rsidP="00614FED">
            <w:pPr>
              <w:pStyle w:val="NoSpacing"/>
              <w:spacing w:line="240" w:lineRule="auto"/>
              <w:ind w:firstLine="0"/>
              <w:jc w:val="left"/>
              <w:rPr>
                <w:sz w:val="16"/>
                <w:szCs w:val="16"/>
              </w:rPr>
            </w:pPr>
            <w:r w:rsidRPr="00A404C0">
              <w:rPr>
                <w:sz w:val="16"/>
                <w:szCs w:val="16"/>
              </w:rPr>
              <w:t xml:space="preserve">Therapies and </w:t>
            </w:r>
            <w:proofErr w:type="gramStart"/>
            <w:r w:rsidRPr="00A404C0">
              <w:rPr>
                <w:sz w:val="16"/>
                <w:szCs w:val="16"/>
              </w:rPr>
              <w:t>devices which facilitate the regeneration of body tissues</w:t>
            </w:r>
            <w:proofErr w:type="gramEnd"/>
            <w:r w:rsidRPr="00A404C0">
              <w:rPr>
                <w:sz w:val="16"/>
                <w:szCs w:val="16"/>
              </w:rPr>
              <w:t xml:space="preserve"> offer the potential to revolutionise healthcare across all sectors and patient groups and be a catalyst for economic growth, creating a new business sector within healthcare technology</w:t>
            </w:r>
            <w:r>
              <w:rPr>
                <w:sz w:val="16"/>
                <w:szCs w:val="16"/>
              </w:rPr>
              <w:t xml:space="preserve">. </w:t>
            </w:r>
          </w:p>
          <w:p w14:paraId="768D1717" w14:textId="5AA3930B" w:rsidR="00E24AC3" w:rsidRPr="00E24AC3" w:rsidRDefault="000431DE" w:rsidP="00E24AC3">
            <w:pPr>
              <w:pStyle w:val="NoSpacing"/>
              <w:spacing w:line="240" w:lineRule="auto"/>
              <w:ind w:firstLine="0"/>
              <w:jc w:val="left"/>
              <w:rPr>
                <w:sz w:val="16"/>
                <w:szCs w:val="16"/>
              </w:rPr>
            </w:pPr>
            <w:r>
              <w:rPr>
                <w:sz w:val="16"/>
                <w:szCs w:val="16"/>
              </w:rPr>
              <w:t>[</w:t>
            </w:r>
            <w:proofErr w:type="spellStart"/>
            <w:r>
              <w:rPr>
                <w:sz w:val="16"/>
                <w:szCs w:val="16"/>
              </w:rPr>
              <w:t>MedTech</w:t>
            </w:r>
            <w:proofErr w:type="spellEnd"/>
            <w:r>
              <w:rPr>
                <w:sz w:val="16"/>
                <w:szCs w:val="16"/>
              </w:rPr>
              <w:t xml:space="preserve"> Centre]</w:t>
            </w:r>
            <w:r w:rsidR="00E24AC3" w:rsidRPr="00E24AC3">
              <w:rPr>
                <w:sz w:val="16"/>
                <w:szCs w:val="16"/>
              </w:rPr>
              <w:t xml:space="preserve"> is currently developing strategic collaboration in partnership with the Agency for Science, Technology and Research (A*Star) in Singapore and have discussed an IP sharing and exploitation route through their new IP Intermediaries (IPI) mechanism.</w:t>
            </w:r>
          </w:p>
          <w:p w14:paraId="6D5F5C4F" w14:textId="77777777" w:rsidR="00E24AC3" w:rsidRDefault="00E24AC3" w:rsidP="00614FED">
            <w:pPr>
              <w:pStyle w:val="NoSpacing"/>
              <w:spacing w:line="240" w:lineRule="auto"/>
              <w:ind w:firstLine="0"/>
              <w:jc w:val="left"/>
              <w:rPr>
                <w:sz w:val="16"/>
                <w:szCs w:val="16"/>
              </w:rPr>
            </w:pPr>
          </w:p>
          <w:p w14:paraId="409E3A0A" w14:textId="77777777" w:rsidR="00C7654C" w:rsidRPr="008358D2" w:rsidRDefault="00C7654C" w:rsidP="00C7654C">
            <w:pPr>
              <w:spacing w:line="240" w:lineRule="auto"/>
              <w:jc w:val="left"/>
              <w:rPr>
                <w:sz w:val="16"/>
                <w:szCs w:val="16"/>
              </w:rPr>
            </w:pPr>
          </w:p>
        </w:tc>
        <w:tc>
          <w:tcPr>
            <w:tcW w:w="2839" w:type="dxa"/>
          </w:tcPr>
          <w:p w14:paraId="11256AF3" w14:textId="761534CE" w:rsidR="00C7654C" w:rsidRPr="008358D2" w:rsidRDefault="004208D9" w:rsidP="00C7654C">
            <w:pPr>
              <w:spacing w:line="240" w:lineRule="auto"/>
              <w:jc w:val="left"/>
              <w:rPr>
                <w:sz w:val="16"/>
                <w:szCs w:val="16"/>
              </w:rPr>
            </w:pPr>
            <w:r>
              <w:rPr>
                <w:sz w:val="16"/>
                <w:szCs w:val="16"/>
              </w:rPr>
              <w:t>During the course of its 5 years new avenues were explored to extend the geographical impact of the Centre.</w:t>
            </w:r>
          </w:p>
        </w:tc>
      </w:tr>
      <w:tr w:rsidR="00C7654C" w14:paraId="125EFFE0" w14:textId="77777777" w:rsidTr="00C7654C">
        <w:tc>
          <w:tcPr>
            <w:tcW w:w="959" w:type="dxa"/>
          </w:tcPr>
          <w:p w14:paraId="74E85EA4" w14:textId="77777777" w:rsidR="00C7654C" w:rsidRPr="008358D2" w:rsidRDefault="00C7654C" w:rsidP="00C7654C">
            <w:pPr>
              <w:spacing w:line="240" w:lineRule="auto"/>
              <w:jc w:val="left"/>
              <w:rPr>
                <w:sz w:val="20"/>
                <w:szCs w:val="20"/>
              </w:rPr>
            </w:pPr>
            <w:r w:rsidRPr="008358D2">
              <w:rPr>
                <w:sz w:val="20"/>
                <w:szCs w:val="20"/>
              </w:rPr>
              <w:t>End</w:t>
            </w:r>
          </w:p>
        </w:tc>
        <w:tc>
          <w:tcPr>
            <w:tcW w:w="4718" w:type="dxa"/>
          </w:tcPr>
          <w:p w14:paraId="20574F06" w14:textId="77777777" w:rsidR="00C7654C" w:rsidRDefault="00FB68CD" w:rsidP="00C7654C">
            <w:pPr>
              <w:pStyle w:val="NoSpacing"/>
              <w:spacing w:line="240" w:lineRule="auto"/>
              <w:ind w:firstLine="0"/>
              <w:jc w:val="left"/>
              <w:rPr>
                <w:sz w:val="16"/>
                <w:szCs w:val="16"/>
              </w:rPr>
            </w:pPr>
            <w:r w:rsidRPr="004A33CA">
              <w:rPr>
                <w:sz w:val="16"/>
                <w:szCs w:val="16"/>
              </w:rPr>
              <w:t>Our funding was approved in April 2008 – and in September of that year the ﬁnancial crisis hit. Just as we were starting out, the economic conditions meant the private sector became more risk averse and more conservative in terms of taking on and developing new technologies.</w:t>
            </w:r>
          </w:p>
          <w:p w14:paraId="44592E7B" w14:textId="77777777" w:rsidR="00E03585" w:rsidRDefault="00E03585" w:rsidP="00E03585">
            <w:pPr>
              <w:pStyle w:val="NoSpacing"/>
              <w:spacing w:line="240" w:lineRule="auto"/>
              <w:ind w:firstLine="0"/>
              <w:jc w:val="left"/>
              <w:rPr>
                <w:sz w:val="16"/>
                <w:szCs w:val="16"/>
              </w:rPr>
            </w:pPr>
            <w:r w:rsidRPr="00E03585">
              <w:rPr>
                <w:sz w:val="16"/>
                <w:szCs w:val="16"/>
              </w:rPr>
              <w:t>This research platform has been successful in securing national and global investments over the past decades and so is well placed to have a wide and deep technology platform that can be utilised for commercial opportunity exploitation and new product and service development in a fast growing and successful business sector.</w:t>
            </w:r>
          </w:p>
          <w:p w14:paraId="1AAA5454" w14:textId="65457B79" w:rsidR="004208D9" w:rsidRDefault="004208D9" w:rsidP="004208D9">
            <w:pPr>
              <w:pStyle w:val="NoSpacing"/>
              <w:spacing w:line="240" w:lineRule="auto"/>
              <w:ind w:firstLine="0"/>
              <w:jc w:val="left"/>
              <w:rPr>
                <w:sz w:val="16"/>
                <w:szCs w:val="16"/>
              </w:rPr>
            </w:pPr>
            <w:r w:rsidRPr="004208D9">
              <w:rPr>
                <w:sz w:val="16"/>
                <w:szCs w:val="16"/>
              </w:rPr>
              <w:t>From our original £10 million funding, we’ve generated and leveraged over £90 million research and in</w:t>
            </w:r>
            <w:r>
              <w:rPr>
                <w:sz w:val="16"/>
                <w:szCs w:val="16"/>
              </w:rPr>
              <w:t>novation funding into the Centre</w:t>
            </w:r>
            <w:r w:rsidRPr="004208D9">
              <w:rPr>
                <w:sz w:val="16"/>
                <w:szCs w:val="16"/>
              </w:rPr>
              <w:t>, of which over £12 million has come from industry. More importantl</w:t>
            </w:r>
            <w:r>
              <w:rPr>
                <w:sz w:val="16"/>
                <w:szCs w:val="16"/>
              </w:rPr>
              <w:t>y, as a direct result of the Centre</w:t>
            </w:r>
            <w:r w:rsidRPr="004208D9">
              <w:rPr>
                <w:sz w:val="16"/>
                <w:szCs w:val="16"/>
              </w:rPr>
              <w:t xml:space="preserve"> de-risking technologies that have been taken up by the sector, industry has invested a further £57 million in their new product development.</w:t>
            </w:r>
          </w:p>
          <w:p w14:paraId="0358D7FB" w14:textId="7961A1A6" w:rsidR="00FB68CD" w:rsidRPr="008358D2" w:rsidRDefault="00EF35DA" w:rsidP="00C7654C">
            <w:pPr>
              <w:pStyle w:val="NoSpacing"/>
              <w:spacing w:line="240" w:lineRule="auto"/>
              <w:ind w:firstLine="0"/>
              <w:jc w:val="left"/>
              <w:rPr>
                <w:sz w:val="16"/>
                <w:szCs w:val="16"/>
              </w:rPr>
            </w:pPr>
            <w:r w:rsidRPr="00EF35DA">
              <w:rPr>
                <w:sz w:val="16"/>
                <w:szCs w:val="16"/>
              </w:rPr>
              <w:t xml:space="preserve">There’s no such thing as </w:t>
            </w:r>
            <w:proofErr w:type="gramStart"/>
            <w:r w:rsidRPr="00EF35DA">
              <w:rPr>
                <w:sz w:val="16"/>
                <w:szCs w:val="16"/>
              </w:rPr>
              <w:t>an ‘average’</w:t>
            </w:r>
            <w:proofErr w:type="gramEnd"/>
            <w:r w:rsidRPr="00EF35DA">
              <w:rPr>
                <w:sz w:val="16"/>
                <w:szCs w:val="16"/>
              </w:rPr>
              <w:t xml:space="preserve"> patient. Variable factors, such as age, weight, bone density and lifestyle in patients all have an inﬂuence on how successful a medical implant might be, and how long it will last. Using world-class simulation facilities at the University of Leeds, researchers are developing robust pre-clinical test methods to ensure implants such as joint replacements, spinal implants or heart valve replacements are reliable and will give patients the improved quality of life that they expect. Our goal is to give people ‘50 active years after 50®’ and improving the quality of joint implants for people is a big step towards that goal</w:t>
            </w:r>
            <w:r>
              <w:rPr>
                <w:sz w:val="16"/>
                <w:szCs w:val="16"/>
              </w:rPr>
              <w:t>.</w:t>
            </w:r>
          </w:p>
        </w:tc>
        <w:tc>
          <w:tcPr>
            <w:tcW w:w="2839" w:type="dxa"/>
          </w:tcPr>
          <w:p w14:paraId="5EF31E8F" w14:textId="77777777" w:rsidR="00C7654C" w:rsidRDefault="00E03585" w:rsidP="00C7654C">
            <w:pPr>
              <w:spacing w:line="240" w:lineRule="auto"/>
              <w:jc w:val="left"/>
              <w:rPr>
                <w:sz w:val="16"/>
                <w:szCs w:val="16"/>
              </w:rPr>
            </w:pPr>
            <w:r>
              <w:rPr>
                <w:sz w:val="16"/>
                <w:szCs w:val="16"/>
              </w:rPr>
              <w:t>Additional themes that enriched the original strategic innovation narratives emerged during the course of the Centre’s first 5 years.  These include: increased importance of early stage technology investments in context of global recession; attracting international investment</w:t>
            </w:r>
            <w:proofErr w:type="gramStart"/>
            <w:r>
              <w:rPr>
                <w:sz w:val="16"/>
                <w:szCs w:val="16"/>
              </w:rPr>
              <w:t>;</w:t>
            </w:r>
            <w:proofErr w:type="gramEnd"/>
            <w:r>
              <w:rPr>
                <w:sz w:val="16"/>
                <w:szCs w:val="16"/>
              </w:rPr>
              <w:t xml:space="preserve"> </w:t>
            </w:r>
            <w:r w:rsidR="004208D9">
              <w:rPr>
                <w:sz w:val="16"/>
                <w:szCs w:val="16"/>
              </w:rPr>
              <w:t>impact of subsequent business innovation.</w:t>
            </w:r>
          </w:p>
          <w:p w14:paraId="02625B8E" w14:textId="66703301" w:rsidR="004208D9" w:rsidRPr="008358D2" w:rsidRDefault="000F751B" w:rsidP="00C7654C">
            <w:pPr>
              <w:spacing w:line="240" w:lineRule="auto"/>
              <w:jc w:val="left"/>
              <w:rPr>
                <w:sz w:val="16"/>
                <w:szCs w:val="16"/>
              </w:rPr>
            </w:pPr>
            <w:r>
              <w:rPr>
                <w:sz w:val="16"/>
                <w:szCs w:val="16"/>
              </w:rPr>
              <w:t xml:space="preserve">The two themes that were prominent at the </w:t>
            </w:r>
            <w:proofErr w:type="gramStart"/>
            <w:r>
              <w:rPr>
                <w:sz w:val="16"/>
                <w:szCs w:val="16"/>
              </w:rPr>
              <w:t>outset,</w:t>
            </w:r>
            <w:proofErr w:type="gramEnd"/>
            <w:r>
              <w:rPr>
                <w:sz w:val="16"/>
                <w:szCs w:val="16"/>
              </w:rPr>
              <w:t xml:space="preserve"> continue to feature.  However, as illustrated in these vignettes, mention of “new business sector” and “50 actives years after 50” is now enriched with practical details.</w:t>
            </w:r>
          </w:p>
        </w:tc>
      </w:tr>
    </w:tbl>
    <w:p w14:paraId="172E6B3D" w14:textId="77777777" w:rsidR="006F14E2" w:rsidRDefault="006F14E2" w:rsidP="00777374">
      <w:pPr>
        <w:jc w:val="left"/>
      </w:pPr>
    </w:p>
    <w:p w14:paraId="45626858" w14:textId="77777777" w:rsidR="007F3570" w:rsidRDefault="007F3570" w:rsidP="00777374">
      <w:pPr>
        <w:jc w:val="left"/>
      </w:pPr>
    </w:p>
    <w:p w14:paraId="6AD4BFA0" w14:textId="26840F6B" w:rsidR="006F14E2" w:rsidRPr="00A933DF" w:rsidRDefault="004208D9" w:rsidP="00777374">
      <w:pPr>
        <w:jc w:val="left"/>
        <w:rPr>
          <w:b/>
          <w:i/>
        </w:rPr>
      </w:pPr>
      <w:r>
        <w:rPr>
          <w:b/>
          <w:i/>
        </w:rPr>
        <w:t>Clarification</w:t>
      </w:r>
    </w:p>
    <w:p w14:paraId="22191558" w14:textId="3D61C391" w:rsidR="00A933DF" w:rsidRDefault="00A933DF" w:rsidP="00777374">
      <w:pPr>
        <w:jc w:val="left"/>
      </w:pPr>
      <w:r>
        <w:t xml:space="preserve">The theme of “breadth of expertise” had a </w:t>
      </w:r>
      <w:r w:rsidR="008477EA">
        <w:t>speculative</w:t>
      </w:r>
      <w:r>
        <w:t xml:space="preserve"> character at the outset of the project inasmuch as many individual ideas relate</w:t>
      </w:r>
      <w:r w:rsidR="008477EA">
        <w:t xml:space="preserve">d to this theme were untested to any </w:t>
      </w:r>
      <w:r w:rsidR="008477EA">
        <w:lastRenderedPageBreak/>
        <w:t>degree</w:t>
      </w:r>
      <w:r>
        <w:t>.  As the project progressed the Centre’s management team created new organisational arrangements to execute these ideas, and provide new routines of support for individual innovation projects.</w:t>
      </w:r>
      <w:r w:rsidR="008477EA">
        <w:t xml:space="preserve">  As the practical nature of the support mechanisms became more evident</w:t>
      </w:r>
      <w:r w:rsidR="00B6160A">
        <w:t xml:space="preserve"> then the associated innovation narratives became more closely specified</w:t>
      </w:r>
      <w:r w:rsidR="007F3570">
        <w:t xml:space="preserve"> (</w:t>
      </w:r>
      <w:r w:rsidR="007F3570">
        <w:fldChar w:fldCharType="begin"/>
      </w:r>
      <w:r w:rsidR="007F3570">
        <w:instrText xml:space="preserve"> REF _Ref295846888 \h </w:instrText>
      </w:r>
      <w:r w:rsidR="007F3570">
        <w:fldChar w:fldCharType="separate"/>
      </w:r>
      <w:r w:rsidR="007F3570">
        <w:t xml:space="preserve">Table </w:t>
      </w:r>
      <w:r w:rsidR="007F3570">
        <w:rPr>
          <w:noProof/>
        </w:rPr>
        <w:t>7</w:t>
      </w:r>
      <w:r w:rsidR="007F3570">
        <w:fldChar w:fldCharType="end"/>
      </w:r>
      <w:r w:rsidR="007F3570">
        <w:t>)</w:t>
      </w:r>
      <w:r w:rsidR="00B6160A">
        <w:t>.</w:t>
      </w:r>
    </w:p>
    <w:p w14:paraId="3196F24E" w14:textId="77777777" w:rsidR="007F3570" w:rsidRDefault="007F3570" w:rsidP="00777374">
      <w:pPr>
        <w:jc w:val="left"/>
      </w:pPr>
    </w:p>
    <w:p w14:paraId="667C4916" w14:textId="77777777" w:rsidR="006F14E2" w:rsidRDefault="006F14E2" w:rsidP="00777374">
      <w:pPr>
        <w:jc w:val="left"/>
      </w:pPr>
    </w:p>
    <w:p w14:paraId="782A9EF7" w14:textId="5424D981" w:rsidR="007F3570" w:rsidRDefault="007F3570" w:rsidP="007F3570">
      <w:pPr>
        <w:pStyle w:val="Caption"/>
      </w:pPr>
      <w:bookmarkStart w:id="5" w:name="_Ref295846888"/>
      <w:r>
        <w:t xml:space="preserve">Table </w:t>
      </w:r>
      <w:r w:rsidR="00B6021A">
        <w:fldChar w:fldCharType="begin"/>
      </w:r>
      <w:r w:rsidR="00B6021A">
        <w:instrText xml:space="preserve"> SEQ Table \* ARABIC </w:instrText>
      </w:r>
      <w:r w:rsidR="00B6021A">
        <w:fldChar w:fldCharType="separate"/>
      </w:r>
      <w:r>
        <w:rPr>
          <w:noProof/>
        </w:rPr>
        <w:t>7</w:t>
      </w:r>
      <w:r w:rsidR="00B6021A">
        <w:rPr>
          <w:noProof/>
        </w:rPr>
        <w:fldChar w:fldCharType="end"/>
      </w:r>
      <w:bookmarkEnd w:id="5"/>
      <w:r>
        <w:t xml:space="preserve"> - Illustration and case commentary concerning the </w:t>
      </w:r>
      <w:r>
        <w:rPr>
          <w:i/>
        </w:rPr>
        <w:t>clarification</w:t>
      </w:r>
      <w:r>
        <w:t xml:space="preserve"> of themes</w:t>
      </w:r>
    </w:p>
    <w:tbl>
      <w:tblPr>
        <w:tblStyle w:val="TableGrid"/>
        <w:tblW w:w="0" w:type="auto"/>
        <w:tblLook w:val="04A0" w:firstRow="1" w:lastRow="0" w:firstColumn="1" w:lastColumn="0" w:noHBand="0" w:noVBand="1"/>
      </w:tblPr>
      <w:tblGrid>
        <w:gridCol w:w="959"/>
        <w:gridCol w:w="4718"/>
        <w:gridCol w:w="2839"/>
      </w:tblGrid>
      <w:tr w:rsidR="00681426" w14:paraId="69F377D2" w14:textId="77777777" w:rsidTr="00572E67">
        <w:tc>
          <w:tcPr>
            <w:tcW w:w="959" w:type="dxa"/>
            <w:shd w:val="clear" w:color="auto" w:fill="C0C0C0"/>
          </w:tcPr>
          <w:p w14:paraId="654A8C9C" w14:textId="7904A3F2" w:rsidR="00681426" w:rsidRPr="008358D2" w:rsidRDefault="00681426" w:rsidP="00572E67">
            <w:pPr>
              <w:spacing w:line="240" w:lineRule="auto"/>
              <w:rPr>
                <w:b/>
                <w:sz w:val="20"/>
                <w:szCs w:val="20"/>
              </w:rPr>
            </w:pPr>
            <w:r w:rsidRPr="008358D2">
              <w:rPr>
                <w:b/>
                <w:sz w:val="20"/>
                <w:szCs w:val="20"/>
              </w:rPr>
              <w:t>Stage</w:t>
            </w:r>
          </w:p>
        </w:tc>
        <w:tc>
          <w:tcPr>
            <w:tcW w:w="4718" w:type="dxa"/>
            <w:shd w:val="clear" w:color="auto" w:fill="C0C0C0"/>
          </w:tcPr>
          <w:p w14:paraId="78012232" w14:textId="77777777" w:rsidR="00681426" w:rsidRPr="008358D2" w:rsidRDefault="00681426" w:rsidP="00572E67">
            <w:pPr>
              <w:spacing w:line="240" w:lineRule="auto"/>
              <w:jc w:val="center"/>
              <w:rPr>
                <w:b/>
                <w:sz w:val="20"/>
                <w:szCs w:val="20"/>
              </w:rPr>
            </w:pPr>
            <w:r>
              <w:rPr>
                <w:b/>
                <w:sz w:val="20"/>
                <w:szCs w:val="20"/>
              </w:rPr>
              <w:t xml:space="preserve">Illustrative vignettes for Innovation Narrative of </w:t>
            </w:r>
            <w:proofErr w:type="spellStart"/>
            <w:r>
              <w:rPr>
                <w:b/>
                <w:sz w:val="20"/>
                <w:szCs w:val="20"/>
              </w:rPr>
              <w:t>MedTech</w:t>
            </w:r>
            <w:proofErr w:type="spellEnd"/>
            <w:r>
              <w:rPr>
                <w:b/>
                <w:sz w:val="20"/>
                <w:szCs w:val="20"/>
              </w:rPr>
              <w:t xml:space="preserve"> Innovation Centre</w:t>
            </w:r>
          </w:p>
        </w:tc>
        <w:tc>
          <w:tcPr>
            <w:tcW w:w="2839" w:type="dxa"/>
            <w:shd w:val="clear" w:color="auto" w:fill="C0C0C0"/>
          </w:tcPr>
          <w:p w14:paraId="5E89DD16" w14:textId="77777777" w:rsidR="00681426" w:rsidRPr="008358D2" w:rsidRDefault="00681426" w:rsidP="00572E67">
            <w:pPr>
              <w:spacing w:line="240" w:lineRule="auto"/>
              <w:jc w:val="center"/>
              <w:rPr>
                <w:b/>
                <w:sz w:val="20"/>
                <w:szCs w:val="20"/>
              </w:rPr>
            </w:pPr>
            <w:r w:rsidRPr="008358D2">
              <w:rPr>
                <w:b/>
                <w:sz w:val="20"/>
                <w:szCs w:val="20"/>
              </w:rPr>
              <w:t>Commentary</w:t>
            </w:r>
          </w:p>
        </w:tc>
      </w:tr>
      <w:tr w:rsidR="00681426" w14:paraId="12D3590C" w14:textId="77777777" w:rsidTr="00572E67">
        <w:tc>
          <w:tcPr>
            <w:tcW w:w="959" w:type="dxa"/>
          </w:tcPr>
          <w:p w14:paraId="3C48A388" w14:textId="77777777" w:rsidR="00681426" w:rsidRPr="008358D2" w:rsidRDefault="00681426" w:rsidP="00572E67">
            <w:pPr>
              <w:spacing w:line="240" w:lineRule="auto"/>
              <w:jc w:val="left"/>
              <w:rPr>
                <w:sz w:val="20"/>
                <w:szCs w:val="20"/>
              </w:rPr>
            </w:pPr>
            <w:r w:rsidRPr="008358D2">
              <w:rPr>
                <w:sz w:val="20"/>
                <w:szCs w:val="20"/>
              </w:rPr>
              <w:t>Start</w:t>
            </w:r>
          </w:p>
        </w:tc>
        <w:tc>
          <w:tcPr>
            <w:tcW w:w="4718" w:type="dxa"/>
          </w:tcPr>
          <w:p w14:paraId="77D96617" w14:textId="591F4073" w:rsidR="00681426" w:rsidRPr="008358D2" w:rsidRDefault="00681426" w:rsidP="00CE68E8">
            <w:pPr>
              <w:pStyle w:val="NoSpacing"/>
              <w:spacing w:line="240" w:lineRule="auto"/>
              <w:ind w:firstLine="0"/>
              <w:rPr>
                <w:sz w:val="16"/>
                <w:szCs w:val="16"/>
              </w:rPr>
            </w:pPr>
            <w:r w:rsidRPr="000C5D81">
              <w:rPr>
                <w:sz w:val="16"/>
                <w:szCs w:val="16"/>
              </w:rPr>
              <w:t xml:space="preserve">This rapidly growing multidisciplinary area will require innovative scientists and engineers who can cross disciplinary </w:t>
            </w:r>
            <w:r w:rsidR="00CE68E8" w:rsidRPr="000C5D81">
              <w:rPr>
                <w:sz w:val="16"/>
                <w:szCs w:val="16"/>
              </w:rPr>
              <w:t>boundaries;</w:t>
            </w:r>
            <w:r w:rsidRPr="000C5D81">
              <w:rPr>
                <w:sz w:val="16"/>
                <w:szCs w:val="16"/>
              </w:rPr>
              <w:t xml:space="preserve"> work in broader systems based projects and work flexibly and collaboratively with industry and clinicians at different stages of the innovation pipeline. </w:t>
            </w:r>
          </w:p>
        </w:tc>
        <w:tc>
          <w:tcPr>
            <w:tcW w:w="2839" w:type="dxa"/>
          </w:tcPr>
          <w:p w14:paraId="6A2E71DF" w14:textId="7EE88D3D" w:rsidR="00681426" w:rsidRPr="008358D2" w:rsidRDefault="00CE68E8" w:rsidP="00572E67">
            <w:pPr>
              <w:spacing w:line="240" w:lineRule="auto"/>
              <w:jc w:val="left"/>
              <w:rPr>
                <w:sz w:val="16"/>
                <w:szCs w:val="16"/>
              </w:rPr>
            </w:pPr>
            <w:r>
              <w:rPr>
                <w:sz w:val="16"/>
                <w:szCs w:val="16"/>
              </w:rPr>
              <w:t xml:space="preserve">At the proposal stage, then the strength of the Centre was defined in large part by the scientific credentials of the </w:t>
            </w:r>
            <w:r w:rsidR="00E806DD">
              <w:rPr>
                <w:sz w:val="16"/>
                <w:szCs w:val="16"/>
              </w:rPr>
              <w:t xml:space="preserve">academic </w:t>
            </w:r>
            <w:r>
              <w:rPr>
                <w:sz w:val="16"/>
                <w:szCs w:val="16"/>
              </w:rPr>
              <w:t>scientists and engineers who lent their support.  Key features of this theme were “multi-</w:t>
            </w:r>
            <w:proofErr w:type="spellStart"/>
            <w:r>
              <w:rPr>
                <w:sz w:val="16"/>
                <w:szCs w:val="16"/>
              </w:rPr>
              <w:t>disciplina</w:t>
            </w:r>
            <w:r w:rsidR="00E806DD">
              <w:rPr>
                <w:sz w:val="16"/>
                <w:szCs w:val="16"/>
              </w:rPr>
              <w:t>rity</w:t>
            </w:r>
            <w:proofErr w:type="spellEnd"/>
            <w:r w:rsidR="00E806DD">
              <w:rPr>
                <w:sz w:val="16"/>
                <w:szCs w:val="16"/>
              </w:rPr>
              <w:t>” and “collaboration”.  However, few details were supplied about how these features would be enacted.</w:t>
            </w:r>
          </w:p>
        </w:tc>
      </w:tr>
      <w:tr w:rsidR="00681426" w14:paraId="1B01355D" w14:textId="77777777" w:rsidTr="00572E67">
        <w:tc>
          <w:tcPr>
            <w:tcW w:w="959" w:type="dxa"/>
          </w:tcPr>
          <w:p w14:paraId="510BDD73" w14:textId="77777777" w:rsidR="00681426" w:rsidRPr="008358D2" w:rsidRDefault="00681426" w:rsidP="00572E67">
            <w:pPr>
              <w:spacing w:line="240" w:lineRule="auto"/>
              <w:jc w:val="left"/>
              <w:rPr>
                <w:sz w:val="20"/>
                <w:szCs w:val="20"/>
              </w:rPr>
            </w:pPr>
            <w:r w:rsidRPr="008358D2">
              <w:rPr>
                <w:sz w:val="20"/>
                <w:szCs w:val="20"/>
              </w:rPr>
              <w:t>Middle</w:t>
            </w:r>
          </w:p>
        </w:tc>
        <w:tc>
          <w:tcPr>
            <w:tcW w:w="4718" w:type="dxa"/>
          </w:tcPr>
          <w:p w14:paraId="17283FD6" w14:textId="7DE793E0" w:rsidR="00681426" w:rsidRDefault="00681426" w:rsidP="00E806DD">
            <w:pPr>
              <w:pStyle w:val="NoSpacing"/>
              <w:spacing w:line="240" w:lineRule="auto"/>
              <w:ind w:firstLine="0"/>
              <w:rPr>
                <w:sz w:val="16"/>
                <w:szCs w:val="16"/>
              </w:rPr>
            </w:pPr>
            <w:r w:rsidRPr="00A404C0">
              <w:rPr>
                <w:sz w:val="16"/>
                <w:szCs w:val="16"/>
              </w:rPr>
              <w:t xml:space="preserve">Driving innovation in supply chain companies is essential to grow high value manufacturing and broadens the remit of the </w:t>
            </w:r>
            <w:r>
              <w:rPr>
                <w:sz w:val="16"/>
                <w:szCs w:val="16"/>
              </w:rPr>
              <w:t xml:space="preserve">Centre to a wider business base. </w:t>
            </w:r>
            <w:r w:rsidRPr="00A404C0">
              <w:rPr>
                <w:sz w:val="16"/>
                <w:szCs w:val="16"/>
              </w:rPr>
              <w:t xml:space="preserve">Our </w:t>
            </w:r>
            <w:proofErr w:type="spellStart"/>
            <w:r>
              <w:rPr>
                <w:sz w:val="16"/>
                <w:szCs w:val="16"/>
              </w:rPr>
              <w:t>MedTech</w:t>
            </w:r>
            <w:proofErr w:type="spellEnd"/>
            <w:r>
              <w:rPr>
                <w:sz w:val="16"/>
                <w:szCs w:val="16"/>
              </w:rPr>
              <w:t xml:space="preserve"> Innovation Centre</w:t>
            </w:r>
            <w:r w:rsidRPr="00A404C0">
              <w:rPr>
                <w:sz w:val="16"/>
                <w:szCs w:val="16"/>
              </w:rPr>
              <w:t xml:space="preserve"> is unique in that it operates across the medical technology spectrum from implantable devices through to regenerative </w:t>
            </w:r>
            <w:r w:rsidR="00E806DD" w:rsidRPr="00A404C0">
              <w:rPr>
                <w:sz w:val="16"/>
                <w:szCs w:val="16"/>
              </w:rPr>
              <w:t>therapies, which</w:t>
            </w:r>
            <w:r w:rsidRPr="00A404C0">
              <w:rPr>
                <w:sz w:val="16"/>
                <w:szCs w:val="16"/>
              </w:rPr>
              <w:t xml:space="preserve"> can be enhanced with autologous stem cells. </w:t>
            </w:r>
          </w:p>
          <w:p w14:paraId="19599B1A" w14:textId="0B2FBBEE" w:rsidR="00681426" w:rsidRPr="008358D2" w:rsidRDefault="00E806DD" w:rsidP="00E806DD">
            <w:pPr>
              <w:pStyle w:val="NoSpacing"/>
              <w:spacing w:line="240" w:lineRule="auto"/>
              <w:ind w:firstLine="0"/>
              <w:jc w:val="left"/>
              <w:rPr>
                <w:sz w:val="16"/>
                <w:szCs w:val="16"/>
              </w:rPr>
            </w:pPr>
            <w:r w:rsidRPr="00E806DD">
              <w:rPr>
                <w:sz w:val="16"/>
                <w:szCs w:val="16"/>
              </w:rPr>
              <w:t xml:space="preserve">In the field of wound care our Clinical Trials Unit are working with </w:t>
            </w:r>
            <w:r>
              <w:rPr>
                <w:sz w:val="16"/>
                <w:szCs w:val="16"/>
              </w:rPr>
              <w:t>[private companies]</w:t>
            </w:r>
            <w:r w:rsidRPr="00E806DD">
              <w:rPr>
                <w:sz w:val="16"/>
                <w:szCs w:val="16"/>
              </w:rPr>
              <w:t xml:space="preserve"> to support experimental work in product development providing expert practical knowledge, in depth knowledge of the literature, expert methodological advice and access to wide ranging multi-disciplinary academic networks</w:t>
            </w:r>
            <w:r>
              <w:rPr>
                <w:sz w:val="16"/>
                <w:szCs w:val="16"/>
              </w:rPr>
              <w:t>.</w:t>
            </w:r>
          </w:p>
        </w:tc>
        <w:tc>
          <w:tcPr>
            <w:tcW w:w="2839" w:type="dxa"/>
          </w:tcPr>
          <w:p w14:paraId="1D9FEAD8" w14:textId="233CD07D" w:rsidR="00681426" w:rsidRPr="008358D2" w:rsidRDefault="00AC7711" w:rsidP="00572E67">
            <w:pPr>
              <w:spacing w:line="240" w:lineRule="auto"/>
              <w:jc w:val="left"/>
              <w:rPr>
                <w:sz w:val="16"/>
                <w:szCs w:val="16"/>
              </w:rPr>
            </w:pPr>
            <w:r>
              <w:rPr>
                <w:sz w:val="16"/>
                <w:szCs w:val="16"/>
              </w:rPr>
              <w:t>Taking cues from commercial partners, then the multidisciplinary narrative develops to explain the range of contexts in which the Centres expertise will bear.</w:t>
            </w:r>
          </w:p>
        </w:tc>
      </w:tr>
      <w:tr w:rsidR="00681426" w14:paraId="52035FC4" w14:textId="77777777" w:rsidTr="00572E67">
        <w:tc>
          <w:tcPr>
            <w:tcW w:w="959" w:type="dxa"/>
          </w:tcPr>
          <w:p w14:paraId="186902E9" w14:textId="77777777" w:rsidR="00681426" w:rsidRPr="008358D2" w:rsidRDefault="00681426" w:rsidP="00572E67">
            <w:pPr>
              <w:spacing w:line="240" w:lineRule="auto"/>
              <w:jc w:val="left"/>
              <w:rPr>
                <w:sz w:val="20"/>
                <w:szCs w:val="20"/>
              </w:rPr>
            </w:pPr>
            <w:r w:rsidRPr="008358D2">
              <w:rPr>
                <w:sz w:val="20"/>
                <w:szCs w:val="20"/>
              </w:rPr>
              <w:t>End</w:t>
            </w:r>
          </w:p>
        </w:tc>
        <w:tc>
          <w:tcPr>
            <w:tcW w:w="4718" w:type="dxa"/>
          </w:tcPr>
          <w:p w14:paraId="2AB8D99E" w14:textId="3DA5C2FB" w:rsidR="00F3143E" w:rsidRDefault="00F3143E" w:rsidP="00F3143E">
            <w:pPr>
              <w:pStyle w:val="NoSpacing"/>
              <w:spacing w:line="240" w:lineRule="auto"/>
              <w:ind w:firstLine="0"/>
              <w:jc w:val="left"/>
              <w:rPr>
                <w:sz w:val="16"/>
                <w:szCs w:val="16"/>
              </w:rPr>
            </w:pPr>
            <w:r w:rsidRPr="00F3143E">
              <w:rPr>
                <w:sz w:val="16"/>
                <w:szCs w:val="16"/>
              </w:rPr>
              <w:t xml:space="preserve">Robust project identification and management is a core asset of the innovation capability delivered through the Centre. This capability arises from experienced individuals recruited from the private sector who understand the key steps that are necessary to accelerate technology towards investment readiness and reduce the risk of investment for our commercial partners. </w:t>
            </w:r>
          </w:p>
          <w:p w14:paraId="476DFCC8" w14:textId="0446DEFC" w:rsidR="00E72E02" w:rsidRDefault="00E72E02" w:rsidP="00E72E02">
            <w:pPr>
              <w:pStyle w:val="NoSpacing"/>
              <w:spacing w:line="240" w:lineRule="auto"/>
              <w:ind w:firstLine="0"/>
              <w:jc w:val="left"/>
              <w:rPr>
                <w:sz w:val="16"/>
                <w:szCs w:val="16"/>
              </w:rPr>
            </w:pPr>
            <w:r w:rsidRPr="00E72E02">
              <w:rPr>
                <w:sz w:val="16"/>
                <w:szCs w:val="16"/>
              </w:rPr>
              <w:t xml:space="preserve">The Proof of Concept projects funded by </w:t>
            </w:r>
            <w:proofErr w:type="gramStart"/>
            <w:r w:rsidRPr="00E72E02">
              <w:rPr>
                <w:sz w:val="16"/>
                <w:szCs w:val="16"/>
              </w:rPr>
              <w:t xml:space="preserve">the </w:t>
            </w:r>
            <w:r w:rsidR="000431DE">
              <w:rPr>
                <w:sz w:val="16"/>
                <w:szCs w:val="16"/>
              </w:rPr>
              <w:t>[</w:t>
            </w:r>
            <w:proofErr w:type="spellStart"/>
            <w:r w:rsidR="000431DE">
              <w:rPr>
                <w:sz w:val="16"/>
                <w:szCs w:val="16"/>
              </w:rPr>
              <w:t>MedTech</w:t>
            </w:r>
            <w:proofErr w:type="spellEnd"/>
            <w:r w:rsidR="000431DE">
              <w:rPr>
                <w:sz w:val="16"/>
                <w:szCs w:val="16"/>
              </w:rPr>
              <w:t xml:space="preserve"> Centre]</w:t>
            </w:r>
            <w:r w:rsidRPr="00E72E02">
              <w:rPr>
                <w:sz w:val="16"/>
                <w:szCs w:val="16"/>
              </w:rPr>
              <w:t xml:space="preserve"> are</w:t>
            </w:r>
            <w:proofErr w:type="gramEnd"/>
            <w:r w:rsidRPr="00E72E02">
              <w:rPr>
                <w:sz w:val="16"/>
                <w:szCs w:val="16"/>
              </w:rPr>
              <w:t xml:space="preserve"> selected not only for their potential beneﬁts to patient health, but also for their impact on the surgical procedure. Whether it’s new surgical tools used during operations, new implant materials or new ways of viewing scans and evaluating patient health, the research projects are complementary, leading to a joined-up approach that beneﬁts both patient and clinician. </w:t>
            </w:r>
          </w:p>
          <w:p w14:paraId="4EB32BD7" w14:textId="0C7F3243" w:rsidR="00681426" w:rsidRPr="008358D2" w:rsidRDefault="003C2579" w:rsidP="00572E67">
            <w:pPr>
              <w:pStyle w:val="NoSpacing"/>
              <w:spacing w:line="240" w:lineRule="auto"/>
              <w:ind w:firstLine="0"/>
              <w:jc w:val="left"/>
              <w:rPr>
                <w:sz w:val="16"/>
                <w:szCs w:val="16"/>
              </w:rPr>
            </w:pPr>
            <w:r w:rsidRPr="003C2579">
              <w:rPr>
                <w:sz w:val="16"/>
                <w:szCs w:val="16"/>
              </w:rPr>
              <w:t>By connecting niche research teams at different universities, advising on IP and contract issues, or introducing an ideal industrial partner to take a technology forward, our collaborative approach empowers researchers to develop and validate their technology.</w:t>
            </w:r>
          </w:p>
        </w:tc>
        <w:tc>
          <w:tcPr>
            <w:tcW w:w="2839" w:type="dxa"/>
          </w:tcPr>
          <w:p w14:paraId="4AA5B451" w14:textId="023F8E6C" w:rsidR="00681426" w:rsidRPr="008358D2" w:rsidRDefault="00AC7711" w:rsidP="00572E67">
            <w:pPr>
              <w:spacing w:line="240" w:lineRule="auto"/>
              <w:jc w:val="left"/>
              <w:rPr>
                <w:sz w:val="16"/>
                <w:szCs w:val="16"/>
              </w:rPr>
            </w:pPr>
            <w:r>
              <w:rPr>
                <w:sz w:val="16"/>
                <w:szCs w:val="16"/>
              </w:rPr>
              <w:t>At the end of the project recognition is increasingly given to the work of the Centre’s industry-experienced managers.  The means by which they support he Centre’s partners are explained.  In this vein, the importance of proof of concept projects is noted in a variety of specific arenas.</w:t>
            </w:r>
          </w:p>
        </w:tc>
      </w:tr>
    </w:tbl>
    <w:p w14:paraId="34EF8EEB" w14:textId="77777777" w:rsidR="00681426" w:rsidRDefault="00681426" w:rsidP="00777374">
      <w:pPr>
        <w:jc w:val="left"/>
      </w:pPr>
    </w:p>
    <w:p w14:paraId="490CBD1D" w14:textId="77777777" w:rsidR="006F14E2" w:rsidRDefault="006F14E2" w:rsidP="00777374">
      <w:pPr>
        <w:jc w:val="left"/>
      </w:pPr>
    </w:p>
    <w:p w14:paraId="4402EC0F" w14:textId="77777777" w:rsidR="000558BF" w:rsidRDefault="000558BF">
      <w:pPr>
        <w:spacing w:before="0" w:line="240" w:lineRule="auto"/>
        <w:jc w:val="left"/>
        <w:rPr>
          <w:b/>
          <w:sz w:val="28"/>
          <w:szCs w:val="28"/>
        </w:rPr>
      </w:pPr>
      <w:r>
        <w:rPr>
          <w:b/>
          <w:sz w:val="28"/>
          <w:szCs w:val="28"/>
        </w:rPr>
        <w:br w:type="page"/>
      </w:r>
    </w:p>
    <w:p w14:paraId="2E5BC887" w14:textId="688EA954" w:rsidR="00E7523E" w:rsidRPr="00A933DF" w:rsidRDefault="00E7523E" w:rsidP="00777374">
      <w:pPr>
        <w:jc w:val="left"/>
        <w:rPr>
          <w:b/>
          <w:sz w:val="28"/>
          <w:szCs w:val="28"/>
        </w:rPr>
      </w:pPr>
      <w:r w:rsidRPr="00A933DF">
        <w:rPr>
          <w:b/>
          <w:sz w:val="28"/>
          <w:szCs w:val="28"/>
        </w:rPr>
        <w:lastRenderedPageBreak/>
        <w:t>Discussion</w:t>
      </w:r>
    </w:p>
    <w:p w14:paraId="4ED55A9E" w14:textId="3CDA6071" w:rsidR="00A645BA" w:rsidRDefault="00A645BA" w:rsidP="00B6021A">
      <w:r>
        <w:t xml:space="preserve">The </w:t>
      </w:r>
      <w:proofErr w:type="spellStart"/>
      <w:r w:rsidR="007229ED">
        <w:t>MedTech</w:t>
      </w:r>
      <w:proofErr w:type="spellEnd"/>
      <w:r w:rsidR="007229ED">
        <w:t xml:space="preserve"> Innovation Centre</w:t>
      </w:r>
      <w:r>
        <w:t>, whilst ultimately being judged very successful</w:t>
      </w:r>
      <w:r w:rsidR="007229ED">
        <w:t xml:space="preserve"> by its public sector funders</w:t>
      </w:r>
      <w:r>
        <w:t>, seems unremarkable: there are many comparable initiatives in the arena of Government-supported technology transfer.  And yet our close examination of the work of the centre across the whole 5 yea</w:t>
      </w:r>
      <w:r w:rsidR="006A20FE">
        <w:t xml:space="preserve">rs suggests that its operation </w:t>
      </w:r>
      <w:r>
        <w:t xml:space="preserve">is revealing of the </w:t>
      </w:r>
      <w:r w:rsidR="001603BD">
        <w:t>challenges faced by</w:t>
      </w:r>
      <w:r>
        <w:t xml:space="preserve"> organisations </w:t>
      </w:r>
      <w:r w:rsidR="001603BD">
        <w:t xml:space="preserve">predicated on a principle of </w:t>
      </w:r>
      <w:r w:rsidR="001603BD" w:rsidRPr="001603BD">
        <w:rPr>
          <w:i/>
        </w:rPr>
        <w:t>openness</w:t>
      </w:r>
      <w:r>
        <w:t xml:space="preserve">.  </w:t>
      </w:r>
      <w:r w:rsidR="00A904BE">
        <w:t xml:space="preserve">These challenges </w:t>
      </w:r>
      <w:r w:rsidR="00CB4CE6">
        <w:t>we</w:t>
      </w:r>
      <w:r w:rsidR="00A904BE">
        <w:t xml:space="preserve">re not resolved simply by </w:t>
      </w:r>
      <w:r w:rsidR="0068231B">
        <w:t>means</w:t>
      </w:r>
      <w:r w:rsidR="00A904BE">
        <w:t xml:space="preserve"> of the Centre having a quantity of finance to disburse as project grants.  </w:t>
      </w:r>
      <w:r>
        <w:t xml:space="preserve">Across a range of collaborations we observed </w:t>
      </w:r>
      <w:r w:rsidR="00140C71">
        <w:t>a</w:t>
      </w:r>
      <w:r w:rsidR="006A20FE">
        <w:t xml:space="preserve"> dynamic</w:t>
      </w:r>
      <w:r>
        <w:t xml:space="preserve"> of coordination and cooperation </w:t>
      </w:r>
      <w:r w:rsidR="00140C71">
        <w:t xml:space="preserve">that </w:t>
      </w:r>
      <w:r>
        <w:t xml:space="preserve">meant </w:t>
      </w:r>
      <w:r w:rsidRPr="00896940">
        <w:rPr>
          <w:i/>
        </w:rPr>
        <w:t>openness</w:t>
      </w:r>
      <w:r>
        <w:t xml:space="preserve"> could be a burden and a virtue in equal measure.  Conducting a longitudinal study allowed us to observe tensions at the heart of the idea of an open organisation: </w:t>
      </w:r>
      <w:r w:rsidRPr="001D7ED8">
        <w:rPr>
          <w:i/>
        </w:rPr>
        <w:t>fragility</w:t>
      </w:r>
      <w:r w:rsidR="00FC628F">
        <w:t xml:space="preserve"> of partnership hierarchies</w:t>
      </w:r>
      <w:r>
        <w:t xml:space="preserve"> vs. </w:t>
      </w:r>
      <w:r w:rsidRPr="001D7ED8">
        <w:rPr>
          <w:i/>
        </w:rPr>
        <w:t>strength</w:t>
      </w:r>
      <w:r>
        <w:t xml:space="preserve"> of extended competence; </w:t>
      </w:r>
      <w:r w:rsidRPr="001D7ED8">
        <w:rPr>
          <w:i/>
        </w:rPr>
        <w:t>design</w:t>
      </w:r>
      <w:r>
        <w:t xml:space="preserve"> of collaborations vs. </w:t>
      </w:r>
      <w:r w:rsidRPr="001D7ED8">
        <w:rPr>
          <w:i/>
        </w:rPr>
        <w:t>improvisation</w:t>
      </w:r>
      <w:r>
        <w:t xml:space="preserve"> in their projects; balancing capabilities that are </w:t>
      </w:r>
      <w:r w:rsidRPr="001D7ED8">
        <w:rPr>
          <w:i/>
        </w:rPr>
        <w:t>core</w:t>
      </w:r>
      <w:r>
        <w:t xml:space="preserve"> </w:t>
      </w:r>
      <w:r w:rsidR="00B6021A">
        <w:t>to the Centr</w:t>
      </w:r>
      <w:r w:rsidR="007229ED">
        <w:t>e</w:t>
      </w:r>
      <w:r w:rsidR="00B6021A">
        <w:t xml:space="preserve"> </w:t>
      </w:r>
      <w:r>
        <w:t xml:space="preserve">with those that are </w:t>
      </w:r>
      <w:r w:rsidRPr="001D7ED8">
        <w:rPr>
          <w:i/>
        </w:rPr>
        <w:t>co-opted</w:t>
      </w:r>
      <w:r w:rsidR="00B6021A">
        <w:t xml:space="preserve"> from Stakeholders</w:t>
      </w:r>
      <w:r>
        <w:t>.</w:t>
      </w:r>
    </w:p>
    <w:p w14:paraId="51FF783C" w14:textId="77777777" w:rsidR="00E7523E" w:rsidRDefault="00E7523E" w:rsidP="00B6021A"/>
    <w:p w14:paraId="5F6EE52C" w14:textId="0FA76C82" w:rsidR="0068231B" w:rsidRDefault="0065795E" w:rsidP="00B6021A">
      <w:r>
        <w:t xml:space="preserve">The process of building </w:t>
      </w:r>
      <w:r w:rsidR="001603BD">
        <w:t xml:space="preserve">an organisational capability to deal with coordination and cooperation is necessitated by </w:t>
      </w:r>
      <w:r>
        <w:t>the accu</w:t>
      </w:r>
      <w:r w:rsidR="00D84805">
        <w:t>mu</w:t>
      </w:r>
      <w:r>
        <w:t xml:space="preserve">lation of open innovation </w:t>
      </w:r>
      <w:r w:rsidR="00D84805">
        <w:t>relationships.</w:t>
      </w:r>
      <w:r w:rsidR="001603BD">
        <w:t xml:space="preserve"> Simple transactional arrangements between organisations</w:t>
      </w:r>
      <w:r w:rsidR="002B4B43">
        <w:t xml:space="preserve"> supported by financial resources</w:t>
      </w:r>
      <w:r w:rsidR="001603BD">
        <w:t xml:space="preserve"> are insufficient to account of the complexity of the coordination challenge.  </w:t>
      </w:r>
      <w:r w:rsidR="002B4B43">
        <w:t>In addition</w:t>
      </w:r>
      <w:r w:rsidR="00CB4CE6">
        <w:t>,</w:t>
      </w:r>
      <w:r w:rsidR="002B4B43">
        <w:t xml:space="preserve"> n</w:t>
      </w:r>
      <w:r w:rsidR="00FC628F">
        <w:t>arratives of openness</w:t>
      </w:r>
      <w:r w:rsidR="00B65732">
        <w:t xml:space="preserve"> beca</w:t>
      </w:r>
      <w:r w:rsidR="00FC628F">
        <w:t>me a cultural resource</w:t>
      </w:r>
      <w:r w:rsidR="00FB406D">
        <w:t xml:space="preserve"> </w:t>
      </w:r>
      <w:r w:rsidR="00FB406D">
        <w:fldChar w:fldCharType="begin"/>
      </w:r>
      <w:r w:rsidR="00FB406D">
        <w:instrText xml:space="preserve"> ADDIN EN.CITE &lt;EndNote&gt;&lt;Cite&gt;&lt;Author&gt;Rindova&lt;/Author&gt;&lt;Year&gt;2011&lt;/Year&gt;&lt;RecNum&gt;1950&lt;/RecNum&gt;&lt;Prefix&gt;cf. &lt;/Prefix&gt;&lt;DisplayText&gt;(cf. Rindova, Dalpiaz, &amp;amp; Ravasi, 2011)&lt;/DisplayText&gt;&lt;record&gt;&lt;rec-number&gt;1950&lt;/rec-number&gt;&lt;foreign-keys&gt;&lt;key app="EN" db-id="pd2zewe9caaftre2ts5pzpwh9pvdwvrsss90" timestamp="1377962027"&gt;1950&lt;/key&gt;&lt;/foreign-keys&gt;&lt;ref-type name="Journal Article"&gt;17&lt;/ref-type&gt;&lt;contributors&gt;&lt;authors&gt;&lt;author&gt;Rindova, V.&lt;/author&gt;&lt;author&gt;Dalpiaz, E.&lt;/author&gt;&lt;author&gt;Ravasi, D.&lt;/author&gt;&lt;/authors&gt;&lt;/contributors&gt;&lt;titles&gt;&lt;title&gt;A Cultural Quest: A Study of Organizational Use of New Cultural Resources in Strategy Formation&lt;/title&gt;&lt;secondary-title&gt;Organization Science&lt;/secondary-title&gt;&lt;/titles&gt;&lt;periodical&gt;&lt;full-title&gt;Organization Science&lt;/full-title&gt;&lt;/periodical&gt;&lt;pages&gt;413-431&lt;/pages&gt;&lt;volume&gt;22&lt;/volume&gt;&lt;number&gt;2&lt;/number&gt;&lt;dates&gt;&lt;year&gt;2011&lt;/year&gt;&lt;pub-dates&gt;&lt;date&gt;Mar-Apr&lt;/date&gt;&lt;/pub-dates&gt;&lt;/dates&gt;&lt;isbn&gt;1047-7039&lt;/isbn&gt;&lt;accession-num&gt;WOS:000288648300007&lt;/accession-num&gt;&lt;urls&gt;&lt;related-urls&gt;&lt;url&gt;&amp;lt;Go to ISI&amp;gt;://WOS:000288648300007&lt;/url&gt;&lt;/related-urls&gt;&lt;/urls&gt;&lt;electronic-resource-num&gt;10.1287/orsc.1100.0537&lt;/electronic-resource-num&gt;&lt;/record&gt;&lt;/Cite&gt;&lt;/EndNote&gt;</w:instrText>
      </w:r>
      <w:r w:rsidR="00FB406D">
        <w:fldChar w:fldCharType="separate"/>
      </w:r>
      <w:r w:rsidR="00FB406D">
        <w:rPr>
          <w:noProof/>
        </w:rPr>
        <w:t>(cf. Rindova, Dalpiaz, &amp; Ravasi, 2011)</w:t>
      </w:r>
      <w:r w:rsidR="00FB406D">
        <w:fldChar w:fldCharType="end"/>
      </w:r>
      <w:r w:rsidR="00FC628F">
        <w:t xml:space="preserve"> </w:t>
      </w:r>
      <w:r w:rsidR="00FB406D">
        <w:t>to attract new partners and provide</w:t>
      </w:r>
      <w:r w:rsidR="00B65732">
        <w:t>d</w:t>
      </w:r>
      <w:r w:rsidR="00FB406D">
        <w:t xml:space="preserve"> principles for the </w:t>
      </w:r>
      <w:r w:rsidR="00D51227">
        <w:t>delivery</w:t>
      </w:r>
      <w:r w:rsidR="00FB406D">
        <w:t xml:space="preserve"> of innovation projects</w:t>
      </w:r>
      <w:r w:rsidR="002F1B97">
        <w:t xml:space="preserve"> (cooperation problem)</w:t>
      </w:r>
      <w:r w:rsidR="00FB406D">
        <w:t xml:space="preserve">.  </w:t>
      </w:r>
      <w:r w:rsidR="00265E6F">
        <w:t xml:space="preserve"> These narratives were accounts of how the innovation projects at the </w:t>
      </w:r>
      <w:proofErr w:type="spellStart"/>
      <w:r w:rsidR="000431DE">
        <w:t>MedTech</w:t>
      </w:r>
      <w:proofErr w:type="spellEnd"/>
      <w:r w:rsidR="000431DE">
        <w:t xml:space="preserve"> Centre</w:t>
      </w:r>
      <w:r w:rsidR="00265E6F">
        <w:t xml:space="preserve"> might deliver the agendas of different partners. </w:t>
      </w:r>
    </w:p>
    <w:p w14:paraId="212ECBD2" w14:textId="77777777" w:rsidR="00B6021A" w:rsidRDefault="00B6021A" w:rsidP="00B6021A"/>
    <w:p w14:paraId="65C651EA" w14:textId="73ED3B3B" w:rsidR="00455E36" w:rsidRDefault="00B6021A" w:rsidP="00B6021A">
      <w:r w:rsidRPr="00B6021A">
        <w:t xml:space="preserve">Our starting </w:t>
      </w:r>
      <w:r w:rsidR="00455E36" w:rsidRPr="00B6021A">
        <w:t>point</w:t>
      </w:r>
      <w:r w:rsidR="00455E36">
        <w:t xml:space="preserve"> for understanding the use of strategic innovation narratives</w:t>
      </w:r>
      <w:r w:rsidR="00455E36" w:rsidRPr="00B6021A">
        <w:t xml:space="preserve"> is</w:t>
      </w:r>
      <w:r w:rsidRPr="00B6021A">
        <w:t xml:space="preserve"> the ideas of </w:t>
      </w:r>
      <w:proofErr w:type="spellStart"/>
      <w:r w:rsidRPr="00B6021A">
        <w:t>Bartel</w:t>
      </w:r>
      <w:proofErr w:type="spellEnd"/>
      <w:r w:rsidRPr="00B6021A">
        <w:t xml:space="preserve"> and </w:t>
      </w:r>
      <w:proofErr w:type="spellStart"/>
      <w:r w:rsidRPr="00B6021A">
        <w:t>G</w:t>
      </w:r>
      <w:r w:rsidR="00455E36">
        <w:t>arud</w:t>
      </w:r>
      <w:proofErr w:type="spellEnd"/>
      <w:r w:rsidR="00455E36">
        <w:t xml:space="preserve">, who </w:t>
      </w:r>
      <w:r w:rsidRPr="00B6021A">
        <w:t>argue</w:t>
      </w:r>
      <w:r w:rsidR="00455E36">
        <w:t xml:space="preserve">d </w:t>
      </w:r>
      <w:r w:rsidR="00455E36">
        <w:fldChar w:fldCharType="begin"/>
      </w:r>
      <w:r w:rsidR="00455E36">
        <w:instrText xml:space="preserve"> ADDIN EN.CITE &lt;EndNote&gt;&lt;Cite ExcludeAuth="1"&gt;&lt;Author&gt;Bartel&lt;/Author&gt;&lt;Year&gt;2009&lt;/Year&gt;&lt;RecNum&gt;2075&lt;/RecNum&gt;&lt;DisplayText&gt;(2009)&lt;/DisplayText&gt;&lt;record&gt;&lt;rec-number&gt;2075&lt;/rec-number&gt;&lt;foreign-keys&gt;&lt;key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455E36">
        <w:fldChar w:fldCharType="separate"/>
      </w:r>
      <w:r w:rsidR="00455E36">
        <w:rPr>
          <w:noProof/>
        </w:rPr>
        <w:t>(2009)</w:t>
      </w:r>
      <w:r w:rsidR="00455E36">
        <w:fldChar w:fldCharType="end"/>
      </w:r>
      <w:r w:rsidRPr="00B6021A">
        <w:t xml:space="preserve"> that innovation processes and structures may be insufficient of themselves, and that innovation narrative provide guides (a cultural mechanism) that allow </w:t>
      </w:r>
      <w:r w:rsidR="007229ED">
        <w:t>process/structures</w:t>
      </w:r>
      <w:r w:rsidRPr="00B6021A">
        <w:t xml:space="preserve"> to work more effectively.</w:t>
      </w:r>
      <w:r w:rsidR="00455E36">
        <w:t xml:space="preserve">  </w:t>
      </w:r>
      <w:r w:rsidRPr="00B6021A">
        <w:t>Empirically we observe</w:t>
      </w:r>
      <w:r w:rsidR="00455E36">
        <w:t xml:space="preserve">d, </w:t>
      </w:r>
      <w:r w:rsidR="00455E36" w:rsidRPr="00B6021A">
        <w:t xml:space="preserve">at the level of individual projects within the </w:t>
      </w:r>
      <w:proofErr w:type="spellStart"/>
      <w:r w:rsidR="00455E36" w:rsidRPr="00B6021A">
        <w:t>MedTech</w:t>
      </w:r>
      <w:proofErr w:type="spellEnd"/>
      <w:r w:rsidR="00455E36" w:rsidRPr="00B6021A">
        <w:t xml:space="preserve"> Centre portfolio</w:t>
      </w:r>
      <w:r w:rsidR="00455E36">
        <w:t>,</w:t>
      </w:r>
      <w:r w:rsidRPr="00B6021A">
        <w:t xml:space="preserve"> the </w:t>
      </w:r>
      <w:r w:rsidR="00455E36">
        <w:t xml:space="preserve">same </w:t>
      </w:r>
      <w:r w:rsidRPr="00B6021A">
        <w:t>categories of innovation narrative</w:t>
      </w:r>
      <w:r w:rsidR="00455E36">
        <w:t xml:space="preserve"> </w:t>
      </w:r>
      <w:r w:rsidRPr="00B6021A">
        <w:t xml:space="preserve">(novelty, commercialisation and sustaining) </w:t>
      </w:r>
      <w:r w:rsidR="00455E36">
        <w:t xml:space="preserve">advanced by </w:t>
      </w:r>
      <w:proofErr w:type="spellStart"/>
      <w:r w:rsidR="007229ED">
        <w:t>Bartel</w:t>
      </w:r>
      <w:proofErr w:type="spellEnd"/>
      <w:r w:rsidR="007229ED">
        <w:t xml:space="preserve"> and </w:t>
      </w:r>
      <w:proofErr w:type="spellStart"/>
      <w:r w:rsidR="007229ED">
        <w:t>Garud</w:t>
      </w:r>
      <w:proofErr w:type="spellEnd"/>
      <w:r w:rsidR="007229ED">
        <w:t xml:space="preserve"> (2009)</w:t>
      </w:r>
      <w:r w:rsidRPr="00B6021A">
        <w:t>.</w:t>
      </w:r>
      <w:r w:rsidR="00455E36">
        <w:t xml:space="preserve">  </w:t>
      </w:r>
      <w:r w:rsidRPr="00B6021A">
        <w:t>The</w:t>
      </w:r>
      <w:r w:rsidR="00455E36">
        <w:t>se</w:t>
      </w:r>
      <w:r w:rsidRPr="00B6021A">
        <w:t xml:space="preserve"> </w:t>
      </w:r>
      <w:r w:rsidRPr="00B6021A">
        <w:lastRenderedPageBreak/>
        <w:t>mechanisms</w:t>
      </w:r>
      <w:r w:rsidR="00455E36">
        <w:t xml:space="preserve"> (ibid, p.110)</w:t>
      </w:r>
      <w:r w:rsidRPr="00B6021A">
        <w:t xml:space="preserve"> are advanced in relation to innovation within organisations, but it is reasonable to suppose that the same mechanisms are germane to more open forms of innovation that transcend organisational boundaries.</w:t>
      </w:r>
      <w:r w:rsidR="00455E36">
        <w:t xml:space="preserve">  However a</w:t>
      </w:r>
      <w:r w:rsidRPr="00B6021A">
        <w:t>s well as narratives at the level of individual projects, we observe</w:t>
      </w:r>
      <w:r w:rsidR="00455E36">
        <w:t>d</w:t>
      </w:r>
      <w:r w:rsidRPr="00B6021A">
        <w:t xml:space="preserve"> narratives at the level of the Centre itself where they serve strategic level aims of opportunity identification, alignment of </w:t>
      </w:r>
      <w:r w:rsidR="007229ED">
        <w:t xml:space="preserve">agendas and </w:t>
      </w:r>
      <w:r w:rsidRPr="00B6021A">
        <w:t>capabilities, differentiation of offering, and leadership of the whole enterprise.</w:t>
      </w:r>
    </w:p>
    <w:p w14:paraId="5D6BC81E" w14:textId="77777777" w:rsidR="00455E36" w:rsidRDefault="00455E36" w:rsidP="00B6021A"/>
    <w:p w14:paraId="39495BED" w14:textId="6F062B5C" w:rsidR="00B6021A" w:rsidRPr="00B6021A" w:rsidRDefault="00455E36" w:rsidP="00B6021A">
      <w:r>
        <w:t>The</w:t>
      </w:r>
      <w:r w:rsidR="00B6021A" w:rsidRPr="00B6021A">
        <w:t xml:space="preserve"> </w:t>
      </w:r>
      <w:proofErr w:type="spellStart"/>
      <w:r w:rsidR="00B6021A" w:rsidRPr="00B6021A">
        <w:t>MedTech</w:t>
      </w:r>
      <w:proofErr w:type="spellEnd"/>
      <w:r w:rsidR="00B6021A" w:rsidRPr="00B6021A">
        <w:t xml:space="preserve"> Centre inherently requires a more open form of </w:t>
      </w:r>
      <w:r w:rsidRPr="00B6021A">
        <w:t>innovation,</w:t>
      </w:r>
      <w:r w:rsidR="00B6021A" w:rsidRPr="00B6021A">
        <w:t xml:space="preserve"> as it will nev</w:t>
      </w:r>
      <w:r>
        <w:t>er have of itself, the capabilities or</w:t>
      </w:r>
      <w:r w:rsidR="00B6021A" w:rsidRPr="00B6021A">
        <w:t xml:space="preserve"> resources to do innovation.</w:t>
      </w:r>
      <w:r>
        <w:t xml:space="preserve">  </w:t>
      </w:r>
      <w:r w:rsidR="00B6021A" w:rsidRPr="00B6021A">
        <w:t>It is</w:t>
      </w:r>
      <w:r>
        <w:t xml:space="preserve"> reasonable to expect that this </w:t>
      </w:r>
      <w:proofErr w:type="spellStart"/>
      <w:r w:rsidRPr="00455E36">
        <w:rPr>
          <w:i/>
        </w:rPr>
        <w:t>o</w:t>
      </w:r>
      <w:r w:rsidR="00B6021A" w:rsidRPr="00455E36">
        <w:rPr>
          <w:i/>
        </w:rPr>
        <w:t>peness</w:t>
      </w:r>
      <w:proofErr w:type="spellEnd"/>
      <w:r w:rsidR="00B6021A" w:rsidRPr="00B6021A">
        <w:t xml:space="preserve"> brings with it additional challenges of coordination</w:t>
      </w:r>
      <w:r w:rsidR="007229ED">
        <w:t xml:space="preserve"> and cooperation</w:t>
      </w:r>
      <w:r w:rsidR="00B6021A" w:rsidRPr="00B6021A">
        <w:t>.</w:t>
      </w:r>
      <w:r>
        <w:t xml:space="preserve">  </w:t>
      </w:r>
      <w:r w:rsidR="00B6021A" w:rsidRPr="00B6021A">
        <w:t xml:space="preserve">That challenge is a consequence of there being very different </w:t>
      </w:r>
      <w:r>
        <w:t xml:space="preserve">stakeholder </w:t>
      </w:r>
      <w:r w:rsidR="00B6021A" w:rsidRPr="00B6021A">
        <w:t>organisa</w:t>
      </w:r>
      <w:r>
        <w:t>tions (evident in their different</w:t>
      </w:r>
      <w:r w:rsidR="00B6021A" w:rsidRPr="00B6021A">
        <w:t xml:space="preserve"> goals, values, </w:t>
      </w:r>
      <w:r>
        <w:t xml:space="preserve">and </w:t>
      </w:r>
      <w:r w:rsidR="00B6021A" w:rsidRPr="00B6021A">
        <w:t>norms) with dif</w:t>
      </w:r>
      <w:r>
        <w:t>ferent institutional logics.  Co</w:t>
      </w:r>
      <w:r w:rsidR="00B6021A" w:rsidRPr="00B6021A">
        <w:t>ordination in such circumstances defies easy prescription.</w:t>
      </w:r>
    </w:p>
    <w:p w14:paraId="4E58752E" w14:textId="77777777" w:rsidR="00B6021A" w:rsidRPr="00B6021A" w:rsidRDefault="00B6021A" w:rsidP="00B6021A"/>
    <w:p w14:paraId="6C4F8EA4" w14:textId="6D557558" w:rsidR="00B6021A" w:rsidRPr="00B6021A" w:rsidRDefault="00B6021A" w:rsidP="00B6021A">
      <w:r w:rsidRPr="00B6021A">
        <w:t xml:space="preserve">We </w:t>
      </w:r>
      <w:r w:rsidR="000360D0">
        <w:t>posit</w:t>
      </w:r>
      <w:r w:rsidRPr="00B6021A">
        <w:t xml:space="preserve"> that strategic innovation narratives provide a cultural mechanism that allows such open innovation to be: (1) </w:t>
      </w:r>
      <w:r w:rsidR="00455E36" w:rsidRPr="00FE205D">
        <w:rPr>
          <w:i/>
        </w:rPr>
        <w:t>initiated</w:t>
      </w:r>
      <w:r w:rsidR="00455E36">
        <w:t xml:space="preserve"> (i.e.</w:t>
      </w:r>
      <w:r w:rsidR="00455E36" w:rsidRPr="00455E36">
        <w:t xml:space="preserve"> </w:t>
      </w:r>
      <w:r w:rsidR="00455E36">
        <w:t>efforts</w:t>
      </w:r>
      <w:r w:rsidR="00455E36" w:rsidRPr="00B6021A">
        <w:t xml:space="preserve"> to attract the attention of potential </w:t>
      </w:r>
      <w:r w:rsidR="00462A6D">
        <w:t>innovation partners</w:t>
      </w:r>
      <w:r w:rsidR="00FE205D">
        <w:t xml:space="preserve">); (2) </w:t>
      </w:r>
      <w:r w:rsidR="00455E36" w:rsidRPr="00FE205D">
        <w:rPr>
          <w:i/>
        </w:rPr>
        <w:t>rationalised</w:t>
      </w:r>
      <w:r w:rsidR="00455E36">
        <w:t xml:space="preserve"> (i.e. </w:t>
      </w:r>
      <w:r w:rsidR="00455E36" w:rsidRPr="00B6021A">
        <w:t>aligning agendas of different organisations</w:t>
      </w:r>
      <w:r w:rsidR="00455E36">
        <w:t>)</w:t>
      </w:r>
      <w:r w:rsidRPr="00B6021A">
        <w:t>;</w:t>
      </w:r>
      <w:r w:rsidR="00455E36">
        <w:t xml:space="preserve"> </w:t>
      </w:r>
      <w:r w:rsidRPr="00B6021A">
        <w:t xml:space="preserve">(3) </w:t>
      </w:r>
      <w:r w:rsidR="00455E36" w:rsidRPr="00FE205D">
        <w:rPr>
          <w:i/>
        </w:rPr>
        <w:t>operationalized</w:t>
      </w:r>
      <w:r w:rsidR="00455E36">
        <w:t xml:space="preserve"> (i.e. </w:t>
      </w:r>
      <w:r w:rsidR="00455E36" w:rsidRPr="00B6021A">
        <w:t>guiding identification and creation of necessary innovation structures and processes at the level of individual projects</w:t>
      </w:r>
      <w:r w:rsidR="00455E36">
        <w:t>)</w:t>
      </w:r>
      <w:r w:rsidRPr="00B6021A">
        <w:t xml:space="preserve">; and (4) </w:t>
      </w:r>
      <w:r w:rsidRPr="00462A6D">
        <w:rPr>
          <w:i/>
        </w:rPr>
        <w:t>sustained</w:t>
      </w:r>
      <w:r w:rsidR="00455E36">
        <w:t xml:space="preserve"> (i.e. continue the</w:t>
      </w:r>
      <w:r w:rsidR="00455E36" w:rsidRPr="00B6021A">
        <w:t xml:space="preserve"> strategic collaboration even as the agendas of individual stakeholders are changing</w:t>
      </w:r>
      <w:r w:rsidR="00455E36">
        <w:t>).</w:t>
      </w:r>
      <w:r w:rsidR="00462A6D">
        <w:t xml:space="preserve">  O</w:t>
      </w:r>
      <w:r w:rsidRPr="00B6021A">
        <w:t>rganisational structures and processes (e.g. Events, meetings websites</w:t>
      </w:r>
      <w:r w:rsidR="000360D0">
        <w:t>, proof of concept projects</w:t>
      </w:r>
      <w:r w:rsidRPr="00B6021A">
        <w:t>) m</w:t>
      </w:r>
      <w:r w:rsidR="00462A6D">
        <w:t>ay be the tangible vehicles of engagements with innovation partners</w:t>
      </w:r>
      <w:r w:rsidRPr="00B6021A">
        <w:t>, and yet</w:t>
      </w:r>
      <w:r w:rsidR="00462A6D" w:rsidRPr="00462A6D">
        <w:t xml:space="preserve"> </w:t>
      </w:r>
      <w:r w:rsidR="00462A6D" w:rsidRPr="00B6021A">
        <w:t xml:space="preserve">strategic innovation narratives act to increase the effectiveness </w:t>
      </w:r>
      <w:r w:rsidR="007229ED">
        <w:t>of such elements of innovation management</w:t>
      </w:r>
      <w:r w:rsidRPr="00B6021A">
        <w:t xml:space="preserve"> </w:t>
      </w:r>
      <w:r w:rsidR="00462A6D">
        <w:fldChar w:fldCharType="begin"/>
      </w:r>
      <w:r w:rsidR="00462A6D">
        <w:instrText xml:space="preserve"> ADDIN EN.CITE &lt;EndNote&gt;&lt;Cite&gt;&lt;Author&gt;Bartel&lt;/Author&gt;&lt;Year&gt;2009&lt;/Year&gt;&lt;RecNum&gt;2075&lt;/RecNum&gt;&lt;Prefix&gt;cf. &lt;/Prefix&gt;&lt;DisplayText&gt;(cf. Bartel &amp;amp; Garud, 2009)&lt;/DisplayText&gt;&lt;record&gt;&lt;rec-number&gt;2075&lt;/rec-number&gt;&lt;foreign-keys&gt;&lt;key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462A6D">
        <w:fldChar w:fldCharType="separate"/>
      </w:r>
      <w:r w:rsidR="00462A6D">
        <w:rPr>
          <w:noProof/>
        </w:rPr>
        <w:t>(cf. Bartel &amp; Garud, 2009)</w:t>
      </w:r>
      <w:r w:rsidR="00462A6D">
        <w:fldChar w:fldCharType="end"/>
      </w:r>
      <w:r w:rsidRPr="00B6021A">
        <w:t>.</w:t>
      </w:r>
    </w:p>
    <w:p w14:paraId="43201074" w14:textId="77777777" w:rsidR="00B6021A" w:rsidRPr="00B6021A" w:rsidRDefault="00B6021A" w:rsidP="00B6021A"/>
    <w:p w14:paraId="74CD30DA" w14:textId="6AA34868" w:rsidR="00B6021A" w:rsidRDefault="001F1639" w:rsidP="00B6021A">
      <w:proofErr w:type="spellStart"/>
      <w:r>
        <w:t>Bartel</w:t>
      </w:r>
      <w:proofErr w:type="spellEnd"/>
      <w:r>
        <w:t xml:space="preserve"> and </w:t>
      </w:r>
      <w:proofErr w:type="spellStart"/>
      <w:r>
        <w:t>Garud</w:t>
      </w:r>
      <w:proofErr w:type="spellEnd"/>
      <w:r>
        <w:t xml:space="preserve"> </w:t>
      </w:r>
      <w:proofErr w:type="gramStart"/>
      <w:r w:rsidR="007229ED">
        <w:t>note</w:t>
      </w:r>
      <w:r>
        <w:t xml:space="preserve"> </w:t>
      </w:r>
      <w:r w:rsidR="007229ED">
        <w:t>that</w:t>
      </w:r>
      <w:proofErr w:type="gramEnd"/>
      <w:r w:rsidR="007229ED">
        <w:t xml:space="preserve"> </w:t>
      </w:r>
      <w:r w:rsidR="00B6021A" w:rsidRPr="00B6021A">
        <w:t>"</w:t>
      </w:r>
      <w:r w:rsidR="007229ED">
        <w:rPr>
          <w:lang w:val="en-US"/>
        </w:rPr>
        <w:t>p</w:t>
      </w:r>
      <w:r w:rsidR="00B6021A" w:rsidRPr="00B6021A">
        <w:rPr>
          <w:lang w:val="en-US"/>
        </w:rPr>
        <w:t>lots are conventional themes with which people in a given social context can readily identify, enabling them to see actions, events, and circumstances as related parts of a larger whole</w:t>
      </w:r>
      <w:r w:rsidR="00B6021A" w:rsidRPr="00B6021A">
        <w:t>" (</w:t>
      </w:r>
      <w:r>
        <w:t>2009, p.</w:t>
      </w:r>
      <w:r w:rsidR="00B6021A" w:rsidRPr="00B6021A">
        <w:t>111).</w:t>
      </w:r>
      <w:r>
        <w:t xml:space="preserve">  </w:t>
      </w:r>
      <w:r w:rsidRPr="00B6021A">
        <w:t>In this paper we have examined (empirically) the changes in the way themes</w:t>
      </w:r>
      <w:r>
        <w:t xml:space="preserve"> (plots)</w:t>
      </w:r>
      <w:r w:rsidRPr="00B6021A">
        <w:t xml:space="preserve"> are used and change</w:t>
      </w:r>
      <w:r>
        <w:t xml:space="preserve"> </w:t>
      </w:r>
      <w:r>
        <w:lastRenderedPageBreak/>
        <w:t xml:space="preserve">within strategic innovation narratives.  </w:t>
      </w:r>
      <w:r w:rsidR="007229ED">
        <w:t>Our aim is</w:t>
      </w:r>
      <w:r w:rsidR="00B6021A" w:rsidRPr="00B6021A">
        <w:t xml:space="preserve"> to understand </w:t>
      </w:r>
      <w:r>
        <w:t>how the challenges of coordination and cooperation are managed</w:t>
      </w:r>
      <w:r w:rsidR="00B6021A" w:rsidRPr="00B6021A">
        <w:t xml:space="preserve"> by examining the types of plots used by the Centre</w:t>
      </w:r>
      <w:r w:rsidR="007229ED">
        <w:t>,</w:t>
      </w:r>
      <w:r w:rsidR="00B6021A" w:rsidRPr="00B6021A">
        <w:t xml:space="preserve"> and the way in which their use changes over time.</w:t>
      </w:r>
      <w:r w:rsidR="000A13CC">
        <w:t xml:space="preserve">  In the Research F</w:t>
      </w:r>
      <w:r>
        <w:t xml:space="preserve">indings section we reported </w:t>
      </w:r>
      <w:r w:rsidR="00B6021A" w:rsidRPr="00B6021A">
        <w:t xml:space="preserve">9 plots and </w:t>
      </w:r>
      <w:r>
        <w:t xml:space="preserve">posited </w:t>
      </w:r>
      <w:r w:rsidR="00B6021A" w:rsidRPr="00B6021A">
        <w:t xml:space="preserve">5 change mechanisms.  </w:t>
      </w:r>
      <w:r>
        <w:t>We suggest that</w:t>
      </w:r>
      <w:r w:rsidR="000A13CC">
        <w:t xml:space="preserve"> an Innovation Centre predicated on</w:t>
      </w:r>
      <w:r>
        <w:t xml:space="preserve"> </w:t>
      </w:r>
      <w:proofErr w:type="spellStart"/>
      <w:r w:rsidRPr="001F1639">
        <w:rPr>
          <w:i/>
        </w:rPr>
        <w:t>o</w:t>
      </w:r>
      <w:r w:rsidR="00B6021A" w:rsidRPr="001F1639">
        <w:rPr>
          <w:i/>
        </w:rPr>
        <w:t>peness</w:t>
      </w:r>
      <w:proofErr w:type="spellEnd"/>
      <w:r w:rsidR="00B6021A" w:rsidRPr="00B6021A">
        <w:t xml:space="preserve"> requires such dynamics because the different </w:t>
      </w:r>
      <w:r w:rsidR="000A13CC">
        <w:t xml:space="preserve">partner </w:t>
      </w:r>
      <w:r w:rsidR="00B6021A" w:rsidRPr="00B6021A">
        <w:t xml:space="preserve">organisations make any </w:t>
      </w:r>
      <w:r w:rsidR="00122C31">
        <w:t>alignment</w:t>
      </w:r>
      <w:r w:rsidR="00B6021A" w:rsidRPr="00B6021A">
        <w:t xml:space="preserve"> of agendas fragile and prone to disruption.  Coordination of </w:t>
      </w:r>
      <w:proofErr w:type="spellStart"/>
      <w:r w:rsidR="00B6021A" w:rsidRPr="00122C31">
        <w:rPr>
          <w:i/>
        </w:rPr>
        <w:t>openess</w:t>
      </w:r>
      <w:proofErr w:type="spellEnd"/>
      <w:r w:rsidR="00B6021A" w:rsidRPr="00B6021A">
        <w:t xml:space="preserve"> thus becomes an on-going challenge that of its nature is never fully resolved.</w:t>
      </w:r>
      <w:r w:rsidR="00122C31">
        <w:t xml:space="preserve">  We </w:t>
      </w:r>
      <w:r w:rsidR="000A13CC">
        <w:t>suggest</w:t>
      </w:r>
      <w:r w:rsidR="00122C31">
        <w:t xml:space="preserve"> that </w:t>
      </w:r>
      <w:r w:rsidR="000A13CC">
        <w:t xml:space="preserve">whole </w:t>
      </w:r>
      <w:r w:rsidR="00B6021A" w:rsidRPr="00B6021A">
        <w:t xml:space="preserve">strategic </w:t>
      </w:r>
      <w:r w:rsidR="00122C31">
        <w:t xml:space="preserve">innovation </w:t>
      </w:r>
      <w:r w:rsidR="00B6021A" w:rsidRPr="00B6021A">
        <w:t>narratives themselves are unlikely to change to any major degree in the timescales of the project.  We expect that such a degree of change would send confusing signals to stakeholders and be disru</w:t>
      </w:r>
      <w:r w:rsidR="00122C31">
        <w:t>ptive to internal operations.  T</w:t>
      </w:r>
      <w:r w:rsidR="00B6021A" w:rsidRPr="00B6021A">
        <w:t xml:space="preserve">herefore changes occur at the level of plots, </w:t>
      </w:r>
      <w:r w:rsidR="00122C31">
        <w:t xml:space="preserve">as this enables a </w:t>
      </w:r>
      <w:r w:rsidR="006123D7">
        <w:t>more</w:t>
      </w:r>
      <w:r w:rsidR="00B6021A" w:rsidRPr="00B6021A">
        <w:t xml:space="preserve"> subtle and nuanced</w:t>
      </w:r>
      <w:r w:rsidR="006123D7">
        <w:t xml:space="preserve"> interpretation of the whole narrative</w:t>
      </w:r>
    </w:p>
    <w:p w14:paraId="1C27D15A" w14:textId="77777777" w:rsidR="006E67B7" w:rsidRDefault="006E67B7" w:rsidP="00B6021A"/>
    <w:p w14:paraId="3E9738AC" w14:textId="4C3D7CA2" w:rsidR="006E67B7" w:rsidRDefault="00CB4CE6" w:rsidP="00B6021A">
      <w:r>
        <w:t xml:space="preserve">The principle contribution of this paper is to suggest that financial </w:t>
      </w:r>
      <w:proofErr w:type="gramStart"/>
      <w:r>
        <w:t>capital</w:t>
      </w:r>
      <w:r w:rsidR="006123D7">
        <w:t>,</w:t>
      </w:r>
      <w:proofErr w:type="gramEnd"/>
      <w:r w:rsidR="006123D7">
        <w:t xml:space="preserve"> </w:t>
      </w:r>
      <w:r w:rsidR="002F1B97">
        <w:t>advanced scientific knowledge</w:t>
      </w:r>
      <w:r w:rsidR="006123D7">
        <w:t>, organisation structures and processes</w:t>
      </w:r>
      <w:r w:rsidR="00B83CA8">
        <w:t xml:space="preserve"> </w:t>
      </w:r>
      <w:r>
        <w:t xml:space="preserve">may be insufficient </w:t>
      </w:r>
      <w:r w:rsidR="00B83CA8">
        <w:t>ingredients</w:t>
      </w:r>
      <w:r w:rsidR="002F1B97">
        <w:t xml:space="preserve"> of </w:t>
      </w:r>
      <w:r w:rsidR="00773251">
        <w:t xml:space="preserve">an </w:t>
      </w:r>
      <w:r w:rsidR="002F1B97">
        <w:t>organisational capability for</w:t>
      </w:r>
      <w:r w:rsidR="00877A34">
        <w:t xml:space="preserve"> innovation </w:t>
      </w:r>
      <w:r w:rsidR="00773251">
        <w:t xml:space="preserve">in open </w:t>
      </w:r>
      <w:r w:rsidR="00877A34">
        <w:t xml:space="preserve">environments.  </w:t>
      </w:r>
      <w:r w:rsidR="00EA499F">
        <w:t>In addition, c</w:t>
      </w:r>
      <w:r w:rsidR="006123D7">
        <w:t>ultural resources</w:t>
      </w:r>
      <w:r w:rsidR="00877A34">
        <w:t xml:space="preserve"> co</w:t>
      </w:r>
      <w:r w:rsidR="006123D7">
        <w:t xml:space="preserve">mprising narratives of </w:t>
      </w:r>
      <w:proofErr w:type="gramStart"/>
      <w:r w:rsidR="006123D7" w:rsidRPr="004333E7">
        <w:rPr>
          <w:i/>
        </w:rPr>
        <w:t>openness</w:t>
      </w:r>
      <w:r w:rsidR="00EA499F">
        <w:t>,</w:t>
      </w:r>
      <w:proofErr w:type="gramEnd"/>
      <w:r w:rsidR="00877A34">
        <w:t xml:space="preserve"> may be used </w:t>
      </w:r>
      <w:r w:rsidR="00473CC3">
        <w:t xml:space="preserve">by </w:t>
      </w:r>
      <w:r w:rsidR="004C5177">
        <w:t>skilful</w:t>
      </w:r>
      <w:r w:rsidR="00473CC3">
        <w:t xml:space="preserve"> innovation management professionals</w:t>
      </w:r>
      <w:r w:rsidR="00773251">
        <w:t xml:space="preserve"> both</w:t>
      </w:r>
      <w:r w:rsidR="00473CC3">
        <w:t xml:space="preserve"> </w:t>
      </w:r>
      <w:r w:rsidR="00877A34">
        <w:t>to engender cooperation between partners, and to guide the subs</w:t>
      </w:r>
      <w:bookmarkStart w:id="6" w:name="_GoBack"/>
      <w:bookmarkEnd w:id="6"/>
      <w:r w:rsidR="00877A34">
        <w:t xml:space="preserve">equent coordination of </w:t>
      </w:r>
      <w:r w:rsidR="006A58FA">
        <w:t>interdependent action</w:t>
      </w:r>
      <w:r w:rsidR="00877A34">
        <w:t>.</w:t>
      </w:r>
    </w:p>
    <w:p w14:paraId="3FA091A4" w14:textId="77777777" w:rsidR="00E93081" w:rsidRPr="00E93081" w:rsidRDefault="00E93081" w:rsidP="00777374">
      <w:pPr>
        <w:rPr>
          <w:b/>
        </w:rPr>
      </w:pPr>
    </w:p>
    <w:p w14:paraId="40D8F268" w14:textId="5DD84D41" w:rsidR="00E93081" w:rsidRDefault="00E93081" w:rsidP="00777374">
      <w:pPr>
        <w:spacing w:before="0"/>
        <w:rPr>
          <w:b/>
        </w:rPr>
      </w:pPr>
      <w:r>
        <w:rPr>
          <w:b/>
        </w:rPr>
        <w:br w:type="page"/>
      </w:r>
    </w:p>
    <w:p w14:paraId="4E18AFC6" w14:textId="77777777" w:rsidR="00E93081" w:rsidRDefault="00E93081" w:rsidP="00777374">
      <w:pPr>
        <w:rPr>
          <w:b/>
        </w:rPr>
      </w:pPr>
    </w:p>
    <w:p w14:paraId="6FB6C434" w14:textId="38960A10" w:rsidR="00E93A97" w:rsidRPr="00E93A97" w:rsidRDefault="00E93A97" w:rsidP="00777374">
      <w:pPr>
        <w:rPr>
          <w:b/>
        </w:rPr>
      </w:pPr>
      <w:r w:rsidRPr="00E93A97">
        <w:rPr>
          <w:b/>
        </w:rPr>
        <w:t>References</w:t>
      </w:r>
    </w:p>
    <w:p w14:paraId="5191FF18" w14:textId="77777777" w:rsidR="00E93A97" w:rsidRDefault="00E93A97" w:rsidP="00777374"/>
    <w:p w14:paraId="76A8FC3E" w14:textId="77777777" w:rsidR="0069324B" w:rsidRPr="0069324B" w:rsidRDefault="00E93A97" w:rsidP="0069324B">
      <w:pPr>
        <w:pStyle w:val="EndNoteBibliography"/>
        <w:ind w:left="720" w:hanging="720"/>
        <w:rPr>
          <w:noProof/>
        </w:rPr>
      </w:pPr>
      <w:r>
        <w:fldChar w:fldCharType="begin"/>
      </w:r>
      <w:r>
        <w:instrText xml:space="preserve"> ADDIN EN.REFLIST </w:instrText>
      </w:r>
      <w:r>
        <w:fldChar w:fldCharType="separate"/>
      </w:r>
      <w:r w:rsidR="0069324B" w:rsidRPr="0069324B">
        <w:rPr>
          <w:noProof/>
        </w:rPr>
        <w:t xml:space="preserve">Afuah, A., &amp; Tucci, C. L. (2012). Crowdsourcing as a solution to distant search. </w:t>
      </w:r>
      <w:r w:rsidR="0069324B" w:rsidRPr="0069324B">
        <w:rPr>
          <w:i/>
          <w:noProof/>
        </w:rPr>
        <w:t>Academy of Management Review, 37</w:t>
      </w:r>
      <w:r w:rsidR="0069324B" w:rsidRPr="0069324B">
        <w:rPr>
          <w:noProof/>
        </w:rPr>
        <w:t xml:space="preserve">(3), 355-375. </w:t>
      </w:r>
    </w:p>
    <w:p w14:paraId="3C1B966A" w14:textId="77777777" w:rsidR="0069324B" w:rsidRPr="0069324B" w:rsidRDefault="0069324B" w:rsidP="0069324B">
      <w:pPr>
        <w:pStyle w:val="EndNoteBibliography"/>
        <w:ind w:left="720" w:hanging="720"/>
        <w:rPr>
          <w:noProof/>
        </w:rPr>
      </w:pPr>
      <w:r w:rsidRPr="0069324B">
        <w:rPr>
          <w:noProof/>
        </w:rPr>
        <w:t xml:space="preserve">Alexy, O., George, G., &amp; Salter, A.J. (2013). Cui bono? The selective revealing of knowledge and its implications for innovative activity. </w:t>
      </w:r>
      <w:r w:rsidRPr="0069324B">
        <w:rPr>
          <w:i/>
          <w:noProof/>
        </w:rPr>
        <w:t>Academy of Management Review, 38</w:t>
      </w:r>
      <w:r w:rsidRPr="0069324B">
        <w:rPr>
          <w:noProof/>
        </w:rPr>
        <w:t xml:space="preserve">(2), 270-291. </w:t>
      </w:r>
    </w:p>
    <w:p w14:paraId="33D8E2FC" w14:textId="77777777" w:rsidR="0069324B" w:rsidRPr="0069324B" w:rsidRDefault="0069324B" w:rsidP="0069324B">
      <w:pPr>
        <w:pStyle w:val="EndNoteBibliography"/>
        <w:ind w:left="720" w:hanging="720"/>
        <w:rPr>
          <w:noProof/>
        </w:rPr>
      </w:pPr>
      <w:r w:rsidRPr="0069324B">
        <w:rPr>
          <w:noProof/>
        </w:rPr>
        <w:t xml:space="preserve">Almirall, E., &amp; Casadesus-Masanell, R. (2010). Open vesus closed innovation: A model of discovery and divergence. </w:t>
      </w:r>
      <w:r w:rsidRPr="0069324B">
        <w:rPr>
          <w:i/>
          <w:noProof/>
        </w:rPr>
        <w:t>Academy of Management Review, 35</w:t>
      </w:r>
      <w:r w:rsidRPr="0069324B">
        <w:rPr>
          <w:noProof/>
        </w:rPr>
        <w:t xml:space="preserve">(1), 27-47. </w:t>
      </w:r>
    </w:p>
    <w:p w14:paraId="59B9800A" w14:textId="77777777" w:rsidR="0069324B" w:rsidRPr="0069324B" w:rsidRDefault="0069324B" w:rsidP="0069324B">
      <w:pPr>
        <w:pStyle w:val="EndNoteBibliography"/>
        <w:ind w:left="720" w:hanging="720"/>
        <w:rPr>
          <w:noProof/>
        </w:rPr>
      </w:pPr>
      <w:r w:rsidRPr="0069324B">
        <w:rPr>
          <w:noProof/>
        </w:rPr>
        <w:t xml:space="preserve">Baldwin, C.Y., &amp; Clark, K.B. (2006). The architecture of participation: Does code architecture mitigate free riding in the open source development model? </w:t>
      </w:r>
      <w:r w:rsidRPr="0069324B">
        <w:rPr>
          <w:i/>
          <w:noProof/>
        </w:rPr>
        <w:t>Management Science, 52</w:t>
      </w:r>
      <w:r w:rsidRPr="0069324B">
        <w:rPr>
          <w:noProof/>
        </w:rPr>
        <w:t xml:space="preserve">, 1116-1127. </w:t>
      </w:r>
    </w:p>
    <w:p w14:paraId="380113E9" w14:textId="77777777" w:rsidR="0069324B" w:rsidRPr="0069324B" w:rsidRDefault="0069324B" w:rsidP="0069324B">
      <w:pPr>
        <w:pStyle w:val="EndNoteBibliography"/>
        <w:ind w:left="720" w:hanging="720"/>
        <w:rPr>
          <w:noProof/>
        </w:rPr>
      </w:pPr>
      <w:r w:rsidRPr="0069324B">
        <w:rPr>
          <w:noProof/>
        </w:rPr>
        <w:t xml:space="preserve">Bartel, C.A., &amp; Garud, R. (2009). The role of narratives in sustaining organizational innovation. </w:t>
      </w:r>
      <w:r w:rsidRPr="0069324B">
        <w:rPr>
          <w:i/>
          <w:noProof/>
        </w:rPr>
        <w:t>Organization Science, 20</w:t>
      </w:r>
      <w:r w:rsidRPr="0069324B">
        <w:rPr>
          <w:noProof/>
        </w:rPr>
        <w:t xml:space="preserve">(1), 107-117. </w:t>
      </w:r>
    </w:p>
    <w:p w14:paraId="02B88E00" w14:textId="77777777" w:rsidR="0069324B" w:rsidRPr="0069324B" w:rsidRDefault="0069324B" w:rsidP="0069324B">
      <w:pPr>
        <w:pStyle w:val="EndNoteBibliography"/>
        <w:ind w:left="720" w:hanging="720"/>
        <w:rPr>
          <w:noProof/>
        </w:rPr>
      </w:pPr>
      <w:r w:rsidRPr="0069324B">
        <w:rPr>
          <w:noProof/>
        </w:rPr>
        <w:t xml:space="preserve">Bloodgood, J. (2013). Crowdsourcing: Useful for problem solving, but what about value capture? </w:t>
      </w:r>
      <w:r w:rsidRPr="0069324B">
        <w:rPr>
          <w:i/>
          <w:noProof/>
        </w:rPr>
        <w:t>Academy of Management Review, 38</w:t>
      </w:r>
      <w:r w:rsidRPr="0069324B">
        <w:rPr>
          <w:noProof/>
        </w:rPr>
        <w:t xml:space="preserve">(3), 455-457. </w:t>
      </w:r>
    </w:p>
    <w:p w14:paraId="5C9E7265" w14:textId="77777777" w:rsidR="0069324B" w:rsidRPr="0069324B" w:rsidRDefault="0069324B" w:rsidP="0069324B">
      <w:pPr>
        <w:pStyle w:val="EndNoteBibliography"/>
        <w:ind w:left="720" w:hanging="720"/>
        <w:rPr>
          <w:noProof/>
        </w:rPr>
      </w:pPr>
      <w:r w:rsidRPr="0069324B">
        <w:rPr>
          <w:noProof/>
        </w:rPr>
        <w:t xml:space="preserve">Boudreau, K.J., Lacetera, N., &amp; Lakhani, K.R. (2011). Incentives and problem uncertainty in innovation contests: An empirical analysis. </w:t>
      </w:r>
      <w:r w:rsidRPr="0069324B">
        <w:rPr>
          <w:i/>
          <w:noProof/>
        </w:rPr>
        <w:t>Management Science, 57</w:t>
      </w:r>
      <w:r w:rsidRPr="0069324B">
        <w:rPr>
          <w:noProof/>
        </w:rPr>
        <w:t xml:space="preserve">(5), 843-863. </w:t>
      </w:r>
    </w:p>
    <w:p w14:paraId="5C08E3CB" w14:textId="77777777" w:rsidR="0069324B" w:rsidRPr="0069324B" w:rsidRDefault="0069324B" w:rsidP="0069324B">
      <w:pPr>
        <w:pStyle w:val="EndNoteBibliography"/>
        <w:ind w:left="720" w:hanging="720"/>
        <w:rPr>
          <w:noProof/>
        </w:rPr>
      </w:pPr>
      <w:r w:rsidRPr="0069324B">
        <w:rPr>
          <w:noProof/>
        </w:rPr>
        <w:t xml:space="preserve">Chesbrough, H. (2003). </w:t>
      </w:r>
      <w:r w:rsidRPr="0069324B">
        <w:rPr>
          <w:i/>
          <w:noProof/>
        </w:rPr>
        <w:t>Open innovation: The new imperative for creating and profiting from technology</w:t>
      </w:r>
      <w:r w:rsidRPr="0069324B">
        <w:rPr>
          <w:noProof/>
        </w:rPr>
        <w:t>. Boston: Harvard Business School Press.</w:t>
      </w:r>
    </w:p>
    <w:p w14:paraId="24FE10FB" w14:textId="77777777" w:rsidR="0069324B" w:rsidRPr="0069324B" w:rsidRDefault="0069324B" w:rsidP="0069324B">
      <w:pPr>
        <w:pStyle w:val="EndNoteBibliography"/>
        <w:ind w:left="720" w:hanging="720"/>
        <w:rPr>
          <w:noProof/>
        </w:rPr>
      </w:pPr>
      <w:r w:rsidRPr="0069324B">
        <w:rPr>
          <w:noProof/>
        </w:rPr>
        <w:t xml:space="preserve">Chesbrough, H. (2010). Business model innovation: Opportunities and barriers. </w:t>
      </w:r>
      <w:r w:rsidRPr="0069324B">
        <w:rPr>
          <w:i/>
          <w:noProof/>
        </w:rPr>
        <w:t>Long Range Planning, 43</w:t>
      </w:r>
      <w:r w:rsidRPr="0069324B">
        <w:rPr>
          <w:noProof/>
        </w:rPr>
        <w:t xml:space="preserve">(2-3), 354-363. </w:t>
      </w:r>
    </w:p>
    <w:p w14:paraId="2BB65F2E" w14:textId="77777777" w:rsidR="0069324B" w:rsidRPr="0069324B" w:rsidRDefault="0069324B" w:rsidP="0069324B">
      <w:pPr>
        <w:pStyle w:val="EndNoteBibliography"/>
        <w:ind w:left="720" w:hanging="720"/>
        <w:rPr>
          <w:noProof/>
        </w:rPr>
      </w:pPr>
      <w:r w:rsidRPr="0069324B">
        <w:rPr>
          <w:noProof/>
        </w:rPr>
        <w:t xml:space="preserve">Chesbrough, H., &amp; Rosenbloom, R. S. (2002). The role of business model in capturing value from innovation: Evidence fromxerox corporation's technology spin-off companies. </w:t>
      </w:r>
      <w:r w:rsidRPr="0069324B">
        <w:rPr>
          <w:i/>
          <w:noProof/>
        </w:rPr>
        <w:t>Industrial and Corporate Change, 11</w:t>
      </w:r>
      <w:r w:rsidRPr="0069324B">
        <w:rPr>
          <w:noProof/>
        </w:rPr>
        <w:t xml:space="preserve">(3), 529-555. </w:t>
      </w:r>
    </w:p>
    <w:p w14:paraId="32BC5F19" w14:textId="77777777" w:rsidR="0069324B" w:rsidRPr="0069324B" w:rsidRDefault="0069324B" w:rsidP="0069324B">
      <w:pPr>
        <w:pStyle w:val="EndNoteBibliography"/>
        <w:ind w:left="720" w:hanging="720"/>
        <w:rPr>
          <w:noProof/>
        </w:rPr>
      </w:pPr>
      <w:r w:rsidRPr="0069324B">
        <w:rPr>
          <w:noProof/>
        </w:rPr>
        <w:t xml:space="preserve">Dhanaraj, C., &amp; Parkhe, A. (2006). Orchestrating innovation networks. </w:t>
      </w:r>
      <w:r w:rsidRPr="0069324B">
        <w:rPr>
          <w:i/>
          <w:noProof/>
        </w:rPr>
        <w:t>Academy of Management Review, 31</w:t>
      </w:r>
      <w:r w:rsidRPr="0069324B">
        <w:rPr>
          <w:noProof/>
        </w:rPr>
        <w:t xml:space="preserve">(3), 659-669. </w:t>
      </w:r>
    </w:p>
    <w:p w14:paraId="01847C35" w14:textId="77777777" w:rsidR="0069324B" w:rsidRPr="0069324B" w:rsidRDefault="0069324B" w:rsidP="0069324B">
      <w:pPr>
        <w:pStyle w:val="EndNoteBibliography"/>
        <w:ind w:left="720" w:hanging="720"/>
        <w:rPr>
          <w:noProof/>
        </w:rPr>
      </w:pPr>
      <w:r w:rsidRPr="0069324B">
        <w:rPr>
          <w:noProof/>
        </w:rPr>
        <w:t xml:space="preserve">Eisenhardt, K. M. (1989). Building theories from case study research. </w:t>
      </w:r>
      <w:r w:rsidRPr="0069324B">
        <w:rPr>
          <w:i/>
          <w:noProof/>
        </w:rPr>
        <w:t>Academy of Management Review, 14</w:t>
      </w:r>
      <w:r w:rsidRPr="0069324B">
        <w:rPr>
          <w:noProof/>
        </w:rPr>
        <w:t xml:space="preserve">(4), 532-550. </w:t>
      </w:r>
    </w:p>
    <w:p w14:paraId="05CB7089" w14:textId="77777777" w:rsidR="0069324B" w:rsidRPr="0069324B" w:rsidRDefault="0069324B" w:rsidP="0069324B">
      <w:pPr>
        <w:pStyle w:val="EndNoteBibliography"/>
        <w:ind w:left="720" w:hanging="720"/>
        <w:rPr>
          <w:noProof/>
        </w:rPr>
      </w:pPr>
      <w:r w:rsidRPr="0069324B">
        <w:rPr>
          <w:noProof/>
        </w:rPr>
        <w:t xml:space="preserve">Faulkner, P., &amp; Runde, J. (2009). On identity of technological objects and user innovations in function. </w:t>
      </w:r>
      <w:r w:rsidRPr="0069324B">
        <w:rPr>
          <w:i/>
          <w:noProof/>
        </w:rPr>
        <w:t>Academy of Management Review, 34</w:t>
      </w:r>
      <w:r w:rsidRPr="0069324B">
        <w:rPr>
          <w:noProof/>
        </w:rPr>
        <w:t xml:space="preserve">(3), 442-462. </w:t>
      </w:r>
    </w:p>
    <w:p w14:paraId="20C8112E" w14:textId="77777777" w:rsidR="0069324B" w:rsidRPr="0069324B" w:rsidRDefault="0069324B" w:rsidP="0069324B">
      <w:pPr>
        <w:pStyle w:val="EndNoteBibliography"/>
        <w:ind w:left="720" w:hanging="720"/>
        <w:rPr>
          <w:noProof/>
        </w:rPr>
      </w:pPr>
      <w:r w:rsidRPr="0069324B">
        <w:rPr>
          <w:noProof/>
        </w:rPr>
        <w:t xml:space="preserve">Felin, T., &amp; Zenger, T.R. (2014). Closed or open innovation? Problem solving and governance choice. </w:t>
      </w:r>
      <w:r w:rsidRPr="0069324B">
        <w:rPr>
          <w:i/>
          <w:noProof/>
        </w:rPr>
        <w:t>Research Policy, 43</w:t>
      </w:r>
      <w:r w:rsidRPr="0069324B">
        <w:rPr>
          <w:noProof/>
        </w:rPr>
        <w:t xml:space="preserve">(5), 914-925. </w:t>
      </w:r>
    </w:p>
    <w:p w14:paraId="24CDC2BD" w14:textId="77777777" w:rsidR="0069324B" w:rsidRPr="0069324B" w:rsidRDefault="0069324B" w:rsidP="0069324B">
      <w:pPr>
        <w:pStyle w:val="EndNoteBibliography"/>
        <w:ind w:left="720" w:hanging="720"/>
        <w:rPr>
          <w:noProof/>
        </w:rPr>
      </w:pPr>
      <w:r w:rsidRPr="0069324B">
        <w:rPr>
          <w:noProof/>
        </w:rPr>
        <w:t xml:space="preserve">Gulati, R., Puranam, P., &amp; Tushman, M. L. (2012). Meta-organization design: Rethinking design in interorganizational and community contexts. </w:t>
      </w:r>
      <w:r w:rsidRPr="0069324B">
        <w:rPr>
          <w:i/>
          <w:noProof/>
        </w:rPr>
        <w:t>Strategic Management Journal, 33</w:t>
      </w:r>
      <w:r w:rsidRPr="0069324B">
        <w:rPr>
          <w:noProof/>
        </w:rPr>
        <w:t xml:space="preserve">(6), 571-586. </w:t>
      </w:r>
    </w:p>
    <w:p w14:paraId="1F75E46B" w14:textId="77777777" w:rsidR="0069324B" w:rsidRPr="0069324B" w:rsidRDefault="0069324B" w:rsidP="0069324B">
      <w:pPr>
        <w:pStyle w:val="EndNoteBibliography"/>
        <w:ind w:left="720" w:hanging="720"/>
        <w:rPr>
          <w:noProof/>
        </w:rPr>
      </w:pPr>
      <w:r w:rsidRPr="0069324B">
        <w:rPr>
          <w:noProof/>
        </w:rPr>
        <w:lastRenderedPageBreak/>
        <w:t xml:space="preserve">Kogut, A., &amp; Zander, U. (1996). What do firms do? Coordination, identity and learning. </w:t>
      </w:r>
      <w:r w:rsidRPr="0069324B">
        <w:rPr>
          <w:i/>
          <w:noProof/>
        </w:rPr>
        <w:t>Organization Science, 7</w:t>
      </w:r>
      <w:r w:rsidRPr="0069324B">
        <w:rPr>
          <w:noProof/>
        </w:rPr>
        <w:t xml:space="preserve">(5), 502-518. </w:t>
      </w:r>
    </w:p>
    <w:p w14:paraId="42BD09BB" w14:textId="77777777" w:rsidR="0069324B" w:rsidRPr="0069324B" w:rsidRDefault="0069324B" w:rsidP="0069324B">
      <w:pPr>
        <w:pStyle w:val="EndNoteBibliography"/>
        <w:ind w:left="720" w:hanging="720"/>
        <w:rPr>
          <w:noProof/>
        </w:rPr>
      </w:pPr>
      <w:r w:rsidRPr="0069324B">
        <w:rPr>
          <w:noProof/>
        </w:rPr>
        <w:t xml:space="preserve">Laursen, K., &amp; Salter, A. (2006). Open for innovation: The role of openness in explaining innovation performance among uk manufacturing firms. </w:t>
      </w:r>
      <w:r w:rsidRPr="0069324B">
        <w:rPr>
          <w:i/>
          <w:noProof/>
        </w:rPr>
        <w:t>Strategic Management Journal, 27</w:t>
      </w:r>
      <w:r w:rsidRPr="0069324B">
        <w:rPr>
          <w:noProof/>
        </w:rPr>
        <w:t>(2), 131-150. doi: 10.1002/smj.507</w:t>
      </w:r>
    </w:p>
    <w:p w14:paraId="4D9B2722" w14:textId="77777777" w:rsidR="0069324B" w:rsidRPr="0069324B" w:rsidRDefault="0069324B" w:rsidP="0069324B">
      <w:pPr>
        <w:pStyle w:val="EndNoteBibliography"/>
        <w:ind w:left="720" w:hanging="720"/>
        <w:rPr>
          <w:noProof/>
        </w:rPr>
      </w:pPr>
      <w:r w:rsidRPr="0069324B">
        <w:rPr>
          <w:noProof/>
        </w:rPr>
        <w:t xml:space="preserve">Leonardi, P.M. (2011). Innovation blindness: Culture, frames and cross-boundary problem construction in the development of new technology concepts. </w:t>
      </w:r>
      <w:r w:rsidRPr="0069324B">
        <w:rPr>
          <w:i/>
          <w:noProof/>
        </w:rPr>
        <w:t>Organization Science, 22</w:t>
      </w:r>
      <w:r w:rsidRPr="0069324B">
        <w:rPr>
          <w:noProof/>
        </w:rPr>
        <w:t xml:space="preserve">(2), 347-369. </w:t>
      </w:r>
    </w:p>
    <w:p w14:paraId="2D023F68" w14:textId="77777777" w:rsidR="0069324B" w:rsidRPr="0069324B" w:rsidRDefault="0069324B" w:rsidP="0069324B">
      <w:pPr>
        <w:pStyle w:val="EndNoteBibliography"/>
        <w:ind w:left="720" w:hanging="720"/>
        <w:rPr>
          <w:noProof/>
        </w:rPr>
      </w:pPr>
      <w:r w:rsidRPr="0069324B">
        <w:rPr>
          <w:noProof/>
        </w:rPr>
        <w:t xml:space="preserve">Lerner, J., &amp; Tirole, J. (2002). Some simple economics of open source. </w:t>
      </w:r>
      <w:r w:rsidRPr="0069324B">
        <w:rPr>
          <w:i/>
          <w:noProof/>
        </w:rPr>
        <w:t>Journal of Industrial Economics, 50</w:t>
      </w:r>
      <w:r w:rsidRPr="0069324B">
        <w:rPr>
          <w:noProof/>
        </w:rPr>
        <w:t xml:space="preserve">(2), 197-234. </w:t>
      </w:r>
    </w:p>
    <w:p w14:paraId="1D7FB9CE" w14:textId="6DA69EA9" w:rsidR="0069324B" w:rsidRPr="0069324B" w:rsidRDefault="0069324B" w:rsidP="0069324B">
      <w:pPr>
        <w:pStyle w:val="EndNoteBibliography"/>
        <w:ind w:left="720" w:hanging="720"/>
        <w:rPr>
          <w:noProof/>
        </w:rPr>
      </w:pPr>
      <w:r w:rsidRPr="0069324B">
        <w:rPr>
          <w:noProof/>
        </w:rPr>
        <w:t xml:space="preserve">Mankins, J.C. (1995). Technology readiness levels, 11th November 2014, from </w:t>
      </w:r>
      <w:hyperlink r:id="rId9" w:history="1">
        <w:r w:rsidRPr="0069324B">
          <w:rPr>
            <w:rStyle w:val="Hyperlink"/>
            <w:noProof/>
            <w:lang w:val="en-GB"/>
          </w:rPr>
          <w:t>http://orion.asu.edu/Additional Reading/Mankins_trl.pdf</w:t>
        </w:r>
      </w:hyperlink>
    </w:p>
    <w:p w14:paraId="6F78A295" w14:textId="77777777" w:rsidR="0069324B" w:rsidRPr="0069324B" w:rsidRDefault="0069324B" w:rsidP="0069324B">
      <w:pPr>
        <w:pStyle w:val="EndNoteBibliography"/>
        <w:ind w:left="720" w:hanging="720"/>
        <w:rPr>
          <w:noProof/>
        </w:rPr>
      </w:pPr>
      <w:r w:rsidRPr="0069324B">
        <w:rPr>
          <w:noProof/>
        </w:rPr>
        <w:t xml:space="preserve">Miles, M. B., &amp; Huberman, A. M. (1994). </w:t>
      </w:r>
      <w:r w:rsidRPr="0069324B">
        <w:rPr>
          <w:i/>
          <w:noProof/>
        </w:rPr>
        <w:t>Qualitative data analysis</w:t>
      </w:r>
      <w:r w:rsidRPr="0069324B">
        <w:rPr>
          <w:noProof/>
        </w:rPr>
        <w:t>. Beverley Hills, CA: Sage.</w:t>
      </w:r>
    </w:p>
    <w:p w14:paraId="2756B476" w14:textId="77777777" w:rsidR="0069324B" w:rsidRPr="0069324B" w:rsidRDefault="0069324B" w:rsidP="0069324B">
      <w:pPr>
        <w:pStyle w:val="EndNoteBibliography"/>
        <w:ind w:left="720" w:hanging="720"/>
        <w:rPr>
          <w:noProof/>
        </w:rPr>
      </w:pPr>
      <w:r w:rsidRPr="0069324B">
        <w:rPr>
          <w:noProof/>
        </w:rPr>
        <w:t xml:space="preserve">Miller, D., Greenwood, R., &amp; Prakash, R. (2009). What happened to organization theory? </w:t>
      </w:r>
      <w:r w:rsidRPr="0069324B">
        <w:rPr>
          <w:i/>
          <w:noProof/>
        </w:rPr>
        <w:t>Journal of Management Inquiry, 18</w:t>
      </w:r>
      <w:r w:rsidRPr="0069324B">
        <w:rPr>
          <w:noProof/>
        </w:rPr>
        <w:t xml:space="preserve">(4), 273-279. </w:t>
      </w:r>
    </w:p>
    <w:p w14:paraId="660B5300" w14:textId="77777777" w:rsidR="0069324B" w:rsidRPr="0069324B" w:rsidRDefault="0069324B" w:rsidP="0069324B">
      <w:pPr>
        <w:pStyle w:val="EndNoteBibliography"/>
        <w:ind w:left="720" w:hanging="720"/>
        <w:rPr>
          <w:noProof/>
        </w:rPr>
      </w:pPr>
      <w:r w:rsidRPr="0069324B">
        <w:rPr>
          <w:noProof/>
        </w:rPr>
        <w:t xml:space="preserve">O'Mahoney, S., &amp; Bechky, B. (2008). Boundary organizations: Enabling collaboration among unexpected allies. </w:t>
      </w:r>
      <w:r w:rsidRPr="0069324B">
        <w:rPr>
          <w:i/>
          <w:noProof/>
        </w:rPr>
        <w:t>Administrative Science Quarterly, 53</w:t>
      </w:r>
      <w:r w:rsidRPr="0069324B">
        <w:rPr>
          <w:noProof/>
        </w:rPr>
        <w:t xml:space="preserve">(3), 422-459. </w:t>
      </w:r>
    </w:p>
    <w:p w14:paraId="5A44661E" w14:textId="77777777" w:rsidR="0069324B" w:rsidRPr="0069324B" w:rsidRDefault="0069324B" w:rsidP="0069324B">
      <w:pPr>
        <w:pStyle w:val="EndNoteBibliography"/>
        <w:ind w:left="720" w:hanging="720"/>
        <w:rPr>
          <w:noProof/>
        </w:rPr>
      </w:pPr>
      <w:r w:rsidRPr="0069324B">
        <w:rPr>
          <w:noProof/>
        </w:rPr>
        <w:t xml:space="preserve">Pandza, K., &amp; Ellwood, P. (2013). Strategic and ethical foundations for responsible innovation. </w:t>
      </w:r>
      <w:r w:rsidRPr="0069324B">
        <w:rPr>
          <w:i/>
          <w:noProof/>
        </w:rPr>
        <w:t>Research Policy, 42</w:t>
      </w:r>
      <w:r w:rsidRPr="0069324B">
        <w:rPr>
          <w:noProof/>
        </w:rPr>
        <w:t xml:space="preserve">(5), 1112-1125. </w:t>
      </w:r>
    </w:p>
    <w:p w14:paraId="7E5F9D1E" w14:textId="7477503C" w:rsidR="0069324B" w:rsidRPr="0069324B" w:rsidRDefault="0069324B" w:rsidP="0069324B">
      <w:pPr>
        <w:pStyle w:val="EndNoteBibliography"/>
        <w:ind w:left="720" w:hanging="720"/>
        <w:rPr>
          <w:noProof/>
        </w:rPr>
      </w:pPr>
      <w:r w:rsidRPr="0069324B">
        <w:rPr>
          <w:noProof/>
        </w:rPr>
        <w:t xml:space="preserve">Perkmann, M., &amp; Schildt, H. (in press). Open data partnerships between firms and universities: The rule of boundary organizations. </w:t>
      </w:r>
      <w:r w:rsidRPr="0069324B">
        <w:rPr>
          <w:i/>
          <w:noProof/>
        </w:rPr>
        <w:t xml:space="preserve">Research Policy, </w:t>
      </w:r>
      <w:hyperlink r:id="rId10" w:history="1">
        <w:r w:rsidRPr="0069324B">
          <w:rPr>
            <w:rStyle w:val="Hyperlink"/>
            <w:noProof/>
            <w:lang w:val="en-GB"/>
          </w:rPr>
          <w:t>http://dx.doi.org/10.10.1016/j.respol.2014.12.006</w:t>
        </w:r>
      </w:hyperlink>
      <w:r w:rsidRPr="0069324B">
        <w:rPr>
          <w:noProof/>
        </w:rPr>
        <w:t xml:space="preserve">. </w:t>
      </w:r>
    </w:p>
    <w:p w14:paraId="41991263" w14:textId="77777777" w:rsidR="0069324B" w:rsidRPr="0069324B" w:rsidRDefault="0069324B" w:rsidP="0069324B">
      <w:pPr>
        <w:pStyle w:val="EndNoteBibliography"/>
        <w:ind w:left="720" w:hanging="720"/>
        <w:rPr>
          <w:noProof/>
        </w:rPr>
      </w:pPr>
      <w:r w:rsidRPr="0069324B">
        <w:rPr>
          <w:noProof/>
        </w:rPr>
        <w:t xml:space="preserve">Perkmann, M., &amp; Walsh, K. (2007). University-industry relationships and open innovation: Towards a research agenda. </w:t>
      </w:r>
      <w:r w:rsidRPr="0069324B">
        <w:rPr>
          <w:i/>
          <w:noProof/>
        </w:rPr>
        <w:t>International Journal of Management Reviews, 9</w:t>
      </w:r>
      <w:r w:rsidRPr="0069324B">
        <w:rPr>
          <w:noProof/>
        </w:rPr>
        <w:t>, 259-280. doi: 10.1111/j.1468-2370.2007.00225.x</w:t>
      </w:r>
    </w:p>
    <w:p w14:paraId="1DFE8CAC" w14:textId="77777777" w:rsidR="0069324B" w:rsidRPr="0069324B" w:rsidRDefault="0069324B" w:rsidP="0069324B">
      <w:pPr>
        <w:pStyle w:val="EndNoteBibliography"/>
        <w:ind w:left="720" w:hanging="720"/>
        <w:rPr>
          <w:noProof/>
        </w:rPr>
      </w:pPr>
      <w:r w:rsidRPr="0069324B">
        <w:rPr>
          <w:noProof/>
        </w:rPr>
        <w:t xml:space="preserve">Puranam, P., Alexy, O., &amp; Reitzig, M. (2014). What's "new" about new forms of organising? </w:t>
      </w:r>
      <w:r w:rsidRPr="0069324B">
        <w:rPr>
          <w:i/>
          <w:noProof/>
        </w:rPr>
        <w:t>Academy of Management Review, 39</w:t>
      </w:r>
      <w:r w:rsidRPr="0069324B">
        <w:rPr>
          <w:noProof/>
        </w:rPr>
        <w:t xml:space="preserve">(2), 162-180. </w:t>
      </w:r>
    </w:p>
    <w:p w14:paraId="5483F12D" w14:textId="77777777" w:rsidR="0069324B" w:rsidRPr="0069324B" w:rsidRDefault="0069324B" w:rsidP="0069324B">
      <w:pPr>
        <w:pStyle w:val="EndNoteBibliography"/>
        <w:ind w:left="720" w:hanging="720"/>
        <w:rPr>
          <w:noProof/>
        </w:rPr>
      </w:pPr>
      <w:r w:rsidRPr="0069324B">
        <w:rPr>
          <w:noProof/>
        </w:rPr>
        <w:t xml:space="preserve">Rindova, V., Dalpiaz, E., &amp; Ravasi, D. (2011). A cultural quest: A study of organizational use of new cultural resources in strategy formation. </w:t>
      </w:r>
      <w:r w:rsidRPr="0069324B">
        <w:rPr>
          <w:i/>
          <w:noProof/>
        </w:rPr>
        <w:t>Organization Science, 22</w:t>
      </w:r>
      <w:r w:rsidRPr="0069324B">
        <w:rPr>
          <w:noProof/>
        </w:rPr>
        <w:t>(2), 413-431. doi: 10.1287/orsc.1100.0537</w:t>
      </w:r>
    </w:p>
    <w:p w14:paraId="6F277E82" w14:textId="77777777" w:rsidR="0069324B" w:rsidRPr="0069324B" w:rsidRDefault="0069324B" w:rsidP="0069324B">
      <w:pPr>
        <w:pStyle w:val="EndNoteBibliography"/>
        <w:ind w:left="720" w:hanging="720"/>
        <w:rPr>
          <w:noProof/>
        </w:rPr>
      </w:pPr>
      <w:r w:rsidRPr="0069324B">
        <w:rPr>
          <w:noProof/>
        </w:rPr>
        <w:t xml:space="preserve">Siggelkow, N. (2007). Persuasion with case studies. </w:t>
      </w:r>
      <w:r w:rsidRPr="0069324B">
        <w:rPr>
          <w:i/>
          <w:noProof/>
        </w:rPr>
        <w:t>Academy of Management Journal, 50</w:t>
      </w:r>
      <w:r w:rsidRPr="0069324B">
        <w:rPr>
          <w:noProof/>
        </w:rPr>
        <w:t xml:space="preserve">(1), 20-24. </w:t>
      </w:r>
    </w:p>
    <w:p w14:paraId="7F9D7981" w14:textId="77012B15" w:rsidR="0069324B" w:rsidRPr="0069324B" w:rsidRDefault="0069324B" w:rsidP="0069324B">
      <w:pPr>
        <w:pStyle w:val="EndNoteBibliography"/>
        <w:ind w:left="720" w:hanging="720"/>
        <w:rPr>
          <w:noProof/>
        </w:rPr>
      </w:pPr>
      <w:r w:rsidRPr="0069324B">
        <w:rPr>
          <w:noProof/>
        </w:rPr>
        <w:t>U.K._Government. (2014). Emerging technologies and industries: Strategy 2014-2018, 11th November 2014, from https://</w:t>
      </w:r>
      <w:hyperlink r:id="rId11" w:history="1">
        <w:r w:rsidRPr="0069324B">
          <w:rPr>
            <w:rStyle w:val="Hyperlink"/>
            <w:noProof/>
            <w:lang w:val="en-GB"/>
          </w:rPr>
          <w:t>http://www.gov.uk/government/uploads/system/uploads/attachment_data/file/370017/Emerging_technologies_-strategy_2014-2018.pdf</w:t>
        </w:r>
      </w:hyperlink>
    </w:p>
    <w:p w14:paraId="7E0F03CD" w14:textId="77777777" w:rsidR="0069324B" w:rsidRPr="0069324B" w:rsidRDefault="0069324B" w:rsidP="0069324B">
      <w:pPr>
        <w:pStyle w:val="EndNoteBibliography"/>
        <w:ind w:left="720" w:hanging="720"/>
        <w:rPr>
          <w:noProof/>
        </w:rPr>
      </w:pPr>
      <w:r w:rsidRPr="0069324B">
        <w:rPr>
          <w:noProof/>
        </w:rPr>
        <w:t xml:space="preserve">Webb, E., &amp; Weick, K. E. (1979). Unobtrusive measures in organizational theory - a reminder. </w:t>
      </w:r>
      <w:r w:rsidRPr="0069324B">
        <w:rPr>
          <w:i/>
          <w:noProof/>
        </w:rPr>
        <w:t>Administrative Science Quarterly, 24</w:t>
      </w:r>
      <w:r w:rsidRPr="0069324B">
        <w:rPr>
          <w:noProof/>
        </w:rPr>
        <w:t xml:space="preserve">(4), 650-659. </w:t>
      </w:r>
    </w:p>
    <w:p w14:paraId="4EABB0B6" w14:textId="77777777" w:rsidR="0069324B" w:rsidRPr="0069324B" w:rsidRDefault="0069324B" w:rsidP="0069324B">
      <w:pPr>
        <w:pStyle w:val="EndNoteBibliography"/>
        <w:ind w:left="720" w:hanging="720"/>
        <w:rPr>
          <w:noProof/>
        </w:rPr>
      </w:pPr>
      <w:r w:rsidRPr="0069324B">
        <w:rPr>
          <w:noProof/>
        </w:rPr>
        <w:t xml:space="preserve">Yin, R.K. (2002). </w:t>
      </w:r>
      <w:r w:rsidRPr="0069324B">
        <w:rPr>
          <w:i/>
          <w:noProof/>
        </w:rPr>
        <w:t>Case study research: Design and methods</w:t>
      </w:r>
      <w:r w:rsidRPr="0069324B">
        <w:rPr>
          <w:noProof/>
        </w:rPr>
        <w:t xml:space="preserve"> (3rd ed.). London: Sager.</w:t>
      </w:r>
    </w:p>
    <w:p w14:paraId="2FB6FC43" w14:textId="77777777" w:rsidR="0069324B" w:rsidRPr="0069324B" w:rsidRDefault="0069324B" w:rsidP="0069324B">
      <w:pPr>
        <w:pStyle w:val="EndNoteBibliography"/>
        <w:ind w:left="720" w:hanging="720"/>
        <w:rPr>
          <w:noProof/>
        </w:rPr>
      </w:pPr>
      <w:r w:rsidRPr="0069324B">
        <w:rPr>
          <w:noProof/>
        </w:rPr>
        <w:t xml:space="preserve">Youtie, J., &amp; Shapira, P. (2008). Building an innovation hub: A case study of the transformation of university roles in regional technological and economic </w:t>
      </w:r>
      <w:r w:rsidRPr="0069324B">
        <w:rPr>
          <w:noProof/>
        </w:rPr>
        <w:lastRenderedPageBreak/>
        <w:t xml:space="preserve">development. </w:t>
      </w:r>
      <w:r w:rsidRPr="0069324B">
        <w:rPr>
          <w:i/>
          <w:noProof/>
        </w:rPr>
        <w:t>Research Policy, 37</w:t>
      </w:r>
      <w:r w:rsidRPr="0069324B">
        <w:rPr>
          <w:noProof/>
        </w:rPr>
        <w:t>(8), 1188-1204. doi: 10.1016/j.respol.2008.04.012</w:t>
      </w:r>
    </w:p>
    <w:p w14:paraId="4C44825F" w14:textId="4127D22E" w:rsidR="00C253E1" w:rsidRDefault="00E93A97" w:rsidP="00777374">
      <w:r>
        <w:fldChar w:fldCharType="end"/>
      </w:r>
    </w:p>
    <w:sectPr w:rsidR="00C253E1" w:rsidSect="001607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184"/>
    <w:multiLevelType w:val="hybridMultilevel"/>
    <w:tmpl w:val="78DC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55892"/>
    <w:multiLevelType w:val="hybridMultilevel"/>
    <w:tmpl w:val="6732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D4776"/>
    <w:multiLevelType w:val="hybridMultilevel"/>
    <w:tmpl w:val="847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ganizational Research Metho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2zewe9caaftre2ts5pzpwh9pvdwvrsss90&quot;&gt;PE EndNote database&lt;record-ids&gt;&lt;item&gt;4&lt;/item&gt;&lt;item&gt;17&lt;/item&gt;&lt;item&gt;64&lt;/item&gt;&lt;item&gt;107&lt;/item&gt;&lt;item&gt;155&lt;/item&gt;&lt;item&gt;1388&lt;/item&gt;&lt;item&gt;1430&lt;/item&gt;&lt;item&gt;1489&lt;/item&gt;&lt;item&gt;1497&lt;/item&gt;&lt;item&gt;1591&lt;/item&gt;&lt;item&gt;1683&lt;/item&gt;&lt;item&gt;1915&lt;/item&gt;&lt;item&gt;1950&lt;/item&gt;&lt;item&gt;2062&lt;/item&gt;&lt;item&gt;2067&lt;/item&gt;&lt;item&gt;2072&lt;/item&gt;&lt;item&gt;2073&lt;/item&gt;&lt;item&gt;2074&lt;/item&gt;&lt;item&gt;2075&lt;/item&gt;&lt;item&gt;2076&lt;/item&gt;&lt;item&gt;2077&lt;/item&gt;&lt;item&gt;2078&lt;/item&gt;&lt;item&gt;2079&lt;/item&gt;&lt;item&gt;2080&lt;/item&gt;&lt;item&gt;2081&lt;/item&gt;&lt;item&gt;2082&lt;/item&gt;&lt;item&gt;2083&lt;/item&gt;&lt;item&gt;2084&lt;/item&gt;&lt;item&gt;2085&lt;/item&gt;&lt;item&gt;2086&lt;/item&gt;&lt;item&gt;2087&lt;/item&gt;&lt;item&gt;2088&lt;/item&gt;&lt;item&gt;2089&lt;/item&gt;&lt;/record-ids&gt;&lt;/item&gt;&lt;/Libraries&gt;"/>
  </w:docVars>
  <w:rsids>
    <w:rsidRoot w:val="001A6B24"/>
    <w:rsid w:val="00003A86"/>
    <w:rsid w:val="00017DE8"/>
    <w:rsid w:val="00022608"/>
    <w:rsid w:val="00026A67"/>
    <w:rsid w:val="000360D0"/>
    <w:rsid w:val="000431DE"/>
    <w:rsid w:val="0005275D"/>
    <w:rsid w:val="000558BF"/>
    <w:rsid w:val="0005610A"/>
    <w:rsid w:val="00063A72"/>
    <w:rsid w:val="000656C6"/>
    <w:rsid w:val="00092717"/>
    <w:rsid w:val="000A13CC"/>
    <w:rsid w:val="000C32C0"/>
    <w:rsid w:val="000C5D81"/>
    <w:rsid w:val="000C730D"/>
    <w:rsid w:val="000E5862"/>
    <w:rsid w:val="000E607C"/>
    <w:rsid w:val="000F23B3"/>
    <w:rsid w:val="000F751B"/>
    <w:rsid w:val="00102D43"/>
    <w:rsid w:val="00103E56"/>
    <w:rsid w:val="00116BF8"/>
    <w:rsid w:val="00122C31"/>
    <w:rsid w:val="00126DB9"/>
    <w:rsid w:val="001329D6"/>
    <w:rsid w:val="00140C71"/>
    <w:rsid w:val="00155FF2"/>
    <w:rsid w:val="001603BD"/>
    <w:rsid w:val="00160735"/>
    <w:rsid w:val="0016558E"/>
    <w:rsid w:val="001710E4"/>
    <w:rsid w:val="001939A0"/>
    <w:rsid w:val="001A6922"/>
    <w:rsid w:val="001A6B24"/>
    <w:rsid w:val="001A6ED2"/>
    <w:rsid w:val="001B4792"/>
    <w:rsid w:val="001D31D5"/>
    <w:rsid w:val="001D36B0"/>
    <w:rsid w:val="001D7ED8"/>
    <w:rsid w:val="001F1639"/>
    <w:rsid w:val="00201BDA"/>
    <w:rsid w:val="002540C8"/>
    <w:rsid w:val="0025735A"/>
    <w:rsid w:val="002617B6"/>
    <w:rsid w:val="00265E6F"/>
    <w:rsid w:val="00275B1F"/>
    <w:rsid w:val="00276F26"/>
    <w:rsid w:val="002853CF"/>
    <w:rsid w:val="00286294"/>
    <w:rsid w:val="0029536F"/>
    <w:rsid w:val="002A6537"/>
    <w:rsid w:val="002A79F9"/>
    <w:rsid w:val="002B4B43"/>
    <w:rsid w:val="002B5C3B"/>
    <w:rsid w:val="002C0F8C"/>
    <w:rsid w:val="002D4B8A"/>
    <w:rsid w:val="002F1B97"/>
    <w:rsid w:val="00305C00"/>
    <w:rsid w:val="0031182D"/>
    <w:rsid w:val="00315833"/>
    <w:rsid w:val="0033614F"/>
    <w:rsid w:val="00356296"/>
    <w:rsid w:val="003645BF"/>
    <w:rsid w:val="00372A19"/>
    <w:rsid w:val="00382436"/>
    <w:rsid w:val="0038384B"/>
    <w:rsid w:val="0038766F"/>
    <w:rsid w:val="00395023"/>
    <w:rsid w:val="00397315"/>
    <w:rsid w:val="003B0F6F"/>
    <w:rsid w:val="003C2579"/>
    <w:rsid w:val="003C5972"/>
    <w:rsid w:val="003C7F25"/>
    <w:rsid w:val="003D03BA"/>
    <w:rsid w:val="003D2391"/>
    <w:rsid w:val="003E64D7"/>
    <w:rsid w:val="003F5F6F"/>
    <w:rsid w:val="004061FB"/>
    <w:rsid w:val="004208D9"/>
    <w:rsid w:val="00420C1E"/>
    <w:rsid w:val="004333E7"/>
    <w:rsid w:val="00435D45"/>
    <w:rsid w:val="004433B7"/>
    <w:rsid w:val="004517AB"/>
    <w:rsid w:val="004518C0"/>
    <w:rsid w:val="00455A00"/>
    <w:rsid w:val="00455E36"/>
    <w:rsid w:val="00462A6D"/>
    <w:rsid w:val="00471023"/>
    <w:rsid w:val="00472ACA"/>
    <w:rsid w:val="00473CC3"/>
    <w:rsid w:val="004A33CA"/>
    <w:rsid w:val="004A5D98"/>
    <w:rsid w:val="004A6EFB"/>
    <w:rsid w:val="004C5177"/>
    <w:rsid w:val="004C6FF1"/>
    <w:rsid w:val="004E27DB"/>
    <w:rsid w:val="00500E7C"/>
    <w:rsid w:val="005112D6"/>
    <w:rsid w:val="005116B8"/>
    <w:rsid w:val="00514228"/>
    <w:rsid w:val="00523F93"/>
    <w:rsid w:val="00524DC9"/>
    <w:rsid w:val="00525419"/>
    <w:rsid w:val="00544DDA"/>
    <w:rsid w:val="00551311"/>
    <w:rsid w:val="00564ED2"/>
    <w:rsid w:val="00572E67"/>
    <w:rsid w:val="005856D8"/>
    <w:rsid w:val="005A7482"/>
    <w:rsid w:val="005B1FDE"/>
    <w:rsid w:val="005B52BD"/>
    <w:rsid w:val="005B6AB0"/>
    <w:rsid w:val="005C5D55"/>
    <w:rsid w:val="00607520"/>
    <w:rsid w:val="006123D7"/>
    <w:rsid w:val="006130F1"/>
    <w:rsid w:val="00614FED"/>
    <w:rsid w:val="006234F9"/>
    <w:rsid w:val="006251D9"/>
    <w:rsid w:val="00625848"/>
    <w:rsid w:val="0065795E"/>
    <w:rsid w:val="00663AA9"/>
    <w:rsid w:val="006705E0"/>
    <w:rsid w:val="00673DDA"/>
    <w:rsid w:val="00680FF6"/>
    <w:rsid w:val="00681426"/>
    <w:rsid w:val="0068231B"/>
    <w:rsid w:val="00685605"/>
    <w:rsid w:val="0069324B"/>
    <w:rsid w:val="00696E54"/>
    <w:rsid w:val="006A20FE"/>
    <w:rsid w:val="006A58FA"/>
    <w:rsid w:val="006B1EE8"/>
    <w:rsid w:val="006B440F"/>
    <w:rsid w:val="006B6514"/>
    <w:rsid w:val="006D51A9"/>
    <w:rsid w:val="006D6FD2"/>
    <w:rsid w:val="006E0699"/>
    <w:rsid w:val="006E67B7"/>
    <w:rsid w:val="006E7E41"/>
    <w:rsid w:val="006F14E2"/>
    <w:rsid w:val="006F1D4B"/>
    <w:rsid w:val="0070505F"/>
    <w:rsid w:val="00714503"/>
    <w:rsid w:val="007169A4"/>
    <w:rsid w:val="007177EF"/>
    <w:rsid w:val="007229ED"/>
    <w:rsid w:val="007419CE"/>
    <w:rsid w:val="00743948"/>
    <w:rsid w:val="00750D1E"/>
    <w:rsid w:val="00750F11"/>
    <w:rsid w:val="00752E2D"/>
    <w:rsid w:val="0075537E"/>
    <w:rsid w:val="00757807"/>
    <w:rsid w:val="00761657"/>
    <w:rsid w:val="00773251"/>
    <w:rsid w:val="00777374"/>
    <w:rsid w:val="00777557"/>
    <w:rsid w:val="00785FE3"/>
    <w:rsid w:val="00790321"/>
    <w:rsid w:val="007A76BD"/>
    <w:rsid w:val="007B37AB"/>
    <w:rsid w:val="007D291F"/>
    <w:rsid w:val="007E108E"/>
    <w:rsid w:val="007E42D1"/>
    <w:rsid w:val="007F2BEF"/>
    <w:rsid w:val="007F3570"/>
    <w:rsid w:val="0080238B"/>
    <w:rsid w:val="00823C42"/>
    <w:rsid w:val="008255F2"/>
    <w:rsid w:val="00826AA2"/>
    <w:rsid w:val="008358D2"/>
    <w:rsid w:val="008477EA"/>
    <w:rsid w:val="008768B6"/>
    <w:rsid w:val="00877A34"/>
    <w:rsid w:val="00884B51"/>
    <w:rsid w:val="00896940"/>
    <w:rsid w:val="008B4589"/>
    <w:rsid w:val="008B5C8B"/>
    <w:rsid w:val="008C5B7A"/>
    <w:rsid w:val="008D2749"/>
    <w:rsid w:val="008D6247"/>
    <w:rsid w:val="008D7D33"/>
    <w:rsid w:val="008F10E3"/>
    <w:rsid w:val="009207EA"/>
    <w:rsid w:val="00926207"/>
    <w:rsid w:val="00944376"/>
    <w:rsid w:val="0094744D"/>
    <w:rsid w:val="009A0A8D"/>
    <w:rsid w:val="009A3EAD"/>
    <w:rsid w:val="009C07EA"/>
    <w:rsid w:val="009C5305"/>
    <w:rsid w:val="009D35DF"/>
    <w:rsid w:val="009F272D"/>
    <w:rsid w:val="009F5E58"/>
    <w:rsid w:val="00A211BA"/>
    <w:rsid w:val="00A26E37"/>
    <w:rsid w:val="00A404C0"/>
    <w:rsid w:val="00A576D7"/>
    <w:rsid w:val="00A645BA"/>
    <w:rsid w:val="00A720B5"/>
    <w:rsid w:val="00A72882"/>
    <w:rsid w:val="00A84CEF"/>
    <w:rsid w:val="00A904BE"/>
    <w:rsid w:val="00A933DF"/>
    <w:rsid w:val="00AB5B02"/>
    <w:rsid w:val="00AC4868"/>
    <w:rsid w:val="00AC7711"/>
    <w:rsid w:val="00AD230F"/>
    <w:rsid w:val="00AD3540"/>
    <w:rsid w:val="00AE035D"/>
    <w:rsid w:val="00B35F68"/>
    <w:rsid w:val="00B3679E"/>
    <w:rsid w:val="00B45C51"/>
    <w:rsid w:val="00B50CDD"/>
    <w:rsid w:val="00B6021A"/>
    <w:rsid w:val="00B6160A"/>
    <w:rsid w:val="00B6458A"/>
    <w:rsid w:val="00B65732"/>
    <w:rsid w:val="00B65FA5"/>
    <w:rsid w:val="00B711D2"/>
    <w:rsid w:val="00B732E3"/>
    <w:rsid w:val="00B83CA8"/>
    <w:rsid w:val="00B8756E"/>
    <w:rsid w:val="00B91582"/>
    <w:rsid w:val="00BA6EF7"/>
    <w:rsid w:val="00BB06AF"/>
    <w:rsid w:val="00BB6618"/>
    <w:rsid w:val="00BD73B6"/>
    <w:rsid w:val="00BE036E"/>
    <w:rsid w:val="00C130D5"/>
    <w:rsid w:val="00C253E1"/>
    <w:rsid w:val="00C27A2A"/>
    <w:rsid w:val="00C41D69"/>
    <w:rsid w:val="00C543D8"/>
    <w:rsid w:val="00C7654C"/>
    <w:rsid w:val="00C86948"/>
    <w:rsid w:val="00C948C2"/>
    <w:rsid w:val="00CB4CE6"/>
    <w:rsid w:val="00CE68E8"/>
    <w:rsid w:val="00CF49B8"/>
    <w:rsid w:val="00D154EC"/>
    <w:rsid w:val="00D21789"/>
    <w:rsid w:val="00D2609A"/>
    <w:rsid w:val="00D51227"/>
    <w:rsid w:val="00D707F9"/>
    <w:rsid w:val="00D712C8"/>
    <w:rsid w:val="00D80381"/>
    <w:rsid w:val="00D828D5"/>
    <w:rsid w:val="00D84805"/>
    <w:rsid w:val="00D952FC"/>
    <w:rsid w:val="00DA6A47"/>
    <w:rsid w:val="00DE35A8"/>
    <w:rsid w:val="00E03585"/>
    <w:rsid w:val="00E24AC3"/>
    <w:rsid w:val="00E45B7C"/>
    <w:rsid w:val="00E72E02"/>
    <w:rsid w:val="00E7523E"/>
    <w:rsid w:val="00E806DD"/>
    <w:rsid w:val="00E93081"/>
    <w:rsid w:val="00E935DC"/>
    <w:rsid w:val="00E93A97"/>
    <w:rsid w:val="00E94DE5"/>
    <w:rsid w:val="00E961BC"/>
    <w:rsid w:val="00EA499F"/>
    <w:rsid w:val="00EB0CA5"/>
    <w:rsid w:val="00EB7FD6"/>
    <w:rsid w:val="00EC0CF9"/>
    <w:rsid w:val="00EC1D77"/>
    <w:rsid w:val="00EC5DD4"/>
    <w:rsid w:val="00ED3467"/>
    <w:rsid w:val="00ED4C36"/>
    <w:rsid w:val="00EE3B94"/>
    <w:rsid w:val="00EF35DA"/>
    <w:rsid w:val="00F07944"/>
    <w:rsid w:val="00F2299A"/>
    <w:rsid w:val="00F3143E"/>
    <w:rsid w:val="00F34D8C"/>
    <w:rsid w:val="00F35B12"/>
    <w:rsid w:val="00F521A2"/>
    <w:rsid w:val="00F62A6C"/>
    <w:rsid w:val="00F6652C"/>
    <w:rsid w:val="00F7350D"/>
    <w:rsid w:val="00F739AB"/>
    <w:rsid w:val="00F87DE9"/>
    <w:rsid w:val="00F95F76"/>
    <w:rsid w:val="00FB406D"/>
    <w:rsid w:val="00FB68CD"/>
    <w:rsid w:val="00FC136A"/>
    <w:rsid w:val="00FC465A"/>
    <w:rsid w:val="00FC628F"/>
    <w:rsid w:val="00FE205D"/>
    <w:rsid w:val="00FF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72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BD"/>
    <w:pPr>
      <w:spacing w:before="120" w:line="360" w:lineRule="auto"/>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aliases w:val="MT"/>
    <w:basedOn w:val="FirstPara"/>
    <w:rsid w:val="001A6B24"/>
    <w:pPr>
      <w:spacing w:before="0"/>
      <w:ind w:firstLine="300"/>
    </w:pPr>
  </w:style>
  <w:style w:type="paragraph" w:customStyle="1" w:styleId="FirstPara">
    <w:name w:val="FirstPara"/>
    <w:aliases w:val="FP"/>
    <w:basedOn w:val="Normal"/>
    <w:next w:val="MainText"/>
    <w:rsid w:val="001A6B24"/>
  </w:style>
  <w:style w:type="paragraph" w:customStyle="1" w:styleId="EndNoteBibliographyTitle">
    <w:name w:val="EndNote Bibliography Title"/>
    <w:basedOn w:val="Normal"/>
    <w:rsid w:val="00E93A97"/>
    <w:pPr>
      <w:jc w:val="center"/>
    </w:pPr>
    <w:rPr>
      <w:lang w:val="en-US"/>
    </w:rPr>
  </w:style>
  <w:style w:type="paragraph" w:customStyle="1" w:styleId="EndNoteBibliography">
    <w:name w:val="EndNote Bibliography"/>
    <w:basedOn w:val="Normal"/>
    <w:rsid w:val="00E93A97"/>
    <w:pPr>
      <w:spacing w:line="240" w:lineRule="auto"/>
    </w:pPr>
    <w:rPr>
      <w:lang w:val="en-US"/>
    </w:rPr>
  </w:style>
  <w:style w:type="character" w:styleId="Hyperlink">
    <w:name w:val="Hyperlink"/>
    <w:basedOn w:val="DefaultParagraphFont"/>
    <w:uiPriority w:val="99"/>
    <w:unhideWhenUsed/>
    <w:rsid w:val="00E93A97"/>
    <w:rPr>
      <w:color w:val="0000FF" w:themeColor="hyperlink"/>
      <w:u w:val="single"/>
    </w:rPr>
  </w:style>
  <w:style w:type="table" w:styleId="TableGrid">
    <w:name w:val="Table Grid"/>
    <w:basedOn w:val="TableNormal"/>
    <w:uiPriority w:val="59"/>
    <w:rsid w:val="0074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C3B"/>
    <w:pPr>
      <w:ind w:left="720"/>
      <w:contextualSpacing/>
    </w:pPr>
  </w:style>
  <w:style w:type="paragraph" w:styleId="BalloonText">
    <w:name w:val="Balloon Text"/>
    <w:basedOn w:val="Normal"/>
    <w:link w:val="BalloonTextChar"/>
    <w:uiPriority w:val="99"/>
    <w:semiHidden/>
    <w:unhideWhenUsed/>
    <w:rsid w:val="00E93081"/>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81"/>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102D43"/>
    <w:rPr>
      <w:sz w:val="16"/>
      <w:szCs w:val="16"/>
    </w:rPr>
  </w:style>
  <w:style w:type="paragraph" w:styleId="CommentText">
    <w:name w:val="annotation text"/>
    <w:basedOn w:val="Normal"/>
    <w:link w:val="CommentTextChar"/>
    <w:uiPriority w:val="99"/>
    <w:semiHidden/>
    <w:unhideWhenUsed/>
    <w:rsid w:val="00102D43"/>
    <w:pPr>
      <w:spacing w:line="240" w:lineRule="auto"/>
    </w:pPr>
    <w:rPr>
      <w:sz w:val="20"/>
      <w:szCs w:val="20"/>
    </w:rPr>
  </w:style>
  <w:style w:type="character" w:customStyle="1" w:styleId="CommentTextChar">
    <w:name w:val="Comment Text Char"/>
    <w:basedOn w:val="DefaultParagraphFont"/>
    <w:link w:val="CommentText"/>
    <w:uiPriority w:val="99"/>
    <w:semiHidden/>
    <w:rsid w:val="00102D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2D43"/>
    <w:rPr>
      <w:b/>
      <w:bCs/>
    </w:rPr>
  </w:style>
  <w:style w:type="character" w:customStyle="1" w:styleId="CommentSubjectChar">
    <w:name w:val="Comment Subject Char"/>
    <w:basedOn w:val="CommentTextChar"/>
    <w:link w:val="CommentSubject"/>
    <w:uiPriority w:val="99"/>
    <w:semiHidden/>
    <w:rsid w:val="00102D43"/>
    <w:rPr>
      <w:rFonts w:ascii="Times New Roman" w:eastAsia="Times New Roman" w:hAnsi="Times New Roman" w:cs="Times New Roman"/>
      <w:b/>
      <w:bCs/>
      <w:sz w:val="20"/>
      <w:szCs w:val="20"/>
      <w:lang w:val="en-GB"/>
    </w:rPr>
  </w:style>
  <w:style w:type="paragraph" w:styleId="NoSpacing">
    <w:name w:val="No Spacing"/>
    <w:aliases w:val="2nd para"/>
    <w:basedOn w:val="Normal"/>
    <w:uiPriority w:val="1"/>
    <w:qFormat/>
    <w:rsid w:val="00B83CA8"/>
    <w:pPr>
      <w:ind w:firstLine="284"/>
    </w:pPr>
  </w:style>
  <w:style w:type="paragraph" w:styleId="Caption">
    <w:name w:val="caption"/>
    <w:basedOn w:val="Normal"/>
    <w:next w:val="Normal"/>
    <w:uiPriority w:val="35"/>
    <w:unhideWhenUsed/>
    <w:qFormat/>
    <w:rsid w:val="00BA6EF7"/>
    <w:pPr>
      <w:keepNext/>
      <w:spacing w:before="0" w:after="200" w:line="240" w:lineRule="auto"/>
    </w:pPr>
    <w:rPr>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BD"/>
    <w:pPr>
      <w:spacing w:before="120" w:line="360" w:lineRule="auto"/>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aliases w:val="MT"/>
    <w:basedOn w:val="FirstPara"/>
    <w:rsid w:val="001A6B24"/>
    <w:pPr>
      <w:spacing w:before="0"/>
      <w:ind w:firstLine="300"/>
    </w:pPr>
  </w:style>
  <w:style w:type="paragraph" w:customStyle="1" w:styleId="FirstPara">
    <w:name w:val="FirstPara"/>
    <w:aliases w:val="FP"/>
    <w:basedOn w:val="Normal"/>
    <w:next w:val="MainText"/>
    <w:rsid w:val="001A6B24"/>
  </w:style>
  <w:style w:type="paragraph" w:customStyle="1" w:styleId="EndNoteBibliographyTitle">
    <w:name w:val="EndNote Bibliography Title"/>
    <w:basedOn w:val="Normal"/>
    <w:rsid w:val="00E93A97"/>
    <w:pPr>
      <w:jc w:val="center"/>
    </w:pPr>
    <w:rPr>
      <w:lang w:val="en-US"/>
    </w:rPr>
  </w:style>
  <w:style w:type="paragraph" w:customStyle="1" w:styleId="EndNoteBibliography">
    <w:name w:val="EndNote Bibliography"/>
    <w:basedOn w:val="Normal"/>
    <w:rsid w:val="00E93A97"/>
    <w:pPr>
      <w:spacing w:line="240" w:lineRule="auto"/>
    </w:pPr>
    <w:rPr>
      <w:lang w:val="en-US"/>
    </w:rPr>
  </w:style>
  <w:style w:type="character" w:styleId="Hyperlink">
    <w:name w:val="Hyperlink"/>
    <w:basedOn w:val="DefaultParagraphFont"/>
    <w:uiPriority w:val="99"/>
    <w:unhideWhenUsed/>
    <w:rsid w:val="00E93A97"/>
    <w:rPr>
      <w:color w:val="0000FF" w:themeColor="hyperlink"/>
      <w:u w:val="single"/>
    </w:rPr>
  </w:style>
  <w:style w:type="table" w:styleId="TableGrid">
    <w:name w:val="Table Grid"/>
    <w:basedOn w:val="TableNormal"/>
    <w:uiPriority w:val="59"/>
    <w:rsid w:val="0074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C3B"/>
    <w:pPr>
      <w:ind w:left="720"/>
      <w:contextualSpacing/>
    </w:pPr>
  </w:style>
  <w:style w:type="paragraph" w:styleId="BalloonText">
    <w:name w:val="Balloon Text"/>
    <w:basedOn w:val="Normal"/>
    <w:link w:val="BalloonTextChar"/>
    <w:uiPriority w:val="99"/>
    <w:semiHidden/>
    <w:unhideWhenUsed/>
    <w:rsid w:val="00E93081"/>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81"/>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102D43"/>
    <w:rPr>
      <w:sz w:val="16"/>
      <w:szCs w:val="16"/>
    </w:rPr>
  </w:style>
  <w:style w:type="paragraph" w:styleId="CommentText">
    <w:name w:val="annotation text"/>
    <w:basedOn w:val="Normal"/>
    <w:link w:val="CommentTextChar"/>
    <w:uiPriority w:val="99"/>
    <w:semiHidden/>
    <w:unhideWhenUsed/>
    <w:rsid w:val="00102D43"/>
    <w:pPr>
      <w:spacing w:line="240" w:lineRule="auto"/>
    </w:pPr>
    <w:rPr>
      <w:sz w:val="20"/>
      <w:szCs w:val="20"/>
    </w:rPr>
  </w:style>
  <w:style w:type="character" w:customStyle="1" w:styleId="CommentTextChar">
    <w:name w:val="Comment Text Char"/>
    <w:basedOn w:val="DefaultParagraphFont"/>
    <w:link w:val="CommentText"/>
    <w:uiPriority w:val="99"/>
    <w:semiHidden/>
    <w:rsid w:val="00102D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2D43"/>
    <w:rPr>
      <w:b/>
      <w:bCs/>
    </w:rPr>
  </w:style>
  <w:style w:type="character" w:customStyle="1" w:styleId="CommentSubjectChar">
    <w:name w:val="Comment Subject Char"/>
    <w:basedOn w:val="CommentTextChar"/>
    <w:link w:val="CommentSubject"/>
    <w:uiPriority w:val="99"/>
    <w:semiHidden/>
    <w:rsid w:val="00102D43"/>
    <w:rPr>
      <w:rFonts w:ascii="Times New Roman" w:eastAsia="Times New Roman" w:hAnsi="Times New Roman" w:cs="Times New Roman"/>
      <w:b/>
      <w:bCs/>
      <w:sz w:val="20"/>
      <w:szCs w:val="20"/>
      <w:lang w:val="en-GB"/>
    </w:rPr>
  </w:style>
  <w:style w:type="paragraph" w:styleId="NoSpacing">
    <w:name w:val="No Spacing"/>
    <w:aliases w:val="2nd para"/>
    <w:basedOn w:val="Normal"/>
    <w:uiPriority w:val="1"/>
    <w:qFormat/>
    <w:rsid w:val="00B83CA8"/>
    <w:pPr>
      <w:ind w:firstLine="284"/>
    </w:pPr>
  </w:style>
  <w:style w:type="paragraph" w:styleId="Caption">
    <w:name w:val="caption"/>
    <w:basedOn w:val="Normal"/>
    <w:next w:val="Normal"/>
    <w:uiPriority w:val="35"/>
    <w:unhideWhenUsed/>
    <w:qFormat/>
    <w:rsid w:val="00BA6EF7"/>
    <w:pPr>
      <w:keepNext/>
      <w:spacing w:before="0" w:after="200" w:line="240" w:lineRule="auto"/>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148">
      <w:bodyDiv w:val="1"/>
      <w:marLeft w:val="0"/>
      <w:marRight w:val="0"/>
      <w:marTop w:val="0"/>
      <w:marBottom w:val="0"/>
      <w:divBdr>
        <w:top w:val="none" w:sz="0" w:space="0" w:color="auto"/>
        <w:left w:val="none" w:sz="0" w:space="0" w:color="auto"/>
        <w:bottom w:val="none" w:sz="0" w:space="0" w:color="auto"/>
        <w:right w:val="none" w:sz="0" w:space="0" w:color="auto"/>
      </w:divBdr>
    </w:div>
    <w:div w:id="103621897">
      <w:bodyDiv w:val="1"/>
      <w:marLeft w:val="0"/>
      <w:marRight w:val="0"/>
      <w:marTop w:val="0"/>
      <w:marBottom w:val="0"/>
      <w:divBdr>
        <w:top w:val="none" w:sz="0" w:space="0" w:color="auto"/>
        <w:left w:val="none" w:sz="0" w:space="0" w:color="auto"/>
        <w:bottom w:val="none" w:sz="0" w:space="0" w:color="auto"/>
        <w:right w:val="none" w:sz="0" w:space="0" w:color="auto"/>
      </w:divBdr>
    </w:div>
    <w:div w:id="292055922">
      <w:bodyDiv w:val="1"/>
      <w:marLeft w:val="0"/>
      <w:marRight w:val="0"/>
      <w:marTop w:val="0"/>
      <w:marBottom w:val="0"/>
      <w:divBdr>
        <w:top w:val="none" w:sz="0" w:space="0" w:color="auto"/>
        <w:left w:val="none" w:sz="0" w:space="0" w:color="auto"/>
        <w:bottom w:val="none" w:sz="0" w:space="0" w:color="auto"/>
        <w:right w:val="none" w:sz="0" w:space="0" w:color="auto"/>
      </w:divBdr>
    </w:div>
    <w:div w:id="310671403">
      <w:bodyDiv w:val="1"/>
      <w:marLeft w:val="0"/>
      <w:marRight w:val="0"/>
      <w:marTop w:val="0"/>
      <w:marBottom w:val="0"/>
      <w:divBdr>
        <w:top w:val="none" w:sz="0" w:space="0" w:color="auto"/>
        <w:left w:val="none" w:sz="0" w:space="0" w:color="auto"/>
        <w:bottom w:val="none" w:sz="0" w:space="0" w:color="auto"/>
        <w:right w:val="none" w:sz="0" w:space="0" w:color="auto"/>
      </w:divBdr>
    </w:div>
    <w:div w:id="370809303">
      <w:bodyDiv w:val="1"/>
      <w:marLeft w:val="0"/>
      <w:marRight w:val="0"/>
      <w:marTop w:val="0"/>
      <w:marBottom w:val="0"/>
      <w:divBdr>
        <w:top w:val="none" w:sz="0" w:space="0" w:color="auto"/>
        <w:left w:val="none" w:sz="0" w:space="0" w:color="auto"/>
        <w:bottom w:val="none" w:sz="0" w:space="0" w:color="auto"/>
        <w:right w:val="none" w:sz="0" w:space="0" w:color="auto"/>
      </w:divBdr>
    </w:div>
    <w:div w:id="401218010">
      <w:bodyDiv w:val="1"/>
      <w:marLeft w:val="0"/>
      <w:marRight w:val="0"/>
      <w:marTop w:val="0"/>
      <w:marBottom w:val="0"/>
      <w:divBdr>
        <w:top w:val="none" w:sz="0" w:space="0" w:color="auto"/>
        <w:left w:val="none" w:sz="0" w:space="0" w:color="auto"/>
        <w:bottom w:val="none" w:sz="0" w:space="0" w:color="auto"/>
        <w:right w:val="none" w:sz="0" w:space="0" w:color="auto"/>
      </w:divBdr>
    </w:div>
    <w:div w:id="427972545">
      <w:bodyDiv w:val="1"/>
      <w:marLeft w:val="0"/>
      <w:marRight w:val="0"/>
      <w:marTop w:val="0"/>
      <w:marBottom w:val="0"/>
      <w:divBdr>
        <w:top w:val="none" w:sz="0" w:space="0" w:color="auto"/>
        <w:left w:val="none" w:sz="0" w:space="0" w:color="auto"/>
        <w:bottom w:val="none" w:sz="0" w:space="0" w:color="auto"/>
        <w:right w:val="none" w:sz="0" w:space="0" w:color="auto"/>
      </w:divBdr>
    </w:div>
    <w:div w:id="524094508">
      <w:bodyDiv w:val="1"/>
      <w:marLeft w:val="0"/>
      <w:marRight w:val="0"/>
      <w:marTop w:val="0"/>
      <w:marBottom w:val="0"/>
      <w:divBdr>
        <w:top w:val="none" w:sz="0" w:space="0" w:color="auto"/>
        <w:left w:val="none" w:sz="0" w:space="0" w:color="auto"/>
        <w:bottom w:val="none" w:sz="0" w:space="0" w:color="auto"/>
        <w:right w:val="none" w:sz="0" w:space="0" w:color="auto"/>
      </w:divBdr>
    </w:div>
    <w:div w:id="541334366">
      <w:bodyDiv w:val="1"/>
      <w:marLeft w:val="0"/>
      <w:marRight w:val="0"/>
      <w:marTop w:val="0"/>
      <w:marBottom w:val="0"/>
      <w:divBdr>
        <w:top w:val="none" w:sz="0" w:space="0" w:color="auto"/>
        <w:left w:val="none" w:sz="0" w:space="0" w:color="auto"/>
        <w:bottom w:val="none" w:sz="0" w:space="0" w:color="auto"/>
        <w:right w:val="none" w:sz="0" w:space="0" w:color="auto"/>
      </w:divBdr>
    </w:div>
    <w:div w:id="546376786">
      <w:bodyDiv w:val="1"/>
      <w:marLeft w:val="0"/>
      <w:marRight w:val="0"/>
      <w:marTop w:val="0"/>
      <w:marBottom w:val="0"/>
      <w:divBdr>
        <w:top w:val="none" w:sz="0" w:space="0" w:color="auto"/>
        <w:left w:val="none" w:sz="0" w:space="0" w:color="auto"/>
        <w:bottom w:val="none" w:sz="0" w:space="0" w:color="auto"/>
        <w:right w:val="none" w:sz="0" w:space="0" w:color="auto"/>
      </w:divBdr>
    </w:div>
    <w:div w:id="581068763">
      <w:bodyDiv w:val="1"/>
      <w:marLeft w:val="0"/>
      <w:marRight w:val="0"/>
      <w:marTop w:val="0"/>
      <w:marBottom w:val="0"/>
      <w:divBdr>
        <w:top w:val="none" w:sz="0" w:space="0" w:color="auto"/>
        <w:left w:val="none" w:sz="0" w:space="0" w:color="auto"/>
        <w:bottom w:val="none" w:sz="0" w:space="0" w:color="auto"/>
        <w:right w:val="none" w:sz="0" w:space="0" w:color="auto"/>
      </w:divBdr>
    </w:div>
    <w:div w:id="936255645">
      <w:bodyDiv w:val="1"/>
      <w:marLeft w:val="0"/>
      <w:marRight w:val="0"/>
      <w:marTop w:val="0"/>
      <w:marBottom w:val="0"/>
      <w:divBdr>
        <w:top w:val="none" w:sz="0" w:space="0" w:color="auto"/>
        <w:left w:val="none" w:sz="0" w:space="0" w:color="auto"/>
        <w:bottom w:val="none" w:sz="0" w:space="0" w:color="auto"/>
        <w:right w:val="none" w:sz="0" w:space="0" w:color="auto"/>
      </w:divBdr>
    </w:div>
    <w:div w:id="979965813">
      <w:bodyDiv w:val="1"/>
      <w:marLeft w:val="0"/>
      <w:marRight w:val="0"/>
      <w:marTop w:val="0"/>
      <w:marBottom w:val="0"/>
      <w:divBdr>
        <w:top w:val="none" w:sz="0" w:space="0" w:color="auto"/>
        <w:left w:val="none" w:sz="0" w:space="0" w:color="auto"/>
        <w:bottom w:val="none" w:sz="0" w:space="0" w:color="auto"/>
        <w:right w:val="none" w:sz="0" w:space="0" w:color="auto"/>
      </w:divBdr>
    </w:div>
    <w:div w:id="1076592580">
      <w:bodyDiv w:val="1"/>
      <w:marLeft w:val="0"/>
      <w:marRight w:val="0"/>
      <w:marTop w:val="0"/>
      <w:marBottom w:val="0"/>
      <w:divBdr>
        <w:top w:val="none" w:sz="0" w:space="0" w:color="auto"/>
        <w:left w:val="none" w:sz="0" w:space="0" w:color="auto"/>
        <w:bottom w:val="none" w:sz="0" w:space="0" w:color="auto"/>
        <w:right w:val="none" w:sz="0" w:space="0" w:color="auto"/>
      </w:divBdr>
    </w:div>
    <w:div w:id="1119835696">
      <w:bodyDiv w:val="1"/>
      <w:marLeft w:val="0"/>
      <w:marRight w:val="0"/>
      <w:marTop w:val="0"/>
      <w:marBottom w:val="0"/>
      <w:divBdr>
        <w:top w:val="none" w:sz="0" w:space="0" w:color="auto"/>
        <w:left w:val="none" w:sz="0" w:space="0" w:color="auto"/>
        <w:bottom w:val="none" w:sz="0" w:space="0" w:color="auto"/>
        <w:right w:val="none" w:sz="0" w:space="0" w:color="auto"/>
      </w:divBdr>
    </w:div>
    <w:div w:id="1161896467">
      <w:bodyDiv w:val="1"/>
      <w:marLeft w:val="0"/>
      <w:marRight w:val="0"/>
      <w:marTop w:val="0"/>
      <w:marBottom w:val="0"/>
      <w:divBdr>
        <w:top w:val="none" w:sz="0" w:space="0" w:color="auto"/>
        <w:left w:val="none" w:sz="0" w:space="0" w:color="auto"/>
        <w:bottom w:val="none" w:sz="0" w:space="0" w:color="auto"/>
        <w:right w:val="none" w:sz="0" w:space="0" w:color="auto"/>
      </w:divBdr>
    </w:div>
    <w:div w:id="1410882908">
      <w:bodyDiv w:val="1"/>
      <w:marLeft w:val="0"/>
      <w:marRight w:val="0"/>
      <w:marTop w:val="0"/>
      <w:marBottom w:val="0"/>
      <w:divBdr>
        <w:top w:val="none" w:sz="0" w:space="0" w:color="auto"/>
        <w:left w:val="none" w:sz="0" w:space="0" w:color="auto"/>
        <w:bottom w:val="none" w:sz="0" w:space="0" w:color="auto"/>
        <w:right w:val="none" w:sz="0" w:space="0" w:color="auto"/>
      </w:divBdr>
    </w:div>
    <w:div w:id="1433553808">
      <w:bodyDiv w:val="1"/>
      <w:marLeft w:val="0"/>
      <w:marRight w:val="0"/>
      <w:marTop w:val="0"/>
      <w:marBottom w:val="0"/>
      <w:divBdr>
        <w:top w:val="none" w:sz="0" w:space="0" w:color="auto"/>
        <w:left w:val="none" w:sz="0" w:space="0" w:color="auto"/>
        <w:bottom w:val="none" w:sz="0" w:space="0" w:color="auto"/>
        <w:right w:val="none" w:sz="0" w:space="0" w:color="auto"/>
      </w:divBdr>
    </w:div>
    <w:div w:id="1773746939">
      <w:bodyDiv w:val="1"/>
      <w:marLeft w:val="0"/>
      <w:marRight w:val="0"/>
      <w:marTop w:val="0"/>
      <w:marBottom w:val="0"/>
      <w:divBdr>
        <w:top w:val="none" w:sz="0" w:space="0" w:color="auto"/>
        <w:left w:val="none" w:sz="0" w:space="0" w:color="auto"/>
        <w:bottom w:val="none" w:sz="0" w:space="0" w:color="auto"/>
        <w:right w:val="none" w:sz="0" w:space="0" w:color="auto"/>
      </w:divBdr>
    </w:div>
    <w:div w:id="1809323152">
      <w:bodyDiv w:val="1"/>
      <w:marLeft w:val="0"/>
      <w:marRight w:val="0"/>
      <w:marTop w:val="0"/>
      <w:marBottom w:val="0"/>
      <w:divBdr>
        <w:top w:val="none" w:sz="0" w:space="0" w:color="auto"/>
        <w:left w:val="none" w:sz="0" w:space="0" w:color="auto"/>
        <w:bottom w:val="none" w:sz="0" w:space="0" w:color="auto"/>
        <w:right w:val="none" w:sz="0" w:space="0" w:color="auto"/>
      </w:divBdr>
    </w:div>
    <w:div w:id="1843616969">
      <w:bodyDiv w:val="1"/>
      <w:marLeft w:val="0"/>
      <w:marRight w:val="0"/>
      <w:marTop w:val="0"/>
      <w:marBottom w:val="0"/>
      <w:divBdr>
        <w:top w:val="none" w:sz="0" w:space="0" w:color="auto"/>
        <w:left w:val="none" w:sz="0" w:space="0" w:color="auto"/>
        <w:bottom w:val="none" w:sz="0" w:space="0" w:color="auto"/>
        <w:right w:val="none" w:sz="0" w:space="0" w:color="auto"/>
      </w:divBdr>
    </w:div>
    <w:div w:id="2045714103">
      <w:bodyDiv w:val="1"/>
      <w:marLeft w:val="0"/>
      <w:marRight w:val="0"/>
      <w:marTop w:val="0"/>
      <w:marBottom w:val="0"/>
      <w:divBdr>
        <w:top w:val="none" w:sz="0" w:space="0" w:color="auto"/>
        <w:left w:val="none" w:sz="0" w:space="0" w:color="auto"/>
        <w:bottom w:val="none" w:sz="0" w:space="0" w:color="auto"/>
        <w:right w:val="none" w:sz="0" w:space="0" w:color="auto"/>
      </w:divBdr>
    </w:div>
    <w:div w:id="207280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government/uploads/system/uploads/attachment_data/file/370017/Emerging_technologies_-strategy_2014-2018.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ul.ellwood@liverpool.ac.uk" TargetMode="External"/><Relationship Id="rId7" Type="http://schemas.openxmlformats.org/officeDocument/2006/relationships/hyperlink" Target="mailto:k.pandza@leeds.ac.uk" TargetMode="External"/><Relationship Id="rId8" Type="http://schemas.openxmlformats.org/officeDocument/2006/relationships/image" Target="media/image1.emf"/><Relationship Id="rId9" Type="http://schemas.openxmlformats.org/officeDocument/2006/relationships/hyperlink" Target="http://orion.asu.edu/Additional%20Reading/Mankins_trl.pdf" TargetMode="External"/><Relationship Id="rId10" Type="http://schemas.openxmlformats.org/officeDocument/2006/relationships/hyperlink" Target="http://dx.doi.org/10.10.1016/j.respol.2014.1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27</Pages>
  <Words>13683</Words>
  <Characters>77995</Characters>
  <Application>Microsoft Macintosh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Ellwood</dc:creator>
  <cp:lastModifiedBy>Paul Ellwood</cp:lastModifiedBy>
  <cp:revision>78</cp:revision>
  <dcterms:created xsi:type="dcterms:W3CDTF">2015-06-07T16:45:00Z</dcterms:created>
  <dcterms:modified xsi:type="dcterms:W3CDTF">2015-06-15T15:25:00Z</dcterms:modified>
</cp:coreProperties>
</file>