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CF" w:rsidRDefault="00DF39CF" w:rsidP="00DF39CF">
      <w:pPr>
        <w:pStyle w:val="Heading1"/>
      </w:pPr>
      <w:r>
        <w:t>The assumption of no statin effect in 1991-1992</w:t>
      </w:r>
    </w:p>
    <w:p w:rsidR="00DF39CF" w:rsidRDefault="00DF39CF" w:rsidP="00D66414">
      <w:pPr>
        <w:spacing w:line="360" w:lineRule="auto"/>
        <w:ind w:firstLine="0"/>
      </w:pPr>
      <w:r>
        <w:t>In 1991-92 statins were not widely used, and only reserved for individuals with very high cholesterol. This is supported from the Health Survey for England 1991-92 data; utilisation of any</w:t>
      </w:r>
      <w:r w:rsidRPr="008A5CE0">
        <w:t xml:space="preserve"> lipid lowering medications, including statins, was 0.5% (95% CI: 0.3% to 1.0%)</w:t>
      </w:r>
      <w:r>
        <w:t xml:space="preserve"> and the mean total cholesterol of the participants, on this medication, was 6.46 mmol/L (95% CI: 6.04 to 6.87). Moreover, statins available at that time were less effective and generally were prescribed in smaller strengths than today. So the </w:t>
      </w:r>
      <w:proofErr w:type="spellStart"/>
      <w:proofErr w:type="gramStart"/>
      <w:r>
        <w:t>E</w:t>
      </w:r>
      <w:r w:rsidRPr="00331DB8">
        <w:rPr>
          <w:vertAlign w:val="subscript"/>
        </w:rPr>
        <w:t>w</w:t>
      </w:r>
      <w:proofErr w:type="spellEnd"/>
      <w:proofErr w:type="gramEnd"/>
      <w:r>
        <w:t xml:space="preserve"> for 1991-92 would be much lower than the </w:t>
      </w:r>
      <w:proofErr w:type="spellStart"/>
      <w:r>
        <w:t>E</w:t>
      </w:r>
      <w:r w:rsidRPr="00331DB8">
        <w:rPr>
          <w:vertAlign w:val="subscript"/>
        </w:rPr>
        <w:t>w</w:t>
      </w:r>
      <w:proofErr w:type="spellEnd"/>
      <w:r>
        <w:t xml:space="preserve"> for 2001-12. Finally statins are the most effective medication in lowering total cholesterol on individuals.</w:t>
      </w:r>
    </w:p>
    <w:p w:rsidR="00DF39CF" w:rsidRPr="00747799" w:rsidRDefault="00DF39CF" w:rsidP="00D66414">
      <w:pPr>
        <w:spacing w:line="360" w:lineRule="auto"/>
        <w:ind w:firstLine="0"/>
      </w:pPr>
      <w:r>
        <w:t>Let us consider the following scenario. All the lipid lowering medication users in 1991-92 were on statins and statins effectiveness was as high as we observed in 2011-12 (</w:t>
      </w:r>
      <w:proofErr w:type="spellStart"/>
      <w:r>
        <w:t>E</w:t>
      </w:r>
      <w:r w:rsidRPr="00331DB8"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 xml:space="preserve">for 1991-92 equal to </w:t>
      </w:r>
      <w:proofErr w:type="spellStart"/>
      <w:r>
        <w:t>E</w:t>
      </w:r>
      <w:r w:rsidRPr="00331DB8">
        <w:rPr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 xml:space="preserve">for 2011-12). Even in this extreme and highly unlikely scenario, the mean total cholesterol of the population for 1991-92 with the effect of statin </w:t>
      </w:r>
      <w:proofErr w:type="gramStart"/>
      <w:r>
        <w:t>removed,</w:t>
      </w:r>
      <w:proofErr w:type="gramEnd"/>
      <w:r>
        <w:t xml:space="preserve"> would be 5.87 mmol/L (95% CI: 5.83 to 5.91). Not much different from the observed one </w:t>
      </w:r>
      <w:proofErr w:type="gramStart"/>
      <w:r>
        <w:t xml:space="preserve">of </w:t>
      </w:r>
      <w:r w:rsidRPr="002848E5">
        <w:rPr>
          <w:rFonts w:eastAsia="Times New Roman"/>
          <w:lang w:eastAsia="en-GB"/>
        </w:rPr>
        <w:t>5.86</w:t>
      </w:r>
      <w:r w:rsidRPr="00EC7C80">
        <w:rPr>
          <w:rFonts w:eastAsia="Times New Roman"/>
          <w:lang w:eastAsia="en-GB"/>
        </w:rPr>
        <w:t xml:space="preserve"> </w:t>
      </w:r>
      <w:r w:rsidRPr="002848E5">
        <w:rPr>
          <w:rFonts w:eastAsia="Times New Roman"/>
          <w:lang w:eastAsia="en-GB"/>
        </w:rPr>
        <w:t>mmol/L</w:t>
      </w:r>
      <w:proofErr w:type="gramEnd"/>
      <w:r w:rsidRPr="002848E5">
        <w:rPr>
          <w:rFonts w:eastAsia="Times New Roman"/>
          <w:lang w:eastAsia="en-GB"/>
        </w:rPr>
        <w:t xml:space="preserve"> (95% CI: 5.82 to </w:t>
      </w:r>
      <w:r>
        <w:rPr>
          <w:rFonts w:eastAsia="Times New Roman"/>
          <w:lang w:eastAsia="en-GB"/>
        </w:rPr>
        <w:t xml:space="preserve">5.90). Therefore, we consider the bias from our decision to ignore any possible statin effect in 1991-92 negligible. </w:t>
      </w:r>
    </w:p>
    <w:p w:rsidR="00DF39CF" w:rsidRDefault="00DF39CF" w:rsidP="00DF39CF">
      <w:pPr>
        <w:ind w:firstLine="0"/>
      </w:pPr>
    </w:p>
    <w:p w:rsidR="00DF39CF" w:rsidRDefault="00DF39CF" w:rsidP="002C1108">
      <w:pPr>
        <w:pStyle w:val="Caption"/>
      </w:pPr>
    </w:p>
    <w:p w:rsidR="00DF39CF" w:rsidRDefault="00DF39CF" w:rsidP="00DF39CF"/>
    <w:p w:rsidR="00DF39CF" w:rsidRDefault="00DF39CF" w:rsidP="00DF39CF"/>
    <w:p w:rsidR="00DF39CF" w:rsidRDefault="00DF39CF" w:rsidP="00DF39CF"/>
    <w:p w:rsidR="00DF39CF" w:rsidRDefault="00DF39CF" w:rsidP="00DF39CF"/>
    <w:p w:rsidR="00DF39CF" w:rsidRDefault="00DF39CF" w:rsidP="00DF39CF"/>
    <w:p w:rsidR="00DF39CF" w:rsidRDefault="00DF39CF" w:rsidP="00DF39CF"/>
    <w:p w:rsidR="00DF39CF" w:rsidRDefault="00DF39CF" w:rsidP="00DF39CF"/>
    <w:p w:rsidR="00D66414" w:rsidRDefault="00D66414" w:rsidP="00DF39CF"/>
    <w:p w:rsidR="00DF39CF" w:rsidRPr="00DF39CF" w:rsidRDefault="00DF39CF" w:rsidP="00DF39CF"/>
    <w:p w:rsidR="006A4F12" w:rsidRPr="002C1108" w:rsidRDefault="006A4F12" w:rsidP="002C1108">
      <w:pPr>
        <w:pStyle w:val="Caption"/>
      </w:pPr>
      <w:proofErr w:type="gramStart"/>
      <w:r w:rsidRPr="002C1108">
        <w:lastRenderedPageBreak/>
        <w:t xml:space="preserve">Table </w:t>
      </w:r>
      <w:r w:rsidR="00892FE1">
        <w:fldChar w:fldCharType="begin"/>
      </w:r>
      <w:r w:rsidR="00892FE1">
        <w:instrText xml:space="preserve"> SEQ Table \* ARABIC </w:instrText>
      </w:r>
      <w:r w:rsidR="00892FE1">
        <w:fldChar w:fldCharType="separate"/>
      </w:r>
      <w:r w:rsidR="008A0E3C">
        <w:rPr>
          <w:noProof/>
        </w:rPr>
        <w:t>1</w:t>
      </w:r>
      <w:r w:rsidR="00892FE1">
        <w:rPr>
          <w:noProof/>
        </w:rPr>
        <w:fldChar w:fldCharType="end"/>
      </w:r>
      <w:r w:rsidRPr="002C1108">
        <w:t>.</w:t>
      </w:r>
      <w:proofErr w:type="gramEnd"/>
      <w:r w:rsidRPr="002C1108">
        <w:t xml:space="preserve"> </w:t>
      </w:r>
      <w:r w:rsidR="00B41938" w:rsidRPr="002C1108">
        <w:t xml:space="preserve">Final percentage reductions of each specific statin and strength that were used for the estimation of the weighted average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sub>
        </m:sSub>
      </m:oMath>
      <w:r w:rsidR="00B41938" w:rsidRPr="002C1108">
        <w:t xml:space="preserve">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255"/>
        <w:gridCol w:w="2928"/>
        <w:gridCol w:w="3757"/>
      </w:tblGrid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b/>
                <w:sz w:val="20"/>
                <w:szCs w:val="20"/>
                <w:lang w:eastAsia="en-GB"/>
              </w:rPr>
              <w:t>Chemical name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b/>
                <w:sz w:val="20"/>
                <w:szCs w:val="20"/>
                <w:lang w:eastAsia="en-GB"/>
              </w:rPr>
              <w:t>Strength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b/>
                <w:sz w:val="20"/>
                <w:szCs w:val="20"/>
                <w:lang w:eastAsia="en-GB"/>
              </w:rPr>
              <w:t>Total cholesterol reduction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F348C5" w:rsidRDefault="001D7F58" w:rsidP="00F348C5">
            <w:pPr>
              <w:spacing w:after="0" w:line="240" w:lineRule="auto"/>
              <w:ind w:hanging="20"/>
              <w:jc w:val="center"/>
              <w:rPr>
                <w:b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b/>
                <w:sz w:val="20"/>
                <w:szCs w:val="20"/>
                <w:lang w:eastAsia="en-GB"/>
              </w:rPr>
              <w:t>Weight</w:t>
            </w:r>
            <w:r w:rsidR="006A4F12" w:rsidRPr="000012EC">
              <w:rPr>
                <w:b/>
                <w:sz w:val="20"/>
                <w:szCs w:val="20"/>
                <w:lang w:eastAsia="en-GB"/>
              </w:rPr>
              <w:t xml:space="preserve">s </w:t>
            </w:r>
          </w:p>
          <w:p w:rsidR="001D7F58" w:rsidRPr="000012EC" w:rsidRDefault="006A4F12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0012EC">
              <w:rPr>
                <w:b/>
                <w:sz w:val="20"/>
                <w:szCs w:val="20"/>
                <w:lang w:eastAsia="en-GB"/>
              </w:rPr>
              <w:t xml:space="preserve">(for the weighted mean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sub>
              </m:sSub>
            </m:oMath>
            <w:r w:rsidRPr="000012EC">
              <w:rPr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Atorvastatin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27.3% (24.9-30.2%)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0.1046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Atorvastatin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32.7% (30.1-35.7%)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0.0361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Atorvastatin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35.8% (34.8-36.7%)</w:t>
            </w:r>
            <w:r w:rsidR="00987971" w:rsidRPr="000012EC">
              <w:rPr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0.0005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Atorvastatin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38.4% (34.6-42.3%)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0.0350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Atorvastatin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41.0% (39.7-42.3%)</w:t>
            </w:r>
            <w:r w:rsidR="00987971" w:rsidRPr="000012EC">
              <w:rPr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0.0005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Atorvastatin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42.8% (37.4-48.0%)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0.0118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>Fluvastatin</w:t>
            </w:r>
            <w:proofErr w:type="spellEnd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 xml:space="preserve"> Sodium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16.4% (14.6-18.4%)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0.0006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>Fluvastatin</w:t>
            </w:r>
            <w:proofErr w:type="spellEnd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 xml:space="preserve"> Sodium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20.7% (19</w:t>
            </w:r>
            <w:r w:rsidR="008443BE" w:rsidRPr="000012EC">
              <w:rPr>
                <w:sz w:val="20"/>
                <w:szCs w:val="20"/>
                <w:lang w:eastAsia="en-GB"/>
              </w:rPr>
              <w:t>.0</w:t>
            </w: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-22.5%)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0.0173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>Fluvastatin</w:t>
            </w:r>
            <w:proofErr w:type="spellEnd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 xml:space="preserve"> Sodium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23.3% (20.6-25.9%)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0.0163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Pravastatin Sodium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10.4% (0.7-20.2%)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0.0001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Pravastatin Sodium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14.5% (12.5-16.2%)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0.0038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Pravastatin Sodium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17.7% (16.9-18.9%)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0.0111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Pravastatin Sodium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22.0% (20.7-23.0%)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0.0106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>Rosuvastatin</w:t>
            </w:r>
            <w:proofErr w:type="spellEnd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 xml:space="preserve"> Calcium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25.9% (24.7-27.6%)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0.0114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>Rosuvastatin</w:t>
            </w:r>
            <w:proofErr w:type="spellEnd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 xml:space="preserve"> Calcium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29.0% (27.8-30.6%)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0.0214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>Rosuvastatin</w:t>
            </w:r>
            <w:proofErr w:type="spellEnd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 xml:space="preserve"> Calcium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32.1% (30.9-33.6%)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0.0042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>Rosuvastatin</w:t>
            </w:r>
            <w:proofErr w:type="spellEnd"/>
            <w:r w:rsidRPr="000012EC">
              <w:rPr>
                <w:rFonts w:eastAsia="Times New Roman"/>
                <w:sz w:val="20"/>
                <w:szCs w:val="20"/>
                <w:lang w:eastAsia="en-GB"/>
              </w:rPr>
              <w:t xml:space="preserve"> Calcium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35.2% (34</w:t>
            </w:r>
            <w:r w:rsidR="008443BE" w:rsidRPr="000012EC">
              <w:rPr>
                <w:sz w:val="20"/>
                <w:szCs w:val="20"/>
                <w:lang w:eastAsia="en-GB"/>
              </w:rPr>
              <w:t>.0</w:t>
            </w: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-36.6%)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0.0012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20.1% (18.9-21.7%)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0.0477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23.5% (22.4-25.0%)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0.4261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24.6% (24.3-25.0%)</w:t>
            </w:r>
            <w:r w:rsidR="00987971" w:rsidRPr="000012EC">
              <w:rPr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0.0001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27.0% (25.2-28.9%)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0.2339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30.4% (29.6-31.3%)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0.0045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 &amp; Ezetimibe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23.5% (22.4-25.0%)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0.0003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 &amp; Ezetimibe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27.0% (25.2-28.9%)</w:t>
            </w:r>
          </w:p>
        </w:tc>
        <w:tc>
          <w:tcPr>
            <w:tcW w:w="1782" w:type="pct"/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0.0008</w:t>
            </w:r>
          </w:p>
        </w:tc>
      </w:tr>
      <w:tr w:rsidR="000012EC" w:rsidRPr="000012EC" w:rsidTr="000012EC">
        <w:trPr>
          <w:trHeight w:val="300"/>
        </w:trPr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8" w:rsidRPr="000012EC" w:rsidRDefault="001D7F58" w:rsidP="000012E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Simvastatin &amp; Ezetimibe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30.4% (29.6-31.3%)</w:t>
            </w:r>
          </w:p>
        </w:tc>
        <w:tc>
          <w:tcPr>
            <w:tcW w:w="1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58" w:rsidRPr="000012EC" w:rsidRDefault="001D7F58" w:rsidP="00F348C5">
            <w:pPr>
              <w:spacing w:after="0" w:line="240" w:lineRule="auto"/>
              <w:ind w:hanging="20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0012EC">
              <w:rPr>
                <w:rFonts w:eastAsia="Times New Roman"/>
                <w:sz w:val="20"/>
                <w:szCs w:val="20"/>
                <w:lang w:eastAsia="en-GB"/>
              </w:rPr>
              <w:t>0.0001</w:t>
            </w:r>
          </w:p>
        </w:tc>
      </w:tr>
      <w:tr w:rsidR="00987971" w:rsidRPr="000012EC" w:rsidTr="000012EC">
        <w:trPr>
          <w:trHeight w:val="30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987971" w:rsidRPr="000012EC" w:rsidRDefault="00206AFE" w:rsidP="00024E09">
            <w:pPr>
              <w:spacing w:after="0" w:line="240" w:lineRule="auto"/>
              <w:ind w:firstLine="0"/>
              <w:rPr>
                <w:sz w:val="20"/>
                <w:szCs w:val="20"/>
                <w:lang w:eastAsia="en-GB"/>
              </w:rPr>
            </w:pPr>
            <w:r w:rsidRPr="000012EC">
              <w:rPr>
                <w:sz w:val="20"/>
                <w:szCs w:val="20"/>
                <w:lang w:eastAsia="en-GB"/>
              </w:rPr>
              <w:t xml:space="preserve">* </w:t>
            </w:r>
            <w:r w:rsidR="006A4F12" w:rsidRPr="000012EC">
              <w:rPr>
                <w:sz w:val="20"/>
                <w:szCs w:val="20"/>
                <w:lang w:eastAsia="en-GB"/>
              </w:rPr>
              <w:t>Value</w:t>
            </w:r>
            <w:r w:rsidR="00024E09">
              <w:rPr>
                <w:sz w:val="20"/>
                <w:szCs w:val="20"/>
                <w:lang w:eastAsia="en-GB"/>
              </w:rPr>
              <w:t>s</w:t>
            </w:r>
            <w:r w:rsidR="006A4F12" w:rsidRPr="000012EC">
              <w:rPr>
                <w:sz w:val="20"/>
                <w:szCs w:val="20"/>
                <w:lang w:eastAsia="en-GB"/>
              </w:rPr>
              <w:t xml:space="preserve"> derived from linear regression with total cholesterol reduction as the dependent variable and the natural logarithm of strength as the independent one. </w:t>
            </w:r>
            <w:r w:rsidR="00024E09">
              <w:rPr>
                <w:sz w:val="20"/>
                <w:szCs w:val="20"/>
                <w:lang w:eastAsia="en-GB"/>
              </w:rPr>
              <w:t>T</w:t>
            </w:r>
            <w:r w:rsidR="006A4F12" w:rsidRPr="000012EC">
              <w:rPr>
                <w:sz w:val="20"/>
                <w:szCs w:val="20"/>
                <w:lang w:eastAsia="en-GB"/>
              </w:rPr>
              <w:t xml:space="preserve">he model </w:t>
            </w:r>
            <w:r w:rsidR="00024E09">
              <w:rPr>
                <w:sz w:val="20"/>
                <w:szCs w:val="20"/>
                <w:lang w:eastAsia="en-GB"/>
              </w:rPr>
              <w:t xml:space="preserve">was weighted </w:t>
            </w:r>
            <w:r w:rsidR="006A4F12" w:rsidRPr="000012EC">
              <w:rPr>
                <w:sz w:val="20"/>
                <w:szCs w:val="20"/>
                <w:lang w:eastAsia="en-GB"/>
              </w:rPr>
              <w:t>against the inverse variance of the cholesterol reduction (</w:t>
            </w:r>
            <w:r w:rsidR="00024E09">
              <w:rPr>
                <w:sz w:val="20"/>
                <w:szCs w:val="20"/>
                <w:lang w:eastAsia="en-GB"/>
              </w:rPr>
              <w:t>not present</w:t>
            </w:r>
            <w:r w:rsidR="003F7F37">
              <w:rPr>
                <w:sz w:val="20"/>
                <w:szCs w:val="20"/>
                <w:lang w:eastAsia="en-GB"/>
              </w:rPr>
              <w:t>ed</w:t>
            </w:r>
            <w:r w:rsidR="006A4F12" w:rsidRPr="000012EC">
              <w:rPr>
                <w:sz w:val="20"/>
                <w:szCs w:val="20"/>
                <w:lang w:eastAsia="en-GB"/>
              </w:rPr>
              <w:t xml:space="preserve"> </w:t>
            </w:r>
            <w:r w:rsidR="00024E09">
              <w:rPr>
                <w:sz w:val="20"/>
                <w:szCs w:val="20"/>
                <w:lang w:eastAsia="en-GB"/>
              </w:rPr>
              <w:t>in this table</w:t>
            </w:r>
            <w:r w:rsidR="006A4F12" w:rsidRPr="000012EC">
              <w:rPr>
                <w:sz w:val="20"/>
                <w:szCs w:val="20"/>
                <w:lang w:eastAsia="en-GB"/>
              </w:rPr>
              <w:t>)</w:t>
            </w:r>
          </w:p>
        </w:tc>
      </w:tr>
    </w:tbl>
    <w:p w:rsidR="007E6E12" w:rsidRDefault="007E6E12" w:rsidP="00F4349A"/>
    <w:p w:rsidR="00041254" w:rsidRDefault="00041254" w:rsidP="00041254">
      <w:pPr>
        <w:ind w:firstLine="0"/>
      </w:pPr>
    </w:p>
    <w:p w:rsidR="008A0E3C" w:rsidRDefault="008A0E3C" w:rsidP="00041254">
      <w:pPr>
        <w:ind w:firstLine="0"/>
      </w:pPr>
    </w:p>
    <w:p w:rsidR="008A0E3C" w:rsidRDefault="008A0E3C" w:rsidP="00041254">
      <w:pPr>
        <w:ind w:firstLine="0"/>
      </w:pPr>
    </w:p>
    <w:p w:rsidR="008A0E3C" w:rsidRDefault="008A0E3C" w:rsidP="00041254">
      <w:pPr>
        <w:ind w:firstLine="0"/>
      </w:pPr>
    </w:p>
    <w:p w:rsidR="008A0E3C" w:rsidRDefault="008A0E3C" w:rsidP="00041254">
      <w:pPr>
        <w:ind w:firstLine="0"/>
      </w:pPr>
    </w:p>
    <w:p w:rsidR="008A0E3C" w:rsidRDefault="008A0E3C" w:rsidP="008A0E3C">
      <w:pPr>
        <w:pStyle w:val="Caption"/>
      </w:pPr>
    </w:p>
    <w:p w:rsidR="008A0E3C" w:rsidRDefault="008A0E3C" w:rsidP="008A0E3C">
      <w:pPr>
        <w:pStyle w:val="Caption"/>
      </w:pPr>
      <w:proofErr w:type="gramStart"/>
      <w:r>
        <w:t xml:space="preserve">Table </w:t>
      </w:r>
      <w:r w:rsidR="00892FE1">
        <w:fldChar w:fldCharType="begin"/>
      </w:r>
      <w:r w:rsidR="00892FE1">
        <w:instrText xml:space="preserve"> SEQ Table \* ARABIC </w:instrText>
      </w:r>
      <w:r w:rsidR="00892FE1">
        <w:fldChar w:fldCharType="separate"/>
      </w:r>
      <w:r>
        <w:rPr>
          <w:noProof/>
        </w:rPr>
        <w:t>2</w:t>
      </w:r>
      <w:r w:rsidR="00892FE1">
        <w:rPr>
          <w:noProof/>
        </w:rPr>
        <w:fldChar w:fldCharType="end"/>
      </w:r>
      <w:r>
        <w:t>.</w:t>
      </w:r>
      <w:proofErr w:type="gramEnd"/>
      <w:r>
        <w:t xml:space="preserve"> </w:t>
      </w:r>
      <w:r w:rsidR="00686621">
        <w:t>Predicted</w:t>
      </w:r>
      <w:r w:rsidRPr="00EE49D9">
        <w:t xml:space="preserve"> mean total cholesterol (mmol/L) overall, and by age group, sex and quintiles of index of multiple deprivation (QIMD) (1 = </w:t>
      </w:r>
      <w:r>
        <w:t>most affluent</w:t>
      </w:r>
      <w:r w:rsidRPr="00EE49D9">
        <w:t>, 5 = most deprived) in England, 2011-12. Socioeconomic trends are also presented. Brackets contain 95% confidence intervals.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1"/>
        <w:gridCol w:w="1340"/>
        <w:gridCol w:w="1385"/>
        <w:gridCol w:w="1340"/>
        <w:gridCol w:w="1329"/>
        <w:gridCol w:w="1329"/>
        <w:gridCol w:w="1329"/>
        <w:gridCol w:w="1329"/>
      </w:tblGrid>
      <w:tr w:rsidR="00024E09" w:rsidRPr="00B8232D" w:rsidTr="00024E09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rPr>
                <w:rFonts w:eastAsia="Times New Roman"/>
                <w:b/>
                <w:sz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18-34</w:t>
            </w:r>
            <w:r>
              <w:rPr>
                <w:rFonts w:eastAsia="Times New Roman"/>
                <w:b/>
                <w:sz w:val="20"/>
                <w:lang w:eastAsia="en-GB"/>
              </w:rPr>
              <w:t xml:space="preserve"> (years)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35-54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55+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3C" w:rsidRPr="00493E75" w:rsidRDefault="008A0E3C" w:rsidP="009878D6">
            <w:pPr>
              <w:spacing w:after="0" w:line="240" w:lineRule="auto"/>
              <w:ind w:hanging="4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Overall</w:t>
            </w:r>
            <w:r>
              <w:rPr>
                <w:rFonts w:eastAsia="Times New Roman"/>
                <w:b/>
                <w:sz w:val="20"/>
                <w:lang w:eastAsia="en-GB"/>
              </w:rPr>
              <w:t>*</w:t>
            </w:r>
          </w:p>
        </w:tc>
      </w:tr>
      <w:tr w:rsidR="00024E09" w:rsidRPr="00B8232D" w:rsidTr="00024E09">
        <w:trPr>
          <w:cantSplit/>
          <w:trHeight w:val="315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QIMD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493E75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lang w:eastAsia="en-GB"/>
              </w:rPr>
            </w:pPr>
            <w:r w:rsidRPr="00493E75">
              <w:rPr>
                <w:rFonts w:eastAsia="Times New Roman"/>
                <w:b/>
                <w:sz w:val="20"/>
                <w:lang w:eastAsia="en-GB"/>
              </w:rPr>
              <w:t>Women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A50254" w:rsidRDefault="008A0E3C" w:rsidP="00173AAA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024E09" w:rsidRPr="001472C4" w:rsidTr="00024E09">
        <w:trPr>
          <w:cantSplit/>
          <w:trHeight w:val="315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1 (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most affluent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4.8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(4.6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5.0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4.76 (4.60-4.92)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(5.4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9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5.2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(5.1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5.3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9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52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75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024A4D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6.07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9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7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6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.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7)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82075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50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40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61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</w:tr>
      <w:tr w:rsidR="00024E09" w:rsidRPr="001472C4" w:rsidTr="00024E09">
        <w:trPr>
          <w:cantSplit/>
          <w:trHeight w:val="315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4.71 (4.56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4.86)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4.46 (4.31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4.61)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55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40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5.6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9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24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12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5.3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5.48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72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024A4D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6.04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94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6.15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82075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44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(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5.33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54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</w:tr>
      <w:tr w:rsidR="00024E09" w:rsidRPr="001472C4" w:rsidTr="00024E09">
        <w:trPr>
          <w:cantSplit/>
          <w:trHeight w:val="315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4.6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(4.41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4.86)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4.7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(4.53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4.8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8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73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(5.5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8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8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9)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5.2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8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(5.1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47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5.34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59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024A4D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6.13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6.00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6.25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82075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43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5.31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54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</w:tr>
      <w:tr w:rsidR="00024E09" w:rsidRPr="001472C4" w:rsidTr="00024E09">
        <w:trPr>
          <w:cantSplit/>
          <w:trHeight w:val="315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4.84 (4.65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5.02)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4.61 (4.46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4.77)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42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78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42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(5.2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58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024A4D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5.57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5.41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74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99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84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6.14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82075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40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(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5.28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82075D">
              <w:rPr>
                <w:rFonts w:eastAsia="Times New Roman"/>
                <w:sz w:val="18"/>
                <w:szCs w:val="18"/>
                <w:lang w:eastAsia="en-GB"/>
              </w:rPr>
              <w:t>51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</w:tr>
      <w:tr w:rsidR="00024E09" w:rsidRPr="001472C4" w:rsidTr="00024E09">
        <w:trPr>
          <w:cantSplit/>
          <w:trHeight w:val="315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 (most deprived)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4.79 (4.57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5.01)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(4.4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4.7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58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42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74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45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30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024A4D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5.38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5.19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5.57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87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(5.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69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024A4D">
              <w:rPr>
                <w:rFonts w:eastAsia="Times New Roman"/>
                <w:sz w:val="18"/>
                <w:szCs w:val="18"/>
                <w:lang w:eastAsia="en-GB"/>
              </w:rPr>
              <w:t>6.05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2075D" w:rsidP="0082075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5.28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5.17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5.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39</w:t>
            </w:r>
            <w:r w:rsidR="008A0E3C"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</w:tr>
      <w:tr w:rsidR="00D92412" w:rsidRPr="001472C4" w:rsidTr="00024E09">
        <w:trPr>
          <w:cantSplit/>
          <w:trHeight w:val="315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Pr="00F5336C" w:rsidRDefault="00F5336C" w:rsidP="009878D6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F5336C">
              <w:rPr>
                <w:rFonts w:eastAsia="Times New Roman"/>
                <w:b/>
                <w:sz w:val="18"/>
                <w:szCs w:val="18"/>
                <w:lang w:eastAsia="en-GB"/>
              </w:rPr>
              <w:t>A</w:t>
            </w:r>
            <w:r w:rsidR="00D92412" w:rsidRPr="00F5336C">
              <w:rPr>
                <w:rFonts w:eastAsia="Times New Roman"/>
                <w:b/>
                <w:sz w:val="18"/>
                <w:szCs w:val="18"/>
                <w:lang w:eastAsia="en-GB"/>
              </w:rPr>
              <w:t>ll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Pr="001472C4" w:rsidRDefault="00D92412" w:rsidP="00D92412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4.75 (4.66 to 4.84)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Pr="001472C4" w:rsidRDefault="00D92412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4.62 (4.55 to 4.69)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Pr="001472C4" w:rsidRDefault="00D92412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5.61 (5.54 to 5.68)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Pr="001472C4" w:rsidRDefault="00D92412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5.32 (5.26 to 5.38)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Default="00D92412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5.55 (5.49 to 5.61)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Pr="001472C4" w:rsidRDefault="00D92412" w:rsidP="00024A4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6.03 (5.98 to 6.09)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2412" w:rsidRDefault="00D92412" w:rsidP="0082075D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24E09" w:rsidRPr="001472C4" w:rsidTr="00024E09">
        <w:trPr>
          <w:cantSplit/>
          <w:trHeight w:val="465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7F19E6" w:rsidRDefault="008A0E3C" w:rsidP="009878D6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7F19E6">
              <w:rPr>
                <w:rFonts w:eastAsia="Times New Roman"/>
                <w:b/>
                <w:sz w:val="18"/>
                <w:szCs w:val="18"/>
                <w:lang w:eastAsia="en-GB"/>
              </w:rPr>
              <w:t>Slope of the trend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0.02 (-0.05 to 0.08)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-0.01 (-0.06 to 0.04)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7F4C7B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0.0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(-0.0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to 0.0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CF1AA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0.0</w:t>
            </w:r>
            <w:r w:rsidR="00CF1AA6">
              <w:rPr>
                <w:rFonts w:eastAsia="Times New Roman"/>
                <w:sz w:val="18"/>
                <w:szCs w:val="18"/>
                <w:lang w:eastAsia="en-GB"/>
              </w:rPr>
              <w:t>5 (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0.01 to 0.0</w:t>
            </w:r>
            <w:r w:rsidR="00CF1AA6">
              <w:rPr>
                <w:rFonts w:eastAsia="Times New Roman"/>
                <w:sz w:val="18"/>
                <w:szCs w:val="18"/>
                <w:lang w:eastAsia="en-GB"/>
              </w:rPr>
              <w:t>9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-0.0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5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(-0.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10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</w:p>
          <w:p w:rsidR="008A0E3C" w:rsidRPr="001472C4" w:rsidRDefault="008A0E3C" w:rsidP="007F4C7B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-0.0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-0.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04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(-0.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08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</w:p>
          <w:p w:rsidR="008A0E3C" w:rsidRPr="001472C4" w:rsidRDefault="008A0E3C" w:rsidP="007F4C7B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0.0</w:t>
            </w:r>
            <w:r w:rsidR="007F4C7B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-0.0</w:t>
            </w:r>
            <w:r w:rsidR="00F940DA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(-0.0</w:t>
            </w:r>
            <w:r w:rsidR="00F940DA">
              <w:rPr>
                <w:rFonts w:eastAsia="Times New Roman"/>
                <w:sz w:val="18"/>
                <w:szCs w:val="18"/>
                <w:lang w:eastAsia="en-GB"/>
              </w:rPr>
              <w:t>3</w:t>
            </w: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 to</w:t>
            </w:r>
          </w:p>
          <w:p w:rsidR="008A0E3C" w:rsidRPr="001472C4" w:rsidRDefault="008A0E3C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>0.01)</w:t>
            </w:r>
            <w:r w:rsidR="00D92412">
              <w:rPr>
                <w:rFonts w:eastAsia="Times New Roman"/>
                <w:sz w:val="18"/>
                <w:szCs w:val="18"/>
                <w:lang w:eastAsia="en-GB"/>
              </w:rPr>
              <w:t>*</w:t>
            </w:r>
          </w:p>
        </w:tc>
      </w:tr>
      <w:tr w:rsidR="00CF1AA6" w:rsidRPr="001472C4" w:rsidTr="00024E09">
        <w:trPr>
          <w:cantSplit/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3C" w:rsidRPr="007F19E6" w:rsidRDefault="008A0E3C" w:rsidP="009878D6">
            <w:pPr>
              <w:spacing w:after="0" w:line="240" w:lineRule="auto"/>
              <w:ind w:firstLine="0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7F19E6">
              <w:rPr>
                <w:rFonts w:eastAsia="Times New Roman"/>
                <w:b/>
                <w:i/>
                <w:sz w:val="18"/>
                <w:szCs w:val="18"/>
                <w:lang w:eastAsia="en-GB"/>
              </w:rPr>
              <w:t>p</w:t>
            </w:r>
            <w:r w:rsidRPr="007F19E6">
              <w:rPr>
                <w:rFonts w:eastAsia="Times New Roman"/>
                <w:b/>
                <w:sz w:val="18"/>
                <w:szCs w:val="18"/>
                <w:lang w:eastAsia="en-GB"/>
              </w:rPr>
              <w:t xml:space="preserve"> for trend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E3C" w:rsidRPr="001472C4" w:rsidRDefault="00F940DA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E3C" w:rsidRPr="001472C4" w:rsidRDefault="00F940DA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E3C" w:rsidRPr="001472C4" w:rsidRDefault="007F4C7B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E3C" w:rsidRPr="00CF1AA6" w:rsidRDefault="00CF1AA6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CF1AA6">
              <w:rPr>
                <w:rFonts w:eastAsia="Times New Roman"/>
                <w:b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E3C" w:rsidRPr="007F19E6" w:rsidRDefault="007F4C7B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E3C" w:rsidRPr="007F4C7B" w:rsidRDefault="007F4C7B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7F4C7B">
              <w:rPr>
                <w:rFonts w:eastAsia="Times New Roman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E3C" w:rsidRPr="00F940DA" w:rsidRDefault="00F940DA" w:rsidP="009878D6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F940DA">
              <w:rPr>
                <w:rFonts w:eastAsia="Times New Roman"/>
                <w:sz w:val="18"/>
                <w:szCs w:val="18"/>
                <w:lang w:eastAsia="en-GB"/>
              </w:rPr>
              <w:t>0.45</w:t>
            </w:r>
            <w:r w:rsidR="00D92412">
              <w:rPr>
                <w:rFonts w:eastAsia="Times New Roman"/>
                <w:sz w:val="18"/>
                <w:szCs w:val="18"/>
                <w:lang w:eastAsia="en-GB"/>
              </w:rPr>
              <w:t>*</w:t>
            </w:r>
          </w:p>
        </w:tc>
      </w:tr>
      <w:tr w:rsidR="008A0E3C" w:rsidRPr="00B8232D" w:rsidTr="009878D6">
        <w:trPr>
          <w:cantSplit/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0E3C" w:rsidRPr="001472C4" w:rsidRDefault="008A0E3C" w:rsidP="009878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1472C4">
              <w:rPr>
                <w:rFonts w:eastAsia="Times New Roman"/>
                <w:sz w:val="18"/>
                <w:szCs w:val="18"/>
                <w:lang w:eastAsia="en-GB"/>
              </w:rPr>
              <w:t xml:space="preserve">* </w:t>
            </w:r>
            <w:r w:rsidRPr="000D2649">
              <w:rPr>
                <w:rFonts w:eastAsia="Times New Roman"/>
                <w:sz w:val="18"/>
                <w:szCs w:val="18"/>
                <w:lang w:eastAsia="en-GB"/>
              </w:rPr>
              <w:t>Adjusted for age and sex</w:t>
            </w:r>
          </w:p>
        </w:tc>
      </w:tr>
    </w:tbl>
    <w:p w:rsidR="008A0E3C" w:rsidRDefault="008A0E3C" w:rsidP="00041254">
      <w:pPr>
        <w:ind w:firstLine="0"/>
      </w:pPr>
    </w:p>
    <w:p w:rsidR="00747799" w:rsidRDefault="00747799" w:rsidP="00041254">
      <w:pPr>
        <w:ind w:firstLine="0"/>
      </w:pPr>
      <w:bookmarkStart w:id="0" w:name="_GoBack"/>
      <w:bookmarkEnd w:id="0"/>
    </w:p>
    <w:sectPr w:rsidR="00747799" w:rsidSect="00686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8A1"/>
    <w:multiLevelType w:val="hybridMultilevel"/>
    <w:tmpl w:val="24646CEC"/>
    <w:lvl w:ilvl="0" w:tplc="094AB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5BB8"/>
    <w:multiLevelType w:val="hybridMultilevel"/>
    <w:tmpl w:val="85347C9E"/>
    <w:lvl w:ilvl="0" w:tplc="3EA21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2"/>
    <w:rsid w:val="000012EC"/>
    <w:rsid w:val="00024A4D"/>
    <w:rsid w:val="00024E09"/>
    <w:rsid w:val="00041254"/>
    <w:rsid w:val="001D7F58"/>
    <w:rsid w:val="00206AFE"/>
    <w:rsid w:val="002C1108"/>
    <w:rsid w:val="003001D6"/>
    <w:rsid w:val="00321F47"/>
    <w:rsid w:val="00331DB8"/>
    <w:rsid w:val="003F7F37"/>
    <w:rsid w:val="00555984"/>
    <w:rsid w:val="005E082D"/>
    <w:rsid w:val="00686621"/>
    <w:rsid w:val="006A4F12"/>
    <w:rsid w:val="00747799"/>
    <w:rsid w:val="00784C49"/>
    <w:rsid w:val="007E6E12"/>
    <w:rsid w:val="007F4C7B"/>
    <w:rsid w:val="0082075D"/>
    <w:rsid w:val="008443BE"/>
    <w:rsid w:val="00892FE1"/>
    <w:rsid w:val="008A0E3C"/>
    <w:rsid w:val="008A5CE0"/>
    <w:rsid w:val="009878D6"/>
    <w:rsid w:val="00987971"/>
    <w:rsid w:val="00990771"/>
    <w:rsid w:val="00B41938"/>
    <w:rsid w:val="00B80351"/>
    <w:rsid w:val="00CF1AA6"/>
    <w:rsid w:val="00D66414"/>
    <w:rsid w:val="00D92412"/>
    <w:rsid w:val="00DD6086"/>
    <w:rsid w:val="00DF39CF"/>
    <w:rsid w:val="00EC31A7"/>
    <w:rsid w:val="00EC7C80"/>
    <w:rsid w:val="00EE2211"/>
    <w:rsid w:val="00F348C5"/>
    <w:rsid w:val="00F4349A"/>
    <w:rsid w:val="00F5336C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EC"/>
  </w:style>
  <w:style w:type="paragraph" w:styleId="Heading1">
    <w:name w:val="heading 1"/>
    <w:basedOn w:val="Normal"/>
    <w:next w:val="Normal"/>
    <w:link w:val="Heading1Char"/>
    <w:uiPriority w:val="9"/>
    <w:qFormat/>
    <w:rsid w:val="000012E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2E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2E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2E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2E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2E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2E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2E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2E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2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7E6E12"/>
    <w:pPr>
      <w:tabs>
        <w:tab w:val="left" w:pos="264"/>
      </w:tabs>
      <w:spacing w:line="240" w:lineRule="auto"/>
      <w:ind w:left="264" w:hanging="264"/>
    </w:pPr>
  </w:style>
  <w:style w:type="paragraph" w:styleId="ListParagraph">
    <w:name w:val="List Paragraph"/>
    <w:basedOn w:val="Normal"/>
    <w:uiPriority w:val="34"/>
    <w:qFormat/>
    <w:rsid w:val="00001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1108"/>
    <w:pPr>
      <w:keepNext/>
      <w:spacing w:line="240" w:lineRule="auto"/>
      <w:ind w:firstLine="0"/>
    </w:pPr>
    <w:rPr>
      <w:b/>
      <w:bCs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2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12E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012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2E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2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012EC"/>
    <w:rPr>
      <w:b/>
      <w:bCs/>
      <w:spacing w:val="0"/>
    </w:rPr>
  </w:style>
  <w:style w:type="character" w:styleId="Emphasis">
    <w:name w:val="Emphasis"/>
    <w:uiPriority w:val="20"/>
    <w:qFormat/>
    <w:rsid w:val="000012EC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012EC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0012EC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012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2E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2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012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012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012EC"/>
    <w:rPr>
      <w:smallCaps/>
    </w:rPr>
  </w:style>
  <w:style w:type="character" w:styleId="IntenseReference">
    <w:name w:val="Intense Reference"/>
    <w:uiPriority w:val="32"/>
    <w:qFormat/>
    <w:rsid w:val="000012EC"/>
    <w:rPr>
      <w:b/>
      <w:bCs/>
      <w:smallCaps/>
      <w:color w:val="auto"/>
    </w:rPr>
  </w:style>
  <w:style w:type="character" w:styleId="BookTitle">
    <w:name w:val="Book Title"/>
    <w:uiPriority w:val="33"/>
    <w:qFormat/>
    <w:rsid w:val="000012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2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EC"/>
  </w:style>
  <w:style w:type="paragraph" w:styleId="Heading1">
    <w:name w:val="heading 1"/>
    <w:basedOn w:val="Normal"/>
    <w:next w:val="Normal"/>
    <w:link w:val="Heading1Char"/>
    <w:uiPriority w:val="9"/>
    <w:qFormat/>
    <w:rsid w:val="000012E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2E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2E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2E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2E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2E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2E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2E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2E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2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7E6E12"/>
    <w:pPr>
      <w:tabs>
        <w:tab w:val="left" w:pos="264"/>
      </w:tabs>
      <w:spacing w:line="240" w:lineRule="auto"/>
      <w:ind w:left="264" w:hanging="264"/>
    </w:pPr>
  </w:style>
  <w:style w:type="paragraph" w:styleId="ListParagraph">
    <w:name w:val="List Paragraph"/>
    <w:basedOn w:val="Normal"/>
    <w:uiPriority w:val="34"/>
    <w:qFormat/>
    <w:rsid w:val="00001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C1108"/>
    <w:pPr>
      <w:keepNext/>
      <w:spacing w:line="240" w:lineRule="auto"/>
      <w:ind w:firstLine="0"/>
    </w:pPr>
    <w:rPr>
      <w:b/>
      <w:bCs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2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2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12E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012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2E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2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012EC"/>
    <w:rPr>
      <w:b/>
      <w:bCs/>
      <w:spacing w:val="0"/>
    </w:rPr>
  </w:style>
  <w:style w:type="character" w:styleId="Emphasis">
    <w:name w:val="Emphasis"/>
    <w:uiPriority w:val="20"/>
    <w:qFormat/>
    <w:rsid w:val="000012EC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012EC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0012EC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012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2E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2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012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012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012EC"/>
    <w:rPr>
      <w:smallCaps/>
    </w:rPr>
  </w:style>
  <w:style w:type="character" w:styleId="IntenseReference">
    <w:name w:val="Intense Reference"/>
    <w:uiPriority w:val="32"/>
    <w:qFormat/>
    <w:rsid w:val="000012EC"/>
    <w:rPr>
      <w:b/>
      <w:bCs/>
      <w:smallCaps/>
      <w:color w:val="auto"/>
    </w:rPr>
  </w:style>
  <w:style w:type="character" w:styleId="BookTitle">
    <w:name w:val="Book Title"/>
    <w:uiPriority w:val="33"/>
    <w:qFormat/>
    <w:rsid w:val="000012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2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F2D9-71EE-45B7-A4C7-1CB31252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Kypridemos</dc:creator>
  <cp:lastModifiedBy>Chris Kypridemos</cp:lastModifiedBy>
  <cp:revision>12</cp:revision>
  <dcterms:created xsi:type="dcterms:W3CDTF">2014-08-29T15:19:00Z</dcterms:created>
  <dcterms:modified xsi:type="dcterms:W3CDTF">2014-10-08T08:56:00Z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id="ovtm6XyL"/&gt;&lt;style id="http://www.zotero.org/styles/bmj"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  <property fmtid="{D5CDD505-2E9C-101B-9397-08002B2CF9AE}" pid="4" name="Docear4Word_StyleTitle">
    <vt:lpwstr>ACM SIG Proceedings With Long Author List</vt:lpwstr>
  </property>
</Properties>
</file>