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4CB8" w14:textId="2E558A12" w:rsidR="008C7137" w:rsidRDefault="00D658C8" w:rsidP="00770113">
      <w:pPr>
        <w:pStyle w:val="CommentText"/>
        <w:spacing w:line="360" w:lineRule="auto"/>
        <w:rPr>
          <w:b/>
          <w:sz w:val="22"/>
          <w:szCs w:val="22"/>
        </w:rPr>
      </w:pPr>
      <w:r>
        <w:rPr>
          <w:b/>
          <w:sz w:val="22"/>
          <w:szCs w:val="22"/>
        </w:rPr>
        <w:t>An observational study</w:t>
      </w:r>
      <w:r>
        <w:rPr>
          <w:b/>
          <w:sz w:val="22"/>
          <w:szCs w:val="22"/>
        </w:rPr>
        <w:t xml:space="preserve"> </w:t>
      </w:r>
      <w:r>
        <w:rPr>
          <w:b/>
          <w:sz w:val="22"/>
          <w:szCs w:val="22"/>
        </w:rPr>
        <w:t xml:space="preserve">of </w:t>
      </w:r>
      <w:r>
        <w:rPr>
          <w:b/>
          <w:sz w:val="22"/>
          <w:szCs w:val="22"/>
        </w:rPr>
        <w:t>inequalities in the uptake of weight management interventions</w:t>
      </w:r>
      <w:r>
        <w:rPr>
          <w:b/>
          <w:sz w:val="22"/>
          <w:szCs w:val="22"/>
        </w:rPr>
        <w:t xml:space="preserve"> in</w:t>
      </w:r>
      <w:r>
        <w:rPr>
          <w:b/>
          <w:sz w:val="22"/>
          <w:szCs w:val="22"/>
        </w:rPr>
        <w:t xml:space="preserve"> </w:t>
      </w:r>
      <w:r w:rsidR="00A35B03">
        <w:rPr>
          <w:b/>
          <w:sz w:val="22"/>
          <w:szCs w:val="22"/>
        </w:rPr>
        <w:t>a pragmatic trial</w:t>
      </w:r>
    </w:p>
    <w:p w14:paraId="62A41199" w14:textId="2E29F1B9" w:rsidR="002B71C2" w:rsidRDefault="002B71C2" w:rsidP="00770113">
      <w:pPr>
        <w:pStyle w:val="CommentText"/>
        <w:spacing w:line="360" w:lineRule="auto"/>
        <w:rPr>
          <w:b/>
          <w:sz w:val="22"/>
          <w:szCs w:val="22"/>
        </w:rPr>
      </w:pPr>
      <w:r>
        <w:rPr>
          <w:b/>
          <w:sz w:val="22"/>
          <w:szCs w:val="22"/>
        </w:rPr>
        <w:t>Amy L Ahern</w:t>
      </w:r>
      <w:r w:rsidR="009A6835">
        <w:rPr>
          <w:b/>
          <w:sz w:val="22"/>
          <w:szCs w:val="22"/>
        </w:rPr>
        <w:t>¹</w:t>
      </w:r>
      <w:r w:rsidR="00BB6A81">
        <w:rPr>
          <w:b/>
          <w:sz w:val="22"/>
          <w:szCs w:val="22"/>
        </w:rPr>
        <w:t>*</w:t>
      </w:r>
      <w:r w:rsidR="00942BF9">
        <w:rPr>
          <w:b/>
          <w:sz w:val="22"/>
          <w:szCs w:val="22"/>
        </w:rPr>
        <w:t xml:space="preserve">, Paul </w:t>
      </w:r>
      <w:r>
        <w:rPr>
          <w:b/>
          <w:sz w:val="22"/>
          <w:szCs w:val="22"/>
        </w:rPr>
        <w:t>Aveyard</w:t>
      </w:r>
      <w:r w:rsidR="009A6835">
        <w:rPr>
          <w:b/>
          <w:sz w:val="22"/>
          <w:szCs w:val="22"/>
        </w:rPr>
        <w:t>²</w:t>
      </w:r>
      <w:r>
        <w:rPr>
          <w:b/>
          <w:sz w:val="22"/>
          <w:szCs w:val="22"/>
        </w:rPr>
        <w:t>, Emma J Boyland</w:t>
      </w:r>
      <w:r w:rsidR="009A6835" w:rsidRPr="009A6835">
        <w:rPr>
          <w:b/>
          <w:sz w:val="22"/>
          <w:szCs w:val="22"/>
          <w:vertAlign w:val="superscript"/>
        </w:rPr>
        <w:t>3</w:t>
      </w:r>
      <w:r>
        <w:rPr>
          <w:b/>
          <w:sz w:val="22"/>
          <w:szCs w:val="22"/>
        </w:rPr>
        <w:t>, Jason CG Halford</w:t>
      </w:r>
      <w:r w:rsidR="009A6835" w:rsidRPr="00A06CCE">
        <w:rPr>
          <w:b/>
          <w:sz w:val="22"/>
          <w:szCs w:val="22"/>
          <w:vertAlign w:val="superscript"/>
        </w:rPr>
        <w:t>3</w:t>
      </w:r>
      <w:r>
        <w:rPr>
          <w:b/>
          <w:sz w:val="22"/>
          <w:szCs w:val="22"/>
        </w:rPr>
        <w:t xml:space="preserve"> and Susan A Jebb</w:t>
      </w:r>
      <w:r w:rsidR="009A6835">
        <w:rPr>
          <w:b/>
          <w:sz w:val="22"/>
          <w:szCs w:val="22"/>
        </w:rPr>
        <w:t>² on behalf of the WRAP trial team.</w:t>
      </w:r>
    </w:p>
    <w:p w14:paraId="0380299A" w14:textId="5DE0DB03" w:rsidR="00BB6A81" w:rsidRDefault="00BB6A81" w:rsidP="00BB6A81">
      <w:pPr>
        <w:pStyle w:val="CommentText"/>
        <w:numPr>
          <w:ilvl w:val="0"/>
          <w:numId w:val="3"/>
        </w:numPr>
        <w:spacing w:line="360" w:lineRule="auto"/>
        <w:rPr>
          <w:b/>
          <w:sz w:val="22"/>
          <w:szCs w:val="22"/>
        </w:rPr>
      </w:pPr>
      <w:r>
        <w:rPr>
          <w:b/>
          <w:sz w:val="22"/>
          <w:szCs w:val="22"/>
        </w:rPr>
        <w:t>MRC Human Nutrition Research, Cambridge, UK</w:t>
      </w:r>
    </w:p>
    <w:p w14:paraId="2C15DD8B" w14:textId="6ACE3521" w:rsidR="00BB6A81" w:rsidRDefault="00BB6A81" w:rsidP="00BB6A81">
      <w:pPr>
        <w:pStyle w:val="CommentText"/>
        <w:numPr>
          <w:ilvl w:val="0"/>
          <w:numId w:val="3"/>
        </w:numPr>
        <w:spacing w:line="360" w:lineRule="auto"/>
        <w:rPr>
          <w:b/>
          <w:sz w:val="22"/>
          <w:szCs w:val="22"/>
        </w:rPr>
      </w:pPr>
      <w:r>
        <w:rPr>
          <w:b/>
          <w:sz w:val="22"/>
          <w:szCs w:val="22"/>
        </w:rPr>
        <w:t>Nuffield Department of Primary Care Health Sciences, University of Oxford, Oxford, UK</w:t>
      </w:r>
    </w:p>
    <w:p w14:paraId="4AA72B07" w14:textId="0C054B52" w:rsidR="00BB6A81" w:rsidRDefault="00BB6A81" w:rsidP="00BB6A81">
      <w:pPr>
        <w:pStyle w:val="CommentText"/>
        <w:numPr>
          <w:ilvl w:val="0"/>
          <w:numId w:val="3"/>
        </w:numPr>
        <w:spacing w:line="360" w:lineRule="auto"/>
        <w:rPr>
          <w:b/>
          <w:sz w:val="22"/>
          <w:szCs w:val="22"/>
        </w:rPr>
      </w:pPr>
      <w:r>
        <w:rPr>
          <w:b/>
          <w:sz w:val="22"/>
          <w:szCs w:val="22"/>
        </w:rPr>
        <w:t>Department of Psychological Sciences, University of Liverpool, Liverpool, UK</w:t>
      </w:r>
    </w:p>
    <w:p w14:paraId="422741A9" w14:textId="77777777" w:rsidR="00BB6A81" w:rsidRPr="00BB6A81" w:rsidRDefault="00BB6A81" w:rsidP="00BB6A81">
      <w:pPr>
        <w:pStyle w:val="CommentText"/>
        <w:spacing w:line="360" w:lineRule="auto"/>
        <w:rPr>
          <w:b/>
          <w:sz w:val="22"/>
          <w:szCs w:val="22"/>
        </w:rPr>
      </w:pPr>
    </w:p>
    <w:p w14:paraId="35AE7504" w14:textId="2DFD22B9" w:rsidR="00BB6A81" w:rsidRDefault="00BB6A81">
      <w:pPr>
        <w:rPr>
          <w:b/>
        </w:rPr>
      </w:pPr>
      <w:r>
        <w:rPr>
          <w:b/>
        </w:rPr>
        <w:t xml:space="preserve">*Corresponding Author: MRC Human Nutrition Research, Elsie Widdowson Laboratory, Cambridge, CB1 9NL, UK. </w:t>
      </w:r>
      <w:hyperlink r:id="rId9" w:history="1">
        <w:r w:rsidRPr="00032BDF">
          <w:rPr>
            <w:rStyle w:val="Hyperlink"/>
            <w:b/>
          </w:rPr>
          <w:t>Ala34@cam.ac.uk</w:t>
        </w:r>
      </w:hyperlink>
    </w:p>
    <w:p w14:paraId="6329CEA0" w14:textId="3D0D0A83" w:rsidR="00BB6A81" w:rsidRDefault="00BB6A81">
      <w:pPr>
        <w:rPr>
          <w:b/>
        </w:rPr>
      </w:pPr>
      <w:r>
        <w:rPr>
          <w:b/>
        </w:rPr>
        <w:t>Word count: 2681</w:t>
      </w:r>
    </w:p>
    <w:p w14:paraId="5A0997AF" w14:textId="4D3B1D19" w:rsidR="00BB6A81" w:rsidRDefault="00BB6A81">
      <w:pPr>
        <w:rPr>
          <w:b/>
        </w:rPr>
      </w:pPr>
      <w:r>
        <w:rPr>
          <w:b/>
        </w:rPr>
        <w:t>Keywords: Obesity, Primary Care, Health Inequalities, Weight management</w:t>
      </w:r>
    </w:p>
    <w:p w14:paraId="4B4403DB" w14:textId="55E8AB89" w:rsidR="009A6835" w:rsidRDefault="009A6835">
      <w:pPr>
        <w:rPr>
          <w:b/>
        </w:rPr>
      </w:pPr>
      <w:r>
        <w:rPr>
          <w:b/>
        </w:rPr>
        <w:br w:type="page"/>
      </w:r>
    </w:p>
    <w:p w14:paraId="0B54CA45" w14:textId="6542870D" w:rsidR="00C76659" w:rsidRPr="00BB6A81" w:rsidRDefault="00BB6A81" w:rsidP="00770113">
      <w:pPr>
        <w:pStyle w:val="CommentText"/>
        <w:spacing w:line="360" w:lineRule="auto"/>
        <w:rPr>
          <w:b/>
          <w:sz w:val="22"/>
          <w:szCs w:val="22"/>
        </w:rPr>
      </w:pPr>
      <w:r>
        <w:rPr>
          <w:b/>
          <w:sz w:val="22"/>
          <w:szCs w:val="22"/>
        </w:rPr>
        <w:lastRenderedPageBreak/>
        <w:t>ABSTRACT</w:t>
      </w:r>
    </w:p>
    <w:p w14:paraId="527132F3" w14:textId="2138C96E" w:rsidR="004133C2" w:rsidRDefault="004133C2" w:rsidP="009A33B4">
      <w:pPr>
        <w:spacing w:after="120"/>
        <w:rPr>
          <w:rFonts w:cs="Arial"/>
        </w:rPr>
      </w:pPr>
      <w:r>
        <w:rPr>
          <w:rFonts w:cs="Arial"/>
          <w:b/>
        </w:rPr>
        <w:t xml:space="preserve">Background: </w:t>
      </w:r>
      <w:r>
        <w:rPr>
          <w:rFonts w:cs="Arial"/>
        </w:rPr>
        <w:t>Primary care r</w:t>
      </w:r>
      <w:r w:rsidRPr="00D736C9">
        <w:rPr>
          <w:rFonts w:cs="Arial"/>
        </w:rPr>
        <w:t>eferral to a commercial open-group behavioural weight loss programme is a cost effective intervention</w:t>
      </w:r>
      <w:r>
        <w:rPr>
          <w:rFonts w:cs="Arial"/>
        </w:rPr>
        <w:t>, but</w:t>
      </w:r>
      <w:r w:rsidRPr="00D736C9">
        <w:rPr>
          <w:rFonts w:cs="Arial"/>
        </w:rPr>
        <w:t xml:space="preserve"> only 10% of </w:t>
      </w:r>
      <w:r>
        <w:rPr>
          <w:rFonts w:cs="Arial"/>
        </w:rPr>
        <w:t>patients</w:t>
      </w:r>
      <w:r w:rsidRPr="00D736C9">
        <w:rPr>
          <w:rFonts w:cs="Arial"/>
        </w:rPr>
        <w:t xml:space="preserve"> receiving this intervention are male.</w:t>
      </w:r>
      <w:r>
        <w:rPr>
          <w:rFonts w:cs="Arial"/>
        </w:rPr>
        <w:t xml:space="preserve"> </w:t>
      </w:r>
      <w:r w:rsidRPr="00D736C9">
        <w:rPr>
          <w:rFonts w:cs="Arial"/>
        </w:rPr>
        <w:t xml:space="preserve"> </w:t>
      </w:r>
    </w:p>
    <w:p w14:paraId="11E1EB7C" w14:textId="3F16E811" w:rsidR="009A33B4" w:rsidRPr="00BB6A81" w:rsidRDefault="00285010" w:rsidP="009A33B4">
      <w:pPr>
        <w:spacing w:after="120"/>
        <w:rPr>
          <w:rFonts w:cs="Arial"/>
        </w:rPr>
      </w:pPr>
      <w:r>
        <w:rPr>
          <w:rFonts w:cs="Arial"/>
          <w:b/>
        </w:rPr>
        <w:t>Aim</w:t>
      </w:r>
      <w:r w:rsidR="009A33B4" w:rsidRPr="00BB6A81">
        <w:rPr>
          <w:rFonts w:cs="Arial"/>
          <w:b/>
        </w:rPr>
        <w:t xml:space="preserve">: </w:t>
      </w:r>
      <w:r w:rsidR="009A33B4" w:rsidRPr="00BB6A81">
        <w:rPr>
          <w:rFonts w:cs="Arial"/>
        </w:rPr>
        <w:t xml:space="preserve">To explore whether observed biases in participation in </w:t>
      </w:r>
      <w:r w:rsidR="00942BF9">
        <w:rPr>
          <w:rFonts w:cs="Arial"/>
        </w:rPr>
        <w:t>these interventions</w:t>
      </w:r>
      <w:r w:rsidR="009A33B4" w:rsidRPr="00BB6A81">
        <w:rPr>
          <w:rFonts w:cs="Arial"/>
        </w:rPr>
        <w:t xml:space="preserve"> reflect bias</w:t>
      </w:r>
      <w:r w:rsidR="00BB6A81" w:rsidRPr="00BB6A81">
        <w:rPr>
          <w:rFonts w:cs="Arial"/>
        </w:rPr>
        <w:t>es</w:t>
      </w:r>
      <w:r w:rsidR="009A33B4" w:rsidRPr="00BB6A81">
        <w:rPr>
          <w:rFonts w:cs="Arial"/>
        </w:rPr>
        <w:t xml:space="preserve"> in uptake of the invitation to </w:t>
      </w:r>
      <w:r w:rsidR="00BB6A81" w:rsidRPr="00BB6A81">
        <w:rPr>
          <w:rFonts w:cs="Arial"/>
        </w:rPr>
        <w:t>participate</w:t>
      </w:r>
      <w:r w:rsidR="009A33B4" w:rsidRPr="00BB6A81">
        <w:rPr>
          <w:rFonts w:cs="Arial"/>
        </w:rPr>
        <w:t xml:space="preserve">. </w:t>
      </w:r>
    </w:p>
    <w:p w14:paraId="427663B7" w14:textId="03089BE9" w:rsidR="009A33B4" w:rsidRPr="00BB6A81" w:rsidRDefault="009A33B4" w:rsidP="009A33B4">
      <w:pPr>
        <w:spacing w:after="120"/>
        <w:rPr>
          <w:rFonts w:cs="Arial"/>
        </w:rPr>
      </w:pPr>
      <w:r w:rsidRPr="00BB6A81">
        <w:rPr>
          <w:rFonts w:cs="Arial"/>
          <w:b/>
        </w:rPr>
        <w:t>Design</w:t>
      </w:r>
      <w:r w:rsidR="004133C2">
        <w:rPr>
          <w:rFonts w:cs="Arial"/>
          <w:b/>
        </w:rPr>
        <w:t xml:space="preserve"> and Setting</w:t>
      </w:r>
      <w:r w:rsidRPr="00BB6A81">
        <w:rPr>
          <w:rFonts w:cs="Arial"/>
          <w:b/>
        </w:rPr>
        <w:t xml:space="preserve">: </w:t>
      </w:r>
      <w:r w:rsidR="001C601E">
        <w:rPr>
          <w:rFonts w:cs="Arial"/>
        </w:rPr>
        <w:t>Comparison of invited population and recruited participants</w:t>
      </w:r>
      <w:r w:rsidRPr="00BB6A81">
        <w:rPr>
          <w:rFonts w:cs="Arial"/>
        </w:rPr>
        <w:t xml:space="preserve"> in </w:t>
      </w:r>
      <w:r w:rsidR="004133C2">
        <w:rPr>
          <w:rFonts w:cs="Arial"/>
        </w:rPr>
        <w:t>a</w:t>
      </w:r>
      <w:r w:rsidR="001C601E">
        <w:rPr>
          <w:rFonts w:cs="Arial"/>
        </w:rPr>
        <w:t xml:space="preserve"> </w:t>
      </w:r>
      <w:r w:rsidRPr="00BB6A81">
        <w:rPr>
          <w:rFonts w:cs="Arial"/>
        </w:rPr>
        <w:t xml:space="preserve">randomised controlled trial of primary care referral to a commercial </w:t>
      </w:r>
      <w:r w:rsidR="001C601E">
        <w:rPr>
          <w:rFonts w:cs="Arial"/>
        </w:rPr>
        <w:t>open-group</w:t>
      </w:r>
      <w:r w:rsidRPr="00BB6A81">
        <w:rPr>
          <w:rFonts w:cs="Arial"/>
        </w:rPr>
        <w:t xml:space="preserve"> behavioural weight loss programme in England.¹ </w:t>
      </w:r>
    </w:p>
    <w:p w14:paraId="678DB46C" w14:textId="46F231A2" w:rsidR="009A33B4" w:rsidRPr="00BB6A81" w:rsidRDefault="009A33B4" w:rsidP="009A33B4">
      <w:pPr>
        <w:spacing w:after="120"/>
        <w:rPr>
          <w:rFonts w:cs="Arial"/>
        </w:rPr>
      </w:pPr>
      <w:r w:rsidRPr="00BB6A81">
        <w:rPr>
          <w:rFonts w:cs="Arial"/>
          <w:b/>
        </w:rPr>
        <w:t>Results:</w:t>
      </w:r>
      <w:r w:rsidRPr="00BB6A81">
        <w:rPr>
          <w:rFonts w:cs="Arial"/>
        </w:rPr>
        <w:t xml:space="preserve"> Seventeen practices provided data. They invited 13,949 </w:t>
      </w:r>
      <w:r w:rsidR="001C601E">
        <w:rPr>
          <w:rFonts w:cs="Arial"/>
        </w:rPr>
        <w:t>patients</w:t>
      </w:r>
      <w:r w:rsidRPr="00BB6A81">
        <w:rPr>
          <w:rFonts w:cs="Arial"/>
        </w:rPr>
        <w:t xml:space="preserve"> and recruited 910 (6.5% of those invited). Women were twice as likely as men to enrol in the trial [OR (95%CI) =2.01 (1.75-2.32)]. However, the proportion of </w:t>
      </w:r>
      <w:r w:rsidR="001C601E">
        <w:rPr>
          <w:rFonts w:cs="Arial"/>
        </w:rPr>
        <w:t xml:space="preserve">men </w:t>
      </w:r>
      <w:r w:rsidRPr="00BB6A81">
        <w:rPr>
          <w:rFonts w:cs="Arial"/>
        </w:rPr>
        <w:t xml:space="preserve">was 3 times higher than seen in routine </w:t>
      </w:r>
      <w:r w:rsidR="001C601E">
        <w:rPr>
          <w:rFonts w:cs="Arial"/>
        </w:rPr>
        <w:t xml:space="preserve">primary care </w:t>
      </w:r>
      <w:r w:rsidR="008259A8" w:rsidRPr="00BB6A81">
        <w:rPr>
          <w:rFonts w:cs="Arial"/>
        </w:rPr>
        <w:t xml:space="preserve">referrals </w:t>
      </w:r>
      <w:r w:rsidRPr="00BB6A81">
        <w:rPr>
          <w:rFonts w:cs="Arial"/>
        </w:rPr>
        <w:t xml:space="preserve">or similar trials </w:t>
      </w:r>
      <w:r w:rsidR="001C601E">
        <w:rPr>
          <w:rFonts w:cs="Arial"/>
        </w:rPr>
        <w:t>that</w:t>
      </w:r>
      <w:r w:rsidRPr="00BB6A81">
        <w:rPr>
          <w:rFonts w:cs="Arial"/>
        </w:rPr>
        <w:t xml:space="preserve"> invited</w:t>
      </w:r>
      <w:r w:rsidR="001C601E">
        <w:rPr>
          <w:rFonts w:cs="Arial"/>
        </w:rPr>
        <w:t xml:space="preserve"> patients</w:t>
      </w:r>
      <w:r w:rsidRPr="00BB6A81">
        <w:rPr>
          <w:rFonts w:cs="Arial"/>
        </w:rPr>
        <w:t xml:space="preserve"> opportunistically. People from less deprived areas were more likely to enrol than those in more deprived areas [OR=1.77 (1.55-2.03)]. Older patients (≥40y) were more likely to enrol </w:t>
      </w:r>
      <w:r w:rsidR="001C601E">
        <w:rPr>
          <w:rFonts w:cs="Arial"/>
        </w:rPr>
        <w:t>than younger patients [OR=</w:t>
      </w:r>
      <w:r w:rsidRPr="00BB6A81">
        <w:rPr>
          <w:rFonts w:cs="Arial"/>
        </w:rPr>
        <w:t>1.60 (1.34-1.91)].</w:t>
      </w:r>
    </w:p>
    <w:p w14:paraId="424F86B3" w14:textId="5648D331" w:rsidR="009A33B4" w:rsidRPr="00BB6A81" w:rsidRDefault="009A33B4" w:rsidP="009A33B4">
      <w:pPr>
        <w:spacing w:after="120"/>
        <w:rPr>
          <w:rFonts w:cs="Arial"/>
        </w:rPr>
      </w:pPr>
      <w:r w:rsidRPr="00BB6A81">
        <w:rPr>
          <w:rFonts w:cs="Arial"/>
          <w:b/>
        </w:rPr>
        <w:t xml:space="preserve">Conclusion: </w:t>
      </w:r>
      <w:r w:rsidRPr="00BB6A81">
        <w:rPr>
          <w:rFonts w:cs="Arial"/>
        </w:rPr>
        <w:t xml:space="preserve">Men, younger people and those from more deprived areas were less likely to take up the invitation to participate in this trial. </w:t>
      </w:r>
      <w:r w:rsidR="00C92A0B" w:rsidRPr="00BB6A81">
        <w:rPr>
          <w:rFonts w:cs="Arial"/>
        </w:rPr>
        <w:t>T</w:t>
      </w:r>
      <w:r w:rsidRPr="00BB6A81">
        <w:rPr>
          <w:rFonts w:cs="Arial"/>
        </w:rPr>
        <w:t xml:space="preserve">he gender bias was smaller than observed in routine practice, suggesting a substantial proportion of the inequity observed </w:t>
      </w:r>
      <w:r w:rsidR="001C601E">
        <w:rPr>
          <w:rFonts w:cs="Arial"/>
        </w:rPr>
        <w:t xml:space="preserve">previously </w:t>
      </w:r>
      <w:r w:rsidRPr="00BB6A81">
        <w:rPr>
          <w:rFonts w:cs="Arial"/>
        </w:rPr>
        <w:t xml:space="preserve">is a consequence of bias in </w:t>
      </w:r>
      <w:r w:rsidR="00C92A0B" w:rsidRPr="00BB6A81">
        <w:rPr>
          <w:rFonts w:cs="Arial"/>
        </w:rPr>
        <w:t xml:space="preserve">the </w:t>
      </w:r>
      <w:r w:rsidRPr="00BB6A81">
        <w:rPr>
          <w:rFonts w:cs="Arial"/>
        </w:rPr>
        <w:t xml:space="preserve">offer of intervention. This study suggests a simple way to overcome much of the gender bias is to write to patients who are overweight and offer referral.  </w:t>
      </w:r>
      <w:r w:rsidR="00C92A0B" w:rsidRPr="00BB6A81">
        <w:rPr>
          <w:rFonts w:cs="Arial"/>
        </w:rPr>
        <w:t>Uptake of the invitation to participate was lower in lower SES groups suggesting the need to preferentially offer referrals to this group</w:t>
      </w:r>
      <w:r w:rsidR="000D2889" w:rsidRPr="00BB6A81">
        <w:rPr>
          <w:rFonts w:cs="Arial"/>
        </w:rPr>
        <w:t xml:space="preserve"> to reduce health inequalities and for research to explore barriers to uptake</w:t>
      </w:r>
      <w:r w:rsidR="006D6095" w:rsidRPr="00BB6A81">
        <w:rPr>
          <w:rFonts w:cs="Arial"/>
        </w:rPr>
        <w:t>.</w:t>
      </w:r>
    </w:p>
    <w:p w14:paraId="7FEF5757" w14:textId="77777777" w:rsidR="00AE53EE" w:rsidRPr="001C601E" w:rsidRDefault="00AE53EE">
      <w:pPr>
        <w:rPr>
          <w:rFonts w:ascii="Verdana" w:hAnsi="Verdana"/>
          <w:sz w:val="20"/>
          <w:szCs w:val="20"/>
        </w:rPr>
      </w:pPr>
      <w:r w:rsidRPr="001C601E">
        <w:br w:type="page"/>
      </w:r>
    </w:p>
    <w:p w14:paraId="4F1B699D" w14:textId="1A7CA053" w:rsidR="001C601E" w:rsidRPr="001C601E" w:rsidRDefault="00285010">
      <w:pPr>
        <w:rPr>
          <w:b/>
        </w:rPr>
      </w:pPr>
      <w:r>
        <w:rPr>
          <w:b/>
        </w:rPr>
        <w:lastRenderedPageBreak/>
        <w:t>How this fits in</w:t>
      </w:r>
    </w:p>
    <w:p w14:paraId="195ACF0D" w14:textId="073D0F0F" w:rsidR="00BF5A7F" w:rsidRPr="00D736C9" w:rsidRDefault="00285010" w:rsidP="00266987">
      <w:pPr>
        <w:pStyle w:val="CommentText"/>
        <w:spacing w:line="360" w:lineRule="auto"/>
        <w:rPr>
          <w:sz w:val="22"/>
          <w:szCs w:val="22"/>
        </w:rPr>
      </w:pPr>
      <w:r w:rsidRPr="00D736C9">
        <w:rPr>
          <w:rFonts w:cs="Arial"/>
          <w:sz w:val="22"/>
          <w:szCs w:val="22"/>
        </w:rPr>
        <w:t>Referral to a commercial open-group behavioural weight loss programme is a cost effective intervention for use in primary care settings</w:t>
      </w:r>
      <w:r w:rsidR="00D736C9">
        <w:rPr>
          <w:rFonts w:cs="Arial"/>
          <w:sz w:val="22"/>
          <w:szCs w:val="22"/>
        </w:rPr>
        <w:t>, but</w:t>
      </w:r>
      <w:r w:rsidRPr="00D736C9">
        <w:rPr>
          <w:rFonts w:cs="Arial"/>
          <w:sz w:val="22"/>
          <w:szCs w:val="22"/>
        </w:rPr>
        <w:t xml:space="preserve"> only 10% of </w:t>
      </w:r>
      <w:r w:rsidR="00157D8E">
        <w:rPr>
          <w:rFonts w:cs="Arial"/>
          <w:sz w:val="22"/>
          <w:szCs w:val="22"/>
        </w:rPr>
        <w:t>patients</w:t>
      </w:r>
      <w:r w:rsidRPr="00D736C9">
        <w:rPr>
          <w:rFonts w:cs="Arial"/>
          <w:sz w:val="22"/>
          <w:szCs w:val="22"/>
        </w:rPr>
        <w:t xml:space="preserve"> receiving this intervention </w:t>
      </w:r>
      <w:r w:rsidR="00157D8E">
        <w:rPr>
          <w:rFonts w:cs="Arial"/>
          <w:sz w:val="22"/>
          <w:szCs w:val="22"/>
        </w:rPr>
        <w:t>through an NHS referral</w:t>
      </w:r>
      <w:r w:rsidRPr="00D736C9">
        <w:rPr>
          <w:rFonts w:cs="Arial"/>
          <w:sz w:val="22"/>
          <w:szCs w:val="22"/>
        </w:rPr>
        <w:t xml:space="preserve"> are male.</w:t>
      </w:r>
      <w:r w:rsidR="00157D8E">
        <w:rPr>
          <w:rFonts w:cs="Arial"/>
          <w:sz w:val="22"/>
          <w:szCs w:val="22"/>
        </w:rPr>
        <w:t xml:space="preserve"> </w:t>
      </w:r>
      <w:r w:rsidR="00D736C9" w:rsidRPr="00D736C9">
        <w:rPr>
          <w:rFonts w:cs="Arial"/>
          <w:sz w:val="22"/>
          <w:szCs w:val="22"/>
        </w:rPr>
        <w:t xml:space="preserve"> </w:t>
      </w:r>
      <w:r w:rsidR="00157D8E">
        <w:rPr>
          <w:rFonts w:cs="Arial"/>
          <w:sz w:val="22"/>
          <w:szCs w:val="22"/>
        </w:rPr>
        <w:t xml:space="preserve">The current study </w:t>
      </w:r>
      <w:r w:rsidR="00D736C9" w:rsidRPr="00D736C9">
        <w:rPr>
          <w:rFonts w:cs="Arial"/>
          <w:sz w:val="22"/>
          <w:szCs w:val="22"/>
        </w:rPr>
        <w:t xml:space="preserve">found that </w:t>
      </w:r>
      <w:r w:rsidR="00157D8E">
        <w:rPr>
          <w:rFonts w:cs="Arial"/>
          <w:sz w:val="22"/>
          <w:szCs w:val="22"/>
        </w:rPr>
        <w:t xml:space="preserve">when all eligible patients in a practice were invited to participate in a trial offering this type of intervention, </w:t>
      </w:r>
      <w:r w:rsidR="00D736C9" w:rsidRPr="00D736C9">
        <w:rPr>
          <w:rFonts w:cs="Arial"/>
          <w:sz w:val="22"/>
          <w:szCs w:val="22"/>
        </w:rPr>
        <w:t>m</w:t>
      </w:r>
      <w:r w:rsidR="00D736C9" w:rsidRPr="00D736C9">
        <w:rPr>
          <w:sz w:val="22"/>
          <w:szCs w:val="22"/>
        </w:rPr>
        <w:t xml:space="preserve">en, people from more deprived areas, and those aged under 40 years were less likely to </w:t>
      </w:r>
      <w:r w:rsidR="00157D8E">
        <w:rPr>
          <w:sz w:val="22"/>
          <w:szCs w:val="22"/>
        </w:rPr>
        <w:t>participate</w:t>
      </w:r>
      <w:r w:rsidR="00717FC6">
        <w:rPr>
          <w:sz w:val="22"/>
          <w:szCs w:val="22"/>
        </w:rPr>
        <w:t xml:space="preserve"> but</w:t>
      </w:r>
      <w:r w:rsidR="00157D8E">
        <w:rPr>
          <w:sz w:val="22"/>
          <w:szCs w:val="22"/>
        </w:rPr>
        <w:t xml:space="preserve"> </w:t>
      </w:r>
      <w:r w:rsidR="00D736C9" w:rsidRPr="00D736C9">
        <w:rPr>
          <w:sz w:val="22"/>
          <w:szCs w:val="22"/>
        </w:rPr>
        <w:t xml:space="preserve">the </w:t>
      </w:r>
      <w:r w:rsidR="00157D8E">
        <w:rPr>
          <w:sz w:val="22"/>
          <w:szCs w:val="22"/>
        </w:rPr>
        <w:t>proportion of men participating was 3 times that seen in practice and in other trials that recruited opportunistically</w:t>
      </w:r>
      <w:r w:rsidR="00717FC6">
        <w:rPr>
          <w:sz w:val="22"/>
          <w:szCs w:val="22"/>
        </w:rPr>
        <w:t xml:space="preserve">. This </w:t>
      </w:r>
      <w:r w:rsidR="00157D8E">
        <w:rPr>
          <w:sz w:val="22"/>
          <w:szCs w:val="22"/>
        </w:rPr>
        <w:t>suggest</w:t>
      </w:r>
      <w:r w:rsidR="00717FC6">
        <w:rPr>
          <w:sz w:val="22"/>
          <w:szCs w:val="22"/>
        </w:rPr>
        <w:t>s</w:t>
      </w:r>
      <w:r w:rsidR="00157D8E">
        <w:rPr>
          <w:sz w:val="22"/>
          <w:szCs w:val="22"/>
        </w:rPr>
        <w:t xml:space="preserve"> that </w:t>
      </w:r>
      <w:r w:rsidR="00D736C9" w:rsidRPr="00D736C9">
        <w:rPr>
          <w:rFonts w:cs="Arial"/>
          <w:sz w:val="22"/>
          <w:szCs w:val="22"/>
        </w:rPr>
        <w:t>a substantial proportion of the gender inequity observed in NHS referrals and many clinical trials is a consequence of practitioner bias in offer of intervention</w:t>
      </w:r>
      <w:r w:rsidR="00157D8E">
        <w:rPr>
          <w:rFonts w:cs="Arial"/>
          <w:sz w:val="22"/>
          <w:szCs w:val="22"/>
        </w:rPr>
        <w:t>. A</w:t>
      </w:r>
      <w:r w:rsidR="000E3B7A">
        <w:rPr>
          <w:rFonts w:cs="Arial"/>
          <w:sz w:val="22"/>
          <w:szCs w:val="22"/>
        </w:rPr>
        <w:t xml:space="preserve"> simple strategy to reduce </w:t>
      </w:r>
      <w:r w:rsidR="00157D8E">
        <w:rPr>
          <w:rFonts w:cs="Arial"/>
          <w:sz w:val="22"/>
          <w:szCs w:val="22"/>
        </w:rPr>
        <w:t xml:space="preserve">gender </w:t>
      </w:r>
      <w:r w:rsidR="000E3B7A">
        <w:rPr>
          <w:rFonts w:cs="Arial"/>
          <w:sz w:val="22"/>
          <w:szCs w:val="22"/>
        </w:rPr>
        <w:t xml:space="preserve">inequality </w:t>
      </w:r>
      <w:r w:rsidR="00157D8E">
        <w:rPr>
          <w:rFonts w:cs="Arial"/>
          <w:sz w:val="22"/>
          <w:szCs w:val="22"/>
        </w:rPr>
        <w:t xml:space="preserve">in participation in commercial open-group behavioural weight loss programme </w:t>
      </w:r>
      <w:r w:rsidR="000E3B7A">
        <w:rPr>
          <w:rFonts w:cs="Arial"/>
          <w:sz w:val="22"/>
          <w:szCs w:val="22"/>
        </w:rPr>
        <w:t>is to invite all eligible patients by letter</w:t>
      </w:r>
      <w:r w:rsidR="00D736C9" w:rsidRPr="00D736C9">
        <w:rPr>
          <w:rFonts w:cs="Arial"/>
          <w:sz w:val="22"/>
          <w:szCs w:val="22"/>
        </w:rPr>
        <w:t>.</w:t>
      </w:r>
    </w:p>
    <w:p w14:paraId="5375A991" w14:textId="77777777" w:rsidR="009A6835" w:rsidRDefault="009A6835">
      <w:pPr>
        <w:rPr>
          <w:b/>
        </w:rPr>
      </w:pPr>
      <w:r>
        <w:rPr>
          <w:b/>
        </w:rPr>
        <w:br w:type="page"/>
      </w:r>
    </w:p>
    <w:p w14:paraId="63F70F8B" w14:textId="10C1F6A4" w:rsidR="003C27E2" w:rsidRPr="00F57D18" w:rsidRDefault="001429F7" w:rsidP="00770113">
      <w:pPr>
        <w:pStyle w:val="CommentText"/>
        <w:spacing w:line="360" w:lineRule="auto"/>
        <w:rPr>
          <w:b/>
          <w:sz w:val="22"/>
          <w:szCs w:val="22"/>
        </w:rPr>
      </w:pPr>
      <w:r>
        <w:rPr>
          <w:b/>
          <w:sz w:val="22"/>
          <w:szCs w:val="22"/>
        </w:rPr>
        <w:lastRenderedPageBreak/>
        <w:t>INTRODUCTION</w:t>
      </w:r>
    </w:p>
    <w:p w14:paraId="181C289B" w14:textId="242D465C" w:rsidR="006373DD" w:rsidRDefault="00243E26" w:rsidP="002C17A6">
      <w:pPr>
        <w:spacing w:line="360" w:lineRule="auto"/>
      </w:pPr>
      <w:r w:rsidRPr="00F57D18">
        <w:t xml:space="preserve">There is now good evidence that </w:t>
      </w:r>
      <w:r w:rsidR="00DE26FB">
        <w:t xml:space="preserve">for people who are overweight, </w:t>
      </w:r>
      <w:r w:rsidRPr="00F57D18">
        <w:t xml:space="preserve">referral to a </w:t>
      </w:r>
      <w:r w:rsidR="00535B53">
        <w:t>commercial</w:t>
      </w:r>
      <w:r w:rsidR="004870BE">
        <w:t xml:space="preserve"> </w:t>
      </w:r>
      <w:r w:rsidR="00BA3D31">
        <w:t>open-group</w:t>
      </w:r>
      <w:r w:rsidR="00535B53">
        <w:t xml:space="preserve"> behavioural weight loss programme</w:t>
      </w:r>
      <w:r w:rsidRPr="00F57D18">
        <w:t xml:space="preserve"> is </w:t>
      </w:r>
      <w:r w:rsidR="001A7BDD">
        <w:t xml:space="preserve">a </w:t>
      </w:r>
      <w:r w:rsidRPr="00F57D18">
        <w:t xml:space="preserve">cost effective intervention for use in primary care </w:t>
      </w:r>
      <w:r w:rsidR="00A41CF7">
        <w:fldChar w:fldCharType="begin" w:fldLock="1"/>
      </w:r>
      <w:r w:rsidR="00D658C8">
        <w:instrText>ADDIN CSL_CITATION { "citationItems" : [ { "id" : "ITEM-1", "itemData" : { "DOI" : "10.1111/obr.12220", "ISSN" : "1467-789X", "PMID" : "25112559", "abstract" : "This systematic review and meta-analysis of effectiveness trials comparing multicomponent behavioural weight management programmes with controls in overweight and obese adults set out to determine the effectiveness of these interventions implemented in routine practice. To be included, interventions must have been multicomponent, delivered by the therapists who would deliver the intervention in routine practice and in that same context, and must be widely available or feasible to implement with little additional infrastructure or staffing. Searches of electronic databases were conducted, and augmented by screening reference lists and contacting experts (November 2012). Data were extracted by two reviewers, with mean difference between intervention and control for 12-month change in weight, blood pressure, lipids and glucose calculated using baseline observation carried forward. Data were also extracted on adverse events, quality of life and mood measures. Although there were many published efficacy trials, only eight effectiveness trials met the inclusion criteria. Pooled results from five study arms providing access to commercial weight management programmes detected significant weight loss at 12 months (mean difference -2.22 kg, 95% confidence interval [CI] -2.90 to -1.54). Results from two arms of a study testing a commercial programme providing meal replacements also detected significant weight loss (mean difference -6.83 kg, 95% CI -8.39 to -5.26). In contrast, pooled results from five interventions delivered by primary care teams showed no evidence of an effect on weight (mean difference -0.45 kg, 95% CI -1.34 to 0.43). One study testing an interactive web-based intervention detected a significant effect in favour of the intervention at 12 months, but the study was judged to be at high risk of bias and the effect did not persist at 18 months. Few studies reported other outcomes, limiting comparisons between interventions. Few trials have examined the effectiveness of behavioural weight loss programmes delivered in everyday contexts. These trials suggest that commercial interventions delivered in the community are effective for achieving weight loss. There is no evidence that interventions delivered within primary care settings by generalist primary care teams trained in weight management achieve meaningful weight loss.", "author" : [ { "dropping-particle" : "", "family" : "Hartmann-Boyce", "given" : "J", "non-dropping-particle" : "", "parse-names" : false, "suffix" : "" }, { "dropping-particle" : "", "family" : "Johns", "given" : "D J", "non-dropping-particle" : "", "parse-names" : false, "suffix" : "" }, { "dropping-particle" : "", "family" : "Jebb", "given" : "S A", "non-dropping-particle" : "", "parse-names" : false, "suffix" : "" }, { "dropping-particle" : "", "family" : "Summerbell", "given" : "C", "non-dropping-particle" : "", "parse-names" : false, "suffix" : "" }, { "dropping-particle" : "", "family" : "Aveyard", "given" : "P", "non-dropping-particle" : "", "parse-names" : false, "suffix" : "" } ], "container-title" : "Obesity reviews : an official journal of the International Association for the Study of Obesity", "id" : "ITEM-1", "issue" : "11", "issued" : { "date-parts" : [ [ "2014", "11" ] ] }, "page" : "920-32", "title" : "Behavioural weight management programmes for adults assessed by trials conducted in everyday contexts: systematic review and meta-analysis.", "type" : "article-journal", "volume" : "15" }, "uris" : [ "http://www.mendeley.com/documents/?uuid=d111f2b0-6a31-4d8d-9428-d626946a7225" ] } ], "mendeley" : { "formattedCitation" : "(1)", "plainTextFormattedCitation" : "(1)", "previouslyFormattedCitation" : "[1]" }, "properties" : { "noteIndex" : 0 }, "schema" : "https://github.com/citation-style-language/schema/raw/master/csl-citation.json" }</w:instrText>
      </w:r>
      <w:r w:rsidR="00A41CF7">
        <w:fldChar w:fldCharType="separate"/>
      </w:r>
      <w:r w:rsidR="00D658C8" w:rsidRPr="00D658C8">
        <w:rPr>
          <w:noProof/>
        </w:rPr>
        <w:t>(1)</w:t>
      </w:r>
      <w:r w:rsidR="00A41CF7">
        <w:fldChar w:fldCharType="end"/>
      </w:r>
      <w:r>
        <w:t>. However, there remains a perception that these interventions only serve a subset of the population; namely middle class</w:t>
      </w:r>
      <w:r w:rsidR="003A3973">
        <w:t>, middle aged,</w:t>
      </w:r>
      <w:r>
        <w:t xml:space="preserve"> women</w:t>
      </w:r>
      <w:r w:rsidR="002C17A6">
        <w:fldChar w:fldCharType="begin" w:fldLock="1"/>
      </w:r>
      <w:r w:rsidR="00D658C8">
        <w:instrText>ADDIN CSL_CITATION { "citationItems" : [ { "id" : "ITEM-1", "itemData" : { "DOI" : "10.1186/1471-2458-14-444", "ISBN" : "1471-2458", "ISSN" : "1471-2458", "PMID" : "24884639", "abstract" : "BACKGROUND:Despite rising levels of obesity in England, little is known about slimming club and weight loss drug (medication) use or users. In order to inform future commissioning, we report the prevalence of various weight management strategies and examine the associations between slimming club and medication use and age, gender, deprivation and body mass index.METHODS:A population based cross-sectional survey of 26,113 adults was conducted in South Yorkshire using a self-completed health questionnaire. Participants were asked whether they had ever used the following interventions to manage their weight: increasing exercise, healthy eating, controlling portion size, slimming club, over the counter weight loss medication, or meal replacements. Factors associated with slimming club and weight-loss medication use were explored using logistic regression.RESULTS:Over half of the sample was either overweight (36.6%) or obese (19.6%). Obesity was more common in the most deprived areas compared to the least deprived (26.3% vs. 12.0%). Healthy eating (49.0%), controlling portion size (43.4%), and increasing exercise (43.0%) were the most commonly reported weight management strategies. Less common strategies were attending a slimming club (17.2%), meal replacements (3.4%) and weight-loss medication (3.2%). Adjusting for BMI, age, deprivation and long standing health conditions, women were significantly more likely to report ever using a slimming club (adjusted OR = 18.6, 95% CI = 16.52-21.00) and more likely to report ever using over the counter weight-loss medications (AOR = 3.73, 95% CI = 3.10-4.48), while respondents from the most deprived areas were less likely to report using slimming clubs (AOR = 0.60, 95% CI = 0.53-0.68), and more likely to reporting using weight loss medications (AOR =1.38, 95% CI = 1.51-1.82).CONCLUSION:A large proportion of individuals report having used weight management strategies. Slimming clubs and over-the-counter weight loss medication account for a smaller proportion of the overall uptake. Those from less deprived areas were more likely to use slimming clubs while those from more deprived areas were more likely to use weight-loss medications. Future NHS and Local Authority commissioning of weight management services must be aware of this varying social gradient in weight management strategies.", "author" : [ { "dropping-particle" : "", "family" : "Relton", "given" : "Clare", "non-dropping-particle" : "", "parse-names" : false, "suffix" : "" }, { "dropping-particle" : "", "family" : "Li", "given" : "Jessica", "non-dropping-particle" : "", "parse-names" : false, "suffix" : "" }, { "dropping-particle" : "", "family" : "Strong", "given" : "Mark", "non-dropping-particle" : "", "parse-names" : false, "suffix" : "" }, { "dropping-particle" : "", "family" : "Holdsworth", "given" : "Michelle", "non-dropping-particle" : "", "parse-names" : false, "suffix" : "" }, { "dropping-particle" : "", "family" : "Cooper", "given" : "Richard", "non-dropping-particle" : "", "parse-names" : false, "suffix" : "" }, { "dropping-particle" : "", "family" : "Green", "given" : "Mark", "non-dropping-particle" : "", "parse-names" : false, "suffix" : "" }, { "dropping-particle" : "", "family" : "Bissell", "given" : "Paul", "non-dropping-particle" : "", "parse-names" : false, "suffix" : "" } ], "container-title" : "BMC Public Health", "id" : "ITEM-1", "issued" : { "date-parts" : [ [ "2014" ] ] }, "page" : "444", "title" : "Deprivation, clubs and drugs: results of a UK regional population-based cross-sectional study of weight management strategies", "type" : "article-journal", "volume" : "14" }, "uris" : [ "http://www.mendeley.com/documents/?uuid=296d1670-e8e3-4350-b4d3-d0db826ca98d" ] } ], "mendeley" : { "formattedCitation" : "(2)", "plainTextFormattedCitation" : "(2)", "previouslyFormattedCitation" : "[2]" }, "properties" : { "noteIndex" : 0 }, "schema" : "https://github.com/citation-style-language/schema/raw/master/csl-citation.json" }</w:instrText>
      </w:r>
      <w:r w:rsidR="002C17A6">
        <w:fldChar w:fldCharType="separate"/>
      </w:r>
      <w:r w:rsidR="00D658C8" w:rsidRPr="00D658C8">
        <w:rPr>
          <w:noProof/>
        </w:rPr>
        <w:t>(2)</w:t>
      </w:r>
      <w:r w:rsidR="002C17A6">
        <w:fldChar w:fldCharType="end"/>
      </w:r>
      <w:r>
        <w:t xml:space="preserve">. </w:t>
      </w:r>
      <w:r w:rsidR="006373DD">
        <w:t>D</w:t>
      </w:r>
      <w:r w:rsidR="006373DD" w:rsidRPr="00F57D18">
        <w:t xml:space="preserve">emographic </w:t>
      </w:r>
      <w:r w:rsidR="006373DD">
        <w:t>biases</w:t>
      </w:r>
      <w:r w:rsidR="006373DD" w:rsidRPr="00F57D18">
        <w:t xml:space="preserve"> in </w:t>
      </w:r>
      <w:r w:rsidR="006373DD">
        <w:t xml:space="preserve">participation in </w:t>
      </w:r>
      <w:r w:rsidR="006373DD" w:rsidRPr="00F57D18">
        <w:t>weight loss interventions offered through primary care</w:t>
      </w:r>
      <w:r w:rsidR="006373DD">
        <w:t xml:space="preserve"> may contribute to health inequalities but there has been little systematic study of how these biases arise</w:t>
      </w:r>
      <w:r w:rsidR="006373DD" w:rsidRPr="00F57D18">
        <w:t>.</w:t>
      </w:r>
      <w:r w:rsidR="006373DD">
        <w:t xml:space="preserve"> </w:t>
      </w:r>
    </w:p>
    <w:p w14:paraId="0B4E855F" w14:textId="49CA6E56" w:rsidR="00C011DF" w:rsidRDefault="00DE26FB" w:rsidP="002C17A6">
      <w:pPr>
        <w:spacing w:line="360" w:lineRule="auto"/>
      </w:pPr>
      <w:r w:rsidRPr="00DE0521">
        <w:t>The p</w:t>
      </w:r>
      <w:r w:rsidR="009A6835" w:rsidRPr="00DE0521">
        <w:t>revalence of obesity is similar</w:t>
      </w:r>
      <w:r w:rsidR="005E635E" w:rsidRPr="00DE0521">
        <w:t xml:space="preserve"> </w:t>
      </w:r>
      <w:r w:rsidR="009A6835" w:rsidRPr="00DE0521">
        <w:t>in men and women</w:t>
      </w:r>
      <w:r w:rsidR="00B804D1" w:rsidRPr="00DE0521">
        <w:fldChar w:fldCharType="begin" w:fldLock="1"/>
      </w:r>
      <w:r w:rsidR="00D658C8">
        <w:instrText>ADDIN CSL_CITATION { "citationItems" : [ { "id" : "ITEM-1", "itemData" : { "author" : [ { "dropping-particle" : "", "family" : "Health and Social Care Information Service", "given" : "", "non-dropping-particle" : "", "parse-names" : false, "suffix" : "" } ], "id" : "ITEM-1", "issued" : { "date-parts" : [ [ "2013" ] ] }, "title" : "Health Survey for England", "type" : "report" }, "uris" : [ "http://www.mendeley.com/documents/?uuid=dd17104a-2418-43ca-89d2-4f696ca1106a" ] } ], "mendeley" : { "formattedCitation" : "(3)", "plainTextFormattedCitation" : "(3)", "previouslyFormattedCitation" : "[3]" }, "properties" : { "noteIndex" : 0 }, "schema" : "https://github.com/citation-style-language/schema/raw/master/csl-citation.json" }</w:instrText>
      </w:r>
      <w:r w:rsidR="00B804D1" w:rsidRPr="00DE0521">
        <w:fldChar w:fldCharType="separate"/>
      </w:r>
      <w:r w:rsidR="00D658C8" w:rsidRPr="00D658C8">
        <w:rPr>
          <w:noProof/>
        </w:rPr>
        <w:t>(3)</w:t>
      </w:r>
      <w:r w:rsidR="00B804D1" w:rsidRPr="00DE0521">
        <w:fldChar w:fldCharType="end"/>
      </w:r>
      <w:r>
        <w:t xml:space="preserve"> but </w:t>
      </w:r>
      <w:r w:rsidR="005E635E">
        <w:t xml:space="preserve">men are under-represented in randomised controlled trials of </w:t>
      </w:r>
      <w:r w:rsidR="006D6095">
        <w:t xml:space="preserve">behavioural </w:t>
      </w:r>
      <w:r w:rsidR="005E635E">
        <w:t>weight management interventions</w:t>
      </w:r>
      <w:r w:rsidR="005E635E">
        <w:fldChar w:fldCharType="begin" w:fldLock="1"/>
      </w:r>
      <w:r w:rsidR="00D658C8">
        <w:instrText>ADDIN CSL_CITATION { "citationItems" : [ { "id" : "ITEM-1", "itemData" : { "DOI" : "10.1038/oby.2011.140", "ISSN" : "1930-739X", "PMID" : "21633403", "abstract" : "The prevalence of obesity is similar for men (32.2%) and women (35.5%). It has been assumed that lifestyle weight loss interventions have been developed and tested in predominately female samples, but this has not been systematically investigated. The aim of this review was to investigate total and ethnic male inclusion in randomized controlled trials of lifestyle interventions. PUBMED, MEDLINE, and PSYCHINFO were searched for randomized controlled trials of lifestyle weight loss interventions (N = 244 studies with a total of 95,207 participants) published in the last 10 years (1999-2009). A trial must be in English, included weight loss as an outcome, and tested a dietary, exercise, and/or other behavioral intervention for weight loss. Results revealed samples were on average 27% male vs. 73% female (P &lt; 0.001). Trials recruiting a diseased sample included a larger proportion of males than those not targeting a disease (35% vs. 21%; P &lt; 0.001). About 32% of trials used exclusively female samples, whereas only 5% used exclusively male samples (P &lt; 0.001). No studies in the past 10 years specifically targeted minority males. Ethnic males identified composed 1.8% of total participants in US studies. Only 24% of studies that underrepresented males provided a reason. Males, especially ethnic males, are underrepresented in lifestyle weight loss trials.", "author" : [ { "dropping-particle" : "", "family" : "Pagoto", "given" : "Sherry L", "non-dropping-particle" : "", "parse-names" : false, "suffix" : "" }, { "dropping-particle" : "", "family" : "Schneider", "given" : "Kristin L", "non-dropping-particle" : "", "parse-names" : false, "suffix" : "" }, { "dropping-particle" : "", "family" : "Oleski", "given" : "Jessica L", "non-dropping-particle" : "", "parse-names" : false, "suffix" : "" }, { "dropping-particle" : "", "family" : "Luciani", "given" : "Juliana M", "non-dropping-particle" : "", "parse-names" : false, "suffix" : "" }, { "dropping-particle" : "", "family" : "Bodenlos", "given" : "Jamie S", "non-dropping-particle" : "", "parse-names" : false, "suffix" : "" }, { "dropping-particle" : "", "family" : "Whited", "given" : "Matt C", "non-dropping-particle" : "", "parse-names" : false, "suffix" : "" } ], "container-title" : "Obesity (Silver Spring, Md.)", "id" : "ITEM-1", "issue" : "6", "issued" : { "date-parts" : [ [ "2012", "6" ] ] }, "page" : "1234-9", "title" : "Male inclusion in randomized controlled trials of lifestyle weight loss interventions.", "type" : "article-journal", "volume" : "20" }, "uris" : [ "http://www.mendeley.com/documents/?uuid=5d453417-cd09-4a9a-8293-999bb5dc0ad5" ] } ], "mendeley" : { "formattedCitation" : "(4)", "plainTextFormattedCitation" : "(4)", "previouslyFormattedCitation" : "[4]" }, "properties" : { "noteIndex" : 0 }, "schema" : "https://github.com/citation-style-language/schema/raw/master/csl-citation.json" }</w:instrText>
      </w:r>
      <w:r w:rsidR="005E635E">
        <w:fldChar w:fldCharType="separate"/>
      </w:r>
      <w:r w:rsidR="00D658C8" w:rsidRPr="00D658C8">
        <w:rPr>
          <w:noProof/>
        </w:rPr>
        <w:t>(4)</w:t>
      </w:r>
      <w:r w:rsidR="005E635E">
        <w:fldChar w:fldCharType="end"/>
      </w:r>
      <w:r w:rsidR="005E635E">
        <w:t xml:space="preserve"> and </w:t>
      </w:r>
      <w:r w:rsidR="0034060F">
        <w:t xml:space="preserve">are less likely to </w:t>
      </w:r>
      <w:r w:rsidR="003A487E">
        <w:t>have received</w:t>
      </w:r>
      <w:r w:rsidR="0034060F">
        <w:t xml:space="preserve"> treatment </w:t>
      </w:r>
      <w:r w:rsidR="003A487E">
        <w:t xml:space="preserve">for obesity </w:t>
      </w:r>
      <w:r w:rsidR="0034060F">
        <w:t xml:space="preserve">in </w:t>
      </w:r>
      <w:r w:rsidR="005E635E">
        <w:t>clinical practice</w:t>
      </w:r>
      <w:r w:rsidR="009A6835">
        <w:t>.</w:t>
      </w:r>
      <w:r w:rsidR="0034060F">
        <w:fldChar w:fldCharType="begin" w:fldLock="1"/>
      </w:r>
      <w:r w:rsidR="00D658C8">
        <w:instrText>ADDIN CSL_CITATION { "citationItems" : [ { "id" : "ITEM-1", "itemData" : { "DOI" : "10.1136/bmjopen-2014-006642", "ISSN" : "2044-6055", "PMID" : "25586371", "abstract" : "OBJECTIVES: To investigate access to weight management interventions for overweight and obese patients in primary care.\n\nSETTING: UK primary care electronic health records.\n\nPARTICIPANTS: A cohort of 91\u2005413 overweight and obese patients aged 30-100\u2005years was sampled from the Clinical Practice Research Datalink (CPRD). Patients with body mass index (BMI) values \u226525\u2005kg/m(2) recorded between 2005 and 2012 were included. BMI values were categorised using WHO criteria.\n\nINTERVENTIONS: Interventions for body weight management, including advice, referrals and prescription of antiobesity drugs, were evaluated.\n\nPRIMARY AND SECONDARY OUTCOME MEASURES: The rate of body weight management interventions and time to intervention were the main outcomes.\n\nRESULTS: Data were analysed for 91\u2005413 patients, mean age 56\u2005years, including 55\u2005094 (60%) overweight and 36\u2005319 (40%) obese, including 4099 (5%) with morbid obesity. During the study period, 90% of overweight patients had no weight management intervention recorded. Intervention was more frequent among obese patients, but 59% of patients with morbid obesity had no intervention recorded. Rates of intervention increased with BMI category. In morbid obesity, rates of intervention per 1000 patient years were: advice, 60.2 (95% CI 51.8 to 70.4); referral, 75.7 (95% CI 69.5 to 82.6) and antiobesity drugs 89.9 (95% CI 85.0 to 95.2). Weight management interventions were more often accessed by women, older patients, those with comorbidity and those in deprivation. Follow-up of body weight subsequent to interventions was infrequent.\n\nCONCLUSIONS: Limited evidence of weight management interventions in primary care electronic health records may result from poor recording of advice given, but may indicate a lack of patient access to appropriate body weight management interventions in primary care.", "author" : [ { "dropping-particle" : "", "family" : "Booth", "given" : "Helen P", "non-dropping-particle" : "", "parse-names" : false, "suffix" : "" }, { "dropping-particle" : "", "family" : "Prevost", "given" : "a Toby", "non-dropping-particle" : "", "parse-names" : false, "suffix" : "" }, { "dropping-particle" : "", "family" : "Gulliford", "given" : "Martin C", "non-dropping-particle" : "", "parse-names" : false, "suffix" : "" } ], "container-title" : "BMJ open", "id" : "ITEM-1", "issue" : "1", "issued" : { "date-parts" : [ [ "2015", "1" ] ] }, "page" : "e006642", "title" : "Access to weight reduction interventions for overweight and obese patients in UK primary care: population-based cohort study.", "type" : "article-journal", "volume" : "5" }, "uris" : [ "http://www.mendeley.com/documents/?uuid=2921f492-b101-4c7d-bf7d-cec27c593db4" ] } ], "mendeley" : { "formattedCitation" : "(5)", "plainTextFormattedCitation" : "(5)", "previouslyFormattedCitation" : "[5]" }, "properties" : { "noteIndex" : 0 }, "schema" : "https://github.com/citation-style-language/schema/raw/master/csl-citation.json" }</w:instrText>
      </w:r>
      <w:r w:rsidR="0034060F">
        <w:fldChar w:fldCharType="separate"/>
      </w:r>
      <w:r w:rsidR="00D658C8" w:rsidRPr="00D658C8">
        <w:rPr>
          <w:noProof/>
        </w:rPr>
        <w:t>(5)</w:t>
      </w:r>
      <w:r w:rsidR="0034060F">
        <w:fldChar w:fldCharType="end"/>
      </w:r>
      <w:r w:rsidR="005E635E">
        <w:t xml:space="preserve"> </w:t>
      </w:r>
      <w:r w:rsidR="005E635E" w:rsidRPr="00F57D18">
        <w:t>In audits of commercial weight loss programmes accessed through primary care</w:t>
      </w:r>
      <w:r w:rsidR="005E635E">
        <w:t xml:space="preserve">, ~90% of participants </w:t>
      </w:r>
      <w:r w:rsidR="009F5BA1">
        <w:t xml:space="preserve">were </w:t>
      </w:r>
      <w:r w:rsidR="005E635E">
        <w:t>women.</w:t>
      </w:r>
      <w:r w:rsidR="005E635E">
        <w:fldChar w:fldCharType="begin" w:fldLock="1"/>
      </w:r>
      <w:r w:rsidR="00D658C8">
        <w:instrText>ADDIN CSL_CITATION { "citationItems" : [ { "id" : "ITEM-1", "itemData" : { "DOI" : "10.1186/1471-2458-11-434", "ISBN" : "1471-2458", "ISSN" : "1471-2458", "PMID" : "21645343", "abstract" : "The scale of overweight and obesity in the UK places a considerable burden on the NHS. In some areas the NHS has formed partnerships with commercial companies to offer weight management services, but there has been little evaluation of these schemes.This study is an independent audit of the Weight Watchers NHS Referral scheme and evaluates the weight change of obese and overweight adults referred to Weight Watchers (WW) by the NHS.", "author" : [ { "dropping-particle" : "", "family" : "Ahern", "given" : "Amy L", "non-dropping-particle" : "", "parse-names" : false, "suffix" : "" }, { "dropping-particle" : "", "family" : "Olson", "given" : "Ashley D", "non-dropping-particle" : "", "parse-names" : false, "suffix" : "" }, { "dropping-particle" : "", "family" : "Aston", "given" : "Louise M", "non-dropping-particle" : "", "parse-names" : false, "suffix" : "" }, { "dropping-particle" : "", "family" : "Jebb", "given" : "Susan A", "non-dropping-particle" : "", "parse-names" : false, "suffix" : "" } ], "container-title" : "BMC public health", "id" : "ITEM-1", "issued" : { "date-parts" : [ [ "2011" ] ] }, "page" : "434", "title" : "Weight Watchers on prescription: an observational study of weight change among adults referred to Weight Watchers by the NHS.", "type" : "article-journal", "volume" : "11" }, "uris" : [ "http://www.mendeley.com/documents/?uuid=ee883b54-eb4c-4a82-b560-92fd3252ebbd" ] }, { "id" : "ITEM-2", "itemData" : { "DOI" : "10.1159/000327249", "ISBN" : "1662-4025", "ISSN" : "16624025", "PMID" : "21577018", "abstract" : "This project audited rate and extent of weight loss in a primary care/commercial weight management organisation partnership scheme.", "author" : [ { "dropping-particle" : "", "family" : "Stubbs", "given" : "R. James", "non-dropping-particle" : "", "parse-names" : false, "suffix" : "" }, { "dropping-particle" : "", "family" : "Pallister", "given" : "Carolyn", "non-dropping-particle" : "", "parse-names" : false, "suffix" : "" }, { "dropping-particle" : "", "family" : "Whybrow", "given" : "Stephen", "non-dropping-particle" : "", "parse-names" : false, "suffix" : "" }, { "dropping-particle" : "", "family" : "Avery", "given" : "Amanda", "non-dropping-particle" : "", "parse-names" : false, "suffix" : "" }, { "dropping-particle" : "", "family" : "Lavin", "given" : "Jacquie", "non-dropping-particle" : "", "parse-names" : false, "suffix" : "" } ], "container-title" : "Obesity Facts", "id" : "ITEM-2", "issued" : { "date-parts" : [ [ "2011" ] ] }, "page" : "113-120", "title" : "Weight outcomes audit for 34,271 adults referred to a primary care/commercial weight management partnership scheme", "type" : "article-journal", "volume" : "4" }, "uris" : [ "http://www.mendeley.com/documents/?uuid=0fad5f98-37a4-4b3e-9591-20448925985b" ] } ], "mendeley" : { "formattedCitation" : "(6,7)", "plainTextFormattedCitation" : "(6,7)", "previouslyFormattedCitation" : "[6,7]" }, "properties" : { "noteIndex" : 0 }, "schema" : "https://github.com/citation-style-language/schema/raw/master/csl-citation.json" }</w:instrText>
      </w:r>
      <w:r w:rsidR="005E635E">
        <w:fldChar w:fldCharType="separate"/>
      </w:r>
      <w:r w:rsidR="00D658C8" w:rsidRPr="00D658C8">
        <w:rPr>
          <w:noProof/>
        </w:rPr>
        <w:t>(6,7)</w:t>
      </w:r>
      <w:r w:rsidR="005E635E">
        <w:fldChar w:fldCharType="end"/>
      </w:r>
      <w:r w:rsidR="005E635E">
        <w:t xml:space="preserve"> </w:t>
      </w:r>
      <w:r w:rsidR="006373DD">
        <w:t>Data on the effect of social status is less clear. There is a</w:t>
      </w:r>
      <w:r w:rsidR="005E635E" w:rsidRPr="00F57D18">
        <w:t xml:space="preserve"> social gradient </w:t>
      </w:r>
      <w:r w:rsidR="006373DD">
        <w:t xml:space="preserve">in the prevalence </w:t>
      </w:r>
      <w:r w:rsidR="005E635E" w:rsidRPr="00F57D18">
        <w:t>of obesity</w:t>
      </w:r>
      <w:r w:rsidR="006373DD">
        <w:t xml:space="preserve">, </w:t>
      </w:r>
      <w:r w:rsidR="00D72ED8">
        <w:t>particularly</w:t>
      </w:r>
      <w:r w:rsidR="005E635E">
        <w:t xml:space="preserve"> in women, such that </w:t>
      </w:r>
      <w:r w:rsidR="00D72ED8">
        <w:t xml:space="preserve">people </w:t>
      </w:r>
      <w:r w:rsidR="005E635E">
        <w:t xml:space="preserve">who are of a lower socioeconomic status </w:t>
      </w:r>
      <w:r w:rsidR="00205151">
        <w:t xml:space="preserve">(SES) </w:t>
      </w:r>
      <w:r w:rsidR="005E635E">
        <w:t xml:space="preserve">are more likely to be obese than those of </w:t>
      </w:r>
      <w:r w:rsidR="00D72ED8">
        <w:t xml:space="preserve">a higher </w:t>
      </w:r>
      <w:r w:rsidR="00205151">
        <w:t>SES</w:t>
      </w:r>
      <w:r w:rsidR="00D72ED8">
        <w:fldChar w:fldCharType="begin" w:fldLock="1"/>
      </w:r>
      <w:r w:rsidR="00D658C8">
        <w:instrText>ADDIN CSL_CITATION { "citationItems" : [ { "id" : "ITEM-1", "itemData" : { "author" : [ { "dropping-particle" : "", "family" : "Health and Social Care Information Service", "given" : "", "non-dropping-particle" : "", "parse-names" : false, "suffix" : "" } ], "id" : "ITEM-1", "issued" : { "date-parts" : [ [ "2013" ] ] }, "title" : "Health Survey for England", "type" : "report" }, "uris" : [ "http://www.mendeley.com/documents/?uuid=dd17104a-2418-43ca-89d2-4f696ca1106a" ] } ], "mendeley" : { "formattedCitation" : "(3)", "plainTextFormattedCitation" : "(3)", "previouslyFormattedCitation" : "[3]" }, "properties" : { "noteIndex" : 0 }, "schema" : "https://github.com/citation-style-language/schema/raw/master/csl-citation.json" }</w:instrText>
      </w:r>
      <w:r w:rsidR="00D72ED8">
        <w:fldChar w:fldCharType="separate"/>
      </w:r>
      <w:r w:rsidR="00D658C8" w:rsidRPr="00D658C8">
        <w:rPr>
          <w:noProof/>
        </w:rPr>
        <w:t>(3)</w:t>
      </w:r>
      <w:r w:rsidR="00D72ED8">
        <w:fldChar w:fldCharType="end"/>
      </w:r>
      <w:r w:rsidR="005E635E">
        <w:t xml:space="preserve"> </w:t>
      </w:r>
      <w:r w:rsidR="006373DD">
        <w:t xml:space="preserve"> and a</w:t>
      </w:r>
      <w:r w:rsidR="00AE1BF6">
        <w:t>n audit of r</w:t>
      </w:r>
      <w:r w:rsidR="0034060F">
        <w:t xml:space="preserve">outine clinical data </w:t>
      </w:r>
      <w:r w:rsidR="00AE1BF6">
        <w:t xml:space="preserve">on obesity treatment in primary care </w:t>
      </w:r>
      <w:r w:rsidR="0034060F">
        <w:t xml:space="preserve">suggests that patients from more deprived areas are more likely to </w:t>
      </w:r>
      <w:r w:rsidR="008A2D86">
        <w:t>receive treatment</w:t>
      </w:r>
      <w:r w:rsidR="004B0234">
        <w:t xml:space="preserve"> for obesity</w:t>
      </w:r>
      <w:r w:rsidR="0034060F">
        <w:t>.</w:t>
      </w:r>
      <w:r w:rsidR="004B0234">
        <w:fldChar w:fldCharType="begin" w:fldLock="1"/>
      </w:r>
      <w:r w:rsidR="00D658C8">
        <w:instrText>ADDIN CSL_CITATION { "citationItems" : [ { "id" : "ITEM-1", "itemData" : { "DOI" : "10.1136/bmjopen-2014-006642", "ISSN" : "2044-6055", "PMID" : "25586371", "abstract" : "OBJECTIVES: To investigate access to weight management interventions for overweight and obese patients in primary care.\n\nSETTING: UK primary care electronic health records.\n\nPARTICIPANTS: A cohort of 91\u2005413 overweight and obese patients aged 30-100\u2005years was sampled from the Clinical Practice Research Datalink (CPRD). Patients with body mass index (BMI) values \u226525\u2005kg/m(2) recorded between 2005 and 2012 were included. BMI values were categorised using WHO criteria.\n\nINTERVENTIONS: Interventions for body weight management, including advice, referrals and prescription of antiobesity drugs, were evaluated.\n\nPRIMARY AND SECONDARY OUTCOME MEASURES: The rate of body weight management interventions and time to intervention were the main outcomes.\n\nRESULTS: Data were analysed for 91\u2005413 patients, mean age 56\u2005years, including 55\u2005094 (60%) overweight and 36\u2005319 (40%) obese, including 4099 (5%) with morbid obesity. During the study period, 90% of overweight patients had no weight management intervention recorded. Intervention was more frequent among obese patients, but 59% of patients with morbid obesity had no intervention recorded. Rates of intervention increased with BMI category. In morbid obesity, rates of intervention per 1000 patient years were: advice, 60.2 (95% CI 51.8 to 70.4); referral, 75.7 (95% CI 69.5 to 82.6) and antiobesity drugs 89.9 (95% CI 85.0 to 95.2). Weight management interventions were more often accessed by women, older patients, those with comorbidity and those in deprivation. Follow-up of body weight subsequent to interventions was infrequent.\n\nCONCLUSIONS: Limited evidence of weight management interventions in primary care electronic health records may result from poor recording of advice given, but may indicate a lack of patient access to appropriate body weight management interventions in primary care.", "author" : [ { "dropping-particle" : "", "family" : "Booth", "given" : "Helen P", "non-dropping-particle" : "", "parse-names" : false, "suffix" : "" }, { "dropping-particle" : "", "family" : "Prevost", "given" : "a Toby", "non-dropping-particle" : "", "parse-names" : false, "suffix" : "" }, { "dropping-particle" : "", "family" : "Gulliford", "given" : "Martin C", "non-dropping-particle" : "", "parse-names" : false, "suffix" : "" } ], "container-title" : "BMJ open", "id" : "ITEM-1", "issue" : "1", "issued" : { "date-parts" : [ [ "2015", "1" ] ] }, "page" : "e006642", "title" : "Access to weight reduction interventions for overweight and obese patients in UK primary care: population-based cohort study.", "type" : "article-journal", "volume" : "5" }, "uris" : [ "http://www.mendeley.com/documents/?uuid=2921f492-b101-4c7d-bf7d-cec27c593db4" ] } ], "mendeley" : { "formattedCitation" : "(5)", "plainTextFormattedCitation" : "(5)", "previouslyFormattedCitation" : "[5]" }, "properties" : { "noteIndex" : 0 }, "schema" : "https://github.com/citation-style-language/schema/raw/master/csl-citation.json" }</w:instrText>
      </w:r>
      <w:r w:rsidR="004B0234">
        <w:fldChar w:fldCharType="separate"/>
      </w:r>
      <w:r w:rsidR="00D658C8" w:rsidRPr="00D658C8">
        <w:rPr>
          <w:noProof/>
        </w:rPr>
        <w:t>(5)</w:t>
      </w:r>
      <w:r w:rsidR="004B0234">
        <w:fldChar w:fldCharType="end"/>
      </w:r>
      <w:r w:rsidR="0034060F">
        <w:t xml:space="preserve"> However, p</w:t>
      </w:r>
      <w:r w:rsidR="005E635E" w:rsidRPr="00F57D18">
        <w:t>opulation</w:t>
      </w:r>
      <w:r w:rsidR="009F5BA1">
        <w:t>-</w:t>
      </w:r>
      <w:r w:rsidR="005E635E" w:rsidRPr="00F57D18">
        <w:t xml:space="preserve">based survey data suggests that those from more deprived areas are less likely to use </w:t>
      </w:r>
      <w:r w:rsidR="004B0234">
        <w:t xml:space="preserve">commercial </w:t>
      </w:r>
      <w:r w:rsidR="00BA3D31">
        <w:t>open-group behavioural weight loss programmes</w:t>
      </w:r>
      <w:r w:rsidR="005E635E">
        <w:t xml:space="preserve"> than those from less deprived areas</w:t>
      </w:r>
      <w:r w:rsidR="0034060F">
        <w:t>.</w:t>
      </w:r>
      <w:r w:rsidR="005E635E">
        <w:fldChar w:fldCharType="begin" w:fldLock="1"/>
      </w:r>
      <w:r w:rsidR="00D658C8">
        <w:instrText>ADDIN CSL_CITATION { "citationItems" : [ { "id" : "ITEM-1", "itemData" : { "DOI" : "10.1186/1471-2458-14-444", "ISBN" : "1471-2458", "ISSN" : "1471-2458", "PMID" : "24884639", "abstract" : "BACKGROUND:Despite rising levels of obesity in England, little is known about slimming club and weight loss drug (medication) use or users. In order to inform future commissioning, we report the prevalence of various weight management strategies and examine the associations between slimming club and medication use and age, gender, deprivation and body mass index.METHODS:A population based cross-sectional survey of 26,113 adults was conducted in South Yorkshire using a self-completed health questionnaire. Participants were asked whether they had ever used the following interventions to manage their weight: increasing exercise, healthy eating, controlling portion size, slimming club, over the counter weight loss medication, or meal replacements. Factors associated with slimming club and weight-loss medication use were explored using logistic regression.RESULTS:Over half of the sample was either overweight (36.6%) or obese (19.6%). Obesity was more common in the most deprived areas compared to the least deprived (26.3% vs. 12.0%). Healthy eating (49.0%), controlling portion size (43.4%), and increasing exercise (43.0%) were the most commonly reported weight management strategies. Less common strategies were attending a slimming club (17.2%), meal replacements (3.4%) and weight-loss medication (3.2%). Adjusting for BMI, age, deprivation and long standing health conditions, women were significantly more likely to report ever using a slimming club (adjusted OR = 18.6, 95% CI = 16.52-21.00) and more likely to report ever using over the counter weight-loss medications (AOR = 3.73, 95% CI = 3.10-4.48), while respondents from the most deprived areas were less likely to report using slimming clubs (AOR = 0.60, 95% CI = 0.53-0.68), and more likely to reporting using weight loss medications (AOR =1.38, 95% CI = 1.51-1.82).CONCLUSION:A large proportion of individuals report having used weight management strategies. Slimming clubs and over-the-counter weight loss medication account for a smaller proportion of the overall uptake. Those from less deprived areas were more likely to use slimming clubs while those from more deprived areas were more likely to use weight-loss medications. Future NHS and Local Authority commissioning of weight management services must be aware of this varying social gradient in weight management strategies.", "author" : [ { "dropping-particle" : "", "family" : "Relton", "given" : "Clare", "non-dropping-particle" : "", "parse-names" : false, "suffix" : "" }, { "dropping-particle" : "", "family" : "Li", "given" : "Jessica", "non-dropping-particle" : "", "parse-names" : false, "suffix" : "" }, { "dropping-particle" : "", "family" : "Strong", "given" : "Mark", "non-dropping-particle" : "", "parse-names" : false, "suffix" : "" }, { "dropping-particle" : "", "family" : "Holdsworth", "given" : "Michelle", "non-dropping-particle" : "", "parse-names" : false, "suffix" : "" }, { "dropping-particle" : "", "family" : "Cooper", "given" : "Richard", "non-dropping-particle" : "", "parse-names" : false, "suffix" : "" }, { "dropping-particle" : "", "family" : "Green", "given" : "Mark", "non-dropping-particle" : "", "parse-names" : false, "suffix" : "" }, { "dropping-particle" : "", "family" : "Bissell", "given" : "Paul", "non-dropping-particle" : "", "parse-names" : false, "suffix" : "" } ], "container-title" : "BMC Public Health", "id" : "ITEM-1", "issued" : { "date-parts" : [ [ "2014" ] ] }, "page" : "444", "title" : "Deprivation, clubs and drugs: results of a UK regional population-based cross-sectional study of weight management strategies", "type" : "article-journal", "volume" : "14" }, "uris" : [ "http://www.mendeley.com/documents/?uuid=296d1670-e8e3-4350-b4d3-d0db826ca98d" ] } ], "mendeley" : { "formattedCitation" : "(2)", "plainTextFormattedCitation" : "(2)", "previouslyFormattedCitation" : "[2]" }, "properties" : { "noteIndex" : 0 }, "schema" : "https://github.com/citation-style-language/schema/raw/master/csl-citation.json" }</w:instrText>
      </w:r>
      <w:r w:rsidR="005E635E">
        <w:fldChar w:fldCharType="separate"/>
      </w:r>
      <w:r w:rsidR="00D658C8" w:rsidRPr="00D658C8">
        <w:rPr>
          <w:noProof/>
        </w:rPr>
        <w:t>(2)</w:t>
      </w:r>
      <w:r w:rsidR="005E635E">
        <w:fldChar w:fldCharType="end"/>
      </w:r>
      <w:r w:rsidR="005E635E">
        <w:t xml:space="preserve"> </w:t>
      </w:r>
      <w:r w:rsidR="006373DD">
        <w:t xml:space="preserve"> There are no data on the SES distribution of people participating in these programmes </w:t>
      </w:r>
      <w:r w:rsidR="006373DD" w:rsidRPr="00F57D18">
        <w:t xml:space="preserve">when </w:t>
      </w:r>
      <w:r w:rsidR="006373DD">
        <w:t>a referral</w:t>
      </w:r>
      <w:r w:rsidR="006373DD" w:rsidRPr="00F57D18">
        <w:t xml:space="preserve"> is offered by the primary care provider at no cost to the individual. Qualitative data suggest </w:t>
      </w:r>
      <w:r w:rsidR="006373DD">
        <w:t xml:space="preserve">that when the GP offers referral to a commercial programme, this can increase the perceived legitimacy of the intervention for those that might ordinarily </w:t>
      </w:r>
      <w:r w:rsidR="00BF5A7F">
        <w:t>perceive</w:t>
      </w:r>
      <w:r w:rsidR="006373DD">
        <w:t xml:space="preserve"> these types of programme as “not for them”, and that</w:t>
      </w:r>
      <w:r w:rsidR="006373DD" w:rsidRPr="00F57D18">
        <w:t xml:space="preserve"> the provision of</w:t>
      </w:r>
      <w:r w:rsidR="006373DD">
        <w:t xml:space="preserve"> a</w:t>
      </w:r>
      <w:r w:rsidR="006373DD" w:rsidRPr="00F57D18">
        <w:t xml:space="preserve"> “free” weight management intervention can encourage participation in those who may not wish to spend family income on their own weight management.</w:t>
      </w:r>
      <w:r w:rsidR="006373DD">
        <w:fldChar w:fldCharType="begin" w:fldLock="1"/>
      </w:r>
      <w:r w:rsidR="00D658C8">
        <w:instrText>ADDIN CSL_CITATION { "citationItems" : [ { "id" : "ITEM-1", "itemData" : { "author" : [ { "dropping-particle" : "", "family" : "Allen", "given" : "Jodie T", "non-dropping-particle" : "", "parse-names" : false, "suffix" : "" }, { "dropping-particle" : "", "family" : "Cohn", "given" : "Simon R", "non-dropping-particle" : "", "parse-names" : false, "suffix" : "" }, { "dropping-particle" : "", "family" : "Ahern", "given" : "Amy L", "non-dropping-particle" : "", "parse-names" : false, "suffix" : "" } ], "container-title" : "British Journal of General Practice", "id" : "ITEM-1", "issued" : { "date-parts" : [ [ "2015" ] ] }, "title" : "The impact of primary care referral on experience of a commercial weight loss programme.", "type" : "article-journal", "volume" : "in press" }, "uris" : [ "http://www.mendeley.com/documents/?uuid=f9c726bb-36e3-4028-afe2-1faab4bda039" ] } ], "mendeley" : { "formattedCitation" : "(8)", "plainTextFormattedCitation" : "(8)", "previouslyFormattedCitation" : "[8]" }, "properties" : { "noteIndex" : 0 }, "schema" : "https://github.com/citation-style-language/schema/raw/master/csl-citation.json" }</w:instrText>
      </w:r>
      <w:r w:rsidR="006373DD">
        <w:fldChar w:fldCharType="separate"/>
      </w:r>
      <w:r w:rsidR="00D658C8" w:rsidRPr="00D658C8">
        <w:rPr>
          <w:noProof/>
        </w:rPr>
        <w:t>(8)</w:t>
      </w:r>
      <w:r w:rsidR="006373DD">
        <w:fldChar w:fldCharType="end"/>
      </w:r>
      <w:r w:rsidR="006373DD" w:rsidRPr="00F57D18">
        <w:t xml:space="preserve"> </w:t>
      </w:r>
    </w:p>
    <w:p w14:paraId="5E5F56CA" w14:textId="6936C229" w:rsidR="001A7BDD" w:rsidRDefault="006373DD" w:rsidP="002C17A6">
      <w:pPr>
        <w:spacing w:line="360" w:lineRule="auto"/>
      </w:pPr>
      <w:r>
        <w:t>Given the diverse determinants of p</w:t>
      </w:r>
      <w:r w:rsidR="00A50948">
        <w:t xml:space="preserve">articipation biases it is important to </w:t>
      </w:r>
      <w:r w:rsidR="00A50948" w:rsidRPr="00F57D18">
        <w:t xml:space="preserve">distinguish between </w:t>
      </w:r>
      <w:r w:rsidR="00A50948">
        <w:t>inequalities in who is offered referral to a commercial weight loss programme,</w:t>
      </w:r>
      <w:r>
        <w:t xml:space="preserve"> which may reflect differences</w:t>
      </w:r>
      <w:r w:rsidR="00A35B03">
        <w:t xml:space="preserve"> </w:t>
      </w:r>
      <w:r>
        <w:t>in practitioner behaviour or aspects of the referral system</w:t>
      </w:r>
      <w:r w:rsidR="00A35B03">
        <w:t>,</w:t>
      </w:r>
      <w:r w:rsidR="00A50948">
        <w:t xml:space="preserve"> </w:t>
      </w:r>
      <w:r w:rsidR="002104C8">
        <w:t>and</w:t>
      </w:r>
      <w:r w:rsidR="00A50948">
        <w:t xml:space="preserve"> inequalities in who </w:t>
      </w:r>
      <w:r w:rsidR="0010717B">
        <w:t xml:space="preserve">accepts the </w:t>
      </w:r>
      <w:r w:rsidR="00A50948">
        <w:t>offer</w:t>
      </w:r>
      <w:r>
        <w:t>, reflecting inter-individual differences among participants</w:t>
      </w:r>
      <w:r w:rsidR="00A50948">
        <w:t>.</w:t>
      </w:r>
      <w:r w:rsidR="00A50948" w:rsidRPr="00F57D18">
        <w:t xml:space="preserve"> </w:t>
      </w:r>
      <w:r w:rsidR="00A50948">
        <w:t xml:space="preserve">For example, the gender bias may occur because men are less willing to participate in </w:t>
      </w:r>
      <w:r w:rsidR="00BA3D31">
        <w:t>commercial open-group behavioural weight loss programmes</w:t>
      </w:r>
      <w:r w:rsidR="00A50948">
        <w:t>,</w:t>
      </w:r>
      <w:r w:rsidR="00D72ED8">
        <w:fldChar w:fldCharType="begin" w:fldLock="1"/>
      </w:r>
      <w:r w:rsidR="00D658C8">
        <w:instrText>ADDIN CSL_CITATION { "citationItems" : [ { "id" : "ITEM-1", "itemData" : { "DOI" : "10.1370/afm.1446.INTRODUCTION", "author" : [ { "dropping-particle" : "", "family" : "Ahern", "given" : "Amy L", "non-dropping-particle" : "", "parse-names" : false, "suffix" : "" }, { "dropping-particle" : "", "family" : "Cohn", "given" : "Simon R", "non-dropping-particle" : "", "parse-names" : false, "suffix" : "" } ], "container-title" : "Annals of Family Medicine", "id" : "ITEM-1", "issued" : { "date-parts" : [ [ "2013" ] ] }, "page" : "251-257", "title" : "Participants \u2019 Explanatory Model of Being Overweight and Their Experiences of 2 Weight Loss Interventions", "type" : "article-journal" }, "uris" : [ "http://www.mendeley.com/documents/?uuid=b995510a-ef3f-4bf0-bbeb-3944098254d2" ] } ], "mendeley" : { "formattedCitation" : "(9)", "plainTextFormattedCitation" : "(9)", "previouslyFormattedCitation" : "[9]" }, "properties" : { "noteIndex" : 0 }, "schema" : "https://github.com/citation-style-language/schema/raw/master/csl-citation.json" }</w:instrText>
      </w:r>
      <w:r w:rsidR="00D72ED8">
        <w:fldChar w:fldCharType="separate"/>
      </w:r>
      <w:r w:rsidR="00D658C8" w:rsidRPr="00D658C8">
        <w:rPr>
          <w:noProof/>
        </w:rPr>
        <w:t>(9)</w:t>
      </w:r>
      <w:r w:rsidR="00D72ED8">
        <w:fldChar w:fldCharType="end"/>
      </w:r>
      <w:r w:rsidR="00A50948">
        <w:t xml:space="preserve"> </w:t>
      </w:r>
      <w:r w:rsidR="008A2D86">
        <w:t xml:space="preserve">because men are less likely to visit the practice and thus less likely to be identified as </w:t>
      </w:r>
      <w:r>
        <w:t xml:space="preserve">likely to benefit from </w:t>
      </w:r>
      <w:r w:rsidR="008A2D86">
        <w:t>treatment</w:t>
      </w:r>
      <w:r w:rsidR="00D72ED8">
        <w:t>,</w:t>
      </w:r>
      <w:r w:rsidR="003A487E">
        <w:fldChar w:fldCharType="begin" w:fldLock="1"/>
      </w:r>
      <w:r w:rsidR="00D658C8">
        <w:instrText>ADDIN CSL_CITATION { "citationItems" : [ { "id" : "ITEM-1", "itemData" : { "DOI" : "10.1136/bmjopen-2013-003320", "ISSN" : "2044-6055", "PMID" : "23959757", "abstract" : "OBJECTIVE: To examine whether gender differences in primary care consultation rates (1) vary by age and deprivation status and (2) diminish when consultation for reproductive reasons or common underlying morbidities are accounted for.\\n\\nDESIGN: Cross-sectional study of a cohort of patients registered with general practice.\\n\\nSETTING: UK primary care.\\n\\nSUBJECTS: Patients (1 869 149 men and 1 916 898 women) registered with 446 eligible practices in 2010.\\n\\nPRIMARY OUTCOME MEASURES: Primary care consultation rate.\\n\\nRESULTS: This study analyses routinely collected primary care consultation data. The crude consultation rate was 32% lower in men than women. The magnitude of gender difference varied across the life course, and there was no 'excess' female consulting in early and later life. The greatest gender gap in primary care consultations was seen among those aged between 16 and 60 years. Gender differences in consulting were higher in people from more deprived areas than among those from more affluent areas. Accounting for reproductive-related consultations diminished but did not eradicate the gender gap. However, consultation rates in men and women who had comparable underlying morbidities (as assessed by receipt of medication) were similar; men in receipt of antidepressant medication were only 8% less likely to consult than women in receipt of antidepressant medication (relative risk (RR) 0.916, 95% CI 0.913 to 0.918), and men in receipt of medication to treat cardiovascular disease were just 5% less likely to consult (RR=0.950, 95% CI 0.948 to 0.952) than women receiving similar medication. These small gender differences diminished further, particularly for depression (RR=0.950, 95% CI 0.947 to 0.953), after also taking account of reproductive consultations.\\n\\nCONCLUSIONS: Overall gender differences in consulting are most marked between the ages of 16 and 60 years; these differences are only partially accounted for by consultations for reproductive reasons. Differences in consultation rates between men and women were largely eradicated when comparing men and women in receipt of medication for similar underlying morbidities.", "author" : [ { "dropping-particle" : "", "family" : "Wang", "given" : "Yingying", "non-dropping-particle" : "", "parse-names" : false, "suffix" : "" }, { "dropping-particle" : "", "family" : "Hunt", "given" : "Kate", "non-dropping-particle" : "", "parse-names" : false, "suffix" : "" }, { "dropping-particle" : "", "family" : "Nazareth", "given" : "Irwin", "non-dropping-particle" : "", "parse-names" : false, "suffix" : "" }, { "dropping-particle" : "", "family" : "Freemantle", "given" : "Nick", "non-dropping-particle" : "", "parse-names" : false, "suffix" : "" }, { "dropping-particle" : "", "family" : "Petersen", "given" : "Irene", "non-dropping-particle" : "", "parse-names" : false, "suffix" : "" } ], "container-title" : "BMJ open", "id" : "ITEM-1", "issued" : { "date-parts" : [ [ "2013" ] ] }, "page" : "e003320", "title" : "Do men consult less than women? An analysis of routinely collected UK general practice data.", "type" : "article-journal", "volume" : "3" }, "uris" : [ "http://www.mendeley.com/documents/?uuid=d3340c8e-5b38-4e26-9134-2b39b262f198" ] } ], "mendeley" : { "formattedCitation" : "(10)", "plainTextFormattedCitation" : "(10)", "previouslyFormattedCitation" : "[10]" }, "properties" : { "noteIndex" : 0 }, "schema" : "https://github.com/citation-style-language/schema/raw/master/csl-citation.json" }</w:instrText>
      </w:r>
      <w:r w:rsidR="003A487E">
        <w:fldChar w:fldCharType="separate"/>
      </w:r>
      <w:r w:rsidR="00D658C8" w:rsidRPr="00D658C8">
        <w:rPr>
          <w:noProof/>
        </w:rPr>
        <w:t>(10)</w:t>
      </w:r>
      <w:r w:rsidR="003A487E">
        <w:fldChar w:fldCharType="end"/>
      </w:r>
      <w:r w:rsidR="008A2D86">
        <w:t xml:space="preserve"> or </w:t>
      </w:r>
      <w:r w:rsidR="00A50948">
        <w:t>because</w:t>
      </w:r>
      <w:r w:rsidR="00A50948" w:rsidRPr="00F57D18">
        <w:t xml:space="preserve"> clinicians </w:t>
      </w:r>
      <w:r w:rsidR="00A50948">
        <w:t xml:space="preserve">are less likely </w:t>
      </w:r>
      <w:r w:rsidR="00A50948" w:rsidRPr="00F57D18">
        <w:t>to offer th</w:t>
      </w:r>
      <w:r w:rsidR="00A50948">
        <w:t>is</w:t>
      </w:r>
      <w:r w:rsidR="00A50948" w:rsidRPr="00F57D18">
        <w:t xml:space="preserve"> </w:t>
      </w:r>
      <w:r w:rsidR="00BA3D31">
        <w:t xml:space="preserve">type of </w:t>
      </w:r>
      <w:r w:rsidR="00A50948" w:rsidRPr="00F57D18">
        <w:t xml:space="preserve">intervention to men. </w:t>
      </w:r>
      <w:r w:rsidR="00A50948">
        <w:t>In a</w:t>
      </w:r>
      <w:r w:rsidR="00A50948" w:rsidRPr="00F57D18">
        <w:t xml:space="preserve"> randomised controlled trial </w:t>
      </w:r>
      <w:r w:rsidR="004870BE">
        <w:t xml:space="preserve">of a </w:t>
      </w:r>
      <w:r w:rsidR="00BA3D31">
        <w:t>commercial open-group behavioural weight loss programmes</w:t>
      </w:r>
      <w:r w:rsidR="00BA3D31" w:rsidDel="00BA3D31">
        <w:t xml:space="preserve"> </w:t>
      </w:r>
      <w:r w:rsidR="00A50948">
        <w:t xml:space="preserve">where GPs and </w:t>
      </w:r>
      <w:r w:rsidR="001A7BDD">
        <w:t>n</w:t>
      </w:r>
      <w:r w:rsidR="00A50948">
        <w:t>urses</w:t>
      </w:r>
      <w:r w:rsidR="00A50948" w:rsidRPr="00F57D18">
        <w:t xml:space="preserve"> recruited </w:t>
      </w:r>
      <w:r w:rsidR="00A50948">
        <w:t xml:space="preserve">patients opportunistically, the </w:t>
      </w:r>
      <w:r w:rsidR="00A50948">
        <w:lastRenderedPageBreak/>
        <w:t xml:space="preserve">recruited participants were </w:t>
      </w:r>
      <w:r w:rsidR="00A50948" w:rsidRPr="00F57D18">
        <w:t>12% male</w:t>
      </w:r>
      <w:r w:rsidR="00D657BB">
        <w:fldChar w:fldCharType="begin" w:fldLock="1"/>
      </w:r>
      <w:r w:rsidR="00D658C8">
        <w:instrText>ADDIN CSL_CITATION { "citationItems" : [ { "id" : "ITEM-1", "itemData" : { "DOI" : "S0140-6736(11)61344-5 [pii]\\r10.1016/S0140-6736(11)61344-5", "ISBN" : "1474-547X (Electronic)\\r0140-6736 (Linking)", "PMID" : "21906798", "abstract" : "BACKGROUND: The increasing prevalence of overweight and obesity needs effective approaches for weight loss in primary care and community settings. We compared weight loss with standard treatment in primary care with that achieved after referral by the primary care team to a commercial provider in the community. METHODS: In this parallel group, non-blinded, randomised controlled trial, 772 overweight and obese adults were recruited by primary care practices in Australia, Germany, and the UK. Participants were randomly assigned with a computer-generated simple randomisation sequence to receive either 12 months of standard care as defined by national treatment guidelines, or 12 months of free membership to a commercial programme (Weight Watchers), and followed up for 12 months. The primary outcome was weight change over 12 months. Analysis was by intention to treat (last observation carried forward [LOCF] and baseline observation carried forward [BOCF]) and in the population who completed the 12-month assessment. This trial is registered, number ISRCTN85485463. FINDINGS: 377 participants were assigned to the commercial programme, of whom 230 (61%) completed the 12-month assessment; and 395 were assigned to standard care, of whom 214 (54%) completed the 12-month assessment. In all analyses, participants in the commercial programme group lost twice as much weight as did those in the standard care group. Mean weight change at 12 months was -5.06 kg (SE 0.31) for those in the commercial programme versus -2.25 kg (0.21) for those receiving standard care (adjusted difference -2.77 kg, 95% CI -3.50 to -2.03) with LOCF; -4.06 kg (0.31) versus -1.77 kg (0.19; adjusted difference -2.29 kg, -2.99 to -1.58) with BOCF; and -6.65 kg (0.43) versus -3.26 kg (0.33; adjusted difference -3.16 kg, -4.23 to -2.11) for those who completed the 12-month assessment. Participants reported no adverse events related to trial participation. INTERPRETATION: Referral by a primary health-care professional to a commercial weight loss programme that provides regular weighing, advice about diet and physical activity, motivation, and group support can offer a clinically useful early intervention for weight management in overweight and obese people that can be delivered at large scale. FUNDING: Weight Watchers International, through a grant to the UK Medical Research Council.", "author" : [ { "dropping-particle" : "", "family" : "Jebb", "given" : "S A", "non-dropping-particle" : "", "parse-names" : false, "suffix" : "" }, { "dropping-particle" : "", "family" : "Ahern", "given" : "A L", "non-dropping-particle" : "", "parse-names" : false, "suffix" : "" }, { "dropping-particle" : "", "family" : "Olson", "given" : "A D", "non-dropping-particle" : "", "parse-names" : false, "suffix" : "" }, { "dropping-particle" : "", "family" : "Aston", "given" : "L M", "non-dropping-particle" : "", "parse-names" : false, "suffix" : "" }, { "dropping-particle" : "", "family" : "Holzapfel", "given" : "C", "non-dropping-particle" : "", "parse-names" : false, "suffix" : "" }, { "dropping-particle" : "", "family" : "Stoll", "given" : "J", "non-dropping-particle" : "", "parse-names" : false, "suffix" : "" }, { "dropping-particle" : "", "family" : "Amann-Gassner", "given" : "U", "non-dropping-particle" : "", "parse-names" : false, "suffix" : "" }, { "dropping-particle" : "", "family" : "Simpson", "given" : "A E", "non-dropping-particle" : "", "parse-names" : false, "suffix" : "" }, { "dropping-particle" : "", "family" : "Fuller", "given" : "N R", "non-dropping-particle" : "", "parse-names" : false, "suffix" : "" }, { "dropping-particle" : "", "family" : "Pearson", "given" : "S", "non-dropping-particle" : "", "parse-names" : false, "suffix" : "" }, { "dropping-particle" : "", "family" : "Lau", "given" : "N S", "non-dropping-particle" : "", "parse-names" : false, "suffix" : "" }, { "dropping-particle" : "", "family" : "Mander", "given" : "A P", "non-dropping-particle" : "", "parse-names" : false, "suffix" : "" }, { "dropping-particle" : "", "family" : "Hauner", "given" : "H", "non-dropping-particle" : "", "parse-names" : false, "suffix" : "" }, { "dropping-particle" : "", "family" : "Caterson", "given" : "I D", "non-dropping-particle" : "", "parse-names" : false, "suffix" : "" } ], "container-title" : "Lancet", "id" : "ITEM-1", "issue" : "9801", "issued" : { "date-parts" : [ [ "2011" ] ] }, "page" : "1485-1492", "title" : "Primary care referral to a commercial provider for weight loss treatment versus standard care: a randomised controlled trial", "type" : "article-journal", "volume" : "378" }, "uris" : [ "http://www.mendeley.com/documents/?uuid=5adc155d-7947-4d89-a576-269ea56f9513" ] } ], "mendeley" : { "formattedCitation" : "(11)", "plainTextFormattedCitation" : "(11)", "previouslyFormattedCitation" : "[11]" }, "properties" : { "noteIndex" : 0 }, "schema" : "https://github.com/citation-style-language/schema/raw/master/csl-citation.json" }</w:instrText>
      </w:r>
      <w:r w:rsidR="00D657BB">
        <w:fldChar w:fldCharType="separate"/>
      </w:r>
      <w:r w:rsidR="00D658C8" w:rsidRPr="00D658C8">
        <w:rPr>
          <w:noProof/>
        </w:rPr>
        <w:t>(11)</w:t>
      </w:r>
      <w:r w:rsidR="00D657BB">
        <w:fldChar w:fldCharType="end"/>
      </w:r>
      <w:r w:rsidR="00A50948" w:rsidRPr="00F57D18">
        <w:t xml:space="preserve"> </w:t>
      </w:r>
      <w:r w:rsidR="00A50948">
        <w:t xml:space="preserve">– a similar proportion </w:t>
      </w:r>
      <w:r w:rsidR="00A50948" w:rsidRPr="00F57D18">
        <w:t>to that seen in the audits of routine practice</w:t>
      </w:r>
      <w:r w:rsidR="00D72ED8">
        <w:t>.</w:t>
      </w:r>
      <w:r w:rsidR="00D657BB">
        <w:fldChar w:fldCharType="begin" w:fldLock="1"/>
      </w:r>
      <w:r w:rsidR="00D658C8">
        <w:instrText>ADDIN CSL_CITATION { "citationItems" : [ { "id" : "ITEM-1", "itemData" : { "DOI" : "10.1186/1471-2458-11-434", "ISBN" : "1471-2458", "ISSN" : "1471-2458", "PMID" : "21645343", "abstract" : "The scale of overweight and obesity in the UK places a considerable burden on the NHS. In some areas the NHS has formed partnerships with commercial companies to offer weight management services, but there has been little evaluation of these schemes.This study is an independent audit of the Weight Watchers NHS Referral scheme and evaluates the weight change of obese and overweight adults referred to Weight Watchers (WW) by the NHS.", "author" : [ { "dropping-particle" : "", "family" : "Ahern", "given" : "Amy L", "non-dropping-particle" : "", "parse-names" : false, "suffix" : "" }, { "dropping-particle" : "", "family" : "Olson", "given" : "Ashley D", "non-dropping-particle" : "", "parse-names" : false, "suffix" : "" }, { "dropping-particle" : "", "family" : "Aston", "given" : "Louise M", "non-dropping-particle" : "", "parse-names" : false, "suffix" : "" }, { "dropping-particle" : "", "family" : "Jebb", "given" : "Susan A", "non-dropping-particle" : "", "parse-names" : false, "suffix" : "" } ], "container-title" : "BMC public health", "id" : "ITEM-1", "issued" : { "date-parts" : [ [ "2011" ] ] }, "page" : "434", "title" : "Weight Watchers on prescription: an observational study of weight change among adults referred to Weight Watchers by the NHS.", "type" : "article-journal", "volume" : "11" }, "uris" : [ "http://www.mendeley.com/documents/?uuid=ee883b54-eb4c-4a82-b560-92fd3252ebbd" ] }, { "id" : "ITEM-2", "itemData" : { "DOI" : "10.1159/000327249", "ISBN" : "1662-4025", "ISSN" : "16624025", "PMID" : "21577018", "abstract" : "This project audited rate and extent of weight loss in a primary care/commercial weight management organisation partnership scheme.", "author" : [ { "dropping-particle" : "", "family" : "Stubbs", "given" : "R. James", "non-dropping-particle" : "", "parse-names" : false, "suffix" : "" }, { "dropping-particle" : "", "family" : "Pallister", "given" : "Carolyn", "non-dropping-particle" : "", "parse-names" : false, "suffix" : "" }, { "dropping-particle" : "", "family" : "Whybrow", "given" : "Stephen", "non-dropping-particle" : "", "parse-names" : false, "suffix" : "" }, { "dropping-particle" : "", "family" : "Avery", "given" : "Amanda", "non-dropping-particle" : "", "parse-names" : false, "suffix" : "" }, { "dropping-particle" : "", "family" : "Lavin", "given" : "Jacquie", "non-dropping-particle" : "", "parse-names" : false, "suffix" : "" } ], "container-title" : "Obesity Facts", "id" : "ITEM-2", "issued" : { "date-parts" : [ [ "2011" ] ] }, "page" : "113-120", "title" : "Weight outcomes audit for 34,271 adults referred to a primary care/commercial weight management partnership scheme", "type" : "article-journal", "volume" : "4" }, "uris" : [ "http://www.mendeley.com/documents/?uuid=0fad5f98-37a4-4b3e-9591-20448925985b" ] } ], "mendeley" : { "formattedCitation" : "(6,7)", "plainTextFormattedCitation" : "(6,7)", "previouslyFormattedCitation" : "[6,7]" }, "properties" : { "noteIndex" : 0 }, "schema" : "https://github.com/citation-style-language/schema/raw/master/csl-citation.json" }</w:instrText>
      </w:r>
      <w:r w:rsidR="00D657BB">
        <w:fldChar w:fldCharType="separate"/>
      </w:r>
      <w:r w:rsidR="00D658C8" w:rsidRPr="00D658C8">
        <w:rPr>
          <w:noProof/>
        </w:rPr>
        <w:t>(6,7)</w:t>
      </w:r>
      <w:r w:rsidR="00D657BB">
        <w:fldChar w:fldCharType="end"/>
      </w:r>
      <w:r w:rsidR="00A50948">
        <w:t xml:space="preserve"> </w:t>
      </w:r>
      <w:r>
        <w:t>However i</w:t>
      </w:r>
      <w:r w:rsidR="00A50948">
        <w:t xml:space="preserve">n </w:t>
      </w:r>
      <w:r w:rsidR="002104C8">
        <w:t xml:space="preserve">the </w:t>
      </w:r>
      <w:r w:rsidR="00D657BB">
        <w:t>Lighten Up</w:t>
      </w:r>
      <w:r w:rsidR="00A50948" w:rsidRPr="00F57D18">
        <w:t xml:space="preserve"> trial</w:t>
      </w:r>
      <w:r w:rsidR="00205151">
        <w:t>,</w:t>
      </w:r>
      <w:r w:rsidR="00A50948" w:rsidRPr="00F57D18">
        <w:t xml:space="preserve"> </w:t>
      </w:r>
      <w:r w:rsidR="002104C8">
        <w:t>which</w:t>
      </w:r>
      <w:r w:rsidR="00A50948" w:rsidRPr="00F57D18">
        <w:t xml:space="preserve"> recruited </w:t>
      </w:r>
      <w:r w:rsidR="00A50948">
        <w:t xml:space="preserve">participants </w:t>
      </w:r>
      <w:r w:rsidR="00A50948" w:rsidRPr="00F57D18">
        <w:t xml:space="preserve">via a letter to </w:t>
      </w:r>
      <w:r w:rsidR="00A50948">
        <w:t xml:space="preserve">all </w:t>
      </w:r>
      <w:r w:rsidR="00A50948" w:rsidRPr="00F57D18">
        <w:t xml:space="preserve">eligible </w:t>
      </w:r>
      <w:r w:rsidR="00A50948">
        <w:t xml:space="preserve">patients, </w:t>
      </w:r>
      <w:r w:rsidR="004870BE">
        <w:t xml:space="preserve">and which offered a variety of interventions including these commercial programmes, </w:t>
      </w:r>
      <w:r w:rsidR="00A50948">
        <w:t>the proportion of male participants was more than double</w:t>
      </w:r>
      <w:r w:rsidR="00205151">
        <w:t xml:space="preserve"> this figure</w:t>
      </w:r>
      <w:r w:rsidR="00A50948">
        <w:t xml:space="preserve"> (</w:t>
      </w:r>
      <w:r w:rsidR="00A50948" w:rsidRPr="00F57D18">
        <w:t>30%</w:t>
      </w:r>
      <w:r w:rsidR="00A50948">
        <w:t>)</w:t>
      </w:r>
      <w:r w:rsidR="00D72ED8">
        <w:t>.</w:t>
      </w:r>
      <w:r w:rsidR="0034060F">
        <w:fldChar w:fldCharType="begin" w:fldLock="1"/>
      </w:r>
      <w:r w:rsidR="00D658C8">
        <w:instrText>ADDIN CSL_CITATION { "citationItems" : [ { "id" : "ITEM-1", "itemData" : { "ISSN" : "1756-1833", "PMID" : "22053315", "abstract" : "OBJECTIVE: To assess the effectiveness of a range of weight management programmes in terms of weight loss.\n\nDESIGN: Eight arm randomised controlled trial.\n\nSETTING: Primary care trust in Birmingham, England.\n\nPARTICIPANTS: 740 obese or overweight men and women with a comorbid disorder identified from general practice records.\n\nINTERVENTIONS: Weight loss programmes of 12 weeks' duration: Weight Watchers; Slimming World; Rosemary Conley; group based, dietetics led programme; general practice one to one counselling; pharmacy led one to one counselling; choice of any of the six programmes. The comparator group was provided with 12 vouchers enabling free entrance to a local leisure (fitness) centre.\n\nMAIN OUTCOME MEASURES: The primary outcome was weight loss at programme end (12 weeks). Secondary outcomes were weight loss at one year, self reported physical activity, and percentage weight loss at programme end and one year.\n\nRESULTS: Follow-up data were available for 658 (88.9%) participants at programme end and 522 (70.5%) at one year. All programmes achieved significant weight loss from baseline to programme end (range 1.37 kg (general practice) to 4.43 kg (Weight Watchers)), and all except general practice and pharmacy provision resulted in significant weight loss at one year. At one year, only the Weight Watchers group had significantly greater weight loss than did the comparator group (2.5 (95% confidence interval 0.8 to 4.2) kg greater loss,). The commercial programmes achieved significantly greater weight loss than did the primary care programmes at programme end (mean difference 2.3 (1.3 to 3.4) kg). The primary care programmes were the most costly to provide. Participants allocated to the choice arm did not have better outcomes than those randomly allocated to a programme.\n\nCONCLUSIONS: Commercially provided weight management services are more effective and cheaper than primary care based services led by specially trained staff, which are ineffective. Trial registration Current Controlled Trials ISRCTN25072883.", "author" : [ { "dropping-particle" : "", "family" : "Jolly", "given" : "Kate", "non-dropping-particle" : "", "parse-names" : false, "suffix" : "" }, { "dropping-particle" : "", "family" : "Lewis", "given" : "Amanda", "non-dropping-particle" : "", "parse-names" : false, "suffix" : "" }, { "dropping-particle" : "", "family" : "Beach", "given" : "Jane", "non-dropping-particle" : "", "parse-names" : false, "suffix" : "" }, { "dropping-particle" : "", "family" : "Denley", "given" : "John", "non-dropping-particle" : "", "parse-names" : false, "suffix" : "" }, { "dropping-particle" : "", "family" : "Adab", "given" : "Peymane", "non-dropping-particle" : "", "parse-names" : false, "suffix" : "" }, { "dropping-particle" : "", "family" : "Deeks", "given" : "Jonathan J", "non-dropping-particle" : "", "parse-names" : false, "suffix" : "" }, { "dropping-particle" : "", "family" : "Daley", "given" : "Amanda", "non-dropping-particle" : "", "parse-names" : false, "suffix" : "" }, { "dropping-particle" : "", "family" : "Aveyard", "given" : "Paul", "non-dropping-particle" : "", "parse-names" : false, "suffix" : "" } ], "container-title" : "BMJ (Clinical research ed.)", "id" : "ITEM-1", "issued" : { "date-parts" : [ [ "2011", "1" ] ] }, "page" : "d6500", "title" : "Comparison of range of commercial or primary care led weight reduction programmes with minimal intervention control for weight loss in obesity: lighten Up randomised controlled trial.", "type" : "article-journal", "volume" : "343" }, "uris" : [ "http://www.mendeley.com/documents/?uuid=5e9b4161-67c6-4e3a-b6fe-a1d8669dc42b" ] } ], "mendeley" : { "formattedCitation" : "(12)", "plainTextFormattedCitation" : "(12)", "previouslyFormattedCitation" : "[12]" }, "properties" : { "noteIndex" : 0 }, "schema" : "https://github.com/citation-style-language/schema/raw/master/csl-citation.json" }</w:instrText>
      </w:r>
      <w:r w:rsidR="0034060F">
        <w:fldChar w:fldCharType="separate"/>
      </w:r>
      <w:r w:rsidR="00D658C8" w:rsidRPr="00D658C8">
        <w:rPr>
          <w:noProof/>
        </w:rPr>
        <w:t>(12)</w:t>
      </w:r>
      <w:r w:rsidR="0034060F">
        <w:fldChar w:fldCharType="end"/>
      </w:r>
      <w:r w:rsidR="00A50948" w:rsidRPr="00F57D18">
        <w:t xml:space="preserve"> </w:t>
      </w:r>
      <w:r w:rsidR="00A50948">
        <w:t xml:space="preserve">This </w:t>
      </w:r>
      <w:r w:rsidR="00D657BB">
        <w:t>comparison across studies</w:t>
      </w:r>
      <w:r w:rsidR="00A50948">
        <w:t xml:space="preserve"> suggests that there may be a bias in </w:t>
      </w:r>
      <w:r w:rsidR="00234B76">
        <w:t>who is offered this</w:t>
      </w:r>
      <w:r w:rsidR="000811B7">
        <w:t xml:space="preserve"> type of</w:t>
      </w:r>
      <w:r w:rsidR="00A50948">
        <w:t xml:space="preserve"> </w:t>
      </w:r>
      <w:r w:rsidR="001A7BDD">
        <w:t>weight management support</w:t>
      </w:r>
      <w:r w:rsidR="00A50948">
        <w:t xml:space="preserve"> in routine practice. </w:t>
      </w:r>
      <w:r w:rsidR="0010717B">
        <w:t>But t</w:t>
      </w:r>
      <w:r w:rsidR="00A50948">
        <w:t xml:space="preserve">here </w:t>
      </w:r>
      <w:r w:rsidR="00205151">
        <w:t>are</w:t>
      </w:r>
      <w:r w:rsidR="00A50948">
        <w:t xml:space="preserve"> currently no data on the </w:t>
      </w:r>
      <w:r w:rsidR="00A50948" w:rsidRPr="0034060F">
        <w:rPr>
          <w:i/>
        </w:rPr>
        <w:t>uptake</w:t>
      </w:r>
      <w:r w:rsidR="00A50948">
        <w:t xml:space="preserve"> of intervention by gender in response to </w:t>
      </w:r>
      <w:r w:rsidR="00A50948" w:rsidRPr="00D22E2C">
        <w:t>an offer</w:t>
      </w:r>
      <w:r w:rsidR="00A50948">
        <w:t xml:space="preserve"> from the GP. </w:t>
      </w:r>
    </w:p>
    <w:p w14:paraId="0A9175F4" w14:textId="1C8718D2" w:rsidR="00A50948" w:rsidRPr="00F57D18" w:rsidRDefault="00A50948" w:rsidP="002C17A6">
      <w:pPr>
        <w:spacing w:line="360" w:lineRule="auto"/>
      </w:pPr>
      <w:r w:rsidRPr="00F57D18">
        <w:t xml:space="preserve">The </w:t>
      </w:r>
      <w:r w:rsidR="00D7156D">
        <w:t>analysis reported here</w:t>
      </w:r>
      <w:r w:rsidRPr="00F57D18">
        <w:t xml:space="preserve"> uses data from the WRAP (Weight Loss Referrals for Adults in Primary Care) trial, which recruited participants via an invitation sent to all eligible patients </w:t>
      </w:r>
      <w:r>
        <w:t>(adults with B</w:t>
      </w:r>
      <w:r w:rsidR="009A6835">
        <w:t>ody Mass Index (B</w:t>
      </w:r>
      <w:r>
        <w:t>MI</w:t>
      </w:r>
      <w:r w:rsidR="009A6835">
        <w:t xml:space="preserve">) </w:t>
      </w:r>
      <w:r>
        <w:t>≥</w:t>
      </w:r>
      <w:r w:rsidR="009A6835">
        <w:t xml:space="preserve"> </w:t>
      </w:r>
      <w:r>
        <w:t>28</w:t>
      </w:r>
      <w:r w:rsidR="009A6835">
        <w:t>kg/m</w:t>
      </w:r>
      <w:r w:rsidR="009A6835" w:rsidRPr="009A6835">
        <w:rPr>
          <w:vertAlign w:val="superscript"/>
        </w:rPr>
        <w:t>2</w:t>
      </w:r>
      <w:r>
        <w:t xml:space="preserve">; identified by search of electronic records) </w:t>
      </w:r>
      <w:r w:rsidRPr="00F57D18">
        <w:t>in participating GP practices.</w:t>
      </w:r>
      <w:r w:rsidR="00D657BB">
        <w:fldChar w:fldCharType="begin" w:fldLock="1"/>
      </w:r>
      <w:r w:rsidR="00D658C8">
        <w:instrText>ADDIN CSL_CITATION { "citationItems" : [ { "id" : "ITEM-1", "itemData" : { "DOI" : "10.1186/1471-2458-14-620", "ISSN" : "1471-2458", "PMID" : "24943673", "abstract" : "BACKGROUND: Recent trials demonstrate the acceptability and short term efficacy of primary care referral to a commercial weight loss provider for weight management. Commissioners now need information on the optimal duration of intervention and the longer term outcomes and cost effectiveness of such treatment to give best value for money.\n\nMETHODS/DESIGN: This multicentre, randomised controlled trial with a parallel design will recruit 1200 overweight adults (BMI \u226528\u00a0kg/m2) through their primary care provider. They will be randomised in a 2:5:5 allocation to: Brief Intervention, Commercial Programme for 12\u00a0weeks, or Commercial Programme for 52\u00a0weeks. Participants will be followed up for two years, with assessments at 0, 3, 12 and 24\u00a0months. The sequential primary research questions are whether the CP interventions achieve significantly greater weight loss from baseline to 12\u00a0months than BI, and whether CP52 achieves significantly greater weight loss from baseline to 12\u00a0months than CP12. The primary outcomes will be an intention to treat analysis of between treatment differences in body weight at 12\u00a0months. Clinical effectiveness will be also be assessed by measures of weight, fat mass, and blood pressure at each time point and biochemical risk factors at 12\u00a0months. Self-report questionnaires will collect data on psychosocial factors associated with adherence, weight-loss and weight-loss maintenance. A within-trial and long-term cost-effectiveness analysis will be conducted from an NHS perspective. Qualitative methods will be used to examine the participant experience.\n\nDISCUSSION: The current trial compares the clinical and cost effectiveness of referral to a commercial provider with a brief intervention. This trial will specifically examine whether providing longer weight-loss treatment without altering content or intensity (12\u00a0months commercial referral vs. 12\u00a0weeks) leads to greater weight loss at one year and is sustained at 2\u00a0years. It will also evaluate the relative cost-effectiveness of the three interventions. This study has direct implications for primary care practice in the UK and will provide important information to inform the decisions of practitioners and commissioners about service provision.\n\nTRIAL REGISTRATION: Current Controlled Trials ISRCTN82857232. Date registered: 15/10/2012.", "author" : [ { "dropping-particle" : "", "family" : "Ahern", "given" : "Amy L", "non-dropping-particle" : "", "parse-names" : false, "suffix" : "" }, { "dropping-particle" : "", "family" : "Aveyard", "given" : "Paul N", "non-dropping-particle" : "", "parse-names" : false, "suffix" : "" }, { "dropping-particle" : "", "family" : "Halford", "given" : "Jason Cg", "non-dropping-particle" : "", "parse-names" : false, "suffix" : "" }, { "dropping-particle" : "", "family" : "Mander", "given" : "Adrian", "non-dropping-particle" : "", "parse-names" : false, "suffix" : "" }, { "dropping-particle" : "", "family" : "Cresswell", "given" : "Lynne", "non-dropping-particle" : "", "parse-names" : false, "suffix" : "" }, { "dropping-particle" : "", "family" : "Cohn", "given" : "Simon R", "non-dropping-particle" : "", "parse-names" : false, "suffix" : "" }, { "dropping-particle" : "", "family" : "Suhrcke", "given" : "Marc", "non-dropping-particle" : "", "parse-names" : false, "suffix" : "" }, { "dropping-particle" : "", "family" : "Marsh", "given" : "Tim", "non-dropping-particle" : "", "parse-names" : false, "suffix" : "" }, { "dropping-particle" : "", "family" : "Thomson", "given" : "Ann M", "non-dropping-particle" : "", "parse-names" : false, "suffix" : "" }, { "dropping-particle" : "", "family" : "Jebb", "given" : "Susan a", "non-dropping-particle" : "", "parse-names" : false, "suffix" : "" } ], "container-title" : "BMC public health", "id" : "ITEM-1", "issue" : "1", "issued" : { "date-parts" : [ [ "2014", "1" ] ] }, "page" : "620", "title" : "Weight loss referrals for adults in primary care (WRAP): protocol for a multi-centre randomised controlled trial comparing the clinical and cost-effectiveness of primary care referral to a commercial weight loss provider for 12\u00a0weeks, referral for 52\u00a0week", "type" : "article-journal", "volume" : "14" }, "uris" : [ "http://www.mendeley.com/documents/?uuid=5bfe0865-63b1-4025-a2a4-856d7baad0aa" ] } ], "mendeley" : { "formattedCitation" : "(13)", "plainTextFormattedCitation" : "(13)", "previouslyFormattedCitation" : "[13]" }, "properties" : { "noteIndex" : 0 }, "schema" : "https://github.com/citation-style-language/schema/raw/master/csl-citation.json" }</w:instrText>
      </w:r>
      <w:r w:rsidR="00D657BB">
        <w:fldChar w:fldCharType="separate"/>
      </w:r>
      <w:r w:rsidR="00D658C8" w:rsidRPr="00D658C8">
        <w:rPr>
          <w:noProof/>
        </w:rPr>
        <w:t>(13)</w:t>
      </w:r>
      <w:r w:rsidR="00D657BB">
        <w:fldChar w:fldCharType="end"/>
      </w:r>
      <w:r w:rsidRPr="00F57D18">
        <w:t xml:space="preserve"> By comparing the demographic characteristics of participants who enrolled in </w:t>
      </w:r>
      <w:r>
        <w:t>the</w:t>
      </w:r>
      <w:r w:rsidRPr="00F57D18">
        <w:t xml:space="preserve"> trial to the characteristics of the invited population, we can identify any demographic biases in which individuals took up the invitation from the GP to participate in this trial</w:t>
      </w:r>
      <w:r>
        <w:t xml:space="preserve">, and control for any bias in who was offered the opportunity to participate. </w:t>
      </w:r>
    </w:p>
    <w:p w14:paraId="0966BAB4" w14:textId="37E36B67" w:rsidR="008A1360" w:rsidRPr="00F57D18" w:rsidRDefault="00BB6A81" w:rsidP="00770113">
      <w:pPr>
        <w:pStyle w:val="CommentText"/>
        <w:spacing w:line="360" w:lineRule="auto"/>
        <w:rPr>
          <w:b/>
          <w:sz w:val="22"/>
          <w:szCs w:val="22"/>
        </w:rPr>
      </w:pPr>
      <w:r>
        <w:rPr>
          <w:b/>
          <w:sz w:val="22"/>
          <w:szCs w:val="22"/>
        </w:rPr>
        <w:t>METHOD</w:t>
      </w:r>
    </w:p>
    <w:p w14:paraId="4515538C" w14:textId="77777777" w:rsidR="00170B85" w:rsidRPr="00F57D18" w:rsidRDefault="00170B85" w:rsidP="00770113">
      <w:pPr>
        <w:pStyle w:val="CommentText"/>
        <w:spacing w:line="360" w:lineRule="auto"/>
        <w:rPr>
          <w:b/>
          <w:sz w:val="22"/>
          <w:szCs w:val="22"/>
        </w:rPr>
      </w:pPr>
      <w:r w:rsidRPr="00F57D18">
        <w:rPr>
          <w:b/>
          <w:sz w:val="22"/>
          <w:szCs w:val="22"/>
        </w:rPr>
        <w:t>Design and Setting</w:t>
      </w:r>
    </w:p>
    <w:p w14:paraId="5E32F8A0" w14:textId="77777777" w:rsidR="00170B85" w:rsidRPr="00F57D18" w:rsidRDefault="009759A2" w:rsidP="00770113">
      <w:pPr>
        <w:pStyle w:val="CommentText"/>
        <w:spacing w:line="360" w:lineRule="auto"/>
        <w:rPr>
          <w:sz w:val="22"/>
          <w:szCs w:val="22"/>
        </w:rPr>
      </w:pPr>
      <w:r w:rsidRPr="00F57D18">
        <w:rPr>
          <w:sz w:val="22"/>
          <w:szCs w:val="22"/>
        </w:rPr>
        <w:t xml:space="preserve">This study compares the invited </w:t>
      </w:r>
      <w:r w:rsidR="00170B85" w:rsidRPr="00F57D18">
        <w:rPr>
          <w:sz w:val="22"/>
          <w:szCs w:val="22"/>
        </w:rPr>
        <w:t xml:space="preserve">and recruited populations of the WRAP trial. WRAP is a multi-centre randomised controlled trial </w:t>
      </w:r>
      <w:r w:rsidR="003C529B" w:rsidRPr="00F57D18">
        <w:rPr>
          <w:sz w:val="22"/>
          <w:szCs w:val="22"/>
        </w:rPr>
        <w:t xml:space="preserve">evaluating the clinical and cost effectiveness of referral to a commercial </w:t>
      </w:r>
      <w:r w:rsidR="00AB2D48">
        <w:rPr>
          <w:sz w:val="22"/>
          <w:szCs w:val="22"/>
        </w:rPr>
        <w:t xml:space="preserve">group-based </w:t>
      </w:r>
      <w:r w:rsidR="00494768">
        <w:rPr>
          <w:sz w:val="22"/>
          <w:szCs w:val="22"/>
        </w:rPr>
        <w:t xml:space="preserve">behavioural </w:t>
      </w:r>
      <w:r w:rsidR="003C529B" w:rsidRPr="00F57D18">
        <w:rPr>
          <w:sz w:val="22"/>
          <w:szCs w:val="22"/>
        </w:rPr>
        <w:t xml:space="preserve">weight loss </w:t>
      </w:r>
      <w:r w:rsidR="00494768" w:rsidRPr="00F57D18">
        <w:rPr>
          <w:sz w:val="22"/>
          <w:szCs w:val="22"/>
        </w:rPr>
        <w:t>pro</w:t>
      </w:r>
      <w:r w:rsidR="00494768">
        <w:rPr>
          <w:sz w:val="22"/>
          <w:szCs w:val="22"/>
        </w:rPr>
        <w:t>gramme</w:t>
      </w:r>
      <w:r w:rsidR="00494768" w:rsidRPr="00F57D18">
        <w:rPr>
          <w:sz w:val="22"/>
          <w:szCs w:val="22"/>
        </w:rPr>
        <w:t xml:space="preserve"> </w:t>
      </w:r>
      <w:r w:rsidR="00494768">
        <w:rPr>
          <w:sz w:val="22"/>
          <w:szCs w:val="22"/>
        </w:rPr>
        <w:t xml:space="preserve">(Weight Watchers) </w:t>
      </w:r>
      <w:r w:rsidR="003C529B" w:rsidRPr="00F57D18">
        <w:rPr>
          <w:sz w:val="22"/>
          <w:szCs w:val="22"/>
        </w:rPr>
        <w:t xml:space="preserve">for adults in England who are overweight </w:t>
      </w:r>
      <w:r w:rsidR="009F6CED">
        <w:rPr>
          <w:sz w:val="22"/>
          <w:szCs w:val="22"/>
        </w:rPr>
        <w:t>or</w:t>
      </w:r>
      <w:r w:rsidR="009F6CED" w:rsidRPr="00F57D18">
        <w:rPr>
          <w:sz w:val="22"/>
          <w:szCs w:val="22"/>
        </w:rPr>
        <w:t xml:space="preserve"> </w:t>
      </w:r>
      <w:r w:rsidR="003C529B" w:rsidRPr="00F57D18">
        <w:rPr>
          <w:sz w:val="22"/>
          <w:szCs w:val="22"/>
        </w:rPr>
        <w:t>obese</w:t>
      </w:r>
      <w:r w:rsidR="00170B85" w:rsidRPr="00F57D18">
        <w:rPr>
          <w:sz w:val="22"/>
          <w:szCs w:val="22"/>
        </w:rPr>
        <w:t xml:space="preserve">. </w:t>
      </w:r>
      <w:r w:rsidR="002A1FC3">
        <w:rPr>
          <w:sz w:val="22"/>
          <w:szCs w:val="22"/>
        </w:rPr>
        <w:t xml:space="preserve">Participants were recruited through </w:t>
      </w:r>
      <w:r w:rsidR="002A1FC3" w:rsidRPr="00F57D18">
        <w:rPr>
          <w:sz w:val="22"/>
          <w:szCs w:val="22"/>
        </w:rPr>
        <w:t>23 primary care practices in England who did not already have an existing contract with a commercial weight loss provi</w:t>
      </w:r>
      <w:r w:rsidR="002A1FC3">
        <w:rPr>
          <w:sz w:val="22"/>
          <w:szCs w:val="22"/>
        </w:rPr>
        <w:t>der.</w:t>
      </w:r>
      <w:r w:rsidR="003C529B" w:rsidRPr="00F57D18">
        <w:rPr>
          <w:sz w:val="22"/>
          <w:szCs w:val="22"/>
        </w:rPr>
        <w:t xml:space="preserve"> Recruitment took place between October 2012 and February 2013.</w:t>
      </w:r>
    </w:p>
    <w:p w14:paraId="6478F900" w14:textId="77777777" w:rsidR="00D96DEC" w:rsidRPr="00F57D18" w:rsidRDefault="00D96DEC" w:rsidP="00770113">
      <w:pPr>
        <w:pStyle w:val="CommentText"/>
        <w:spacing w:line="360" w:lineRule="auto"/>
        <w:rPr>
          <w:b/>
          <w:sz w:val="22"/>
          <w:szCs w:val="22"/>
        </w:rPr>
      </w:pPr>
      <w:r w:rsidRPr="00F57D18">
        <w:rPr>
          <w:b/>
          <w:sz w:val="22"/>
          <w:szCs w:val="22"/>
        </w:rPr>
        <w:t xml:space="preserve">Invited </w:t>
      </w:r>
      <w:r w:rsidR="009759A2" w:rsidRPr="00F57D18">
        <w:rPr>
          <w:b/>
          <w:sz w:val="22"/>
          <w:szCs w:val="22"/>
        </w:rPr>
        <w:t>P</w:t>
      </w:r>
      <w:r w:rsidRPr="00F57D18">
        <w:rPr>
          <w:b/>
          <w:sz w:val="22"/>
          <w:szCs w:val="22"/>
        </w:rPr>
        <w:t>opulation</w:t>
      </w:r>
    </w:p>
    <w:p w14:paraId="0FF55DE7" w14:textId="77777777" w:rsidR="00D96DEC" w:rsidRPr="00F57D18" w:rsidRDefault="00D96DEC" w:rsidP="00770113">
      <w:pPr>
        <w:pStyle w:val="CommentText"/>
        <w:spacing w:line="360" w:lineRule="auto"/>
        <w:rPr>
          <w:color w:val="000000"/>
          <w:sz w:val="22"/>
          <w:szCs w:val="22"/>
          <w:shd w:val="clear" w:color="auto" w:fill="FFFFFF"/>
        </w:rPr>
      </w:pPr>
      <w:r w:rsidRPr="00F57D18">
        <w:rPr>
          <w:sz w:val="22"/>
          <w:szCs w:val="22"/>
        </w:rPr>
        <w:t xml:space="preserve">Each practice searched their electronic register and identified patients who were eligible to participate in the trial (Age </w:t>
      </w:r>
      <w:r w:rsidR="00A06F2B" w:rsidRPr="00F57D18">
        <w:rPr>
          <w:sz w:val="22"/>
          <w:szCs w:val="22"/>
        </w:rPr>
        <w:t>≥</w:t>
      </w:r>
      <w:r w:rsidRPr="00F57D18">
        <w:rPr>
          <w:sz w:val="22"/>
          <w:szCs w:val="22"/>
        </w:rPr>
        <w:t>18</w:t>
      </w:r>
      <w:r w:rsidR="009A6835">
        <w:rPr>
          <w:sz w:val="22"/>
          <w:szCs w:val="22"/>
        </w:rPr>
        <w:t xml:space="preserve"> years</w:t>
      </w:r>
      <w:r w:rsidRPr="00F57D18">
        <w:rPr>
          <w:sz w:val="22"/>
          <w:szCs w:val="22"/>
        </w:rPr>
        <w:t>, BMI</w:t>
      </w:r>
      <w:r w:rsidR="00A06F2B" w:rsidRPr="00F57D18">
        <w:rPr>
          <w:sz w:val="22"/>
          <w:szCs w:val="22"/>
        </w:rPr>
        <w:t>≥</w:t>
      </w:r>
      <w:r w:rsidR="000F2CE9">
        <w:t>28kg/m</w:t>
      </w:r>
      <w:r w:rsidR="000F2CE9" w:rsidRPr="009A6835">
        <w:rPr>
          <w:vertAlign w:val="superscript"/>
        </w:rPr>
        <w:t>2</w:t>
      </w:r>
      <w:r w:rsidRPr="00F57D18">
        <w:rPr>
          <w:sz w:val="22"/>
          <w:szCs w:val="22"/>
        </w:rPr>
        <w:t xml:space="preserve">). GPs then excluded </w:t>
      </w:r>
      <w:r w:rsidR="009F6CED">
        <w:rPr>
          <w:sz w:val="22"/>
          <w:szCs w:val="22"/>
        </w:rPr>
        <w:t>those</w:t>
      </w:r>
      <w:r w:rsidR="009F6CED" w:rsidRPr="00F57D18">
        <w:rPr>
          <w:sz w:val="22"/>
          <w:szCs w:val="22"/>
        </w:rPr>
        <w:t xml:space="preserve"> </w:t>
      </w:r>
      <w:r w:rsidRPr="00F57D18">
        <w:rPr>
          <w:sz w:val="22"/>
          <w:szCs w:val="22"/>
        </w:rPr>
        <w:t>who would be unsuitable for the study (e.g. patients</w:t>
      </w:r>
      <w:r w:rsidRPr="00F57D18">
        <w:rPr>
          <w:color w:val="000000"/>
          <w:sz w:val="22"/>
          <w:szCs w:val="22"/>
          <w:shd w:val="clear" w:color="auto" w:fill="FFFFFF"/>
        </w:rPr>
        <w:t xml:space="preserve"> who </w:t>
      </w:r>
      <w:r w:rsidR="00C71034">
        <w:rPr>
          <w:color w:val="000000"/>
          <w:sz w:val="22"/>
          <w:szCs w:val="22"/>
          <w:shd w:val="clear" w:color="auto" w:fill="FFFFFF"/>
        </w:rPr>
        <w:t>we</w:t>
      </w:r>
      <w:r w:rsidRPr="00F57D18">
        <w:rPr>
          <w:color w:val="000000"/>
          <w:sz w:val="22"/>
          <w:szCs w:val="22"/>
          <w:shd w:val="clear" w:color="auto" w:fill="FFFFFF"/>
        </w:rPr>
        <w:t>re violent/terminally ill/ha</w:t>
      </w:r>
      <w:r w:rsidR="00C71034">
        <w:rPr>
          <w:color w:val="000000"/>
          <w:sz w:val="22"/>
          <w:szCs w:val="22"/>
          <w:shd w:val="clear" w:color="auto" w:fill="FFFFFF"/>
        </w:rPr>
        <w:t>d</w:t>
      </w:r>
      <w:r w:rsidRPr="00F57D18">
        <w:rPr>
          <w:color w:val="000000"/>
          <w:sz w:val="22"/>
          <w:szCs w:val="22"/>
          <w:shd w:val="clear" w:color="auto" w:fill="FFFFFF"/>
        </w:rPr>
        <w:t xml:space="preserve"> a history of an eating disorder)</w:t>
      </w:r>
      <w:r w:rsidR="002C17A6">
        <w:rPr>
          <w:color w:val="000000"/>
          <w:sz w:val="22"/>
          <w:szCs w:val="22"/>
          <w:shd w:val="clear" w:color="auto" w:fill="FFFFFF"/>
        </w:rPr>
        <w:t>.</w:t>
      </w:r>
      <w:r w:rsidRPr="00F57D18">
        <w:rPr>
          <w:color w:val="000000"/>
          <w:sz w:val="22"/>
          <w:szCs w:val="22"/>
          <w:shd w:val="clear" w:color="auto" w:fill="FFFFFF"/>
        </w:rPr>
        <w:t xml:space="preserve"> Eligible </w:t>
      </w:r>
      <w:r w:rsidR="003A487E">
        <w:rPr>
          <w:color w:val="000000"/>
          <w:sz w:val="22"/>
          <w:szCs w:val="22"/>
          <w:shd w:val="clear" w:color="auto" w:fill="FFFFFF"/>
        </w:rPr>
        <w:t>patients</w:t>
      </w:r>
      <w:r w:rsidRPr="00F57D18">
        <w:rPr>
          <w:color w:val="000000"/>
          <w:sz w:val="22"/>
          <w:szCs w:val="22"/>
          <w:shd w:val="clear" w:color="auto" w:fill="FFFFFF"/>
        </w:rPr>
        <w:t xml:space="preserve"> were then sent a letter of invitation, signed by the GP, inviting them to participate in the trial</w:t>
      </w:r>
      <w:r w:rsidR="00170B85" w:rsidRPr="00F57D18">
        <w:rPr>
          <w:color w:val="000000"/>
          <w:sz w:val="22"/>
          <w:szCs w:val="22"/>
          <w:shd w:val="clear" w:color="auto" w:fill="FFFFFF"/>
        </w:rPr>
        <w:t xml:space="preserve">. This letter explained that involvement in the trial was entirely separate to their </w:t>
      </w:r>
      <w:r w:rsidR="003C529B" w:rsidRPr="00F57D18">
        <w:rPr>
          <w:color w:val="000000"/>
          <w:sz w:val="22"/>
          <w:szCs w:val="22"/>
          <w:shd w:val="clear" w:color="auto" w:fill="FFFFFF"/>
        </w:rPr>
        <w:t xml:space="preserve">usual </w:t>
      </w:r>
      <w:r w:rsidR="00170B85" w:rsidRPr="00F57D18">
        <w:rPr>
          <w:color w:val="000000"/>
          <w:sz w:val="22"/>
          <w:szCs w:val="22"/>
          <w:shd w:val="clear" w:color="auto" w:fill="FFFFFF"/>
        </w:rPr>
        <w:t>GP care</w:t>
      </w:r>
      <w:r w:rsidR="003C529B" w:rsidRPr="00F57D18">
        <w:rPr>
          <w:color w:val="000000"/>
          <w:sz w:val="22"/>
          <w:szCs w:val="22"/>
          <w:shd w:val="clear" w:color="auto" w:fill="FFFFFF"/>
        </w:rPr>
        <w:t xml:space="preserve"> </w:t>
      </w:r>
      <w:r w:rsidR="00170B85" w:rsidRPr="00F57D18">
        <w:rPr>
          <w:color w:val="000000"/>
          <w:sz w:val="22"/>
          <w:szCs w:val="22"/>
          <w:shd w:val="clear" w:color="auto" w:fill="FFFFFF"/>
        </w:rPr>
        <w:t>and could include referral</w:t>
      </w:r>
      <w:r w:rsidRPr="00F57D18">
        <w:rPr>
          <w:color w:val="000000"/>
          <w:sz w:val="22"/>
          <w:szCs w:val="22"/>
          <w:shd w:val="clear" w:color="auto" w:fill="FFFFFF"/>
        </w:rPr>
        <w:t xml:space="preserve"> to a commercial weight loss provider at no cost to the patient</w:t>
      </w:r>
      <w:r w:rsidR="00170B85" w:rsidRPr="00F57D18">
        <w:rPr>
          <w:color w:val="000000"/>
          <w:sz w:val="22"/>
          <w:szCs w:val="22"/>
          <w:shd w:val="clear" w:color="auto" w:fill="FFFFFF"/>
        </w:rPr>
        <w:t>. Patients were asked</w:t>
      </w:r>
      <w:r w:rsidRPr="00F57D18">
        <w:rPr>
          <w:color w:val="000000"/>
          <w:sz w:val="22"/>
          <w:szCs w:val="22"/>
          <w:shd w:val="clear" w:color="auto" w:fill="FFFFFF"/>
        </w:rPr>
        <w:t xml:space="preserve"> to contact a member of the research team if they were interested in participating. </w:t>
      </w:r>
    </w:p>
    <w:p w14:paraId="135652B5" w14:textId="77777777" w:rsidR="00170B85" w:rsidRPr="00F57D18" w:rsidRDefault="009759A2" w:rsidP="00770113">
      <w:pPr>
        <w:pStyle w:val="CommentText"/>
        <w:spacing w:line="360" w:lineRule="auto"/>
        <w:rPr>
          <w:b/>
          <w:sz w:val="22"/>
          <w:szCs w:val="22"/>
        </w:rPr>
      </w:pPr>
      <w:r w:rsidRPr="00F57D18">
        <w:rPr>
          <w:b/>
          <w:sz w:val="22"/>
          <w:szCs w:val="22"/>
        </w:rPr>
        <w:lastRenderedPageBreak/>
        <w:t>Recruited Participants</w:t>
      </w:r>
    </w:p>
    <w:p w14:paraId="71AFB68D" w14:textId="77777777" w:rsidR="003C529B" w:rsidRPr="00F57D18" w:rsidRDefault="00170B85" w:rsidP="00770113">
      <w:pPr>
        <w:pStyle w:val="CommentText"/>
        <w:spacing w:line="360" w:lineRule="auto"/>
        <w:rPr>
          <w:rStyle w:val="apple-converted-space"/>
          <w:color w:val="000000"/>
          <w:sz w:val="22"/>
          <w:szCs w:val="22"/>
          <w:shd w:val="clear" w:color="auto" w:fill="FFFFFF"/>
        </w:rPr>
      </w:pPr>
      <w:r w:rsidRPr="00F57D18">
        <w:rPr>
          <w:sz w:val="22"/>
          <w:szCs w:val="22"/>
        </w:rPr>
        <w:t xml:space="preserve">Patients contacted a member of the research team to express interest in the study and complete a </w:t>
      </w:r>
      <w:r w:rsidR="009759A2" w:rsidRPr="00F57D18">
        <w:rPr>
          <w:sz w:val="22"/>
          <w:szCs w:val="22"/>
        </w:rPr>
        <w:t>telephone-</w:t>
      </w:r>
      <w:r w:rsidRPr="00F57D18">
        <w:rPr>
          <w:sz w:val="22"/>
          <w:szCs w:val="22"/>
        </w:rPr>
        <w:t>screening</w:t>
      </w:r>
      <w:r w:rsidR="009759A2" w:rsidRPr="00F57D18">
        <w:rPr>
          <w:sz w:val="22"/>
          <w:szCs w:val="22"/>
        </w:rPr>
        <w:t xml:space="preserve">. </w:t>
      </w:r>
      <w:r w:rsidR="003C529B" w:rsidRPr="00F57D18">
        <w:rPr>
          <w:sz w:val="22"/>
          <w:szCs w:val="22"/>
        </w:rPr>
        <w:t xml:space="preserve">Exclusion criteria were: </w:t>
      </w:r>
      <w:r w:rsidR="003C529B" w:rsidRPr="00F57D18">
        <w:rPr>
          <w:color w:val="000000"/>
          <w:sz w:val="22"/>
          <w:szCs w:val="22"/>
          <w:shd w:val="clear" w:color="auto" w:fill="FFFFFF"/>
        </w:rPr>
        <w:t xml:space="preserve">planned or current pregnancy in the next two years; previous or planned bariatric surgery; currently following a weight-loss programme (defined as a structured, prescribed and monitored programme and not a self-regulated diet); </w:t>
      </w:r>
      <w:r w:rsidR="00C71034">
        <w:rPr>
          <w:color w:val="000000"/>
          <w:sz w:val="22"/>
          <w:szCs w:val="22"/>
          <w:shd w:val="clear" w:color="auto" w:fill="FFFFFF"/>
        </w:rPr>
        <w:t xml:space="preserve">unable to speak English or with special communication needs that would make </w:t>
      </w:r>
      <w:r w:rsidR="0004473C">
        <w:rPr>
          <w:color w:val="000000"/>
          <w:sz w:val="22"/>
          <w:szCs w:val="22"/>
          <w:shd w:val="clear" w:color="auto" w:fill="FFFFFF"/>
        </w:rPr>
        <w:t>it difficult to participate in the interventions offered without additional support</w:t>
      </w:r>
      <w:r w:rsidR="003C529B" w:rsidRPr="00F57D18">
        <w:rPr>
          <w:color w:val="000000"/>
          <w:sz w:val="22"/>
          <w:szCs w:val="22"/>
          <w:shd w:val="clear" w:color="auto" w:fill="FFFFFF"/>
        </w:rPr>
        <w:t>.</w:t>
      </w:r>
      <w:r w:rsidR="003C529B" w:rsidRPr="00F57D18">
        <w:rPr>
          <w:rStyle w:val="apple-converted-space"/>
          <w:color w:val="000000"/>
          <w:sz w:val="22"/>
          <w:szCs w:val="22"/>
          <w:shd w:val="clear" w:color="auto" w:fill="FFFFFF"/>
        </w:rPr>
        <w:t> </w:t>
      </w:r>
    </w:p>
    <w:p w14:paraId="7CFB4664" w14:textId="4C00CB6C" w:rsidR="008A1360" w:rsidRPr="00F57D18" w:rsidRDefault="003A487E" w:rsidP="00770113">
      <w:pPr>
        <w:pStyle w:val="CommentText"/>
        <w:spacing w:line="360" w:lineRule="auto"/>
        <w:rPr>
          <w:sz w:val="22"/>
          <w:szCs w:val="22"/>
        </w:rPr>
      </w:pPr>
      <w:r>
        <w:rPr>
          <w:sz w:val="22"/>
          <w:szCs w:val="22"/>
        </w:rPr>
        <w:t>Patients</w:t>
      </w:r>
      <w:r w:rsidR="009759A2" w:rsidRPr="00F57D18">
        <w:rPr>
          <w:sz w:val="22"/>
          <w:szCs w:val="22"/>
        </w:rPr>
        <w:t xml:space="preserve"> who were eligible at the telephone screening attended a baseline visit at the research centre, where their eligibility was confirmed and they gave informed consent to participate in the study. The recruited population is defined as those eligible participants </w:t>
      </w:r>
      <w:r w:rsidR="00593649">
        <w:rPr>
          <w:sz w:val="22"/>
          <w:szCs w:val="22"/>
        </w:rPr>
        <w:t xml:space="preserve">who </w:t>
      </w:r>
      <w:r w:rsidR="009759A2" w:rsidRPr="00F57D18">
        <w:rPr>
          <w:sz w:val="22"/>
          <w:szCs w:val="22"/>
        </w:rPr>
        <w:t>were</w:t>
      </w:r>
      <w:r w:rsidR="00580D1C">
        <w:rPr>
          <w:sz w:val="22"/>
          <w:szCs w:val="22"/>
        </w:rPr>
        <w:t xml:space="preserve"> </w:t>
      </w:r>
      <w:r w:rsidR="00580D1C" w:rsidRPr="00F57D18">
        <w:rPr>
          <w:sz w:val="22"/>
          <w:szCs w:val="22"/>
        </w:rPr>
        <w:t xml:space="preserve">randomised to </w:t>
      </w:r>
      <w:r w:rsidR="00580D1C">
        <w:rPr>
          <w:sz w:val="22"/>
          <w:szCs w:val="22"/>
        </w:rPr>
        <w:t>one of the trial arms</w:t>
      </w:r>
      <w:r w:rsidR="009759A2" w:rsidRPr="00F57D18">
        <w:rPr>
          <w:sz w:val="22"/>
          <w:szCs w:val="22"/>
        </w:rPr>
        <w:t>.</w:t>
      </w:r>
    </w:p>
    <w:p w14:paraId="4EC85E3E" w14:textId="77777777" w:rsidR="003C529B" w:rsidRPr="00F57D18" w:rsidRDefault="003C529B" w:rsidP="00770113">
      <w:pPr>
        <w:pStyle w:val="CommentText"/>
        <w:spacing w:line="360" w:lineRule="auto"/>
        <w:rPr>
          <w:b/>
          <w:sz w:val="22"/>
          <w:szCs w:val="22"/>
        </w:rPr>
      </w:pPr>
      <w:r w:rsidRPr="00F57D18">
        <w:rPr>
          <w:b/>
          <w:sz w:val="22"/>
          <w:szCs w:val="22"/>
        </w:rPr>
        <w:t>Outcome Measures</w:t>
      </w:r>
    </w:p>
    <w:p w14:paraId="77D44A5C" w14:textId="091FD511" w:rsidR="002D1814" w:rsidRDefault="00BB6A81" w:rsidP="00BB6A81">
      <w:pPr>
        <w:pStyle w:val="CommentText"/>
        <w:spacing w:line="360" w:lineRule="auto"/>
        <w:rPr>
          <w:rFonts w:cs="Helvetica"/>
          <w:color w:val="555555"/>
          <w:sz w:val="21"/>
          <w:szCs w:val="21"/>
          <w:lang w:val="en"/>
        </w:rPr>
      </w:pPr>
      <w:r>
        <w:rPr>
          <w:color w:val="000000"/>
          <w:sz w:val="22"/>
          <w:szCs w:val="22"/>
          <w:shd w:val="clear" w:color="auto" w:fill="FFFFFF"/>
        </w:rPr>
        <w:t xml:space="preserve">On </w:t>
      </w:r>
      <w:r w:rsidRPr="00F57D18">
        <w:rPr>
          <w:color w:val="000000"/>
          <w:sz w:val="22"/>
          <w:szCs w:val="22"/>
          <w:shd w:val="clear" w:color="auto" w:fill="FFFFFF"/>
        </w:rPr>
        <w:t>complet</w:t>
      </w:r>
      <w:r>
        <w:rPr>
          <w:color w:val="000000"/>
          <w:sz w:val="22"/>
          <w:szCs w:val="22"/>
          <w:shd w:val="clear" w:color="auto" w:fill="FFFFFF"/>
        </w:rPr>
        <w:t>ion of</w:t>
      </w:r>
      <w:r w:rsidRPr="00F57D18">
        <w:rPr>
          <w:color w:val="000000"/>
          <w:sz w:val="22"/>
          <w:szCs w:val="22"/>
          <w:shd w:val="clear" w:color="auto" w:fill="FFFFFF"/>
        </w:rPr>
        <w:t xml:space="preserve"> the mail-out to patients, </w:t>
      </w:r>
      <w:r>
        <w:rPr>
          <w:color w:val="000000"/>
          <w:sz w:val="22"/>
          <w:szCs w:val="22"/>
          <w:shd w:val="clear" w:color="auto" w:fill="FFFFFF"/>
        </w:rPr>
        <w:t>practices</w:t>
      </w:r>
      <w:r w:rsidRPr="00F57D18">
        <w:rPr>
          <w:color w:val="000000"/>
          <w:sz w:val="22"/>
          <w:szCs w:val="22"/>
          <w:shd w:val="clear" w:color="auto" w:fill="FFFFFF"/>
        </w:rPr>
        <w:t xml:space="preserve"> provided the research team with summary data on the </w:t>
      </w:r>
      <w:r>
        <w:rPr>
          <w:color w:val="000000"/>
          <w:sz w:val="22"/>
          <w:szCs w:val="22"/>
          <w:shd w:val="clear" w:color="auto" w:fill="FFFFFF"/>
        </w:rPr>
        <w:t>g</w:t>
      </w:r>
      <w:r w:rsidRPr="00F57D18">
        <w:rPr>
          <w:color w:val="000000"/>
          <w:sz w:val="22"/>
          <w:szCs w:val="22"/>
          <w:shd w:val="clear" w:color="auto" w:fill="FFFFFF"/>
        </w:rPr>
        <w:t xml:space="preserve">ender, </w:t>
      </w:r>
      <w:r>
        <w:rPr>
          <w:color w:val="000000"/>
          <w:sz w:val="22"/>
          <w:szCs w:val="22"/>
          <w:shd w:val="clear" w:color="auto" w:fill="FFFFFF"/>
        </w:rPr>
        <w:t>a</w:t>
      </w:r>
      <w:r w:rsidRPr="00F57D18">
        <w:rPr>
          <w:color w:val="000000"/>
          <w:sz w:val="22"/>
          <w:szCs w:val="22"/>
          <w:shd w:val="clear" w:color="auto" w:fill="FFFFFF"/>
        </w:rPr>
        <w:t xml:space="preserve">ge, BMI and </w:t>
      </w:r>
      <w:r>
        <w:rPr>
          <w:color w:val="000000"/>
          <w:sz w:val="22"/>
          <w:szCs w:val="22"/>
          <w:shd w:val="clear" w:color="auto" w:fill="FFFFFF"/>
        </w:rPr>
        <w:t>e</w:t>
      </w:r>
      <w:r w:rsidRPr="00F57D18">
        <w:rPr>
          <w:color w:val="000000"/>
          <w:sz w:val="22"/>
          <w:szCs w:val="22"/>
          <w:shd w:val="clear" w:color="auto" w:fill="FFFFFF"/>
        </w:rPr>
        <w:t>thnicity of the patients who had been invited.</w:t>
      </w:r>
      <w:r w:rsidR="00186AFC" w:rsidRPr="00F57D18">
        <w:rPr>
          <w:sz w:val="22"/>
          <w:szCs w:val="22"/>
        </w:rPr>
        <w:t xml:space="preserve"> </w:t>
      </w:r>
    </w:p>
    <w:p w14:paraId="2635A375" w14:textId="0876AFF5" w:rsidR="003C529B" w:rsidRDefault="003C529B" w:rsidP="00770113">
      <w:pPr>
        <w:pStyle w:val="CommentText"/>
        <w:spacing w:line="360" w:lineRule="auto"/>
        <w:rPr>
          <w:sz w:val="22"/>
          <w:szCs w:val="22"/>
        </w:rPr>
      </w:pPr>
      <w:r w:rsidRPr="00F57D18">
        <w:rPr>
          <w:sz w:val="22"/>
          <w:szCs w:val="22"/>
        </w:rPr>
        <w:t xml:space="preserve">At the baseline appointment, </w:t>
      </w:r>
      <w:r w:rsidR="009F6CED">
        <w:rPr>
          <w:sz w:val="22"/>
          <w:szCs w:val="22"/>
        </w:rPr>
        <w:t xml:space="preserve">information on </w:t>
      </w:r>
      <w:r w:rsidR="00BB6A81">
        <w:rPr>
          <w:sz w:val="22"/>
          <w:szCs w:val="22"/>
        </w:rPr>
        <w:t xml:space="preserve">the gender, age, and </w:t>
      </w:r>
      <w:r w:rsidRPr="00F57D18">
        <w:rPr>
          <w:sz w:val="22"/>
          <w:szCs w:val="22"/>
        </w:rPr>
        <w:t>ethnicity</w:t>
      </w:r>
      <w:r w:rsidR="00743CE0">
        <w:rPr>
          <w:sz w:val="22"/>
          <w:szCs w:val="22"/>
        </w:rPr>
        <w:t xml:space="preserve"> w</w:t>
      </w:r>
      <w:r w:rsidR="00F5041A">
        <w:rPr>
          <w:sz w:val="22"/>
          <w:szCs w:val="22"/>
        </w:rPr>
        <w:t>as</w:t>
      </w:r>
      <w:r w:rsidR="00743CE0">
        <w:rPr>
          <w:sz w:val="22"/>
          <w:szCs w:val="22"/>
        </w:rPr>
        <w:t xml:space="preserve"> collected </w:t>
      </w:r>
      <w:r w:rsidR="009F6CED">
        <w:rPr>
          <w:sz w:val="22"/>
          <w:szCs w:val="22"/>
        </w:rPr>
        <w:t xml:space="preserve">directly from participants </w:t>
      </w:r>
      <w:r w:rsidR="00743CE0">
        <w:rPr>
          <w:sz w:val="22"/>
          <w:szCs w:val="22"/>
        </w:rPr>
        <w:t>using a questionnaire</w:t>
      </w:r>
      <w:r w:rsidR="00186AFC" w:rsidRPr="00F57D18">
        <w:rPr>
          <w:sz w:val="22"/>
          <w:szCs w:val="22"/>
        </w:rPr>
        <w:t>.</w:t>
      </w:r>
    </w:p>
    <w:p w14:paraId="253DB03D" w14:textId="4EDF6570" w:rsidR="00BB6A81" w:rsidRPr="00BB6A81" w:rsidRDefault="00BB6A81" w:rsidP="00770113">
      <w:pPr>
        <w:pStyle w:val="CommentText"/>
        <w:spacing w:line="360" w:lineRule="auto"/>
        <w:rPr>
          <w:rFonts w:cs="Helvetica"/>
          <w:color w:val="555555"/>
          <w:sz w:val="21"/>
          <w:szCs w:val="21"/>
          <w:lang w:val="en"/>
        </w:rPr>
      </w:pPr>
      <w:r w:rsidRPr="00F57D18">
        <w:rPr>
          <w:sz w:val="22"/>
          <w:szCs w:val="22"/>
        </w:rPr>
        <w:t xml:space="preserve">The postcode for each practice was used to calculate </w:t>
      </w:r>
      <w:r>
        <w:rPr>
          <w:sz w:val="22"/>
          <w:szCs w:val="22"/>
        </w:rPr>
        <w:t>the</w:t>
      </w:r>
      <w:r w:rsidRPr="00F57D18">
        <w:rPr>
          <w:sz w:val="22"/>
          <w:szCs w:val="22"/>
        </w:rPr>
        <w:t xml:space="preserve"> index of multiple deprivation</w:t>
      </w:r>
      <w:r>
        <w:rPr>
          <w:sz w:val="22"/>
          <w:szCs w:val="22"/>
        </w:rPr>
        <w:t xml:space="preserve"> (IMD) using the English Indices of Deprivation 2010</w:t>
      </w:r>
      <w:r>
        <w:rPr>
          <w:sz w:val="22"/>
          <w:szCs w:val="22"/>
        </w:rPr>
        <w:fldChar w:fldCharType="begin" w:fldLock="1"/>
      </w:r>
      <w:r w:rsidR="00D658C8">
        <w:rPr>
          <w:sz w:val="22"/>
          <w:szCs w:val="22"/>
        </w:rPr>
        <w:instrText>ADDIN CSL_CITATION { "citationItems" : [ { "id" : "ITEM-1", "itemData" : { "author" : [ { "dropping-particle" : "", "family" : "Department for Communities and Local Government", "given" : "", "non-dropping-particle" : "", "parse-names" : false, "suffix" : "" } ], "id" : "ITEM-1", "issued" : { "date-parts" : [ [ "2011" ] ] }, "title" : "The English Indices of Deprivation 2010", "type" : "report" }, "uris" : [ "http://www.mendeley.com/documents/?uuid=36091dcb-db9d-482e-99c6-157d73ecdbf9" ] } ], "mendeley" : { "formattedCitation" : "(14)", "plainTextFormattedCitation" : "(14)", "previouslyFormattedCitation" : "[14]" }, "properties" : { "noteIndex" : 0 }, "schema" : "https://github.com/citation-style-language/schema/raw/master/csl-citation.json" }</w:instrText>
      </w:r>
      <w:r>
        <w:rPr>
          <w:sz w:val="22"/>
          <w:szCs w:val="22"/>
        </w:rPr>
        <w:fldChar w:fldCharType="separate"/>
      </w:r>
      <w:r w:rsidR="00D658C8" w:rsidRPr="00D658C8">
        <w:rPr>
          <w:noProof/>
          <w:sz w:val="22"/>
          <w:szCs w:val="22"/>
        </w:rPr>
        <w:t>(14)</w:t>
      </w:r>
      <w:r>
        <w:rPr>
          <w:sz w:val="22"/>
          <w:szCs w:val="22"/>
        </w:rPr>
        <w:fldChar w:fldCharType="end"/>
      </w:r>
      <w:r>
        <w:rPr>
          <w:sz w:val="22"/>
          <w:szCs w:val="22"/>
        </w:rPr>
        <w:t xml:space="preserve"> as a marker of socioeconomic status (SES)</w:t>
      </w:r>
      <w:r w:rsidRPr="00F57D18">
        <w:rPr>
          <w:sz w:val="22"/>
          <w:szCs w:val="22"/>
        </w:rPr>
        <w:t>.</w:t>
      </w:r>
      <w:r>
        <w:rPr>
          <w:sz w:val="22"/>
          <w:szCs w:val="22"/>
        </w:rPr>
        <w:t xml:space="preserve"> The IMD ranks small geographical areas in the UK from the least deprived to the most deprived on seven indices: income, employment, health deprivation and disability, education, crime; barriers to housing and services, and living environment. </w:t>
      </w:r>
    </w:p>
    <w:p w14:paraId="72CC990A" w14:textId="77777777" w:rsidR="00186AFC" w:rsidRDefault="00186AFC" w:rsidP="00770113">
      <w:pPr>
        <w:pStyle w:val="CommentText"/>
        <w:spacing w:line="360" w:lineRule="auto"/>
        <w:rPr>
          <w:b/>
          <w:sz w:val="22"/>
          <w:szCs w:val="22"/>
        </w:rPr>
      </w:pPr>
      <w:r w:rsidRPr="00F57D18">
        <w:rPr>
          <w:b/>
          <w:sz w:val="22"/>
          <w:szCs w:val="22"/>
        </w:rPr>
        <w:t>Analysis</w:t>
      </w:r>
    </w:p>
    <w:p w14:paraId="2E181729" w14:textId="7A50DEC8" w:rsidR="0037651C" w:rsidRPr="0037651C" w:rsidRDefault="0037651C" w:rsidP="00770113">
      <w:pPr>
        <w:pStyle w:val="CommentText"/>
        <w:spacing w:line="360" w:lineRule="auto"/>
        <w:rPr>
          <w:sz w:val="22"/>
          <w:szCs w:val="22"/>
        </w:rPr>
      </w:pPr>
      <w:r>
        <w:rPr>
          <w:sz w:val="22"/>
          <w:szCs w:val="22"/>
        </w:rPr>
        <w:t>Demographic d</w:t>
      </w:r>
      <w:r w:rsidRPr="0037651C">
        <w:rPr>
          <w:sz w:val="22"/>
          <w:szCs w:val="22"/>
        </w:rPr>
        <w:t>ifference</w:t>
      </w:r>
      <w:r>
        <w:rPr>
          <w:sz w:val="22"/>
          <w:szCs w:val="22"/>
        </w:rPr>
        <w:t xml:space="preserve">s between invited </w:t>
      </w:r>
      <w:r w:rsidR="003A487E">
        <w:rPr>
          <w:sz w:val="22"/>
          <w:szCs w:val="22"/>
        </w:rPr>
        <w:t xml:space="preserve">patients </w:t>
      </w:r>
      <w:r>
        <w:rPr>
          <w:sz w:val="22"/>
          <w:szCs w:val="22"/>
        </w:rPr>
        <w:t xml:space="preserve">and recruited participants were explored separately for </w:t>
      </w:r>
      <w:r w:rsidR="00F5041A">
        <w:rPr>
          <w:sz w:val="22"/>
          <w:szCs w:val="22"/>
        </w:rPr>
        <w:t>g</w:t>
      </w:r>
      <w:r>
        <w:rPr>
          <w:sz w:val="22"/>
          <w:szCs w:val="22"/>
        </w:rPr>
        <w:t xml:space="preserve">ender, SES, </w:t>
      </w:r>
      <w:r w:rsidR="004D3AC2">
        <w:rPr>
          <w:sz w:val="22"/>
          <w:szCs w:val="22"/>
        </w:rPr>
        <w:t xml:space="preserve">and </w:t>
      </w:r>
      <w:r w:rsidR="00F5041A">
        <w:rPr>
          <w:sz w:val="22"/>
          <w:szCs w:val="22"/>
        </w:rPr>
        <w:t>a</w:t>
      </w:r>
      <w:r>
        <w:rPr>
          <w:sz w:val="22"/>
          <w:szCs w:val="22"/>
        </w:rPr>
        <w:t xml:space="preserve">ge using frequency tables. </w:t>
      </w:r>
      <w:r w:rsidR="002E52D4">
        <w:rPr>
          <w:sz w:val="22"/>
          <w:szCs w:val="22"/>
        </w:rPr>
        <w:t xml:space="preserve">Chi </w:t>
      </w:r>
      <w:r w:rsidR="00F5041A">
        <w:rPr>
          <w:sz w:val="22"/>
          <w:szCs w:val="22"/>
        </w:rPr>
        <w:t>s</w:t>
      </w:r>
      <w:r w:rsidR="002E52D4">
        <w:rPr>
          <w:sz w:val="22"/>
          <w:szCs w:val="22"/>
        </w:rPr>
        <w:t>quare</w:t>
      </w:r>
      <w:r>
        <w:rPr>
          <w:sz w:val="22"/>
          <w:szCs w:val="22"/>
        </w:rPr>
        <w:t xml:space="preserve"> </w:t>
      </w:r>
      <w:r w:rsidR="002A1FC3">
        <w:rPr>
          <w:sz w:val="22"/>
          <w:szCs w:val="22"/>
        </w:rPr>
        <w:t xml:space="preserve">and </w:t>
      </w:r>
      <w:r w:rsidR="00F5041A">
        <w:rPr>
          <w:sz w:val="22"/>
          <w:szCs w:val="22"/>
        </w:rPr>
        <w:t>o</w:t>
      </w:r>
      <w:r w:rsidR="00953FA2">
        <w:rPr>
          <w:sz w:val="22"/>
          <w:szCs w:val="22"/>
        </w:rPr>
        <w:t xml:space="preserve">dds </w:t>
      </w:r>
      <w:r w:rsidR="00F5041A">
        <w:rPr>
          <w:sz w:val="22"/>
          <w:szCs w:val="22"/>
        </w:rPr>
        <w:t>r</w:t>
      </w:r>
      <w:r w:rsidR="002A1FC3">
        <w:rPr>
          <w:sz w:val="22"/>
          <w:szCs w:val="22"/>
        </w:rPr>
        <w:t>atio</w:t>
      </w:r>
      <w:r w:rsidR="00F5041A">
        <w:rPr>
          <w:sz w:val="22"/>
          <w:szCs w:val="22"/>
        </w:rPr>
        <w:t>s</w:t>
      </w:r>
      <w:r w:rsidR="002A1FC3">
        <w:rPr>
          <w:sz w:val="22"/>
          <w:szCs w:val="22"/>
        </w:rPr>
        <w:t xml:space="preserve"> </w:t>
      </w:r>
      <w:r w:rsidR="00953FA2">
        <w:rPr>
          <w:sz w:val="22"/>
          <w:szCs w:val="22"/>
        </w:rPr>
        <w:t xml:space="preserve">(OR) </w:t>
      </w:r>
      <w:r>
        <w:rPr>
          <w:sz w:val="22"/>
          <w:szCs w:val="22"/>
        </w:rPr>
        <w:t>w</w:t>
      </w:r>
      <w:r w:rsidR="002A1FC3">
        <w:rPr>
          <w:sz w:val="22"/>
          <w:szCs w:val="22"/>
        </w:rPr>
        <w:t xml:space="preserve">ere calculated for each comparison. </w:t>
      </w:r>
      <w:r w:rsidR="004D3AC2">
        <w:rPr>
          <w:sz w:val="22"/>
          <w:szCs w:val="22"/>
        </w:rPr>
        <w:t xml:space="preserve">GP practices did not provide sufficient data on the ethnicity </w:t>
      </w:r>
      <w:r w:rsidR="00FF3302">
        <w:rPr>
          <w:sz w:val="22"/>
          <w:szCs w:val="22"/>
        </w:rPr>
        <w:t xml:space="preserve">and BMI </w:t>
      </w:r>
      <w:r w:rsidR="004D3AC2">
        <w:rPr>
          <w:sz w:val="22"/>
          <w:szCs w:val="22"/>
        </w:rPr>
        <w:t>of those invited to enable us to conduct a meaningful analysis of uptake by ethnicity</w:t>
      </w:r>
      <w:r w:rsidR="00FF3302">
        <w:rPr>
          <w:sz w:val="22"/>
          <w:szCs w:val="22"/>
        </w:rPr>
        <w:t xml:space="preserve"> or BMI</w:t>
      </w:r>
      <w:r w:rsidR="004D3AC2">
        <w:rPr>
          <w:sz w:val="22"/>
          <w:szCs w:val="22"/>
        </w:rPr>
        <w:t>.</w:t>
      </w:r>
      <w:r w:rsidR="00781C2D">
        <w:rPr>
          <w:sz w:val="22"/>
          <w:szCs w:val="22"/>
        </w:rPr>
        <w:t xml:space="preserve"> </w:t>
      </w:r>
    </w:p>
    <w:p w14:paraId="6D3D438D" w14:textId="3AAF7C5F" w:rsidR="00186AFC" w:rsidRPr="00F57D18" w:rsidRDefault="00BB6A81" w:rsidP="00770113">
      <w:pPr>
        <w:pStyle w:val="CommentText"/>
        <w:spacing w:line="360" w:lineRule="auto"/>
        <w:rPr>
          <w:b/>
          <w:sz w:val="22"/>
          <w:szCs w:val="22"/>
        </w:rPr>
      </w:pPr>
      <w:r>
        <w:rPr>
          <w:b/>
          <w:sz w:val="22"/>
          <w:szCs w:val="22"/>
        </w:rPr>
        <w:t>RESULTS</w:t>
      </w:r>
    </w:p>
    <w:p w14:paraId="6255793F" w14:textId="77777777" w:rsidR="0049294B" w:rsidRDefault="002B4D67" w:rsidP="00646CAE">
      <w:pPr>
        <w:pStyle w:val="CommentText"/>
        <w:spacing w:line="360" w:lineRule="auto"/>
        <w:rPr>
          <w:sz w:val="22"/>
          <w:szCs w:val="22"/>
        </w:rPr>
      </w:pPr>
      <w:r>
        <w:rPr>
          <w:sz w:val="22"/>
          <w:szCs w:val="22"/>
        </w:rPr>
        <w:t>Across the 23 practices</w:t>
      </w:r>
      <w:r w:rsidR="00646CAE">
        <w:rPr>
          <w:sz w:val="22"/>
          <w:szCs w:val="22"/>
        </w:rPr>
        <w:t xml:space="preserve"> participating in the trial</w:t>
      </w:r>
      <w:r>
        <w:rPr>
          <w:sz w:val="22"/>
          <w:szCs w:val="22"/>
        </w:rPr>
        <w:t>, 12</w:t>
      </w:r>
      <w:r w:rsidR="00694062">
        <w:rPr>
          <w:sz w:val="22"/>
          <w:szCs w:val="22"/>
        </w:rPr>
        <w:t>69</w:t>
      </w:r>
      <w:r>
        <w:rPr>
          <w:sz w:val="22"/>
          <w:szCs w:val="22"/>
        </w:rPr>
        <w:t xml:space="preserve"> participan</w:t>
      </w:r>
      <w:r w:rsidR="00322864">
        <w:rPr>
          <w:sz w:val="22"/>
          <w:szCs w:val="22"/>
        </w:rPr>
        <w:t xml:space="preserve">ts were recruited. </w:t>
      </w:r>
      <w:r w:rsidR="00F5041A">
        <w:rPr>
          <w:sz w:val="22"/>
          <w:szCs w:val="22"/>
        </w:rPr>
        <w:t>Sixty eight percent of p</w:t>
      </w:r>
      <w:r w:rsidR="00322864">
        <w:rPr>
          <w:sz w:val="22"/>
          <w:szCs w:val="22"/>
        </w:rPr>
        <w:t xml:space="preserve">articipants </w:t>
      </w:r>
      <w:r>
        <w:rPr>
          <w:sz w:val="22"/>
          <w:szCs w:val="22"/>
        </w:rPr>
        <w:t xml:space="preserve">were </w:t>
      </w:r>
      <w:r w:rsidR="00694062">
        <w:rPr>
          <w:sz w:val="22"/>
          <w:szCs w:val="22"/>
        </w:rPr>
        <w:t xml:space="preserve">female, </w:t>
      </w:r>
      <w:r w:rsidR="00F02E78">
        <w:rPr>
          <w:sz w:val="22"/>
          <w:szCs w:val="22"/>
        </w:rPr>
        <w:t xml:space="preserve">90% </w:t>
      </w:r>
      <w:r w:rsidR="00F5041A">
        <w:rPr>
          <w:sz w:val="22"/>
          <w:szCs w:val="22"/>
        </w:rPr>
        <w:t>were w</w:t>
      </w:r>
      <w:r w:rsidR="00F02E78">
        <w:rPr>
          <w:sz w:val="22"/>
          <w:szCs w:val="22"/>
        </w:rPr>
        <w:t xml:space="preserve">hite British, </w:t>
      </w:r>
      <w:r w:rsidR="00694062">
        <w:rPr>
          <w:sz w:val="22"/>
          <w:szCs w:val="22"/>
        </w:rPr>
        <w:t xml:space="preserve">with a mean age of 53.2 </w:t>
      </w:r>
      <w:r w:rsidR="00780240">
        <w:rPr>
          <w:sz w:val="22"/>
          <w:szCs w:val="22"/>
        </w:rPr>
        <w:t xml:space="preserve">years </w:t>
      </w:r>
      <w:r w:rsidR="00694062">
        <w:rPr>
          <w:sz w:val="22"/>
          <w:szCs w:val="22"/>
        </w:rPr>
        <w:t>(SD 13.8)</w:t>
      </w:r>
      <w:r>
        <w:rPr>
          <w:sz w:val="22"/>
          <w:szCs w:val="22"/>
        </w:rPr>
        <w:t xml:space="preserve"> and a mean BMI of </w:t>
      </w:r>
      <w:r w:rsidR="00694062">
        <w:rPr>
          <w:sz w:val="22"/>
          <w:szCs w:val="22"/>
        </w:rPr>
        <w:t>34.5</w:t>
      </w:r>
      <w:r w:rsidR="001A0840">
        <w:rPr>
          <w:sz w:val="22"/>
          <w:szCs w:val="22"/>
        </w:rPr>
        <w:t>kg/m</w:t>
      </w:r>
      <w:r w:rsidR="001A0840" w:rsidRPr="001A0840">
        <w:rPr>
          <w:sz w:val="22"/>
          <w:szCs w:val="22"/>
          <w:vertAlign w:val="superscript"/>
        </w:rPr>
        <w:t>2</w:t>
      </w:r>
      <w:r w:rsidR="00694062">
        <w:rPr>
          <w:sz w:val="22"/>
          <w:szCs w:val="22"/>
        </w:rPr>
        <w:t xml:space="preserve"> (SD 5.2)</w:t>
      </w:r>
      <w:r w:rsidR="00322864">
        <w:rPr>
          <w:sz w:val="22"/>
          <w:szCs w:val="22"/>
        </w:rPr>
        <w:t xml:space="preserve"> (Table 1</w:t>
      </w:r>
      <w:r w:rsidR="00322864" w:rsidRPr="00780240">
        <w:rPr>
          <w:sz w:val="22"/>
          <w:szCs w:val="22"/>
        </w:rPr>
        <w:t>)</w:t>
      </w:r>
      <w:r w:rsidR="00646CAE" w:rsidRPr="00780240">
        <w:rPr>
          <w:sz w:val="22"/>
          <w:szCs w:val="22"/>
        </w:rPr>
        <w:t xml:space="preserve">. </w:t>
      </w:r>
    </w:p>
    <w:p w14:paraId="04195E00" w14:textId="5466E36D" w:rsidR="00BA604C" w:rsidRDefault="00BA604C" w:rsidP="00BB6A81">
      <w:r w:rsidRPr="00780240">
        <w:lastRenderedPageBreak/>
        <w:t xml:space="preserve">Data on the gender and age of </w:t>
      </w:r>
      <w:r w:rsidR="0049294B">
        <w:t>invited patients</w:t>
      </w:r>
      <w:r w:rsidR="0049294B" w:rsidRPr="00780240">
        <w:t xml:space="preserve"> </w:t>
      </w:r>
      <w:r w:rsidR="009F6CED">
        <w:t>were</w:t>
      </w:r>
      <w:r w:rsidR="009F6CED" w:rsidRPr="00780240">
        <w:t xml:space="preserve"> </w:t>
      </w:r>
      <w:r w:rsidRPr="00780240">
        <w:t>provided by 17 practices (Table 2)</w:t>
      </w:r>
      <w:r w:rsidR="00780240">
        <w:t>, which recruited 72% of the total study population</w:t>
      </w:r>
      <w:r w:rsidRPr="00780240">
        <w:t xml:space="preserve">. </w:t>
      </w:r>
      <w:r w:rsidR="00580D1C">
        <w:t xml:space="preserve">Practices not providing data reported problems with computer system changes or staff oversight in not recording necessary information. </w:t>
      </w:r>
      <w:r w:rsidR="00646CAE" w:rsidRPr="00780240">
        <w:t xml:space="preserve">There were no significant differences between practices that provided data and those that did not in terms of gender, age, and </w:t>
      </w:r>
      <w:r w:rsidR="00646CAE" w:rsidRPr="0004473C">
        <w:t>baseline weight</w:t>
      </w:r>
      <w:r w:rsidR="00780240" w:rsidRPr="0004473C">
        <w:t xml:space="preserve"> of recruited participants. </w:t>
      </w:r>
      <w:r w:rsidR="00580D1C">
        <w:t xml:space="preserve">Data reported here is from the 17 practices that provided data. </w:t>
      </w:r>
      <w:r w:rsidR="00780240" w:rsidRPr="0004473C">
        <w:t>The</w:t>
      </w:r>
      <w:r w:rsidR="00580D1C">
        <w:t>se</w:t>
      </w:r>
      <w:r w:rsidR="00780240" w:rsidRPr="0004473C">
        <w:t xml:space="preserve"> practices </w:t>
      </w:r>
      <w:r w:rsidRPr="0004473C">
        <w:t xml:space="preserve">invited 13,949 </w:t>
      </w:r>
      <w:r w:rsidR="0049294B">
        <w:t>patients</w:t>
      </w:r>
      <w:r w:rsidR="0049294B" w:rsidRPr="0004473C">
        <w:t xml:space="preserve"> </w:t>
      </w:r>
      <w:r w:rsidRPr="0004473C">
        <w:t>and recruited 910 participants</w:t>
      </w:r>
      <w:r w:rsidR="00593649" w:rsidRPr="0004473C">
        <w:t xml:space="preserve"> (</w:t>
      </w:r>
      <w:r w:rsidR="00780240" w:rsidRPr="0004473C">
        <w:t>6.5%</w:t>
      </w:r>
      <w:r w:rsidR="00593649" w:rsidRPr="0004473C">
        <w:t xml:space="preserve">). </w:t>
      </w:r>
      <w:r w:rsidRPr="0004473C">
        <w:t xml:space="preserve">The invited population was 52% female. </w:t>
      </w:r>
      <w:r w:rsidR="00FF3302" w:rsidRPr="0004473C">
        <w:t>10 practices had an IMD score above the national median and 7 practices had a score below the median.</w:t>
      </w:r>
    </w:p>
    <w:p w14:paraId="5C37DFFE" w14:textId="231E46FE" w:rsidR="001250D5" w:rsidRPr="00BB6A81" w:rsidRDefault="00BB6A81" w:rsidP="006E73E8">
      <w:pPr>
        <w:spacing w:line="360" w:lineRule="auto"/>
        <w:rPr>
          <w:b/>
        </w:rPr>
      </w:pPr>
      <w:r>
        <w:rPr>
          <w:b/>
        </w:rPr>
        <w:t>Recruitment by Gender</w:t>
      </w:r>
    </w:p>
    <w:p w14:paraId="669903BD" w14:textId="77777777" w:rsidR="007F08FD" w:rsidRDefault="00FF3302" w:rsidP="006E73E8">
      <w:pPr>
        <w:spacing w:line="360" w:lineRule="auto"/>
      </w:pPr>
      <w:r>
        <w:t>Practices</w:t>
      </w:r>
      <w:r w:rsidR="006D2B2E">
        <w:t xml:space="preserve"> invited</w:t>
      </w:r>
      <w:r w:rsidR="00BA604C">
        <w:t xml:space="preserve"> </w:t>
      </w:r>
      <w:r w:rsidR="00A70147" w:rsidRPr="00A70147">
        <w:t xml:space="preserve">6,785 </w:t>
      </w:r>
      <w:r w:rsidR="00BF219E" w:rsidRPr="00F57D18">
        <w:t xml:space="preserve">men </w:t>
      </w:r>
      <w:r w:rsidR="006D2B2E">
        <w:t xml:space="preserve">and </w:t>
      </w:r>
      <w:r w:rsidR="00BF219E" w:rsidRPr="00F57D18">
        <w:t>30</w:t>
      </w:r>
      <w:r w:rsidR="00A70147">
        <w:t>0</w:t>
      </w:r>
      <w:r w:rsidR="00BF219E" w:rsidRPr="00F57D18">
        <w:t xml:space="preserve"> (4.</w:t>
      </w:r>
      <w:r w:rsidR="007F08FD">
        <w:t>4</w:t>
      </w:r>
      <w:r w:rsidR="00BF219E" w:rsidRPr="00F57D18">
        <w:t>%)</w:t>
      </w:r>
      <w:r w:rsidR="006D2B2E">
        <w:t xml:space="preserve"> </w:t>
      </w:r>
      <w:r w:rsidR="001A0840">
        <w:t>enrolled in</w:t>
      </w:r>
      <w:r w:rsidR="006D2B2E">
        <w:t xml:space="preserve"> the trial. They invited </w:t>
      </w:r>
      <w:r w:rsidR="006D2B2E" w:rsidRPr="00A70147">
        <w:t xml:space="preserve">7,164 </w:t>
      </w:r>
      <w:r w:rsidR="006D2B2E" w:rsidRPr="00F57D18">
        <w:t xml:space="preserve">women </w:t>
      </w:r>
      <w:r w:rsidR="00BF219E" w:rsidRPr="00F57D18">
        <w:t>and 6</w:t>
      </w:r>
      <w:r w:rsidR="00A70147">
        <w:t>10</w:t>
      </w:r>
      <w:r w:rsidR="00BF219E" w:rsidRPr="00F57D18">
        <w:t xml:space="preserve"> </w:t>
      </w:r>
      <w:r w:rsidR="007F08FD">
        <w:t>(8.5%)</w:t>
      </w:r>
      <w:r w:rsidR="001A0840">
        <w:t xml:space="preserve"> enrolled</w:t>
      </w:r>
      <w:r w:rsidR="007F08FD">
        <w:t>.</w:t>
      </w:r>
      <w:r w:rsidR="00BF219E" w:rsidRPr="00F57D18">
        <w:t xml:space="preserve"> </w:t>
      </w:r>
      <w:r w:rsidR="007F08FD" w:rsidRPr="00F57D18">
        <w:t xml:space="preserve">There was a significant </w:t>
      </w:r>
      <w:r w:rsidR="004C19C6">
        <w:t xml:space="preserve">association between </w:t>
      </w:r>
      <w:r w:rsidR="007F08FD" w:rsidRPr="00F57D18">
        <w:t xml:space="preserve">gender </w:t>
      </w:r>
      <w:r w:rsidR="004C19C6">
        <w:t>and enrolment</w:t>
      </w:r>
      <w:r w:rsidR="007F08FD" w:rsidRPr="00F57D18">
        <w:t xml:space="preserve"> </w:t>
      </w:r>
      <w:r w:rsidR="00CC5335">
        <w:t xml:space="preserve">[χ² </w:t>
      </w:r>
      <w:r w:rsidR="00934B2C">
        <w:t xml:space="preserve">(1) = </w:t>
      </w:r>
      <w:r w:rsidR="00A34B1E">
        <w:t>95.74</w:t>
      </w:r>
      <w:r w:rsidR="00934B2C">
        <w:t>;</w:t>
      </w:r>
      <w:r w:rsidR="007F08FD" w:rsidRPr="00F57D18">
        <w:t xml:space="preserve"> p&lt;0.001</w:t>
      </w:r>
      <w:r w:rsidR="00CC5335">
        <w:t>]</w:t>
      </w:r>
      <w:r w:rsidR="00CC5335" w:rsidRPr="00F57D18">
        <w:t xml:space="preserve">, </w:t>
      </w:r>
      <w:r w:rsidR="007F08FD" w:rsidRPr="00F57D18">
        <w:t>with women more likely than men to enrol in the trial in response to the invitation</w:t>
      </w:r>
      <w:r w:rsidR="00A34B1E">
        <w:t xml:space="preserve"> </w:t>
      </w:r>
      <w:r w:rsidR="00953FA2">
        <w:t>[OR (95%CI)</w:t>
      </w:r>
      <w:r w:rsidR="00A34B1E">
        <w:t xml:space="preserve"> </w:t>
      </w:r>
      <w:r w:rsidR="00267DD7">
        <w:t>=</w:t>
      </w:r>
      <w:r w:rsidR="00953FA2">
        <w:t>2.012 (1.75-2.32)]</w:t>
      </w:r>
      <w:r w:rsidR="007F08FD" w:rsidRPr="00F57D18">
        <w:t>.</w:t>
      </w:r>
    </w:p>
    <w:p w14:paraId="17315C27" w14:textId="77777777" w:rsidR="00260AC8" w:rsidRPr="00BB6A81" w:rsidRDefault="00260AC8" w:rsidP="006E73E8">
      <w:pPr>
        <w:spacing w:line="360" w:lineRule="auto"/>
        <w:rPr>
          <w:b/>
        </w:rPr>
      </w:pPr>
      <w:r w:rsidRPr="00BB6A81">
        <w:rPr>
          <w:b/>
        </w:rPr>
        <w:t>Recruitment by SES</w:t>
      </w:r>
    </w:p>
    <w:p w14:paraId="5BA90C9F" w14:textId="77777777" w:rsidR="00182138" w:rsidRDefault="00743CE0" w:rsidP="006E73E8">
      <w:pPr>
        <w:spacing w:line="360" w:lineRule="auto"/>
      </w:pPr>
      <w:r>
        <w:t xml:space="preserve">The </w:t>
      </w:r>
      <w:r w:rsidR="00674C7A">
        <w:t xml:space="preserve">10 </w:t>
      </w:r>
      <w:r w:rsidR="00944A27" w:rsidRPr="00F57D18">
        <w:t xml:space="preserve">practices with an IMD score above the national median </w:t>
      </w:r>
      <w:r>
        <w:t xml:space="preserve">(those in more deprived areas) </w:t>
      </w:r>
      <w:r w:rsidR="00944A27" w:rsidRPr="00F57D18">
        <w:t xml:space="preserve">invited </w:t>
      </w:r>
      <w:r w:rsidR="00674C7A">
        <w:t xml:space="preserve">7631 </w:t>
      </w:r>
      <w:r w:rsidR="003A487E" w:rsidRPr="00F57D18">
        <w:t>pa</w:t>
      </w:r>
      <w:r w:rsidR="003A487E">
        <w:t>tien</w:t>
      </w:r>
      <w:r w:rsidR="003A487E" w:rsidRPr="00F57D18">
        <w:t>ts</w:t>
      </w:r>
      <w:r w:rsidR="003A487E">
        <w:t xml:space="preserve"> </w:t>
      </w:r>
      <w:r>
        <w:t>and</w:t>
      </w:r>
      <w:r w:rsidR="00944A27" w:rsidRPr="00F57D18">
        <w:t xml:space="preserve"> recruited </w:t>
      </w:r>
      <w:r w:rsidR="00674C7A">
        <w:t>376</w:t>
      </w:r>
      <w:r w:rsidR="007F08FD">
        <w:t xml:space="preserve"> participants</w:t>
      </w:r>
      <w:r w:rsidR="00322864">
        <w:t xml:space="preserve"> (4.9%)</w:t>
      </w:r>
      <w:r>
        <w:t>.</w:t>
      </w:r>
      <w:r w:rsidR="00944A27" w:rsidRPr="00F57D18">
        <w:t xml:space="preserve"> The </w:t>
      </w:r>
      <w:r w:rsidR="00674C7A">
        <w:t>7</w:t>
      </w:r>
      <w:r w:rsidR="00944A27" w:rsidRPr="00F57D18">
        <w:t xml:space="preserve"> practices with an IMD score below the national median invited 6,</w:t>
      </w:r>
      <w:r w:rsidR="00674C7A">
        <w:t>318</w:t>
      </w:r>
      <w:r w:rsidR="00944A27" w:rsidRPr="00F57D18">
        <w:t xml:space="preserve"> </w:t>
      </w:r>
      <w:r w:rsidR="003A487E">
        <w:t>patients</w:t>
      </w:r>
      <w:r>
        <w:t xml:space="preserve"> and</w:t>
      </w:r>
      <w:r w:rsidR="00944A27" w:rsidRPr="00F57D18">
        <w:t xml:space="preserve"> recruited </w:t>
      </w:r>
      <w:r w:rsidR="00674C7A">
        <w:t>534</w:t>
      </w:r>
      <w:r w:rsidR="00944A27" w:rsidRPr="00F57D18">
        <w:t xml:space="preserve"> participants</w:t>
      </w:r>
      <w:r w:rsidR="00322864">
        <w:t xml:space="preserve"> (8.5%</w:t>
      </w:r>
      <w:r>
        <w:t>).</w:t>
      </w:r>
      <w:r w:rsidR="00944A27" w:rsidRPr="00F57D18">
        <w:t xml:space="preserve"> There was a significant </w:t>
      </w:r>
      <w:r w:rsidR="004C19C6">
        <w:t>association between</w:t>
      </w:r>
      <w:r w:rsidR="00944A27" w:rsidRPr="00F57D18">
        <w:t xml:space="preserve"> practice</w:t>
      </w:r>
      <w:r w:rsidR="004C19C6">
        <w:t xml:space="preserve"> IMD and enrolment </w:t>
      </w:r>
      <w:r w:rsidR="00B46183">
        <w:t>[</w:t>
      </w:r>
      <w:r w:rsidR="00CC5335">
        <w:t>χ²</w:t>
      </w:r>
      <w:r w:rsidR="00934B2C">
        <w:t xml:space="preserve"> (1) =</w:t>
      </w:r>
      <w:r w:rsidR="00934B2C" w:rsidRPr="00F57D18">
        <w:t xml:space="preserve"> </w:t>
      </w:r>
      <w:r w:rsidR="00934B2C">
        <w:t>61.62;</w:t>
      </w:r>
      <w:r w:rsidR="00934B2C" w:rsidRPr="00F57D18">
        <w:t xml:space="preserve"> p&lt;0.001</w:t>
      </w:r>
      <w:r w:rsidR="00B46183">
        <w:t>]</w:t>
      </w:r>
      <w:r w:rsidR="00182138">
        <w:t>.</w:t>
      </w:r>
      <w:r w:rsidR="003F4111">
        <w:t xml:space="preserve"> P</w:t>
      </w:r>
      <w:r w:rsidR="003F4111" w:rsidRPr="00F57D18">
        <w:t xml:space="preserve">atients from practices in a </w:t>
      </w:r>
      <w:r w:rsidR="006D2B2E">
        <w:t>less deprived</w:t>
      </w:r>
      <w:r w:rsidR="003F4111" w:rsidRPr="00F57D18">
        <w:t xml:space="preserve"> area </w:t>
      </w:r>
      <w:r w:rsidR="003F4111">
        <w:t xml:space="preserve">were </w:t>
      </w:r>
      <w:r w:rsidR="006D2B2E">
        <w:t>more</w:t>
      </w:r>
      <w:r w:rsidR="003F4111" w:rsidRPr="00F57D18">
        <w:t xml:space="preserve"> likely to enrol in th</w:t>
      </w:r>
      <w:r w:rsidR="003F4111">
        <w:t xml:space="preserve">e trial </w:t>
      </w:r>
      <w:r w:rsidR="006D2B2E">
        <w:t>than those from a more deprived area</w:t>
      </w:r>
      <w:r w:rsidR="003F4111">
        <w:t xml:space="preserve"> </w:t>
      </w:r>
      <w:r w:rsidR="00953FA2">
        <w:t xml:space="preserve">[OR (95%CI) = </w:t>
      </w:r>
      <w:r w:rsidR="003F4111">
        <w:t>1.</w:t>
      </w:r>
      <w:r w:rsidR="00CC5335">
        <w:t xml:space="preserve">77 </w:t>
      </w:r>
      <w:r w:rsidR="00BA604C">
        <w:t>(1.</w:t>
      </w:r>
      <w:r w:rsidR="00CC5335">
        <w:t>55</w:t>
      </w:r>
      <w:r w:rsidR="00BA604C">
        <w:t>-</w:t>
      </w:r>
      <w:r w:rsidR="00CC5335">
        <w:t>2.03</w:t>
      </w:r>
      <w:r w:rsidR="00BA604C">
        <w:t>)]</w:t>
      </w:r>
      <w:r w:rsidR="005D21D1">
        <w:t>.</w:t>
      </w:r>
    </w:p>
    <w:p w14:paraId="7F562266" w14:textId="77777777" w:rsidR="00B46183" w:rsidRPr="00BB6A81" w:rsidRDefault="00B46183" w:rsidP="006E73E8">
      <w:pPr>
        <w:spacing w:line="360" w:lineRule="auto"/>
        <w:rPr>
          <w:b/>
        </w:rPr>
      </w:pPr>
      <w:r w:rsidRPr="00BB6A81">
        <w:rPr>
          <w:b/>
        </w:rPr>
        <w:t>Recruitment by Age</w:t>
      </w:r>
    </w:p>
    <w:p w14:paraId="26729FD0" w14:textId="77777777" w:rsidR="00182138" w:rsidRDefault="001A0840" w:rsidP="006E73E8">
      <w:pPr>
        <w:spacing w:line="360" w:lineRule="auto"/>
      </w:pPr>
      <w:r>
        <w:t>Practices invited</w:t>
      </w:r>
      <w:r w:rsidR="00182138">
        <w:t xml:space="preserve"> </w:t>
      </w:r>
      <w:r w:rsidR="00B46183">
        <w:t>1</w:t>
      </w:r>
      <w:r w:rsidR="00871E48">
        <w:t>0</w:t>
      </w:r>
      <w:r w:rsidR="0049294B">
        <w:t>,</w:t>
      </w:r>
      <w:r w:rsidR="00871E48">
        <w:t>565</w:t>
      </w:r>
      <w:r w:rsidR="00B46183">
        <w:t xml:space="preserve"> </w:t>
      </w:r>
      <w:r w:rsidR="003A487E">
        <w:t>patients</w:t>
      </w:r>
      <w:r w:rsidR="00B46183">
        <w:t xml:space="preserve"> age</w:t>
      </w:r>
      <w:r w:rsidR="0049294B">
        <w:t>d</w:t>
      </w:r>
      <w:r w:rsidR="00B46183">
        <w:t xml:space="preserve"> ≥40</w:t>
      </w:r>
      <w:r w:rsidR="00267DD7">
        <w:t xml:space="preserve"> y</w:t>
      </w:r>
      <w:r w:rsidR="002E30E0">
        <w:t>ears</w:t>
      </w:r>
      <w:r w:rsidR="00B46183">
        <w:t xml:space="preserve"> were invited and 752 were recruited (7</w:t>
      </w:r>
      <w:r w:rsidR="004C19C6">
        <w:t>.0</w:t>
      </w:r>
      <w:r w:rsidR="00B46183">
        <w:t xml:space="preserve">%). 3384 </w:t>
      </w:r>
      <w:r w:rsidR="003A487E">
        <w:t>patients</w:t>
      </w:r>
      <w:r w:rsidR="00B46183">
        <w:t xml:space="preserve"> age</w:t>
      </w:r>
      <w:r w:rsidR="0049294B">
        <w:t>d</w:t>
      </w:r>
      <w:r w:rsidR="00B46183">
        <w:t xml:space="preserve"> &lt;40</w:t>
      </w:r>
      <w:r w:rsidR="0049294B">
        <w:t xml:space="preserve"> years</w:t>
      </w:r>
      <w:r w:rsidR="00B46183">
        <w:t xml:space="preserve"> were invited and 155 were recruited (4.6%).  </w:t>
      </w:r>
      <w:r w:rsidR="002E52D4">
        <w:t xml:space="preserve">There was a significant </w:t>
      </w:r>
      <w:r w:rsidR="004C19C6">
        <w:t xml:space="preserve">association between </w:t>
      </w:r>
      <w:r w:rsidR="002E52D4">
        <w:t xml:space="preserve">age </w:t>
      </w:r>
      <w:r w:rsidR="004C19C6">
        <w:t xml:space="preserve">and enrolment </w:t>
      </w:r>
      <w:r w:rsidR="002E52D4">
        <w:t>[χ² (1) = 27.15;</w:t>
      </w:r>
      <w:r w:rsidR="002E52D4" w:rsidRPr="00F57D18">
        <w:t xml:space="preserve"> p&lt;0.001</w:t>
      </w:r>
      <w:r w:rsidR="002E52D4">
        <w:t xml:space="preserve">]. </w:t>
      </w:r>
      <w:r w:rsidR="003A487E">
        <w:t>Patients</w:t>
      </w:r>
      <w:r w:rsidR="00B46183">
        <w:t xml:space="preserve"> over the age of 40 were more likely to participate than those under 40 [</w:t>
      </w:r>
      <w:r w:rsidR="002E30E0">
        <w:t>OR</w:t>
      </w:r>
      <w:r w:rsidR="00B46183">
        <w:t>= 1.</w:t>
      </w:r>
      <w:r w:rsidR="002E52D4">
        <w:t xml:space="preserve">60 </w:t>
      </w:r>
      <w:r w:rsidR="00B46183">
        <w:t>(</w:t>
      </w:r>
      <w:r w:rsidR="002E52D4">
        <w:t>1.34</w:t>
      </w:r>
      <w:r w:rsidR="00B46183">
        <w:t>-1.</w:t>
      </w:r>
      <w:r w:rsidR="002E52D4">
        <w:t>91</w:t>
      </w:r>
      <w:r w:rsidR="00B46183">
        <w:t>)].</w:t>
      </w:r>
    </w:p>
    <w:p w14:paraId="656451C6" w14:textId="77777777" w:rsidR="00781C2D" w:rsidRDefault="00781C2D" w:rsidP="006E73E8">
      <w:pPr>
        <w:spacing w:line="360" w:lineRule="auto"/>
      </w:pPr>
    </w:p>
    <w:p w14:paraId="6FF84E97" w14:textId="649EB851" w:rsidR="0020677B" w:rsidRPr="00322864" w:rsidRDefault="00BB6A81" w:rsidP="00770113">
      <w:pPr>
        <w:pStyle w:val="CommentText"/>
        <w:spacing w:line="360" w:lineRule="auto"/>
        <w:rPr>
          <w:b/>
          <w:sz w:val="22"/>
          <w:szCs w:val="22"/>
        </w:rPr>
      </w:pPr>
      <w:r>
        <w:rPr>
          <w:b/>
          <w:sz w:val="22"/>
          <w:szCs w:val="22"/>
        </w:rPr>
        <w:t>DISCUSSION</w:t>
      </w:r>
    </w:p>
    <w:p w14:paraId="7C1FBAEE" w14:textId="1D9FB0FE" w:rsidR="001429F7" w:rsidRPr="001429F7" w:rsidRDefault="001429F7" w:rsidP="00770113">
      <w:pPr>
        <w:pStyle w:val="CommentText"/>
        <w:spacing w:line="360" w:lineRule="auto"/>
        <w:rPr>
          <w:b/>
          <w:sz w:val="22"/>
          <w:szCs w:val="22"/>
        </w:rPr>
      </w:pPr>
      <w:r w:rsidRPr="001429F7">
        <w:rPr>
          <w:b/>
          <w:sz w:val="22"/>
          <w:szCs w:val="22"/>
        </w:rPr>
        <w:t>Summary</w:t>
      </w:r>
    </w:p>
    <w:p w14:paraId="23EBFC74" w14:textId="47193AD9" w:rsidR="00167A55" w:rsidRPr="00F20C8C" w:rsidRDefault="00DC0CCC" w:rsidP="00770113">
      <w:pPr>
        <w:pStyle w:val="CommentText"/>
        <w:spacing w:line="360" w:lineRule="auto"/>
        <w:rPr>
          <w:sz w:val="22"/>
          <w:szCs w:val="22"/>
        </w:rPr>
      </w:pPr>
      <w:r w:rsidRPr="00F20C8C">
        <w:rPr>
          <w:sz w:val="22"/>
          <w:szCs w:val="22"/>
        </w:rPr>
        <w:t xml:space="preserve">In the current study, men, people from more deprived areas, and those </w:t>
      </w:r>
      <w:r w:rsidR="00F02E78" w:rsidRPr="00F20C8C">
        <w:rPr>
          <w:sz w:val="22"/>
          <w:szCs w:val="22"/>
        </w:rPr>
        <w:t xml:space="preserve">aged </w:t>
      </w:r>
      <w:r w:rsidRPr="00F20C8C">
        <w:rPr>
          <w:sz w:val="22"/>
          <w:szCs w:val="22"/>
        </w:rPr>
        <w:t xml:space="preserve">under </w:t>
      </w:r>
      <w:r w:rsidR="003A3973" w:rsidRPr="00F20C8C">
        <w:rPr>
          <w:sz w:val="22"/>
          <w:szCs w:val="22"/>
        </w:rPr>
        <w:t>4</w:t>
      </w:r>
      <w:r w:rsidRPr="00F20C8C">
        <w:rPr>
          <w:sz w:val="22"/>
          <w:szCs w:val="22"/>
        </w:rPr>
        <w:t>0</w:t>
      </w:r>
      <w:r w:rsidR="00F02E78" w:rsidRPr="00F20C8C">
        <w:rPr>
          <w:sz w:val="22"/>
          <w:szCs w:val="22"/>
        </w:rPr>
        <w:t xml:space="preserve"> years</w:t>
      </w:r>
      <w:r w:rsidRPr="00F20C8C">
        <w:rPr>
          <w:sz w:val="22"/>
          <w:szCs w:val="22"/>
        </w:rPr>
        <w:t xml:space="preserve"> were less likely to enrol in this trial involving a </w:t>
      </w:r>
      <w:r w:rsidR="001A0840" w:rsidRPr="00F20C8C">
        <w:rPr>
          <w:sz w:val="22"/>
          <w:szCs w:val="22"/>
        </w:rPr>
        <w:t xml:space="preserve">commercial open-group behavioural weight loss programme </w:t>
      </w:r>
      <w:r w:rsidR="0049294B" w:rsidRPr="00F20C8C">
        <w:rPr>
          <w:sz w:val="22"/>
          <w:szCs w:val="22"/>
        </w:rPr>
        <w:t xml:space="preserve">relative to </w:t>
      </w:r>
      <w:r w:rsidRPr="00F20C8C">
        <w:rPr>
          <w:sz w:val="22"/>
          <w:szCs w:val="22"/>
        </w:rPr>
        <w:t xml:space="preserve">women, those from less deprived areas, and older </w:t>
      </w:r>
      <w:r w:rsidR="003A487E" w:rsidRPr="00F20C8C">
        <w:rPr>
          <w:sz w:val="22"/>
          <w:szCs w:val="22"/>
        </w:rPr>
        <w:t>patients</w:t>
      </w:r>
      <w:r w:rsidRPr="00F20C8C">
        <w:rPr>
          <w:sz w:val="22"/>
          <w:szCs w:val="22"/>
        </w:rPr>
        <w:t xml:space="preserve">. </w:t>
      </w:r>
      <w:r w:rsidR="00F20C8C" w:rsidRPr="00F20C8C">
        <w:rPr>
          <w:sz w:val="22"/>
          <w:szCs w:val="22"/>
        </w:rPr>
        <w:t xml:space="preserve">Although men </w:t>
      </w:r>
      <w:r w:rsidR="00F20C8C" w:rsidRPr="00F20C8C">
        <w:rPr>
          <w:sz w:val="22"/>
          <w:szCs w:val="22"/>
        </w:rPr>
        <w:lastRenderedPageBreak/>
        <w:t>were less likely than women to enrol in this trial, the proportion of men enrolling (32%) is three times that seen in audits of referral to commercial open-group behavioural weight loss programmes (~10%).</w:t>
      </w:r>
      <w:r w:rsidR="00F20C8C" w:rsidRPr="00F20C8C">
        <w:rPr>
          <w:sz w:val="22"/>
          <w:szCs w:val="22"/>
        </w:rPr>
        <w:fldChar w:fldCharType="begin" w:fldLock="1"/>
      </w:r>
      <w:r w:rsidR="00D658C8">
        <w:rPr>
          <w:sz w:val="22"/>
          <w:szCs w:val="22"/>
        </w:rPr>
        <w:instrText>ADDIN CSL_CITATION { "citationItems" : [ { "id" : "ITEM-1", "itemData" : { "DOI" : "10.1186/1471-2458-11-434", "ISBN" : "1471-2458", "ISSN" : "1471-2458", "PMID" : "21645343", "abstract" : "The scale of overweight and obesity in the UK places a considerable burden on the NHS. In some areas the NHS has formed partnerships with commercial companies to offer weight management services, but there has been little evaluation of these schemes.This study is an independent audit of the Weight Watchers NHS Referral scheme and evaluates the weight change of obese and overweight adults referred to Weight Watchers (WW) by the NHS.", "author" : [ { "dropping-particle" : "", "family" : "Ahern", "given" : "Amy L", "non-dropping-particle" : "", "parse-names" : false, "suffix" : "" }, { "dropping-particle" : "", "family" : "Olson", "given" : "Ashley D", "non-dropping-particle" : "", "parse-names" : false, "suffix" : "" }, { "dropping-particle" : "", "family" : "Aston", "given" : "Louise M", "non-dropping-particle" : "", "parse-names" : false, "suffix" : "" }, { "dropping-particle" : "", "family" : "Jebb", "given" : "Susan A", "non-dropping-particle" : "", "parse-names" : false, "suffix" : "" } ], "container-title" : "BMC public health", "id" : "ITEM-1", "issued" : { "date-parts" : [ [ "2011" ] ] }, "page" : "434", "title" : "Weight Watchers on prescription: an observational study of weight change among adults referred to Weight Watchers by the NHS.", "type" : "article-journal", "volume" : "11" }, "uris" : [ "http://www.mendeley.com/documents/?uuid=ee883b54-eb4c-4a82-b560-92fd3252ebbd" ] }, { "id" : "ITEM-2", "itemData" : { "DOI" : "10.1159/000327249", "ISBN" : "1662-4025", "ISSN" : "16624025", "PMID" : "21577018", "abstract" : "This project audited rate and extent of weight loss in a primary care/commercial weight management organisation partnership scheme.", "author" : [ { "dropping-particle" : "", "family" : "Stubbs", "given" : "R. James", "non-dropping-particle" : "", "parse-names" : false, "suffix" : "" }, { "dropping-particle" : "", "family" : "Pallister", "given" : "Carolyn", "non-dropping-particle" : "", "parse-names" : false, "suffix" : "" }, { "dropping-particle" : "", "family" : "Whybrow", "given" : "Stephen", "non-dropping-particle" : "", "parse-names" : false, "suffix" : "" }, { "dropping-particle" : "", "family" : "Avery", "given" : "Amanda", "non-dropping-particle" : "", "parse-names" : false, "suffix" : "" }, { "dropping-particle" : "", "family" : "Lavin", "given" : "Jacquie", "non-dropping-particle" : "", "parse-names" : false, "suffix" : "" } ], "container-title" : "Obesity Facts", "id" : "ITEM-2", "issued" : { "date-parts" : [ [ "2011" ] ] }, "page" : "113-120", "title" : "Weight outcomes audit for 34,271 adults referred to a primary care/commercial weight management partnership scheme", "type" : "article-journal", "volume" : "4" }, "uris" : [ "http://www.mendeley.com/documents/?uuid=0fad5f98-37a4-4b3e-9591-20448925985b" ] } ], "mendeley" : { "formattedCitation" : "(6,7)", "plainTextFormattedCitation" : "(6,7)", "previouslyFormattedCitation" : "[6,7]" }, "properties" : { "noteIndex" : 0 }, "schema" : "https://github.com/citation-style-language/schema/raw/master/csl-citation.json" }</w:instrText>
      </w:r>
      <w:r w:rsidR="00F20C8C" w:rsidRPr="00F20C8C">
        <w:rPr>
          <w:sz w:val="22"/>
          <w:szCs w:val="22"/>
        </w:rPr>
        <w:fldChar w:fldCharType="separate"/>
      </w:r>
      <w:r w:rsidR="00D658C8" w:rsidRPr="00D658C8">
        <w:rPr>
          <w:noProof/>
          <w:sz w:val="22"/>
          <w:szCs w:val="22"/>
        </w:rPr>
        <w:t>(6,7)</w:t>
      </w:r>
      <w:r w:rsidR="00F20C8C" w:rsidRPr="00F20C8C">
        <w:rPr>
          <w:sz w:val="22"/>
          <w:szCs w:val="22"/>
        </w:rPr>
        <w:fldChar w:fldCharType="end"/>
      </w:r>
      <w:r w:rsidR="00F20C8C" w:rsidRPr="00F20C8C">
        <w:rPr>
          <w:sz w:val="22"/>
          <w:szCs w:val="22"/>
        </w:rPr>
        <w:t xml:space="preserve"> The proportion of men participating in the WRAP trial (32%) is similar to that seen in the Lighten Up trial (31%) that included referral to commercial behavioural weight loss programmes in their interventions and which also recruited by letter of invitation to all eligible patients suggesting this is a generalizable figure.</w:t>
      </w:r>
      <w:r w:rsidR="00F20C8C" w:rsidRPr="00F20C8C">
        <w:rPr>
          <w:sz w:val="22"/>
          <w:szCs w:val="22"/>
        </w:rPr>
        <w:fldChar w:fldCharType="begin" w:fldLock="1"/>
      </w:r>
      <w:r w:rsidR="00D658C8">
        <w:rPr>
          <w:sz w:val="22"/>
          <w:szCs w:val="22"/>
        </w:rPr>
        <w:instrText>ADDIN CSL_CITATION { "citationItems" : [ { "id" : "ITEM-1", "itemData" : { "ISSN" : "1756-1833", "PMID" : "22053315", "abstract" : "OBJECTIVE: To assess the effectiveness of a range of weight management programmes in terms of weight loss.\n\nDESIGN: Eight arm randomised controlled trial.\n\nSETTING: Primary care trust in Birmingham, England.\n\nPARTICIPANTS: 740 obese or overweight men and women with a comorbid disorder identified from general practice records.\n\nINTERVENTIONS: Weight loss programmes of 12 weeks' duration: Weight Watchers; Slimming World; Rosemary Conley; group based, dietetics led programme; general practice one to one counselling; pharmacy led one to one counselling; choice of any of the six programmes. The comparator group was provided with 12 vouchers enabling free entrance to a local leisure (fitness) centre.\n\nMAIN OUTCOME MEASURES: The primary outcome was weight loss at programme end (12 weeks). Secondary outcomes were weight loss at one year, self reported physical activity, and percentage weight loss at programme end and one year.\n\nRESULTS: Follow-up data were available for 658 (88.9%) participants at programme end and 522 (70.5%) at one year. All programmes achieved significant weight loss from baseline to programme end (range 1.37 kg (general practice) to 4.43 kg (Weight Watchers)), and all except general practice and pharmacy provision resulted in significant weight loss at one year. At one year, only the Weight Watchers group had significantly greater weight loss than did the comparator group (2.5 (95% confidence interval 0.8 to 4.2) kg greater loss,). The commercial programmes achieved significantly greater weight loss than did the primary care programmes at programme end (mean difference 2.3 (1.3 to 3.4) kg). The primary care programmes were the most costly to provide. Participants allocated to the choice arm did not have better outcomes than those randomly allocated to a programme.\n\nCONCLUSIONS: Commercially provided weight management services are more effective and cheaper than primary care based services led by specially trained staff, which are ineffective. Trial registration Current Controlled Trials ISRCTN25072883.", "author" : [ { "dropping-particle" : "", "family" : "Jolly", "given" : "Kate", "non-dropping-particle" : "", "parse-names" : false, "suffix" : "" }, { "dropping-particle" : "", "family" : "Lewis", "given" : "Amanda", "non-dropping-particle" : "", "parse-names" : false, "suffix" : "" }, { "dropping-particle" : "", "family" : "Beach", "given" : "Jane", "non-dropping-particle" : "", "parse-names" : false, "suffix" : "" }, { "dropping-particle" : "", "family" : "Denley", "given" : "John", "non-dropping-particle" : "", "parse-names" : false, "suffix" : "" }, { "dropping-particle" : "", "family" : "Adab", "given" : "Peymane", "non-dropping-particle" : "", "parse-names" : false, "suffix" : "" }, { "dropping-particle" : "", "family" : "Deeks", "given" : "Jonathan J", "non-dropping-particle" : "", "parse-names" : false, "suffix" : "" }, { "dropping-particle" : "", "family" : "Daley", "given" : "Amanda", "non-dropping-particle" : "", "parse-names" : false, "suffix" : "" }, { "dropping-particle" : "", "family" : "Aveyard", "given" : "Paul", "non-dropping-particle" : "", "parse-names" : false, "suffix" : "" } ], "container-title" : "BMJ (Clinical research ed.)", "id" : "ITEM-1", "issued" : { "date-parts" : [ [ "2011", "1" ] ] }, "page" : "d6500", "title" : "Comparison of range of commercial or primary care led weight reduction programmes with minimal intervention control for weight loss in obesity: lighten Up randomised controlled trial.", "type" : "article-journal", "volume" : "343" }, "uris" : [ "http://www.mendeley.com/documents/?uuid=5e9b4161-67c6-4e3a-b6fe-a1d8669dc42b" ] } ], "mendeley" : { "formattedCitation" : "(12)", "plainTextFormattedCitation" : "(12)", "previouslyFormattedCitation" : "[12]" }, "properties" : { "noteIndex" : 0 }, "schema" : "https://github.com/citation-style-language/schema/raw/master/csl-citation.json" }</w:instrText>
      </w:r>
      <w:r w:rsidR="00F20C8C" w:rsidRPr="00F20C8C">
        <w:rPr>
          <w:sz w:val="22"/>
          <w:szCs w:val="22"/>
        </w:rPr>
        <w:fldChar w:fldCharType="separate"/>
      </w:r>
      <w:r w:rsidR="00D658C8" w:rsidRPr="00D658C8">
        <w:rPr>
          <w:noProof/>
          <w:sz w:val="22"/>
          <w:szCs w:val="22"/>
        </w:rPr>
        <w:t>(12)</w:t>
      </w:r>
      <w:r w:rsidR="00F20C8C" w:rsidRPr="00F20C8C">
        <w:rPr>
          <w:sz w:val="22"/>
          <w:szCs w:val="22"/>
        </w:rPr>
        <w:fldChar w:fldCharType="end"/>
      </w:r>
      <w:r w:rsidR="00F20C8C" w:rsidRPr="00F20C8C">
        <w:rPr>
          <w:sz w:val="22"/>
          <w:szCs w:val="22"/>
        </w:rPr>
        <w:t xml:space="preserve"> It is more than double that observed in a trial of the same commercial programme where the practitioner invited patients opportunistically (13%).</w:t>
      </w:r>
      <w:r w:rsidR="00F20C8C" w:rsidRPr="00F20C8C">
        <w:rPr>
          <w:sz w:val="22"/>
          <w:szCs w:val="22"/>
        </w:rPr>
        <w:fldChar w:fldCharType="begin" w:fldLock="1"/>
      </w:r>
      <w:r w:rsidR="00D658C8">
        <w:rPr>
          <w:sz w:val="22"/>
          <w:szCs w:val="22"/>
        </w:rPr>
        <w:instrText>ADDIN CSL_CITATION { "citationItems" : [ { "id" : "ITEM-1", "itemData" : { "DOI" : "S0140-6736(11)61344-5 [pii]\\r10.1016/S0140-6736(11)61344-5", "ISBN" : "1474-547X (Electronic)\\r0140-6736 (Linking)", "PMID" : "21906798", "abstract" : "BACKGROUND: The increasing prevalence of overweight and obesity needs effective approaches for weight loss in primary care and community settings. We compared weight loss with standard treatment in primary care with that achieved after referral by the primary care team to a commercial provider in the community. METHODS: In this parallel group, non-blinded, randomised controlled trial, 772 overweight and obese adults were recruited by primary care practices in Australia, Germany, and the UK. Participants were randomly assigned with a computer-generated simple randomisation sequence to receive either 12 months of standard care as defined by national treatment guidelines, or 12 months of free membership to a commercial programme (Weight Watchers), and followed up for 12 months. The primary outcome was weight change over 12 months. Analysis was by intention to treat (last observation carried forward [LOCF] and baseline observation carried forward [BOCF]) and in the population who completed the 12-month assessment. This trial is registered, number ISRCTN85485463. FINDINGS: 377 participants were assigned to the commercial programme, of whom 230 (61%) completed the 12-month assessment; and 395 were assigned to standard care, of whom 214 (54%) completed the 12-month assessment. In all analyses, participants in the commercial programme group lost twice as much weight as did those in the standard care group. Mean weight change at 12 months was -5.06 kg (SE 0.31) for those in the commercial programme versus -2.25 kg (0.21) for those receiving standard care (adjusted difference -2.77 kg, 95% CI -3.50 to -2.03) with LOCF; -4.06 kg (0.31) versus -1.77 kg (0.19; adjusted difference -2.29 kg, -2.99 to -1.58) with BOCF; and -6.65 kg (0.43) versus -3.26 kg (0.33; adjusted difference -3.16 kg, -4.23 to -2.11) for those who completed the 12-month assessment. Participants reported no adverse events related to trial participation. INTERPRETATION: Referral by a primary health-care professional to a commercial weight loss programme that provides regular weighing, advice about diet and physical activity, motivation, and group support can offer a clinically useful early intervention for weight management in overweight and obese people that can be delivered at large scale. FUNDING: Weight Watchers International, through a grant to the UK Medical Research Council.", "author" : [ { "dropping-particle" : "", "family" : "Jebb", "given" : "S A", "non-dropping-particle" : "", "parse-names" : false, "suffix" : "" }, { "dropping-particle" : "", "family" : "Ahern", "given" : "A L", "non-dropping-particle" : "", "parse-names" : false, "suffix" : "" }, { "dropping-particle" : "", "family" : "Olson", "given" : "A D", "non-dropping-particle" : "", "parse-names" : false, "suffix" : "" }, { "dropping-particle" : "", "family" : "Aston", "given" : "L M", "non-dropping-particle" : "", "parse-names" : false, "suffix" : "" }, { "dropping-particle" : "", "family" : "Holzapfel", "given" : "C", "non-dropping-particle" : "", "parse-names" : false, "suffix" : "" }, { "dropping-particle" : "", "family" : "Stoll", "given" : "J", "non-dropping-particle" : "", "parse-names" : false, "suffix" : "" }, { "dropping-particle" : "", "family" : "Amann-Gassner", "given" : "U", "non-dropping-particle" : "", "parse-names" : false, "suffix" : "" }, { "dropping-particle" : "", "family" : "Simpson", "given" : "A E", "non-dropping-particle" : "", "parse-names" : false, "suffix" : "" }, { "dropping-particle" : "", "family" : "Fuller", "given" : "N R", "non-dropping-particle" : "", "parse-names" : false, "suffix" : "" }, { "dropping-particle" : "", "family" : "Pearson", "given" : "S", "non-dropping-particle" : "", "parse-names" : false, "suffix" : "" }, { "dropping-particle" : "", "family" : "Lau", "given" : "N S", "non-dropping-particle" : "", "parse-names" : false, "suffix" : "" }, { "dropping-particle" : "", "family" : "Mander", "given" : "A P", "non-dropping-particle" : "", "parse-names" : false, "suffix" : "" }, { "dropping-particle" : "", "family" : "Hauner", "given" : "H", "non-dropping-particle" : "", "parse-names" : false, "suffix" : "" }, { "dropping-particle" : "", "family" : "Caterson", "given" : "I D", "non-dropping-particle" : "", "parse-names" : false, "suffix" : "" } ], "container-title" : "Lancet", "id" : "ITEM-1", "issue" : "9801", "issued" : { "date-parts" : [ [ "2011" ] ] }, "page" : "1485-1492", "title" : "Primary care referral to a commercial provider for weight loss treatment versus standard care: a randomised controlled trial", "type" : "article-journal", "volume" : "378" }, "uris" : [ "http://www.mendeley.com/documents/?uuid=5adc155d-7947-4d89-a576-269ea56f9513" ] } ], "mendeley" : { "formattedCitation" : "(11)", "plainTextFormattedCitation" : "(11)", "previouslyFormattedCitation" : "[11]" }, "properties" : { "noteIndex" : 0 }, "schema" : "https://github.com/citation-style-language/schema/raw/master/csl-citation.json" }</w:instrText>
      </w:r>
      <w:r w:rsidR="00F20C8C" w:rsidRPr="00F20C8C">
        <w:rPr>
          <w:sz w:val="22"/>
          <w:szCs w:val="22"/>
        </w:rPr>
        <w:fldChar w:fldCharType="separate"/>
      </w:r>
      <w:r w:rsidR="00D658C8" w:rsidRPr="00D658C8">
        <w:rPr>
          <w:noProof/>
          <w:sz w:val="22"/>
          <w:szCs w:val="22"/>
        </w:rPr>
        <w:t>(11)</w:t>
      </w:r>
      <w:r w:rsidR="00F20C8C" w:rsidRPr="00F20C8C">
        <w:rPr>
          <w:sz w:val="22"/>
          <w:szCs w:val="22"/>
        </w:rPr>
        <w:fldChar w:fldCharType="end"/>
      </w:r>
      <w:r w:rsidR="00F20C8C" w:rsidRPr="00F20C8C">
        <w:rPr>
          <w:sz w:val="22"/>
          <w:szCs w:val="22"/>
        </w:rPr>
        <w:t xml:space="preserve"> </w:t>
      </w:r>
      <w:r w:rsidR="007B2BEF">
        <w:rPr>
          <w:sz w:val="22"/>
          <w:szCs w:val="22"/>
        </w:rPr>
        <w:t xml:space="preserve">This suggests that </w:t>
      </w:r>
      <w:r w:rsidR="007B2BEF" w:rsidRPr="00D736C9">
        <w:rPr>
          <w:rFonts w:cs="Arial"/>
          <w:sz w:val="22"/>
          <w:szCs w:val="22"/>
        </w:rPr>
        <w:t>a substantial proportion of the gender inequity observed in NHS referrals and many clinical trials is a consequence of practitioner bias in offer of intervention</w:t>
      </w:r>
      <w:r w:rsidR="007B2BEF">
        <w:rPr>
          <w:rFonts w:cs="Arial"/>
          <w:sz w:val="22"/>
          <w:szCs w:val="22"/>
        </w:rPr>
        <w:t xml:space="preserve">, and could be reduced by </w:t>
      </w:r>
      <w:r w:rsidR="00580D1C">
        <w:rPr>
          <w:rFonts w:cs="Arial"/>
          <w:sz w:val="22"/>
          <w:szCs w:val="22"/>
        </w:rPr>
        <w:t xml:space="preserve">reducing </w:t>
      </w:r>
      <w:r w:rsidR="007B2BEF">
        <w:rPr>
          <w:rFonts w:cs="Arial"/>
          <w:sz w:val="22"/>
          <w:szCs w:val="22"/>
        </w:rPr>
        <w:t>this bias.</w:t>
      </w:r>
    </w:p>
    <w:p w14:paraId="7A220E4E" w14:textId="77777777" w:rsidR="00F20C8C" w:rsidRPr="001429F7" w:rsidRDefault="00F20C8C" w:rsidP="00F20C8C">
      <w:pPr>
        <w:pStyle w:val="CommentText"/>
        <w:spacing w:line="360" w:lineRule="auto"/>
        <w:rPr>
          <w:b/>
          <w:sz w:val="22"/>
          <w:szCs w:val="22"/>
        </w:rPr>
      </w:pPr>
      <w:r w:rsidRPr="001429F7">
        <w:rPr>
          <w:b/>
          <w:sz w:val="22"/>
          <w:szCs w:val="22"/>
        </w:rPr>
        <w:t xml:space="preserve">Strengths and Limitations </w:t>
      </w:r>
    </w:p>
    <w:p w14:paraId="780F523A" w14:textId="2A7FCECA" w:rsidR="00B95741" w:rsidRDefault="00F20C8C" w:rsidP="00B95741">
      <w:pPr>
        <w:pStyle w:val="CommentText"/>
        <w:spacing w:line="360" w:lineRule="auto"/>
        <w:rPr>
          <w:sz w:val="22"/>
          <w:szCs w:val="22"/>
        </w:rPr>
      </w:pPr>
      <w:r w:rsidRPr="002C2196">
        <w:rPr>
          <w:sz w:val="22"/>
          <w:szCs w:val="22"/>
        </w:rPr>
        <w:t>This unique data set allowed us to compare the demographic characteristics of people invited to participate in a commercial open-group behavioural weight loss programme</w:t>
      </w:r>
      <w:r w:rsidRPr="002C2196" w:rsidDel="007D5067">
        <w:rPr>
          <w:sz w:val="22"/>
          <w:szCs w:val="22"/>
        </w:rPr>
        <w:t xml:space="preserve"> </w:t>
      </w:r>
      <w:r w:rsidRPr="002C2196">
        <w:rPr>
          <w:sz w:val="22"/>
          <w:szCs w:val="22"/>
        </w:rPr>
        <w:t>with people who accepted that invitation. This enabled us to separate the issue of bias in who participates from bias in who is offered the opportunity to participate, and gives an important insight into potential strategies to reduce</w:t>
      </w:r>
      <w:r>
        <w:rPr>
          <w:sz w:val="22"/>
          <w:szCs w:val="22"/>
        </w:rPr>
        <w:t xml:space="preserve"> inequalities</w:t>
      </w:r>
      <w:r w:rsidRPr="002C2196">
        <w:rPr>
          <w:sz w:val="22"/>
          <w:szCs w:val="22"/>
        </w:rPr>
        <w:t xml:space="preserve">. </w:t>
      </w:r>
      <w:r>
        <w:rPr>
          <w:sz w:val="22"/>
          <w:szCs w:val="22"/>
        </w:rPr>
        <w:t xml:space="preserve">The finding that male participation can be increased through eliminating bias in the offer of the invitation is drawn from cross-study comparisons and empirical confirmation using an experimental design may be warranted. This analysis is limited by the summary nature of data available from practices about the invited population and not all practices provided data. In particular, insufficient data was provided to allow a meaningful analysis of uptake by ethnicity or BMI and further research should explore whether there are biases in uptake of referrals for these groups. It is also important to consider that uptake in the context of trial participation might differ from uptake in routine clinical practice </w:t>
      </w:r>
      <w:r w:rsidR="00B95741" w:rsidRPr="00B95741">
        <w:rPr>
          <w:sz w:val="22"/>
          <w:szCs w:val="22"/>
        </w:rPr>
        <w:t xml:space="preserve">practice and some people might be more willing to take part in the intervention outside of the trial. For example, people who work full time may find it difficult to take time off work for study visits and this might differentially effect men and younger adults. While research staff attempt to be flexible and offer </w:t>
      </w:r>
      <w:r w:rsidR="00B95741">
        <w:rPr>
          <w:sz w:val="22"/>
          <w:szCs w:val="22"/>
        </w:rPr>
        <w:t>out of hours appointments, this can still be difficult. It is also not possible to say whether the biases observed here are specific to this type of intervention or common to all weight loss interventions.</w:t>
      </w:r>
    </w:p>
    <w:p w14:paraId="5B4B42F0" w14:textId="0C8B51A7" w:rsidR="001429F7" w:rsidRPr="001429F7" w:rsidRDefault="00B95741" w:rsidP="00B95741">
      <w:pPr>
        <w:pStyle w:val="CommentText"/>
        <w:spacing w:line="360" w:lineRule="auto"/>
        <w:rPr>
          <w:b/>
        </w:rPr>
      </w:pPr>
      <w:r w:rsidDel="00B95741">
        <w:t xml:space="preserve"> </w:t>
      </w:r>
      <w:r w:rsidR="001429F7" w:rsidRPr="001429F7">
        <w:rPr>
          <w:b/>
        </w:rPr>
        <w:t>Comparison with existing literature</w:t>
      </w:r>
    </w:p>
    <w:p w14:paraId="628142A6" w14:textId="1076F935" w:rsidR="002C17A6" w:rsidRPr="00F02E78" w:rsidRDefault="00F20C8C" w:rsidP="00983092">
      <w:pPr>
        <w:spacing w:line="360" w:lineRule="auto"/>
      </w:pPr>
      <w:r w:rsidRPr="002C2196">
        <w:t>Biases in participation in weight loss interventions have previously been documented in clinical trials</w:t>
      </w:r>
      <w:r w:rsidRPr="00A35B03">
        <w:fldChar w:fldCharType="begin" w:fldLock="1"/>
      </w:r>
      <w:r w:rsidR="00D658C8">
        <w:instrText>ADDIN CSL_CITATION { "citationItems" : [ { "id" : "ITEM-1", "itemData" : { "DOI" : "10.1038/oby.2011.140", "ISSN" : "1930-739X", "PMID" : "21633403", "abstract" : "The prevalence of obesity is similar for men (32.2%) and women (35.5%). It has been assumed that lifestyle weight loss interventions have been developed and tested in predominately female samples, but this has not been systematically investigated. The aim of this review was to investigate total and ethnic male inclusion in randomized controlled trials of lifestyle interventions. PUBMED, MEDLINE, and PSYCHINFO were searched for randomized controlled trials of lifestyle weight loss interventions (N = 244 studies with a total of 95,207 participants) published in the last 10 years (1999-2009). A trial must be in English, included weight loss as an outcome, and tested a dietary, exercise, and/or other behavioral intervention for weight loss. Results revealed samples were on average 27% male vs. 73% female (P &lt; 0.001). Trials recruiting a diseased sample included a larger proportion of males than those not targeting a disease (35% vs. 21%; P &lt; 0.001). About 32% of trials used exclusively female samples, whereas only 5% used exclusively male samples (P &lt; 0.001). No studies in the past 10 years specifically targeted minority males. Ethnic males identified composed 1.8% of total participants in US studies. Only 24% of studies that underrepresented males provided a reason. Males, especially ethnic males, are underrepresented in lifestyle weight loss trials.", "author" : [ { "dropping-particle" : "", "family" : "Pagoto", "given" : "Sherry L", "non-dropping-particle" : "", "parse-names" : false, "suffix" : "" }, { "dropping-particle" : "", "family" : "Schneider", "given" : "Kristin L", "non-dropping-particle" : "", "parse-names" : false, "suffix" : "" }, { "dropping-particle" : "", "family" : "Oleski", "given" : "Jessica L", "non-dropping-particle" : "", "parse-names" : false, "suffix" : "" }, { "dropping-particle" : "", "family" : "Luciani", "given" : "Juliana M", "non-dropping-particle" : "", "parse-names" : false, "suffix" : "" }, { "dropping-particle" : "", "family" : "Bodenlos", "given" : "Jamie S", "non-dropping-particle" : "", "parse-names" : false, "suffix" : "" }, { "dropping-particle" : "", "family" : "Whited", "given" : "Matt C", "non-dropping-particle" : "", "parse-names" : false, "suffix" : "" } ], "container-title" : "Obesity (Silver Spring, Md.)", "id" : "ITEM-1", "issue" : "6", "issued" : { "date-parts" : [ [ "2012", "6" ] ] }, "page" : "1234-9", "title" : "Male inclusion in randomized controlled trials of lifestyle weight loss interventions.", "type" : "article-journal", "volume" : "20" }, "uris" : [ "http://www.mendeley.com/documents/?uuid=5d453417-cd09-4a9a-8293-999bb5dc0ad5" ] } ], "mendeley" : { "formattedCitation" : "(4)", "plainTextFormattedCitation" : "(4)", "previouslyFormattedCitation" : "[4]" }, "properties" : { "noteIndex" : 0 }, "schema" : "https://github.com/citation-style-language/schema/raw/master/csl-citation.json" }</w:instrText>
      </w:r>
      <w:r w:rsidRPr="00A35B03">
        <w:fldChar w:fldCharType="separate"/>
      </w:r>
      <w:r w:rsidR="00D658C8" w:rsidRPr="00D658C8">
        <w:rPr>
          <w:noProof/>
        </w:rPr>
        <w:t>(4)</w:t>
      </w:r>
      <w:r w:rsidRPr="00A35B03">
        <w:fldChar w:fldCharType="end"/>
      </w:r>
      <w:r w:rsidRPr="002C2196">
        <w:t xml:space="preserve"> and routine practice</w:t>
      </w:r>
      <w:r w:rsidRPr="00A35B03">
        <w:fldChar w:fldCharType="begin" w:fldLock="1"/>
      </w:r>
      <w:r w:rsidR="00D658C8">
        <w:instrText>ADDIN CSL_CITATION { "citationItems" : [ { "id" : "ITEM-1", "itemData" : { "DOI" : "10.1136/bmjopen-2014-006642", "ISSN" : "2044-6055", "PMID" : "25586371", "abstract" : "OBJECTIVES: To investigate access to weight management interventions for overweight and obese patients in primary care.\n\nSETTING: UK primary care electronic health records.\n\nPARTICIPANTS: A cohort of 91\u2005413 overweight and obese patients aged 30-100\u2005years was sampled from the Clinical Practice Research Datalink (CPRD). Patients with body mass index (BMI) values \u226525\u2005kg/m(2) recorded between 2005 and 2012 were included. BMI values were categorised using WHO criteria.\n\nINTERVENTIONS: Interventions for body weight management, including advice, referrals and prescription of antiobesity drugs, were evaluated.\n\nPRIMARY AND SECONDARY OUTCOME MEASURES: The rate of body weight management interventions and time to intervention were the main outcomes.\n\nRESULTS: Data were analysed for 91\u2005413 patients, mean age 56\u2005years, including 55\u2005094 (60%) overweight and 36\u2005319 (40%) obese, including 4099 (5%) with morbid obesity. During the study period, 90% of overweight patients had no weight management intervention recorded. Intervention was more frequent among obese patients, but 59% of patients with morbid obesity had no intervention recorded. Rates of intervention increased with BMI category. In morbid obesity, rates of intervention per 1000 patient years were: advice, 60.2 (95% CI 51.8 to 70.4); referral, 75.7 (95% CI 69.5 to 82.6) and antiobesity drugs 89.9 (95% CI 85.0 to 95.2). Weight management interventions were more often accessed by women, older patients, those with comorbidity and those in deprivation. Follow-up of body weight subsequent to interventions was infrequent.\n\nCONCLUSIONS: Limited evidence of weight management interventions in primary care electronic health records may result from poor recording of advice given, but may indicate a lack of patient access to appropriate body weight management interventions in primary care.", "author" : [ { "dropping-particle" : "", "family" : "Booth", "given" : "Helen P", "non-dropping-particle" : "", "parse-names" : false, "suffix" : "" }, { "dropping-particle" : "", "family" : "Prevost", "given" : "a Toby", "non-dropping-particle" : "", "parse-names" : false, "suffix" : "" }, { "dropping-particle" : "", "family" : "Gulliford", "given" : "Martin C", "non-dropping-particle" : "", "parse-names" : false, "suffix" : "" } ], "container-title" : "BMJ open", "id" : "ITEM-1", "issue" : "1", "issued" : { "date-parts" : [ [ "2015", "1" ] ] }, "page" : "e006642", "title" : "Access to weight reduction interventions for overweight and obese patients in UK primary care: population-based cohort study.", "type" : "article-journal", "volume" : "5" }, "uris" : [ "http://www.mendeley.com/documents/?uuid=2921f492-b101-4c7d-bf7d-cec27c593db4" ] } ], "mendeley" : { "formattedCitation" : "(5)", "plainTextFormattedCitation" : "(5)", "previouslyFormattedCitation" : "[5]" }, "properties" : { "noteIndex" : 0 }, "schema" : "https://github.com/citation-style-language/schema/raw/master/csl-citation.json" }</w:instrText>
      </w:r>
      <w:r w:rsidRPr="00A35B03">
        <w:fldChar w:fldCharType="separate"/>
      </w:r>
      <w:r w:rsidR="00D658C8" w:rsidRPr="00D658C8">
        <w:rPr>
          <w:noProof/>
        </w:rPr>
        <w:t>(5)</w:t>
      </w:r>
      <w:r w:rsidRPr="00A35B03">
        <w:fldChar w:fldCharType="end"/>
      </w:r>
      <w:r w:rsidRPr="002C2196">
        <w:t xml:space="preserve">. </w:t>
      </w:r>
      <w:r>
        <w:t xml:space="preserve"> </w:t>
      </w:r>
      <w:r w:rsidR="00F02E78" w:rsidRPr="00F02E78">
        <w:t>Concerns over low male participation in weight loss interventions has led to the development of interventions that specifically target men, through links to sports clubs and a focus on masculinity</w:t>
      </w:r>
      <w:r w:rsidR="00F02E78" w:rsidRPr="00F02E78">
        <w:fldChar w:fldCharType="begin" w:fldLock="1"/>
      </w:r>
      <w:r w:rsidR="00D658C8">
        <w:instrText>ADDIN CSL_CITATION { "citationItems" : [ { "id" : "ITEM-1", "itemData" : { "DOI" : "10.1016/S0140-6736(13)62420-4", "ISBN" : "0140-6736", "ISSN" : "1474-547X", "PMID" : "24457205", "abstract" : "BACKGROUND: The prevalence of male obesity is increasing but few men take part in weight loss programmes. We assessed the effect of a weight loss and healthy living programme on weight loss in football (soccer) fans. METHODS: We did a two-group, pragmatic, randomised controlled trial of 747 male football fans aged 35-65 years with a body-mass index (BMI) of 28 kg/m(2) or higher from 13 Scottish professional football clubs. Participants were randomly assigned with SAS (version 9\u00b72, block size 2-9) in a 1:1 ratio, stratified by club, to a weight loss programme delivered by community coaching staff in 12 sessions held every week. The intervention group started a weight loss programme within 3 weeks, and the comparison group were put on a 12 month waiting list. All participants received a weight management booklet. Primary outcome was mean difference in weight loss between groups at 12 months, expressed as absolute weight and a percentage of their baseline weight. Primary outcome assessment was masked. Analyses were based on intention to treat. The trial is registered with Current Controlled Trials, number ISRCTN32677491. FINDINGS: 374 men were allocated to the intervention group and 374 to the comparison group. 333 (89%) of the intervention group and 355 (95%) of the comparison group completed 12 month assessments. At 12 months the mean difference in weight loss between groups, adjusted for baseline weight and club, was 4\u00b794 kg (95% CI 3\u00b795-5\u00b794) and percentage weight loss, similarly adjusted, was 4\u00b736% (3\u00b764-5\u00b708), both in favour of the intervention (p&lt;0\u00b70001). Eight serious adverse events were reported, five in the intervention group (lost consciousness due to drugs for pre-existing angina, gallbladder removal, hospital admission with suspected heart attack, ruptured gut, and ruptured Achilles tendon) and three in the comparison group (transient ischaemic attack, and two deaths). Of these, two adverse events were reported as related to participation in the programme (gallbladder removal and ruptured Achilles tendon). INTERPRETATION: The FFIT programme can help a large proportion of men to lose a clinically important amount of weight; it offers one effective strategy to challenge male obesity. FUNDING: Scottish Government and The UK Football Pools funded delivery of the programme through a grant to the Scottish Premier League Trust. The National Institute for Health Research Public Health Research Programme funded the assessment (09/3010/06).", "author" : [ { "dropping-particle" : "", "family" : "Hunt", "given" : "Kate", "non-dropping-particle" : "", "parse-names" : false, "suffix" : "" }, { "dropping-particle" : "", "family" : "Wyke", "given" : "Sally", "non-dropping-particle" : "", "parse-names" : false, "suffix" : "" }, { "dropping-particle" : "", "family" : "Gray", "given" : "Cindy M.", "non-dropping-particle" : "", "parse-names" : false, "suffix" : "" }, { "dropping-particle" : "", "family" : "Anderson", "given" : "Annie S.", "non-dropping-particle" : "", "parse-names" : false, "suffix" : "" }, { "dropping-particle" : "", "family" : "Brady", "given" : "Adrian", "non-dropping-particle" : "", "parse-names" : false, "suffix" : "" }, { "dropping-particle" : "", "family" : "Bunn", "given" : "Christopher", "non-dropping-particle" : "", "parse-names" : false, "suffix" : "" }, { "dropping-particle" : "", "family" : "Donnan", "given" : "Peter T.", "non-dropping-particle" : "", "parse-names" : false, "suffix" : "" }, { "dropping-particle" : "", "family" : "Fenwick", "given" : "Elisabeth", "non-dropping-particle" : "", "parse-names" : false, "suffix" : "" }, { "dropping-particle" : "", "family" : "Grieve", "given" : "Eleanor", "non-dropping-particle" : "", "parse-names" : false, "suffix" : "" }, { "dropping-particle" : "", "family" : "Leishman", "given" : "Jim", "non-dropping-particle" : "", "parse-names" : false, "suffix" : "" }, { "dropping-particle" : "", "family" : "Miller", "given" : "Euan", "non-dropping-particle" : "", "parse-names" : false, "suffix" : "" }, { "dropping-particle" : "", "family" : "Mutrie", "given" : "Nanette", "non-dropping-particle" : "", "parse-names" : false, "suffix" : "" }, { "dropping-particle" : "", "family" : "Rauchhaus", "given" : "Petra", "non-dropping-particle" : "", "parse-names" : false, "suffix" : "" }, { "dropping-particle" : "", "family" : "White", "given" : "Alan", "non-dropping-particle" : "", "parse-names" : false, "suffix" : "" }, { "dropping-particle" : "", "family" : "Treweek", "given" : "Shaun", "non-dropping-particle" : "", "parse-names" : false, "suffix" : "" } ], "container-title" : "Lancet", "id" : "ITEM-1", "issue" : "9924", "issued" : { "date-parts" : [ [ "2014", "4", "5" ] ] }, "page" : "1211-21", "title" : "A gender-sensitised weight loss and healthy living programme for overweight and obese men delivered by Scottish Premier League football clubs (FFIT): a pragmatic randomised controlled trial.", "type" : "article-journal", "volume" : "383" }, "uris" : [ "http://www.mendeley.com/documents/?uuid=4c649de7-787a-4b4f-87d7-1fc9b5d4137e" ] } ], "mendeley" : { "formattedCitation" : "(15)", "plainTextFormattedCitation" : "(15)", "previouslyFormattedCitation" : "[15]" }, "properties" : { "noteIndex" : 0 }, "schema" : "https://github.com/citation-style-language/schema/raw/master/csl-citation.json" }</w:instrText>
      </w:r>
      <w:r w:rsidR="00F02E78" w:rsidRPr="00F02E78">
        <w:fldChar w:fldCharType="separate"/>
      </w:r>
      <w:r w:rsidR="00D658C8" w:rsidRPr="00D658C8">
        <w:rPr>
          <w:noProof/>
        </w:rPr>
        <w:t>(15)</w:t>
      </w:r>
      <w:r w:rsidR="00F02E78" w:rsidRPr="00F02E78">
        <w:fldChar w:fldCharType="end"/>
      </w:r>
      <w:r w:rsidR="00F02E78" w:rsidRPr="00F02E78">
        <w:t xml:space="preserve">, as well as the provision of men-only groups </w:t>
      </w:r>
      <w:r w:rsidR="00A62487">
        <w:t>within</w:t>
      </w:r>
      <w:r w:rsidR="00F02E78" w:rsidRPr="00F02E78">
        <w:t xml:space="preserve"> existing </w:t>
      </w:r>
      <w:r w:rsidR="00F02E78" w:rsidRPr="00F02E78">
        <w:lastRenderedPageBreak/>
        <w:t>programmes</w:t>
      </w:r>
      <w:r w:rsidR="00F02E78" w:rsidRPr="00F02E78">
        <w:fldChar w:fldCharType="begin" w:fldLock="1"/>
      </w:r>
      <w:r w:rsidR="00D658C8">
        <w:instrText>ADDIN CSL_CITATION { "citationItems" : [ { "id" : "ITEM-1", "itemData" : { "ISSN" : "1756-1833", "PMID" : "22053315", "abstract" : "OBJECTIVE: To assess the effectiveness of a range of weight management programmes in terms of weight loss.\n\nDESIGN: Eight arm randomised controlled trial.\n\nSETTING: Primary care trust in Birmingham, England.\n\nPARTICIPANTS: 740 obese or overweight men and women with a comorbid disorder identified from general practice records.\n\nINTERVENTIONS: Weight loss programmes of 12 weeks' duration: Weight Watchers; Slimming World; Rosemary Conley; group based, dietetics led programme; general practice one to one counselling; pharmacy led one to one counselling; choice of any of the six programmes. The comparator group was provided with 12 vouchers enabling free entrance to a local leisure (fitness) centre.\n\nMAIN OUTCOME MEASURES: The primary outcome was weight loss at programme end (12 weeks). Secondary outcomes were weight loss at one year, self reported physical activity, and percentage weight loss at programme end and one year.\n\nRESULTS: Follow-up data were available for 658 (88.9%) participants at programme end and 522 (70.5%) at one year. All programmes achieved significant weight loss from baseline to programme end (range 1.37 kg (general practice) to 4.43 kg (Weight Watchers)), and all except general practice and pharmacy provision resulted in significant weight loss at one year. At one year, only the Weight Watchers group had significantly greater weight loss than did the comparator group (2.5 (95% confidence interval 0.8 to 4.2) kg greater loss,). The commercial programmes achieved significantly greater weight loss than did the primary care programmes at programme end (mean difference 2.3 (1.3 to 3.4) kg). The primary care programmes were the most costly to provide. Participants allocated to the choice arm did not have better outcomes than those randomly allocated to a programme.\n\nCONCLUSIONS: Commercially provided weight management services are more effective and cheaper than primary care based services led by specially trained staff, which are ineffective. Trial registration Current Controlled Trials ISRCTN25072883.", "author" : [ { "dropping-particle" : "", "family" : "Jolly", "given" : "Kate", "non-dropping-particle" : "", "parse-names" : false, "suffix" : "" }, { "dropping-particle" : "", "family" : "Lewis", "given" : "Amanda", "non-dropping-particle" : "", "parse-names" : false, "suffix" : "" }, { "dropping-particle" : "", "family" : "Beach", "given" : "Jane", "non-dropping-particle" : "", "parse-names" : false, "suffix" : "" }, { "dropping-particle" : "", "family" : "Denley", "given" : "John", "non-dropping-particle" : "", "parse-names" : false, "suffix" : "" }, { "dropping-particle" : "", "family" : "Adab", "given" : "Peymane", "non-dropping-particle" : "", "parse-names" : false, "suffix" : "" }, { "dropping-particle" : "", "family" : "Deeks", "given" : "Jonathan J", "non-dropping-particle" : "", "parse-names" : false, "suffix" : "" }, { "dropping-particle" : "", "family" : "Daley", "given" : "Amanda", "non-dropping-particle" : "", "parse-names" : false, "suffix" : "" }, { "dropping-particle" : "", "family" : "Aveyard", "given" : "Paul", "non-dropping-particle" : "", "parse-names" : false, "suffix" : "" } ], "container-title" : "BMJ (Clinical research ed.)", "id" : "ITEM-1", "issued" : { "date-parts" : [ [ "2011", "1" ] ] }, "page" : "d6500", "title" : "Comparison of range of commercial or primary care led weight reduction programmes with minimal intervention control for weight loss in obesity: lighten Up randomised controlled trial.", "type" : "article-journal", "volume" : "343" }, "uris" : [ "http://www.mendeley.com/documents/?uuid=5e9b4161-67c6-4e3a-b6fe-a1d8669dc42b" ] } ], "mendeley" : { "formattedCitation" : "(12)", "plainTextFormattedCitation" : "(12)", "previouslyFormattedCitation" : "[12]" }, "properties" : { "noteIndex" : 0 }, "schema" : "https://github.com/citation-style-language/schema/raw/master/csl-citation.json" }</w:instrText>
      </w:r>
      <w:r w:rsidR="00F02E78" w:rsidRPr="00F02E78">
        <w:fldChar w:fldCharType="separate"/>
      </w:r>
      <w:r w:rsidR="00D658C8" w:rsidRPr="00D658C8">
        <w:rPr>
          <w:noProof/>
        </w:rPr>
        <w:t>(12)</w:t>
      </w:r>
      <w:r w:rsidR="00F02E78" w:rsidRPr="00F02E78">
        <w:fldChar w:fldCharType="end"/>
      </w:r>
      <w:r w:rsidR="00F02E78" w:rsidRPr="00F02E78">
        <w:t xml:space="preserve">. There is growing evidence that </w:t>
      </w:r>
      <w:r w:rsidR="001B1611">
        <w:t xml:space="preserve">some of </w:t>
      </w:r>
      <w:r w:rsidR="00F02E78" w:rsidRPr="00F02E78">
        <w:t xml:space="preserve">these interventions can achieve weight loss, although there is not yet any evidence on whether they are more effective than existing interventions that are </w:t>
      </w:r>
      <w:r w:rsidR="00A62487">
        <w:t xml:space="preserve">known to be </w:t>
      </w:r>
      <w:r w:rsidR="00F02E78" w:rsidRPr="00F02E78">
        <w:t>effective in both men and women (or indeed whether these new interventions</w:t>
      </w:r>
      <w:r w:rsidR="00452B4E">
        <w:t>, often sport-related,</w:t>
      </w:r>
      <w:r w:rsidR="00F02E78" w:rsidRPr="00F02E78">
        <w:t xml:space="preserve"> targeted at men could also be effective for women)</w:t>
      </w:r>
      <w:r w:rsidR="00F02E78" w:rsidRPr="00F02E78">
        <w:fldChar w:fldCharType="begin" w:fldLock="1"/>
      </w:r>
      <w:r w:rsidR="00D658C8">
        <w:instrText>ADDIN CSL_CITATION { "citationItems" : [ { "id" : "ITEM-1", "itemData" : { "abstract" : "Background: Obesity increases the risk of many serious illnesses such as coronary heart disease, type 2 diabetes and osteoarthritis. More men than women are overweight or obese in the UK but men are less likely to perceive their weight as a problem and less likely to engage with weight-loss services. Obesity increases the risk of many serious illnesses such as coronary heart disease, type 2 diabetes and osteoarthritis. More men than women are overweight or obese in the UK but men are less likely to perceive their weight as a problem and less likely to engage with weight-loss services. Objective: The aim of this study was to systematically review evidence-based management strategies for treating obesity in men and investigate how to engage men in obesity services by integrating the quantitative, qualitative and health economic evidence base. The aim of this study was to systematically review evidence-based management strategies for treating obesity in men and investigate how to engage men in obesity services by integrating the quantitative, qualitative and health economic evidence base. Data sources: Electronic databases including MEDLINE, EMBASE, PsycINFO, the Cochrane Central Register of Controlled Trials, the Database of Abstracts of Reviews of Effects and the NHS Economic Evaluation Database were searched from inception to January 2012, with a limited update search in July 2012. Subject-specific websites, reference lists and professional health-care and commercial organisations were also consulted. Electronic databases including MEDLINE, EMBASE, PsycINFO, the Cochrane Central Register of Controlled Trials, the Database of Abstracts of Reviews of Effects and the NHS Economic Evaluation Database were searched from inception to January 2012, with a limited update search in July 2012. Subject-specific websites, reference lists and professional health-care and commercial organisations were also consulted. Review methods: Six systematic reviews were conducted to consider the clinical effectiveness, cost-effectiveness and qualitative evidence on interventions for treating obesity in men, and men in contrast to women, and the effectiveness of interventions to engage men in their weight reduction. Randomised controlled trials (RCTs) with follow-up data of at least 1 year, or any study design and length of follow-up for UK studies, were included. Qualitative and mixed-method studies linked to RCTs and non-randomised intervention studies, and UK-based, men-only\u2026", "author" : [ { "dropping-particle" : "", "family" : "Robertson", "given" : "C.", "non-dropping-particle" : "", "parse-names" : false, "suffix" : "" }, { "dropping-particle" : "", "family" : "Archibald", "given" : "D.", "non-dropping-particle" : "", "parse-names" : false, "suffix" : "" }, { "dropping-particle" : "", "family" : "Avenell", "given" : "A.", "non-dropping-particle" : "", "parse-names" : false, "suffix" : "" }, { "dropping-particle" : "", "family" : "Douglas", "given" : "F.", "non-dropping-particle" : "", "parse-names" : false, "suffix" : "" }, { "dropping-particle" : "", "family" : "Hoddinott", "given" : "P.", "non-dropping-particle" : "", "parse-names" : false, "suffix" : "" }, { "dropping-particle" : "", "family" : "Teijlingen", "given" : "E.", "non-dropping-particle" : "van", "parse-names" : false, "suffix" : "" }, { "dropping-particle" : "", "family" : "Boyers", "given" : "D.", "non-dropping-particle" : "", "parse-names" : false, "suffix" : "" }, { "dropping-particle" : "", "family" : "Stewart", "given" : "F.", "non-dropping-particle" : "", "parse-names" : false, "suffix" : "" }, { "dropping-particle" : "", "family" : "Boachie", "given" : "C.", "non-dropping-particle" : "", "parse-names" : false, "suffix" : "" }, { "dropping-particle" : "", "family" : "Fioratou", "given" : "E.", "non-dropping-particle" : "", "parse-names" : false, "suffix" : "" }, { "dropping-particle" : "", "family" : "Wilkins", "given" : "D.", "non-dropping-particle" : "", "parse-names" : false, "suffix" : "" }, { "dropping-particle" : "", "family" : "Street", "given" : "T.", "non-dropping-particle" : "", "parse-names" : false, "suffix" : "" }, { "dropping-particle" : "", "family" : "Carroll", "given" : "P.", "non-dropping-particle" : "", "parse-names" : false, "suffix" : "" }, { "dropping-particle" : "", "family" : "Fowler", "given" : "C.", "non-dropping-particle" : "", "parse-names" : false, "suffix" : "" } ], "container-title" : "Health Technol Assess", "id" : "ITEM-1", "issue" : "35", "issued" : { "date-parts" : [ [ "2014" ] ] }, "title" : "Systematic reviews of and integrated report on the quantitative, qualitative and economic evidence base for the management of obesity in men", "type" : "article-journal", "volume" : "18" }, "uris" : [ "http://www.mendeley.com/documents/?uuid=b94d6d7d-480d-4005-b35a-b6e4a17264a0" ] } ], "mendeley" : { "formattedCitation" : "(16)", "plainTextFormattedCitation" : "(16)", "previouslyFormattedCitation" : "[16]" }, "properties" : { "noteIndex" : 0 }, "schema" : "https://github.com/citation-style-language/schema/raw/master/csl-citation.json" }</w:instrText>
      </w:r>
      <w:r w:rsidR="00F02E78" w:rsidRPr="00F02E78">
        <w:fldChar w:fldCharType="separate"/>
      </w:r>
      <w:r w:rsidR="00D658C8" w:rsidRPr="00D658C8">
        <w:rPr>
          <w:noProof/>
        </w:rPr>
        <w:t>(16)</w:t>
      </w:r>
      <w:r w:rsidR="00F02E78" w:rsidRPr="00F02E78">
        <w:fldChar w:fldCharType="end"/>
      </w:r>
      <w:r w:rsidR="00F02E78" w:rsidRPr="00F02E78">
        <w:t xml:space="preserve">. </w:t>
      </w:r>
      <w:r w:rsidR="001B1611">
        <w:t xml:space="preserve">Men who do participate in commercial weight loss interventions lose as much, if not more, weight than women. </w:t>
      </w:r>
      <w:r w:rsidR="00F02E78" w:rsidRPr="00F02E78">
        <w:t xml:space="preserve">There is good reason to suppose that many men will find </w:t>
      </w:r>
      <w:r w:rsidR="00A62487">
        <w:t xml:space="preserve">men-specific </w:t>
      </w:r>
      <w:r w:rsidR="00F02E78" w:rsidRPr="00F02E78">
        <w:t xml:space="preserve">interventions more appealing and will be more likely to participate in these than in more traditional commercial </w:t>
      </w:r>
      <w:r w:rsidR="00D73560">
        <w:t xml:space="preserve">behavioural </w:t>
      </w:r>
      <w:r w:rsidR="00983092">
        <w:t>weight loss programmes</w:t>
      </w:r>
      <w:r w:rsidR="00F02E78" w:rsidRPr="00F02E78">
        <w:fldChar w:fldCharType="begin" w:fldLock="1"/>
      </w:r>
      <w:r w:rsidR="00D658C8">
        <w:instrText>ADDIN CSL_CITATION { "citationItems" : [ { "id" : "ITEM-1", "itemData" : { "DOI" : "10.1186/1471-2458-14-50", "ISBN" : "1471-2458", "ISSN" : "1471-2458", "PMID" : "24443845", "abstract" : "BACKGROUND: The prevalence of obesity in men in the UK is amongst the highest in Europe but men are less likely than women to use existing weight loss programmes. Developing weight management programmes which are appealing and acceptable to men is a public health priority. Football Fans in Training (FFIT), a men-only weight management programme delivered to groups of men at top professional football clubs, encourages men to lose weight by working with, not against, cultural ideals of masculinity. To inform further development of interventions in football club settings, the current study explored who is attracted to FFIT and why overweight/obese men choose to take part.\\n\\nMETHODS: A mixed-methods study analysing baseline data on 747 men aged 35-65\u00a0years with BMI\u2009\u2265\u200928\u00a0kg/m2 who were participants in a randomised controlled trial of FFIT, and data from 13 focus group discussions with 63 men who had attended the programme.\\n\\nRESULTS: Objectively-measured mean body mass index was 35.3\u00a0kg/m2 (sd 4.9). Overall over 90% of participants were at very high or extremely high risk of future ill-health. Around three-quarters of participants in all age groups were at 'very high' risk of type 2 diabetes, hypertension and cardiovascular disease (72%, 73% and 80% of men aged 35-44, 45-54 and 55-64\u00a0years respectively). A further 21%, 16% and 13% were at 'extremely high' risk. Qualitative data revealed that the powerful 'draw' of the football club attracted men otherwise reluctant to attend existing weight management programmes. The location and style of delivery of early FFIT sessions fostered team spirit; men appreciated being with others 'like them' and the opportunity to undertake weight management in circumstances that enhanced physical and symbolic proximity to something they valued highly, the football club.\\n\\nCONCLUSIONS: The delivery of a weight management intervention via professional football clubs attracted men at high risk of ill-health. The setting enabled men to join a weight management programme in circumstances that felt 'right' rather than threatening to themselves as men. FFIT is an example of how to facilitate health promotion activities in a way that is consistent with, rather than challenging to, common ideals of masculinity.", "author" : [ { "dropping-particle" : "", "family" : "Hunt", "given" : "Kate", "non-dropping-particle" : "", "parse-names" : false, "suffix" : "" }, { "dropping-particle" : "", "family" : "Gray", "given" : "Cindy M", "non-dropping-particle" : "", "parse-names" : false, "suffix" : "" }, { "dropping-particle" : "", "family" : "Maclean", "given" : "Alice", "non-dropping-particle" : "", "parse-names" : false, "suffix" : "" }, { "dropping-particle" : "", "family" : "Smillie", "given" : "Susan", "non-dropping-particle" : "", "parse-names" : false, "suffix" : "" }, { "dropping-particle" : "", "family" : "Bunn", "given" : "Christopher", "non-dropping-particle" : "", "parse-names" : false, "suffix" : "" }, { "dropping-particle" : "", "family" : "Wyke", "given" : "Sally", "non-dropping-particle" : "", "parse-names" : false, "suffix" : "" } ], "container-title" : "BMC public health", "id" : "ITEM-1", "issued" : { "date-parts" : [ [ "2014" ] ] }, "page" : "50", "title" : "Do weight management programmes delivered at professional football clubs attract and engage high risk men? A mixed-methods study.", "type" : "article-journal", "volume" : "14" }, "uris" : [ "http://www.mendeley.com/documents/?uuid=c659e166-4cdf-4b86-b448-c9444fb7885e" ] } ], "mendeley" : { "formattedCitation" : "(17)", "plainTextFormattedCitation" : "(17)", "previouslyFormattedCitation" : "[17]" }, "properties" : { "noteIndex" : 0 }, "schema" : "https://github.com/citation-style-language/schema/raw/master/csl-citation.json" }</w:instrText>
      </w:r>
      <w:r w:rsidR="00F02E78" w:rsidRPr="00F02E78">
        <w:fldChar w:fldCharType="separate"/>
      </w:r>
      <w:r w:rsidR="00D658C8" w:rsidRPr="00D658C8">
        <w:rPr>
          <w:noProof/>
        </w:rPr>
        <w:t>(17)</w:t>
      </w:r>
      <w:r w:rsidR="00F02E78" w:rsidRPr="00F02E78">
        <w:fldChar w:fldCharType="end"/>
      </w:r>
      <w:r w:rsidR="00F02E78" w:rsidRPr="00F02E78">
        <w:t xml:space="preserve">. However, not all men require this </w:t>
      </w:r>
      <w:r w:rsidR="00F7154E">
        <w:t>‘masculine’</w:t>
      </w:r>
      <w:r w:rsidR="00F02E78" w:rsidRPr="00F02E78">
        <w:t xml:space="preserve"> focus, and many men can and do lose weight through </w:t>
      </w:r>
      <w:r w:rsidR="00827898">
        <w:t xml:space="preserve">non-gender specific </w:t>
      </w:r>
      <w:r w:rsidR="00F02E78" w:rsidRPr="00F02E78">
        <w:t>interventions</w:t>
      </w:r>
      <w:r w:rsidR="007D5067">
        <w:t>.</w:t>
      </w:r>
      <w:r w:rsidR="00F02E78" w:rsidRPr="00F02E78">
        <w:fldChar w:fldCharType="begin" w:fldLock="1"/>
      </w:r>
      <w:r w:rsidR="00D658C8">
        <w:instrText>ADDIN CSL_CITATION { "citationItems" : [ { "id" : "ITEM-1", "itemData" : { "abstract" : "Background: Obesity increases the risk of many serious illnesses such as coronary heart disease, type 2 diabetes and osteoarthritis. More men than women are overweight or obese in the UK but men are less likely to perceive their weight as a problem and less likely to engage with weight-loss services. Obesity increases the risk of many serious illnesses such as coronary heart disease, type 2 diabetes and osteoarthritis. More men than women are overweight or obese in the UK but men are less likely to perceive their weight as a problem and less likely to engage with weight-loss services. Objective: The aim of this study was to systematically review evidence-based management strategies for treating obesity in men and investigate how to engage men in obesity services by integrating the quantitative, qualitative and health economic evidence base. The aim of this study was to systematically review evidence-based management strategies for treating obesity in men and investigate how to engage men in obesity services by integrating the quantitative, qualitative and health economic evidence base. Data sources: Electronic databases including MEDLINE, EMBASE, PsycINFO, the Cochrane Central Register of Controlled Trials, the Database of Abstracts of Reviews of Effects and the NHS Economic Evaluation Database were searched from inception to January 2012, with a limited update search in July 2012. Subject-specific websites, reference lists and professional health-care and commercial organisations were also consulted. Electronic databases including MEDLINE, EMBASE, PsycINFO, the Cochrane Central Register of Controlled Trials, the Database of Abstracts of Reviews of Effects and the NHS Economic Evaluation Database were searched from inception to January 2012, with a limited update search in July 2012. Subject-specific websites, reference lists and professional health-care and commercial organisations were also consulted. Review methods: Six systematic reviews were conducted to consider the clinical effectiveness, cost-effectiveness and qualitative evidence on interventions for treating obesity in men, and men in contrast to women, and the effectiveness of interventions to engage men in their weight reduction. Randomised controlled trials (RCTs) with follow-up data of at least 1 year, or any study design and length of follow-up for UK studies, were included. Qualitative and mixed-method studies linked to RCTs and non-randomised intervention studies, and UK-based, men-only\u2026", "author" : [ { "dropping-particle" : "", "family" : "Robertson", "given" : "C.", "non-dropping-particle" : "", "parse-names" : false, "suffix" : "" }, { "dropping-particle" : "", "family" : "Archibald", "given" : "D.", "non-dropping-particle" : "", "parse-names" : false, "suffix" : "" }, { "dropping-particle" : "", "family" : "Avenell", "given" : "A.", "non-dropping-particle" : "", "parse-names" : false, "suffix" : "" }, { "dropping-particle" : "", "family" : "Douglas", "given" : "F.", "non-dropping-particle" : "", "parse-names" : false, "suffix" : "" }, { "dropping-particle" : "", "family" : "Hoddinott", "given" : "P.", "non-dropping-particle" : "", "parse-names" : false, "suffix" : "" }, { "dropping-particle" : "", "family" : "Teijlingen", "given" : "E.", "non-dropping-particle" : "van", "parse-names" : false, "suffix" : "" }, { "dropping-particle" : "", "family" : "Boyers", "given" : "D.", "non-dropping-particle" : "", "parse-names" : false, "suffix" : "" }, { "dropping-particle" : "", "family" : "Stewart", "given" : "F.", "non-dropping-particle" : "", "parse-names" : false, "suffix" : "" }, { "dropping-particle" : "", "family" : "Boachie", "given" : "C.", "non-dropping-particle" : "", "parse-names" : false, "suffix" : "" }, { "dropping-particle" : "", "family" : "Fioratou", "given" : "E.", "non-dropping-particle" : "", "parse-names" : false, "suffix" : "" }, { "dropping-particle" : "", "family" : "Wilkins", "given" : "D.", "non-dropping-particle" : "", "parse-names" : false, "suffix" : "" }, { "dropping-particle" : "", "family" : "Street", "given" : "T.", "non-dropping-particle" : "", "parse-names" : false, "suffix" : "" }, { "dropping-particle" : "", "family" : "Carroll", "given" : "P.", "non-dropping-particle" : "", "parse-names" : false, "suffix" : "" }, { "dropping-particle" : "", "family" : "Fowler", "given" : "C.", "non-dropping-particle" : "", "parse-names" : false, "suffix" : "" } ], "container-title" : "Health Technol Assess", "id" : "ITEM-1", "issue" : "35", "issued" : { "date-parts" : [ [ "2014" ] ] }, "title" : "Systematic reviews of and integrated report on the quantitative, qualitative and economic evidence base for the management of obesity in men", "type" : "article-journal", "volume" : "18" }, "uris" : [ "http://www.mendeley.com/documents/?uuid=b94d6d7d-480d-4005-b35a-b6e4a17264a0" ] } ], "mendeley" : { "formattedCitation" : "(16)", "plainTextFormattedCitation" : "(16)", "previouslyFormattedCitation" : "[16]" }, "properties" : { "noteIndex" : 0 }, "schema" : "https://github.com/citation-style-language/schema/raw/master/csl-citation.json" }</w:instrText>
      </w:r>
      <w:r w:rsidR="00F02E78" w:rsidRPr="00F02E78">
        <w:fldChar w:fldCharType="separate"/>
      </w:r>
      <w:r w:rsidR="00D658C8" w:rsidRPr="00D658C8">
        <w:rPr>
          <w:noProof/>
        </w:rPr>
        <w:t>(16)</w:t>
      </w:r>
      <w:r w:rsidR="00F02E78" w:rsidRPr="00F02E78">
        <w:fldChar w:fldCharType="end"/>
      </w:r>
      <w:r w:rsidR="00F02E78">
        <w:t xml:space="preserve"> </w:t>
      </w:r>
      <w:r w:rsidR="007D5067">
        <w:t>A</w:t>
      </w:r>
      <w:r w:rsidR="001A0840">
        <w:t xml:space="preserve">n invitation from the GP </w:t>
      </w:r>
      <w:r w:rsidR="00452B4E">
        <w:t>may</w:t>
      </w:r>
      <w:r w:rsidR="007D5067">
        <w:t xml:space="preserve"> also</w:t>
      </w:r>
      <w:r w:rsidR="001A0840">
        <w:t xml:space="preserve"> legitim</w:t>
      </w:r>
      <w:r w:rsidR="007D6E4B">
        <w:t>ise</w:t>
      </w:r>
      <w:r w:rsidR="001A0840">
        <w:t xml:space="preserve"> attendance at a commercial open-group behavioural weight loss programme for some men who had previously viewed these as a female domain.</w:t>
      </w:r>
      <w:r w:rsidR="001A0840">
        <w:fldChar w:fldCharType="begin" w:fldLock="1"/>
      </w:r>
      <w:r w:rsidR="00D658C8">
        <w:instrText>ADDIN CSL_CITATION { "citationItems" : [ { "id" : "ITEM-1", "itemData" : { "author" : [ { "dropping-particle" : "", "family" : "Allen", "given" : "Jodie T", "non-dropping-particle" : "", "parse-names" : false, "suffix" : "" }, { "dropping-particle" : "", "family" : "Cohn", "given" : "Simon R", "non-dropping-particle" : "", "parse-names" : false, "suffix" : "" }, { "dropping-particle" : "", "family" : "Ahern", "given" : "Amy L", "non-dropping-particle" : "", "parse-names" : false, "suffix" : "" } ], "container-title" : "British Journal of General Practice", "id" : "ITEM-1", "issued" : { "date-parts" : [ [ "2015" ] ] }, "title" : "The impact of primary care referral on experience of a commercial weight loss programme.", "type" : "article-journal", "volume" : "in press" }, "uris" : [ "http://www.mendeley.com/documents/?uuid=f9c726bb-36e3-4028-afe2-1faab4bda039" ] } ], "mendeley" : { "formattedCitation" : "(8)", "plainTextFormattedCitation" : "(8)", "previouslyFormattedCitation" : "[8]" }, "properties" : { "noteIndex" : 0 }, "schema" : "https://github.com/citation-style-language/schema/raw/master/csl-citation.json" }</w:instrText>
      </w:r>
      <w:r w:rsidR="001A0840">
        <w:fldChar w:fldCharType="separate"/>
      </w:r>
      <w:r w:rsidR="00D658C8" w:rsidRPr="00D658C8">
        <w:rPr>
          <w:noProof/>
        </w:rPr>
        <w:t>(8)</w:t>
      </w:r>
      <w:r w:rsidR="001A0840">
        <w:fldChar w:fldCharType="end"/>
      </w:r>
      <w:r w:rsidR="001A0840">
        <w:t xml:space="preserve"> </w:t>
      </w:r>
      <w:r w:rsidR="00983092">
        <w:t xml:space="preserve">Providing alternative provision to the commercial </w:t>
      </w:r>
      <w:r w:rsidR="003526B4">
        <w:t xml:space="preserve">behavioural </w:t>
      </w:r>
      <w:r w:rsidR="00983092">
        <w:t xml:space="preserve">weight loss programmes </w:t>
      </w:r>
      <w:r w:rsidR="00452B4E">
        <w:t>may be</w:t>
      </w:r>
      <w:r w:rsidR="00983092">
        <w:t xml:space="preserve"> one way of closing the gender gap, but </w:t>
      </w:r>
      <w:r w:rsidR="00827898">
        <w:t xml:space="preserve">these </w:t>
      </w:r>
      <w:r w:rsidR="00983092">
        <w:t xml:space="preserve">data suggest that </w:t>
      </w:r>
      <w:r w:rsidR="003526B4">
        <w:t>a significant proportion of</w:t>
      </w:r>
      <w:r w:rsidR="00983092">
        <w:t xml:space="preserve"> </w:t>
      </w:r>
      <w:r w:rsidR="003526B4">
        <w:t xml:space="preserve">bias </w:t>
      </w:r>
      <w:r w:rsidR="00983092">
        <w:t xml:space="preserve">in participation seems to emanate from who GPs think is suitable for referral </w:t>
      </w:r>
      <w:r w:rsidR="00A62487">
        <w:t xml:space="preserve">to these services </w:t>
      </w:r>
      <w:r w:rsidR="00983092">
        <w:t>rather than from men themselves</w:t>
      </w:r>
      <w:r w:rsidR="00827898">
        <w:t xml:space="preserve"> and their willingness to participate</w:t>
      </w:r>
      <w:r w:rsidR="00983092">
        <w:t>.</w:t>
      </w:r>
      <w:r w:rsidR="004808D8">
        <w:t xml:space="preserve"> </w:t>
      </w:r>
      <w:r w:rsidR="00580D1C">
        <w:t xml:space="preserve">Other examples of practitioner-bias have been seen in previous studies, including physicians </w:t>
      </w:r>
      <w:r w:rsidR="0033703D">
        <w:t>more likely to refer overweight women for weight loss interventions than overweight men,</w:t>
      </w:r>
      <w:r w:rsidR="0033703D">
        <w:fldChar w:fldCharType="begin" w:fldLock="1"/>
      </w:r>
      <w:r w:rsidR="00D658C8">
        <w:instrText>ADDIN CSL_CITATION { "citationItems" : [ { "id" : "ITEM-1", "itemData" : { "abstract" : "OBJECTIVE: The purpose of this study was to investigate physician attitudes toward the treatment of overweight and obese individuals and to evaluate potential gender differences in treatment recommendations. RESEARCH METHODS AND PROCEDURES: A survey describing several hypothetical patients was sent to 700 randomly selected physicians; 209 (29.9%) returned the survey. Two versions of the questionnaire (one for men and one for women) described three hypothetical patients at three levels of body mass index (BMI) (32, 28, and 25 kg/m(2)). One-half of the physicians received a version of the questionnaire describing the patients as women, and one-half received a version describing the patients as men. Respondents answered questions about attitudes toward treatment and specific interventions and referrals they would view as appropriate. RESULTS: Physicians were more likely to encourage women with a BMI of 25 kg/m(2) to lose weight than men with the same BMI, and indicated that they would suggest more treatment referrals for women than men. Men with a BMI of 32 kg/m(2) were more likely to be encouraged to lose weight than women with the identical BMI. Physicians were more likely to encourage weight loss and see treatment referrals as appropriate for patients with higher BMIS: DISCUSSION: This study indicates that physicians treat male and female patients differently, with physicians more likely to encourage weight loss and provide referrals for women with a BMI of 25 kg/m(2) than for men with an identical BMI and less likely to encourage weight loss for women than men with a BMI of 32 kg/m(2).", "author" : [ { "dropping-particle" : "", "family" : "Anderson", "given" : "C", "non-dropping-particle" : "", "parse-names" : false, "suffix" : "" }, { "dropping-particle" : "", "family" : "Peterson", "given" : "CB", "non-dropping-particle" : "", "parse-names" : false, "suffix" : "" }, { "dropping-particle" : "", "family" : "Fletcher", "given" : "L", "non-dropping-particle" : "", "parse-names" : false, "suffix" : "" }, { "dropping-particle" : "", "family" : "Mitchell", "given" : "JE", "non-dropping-particle" : "", "parse-names" : false, "suffix" : "" }, { "dropping-particle" : "", "family" : "Thuras", "given" : "P", "non-dropping-particle" : "", "parse-names" : false, "suffix" : "" }, { "dropping-particle" : "", "family" : "Crow", "given" : "SJ", "non-dropping-particle" : "", "parse-names" : false, "suffix" : "" } ], "container-title" : "Obesity research", "id" : "ITEM-1", "issue" : "4", "issued" : { "date-parts" : [ [ "2001" ] ] }, "page" : "257-63", "title" : "Weight loss and gender: an examination of physician attitudes", "type" : "article-journal", "volume" : "9" }, "uris" : [ "http://www.mendeley.com/documents/?uuid=5a9a6721-e5a8-4f17-b39a-122e9f9f645a" ] } ], "mendeley" : { "formattedCitation" : "(18)", "plainTextFormattedCitation" : "(18)", "previouslyFormattedCitation" : "[18]" }, "properties" : { "noteIndex" : 0 }, "schema" : "https://github.com/citation-style-language/schema/raw/master/csl-citation.json" }</w:instrText>
      </w:r>
      <w:r w:rsidR="0033703D">
        <w:fldChar w:fldCharType="separate"/>
      </w:r>
      <w:r w:rsidR="00D658C8" w:rsidRPr="00D658C8">
        <w:rPr>
          <w:noProof/>
        </w:rPr>
        <w:t>(18)</w:t>
      </w:r>
      <w:r w:rsidR="0033703D">
        <w:fldChar w:fldCharType="end"/>
      </w:r>
      <w:r w:rsidR="0033703D">
        <w:t xml:space="preserve"> and </w:t>
      </w:r>
      <w:r w:rsidR="00580D1C">
        <w:t>setting larger weight loss goals for females who are obese than for men the same size</w:t>
      </w:r>
      <w:r w:rsidR="0033703D">
        <w:t>.</w:t>
      </w:r>
      <w:r w:rsidR="0033703D">
        <w:fldChar w:fldCharType="begin" w:fldLock="1"/>
      </w:r>
      <w:r w:rsidR="00D658C8">
        <w:instrText>ADDIN CSL_CITATION { "citationItems" : [ { "id" : "ITEM-1", "itemData" : { "DOI" : "10.1016/j.ypmed.2010.01.014", "ISSN" : "1096-0260", "PMID" : "20132837", "abstract" : "OBJECTIVE: The aim of this study was to compare physicians' weight loss goals for obese male and female patients. METHOD: This study was conducted in 2008-2009 in Florida, USA. Physicians (N=108; 79.6% primary care specialty) reviewed two hypothetical clinical scenarios that were identical with respect to health status and obesity (BMI=33 kg/m(2)) but differed in the gender of the patient. Physicians then completed a survey about the need for weight loss, intentions to provide weight loss counseling, and weight loss goals (i.e., ideal, successful, and acceptable goal weights) for each hypothetical patient. RESULTS: Physicians strongly agreed that both patients should lose weight and physician counseling and/or treatment referrals would be appropriate; however, physician weight loss goals for male and female patients differed. BMI values calculated from the suggested ideal, successful, and acceptable weight goals were significantly lower for female patients than male patients, 22.0 vs. 25. 2 kg/m(2); 25.4 vs. 27. 8 kg/m(2); and 27.0 vs. 29. 2 kg/m(2), respectively, P values &lt;.001. CONCLUSIONS: Physicians endorsed significantly more stringent weight loss goals for obese female patients than obese male patients. Regardless of patient gender, physician goals exceeded the 5-10% losses currently recommended. Additional research is needed to better understand this gender discrepancy in physician expectations for obese patients.", "author" : [ { "dropping-particle" : "", "family" : "Dutton", "given" : "Gareth R", "non-dropping-particle" : "", "parse-names" : false, "suffix" : "" }, { "dropping-particle" : "", "family" : "Perri", "given" : "Michael G", "non-dropping-particle" : "", "parse-names" : false, "suffix" : "" }, { "dropping-particle" : "", "family" : "Stine", "given" : "Curtis C", "non-dropping-particle" : "", "parse-names" : false, "suffix" : "" }, { "dropping-particle" : "", "family" : "Goble", "given" : "Mary", "non-dropping-particle" : "", "parse-names" : false, "suffix" : "" }, { "dropping-particle" : "", "family" : "Vessem", "given" : "Nancy", "non-dropping-particle" : "Van", "parse-names" : false, "suffix" : "" } ], "container-title" : "Preventive medicine", "id" : "ITEM-1", "issue" : "4", "issued" : { "date-parts" : [ [ "2010", "4" ] ] }, "page" : "186-8", "publisher" : "Elsevier Inc.", "title" : "Comparison of physician weight loss goals for obese male and female patients.", "type" : "article-journal", "volume" : "50" }, "uris" : [ "http://www.mendeley.com/documents/?uuid=992a4eea-dc1d-42e1-89d4-e3a09b77086f" ] } ], "mendeley" : { "formattedCitation" : "(19)", "plainTextFormattedCitation" : "(19)", "previouslyFormattedCitation" : "[19]" }, "properties" : { "noteIndex" : 0 }, "schema" : "https://github.com/citation-style-language/schema/raw/master/csl-citation.json" }</w:instrText>
      </w:r>
      <w:r w:rsidR="0033703D">
        <w:fldChar w:fldCharType="separate"/>
      </w:r>
      <w:r w:rsidR="00D658C8" w:rsidRPr="00D658C8">
        <w:rPr>
          <w:noProof/>
        </w:rPr>
        <w:t>(19)</w:t>
      </w:r>
      <w:r w:rsidR="0033703D">
        <w:fldChar w:fldCharType="end"/>
      </w:r>
      <w:r w:rsidR="0033703D">
        <w:t xml:space="preserve"> </w:t>
      </w:r>
      <w:r w:rsidR="00452B4E">
        <w:t>Comparisons across studies suggest the gender bias in participation in</w:t>
      </w:r>
      <w:r w:rsidR="00452B4E" w:rsidRPr="00F02E78">
        <w:t xml:space="preserve"> commercial programmes can be considerably reduced by simply offering the intervention to </w:t>
      </w:r>
      <w:r w:rsidR="00452B4E">
        <w:t>everyone who is eligible</w:t>
      </w:r>
      <w:r w:rsidR="00452B4E" w:rsidRPr="00F02E78">
        <w:t>.</w:t>
      </w:r>
    </w:p>
    <w:p w14:paraId="13E6BF63" w14:textId="2CA1AD47" w:rsidR="0062032A" w:rsidRDefault="0094610C" w:rsidP="00770113">
      <w:pPr>
        <w:pStyle w:val="CommentText"/>
        <w:spacing w:line="360" w:lineRule="auto"/>
        <w:rPr>
          <w:sz w:val="22"/>
          <w:szCs w:val="22"/>
        </w:rPr>
      </w:pPr>
      <w:r>
        <w:rPr>
          <w:sz w:val="22"/>
          <w:szCs w:val="22"/>
        </w:rPr>
        <w:t xml:space="preserve">The lower uptake rate in more deprived areas suggests some bias in the willingness </w:t>
      </w:r>
      <w:r w:rsidR="007D5067">
        <w:rPr>
          <w:sz w:val="22"/>
          <w:szCs w:val="22"/>
        </w:rPr>
        <w:t xml:space="preserve">or ability </w:t>
      </w:r>
      <w:r>
        <w:rPr>
          <w:sz w:val="22"/>
          <w:szCs w:val="22"/>
        </w:rPr>
        <w:t xml:space="preserve">of patients of lower SES to participate in commercial open-group behavioural weight loss programmes. </w:t>
      </w:r>
      <w:r w:rsidR="00A82716">
        <w:rPr>
          <w:sz w:val="22"/>
          <w:szCs w:val="22"/>
        </w:rPr>
        <w:t xml:space="preserve">There is some evidence from survey data to suggest people of lower SES are less likely to use these types of programmes </w:t>
      </w:r>
      <w:r w:rsidR="00673248">
        <w:rPr>
          <w:sz w:val="22"/>
          <w:szCs w:val="22"/>
        </w:rPr>
        <w:t>than people of higher SES</w:t>
      </w:r>
      <w:r w:rsidR="00A82716">
        <w:rPr>
          <w:sz w:val="22"/>
          <w:szCs w:val="22"/>
        </w:rPr>
        <w:t>.</w:t>
      </w:r>
      <w:r w:rsidR="007967A4">
        <w:rPr>
          <w:sz w:val="22"/>
          <w:szCs w:val="22"/>
        </w:rPr>
        <w:fldChar w:fldCharType="begin" w:fldLock="1"/>
      </w:r>
      <w:r w:rsidR="00D658C8">
        <w:rPr>
          <w:sz w:val="22"/>
          <w:szCs w:val="22"/>
        </w:rPr>
        <w:instrText>ADDIN CSL_CITATION { "citationItems" : [ { "id" : "ITEM-1", "itemData" : { "DOI" : "10.1186/1471-2458-14-444", "ISBN" : "1471-2458", "ISSN" : "1471-2458", "PMID" : "24884639", "abstract" : "BACKGROUND:Despite rising levels of obesity in England, little is known about slimming club and weight loss drug (medication) use or users. In order to inform future commissioning, we report the prevalence of various weight management strategies and examine the associations between slimming club and medication use and age, gender, deprivation and body mass index.METHODS:A population based cross-sectional survey of 26,113 adults was conducted in South Yorkshire using a self-completed health questionnaire. Participants were asked whether they had ever used the following interventions to manage their weight: increasing exercise, healthy eating, controlling portion size, slimming club, over the counter weight loss medication, or meal replacements. Factors associated with slimming club and weight-loss medication use were explored using logistic regression.RESULTS:Over half of the sample was either overweight (36.6%) or obese (19.6%). Obesity was more common in the most deprived areas compared to the least deprived (26.3% vs. 12.0%). Healthy eating (49.0%), controlling portion size (43.4%), and increasing exercise (43.0%) were the most commonly reported weight management strategies. Less common strategies were attending a slimming club (17.2%), meal replacements (3.4%) and weight-loss medication (3.2%). Adjusting for BMI, age, deprivation and long standing health conditions, women were significantly more likely to report ever using a slimming club (adjusted OR = 18.6, 95% CI = 16.52-21.00) and more likely to report ever using over the counter weight-loss medications (AOR = 3.73, 95% CI = 3.10-4.48), while respondents from the most deprived areas were less likely to report using slimming clubs (AOR = 0.60, 95% CI = 0.53-0.68), and more likely to reporting using weight loss medications (AOR =1.38, 95% CI = 1.51-1.82).CONCLUSION:A large proportion of individuals report having used weight management strategies. Slimming clubs and over-the-counter weight loss medication account for a smaller proportion of the overall uptake. Those from less deprived areas were more likely to use slimming clubs while those from more deprived areas were more likely to use weight-loss medications. Future NHS and Local Authority commissioning of weight management services must be aware of this varying social gradient in weight management strategies.", "author" : [ { "dropping-particle" : "", "family" : "Relton", "given" : "Clare", "non-dropping-particle" : "", "parse-names" : false, "suffix" : "" }, { "dropping-particle" : "", "family" : "Li", "given" : "Jessica", "non-dropping-particle" : "", "parse-names" : false, "suffix" : "" }, { "dropping-particle" : "", "family" : "Strong", "given" : "Mark", "non-dropping-particle" : "", "parse-names" : false, "suffix" : "" }, { "dropping-particle" : "", "family" : "Holdsworth", "given" : "Michelle", "non-dropping-particle" : "", "parse-names" : false, "suffix" : "" }, { "dropping-particle" : "", "family" : "Cooper", "given" : "Richard", "non-dropping-particle" : "", "parse-names" : false, "suffix" : "" }, { "dropping-particle" : "", "family" : "Green", "given" : "Mark", "non-dropping-particle" : "", "parse-names" : false, "suffix" : "" }, { "dropping-particle" : "", "family" : "Bissell", "given" : "Paul", "non-dropping-particle" : "", "parse-names" : false, "suffix" : "" } ], "container-title" : "BMC Public Health", "id" : "ITEM-1", "issued" : { "date-parts" : [ [ "2014" ] ] }, "page" : "444", "title" : "Deprivation, clubs and drugs: results of a UK regional population-based cross-sectional study of weight management strategies", "type" : "article-journal", "volume" : "14" }, "uris" : [ "http://www.mendeley.com/documents/?uuid=296d1670-e8e3-4350-b4d3-d0db826ca98d" ] } ], "mendeley" : { "formattedCitation" : "(2)", "plainTextFormattedCitation" : "(2)", "previouslyFormattedCitation" : "[2]" }, "properties" : { "noteIndex" : 0 }, "schema" : "https://github.com/citation-style-language/schema/raw/master/csl-citation.json" }</w:instrText>
      </w:r>
      <w:r w:rsidR="007967A4">
        <w:rPr>
          <w:sz w:val="22"/>
          <w:szCs w:val="22"/>
        </w:rPr>
        <w:fldChar w:fldCharType="separate"/>
      </w:r>
      <w:r w:rsidR="00D658C8" w:rsidRPr="00D658C8">
        <w:rPr>
          <w:noProof/>
          <w:sz w:val="22"/>
          <w:szCs w:val="22"/>
        </w:rPr>
        <w:t>(2)</w:t>
      </w:r>
      <w:r w:rsidR="007967A4">
        <w:rPr>
          <w:sz w:val="22"/>
          <w:szCs w:val="22"/>
        </w:rPr>
        <w:fldChar w:fldCharType="end"/>
      </w:r>
      <w:r w:rsidR="00A82716">
        <w:rPr>
          <w:sz w:val="22"/>
          <w:szCs w:val="22"/>
        </w:rPr>
        <w:t xml:space="preserve"> </w:t>
      </w:r>
      <w:r w:rsidR="00673248">
        <w:rPr>
          <w:sz w:val="22"/>
          <w:szCs w:val="22"/>
        </w:rPr>
        <w:t xml:space="preserve">However, we do not currently have data on the proportion of patients of lower SES participating in the </w:t>
      </w:r>
      <w:r w:rsidR="007D5067">
        <w:rPr>
          <w:sz w:val="22"/>
          <w:szCs w:val="22"/>
        </w:rPr>
        <w:t xml:space="preserve">NHS </w:t>
      </w:r>
      <w:r w:rsidR="00673248">
        <w:rPr>
          <w:sz w:val="22"/>
          <w:szCs w:val="22"/>
        </w:rPr>
        <w:t>referral schemes</w:t>
      </w:r>
      <w:r w:rsidR="00452B4E">
        <w:rPr>
          <w:sz w:val="22"/>
          <w:szCs w:val="22"/>
        </w:rPr>
        <w:t xml:space="preserve"> to commercial providers</w:t>
      </w:r>
      <w:r w:rsidR="00673248">
        <w:rPr>
          <w:sz w:val="22"/>
          <w:szCs w:val="22"/>
        </w:rPr>
        <w:t xml:space="preserve">, where the intervention cost is paid for by the NHS.  </w:t>
      </w:r>
      <w:r w:rsidR="00882F0C">
        <w:rPr>
          <w:sz w:val="22"/>
          <w:szCs w:val="22"/>
        </w:rPr>
        <w:t>Encouragingly, t</w:t>
      </w:r>
      <w:r w:rsidR="00673248">
        <w:rPr>
          <w:sz w:val="22"/>
          <w:szCs w:val="22"/>
        </w:rPr>
        <w:t xml:space="preserve">here </w:t>
      </w:r>
      <w:r>
        <w:rPr>
          <w:sz w:val="22"/>
          <w:szCs w:val="22"/>
        </w:rPr>
        <w:t>is evidence</w:t>
      </w:r>
      <w:r w:rsidR="00882F0C">
        <w:rPr>
          <w:sz w:val="22"/>
          <w:szCs w:val="22"/>
        </w:rPr>
        <w:t xml:space="preserve"> from </w:t>
      </w:r>
      <w:r w:rsidR="00DE0521">
        <w:rPr>
          <w:sz w:val="22"/>
          <w:szCs w:val="22"/>
        </w:rPr>
        <w:t>an audit of obesity treatment in primary care to</w:t>
      </w:r>
      <w:r>
        <w:rPr>
          <w:sz w:val="22"/>
          <w:szCs w:val="22"/>
        </w:rPr>
        <w:t xml:space="preserve"> suggest that p</w:t>
      </w:r>
      <w:r w:rsidR="00354969">
        <w:rPr>
          <w:sz w:val="22"/>
          <w:szCs w:val="22"/>
        </w:rPr>
        <w:t>rimary care practitioners</w:t>
      </w:r>
      <w:r>
        <w:rPr>
          <w:sz w:val="22"/>
          <w:szCs w:val="22"/>
        </w:rPr>
        <w:t xml:space="preserve"> are more likely to </w:t>
      </w:r>
      <w:r w:rsidR="00882F0C">
        <w:rPr>
          <w:sz w:val="22"/>
          <w:szCs w:val="22"/>
        </w:rPr>
        <w:t xml:space="preserve">offer </w:t>
      </w:r>
      <w:r w:rsidR="00673248">
        <w:rPr>
          <w:sz w:val="22"/>
          <w:szCs w:val="22"/>
        </w:rPr>
        <w:t xml:space="preserve">some form of </w:t>
      </w:r>
      <w:r w:rsidR="00354969">
        <w:rPr>
          <w:sz w:val="22"/>
          <w:szCs w:val="22"/>
        </w:rPr>
        <w:t>obesity treatment</w:t>
      </w:r>
      <w:r w:rsidR="0085115A">
        <w:rPr>
          <w:sz w:val="22"/>
          <w:szCs w:val="22"/>
        </w:rPr>
        <w:t xml:space="preserve"> </w:t>
      </w:r>
      <w:r w:rsidR="00354969">
        <w:rPr>
          <w:sz w:val="22"/>
          <w:szCs w:val="22"/>
        </w:rPr>
        <w:t>for</w:t>
      </w:r>
      <w:r w:rsidR="0085115A">
        <w:rPr>
          <w:sz w:val="22"/>
          <w:szCs w:val="22"/>
        </w:rPr>
        <w:t xml:space="preserve"> patients of lower SES</w:t>
      </w:r>
      <w:r w:rsidR="00BB6A81">
        <w:rPr>
          <w:sz w:val="22"/>
          <w:szCs w:val="22"/>
        </w:rPr>
        <w:fldChar w:fldCharType="begin" w:fldLock="1"/>
      </w:r>
      <w:r w:rsidR="00D658C8">
        <w:rPr>
          <w:sz w:val="22"/>
          <w:szCs w:val="22"/>
        </w:rPr>
        <w:instrText>ADDIN CSL_CITATION { "citationItems" : [ { "id" : "ITEM-1", "itemData" : { "DOI" : "10.1136/bmjopen-2014-006642", "ISSN" : "2044-6055", "PMID" : "25586371", "abstract" : "OBJECTIVES: To investigate access to weight management interventions for overweight and obese patients in primary care.\n\nSETTING: UK primary care electronic health records.\n\nPARTICIPANTS: A cohort of 91\u2005413 overweight and obese patients aged 30-100\u2005years was sampled from the Clinical Practice Research Datalink (CPRD). Patients with body mass index (BMI) values \u226525\u2005kg/m(2) recorded between 2005 and 2012 were included. BMI values were categorised using WHO criteria.\n\nINTERVENTIONS: Interventions for body weight management, including advice, referrals and prescription of antiobesity drugs, were evaluated.\n\nPRIMARY AND SECONDARY OUTCOME MEASURES: The rate of body weight management interventions and time to intervention were the main outcomes.\n\nRESULTS: Data were analysed for 91\u2005413 patients, mean age 56\u2005years, including 55\u2005094 (60%) overweight and 36\u2005319 (40%) obese, including 4099 (5%) with morbid obesity. During the study period, 90% of overweight patients had no weight management intervention recorded. Intervention was more frequent among obese patients, but 59% of patients with morbid obesity had no intervention recorded. Rates of intervention increased with BMI category. In morbid obesity, rates of intervention per 1000 patient years were: advice, 60.2 (95% CI 51.8 to 70.4); referral, 75.7 (95% CI 69.5 to 82.6) and antiobesity drugs 89.9 (95% CI 85.0 to 95.2). Weight management interventions were more often accessed by women, older patients, those with comorbidity and those in deprivation. Follow-up of body weight subsequent to interventions was infrequent.\n\nCONCLUSIONS: Limited evidence of weight management interventions in primary care electronic health records may result from poor recording of advice given, but may indicate a lack of patient access to appropriate body weight management interventions in primary care.", "author" : [ { "dropping-particle" : "", "family" : "Booth", "given" : "Helen P", "non-dropping-particle" : "", "parse-names" : false, "suffix" : "" }, { "dropping-particle" : "", "family" : "Prevost", "given" : "a Toby", "non-dropping-particle" : "", "parse-names" : false, "suffix" : "" }, { "dropping-particle" : "", "family" : "Gulliford", "given" : "Martin C", "non-dropping-particle" : "", "parse-names" : false, "suffix" : "" } ], "container-title" : "BMJ open", "id" : "ITEM-1", "issue" : "1", "issued" : { "date-parts" : [ [ "2015", "1" ] ] }, "page" : "e006642", "title" : "Access to weight reduction interventions for overweight and obese patients in UK primary care: population-based cohort study.", "type" : "article-journal", "volume" : "5" }, "uris" : [ "http://www.mendeley.com/documents/?uuid=2921f492-b101-4c7d-bf7d-cec27c593db4" ] } ], "mendeley" : { "formattedCitation" : "(5)", "plainTextFormattedCitation" : "(5)", "previouslyFormattedCitation" : "[5]" }, "properties" : { "noteIndex" : 0 }, "schema" : "https://github.com/citation-style-language/schema/raw/master/csl-citation.json" }</w:instrText>
      </w:r>
      <w:r w:rsidR="00BB6A81">
        <w:rPr>
          <w:sz w:val="22"/>
          <w:szCs w:val="22"/>
        </w:rPr>
        <w:fldChar w:fldCharType="separate"/>
      </w:r>
      <w:r w:rsidR="00D658C8" w:rsidRPr="00D658C8">
        <w:rPr>
          <w:noProof/>
          <w:sz w:val="22"/>
          <w:szCs w:val="22"/>
        </w:rPr>
        <w:t>(5)</w:t>
      </w:r>
      <w:r w:rsidR="00BB6A81">
        <w:rPr>
          <w:sz w:val="22"/>
          <w:szCs w:val="22"/>
        </w:rPr>
        <w:fldChar w:fldCharType="end"/>
      </w:r>
      <w:r w:rsidR="00673248">
        <w:rPr>
          <w:sz w:val="22"/>
          <w:szCs w:val="22"/>
        </w:rPr>
        <w:t>,</w:t>
      </w:r>
      <w:r w:rsidR="00882F0C">
        <w:rPr>
          <w:sz w:val="22"/>
          <w:szCs w:val="22"/>
        </w:rPr>
        <w:t xml:space="preserve"> perhaps i</w:t>
      </w:r>
      <w:r>
        <w:rPr>
          <w:sz w:val="22"/>
          <w:szCs w:val="22"/>
        </w:rPr>
        <w:t>n spite of the lower apparent likelihood of accepting the referral</w:t>
      </w:r>
      <w:r w:rsidR="00882F0C">
        <w:rPr>
          <w:sz w:val="22"/>
          <w:szCs w:val="22"/>
        </w:rPr>
        <w:t xml:space="preserve"> observed in this study</w:t>
      </w:r>
      <w:r>
        <w:rPr>
          <w:sz w:val="22"/>
          <w:szCs w:val="22"/>
        </w:rPr>
        <w:t>.</w:t>
      </w:r>
    </w:p>
    <w:p w14:paraId="2557F3B8" w14:textId="7DD4084F" w:rsidR="00F20C8C" w:rsidRDefault="00FC03C9" w:rsidP="00F20C8C">
      <w:pPr>
        <w:pStyle w:val="CommentText"/>
        <w:spacing w:line="360" w:lineRule="auto"/>
        <w:rPr>
          <w:sz w:val="22"/>
          <w:szCs w:val="22"/>
        </w:rPr>
      </w:pPr>
      <w:r>
        <w:rPr>
          <w:sz w:val="22"/>
          <w:szCs w:val="22"/>
        </w:rPr>
        <w:t>Patients under the age of 40 were less likely to take up the offer to participate in this trial</w:t>
      </w:r>
      <w:r w:rsidR="00D22E2C">
        <w:rPr>
          <w:sz w:val="22"/>
          <w:szCs w:val="22"/>
        </w:rPr>
        <w:t xml:space="preserve">. </w:t>
      </w:r>
      <w:r w:rsidR="00DB18B5">
        <w:rPr>
          <w:sz w:val="22"/>
          <w:szCs w:val="22"/>
        </w:rPr>
        <w:t xml:space="preserve">This </w:t>
      </w:r>
      <w:r w:rsidR="002C2196">
        <w:rPr>
          <w:sz w:val="22"/>
          <w:szCs w:val="22"/>
        </w:rPr>
        <w:t xml:space="preserve">age </w:t>
      </w:r>
      <w:r w:rsidR="00DB18B5">
        <w:rPr>
          <w:sz w:val="22"/>
          <w:szCs w:val="22"/>
        </w:rPr>
        <w:t>bias is not evident in the audit of the commercial referral scheme, where the proportion of patients under 40 is similar to that in our invited population.</w:t>
      </w:r>
      <w:r w:rsidR="00DB18B5">
        <w:rPr>
          <w:sz w:val="22"/>
          <w:szCs w:val="22"/>
        </w:rPr>
        <w:fldChar w:fldCharType="begin" w:fldLock="1"/>
      </w:r>
      <w:r w:rsidR="00D658C8">
        <w:rPr>
          <w:sz w:val="22"/>
          <w:szCs w:val="22"/>
        </w:rPr>
        <w:instrText>ADDIN CSL_CITATION { "citationItems" : [ { "id" : "ITEM-1", "itemData" : { "DOI" : "10.1186/1471-2458-11-434", "ISBN" : "1471-2458", "ISSN" : "1471-2458", "PMID" : "21645343", "abstract" : "The scale of overweight and obesity in the UK places a considerable burden on the NHS. In some areas the NHS has formed partnerships with commercial companies to offer weight management services, but there has been little evaluation of these schemes.This study is an independent audit of the Weight Watchers NHS Referral scheme and evaluates the weight change of obese and overweight adults referred to Weight Watchers (WW) by the NHS.", "author" : [ { "dropping-particle" : "", "family" : "Ahern", "given" : "Amy L", "non-dropping-particle" : "", "parse-names" : false, "suffix" : "" }, { "dropping-particle" : "", "family" : "Olson", "given" : "Ashley D", "non-dropping-particle" : "", "parse-names" : false, "suffix" : "" }, { "dropping-particle" : "", "family" : "Aston", "given" : "Louise M", "non-dropping-particle" : "", "parse-names" : false, "suffix" : "" }, { "dropping-particle" : "", "family" : "Jebb", "given" : "Susan A", "non-dropping-particle" : "", "parse-names" : false, "suffix" : "" } ], "container-title" : "BMC public health", "id" : "ITEM-1", "issued" : { "date-parts" : [ [ "2011" ] ] }, "page" : "434", "title" : "Weight Watchers on prescription: an observational study of weight change among adults referred to Weight Watchers by the NHS.", "type" : "article-journal", "volume" : "11" }, "uris" : [ "http://www.mendeley.com/documents/?uuid=ee883b54-eb4c-4a82-b560-92fd3252ebbd" ] } ], "mendeley" : { "formattedCitation" : "(6)", "plainTextFormattedCitation" : "(6)", "previouslyFormattedCitation" : "[6]" }, "properties" : { "noteIndex" : 0 }, "schema" : "https://github.com/citation-style-language/schema/raw/master/csl-citation.json" }</w:instrText>
      </w:r>
      <w:r w:rsidR="00DB18B5">
        <w:rPr>
          <w:sz w:val="22"/>
          <w:szCs w:val="22"/>
        </w:rPr>
        <w:fldChar w:fldCharType="separate"/>
      </w:r>
      <w:r w:rsidR="00D658C8" w:rsidRPr="00D658C8">
        <w:rPr>
          <w:noProof/>
          <w:sz w:val="22"/>
          <w:szCs w:val="22"/>
        </w:rPr>
        <w:t>(6)</w:t>
      </w:r>
      <w:r w:rsidR="00DB18B5">
        <w:rPr>
          <w:sz w:val="22"/>
          <w:szCs w:val="22"/>
        </w:rPr>
        <w:fldChar w:fldCharType="end"/>
      </w:r>
      <w:r w:rsidR="00DB18B5">
        <w:rPr>
          <w:sz w:val="22"/>
          <w:szCs w:val="22"/>
        </w:rPr>
        <w:t xml:space="preserve"> However, routine primary care data shows that older people are more likely to receive some form of treatment for obesity.</w:t>
      </w:r>
      <w:r w:rsidR="00BD717B">
        <w:rPr>
          <w:sz w:val="22"/>
          <w:szCs w:val="22"/>
        </w:rPr>
        <w:fldChar w:fldCharType="begin" w:fldLock="1"/>
      </w:r>
      <w:r w:rsidR="00D658C8">
        <w:rPr>
          <w:sz w:val="22"/>
          <w:szCs w:val="22"/>
        </w:rPr>
        <w:instrText>ADDIN CSL_CITATION { "citationItems" : [ { "id" : "ITEM-1", "itemData" : { "DOI" : "10.1136/bmjopen-2014-006642", "ISSN" : "2044-6055", "PMID" : "25586371", "abstract" : "OBJECTIVES: To investigate access to weight management interventions for overweight and obese patients in primary care.\n\nSETTING: UK primary care electronic health records.\n\nPARTICIPANTS: A cohort of 91\u2005413 overweight and obese patients aged 30-100\u2005years was sampled from the Clinical Practice Research Datalink (CPRD). Patients with body mass index (BMI) values \u226525\u2005kg/m(2) recorded between 2005 and 2012 were included. BMI values were categorised using WHO criteria.\n\nINTERVENTIONS: Interventions for body weight management, including advice, referrals and prescription of antiobesity drugs, were evaluated.\n\nPRIMARY AND SECONDARY OUTCOME MEASURES: The rate of body weight management interventions and time to intervention were the main outcomes.\n\nRESULTS: Data were analysed for 91\u2005413 patients, mean age 56\u2005years, including 55\u2005094 (60%) overweight and 36\u2005319 (40%) obese, including 4099 (5%) with morbid obesity. During the study period, 90% of overweight patients had no weight management intervention recorded. Intervention was more frequent among obese patients, but 59% of patients with morbid obesity had no intervention recorded. Rates of intervention increased with BMI category. In morbid obesity, rates of intervention per 1000 patient years were: advice, 60.2 (95% CI 51.8 to 70.4); referral, 75.7 (95% CI 69.5 to 82.6) and antiobesity drugs 89.9 (95% CI 85.0 to 95.2). Weight management interventions were more often accessed by women, older patients, those with comorbidity and those in deprivation. Follow-up of body weight subsequent to interventions was infrequent.\n\nCONCLUSIONS: Limited evidence of weight management interventions in primary care electronic health records may result from poor recording of advice given, but may indicate a lack of patient access to appropriate body weight management interventions in primary care.", "author" : [ { "dropping-particle" : "", "family" : "Booth", "given" : "Helen P", "non-dropping-particle" : "", "parse-names" : false, "suffix" : "" }, { "dropping-particle" : "", "family" : "Prevost", "given" : "a Toby", "non-dropping-particle" : "", "parse-names" : false, "suffix" : "" }, { "dropping-particle" : "", "family" : "Gulliford", "given" : "Martin C", "non-dropping-particle" : "", "parse-names" : false, "suffix" : "" } ], "container-title" : "BMJ open", "id" : "ITEM-1", "issue" : "1", "issued" : { "date-parts" : [ [ "2015", "1" ] ] }, "page" : "e006642", "title" : "Access to weight reduction interventions for overweight and obese patients in UK primary care: population-based cohort study.", "type" : "article-journal", "volume" : "5" }, "uris" : [ "http://www.mendeley.com/documents/?uuid=2921f492-b101-4c7d-bf7d-cec27c593db4" ] } ], "mendeley" : { "formattedCitation" : "(5)", "plainTextFormattedCitation" : "(5)", "previouslyFormattedCitation" : "[5]" }, "properties" : { "noteIndex" : 0 }, "schema" : "https://github.com/citation-style-language/schema/raw/master/csl-citation.json" }</w:instrText>
      </w:r>
      <w:r w:rsidR="00BD717B">
        <w:rPr>
          <w:sz w:val="22"/>
          <w:szCs w:val="22"/>
        </w:rPr>
        <w:fldChar w:fldCharType="separate"/>
      </w:r>
      <w:r w:rsidR="00D658C8" w:rsidRPr="00D658C8">
        <w:rPr>
          <w:noProof/>
          <w:sz w:val="22"/>
          <w:szCs w:val="22"/>
        </w:rPr>
        <w:t>(5)</w:t>
      </w:r>
      <w:r w:rsidR="00BD717B">
        <w:rPr>
          <w:sz w:val="22"/>
          <w:szCs w:val="22"/>
        </w:rPr>
        <w:fldChar w:fldCharType="end"/>
      </w:r>
      <w:r w:rsidR="00A82716">
        <w:rPr>
          <w:sz w:val="22"/>
          <w:szCs w:val="22"/>
        </w:rPr>
        <w:t xml:space="preserve"> This could </w:t>
      </w:r>
      <w:r w:rsidR="00A82716">
        <w:rPr>
          <w:sz w:val="22"/>
          <w:szCs w:val="22"/>
        </w:rPr>
        <w:lastRenderedPageBreak/>
        <w:t xml:space="preserve">suggest that patients under 40 are less likely to take up the offer of obesity treatment, but are preferentially referred to commercial referral schemes which mitigates this bias. </w:t>
      </w:r>
      <w:r w:rsidR="00F20C8C">
        <w:rPr>
          <w:sz w:val="22"/>
          <w:szCs w:val="22"/>
        </w:rPr>
        <w:t xml:space="preserve">Further research is needed to explore age-related biases in access and uptake of treatment for obesity. </w:t>
      </w:r>
    </w:p>
    <w:p w14:paraId="23867542" w14:textId="7E055F1C" w:rsidR="007F5333" w:rsidRPr="00BB6A81" w:rsidRDefault="00F20C8C" w:rsidP="00770113">
      <w:pPr>
        <w:pStyle w:val="CommentText"/>
        <w:spacing w:line="360" w:lineRule="auto"/>
        <w:rPr>
          <w:b/>
          <w:sz w:val="22"/>
          <w:szCs w:val="22"/>
        </w:rPr>
      </w:pPr>
      <w:r>
        <w:rPr>
          <w:b/>
          <w:sz w:val="22"/>
          <w:szCs w:val="22"/>
        </w:rPr>
        <w:t xml:space="preserve">Implications for </w:t>
      </w:r>
      <w:r w:rsidR="007B2BEF">
        <w:rPr>
          <w:b/>
          <w:sz w:val="22"/>
          <w:szCs w:val="22"/>
        </w:rPr>
        <w:t xml:space="preserve">research and </w:t>
      </w:r>
      <w:r>
        <w:rPr>
          <w:b/>
          <w:sz w:val="22"/>
          <w:szCs w:val="22"/>
        </w:rPr>
        <w:t>practice</w:t>
      </w:r>
    </w:p>
    <w:p w14:paraId="784D1B39" w14:textId="7D9C78A6" w:rsidR="00ED1D51" w:rsidRPr="00F20C8C" w:rsidRDefault="00F20C8C" w:rsidP="00F20C8C">
      <w:pPr>
        <w:spacing w:line="360" w:lineRule="auto"/>
      </w:pPr>
      <w:r>
        <w:t>British GPs are paid to maintain a register of patients who are obese, and our data suggest that comparable numbers of men and women have a recorded weight that identifies them as obese, which mirrors national prevalence data.  Taken together, this suggests that GPs are equally likely to identify men and women as being overweight, but are less likely to offer men referral to a commercial weight management programme. This difference is important since referral to a commercial programme is the intervention with most evidence of effectiveness in primary care.</w:t>
      </w:r>
      <w:r>
        <w:fldChar w:fldCharType="begin" w:fldLock="1"/>
      </w:r>
      <w:r w:rsidR="00D658C8">
        <w:instrText>ADDIN CSL_CITATION { "citationItems" : [ { "id" : "ITEM-1", "itemData" : { "DOI" : "10.1111/obr.12220", "ISSN" : "1467-789X", "PMID" : "25112559", "abstract" : "This systematic review and meta-analysis of effectiveness trials comparing multicomponent behavioural weight management programmes with controls in overweight and obese adults set out to determine the effectiveness of these interventions implemented in routine practice. To be included, interventions must have been multicomponent, delivered by the therapists who would deliver the intervention in routine practice and in that same context, and must be widely available or feasible to implement with little additional infrastructure or staffing. Searches of electronic databases were conducted, and augmented by screening reference lists and contacting experts (November 2012). Data were extracted by two reviewers, with mean difference between intervention and control for 12-month change in weight, blood pressure, lipids and glucose calculated using baseline observation carried forward. Data were also extracted on adverse events, quality of life and mood measures. Although there were many published efficacy trials, only eight effectiveness trials met the inclusion criteria. Pooled results from five study arms providing access to commercial weight management programmes detected significant weight loss at 12 months (mean difference -2.22 kg, 95% confidence interval [CI] -2.90 to -1.54). Results from two arms of a study testing a commercial programme providing meal replacements also detected significant weight loss (mean difference -6.83 kg, 95% CI -8.39 to -5.26). In contrast, pooled results from five interventions delivered by primary care teams showed no evidence of an effect on weight (mean difference -0.45 kg, 95% CI -1.34 to 0.43). One study testing an interactive web-based intervention detected a significant effect in favour of the intervention at 12 months, but the study was judged to be at high risk of bias and the effect did not persist at 18 months. Few studies reported other outcomes, limiting comparisons between interventions. Few trials have examined the effectiveness of behavioural weight loss programmes delivered in everyday contexts. These trials suggest that commercial interventions delivered in the community are effective for achieving weight loss. There is no evidence that interventions delivered within primary care settings by generalist primary care teams trained in weight management achieve meaningful weight loss.", "author" : [ { "dropping-particle" : "", "family" : "Hartmann-Boyce", "given" : "J", "non-dropping-particle" : "", "parse-names" : false, "suffix" : "" }, { "dropping-particle" : "", "family" : "Johns", "given" : "D J", "non-dropping-particle" : "", "parse-names" : false, "suffix" : "" }, { "dropping-particle" : "", "family" : "Jebb", "given" : "S A", "non-dropping-particle" : "", "parse-names" : false, "suffix" : "" }, { "dropping-particle" : "", "family" : "Summerbell", "given" : "C", "non-dropping-particle" : "", "parse-names" : false, "suffix" : "" }, { "dropping-particle" : "", "family" : "Aveyard", "given" : "P", "non-dropping-particle" : "", "parse-names" : false, "suffix" : "" } ], "container-title" : "Obesity reviews : an official journal of the International Association for the Study of Obesity", "id" : "ITEM-1", "issue" : "11", "issued" : { "date-parts" : [ [ "2014", "11" ] ] }, "page" : "920-32", "title" : "Behavioural weight management programmes for adults assessed by trials conducted in everyday contexts: systematic review and meta-analysis.", "type" : "article-journal", "volume" : "15" }, "uris" : [ "http://www.mendeley.com/documents/?uuid=d111f2b0-6a31-4d8d-9428-d626946a7225" ] } ], "mendeley" : { "formattedCitation" : "(1)", "plainTextFormattedCitation" : "(1)", "previouslyFormattedCitation" : "[1]" }, "properties" : { "noteIndex" : 0 }, "schema" : "https://github.com/citation-style-language/schema/raw/master/csl-citation.json" }</w:instrText>
      </w:r>
      <w:r>
        <w:fldChar w:fldCharType="separate"/>
      </w:r>
      <w:r w:rsidR="00D658C8" w:rsidRPr="00D658C8">
        <w:rPr>
          <w:noProof/>
        </w:rPr>
        <w:t>(1)</w:t>
      </w:r>
      <w:r>
        <w:fldChar w:fldCharType="end"/>
      </w:r>
      <w:r>
        <w:t xml:space="preserve"> T</w:t>
      </w:r>
      <w:r w:rsidR="006355A4" w:rsidRPr="009A33B4">
        <w:t xml:space="preserve">his study suggests that the gender bias </w:t>
      </w:r>
      <w:r w:rsidR="004D5555" w:rsidRPr="009A33B4">
        <w:t>in uptake of the intervention is not sufficient to explain previously observed biases in participation</w:t>
      </w:r>
      <w:r w:rsidR="00C221B3" w:rsidRPr="009A33B4">
        <w:t xml:space="preserve"> </w:t>
      </w:r>
      <w:r w:rsidR="006272A4" w:rsidRPr="009A33B4">
        <w:t>of these programmes</w:t>
      </w:r>
      <w:r w:rsidR="004D5555" w:rsidRPr="009A33B4">
        <w:t xml:space="preserve">. </w:t>
      </w:r>
      <w:r w:rsidR="008C532C">
        <w:t xml:space="preserve">Instead, it </w:t>
      </w:r>
      <w:r w:rsidR="009A33B4">
        <w:t>suggests</w:t>
      </w:r>
      <w:r w:rsidR="009A33B4" w:rsidRPr="009A33B4">
        <w:rPr>
          <w:rFonts w:cs="Arial"/>
        </w:rPr>
        <w:t xml:space="preserve"> that a substantial proportion of the</w:t>
      </w:r>
      <w:r w:rsidR="00235F52">
        <w:rPr>
          <w:rFonts w:cs="Arial"/>
        </w:rPr>
        <w:t xml:space="preserve"> gender</w:t>
      </w:r>
      <w:r w:rsidR="009A33B4" w:rsidRPr="009A33B4">
        <w:rPr>
          <w:rFonts w:cs="Arial"/>
        </w:rPr>
        <w:t xml:space="preserve"> inequity observed in NHS referrals and many clinical trials is a consequence of practitioner bias in offer of intervention, rather than the acceptability of the intervention by the participant. This study suggests that a simple way to overcome much of the gender bias is to write to patients who are overweight and offer referral.  There is </w:t>
      </w:r>
      <w:r w:rsidR="00235F52">
        <w:rPr>
          <w:rFonts w:cs="Arial"/>
        </w:rPr>
        <w:t xml:space="preserve">a lower likelihood of referrals for obesity treatment to be accepted by lower SES groups, but </w:t>
      </w:r>
      <w:r w:rsidR="009A33B4" w:rsidRPr="009A33B4">
        <w:rPr>
          <w:rFonts w:cs="Arial"/>
        </w:rPr>
        <w:t>some evidence that GPs may already be preferentially selecting lower SES groups for weight loss interventions.   This seems appropriate given the greater burden of avoidable morbidity and mortality faced by these groups</w:t>
      </w:r>
      <w:r w:rsidR="00235F52">
        <w:rPr>
          <w:rFonts w:cs="Arial"/>
        </w:rPr>
        <w:t>.</w:t>
      </w:r>
      <w:r w:rsidR="009A33B4" w:rsidRPr="009A33B4">
        <w:rPr>
          <w:rFonts w:cs="Arial"/>
        </w:rPr>
        <w:t xml:space="preserve"> </w:t>
      </w:r>
      <w:r w:rsidR="00235F52">
        <w:rPr>
          <w:rFonts w:cs="Arial"/>
        </w:rPr>
        <w:t>I</w:t>
      </w:r>
      <w:r w:rsidR="009A33B4" w:rsidRPr="009A33B4">
        <w:rPr>
          <w:rFonts w:cs="Arial"/>
        </w:rPr>
        <w:t>t is important to explore the impact th</w:t>
      </w:r>
      <w:r w:rsidR="00235F52">
        <w:rPr>
          <w:rFonts w:cs="Arial"/>
        </w:rPr>
        <w:t xml:space="preserve">at changes in referral practices may have on </w:t>
      </w:r>
      <w:r w:rsidR="009A33B4" w:rsidRPr="009A33B4">
        <w:rPr>
          <w:rFonts w:cs="Arial"/>
        </w:rPr>
        <w:t>participation</w:t>
      </w:r>
      <w:r w:rsidR="00235F52">
        <w:rPr>
          <w:rFonts w:cs="Arial"/>
        </w:rPr>
        <w:t xml:space="preserve"> in obesity treatment programmes</w:t>
      </w:r>
      <w:r w:rsidR="009A33B4" w:rsidRPr="009A33B4">
        <w:rPr>
          <w:rFonts w:cs="Arial"/>
        </w:rPr>
        <w:t xml:space="preserve">. </w:t>
      </w:r>
    </w:p>
    <w:p w14:paraId="7F1A1322" w14:textId="77777777" w:rsidR="00F20C8C" w:rsidRDefault="00F20C8C" w:rsidP="00770113">
      <w:pPr>
        <w:pStyle w:val="CommentText"/>
        <w:spacing w:line="360" w:lineRule="auto"/>
        <w:rPr>
          <w:sz w:val="22"/>
          <w:szCs w:val="22"/>
        </w:rPr>
      </w:pPr>
    </w:p>
    <w:p w14:paraId="411A4707" w14:textId="77777777" w:rsidR="00ED1D51" w:rsidRPr="00BB6A81" w:rsidRDefault="00ED1D51" w:rsidP="00770113">
      <w:pPr>
        <w:pStyle w:val="CommentText"/>
        <w:spacing w:line="360" w:lineRule="auto"/>
        <w:rPr>
          <w:b/>
          <w:sz w:val="22"/>
          <w:szCs w:val="22"/>
        </w:rPr>
      </w:pPr>
      <w:r w:rsidRPr="00BB6A81">
        <w:rPr>
          <w:b/>
          <w:sz w:val="22"/>
          <w:szCs w:val="22"/>
        </w:rPr>
        <w:t>Funding</w:t>
      </w:r>
    </w:p>
    <w:p w14:paraId="2823B1FC" w14:textId="77777777" w:rsidR="00ED1D51" w:rsidRDefault="00ED1D51" w:rsidP="00770113">
      <w:pPr>
        <w:pStyle w:val="CommentText"/>
        <w:spacing w:line="360" w:lineRule="auto"/>
        <w:rPr>
          <w:sz w:val="22"/>
          <w:szCs w:val="22"/>
        </w:rPr>
      </w:pPr>
      <w:r w:rsidRPr="00ED1D51">
        <w:rPr>
          <w:sz w:val="22"/>
          <w:szCs w:val="22"/>
        </w:rPr>
        <w:t xml:space="preserve">This study is funded by the National Prevention Research Initiative through research grant MR/J000493/1. The Funding Partners relevant to this award are (in alphabetical order): Alzheimer's </w:t>
      </w:r>
      <w:r w:rsidRPr="00ED1D51">
        <w:rPr>
          <w:sz w:val="22"/>
          <w:szCs w:val="22"/>
        </w:rPr>
        <w:lastRenderedPageBreak/>
        <w:t>Research Trust; Alzheimer's Society; Biotechnology and Biological Sciences Research Council; British Heart Foundation; Cancer Research UK; Chief Scientist Office, Scottish Government Health Directorate; Department of Health; Diabetes UK; Economic and Social Research Council; Health and Social Care Research and Development Division of the Public Health Agency (HSC R&amp;D Division); Medical Research Council; The Stroke Association; Wellcome Trust; Welsh Assembly Government; and World Cancer Research Fund. The cost of the Weight Watchers programme and the costs of blood sampling and analysis are funded by Weight Watchers International as part of an MRC Industrial Collaboration Award.</w:t>
      </w:r>
    </w:p>
    <w:p w14:paraId="76FB7009" w14:textId="2E6F6FA7" w:rsidR="00D658C8" w:rsidRPr="00D658C8" w:rsidRDefault="00D658C8" w:rsidP="00770113">
      <w:pPr>
        <w:pStyle w:val="CommentText"/>
        <w:spacing w:line="360" w:lineRule="auto"/>
        <w:rPr>
          <w:b/>
          <w:sz w:val="22"/>
          <w:szCs w:val="22"/>
        </w:rPr>
      </w:pPr>
      <w:r w:rsidRPr="00D658C8">
        <w:rPr>
          <w:b/>
          <w:sz w:val="22"/>
          <w:szCs w:val="22"/>
        </w:rPr>
        <w:t>Ethical Approval</w:t>
      </w:r>
    </w:p>
    <w:p w14:paraId="27060EB8" w14:textId="35F2F1CE" w:rsidR="00D658C8" w:rsidRDefault="00D658C8" w:rsidP="00770113">
      <w:pPr>
        <w:pStyle w:val="CommentText"/>
        <w:spacing w:line="360" w:lineRule="auto"/>
        <w:rPr>
          <w:sz w:val="22"/>
          <w:szCs w:val="22"/>
        </w:rPr>
      </w:pPr>
      <w:r w:rsidRPr="00D658C8">
        <w:rPr>
          <w:sz w:val="22"/>
          <w:szCs w:val="22"/>
        </w:rPr>
        <w:t xml:space="preserve">Ethical approval </w:t>
      </w:r>
      <w:r>
        <w:rPr>
          <w:sz w:val="22"/>
          <w:szCs w:val="22"/>
        </w:rPr>
        <w:t xml:space="preserve">for this study </w:t>
      </w:r>
      <w:r w:rsidRPr="00D658C8">
        <w:rPr>
          <w:sz w:val="22"/>
          <w:szCs w:val="22"/>
        </w:rPr>
        <w:t>was received from NRES Committee East of England - Cambridge East (12/EE/0363) and local approvals from NRES Committee North West - Liverpool Central (12/NW/0678) and NRES Com</w:t>
      </w:r>
      <w:bookmarkStart w:id="0" w:name="_GoBack"/>
      <w:bookmarkEnd w:id="0"/>
      <w:r w:rsidRPr="00D658C8">
        <w:rPr>
          <w:sz w:val="22"/>
          <w:szCs w:val="22"/>
        </w:rPr>
        <w:t>mittee South Central – Oxford 12/SC/0508. Local NHS Research and Development approvals were received for all participating practices</w:t>
      </w:r>
    </w:p>
    <w:p w14:paraId="28E937EE" w14:textId="1FA91B15" w:rsidR="00BB6A81" w:rsidRPr="00BB6A81" w:rsidRDefault="00BB6A81" w:rsidP="00770113">
      <w:pPr>
        <w:pStyle w:val="CommentText"/>
        <w:spacing w:line="360" w:lineRule="auto"/>
        <w:rPr>
          <w:b/>
          <w:sz w:val="22"/>
          <w:szCs w:val="22"/>
        </w:rPr>
      </w:pPr>
      <w:r w:rsidRPr="00BB6A81">
        <w:rPr>
          <w:b/>
          <w:sz w:val="22"/>
          <w:szCs w:val="22"/>
        </w:rPr>
        <w:t>Competing Interests</w:t>
      </w:r>
    </w:p>
    <w:p w14:paraId="7C6FCD3C" w14:textId="1570465C" w:rsidR="00C35B72" w:rsidRDefault="00BB6A81" w:rsidP="00770113">
      <w:pPr>
        <w:pStyle w:val="CommentText"/>
        <w:spacing w:line="360" w:lineRule="auto"/>
        <w:rPr>
          <w:color w:val="000000"/>
          <w:sz w:val="22"/>
          <w:szCs w:val="22"/>
          <w:shd w:val="clear" w:color="auto" w:fill="FFFFFF"/>
        </w:rPr>
      </w:pPr>
      <w:r w:rsidRPr="00BB6A81">
        <w:rPr>
          <w:color w:val="000000"/>
          <w:sz w:val="22"/>
          <w:szCs w:val="22"/>
          <w:shd w:val="clear" w:color="auto" w:fill="FFFFFF"/>
        </w:rPr>
        <w:t xml:space="preserve">ALA, SAJ, PA, and JCGH have received funding to their institutions from Weight Watchers and have given and received hospitality from providers of commercial weight loss services on a small number of occasions. PA and SAJ are conducting another publicly funded trial in which part of the intervention is delivered by and donated free by Slimming World and Rosemary Conley. Until January 2014, SAJ wrote a regular nutrition column for the Rosemary Conley Diet and Fitness magazine and received a fee. </w:t>
      </w:r>
    </w:p>
    <w:p w14:paraId="694E82C6" w14:textId="77777777" w:rsidR="00D658C8" w:rsidRDefault="00D658C8" w:rsidP="00D658C8">
      <w:pPr>
        <w:pStyle w:val="CommentText"/>
        <w:spacing w:line="360" w:lineRule="auto"/>
        <w:rPr>
          <w:b/>
          <w:sz w:val="22"/>
          <w:szCs w:val="22"/>
        </w:rPr>
      </w:pPr>
      <w:r>
        <w:rPr>
          <w:b/>
          <w:sz w:val="22"/>
          <w:szCs w:val="22"/>
        </w:rPr>
        <w:t>Acknowledgements</w:t>
      </w:r>
    </w:p>
    <w:p w14:paraId="03FBDECB" w14:textId="77777777" w:rsidR="00D658C8" w:rsidRPr="00BB6A81" w:rsidRDefault="00D658C8" w:rsidP="00D658C8">
      <w:pPr>
        <w:pStyle w:val="CommentText"/>
        <w:spacing w:line="360" w:lineRule="auto"/>
        <w:rPr>
          <w:sz w:val="22"/>
          <w:szCs w:val="22"/>
        </w:rPr>
      </w:pPr>
      <w:r w:rsidRPr="00BB6A81">
        <w:rPr>
          <w:sz w:val="22"/>
          <w:szCs w:val="22"/>
        </w:rPr>
        <w:t xml:space="preserve">The authors </w:t>
      </w:r>
      <w:r>
        <w:rPr>
          <w:sz w:val="22"/>
          <w:szCs w:val="22"/>
        </w:rPr>
        <w:t xml:space="preserve">would like to acknowledge their CoInvestigators on the WRAP trial who contributed to the design of the trial and obtaining funding: Simon Cohn, Adrian Mander, and Marc Suhrcke. They would also like to thank and </w:t>
      </w:r>
      <w:r w:rsidRPr="00BB6A81">
        <w:rPr>
          <w:sz w:val="22"/>
          <w:szCs w:val="22"/>
        </w:rPr>
        <w:t>the research staff who recruited part</w:t>
      </w:r>
      <w:r>
        <w:rPr>
          <w:sz w:val="22"/>
          <w:szCs w:val="22"/>
        </w:rPr>
        <w:t>i</w:t>
      </w:r>
      <w:r w:rsidRPr="00BB6A81">
        <w:rPr>
          <w:sz w:val="22"/>
          <w:szCs w:val="22"/>
        </w:rPr>
        <w:t xml:space="preserve">cipants and collected data: Abbey Child, </w:t>
      </w:r>
      <w:r>
        <w:rPr>
          <w:sz w:val="22"/>
          <w:szCs w:val="22"/>
        </w:rPr>
        <w:t xml:space="preserve">George Cummins, Hannah Faleti, </w:t>
      </w:r>
      <w:r w:rsidRPr="00BB6A81">
        <w:rPr>
          <w:sz w:val="22"/>
          <w:szCs w:val="22"/>
        </w:rPr>
        <w:t xml:space="preserve">Jessica </w:t>
      </w:r>
      <w:r>
        <w:rPr>
          <w:sz w:val="22"/>
          <w:szCs w:val="22"/>
        </w:rPr>
        <w:t xml:space="preserve">Strudwick, David Timmins, </w:t>
      </w:r>
      <w:r w:rsidRPr="00BB6A81">
        <w:rPr>
          <w:sz w:val="22"/>
          <w:szCs w:val="22"/>
        </w:rPr>
        <w:t>Gin Hughes, Ann Thomson, Melina Tsiountsioura, Jennifer Woolston</w:t>
      </w:r>
      <w:r>
        <w:rPr>
          <w:sz w:val="22"/>
          <w:szCs w:val="22"/>
        </w:rPr>
        <w:t xml:space="preserve"> and the practice staff at participating practices</w:t>
      </w:r>
      <w:r w:rsidRPr="00BB6A81">
        <w:rPr>
          <w:sz w:val="22"/>
          <w:szCs w:val="22"/>
        </w:rPr>
        <w:t>.</w:t>
      </w:r>
    </w:p>
    <w:p w14:paraId="616B37F4" w14:textId="77777777" w:rsidR="00D658C8" w:rsidRPr="00BB6A81" w:rsidRDefault="00D658C8" w:rsidP="00770113">
      <w:pPr>
        <w:pStyle w:val="CommentText"/>
        <w:spacing w:line="360" w:lineRule="auto"/>
        <w:rPr>
          <w:sz w:val="22"/>
          <w:szCs w:val="22"/>
        </w:rPr>
      </w:pPr>
    </w:p>
    <w:p w14:paraId="68217BF1" w14:textId="3A23C58B" w:rsidR="00C35B72" w:rsidRPr="00BB6A81" w:rsidRDefault="00BB6A81" w:rsidP="00770113">
      <w:pPr>
        <w:pStyle w:val="CommentText"/>
        <w:spacing w:line="360" w:lineRule="auto"/>
        <w:rPr>
          <w:b/>
          <w:sz w:val="22"/>
          <w:szCs w:val="22"/>
        </w:rPr>
      </w:pPr>
      <w:r>
        <w:rPr>
          <w:b/>
          <w:sz w:val="22"/>
          <w:szCs w:val="22"/>
        </w:rPr>
        <w:t>References</w:t>
      </w:r>
    </w:p>
    <w:p w14:paraId="27ACF410" w14:textId="63656747" w:rsidR="00D658C8" w:rsidRPr="00D658C8" w:rsidRDefault="004B0234">
      <w:pPr>
        <w:pStyle w:val="NormalWeb"/>
        <w:ind w:left="640" w:hanging="640"/>
        <w:divId w:val="1993097960"/>
        <w:rPr>
          <w:rFonts w:ascii="Calibri" w:hAnsi="Calibri"/>
          <w:noProof/>
          <w:sz w:val="22"/>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D658C8" w:rsidRPr="00D658C8">
        <w:rPr>
          <w:rFonts w:ascii="Calibri" w:hAnsi="Calibri"/>
          <w:noProof/>
          <w:sz w:val="22"/>
        </w:rPr>
        <w:t xml:space="preserve">1. </w:t>
      </w:r>
      <w:r w:rsidR="00D658C8" w:rsidRPr="00D658C8">
        <w:rPr>
          <w:rFonts w:ascii="Calibri" w:hAnsi="Calibri"/>
          <w:noProof/>
          <w:sz w:val="22"/>
        </w:rPr>
        <w:tab/>
        <w:t>Hartmann-Boyce J, Johns DJ, Jebb SA, Summerbell C, Aveyard P. Behavioural weight management programmes for adults assessed by trials conducted in everyday contexts: systematic review and meta-analysis. Obes Rev [Internet]. 2014 Nov [cited 2015 Jan 18];15(11):920–32. Available from: http://www.pubmedcentral.nih.gov/articlerender.fcgi?artid=4233997&amp;tool=pmcentrez&amp;rendertype=abstract</w:t>
      </w:r>
    </w:p>
    <w:p w14:paraId="311BDA96"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2. </w:t>
      </w:r>
      <w:r w:rsidRPr="00D658C8">
        <w:rPr>
          <w:rFonts w:ascii="Calibri" w:hAnsi="Calibri"/>
          <w:noProof/>
          <w:sz w:val="22"/>
        </w:rPr>
        <w:tab/>
        <w:t>Relton C, Li J, Strong M, Holdsworth M, Cooper R, Green M, et al. Deprivation, clubs and drugs: results of a UK regional population-based cross-sectional study of weight management strategies. BMC Public Health [Internet]. 2014;14:444. Available from: http://www.biomedcentral.com/1471-2458/14/444</w:t>
      </w:r>
    </w:p>
    <w:p w14:paraId="149D7EFE"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3. </w:t>
      </w:r>
      <w:r w:rsidRPr="00D658C8">
        <w:rPr>
          <w:rFonts w:ascii="Calibri" w:hAnsi="Calibri"/>
          <w:noProof/>
          <w:sz w:val="22"/>
        </w:rPr>
        <w:tab/>
        <w:t>Health and Social Care Information Service. Health Survey for England [Internet]. 2013. Available from: http://www.hscic.gov.uk/catalogue/PUB16076/HSE2013-Ch10-Adult-anth-meas.pdf</w:t>
      </w:r>
    </w:p>
    <w:p w14:paraId="791D8939"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lastRenderedPageBreak/>
        <w:t xml:space="preserve">4. </w:t>
      </w:r>
      <w:r w:rsidRPr="00D658C8">
        <w:rPr>
          <w:rFonts w:ascii="Calibri" w:hAnsi="Calibri"/>
          <w:noProof/>
          <w:sz w:val="22"/>
        </w:rPr>
        <w:tab/>
        <w:t>Pagoto SL, Schneider KL, Oleski JL, Luciani JM, Bodenlos JS, Whited MC. Male inclusion in randomized controlled trials of lifestyle weight loss interventions. Obesity (Silver Spring) [Internet]. 2012 Jun [cited 2015 Feb 11];20(6):1234–9. Available from: http://www.ncbi.nlm.nih.gov/pubmed/21633403</w:t>
      </w:r>
    </w:p>
    <w:p w14:paraId="7D263D53"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5. </w:t>
      </w:r>
      <w:r w:rsidRPr="00D658C8">
        <w:rPr>
          <w:rFonts w:ascii="Calibri" w:hAnsi="Calibri"/>
          <w:noProof/>
          <w:sz w:val="22"/>
        </w:rPr>
        <w:tab/>
        <w:t>Booth HP, Prevost a T, Gulliford MC. Access to weight reduction interventions for overweight and obese patients in UK primary care: population-based cohort study. BMJ Open [Internet]. 2015 Jan [cited 2015 Apr 7];5(1):e006642. Available from: http://www.pubmedcentral.nih.gov/articlerender.fcgi?artid=4316417&amp;tool=pmcentrez&amp;rendertype=abstract</w:t>
      </w:r>
    </w:p>
    <w:p w14:paraId="3F0B8F77"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6. </w:t>
      </w:r>
      <w:r w:rsidRPr="00D658C8">
        <w:rPr>
          <w:rFonts w:ascii="Calibri" w:hAnsi="Calibri"/>
          <w:noProof/>
          <w:sz w:val="22"/>
        </w:rPr>
        <w:tab/>
        <w:t xml:space="preserve">Ahern AL, Olson AD, Aston LM, Jebb SA. Weight Watchers on prescription: an observational study of weight change among adults referred to Weight Watchers by the NHS. BMC Public Health. 2011;11:434. </w:t>
      </w:r>
    </w:p>
    <w:p w14:paraId="398B9AE1"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7. </w:t>
      </w:r>
      <w:r w:rsidRPr="00D658C8">
        <w:rPr>
          <w:rFonts w:ascii="Calibri" w:hAnsi="Calibri"/>
          <w:noProof/>
          <w:sz w:val="22"/>
        </w:rPr>
        <w:tab/>
        <w:t xml:space="preserve">Stubbs RJ, Pallister C, Whybrow S, Avery A, Lavin J. Weight outcomes audit for 34,271 adults referred to a primary care/commercial weight management partnership scheme. Obes Facts. 2011;4:113–20. </w:t>
      </w:r>
    </w:p>
    <w:p w14:paraId="3BC16AA0"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8. </w:t>
      </w:r>
      <w:r w:rsidRPr="00D658C8">
        <w:rPr>
          <w:rFonts w:ascii="Calibri" w:hAnsi="Calibri"/>
          <w:noProof/>
          <w:sz w:val="22"/>
        </w:rPr>
        <w:tab/>
        <w:t xml:space="preserve">Allen JT, Cohn SR, Ahern AL. The impact of primary care referral on experience of a commercial weight loss programme. Br J Gen Pract. 2015;in press. </w:t>
      </w:r>
    </w:p>
    <w:p w14:paraId="06246182"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9. </w:t>
      </w:r>
      <w:r w:rsidRPr="00D658C8">
        <w:rPr>
          <w:rFonts w:ascii="Calibri" w:hAnsi="Calibri"/>
          <w:noProof/>
          <w:sz w:val="22"/>
        </w:rPr>
        <w:tab/>
        <w:t xml:space="preserve">Ahern AL, Cohn SR. Participants ’ Explanatory Model of Being Overweight and Their Experiences of 2 Weight Loss Interventions. Ann Fam Med. 2013;251–7. </w:t>
      </w:r>
    </w:p>
    <w:p w14:paraId="3CBD627D"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10. </w:t>
      </w:r>
      <w:r w:rsidRPr="00D658C8">
        <w:rPr>
          <w:rFonts w:ascii="Calibri" w:hAnsi="Calibri"/>
          <w:noProof/>
          <w:sz w:val="22"/>
        </w:rPr>
        <w:tab/>
        <w:t>Wang Y, Hunt K, Nazareth I, Freemantle N, Petersen I. Do men consult less than women? An analysis of routinely collected UK general practice data. BMJ Open [Internet]. 2013;3:e003320. Available from: http://www.pubmedcentral.nih.gov/articlerender.fcgi?artid=3753483&amp;tool=pmcentrez&amp;rendertype=abstract</w:t>
      </w:r>
    </w:p>
    <w:p w14:paraId="487819F8"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11. </w:t>
      </w:r>
      <w:r w:rsidRPr="00D658C8">
        <w:rPr>
          <w:rFonts w:ascii="Calibri" w:hAnsi="Calibri"/>
          <w:noProof/>
          <w:sz w:val="22"/>
        </w:rPr>
        <w:tab/>
        <w:t>Jebb SA, Ahern AL, Olson AD, Aston LM, Holzapfel C, Stoll J, et al. Primary care referral to a commercial provider for weight loss treatment versus standard care: a randomised controlled trial. Lancet [Internet]. 2011;378(9801):1485–92. Available from: http://www.ncbi.nlm.nih.gov/pubmed/21906798</w:t>
      </w:r>
    </w:p>
    <w:p w14:paraId="428920A7"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12. </w:t>
      </w:r>
      <w:r w:rsidRPr="00D658C8">
        <w:rPr>
          <w:rFonts w:ascii="Calibri" w:hAnsi="Calibri"/>
          <w:noProof/>
          <w:sz w:val="22"/>
        </w:rPr>
        <w:tab/>
        <w:t>Jolly K, Lewis A, Beach J, Denley J, Adab P, Deeks JJ, et al. Comparison of range of commercial or primary care led weight reduction programmes with minimal intervention control for weight loss in obesity: lighten Up randomised controlled trial. BMJ [Internet]. 2011 Jan [cited 2015 Jan 21];343:d6500. Available from: http://www.pubmedcentral.nih.gov/articlerender.fcgi?artid=3208022&amp;tool=pmcentrez&amp;rendertype=abstract</w:t>
      </w:r>
    </w:p>
    <w:p w14:paraId="21B66D2D"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13. </w:t>
      </w:r>
      <w:r w:rsidRPr="00D658C8">
        <w:rPr>
          <w:rFonts w:ascii="Calibri" w:hAnsi="Calibri"/>
          <w:noProof/>
          <w:sz w:val="22"/>
        </w:rPr>
        <w:tab/>
        <w:t>Ahern AL, Aveyard PN, Halford JC, Mander A, Cresswell L, Cohn SR, et al. Weight loss referrals for adults in primary care (WRAP): protocol for a multi-centre randomised controlled trial comparing the clinical and cost-effectiveness of primary care referral to a commercial weight loss provider for 12 weeks, referral for 52 week. BMC Public Health [Internet]. 2014 Jan [cited 2015 Jan 20];14(1):620. Available from: http://www.pubmedcentral.nih.gov/articlerender.fcgi?artid=4230033&amp;tool=pmcentrez&amp;rendertype=abstract</w:t>
      </w:r>
    </w:p>
    <w:p w14:paraId="6E872E43"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lastRenderedPageBreak/>
        <w:t xml:space="preserve">14. </w:t>
      </w:r>
      <w:r w:rsidRPr="00D658C8">
        <w:rPr>
          <w:rFonts w:ascii="Calibri" w:hAnsi="Calibri"/>
          <w:noProof/>
          <w:sz w:val="22"/>
        </w:rPr>
        <w:tab/>
        <w:t xml:space="preserve">Department for Communities and Local Government. The English Indices of Deprivation 2010. 2011. </w:t>
      </w:r>
    </w:p>
    <w:p w14:paraId="5306B527"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15. </w:t>
      </w:r>
      <w:r w:rsidRPr="00D658C8">
        <w:rPr>
          <w:rFonts w:ascii="Calibri" w:hAnsi="Calibri"/>
          <w:noProof/>
          <w:sz w:val="22"/>
        </w:rPr>
        <w:tab/>
        <w:t>Hunt K, Wyke S, Gray CM, Anderson AS, Brady A, Bunn C, et al. A gender-sensitised weight loss and healthy living programme for overweight and obese men delivered by Scottish Premier League football clubs (FFIT): a pragmatic randomised controlled trial. Lancet [Internet]. 2014 Apr 5 [cited 2015 Feb 25];383(9924):1211–21. Available from: http://www.ncbi.nlm.nih.gov/pubmed/24457205</w:t>
      </w:r>
    </w:p>
    <w:p w14:paraId="436079E7"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16. </w:t>
      </w:r>
      <w:r w:rsidRPr="00D658C8">
        <w:rPr>
          <w:rFonts w:ascii="Calibri" w:hAnsi="Calibri"/>
          <w:noProof/>
          <w:sz w:val="22"/>
        </w:rPr>
        <w:tab/>
        <w:t>Robertson C, Archibald D, Avenell A, Douglas F, Hoddinott P, van Teijlingen E, et al. Systematic reviews of and integrated report on the quantitative, qualitative and economic evidence base for the management of obesity in men. Heal Technol Assess [Internet]. 2014;18(35). Available from: http://journalslibrary.nihr.ac.uk/hta/hta18350</w:t>
      </w:r>
    </w:p>
    <w:p w14:paraId="67315980"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17. </w:t>
      </w:r>
      <w:r w:rsidRPr="00D658C8">
        <w:rPr>
          <w:rFonts w:ascii="Calibri" w:hAnsi="Calibri"/>
          <w:noProof/>
          <w:sz w:val="22"/>
        </w:rPr>
        <w:tab/>
        <w:t>Hunt K, Gray CM, Maclean A, Smillie S, Bunn C, Wyke S. Do weight management programmes delivered at professional football clubs attract and engage high risk men? A mixed-methods study. BMC Public Health [Internet]. 2014;14:50. Available from: http://www.pubmedcentral.nih.gov/articlerender.fcgi?artid=4028855&amp;tool=pmcentrez&amp;rendertype=abstract</w:t>
      </w:r>
    </w:p>
    <w:p w14:paraId="6B436162"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18. </w:t>
      </w:r>
      <w:r w:rsidRPr="00D658C8">
        <w:rPr>
          <w:rFonts w:ascii="Calibri" w:hAnsi="Calibri"/>
          <w:noProof/>
          <w:sz w:val="22"/>
        </w:rPr>
        <w:tab/>
        <w:t xml:space="preserve">Anderson C, Peterson C, Fletcher L, Mitchell J, Thuras P, Crow S. Weight loss and gender: an examination of physician attitudes. Obes Res. 2001;9(4):257–63. </w:t>
      </w:r>
    </w:p>
    <w:p w14:paraId="12FBDD4C" w14:textId="77777777" w:rsidR="00D658C8" w:rsidRPr="00D658C8" w:rsidRDefault="00D658C8">
      <w:pPr>
        <w:pStyle w:val="NormalWeb"/>
        <w:ind w:left="640" w:hanging="640"/>
        <w:divId w:val="1993097960"/>
        <w:rPr>
          <w:rFonts w:ascii="Calibri" w:hAnsi="Calibri"/>
          <w:noProof/>
          <w:sz w:val="22"/>
        </w:rPr>
      </w:pPr>
      <w:r w:rsidRPr="00D658C8">
        <w:rPr>
          <w:rFonts w:ascii="Calibri" w:hAnsi="Calibri"/>
          <w:noProof/>
          <w:sz w:val="22"/>
        </w:rPr>
        <w:t xml:space="preserve">19. </w:t>
      </w:r>
      <w:r w:rsidRPr="00D658C8">
        <w:rPr>
          <w:rFonts w:ascii="Calibri" w:hAnsi="Calibri"/>
          <w:noProof/>
          <w:sz w:val="22"/>
        </w:rPr>
        <w:tab/>
        <w:t xml:space="preserve">Dutton GR, Perri MG, Stine CC, Goble M, Van Vessem N. Comparison of physician weight loss goals for obese male and female patients. Prev Med (Baltim) [Internet]. Elsevier Inc.; 2010 Apr [cited 2015 Sep 4];50(4):186–8. Available from: http://www.ncbi.nlm.nih.gov/pubmed/20132837 </w:t>
      </w:r>
    </w:p>
    <w:p w14:paraId="671088CB" w14:textId="61817DF2" w:rsidR="00781C2D" w:rsidRDefault="004B0234" w:rsidP="00D658C8">
      <w:pPr>
        <w:pStyle w:val="NormalWeb"/>
        <w:ind w:left="640" w:hanging="640"/>
        <w:divId w:val="483549641"/>
        <w:rPr>
          <w:sz w:val="22"/>
          <w:szCs w:val="22"/>
        </w:rPr>
      </w:pPr>
      <w:r>
        <w:rPr>
          <w:sz w:val="22"/>
          <w:szCs w:val="22"/>
        </w:rPr>
        <w:fldChar w:fldCharType="end"/>
      </w:r>
    </w:p>
    <w:p w14:paraId="2CC8AC1A" w14:textId="77777777" w:rsidR="00781C2D" w:rsidRDefault="00781C2D">
      <w:pPr>
        <w:rPr>
          <w:rFonts w:ascii="Times New Roman" w:eastAsiaTheme="minorEastAsia" w:hAnsi="Times New Roman" w:cs="Times New Roman"/>
          <w:lang w:eastAsia="en-GB"/>
        </w:rPr>
      </w:pPr>
      <w:r>
        <w:br w:type="page"/>
      </w:r>
    </w:p>
    <w:p w14:paraId="297F3E5C" w14:textId="77777777" w:rsidR="00781C2D" w:rsidRPr="00BB6A81" w:rsidRDefault="00781C2D" w:rsidP="00781C2D">
      <w:pPr>
        <w:divId w:val="2122989716"/>
        <w:rPr>
          <w:b/>
        </w:rPr>
      </w:pPr>
      <w:r w:rsidRPr="00BB6A81">
        <w:rPr>
          <w:b/>
        </w:rPr>
        <w:lastRenderedPageBreak/>
        <w:t xml:space="preserve">Table 1: Baseline </w:t>
      </w:r>
      <w:r>
        <w:rPr>
          <w:b/>
        </w:rPr>
        <w:t>c</w:t>
      </w:r>
      <w:r w:rsidRPr="00BB6A81">
        <w:rPr>
          <w:b/>
        </w:rPr>
        <w:t xml:space="preserve">haracteristics of all </w:t>
      </w:r>
      <w:r>
        <w:rPr>
          <w:b/>
        </w:rPr>
        <w:t>recruited p</w:t>
      </w:r>
      <w:r w:rsidRPr="00BB6A81">
        <w:rPr>
          <w:b/>
        </w:rPr>
        <w:t>articipants (N=1269)</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2146"/>
      </w:tblGrid>
      <w:tr w:rsidR="00781C2D" w:rsidRPr="00BB6A81" w14:paraId="5C5E4457" w14:textId="77777777" w:rsidTr="00781C2D">
        <w:trPr>
          <w:divId w:val="2122989716"/>
        </w:trPr>
        <w:tc>
          <w:tcPr>
            <w:tcW w:w="3276" w:type="dxa"/>
            <w:tcBorders>
              <w:top w:val="single" w:sz="4" w:space="0" w:color="auto"/>
              <w:bottom w:val="single" w:sz="4" w:space="0" w:color="auto"/>
            </w:tcBorders>
            <w:shd w:val="clear" w:color="auto" w:fill="D9D9D9" w:themeFill="background1" w:themeFillShade="D9"/>
          </w:tcPr>
          <w:p w14:paraId="11880BE4" w14:textId="77777777" w:rsidR="00781C2D" w:rsidRPr="00BB6A81" w:rsidRDefault="00781C2D" w:rsidP="0014692E">
            <w:pPr>
              <w:rPr>
                <w:b/>
              </w:rPr>
            </w:pPr>
          </w:p>
        </w:tc>
        <w:tc>
          <w:tcPr>
            <w:tcW w:w="2146" w:type="dxa"/>
            <w:tcBorders>
              <w:top w:val="single" w:sz="4" w:space="0" w:color="auto"/>
              <w:bottom w:val="single" w:sz="4" w:space="0" w:color="auto"/>
            </w:tcBorders>
            <w:shd w:val="clear" w:color="auto" w:fill="D9D9D9" w:themeFill="background1" w:themeFillShade="D9"/>
          </w:tcPr>
          <w:p w14:paraId="2B3CF3B6" w14:textId="77777777" w:rsidR="00781C2D" w:rsidRPr="00BB6A81" w:rsidRDefault="00781C2D" w:rsidP="0014692E">
            <w:pPr>
              <w:rPr>
                <w:b/>
              </w:rPr>
            </w:pPr>
            <w:r w:rsidRPr="00BB6A81">
              <w:rPr>
                <w:b/>
              </w:rPr>
              <w:t>Mean (SD)</w:t>
            </w:r>
          </w:p>
        </w:tc>
      </w:tr>
      <w:tr w:rsidR="00781C2D" w:rsidRPr="00BB6A81" w14:paraId="48AAE8B5" w14:textId="77777777" w:rsidTr="00781C2D">
        <w:trPr>
          <w:divId w:val="2122989716"/>
        </w:trPr>
        <w:tc>
          <w:tcPr>
            <w:tcW w:w="3276" w:type="dxa"/>
            <w:tcBorders>
              <w:top w:val="single" w:sz="4" w:space="0" w:color="auto"/>
              <w:bottom w:val="single" w:sz="4" w:space="0" w:color="auto"/>
            </w:tcBorders>
          </w:tcPr>
          <w:p w14:paraId="2770926D" w14:textId="77777777" w:rsidR="00781C2D" w:rsidRPr="00BB6A81" w:rsidRDefault="00781C2D" w:rsidP="0014692E">
            <w:pPr>
              <w:spacing w:line="360" w:lineRule="auto"/>
              <w:rPr>
                <w:b/>
              </w:rPr>
            </w:pPr>
            <w:r w:rsidRPr="00BB6A81">
              <w:rPr>
                <w:b/>
              </w:rPr>
              <w:t>Age (year)</w:t>
            </w:r>
          </w:p>
        </w:tc>
        <w:tc>
          <w:tcPr>
            <w:tcW w:w="2146" w:type="dxa"/>
            <w:tcBorders>
              <w:top w:val="single" w:sz="4" w:space="0" w:color="auto"/>
              <w:bottom w:val="single" w:sz="4" w:space="0" w:color="auto"/>
            </w:tcBorders>
          </w:tcPr>
          <w:p w14:paraId="24AE2AC1" w14:textId="77777777" w:rsidR="00781C2D" w:rsidRPr="00BB6A81" w:rsidRDefault="00781C2D" w:rsidP="0014692E">
            <w:pPr>
              <w:spacing w:line="360" w:lineRule="auto"/>
            </w:pPr>
            <w:r w:rsidRPr="00BB6A81">
              <w:t>53.2 (13.8)</w:t>
            </w:r>
          </w:p>
        </w:tc>
      </w:tr>
      <w:tr w:rsidR="00781C2D" w:rsidRPr="00BB6A81" w14:paraId="7E885ECF" w14:textId="77777777" w:rsidTr="00781C2D">
        <w:trPr>
          <w:divId w:val="2122989716"/>
        </w:trPr>
        <w:tc>
          <w:tcPr>
            <w:tcW w:w="3276" w:type="dxa"/>
            <w:tcBorders>
              <w:top w:val="single" w:sz="4" w:space="0" w:color="auto"/>
              <w:bottom w:val="single" w:sz="4" w:space="0" w:color="auto"/>
            </w:tcBorders>
          </w:tcPr>
          <w:p w14:paraId="5FAE433D" w14:textId="77777777" w:rsidR="00781C2D" w:rsidRPr="00BB6A81" w:rsidRDefault="00781C2D" w:rsidP="0014692E">
            <w:pPr>
              <w:spacing w:line="360" w:lineRule="auto"/>
              <w:rPr>
                <w:b/>
              </w:rPr>
            </w:pPr>
            <w:r w:rsidRPr="00BB6A81">
              <w:rPr>
                <w:b/>
              </w:rPr>
              <w:t>Weight (kg)</w:t>
            </w:r>
          </w:p>
        </w:tc>
        <w:tc>
          <w:tcPr>
            <w:tcW w:w="2146" w:type="dxa"/>
            <w:tcBorders>
              <w:top w:val="single" w:sz="4" w:space="0" w:color="auto"/>
              <w:bottom w:val="single" w:sz="4" w:space="0" w:color="auto"/>
            </w:tcBorders>
          </w:tcPr>
          <w:p w14:paraId="3B56730C" w14:textId="77777777" w:rsidR="00781C2D" w:rsidRPr="00BB6A81" w:rsidRDefault="00781C2D" w:rsidP="0014692E">
            <w:pPr>
              <w:spacing w:line="360" w:lineRule="auto"/>
            </w:pPr>
            <w:r w:rsidRPr="00BB6A81">
              <w:t>96.2 (17.4)</w:t>
            </w:r>
          </w:p>
        </w:tc>
      </w:tr>
      <w:tr w:rsidR="00781C2D" w:rsidRPr="00BB6A81" w14:paraId="4FF40EAA" w14:textId="77777777" w:rsidTr="00781C2D">
        <w:trPr>
          <w:divId w:val="2122989716"/>
        </w:trPr>
        <w:tc>
          <w:tcPr>
            <w:tcW w:w="3276" w:type="dxa"/>
            <w:tcBorders>
              <w:top w:val="single" w:sz="4" w:space="0" w:color="auto"/>
              <w:bottom w:val="single" w:sz="4" w:space="0" w:color="auto"/>
            </w:tcBorders>
          </w:tcPr>
          <w:p w14:paraId="50AA2807" w14:textId="77777777" w:rsidR="00781C2D" w:rsidRPr="00BB6A81" w:rsidRDefault="00781C2D" w:rsidP="0014692E">
            <w:pPr>
              <w:spacing w:line="360" w:lineRule="auto"/>
              <w:rPr>
                <w:b/>
              </w:rPr>
            </w:pPr>
            <w:r w:rsidRPr="00BB6A81">
              <w:rPr>
                <w:b/>
              </w:rPr>
              <w:t>Height (cm)</w:t>
            </w:r>
          </w:p>
        </w:tc>
        <w:tc>
          <w:tcPr>
            <w:tcW w:w="2146" w:type="dxa"/>
            <w:tcBorders>
              <w:top w:val="single" w:sz="4" w:space="0" w:color="auto"/>
              <w:bottom w:val="single" w:sz="4" w:space="0" w:color="auto"/>
            </w:tcBorders>
          </w:tcPr>
          <w:p w14:paraId="2ACE85E9" w14:textId="77777777" w:rsidR="00781C2D" w:rsidRPr="00BB6A81" w:rsidRDefault="00781C2D" w:rsidP="0014692E">
            <w:pPr>
              <w:spacing w:line="360" w:lineRule="auto"/>
            </w:pPr>
            <w:r w:rsidRPr="00BB6A81">
              <w:t>166.8 (9.1)</w:t>
            </w:r>
          </w:p>
        </w:tc>
      </w:tr>
      <w:tr w:rsidR="00781C2D" w:rsidRPr="00BB6A81" w14:paraId="6FCE0491" w14:textId="77777777" w:rsidTr="00781C2D">
        <w:trPr>
          <w:divId w:val="2122989716"/>
        </w:trPr>
        <w:tc>
          <w:tcPr>
            <w:tcW w:w="3276" w:type="dxa"/>
            <w:tcBorders>
              <w:top w:val="single" w:sz="4" w:space="0" w:color="auto"/>
              <w:bottom w:val="single" w:sz="4" w:space="0" w:color="auto"/>
            </w:tcBorders>
          </w:tcPr>
          <w:p w14:paraId="60E3737C" w14:textId="77777777" w:rsidR="00781C2D" w:rsidRPr="00BB6A81" w:rsidRDefault="00781C2D" w:rsidP="0014692E">
            <w:pPr>
              <w:spacing w:line="360" w:lineRule="auto"/>
              <w:rPr>
                <w:b/>
              </w:rPr>
            </w:pPr>
            <w:r w:rsidRPr="00BB6A81">
              <w:rPr>
                <w:b/>
              </w:rPr>
              <w:t>BMI (kg/m</w:t>
            </w:r>
            <w:r w:rsidRPr="00BB6A81">
              <w:rPr>
                <w:b/>
                <w:vertAlign w:val="superscript"/>
              </w:rPr>
              <w:t>2</w:t>
            </w:r>
            <w:r w:rsidRPr="00BB6A81">
              <w:rPr>
                <w:b/>
              </w:rPr>
              <w:t>)</w:t>
            </w:r>
          </w:p>
        </w:tc>
        <w:tc>
          <w:tcPr>
            <w:tcW w:w="2146" w:type="dxa"/>
            <w:tcBorders>
              <w:top w:val="single" w:sz="4" w:space="0" w:color="auto"/>
              <w:bottom w:val="single" w:sz="4" w:space="0" w:color="auto"/>
            </w:tcBorders>
          </w:tcPr>
          <w:p w14:paraId="10D25330" w14:textId="77777777" w:rsidR="00781C2D" w:rsidRPr="00BB6A81" w:rsidRDefault="00781C2D" w:rsidP="0014692E">
            <w:pPr>
              <w:spacing w:line="360" w:lineRule="auto"/>
            </w:pPr>
            <w:r w:rsidRPr="00BB6A81">
              <w:t>34.5 (5.2)</w:t>
            </w:r>
          </w:p>
        </w:tc>
      </w:tr>
      <w:tr w:rsidR="00781C2D" w:rsidRPr="00BB6A81" w14:paraId="0529934E" w14:textId="77777777" w:rsidTr="00781C2D">
        <w:trPr>
          <w:divId w:val="2122989716"/>
        </w:trPr>
        <w:tc>
          <w:tcPr>
            <w:tcW w:w="3276" w:type="dxa"/>
            <w:tcBorders>
              <w:top w:val="single" w:sz="4" w:space="0" w:color="auto"/>
              <w:bottom w:val="single" w:sz="4" w:space="0" w:color="auto"/>
            </w:tcBorders>
            <w:shd w:val="clear" w:color="auto" w:fill="D9D9D9" w:themeFill="background1" w:themeFillShade="D9"/>
          </w:tcPr>
          <w:p w14:paraId="4D922E5A" w14:textId="77777777" w:rsidR="00781C2D" w:rsidRPr="00BB6A81" w:rsidRDefault="00781C2D" w:rsidP="0014692E">
            <w:pPr>
              <w:rPr>
                <w:b/>
              </w:rPr>
            </w:pPr>
          </w:p>
        </w:tc>
        <w:tc>
          <w:tcPr>
            <w:tcW w:w="2146" w:type="dxa"/>
            <w:tcBorders>
              <w:top w:val="single" w:sz="4" w:space="0" w:color="auto"/>
              <w:bottom w:val="single" w:sz="4" w:space="0" w:color="auto"/>
            </w:tcBorders>
            <w:shd w:val="clear" w:color="auto" w:fill="D9D9D9" w:themeFill="background1" w:themeFillShade="D9"/>
          </w:tcPr>
          <w:p w14:paraId="7C092050" w14:textId="77777777" w:rsidR="00781C2D" w:rsidRPr="00BB6A81" w:rsidRDefault="00781C2D" w:rsidP="0014692E">
            <w:pPr>
              <w:rPr>
                <w:b/>
              </w:rPr>
            </w:pPr>
            <w:r w:rsidRPr="00BB6A81">
              <w:rPr>
                <w:b/>
              </w:rPr>
              <w:t>N (%)</w:t>
            </w:r>
          </w:p>
        </w:tc>
      </w:tr>
      <w:tr w:rsidR="00781C2D" w:rsidRPr="00BB6A81" w14:paraId="0B40C2F7" w14:textId="77777777" w:rsidTr="00781C2D">
        <w:trPr>
          <w:divId w:val="2122989716"/>
        </w:trPr>
        <w:tc>
          <w:tcPr>
            <w:tcW w:w="3276" w:type="dxa"/>
            <w:tcBorders>
              <w:top w:val="single" w:sz="4" w:space="0" w:color="auto"/>
              <w:bottom w:val="single" w:sz="4" w:space="0" w:color="auto"/>
            </w:tcBorders>
          </w:tcPr>
          <w:p w14:paraId="2704BC94" w14:textId="77777777" w:rsidR="00781C2D" w:rsidRPr="00BB6A81" w:rsidRDefault="00781C2D" w:rsidP="0014692E">
            <w:pPr>
              <w:rPr>
                <w:b/>
              </w:rPr>
            </w:pPr>
            <w:r w:rsidRPr="00BB6A81">
              <w:rPr>
                <w:b/>
              </w:rPr>
              <w:t>Gender</w:t>
            </w:r>
          </w:p>
        </w:tc>
        <w:tc>
          <w:tcPr>
            <w:tcW w:w="2146" w:type="dxa"/>
            <w:tcBorders>
              <w:top w:val="single" w:sz="4" w:space="0" w:color="auto"/>
              <w:bottom w:val="single" w:sz="4" w:space="0" w:color="auto"/>
            </w:tcBorders>
          </w:tcPr>
          <w:p w14:paraId="7BC337CE" w14:textId="77777777" w:rsidR="00781C2D" w:rsidRPr="00BB6A81" w:rsidRDefault="00781C2D" w:rsidP="0014692E"/>
        </w:tc>
      </w:tr>
      <w:tr w:rsidR="00781C2D" w:rsidRPr="00BB6A81" w14:paraId="5D7D393C" w14:textId="77777777" w:rsidTr="00781C2D">
        <w:trPr>
          <w:divId w:val="2122989716"/>
        </w:trPr>
        <w:tc>
          <w:tcPr>
            <w:tcW w:w="3276" w:type="dxa"/>
            <w:tcBorders>
              <w:top w:val="single" w:sz="4" w:space="0" w:color="auto"/>
              <w:bottom w:val="single" w:sz="4" w:space="0" w:color="auto"/>
            </w:tcBorders>
          </w:tcPr>
          <w:p w14:paraId="4E842B36" w14:textId="77777777" w:rsidR="00781C2D" w:rsidRPr="00BB6A81" w:rsidRDefault="00781C2D" w:rsidP="0014692E">
            <w:pPr>
              <w:ind w:firstLine="284"/>
            </w:pPr>
            <w:r w:rsidRPr="00BB6A81">
              <w:t xml:space="preserve"> Female</w:t>
            </w:r>
          </w:p>
        </w:tc>
        <w:tc>
          <w:tcPr>
            <w:tcW w:w="2146" w:type="dxa"/>
            <w:tcBorders>
              <w:top w:val="single" w:sz="4" w:space="0" w:color="auto"/>
              <w:bottom w:val="single" w:sz="4" w:space="0" w:color="auto"/>
            </w:tcBorders>
          </w:tcPr>
          <w:p w14:paraId="3F7A9A46" w14:textId="77777777" w:rsidR="00781C2D" w:rsidRPr="00BB6A81" w:rsidRDefault="00781C2D" w:rsidP="0014692E">
            <w:r w:rsidRPr="00BB6A81">
              <w:t>862 (68)</w:t>
            </w:r>
          </w:p>
        </w:tc>
      </w:tr>
      <w:tr w:rsidR="00781C2D" w:rsidRPr="00BB6A81" w14:paraId="68F1868E" w14:textId="77777777" w:rsidTr="00781C2D">
        <w:trPr>
          <w:divId w:val="2122989716"/>
        </w:trPr>
        <w:tc>
          <w:tcPr>
            <w:tcW w:w="3276" w:type="dxa"/>
            <w:tcBorders>
              <w:top w:val="single" w:sz="4" w:space="0" w:color="auto"/>
              <w:bottom w:val="single" w:sz="4" w:space="0" w:color="auto"/>
            </w:tcBorders>
          </w:tcPr>
          <w:p w14:paraId="2809896A" w14:textId="77777777" w:rsidR="00781C2D" w:rsidRPr="00BB6A81" w:rsidRDefault="00781C2D" w:rsidP="0014692E">
            <w:pPr>
              <w:ind w:firstLine="284"/>
            </w:pPr>
            <w:r w:rsidRPr="00BB6A81">
              <w:t xml:space="preserve"> Male</w:t>
            </w:r>
          </w:p>
        </w:tc>
        <w:tc>
          <w:tcPr>
            <w:tcW w:w="2146" w:type="dxa"/>
            <w:tcBorders>
              <w:top w:val="single" w:sz="4" w:space="0" w:color="auto"/>
              <w:bottom w:val="single" w:sz="4" w:space="0" w:color="auto"/>
            </w:tcBorders>
          </w:tcPr>
          <w:p w14:paraId="10E98073" w14:textId="77777777" w:rsidR="00781C2D" w:rsidRPr="00BB6A81" w:rsidRDefault="00781C2D" w:rsidP="0014692E">
            <w:r w:rsidRPr="00BB6A81">
              <w:t>407 (32)</w:t>
            </w:r>
          </w:p>
        </w:tc>
      </w:tr>
      <w:tr w:rsidR="00781C2D" w:rsidRPr="00BB6A81" w14:paraId="1F38ED86" w14:textId="77777777" w:rsidTr="00781C2D">
        <w:trPr>
          <w:divId w:val="2122989716"/>
        </w:trPr>
        <w:tc>
          <w:tcPr>
            <w:tcW w:w="3276" w:type="dxa"/>
            <w:tcBorders>
              <w:top w:val="single" w:sz="4" w:space="0" w:color="auto"/>
              <w:bottom w:val="single" w:sz="4" w:space="0" w:color="auto"/>
            </w:tcBorders>
          </w:tcPr>
          <w:p w14:paraId="14C3DA11" w14:textId="77777777" w:rsidR="00781C2D" w:rsidRPr="00BB6A81" w:rsidRDefault="00781C2D" w:rsidP="0014692E">
            <w:pPr>
              <w:rPr>
                <w:b/>
              </w:rPr>
            </w:pPr>
          </w:p>
          <w:p w14:paraId="389187E8" w14:textId="77777777" w:rsidR="00781C2D" w:rsidRPr="00BB6A81" w:rsidRDefault="00781C2D" w:rsidP="0014692E">
            <w:pPr>
              <w:rPr>
                <w:b/>
              </w:rPr>
            </w:pPr>
            <w:r w:rsidRPr="00BB6A81">
              <w:rPr>
                <w:b/>
              </w:rPr>
              <w:t>Ethnicity</w:t>
            </w:r>
          </w:p>
        </w:tc>
        <w:tc>
          <w:tcPr>
            <w:tcW w:w="2146" w:type="dxa"/>
            <w:tcBorders>
              <w:top w:val="single" w:sz="4" w:space="0" w:color="auto"/>
              <w:bottom w:val="single" w:sz="4" w:space="0" w:color="auto"/>
            </w:tcBorders>
          </w:tcPr>
          <w:p w14:paraId="42179EEE" w14:textId="77777777" w:rsidR="00781C2D" w:rsidRPr="00BB6A81" w:rsidRDefault="00781C2D" w:rsidP="0014692E"/>
        </w:tc>
      </w:tr>
      <w:tr w:rsidR="00781C2D" w:rsidRPr="00BB6A81" w14:paraId="309E6FD3" w14:textId="77777777" w:rsidTr="00781C2D">
        <w:trPr>
          <w:divId w:val="2122989716"/>
        </w:trPr>
        <w:tc>
          <w:tcPr>
            <w:tcW w:w="3276" w:type="dxa"/>
            <w:tcBorders>
              <w:top w:val="single" w:sz="4" w:space="0" w:color="auto"/>
              <w:bottom w:val="single" w:sz="4" w:space="0" w:color="auto"/>
            </w:tcBorders>
          </w:tcPr>
          <w:p w14:paraId="65FCF815" w14:textId="77777777" w:rsidR="00781C2D" w:rsidRPr="00BB6A81" w:rsidRDefault="00781C2D" w:rsidP="0014692E">
            <w:pPr>
              <w:ind w:firstLine="284"/>
            </w:pPr>
            <w:r w:rsidRPr="00BB6A81">
              <w:t>Asian/Asian British</w:t>
            </w:r>
          </w:p>
        </w:tc>
        <w:tc>
          <w:tcPr>
            <w:tcW w:w="2146" w:type="dxa"/>
            <w:tcBorders>
              <w:top w:val="single" w:sz="4" w:space="0" w:color="auto"/>
              <w:bottom w:val="single" w:sz="4" w:space="0" w:color="auto"/>
            </w:tcBorders>
          </w:tcPr>
          <w:p w14:paraId="34C625A1" w14:textId="77777777" w:rsidR="00781C2D" w:rsidRPr="00BB6A81" w:rsidRDefault="00781C2D" w:rsidP="0014692E">
            <w:r w:rsidRPr="00BB6A81">
              <w:t>35 (2.8)</w:t>
            </w:r>
          </w:p>
        </w:tc>
      </w:tr>
      <w:tr w:rsidR="00781C2D" w:rsidRPr="00BB6A81" w14:paraId="393DC068" w14:textId="77777777" w:rsidTr="00781C2D">
        <w:trPr>
          <w:divId w:val="2122989716"/>
        </w:trPr>
        <w:tc>
          <w:tcPr>
            <w:tcW w:w="3276" w:type="dxa"/>
            <w:tcBorders>
              <w:top w:val="single" w:sz="4" w:space="0" w:color="auto"/>
              <w:bottom w:val="single" w:sz="4" w:space="0" w:color="auto"/>
            </w:tcBorders>
          </w:tcPr>
          <w:p w14:paraId="4934BF6D" w14:textId="77777777" w:rsidR="00781C2D" w:rsidRPr="00BB6A81" w:rsidRDefault="00781C2D" w:rsidP="0014692E">
            <w:pPr>
              <w:ind w:firstLine="284"/>
            </w:pPr>
            <w:r w:rsidRPr="00BB6A81">
              <w:t>Black/Black British</w:t>
            </w:r>
          </w:p>
        </w:tc>
        <w:tc>
          <w:tcPr>
            <w:tcW w:w="2146" w:type="dxa"/>
            <w:tcBorders>
              <w:top w:val="single" w:sz="4" w:space="0" w:color="auto"/>
              <w:bottom w:val="single" w:sz="4" w:space="0" w:color="auto"/>
            </w:tcBorders>
          </w:tcPr>
          <w:p w14:paraId="07A0A745" w14:textId="77777777" w:rsidR="00781C2D" w:rsidRPr="00BB6A81" w:rsidRDefault="00781C2D" w:rsidP="0014692E">
            <w:r w:rsidRPr="00BB6A81">
              <w:t>23 (1.8)</w:t>
            </w:r>
          </w:p>
        </w:tc>
      </w:tr>
      <w:tr w:rsidR="00781C2D" w:rsidRPr="00BB6A81" w14:paraId="2E00CCB8" w14:textId="77777777" w:rsidTr="00781C2D">
        <w:trPr>
          <w:divId w:val="2122989716"/>
        </w:trPr>
        <w:tc>
          <w:tcPr>
            <w:tcW w:w="3276" w:type="dxa"/>
            <w:tcBorders>
              <w:top w:val="single" w:sz="4" w:space="0" w:color="auto"/>
              <w:bottom w:val="single" w:sz="4" w:space="0" w:color="auto"/>
            </w:tcBorders>
          </w:tcPr>
          <w:p w14:paraId="110B346B" w14:textId="77777777" w:rsidR="00781C2D" w:rsidRPr="00BB6A81" w:rsidRDefault="00781C2D" w:rsidP="0014692E">
            <w:pPr>
              <w:ind w:firstLine="284"/>
            </w:pPr>
            <w:r w:rsidRPr="00BB6A81">
              <w:t>Mixed/ Multiple Ethnic Group</w:t>
            </w:r>
          </w:p>
        </w:tc>
        <w:tc>
          <w:tcPr>
            <w:tcW w:w="2146" w:type="dxa"/>
            <w:tcBorders>
              <w:top w:val="single" w:sz="4" w:space="0" w:color="auto"/>
              <w:bottom w:val="single" w:sz="4" w:space="0" w:color="auto"/>
            </w:tcBorders>
          </w:tcPr>
          <w:p w14:paraId="75E6B027" w14:textId="77777777" w:rsidR="00781C2D" w:rsidRPr="00BB6A81" w:rsidRDefault="00781C2D" w:rsidP="0014692E">
            <w:r w:rsidRPr="00BB6A81">
              <w:t>15 (1.2)</w:t>
            </w:r>
          </w:p>
        </w:tc>
      </w:tr>
      <w:tr w:rsidR="00781C2D" w:rsidRPr="00BB6A81" w14:paraId="2098F31C" w14:textId="77777777" w:rsidTr="00781C2D">
        <w:trPr>
          <w:divId w:val="2122989716"/>
        </w:trPr>
        <w:tc>
          <w:tcPr>
            <w:tcW w:w="3276" w:type="dxa"/>
            <w:tcBorders>
              <w:top w:val="single" w:sz="4" w:space="0" w:color="auto"/>
              <w:bottom w:val="single" w:sz="4" w:space="0" w:color="auto"/>
            </w:tcBorders>
          </w:tcPr>
          <w:p w14:paraId="6FBA6EC1" w14:textId="77777777" w:rsidR="00781C2D" w:rsidRPr="00BB6A81" w:rsidRDefault="00781C2D" w:rsidP="0014692E">
            <w:pPr>
              <w:ind w:firstLine="284"/>
            </w:pPr>
            <w:r w:rsidRPr="00BB6A81">
              <w:t>White/White British</w:t>
            </w:r>
          </w:p>
        </w:tc>
        <w:tc>
          <w:tcPr>
            <w:tcW w:w="2146" w:type="dxa"/>
            <w:tcBorders>
              <w:top w:val="single" w:sz="4" w:space="0" w:color="auto"/>
              <w:bottom w:val="single" w:sz="4" w:space="0" w:color="auto"/>
            </w:tcBorders>
          </w:tcPr>
          <w:p w14:paraId="5E37DFFE" w14:textId="77777777" w:rsidR="00781C2D" w:rsidRPr="00BB6A81" w:rsidRDefault="00781C2D" w:rsidP="0014692E">
            <w:r w:rsidRPr="00BB6A81">
              <w:t>1138 (89.7)</w:t>
            </w:r>
          </w:p>
        </w:tc>
      </w:tr>
      <w:tr w:rsidR="00781C2D" w:rsidRPr="00BB6A81" w14:paraId="45289563" w14:textId="77777777" w:rsidTr="00781C2D">
        <w:trPr>
          <w:divId w:val="2122989716"/>
        </w:trPr>
        <w:tc>
          <w:tcPr>
            <w:tcW w:w="3276" w:type="dxa"/>
            <w:tcBorders>
              <w:top w:val="single" w:sz="4" w:space="0" w:color="auto"/>
              <w:bottom w:val="single" w:sz="4" w:space="0" w:color="auto"/>
            </w:tcBorders>
          </w:tcPr>
          <w:p w14:paraId="26B338DD" w14:textId="77777777" w:rsidR="00781C2D" w:rsidRPr="00BB6A81" w:rsidRDefault="00781C2D" w:rsidP="0014692E">
            <w:pPr>
              <w:ind w:firstLine="284"/>
            </w:pPr>
            <w:r w:rsidRPr="00BB6A81">
              <w:t>Other</w:t>
            </w:r>
          </w:p>
        </w:tc>
        <w:tc>
          <w:tcPr>
            <w:tcW w:w="2146" w:type="dxa"/>
            <w:tcBorders>
              <w:top w:val="single" w:sz="4" w:space="0" w:color="auto"/>
              <w:bottom w:val="single" w:sz="4" w:space="0" w:color="auto"/>
            </w:tcBorders>
          </w:tcPr>
          <w:p w14:paraId="449938E5" w14:textId="77777777" w:rsidR="00781C2D" w:rsidRPr="00BB6A81" w:rsidRDefault="00781C2D" w:rsidP="0014692E">
            <w:r w:rsidRPr="00BB6A81">
              <w:t>15 (1.2)</w:t>
            </w:r>
          </w:p>
        </w:tc>
      </w:tr>
      <w:tr w:rsidR="00781C2D" w:rsidRPr="00BB6A81" w14:paraId="5DF6CC6F" w14:textId="77777777" w:rsidTr="00781C2D">
        <w:trPr>
          <w:divId w:val="2122989716"/>
        </w:trPr>
        <w:tc>
          <w:tcPr>
            <w:tcW w:w="3276" w:type="dxa"/>
            <w:tcBorders>
              <w:top w:val="single" w:sz="4" w:space="0" w:color="auto"/>
              <w:bottom w:val="single" w:sz="4" w:space="0" w:color="auto"/>
            </w:tcBorders>
          </w:tcPr>
          <w:p w14:paraId="40F7DBE5" w14:textId="77777777" w:rsidR="00781C2D" w:rsidRPr="00BB6A81" w:rsidRDefault="00781C2D" w:rsidP="0014692E">
            <w:pPr>
              <w:ind w:firstLine="284"/>
            </w:pPr>
            <w:r w:rsidRPr="00BB6A81">
              <w:t>Not stated/Prefer not to say</w:t>
            </w:r>
          </w:p>
        </w:tc>
        <w:tc>
          <w:tcPr>
            <w:tcW w:w="2146" w:type="dxa"/>
            <w:tcBorders>
              <w:top w:val="single" w:sz="4" w:space="0" w:color="auto"/>
              <w:bottom w:val="single" w:sz="4" w:space="0" w:color="auto"/>
            </w:tcBorders>
          </w:tcPr>
          <w:p w14:paraId="7FBBAD5D" w14:textId="77777777" w:rsidR="00781C2D" w:rsidRPr="00BB6A81" w:rsidRDefault="00781C2D" w:rsidP="0014692E">
            <w:r w:rsidRPr="00BB6A81">
              <w:t>43 (3.4)</w:t>
            </w:r>
          </w:p>
        </w:tc>
      </w:tr>
    </w:tbl>
    <w:p w14:paraId="600D9DB5" w14:textId="77777777" w:rsidR="00781C2D" w:rsidRDefault="00781C2D" w:rsidP="00781C2D">
      <w:pPr>
        <w:divId w:val="2122989716"/>
      </w:pPr>
      <w:r w:rsidRPr="00BB6A81">
        <w:br w:type="textWrapping" w:clear="all"/>
      </w:r>
    </w:p>
    <w:p w14:paraId="144888F1" w14:textId="05680B5D" w:rsidR="00781C2D" w:rsidRDefault="00781C2D">
      <w:pPr>
        <w:rPr>
          <w:rFonts w:ascii="Times New Roman" w:eastAsiaTheme="minorEastAsia" w:hAnsi="Times New Roman" w:cs="Times New Roman"/>
          <w:lang w:eastAsia="en-GB"/>
        </w:rPr>
      </w:pPr>
      <w:r>
        <w:br w:type="page"/>
      </w:r>
    </w:p>
    <w:p w14:paraId="1910EC09" w14:textId="77777777" w:rsidR="00781C2D" w:rsidRPr="00BB6A81" w:rsidRDefault="00781C2D" w:rsidP="00781C2D">
      <w:pPr>
        <w:divId w:val="2122989716"/>
        <w:rPr>
          <w:b/>
          <w:sz w:val="20"/>
          <w:szCs w:val="20"/>
        </w:rPr>
      </w:pPr>
      <w:r w:rsidRPr="00BB6A81">
        <w:rPr>
          <w:b/>
          <w:sz w:val="20"/>
          <w:szCs w:val="20"/>
        </w:rPr>
        <w:t xml:space="preserve">Table 2: Characteristics of invited and recruited populations for the 17 practices that provided data. </w:t>
      </w:r>
    </w:p>
    <w:tbl>
      <w:tblPr>
        <w:tblStyle w:val="TableGrid"/>
        <w:tblW w:w="8150" w:type="dxa"/>
        <w:tblLook w:val="04A0" w:firstRow="1" w:lastRow="0" w:firstColumn="1" w:lastColumn="0" w:noHBand="0" w:noVBand="1"/>
      </w:tblPr>
      <w:tblGrid>
        <w:gridCol w:w="2448"/>
        <w:gridCol w:w="1574"/>
        <w:gridCol w:w="2130"/>
        <w:gridCol w:w="1998"/>
      </w:tblGrid>
      <w:tr w:rsidR="00781C2D" w:rsidRPr="00BB6A81" w14:paraId="5B19BEEB" w14:textId="77777777" w:rsidTr="00781C2D">
        <w:trPr>
          <w:divId w:val="2122989716"/>
        </w:trPr>
        <w:tc>
          <w:tcPr>
            <w:tcW w:w="2448" w:type="dxa"/>
            <w:hideMark/>
          </w:tcPr>
          <w:p w14:paraId="393BDE1A" w14:textId="77777777" w:rsidR="00781C2D" w:rsidRPr="00BB6A81" w:rsidRDefault="00781C2D" w:rsidP="0014692E">
            <w:pPr>
              <w:spacing w:line="360" w:lineRule="auto"/>
              <w:rPr>
                <w:sz w:val="20"/>
                <w:szCs w:val="20"/>
              </w:rPr>
            </w:pPr>
            <w:r w:rsidRPr="00BB6A81">
              <w:rPr>
                <w:b/>
                <w:bCs/>
                <w:sz w:val="20"/>
                <w:szCs w:val="20"/>
              </w:rPr>
              <w:t> </w:t>
            </w:r>
          </w:p>
        </w:tc>
        <w:tc>
          <w:tcPr>
            <w:tcW w:w="1574" w:type="dxa"/>
            <w:vAlign w:val="center"/>
            <w:hideMark/>
          </w:tcPr>
          <w:p w14:paraId="48C45433" w14:textId="77777777" w:rsidR="00781C2D" w:rsidRPr="00BB6A81" w:rsidRDefault="00781C2D" w:rsidP="0014692E">
            <w:pPr>
              <w:spacing w:line="360" w:lineRule="auto"/>
              <w:jc w:val="center"/>
              <w:rPr>
                <w:sz w:val="20"/>
                <w:szCs w:val="20"/>
              </w:rPr>
            </w:pPr>
            <w:r w:rsidRPr="00BB6A81">
              <w:rPr>
                <w:b/>
                <w:bCs/>
                <w:sz w:val="20"/>
                <w:szCs w:val="20"/>
              </w:rPr>
              <w:t>Invited (N)</w:t>
            </w:r>
          </w:p>
        </w:tc>
        <w:tc>
          <w:tcPr>
            <w:tcW w:w="2130" w:type="dxa"/>
            <w:vAlign w:val="center"/>
            <w:hideMark/>
          </w:tcPr>
          <w:p w14:paraId="2EDF10AE" w14:textId="77777777" w:rsidR="00781C2D" w:rsidRPr="00BB6A81" w:rsidRDefault="00781C2D" w:rsidP="0014692E">
            <w:pPr>
              <w:spacing w:line="360" w:lineRule="auto"/>
              <w:jc w:val="center"/>
              <w:rPr>
                <w:sz w:val="20"/>
                <w:szCs w:val="20"/>
              </w:rPr>
            </w:pPr>
            <w:r w:rsidRPr="00BB6A81">
              <w:rPr>
                <w:b/>
                <w:bCs/>
                <w:sz w:val="20"/>
                <w:szCs w:val="20"/>
              </w:rPr>
              <w:t>Recruited</w:t>
            </w:r>
          </w:p>
          <w:p w14:paraId="3E8FA91F" w14:textId="77777777" w:rsidR="00781C2D" w:rsidRPr="00BB6A81" w:rsidRDefault="00781C2D" w:rsidP="0014692E">
            <w:pPr>
              <w:spacing w:line="360" w:lineRule="auto"/>
              <w:jc w:val="center"/>
              <w:rPr>
                <w:sz w:val="20"/>
                <w:szCs w:val="20"/>
              </w:rPr>
            </w:pPr>
            <w:r w:rsidRPr="00BB6A81">
              <w:rPr>
                <w:b/>
                <w:bCs/>
                <w:sz w:val="20"/>
                <w:szCs w:val="20"/>
              </w:rPr>
              <w:t>N (% of invited)</w:t>
            </w:r>
          </w:p>
        </w:tc>
        <w:tc>
          <w:tcPr>
            <w:tcW w:w="1998" w:type="dxa"/>
            <w:vAlign w:val="center"/>
            <w:hideMark/>
          </w:tcPr>
          <w:p w14:paraId="2857CFCC" w14:textId="77777777" w:rsidR="00781C2D" w:rsidRPr="00BB6A81" w:rsidRDefault="00781C2D" w:rsidP="0014692E">
            <w:pPr>
              <w:spacing w:line="360" w:lineRule="auto"/>
              <w:jc w:val="center"/>
              <w:rPr>
                <w:sz w:val="20"/>
                <w:szCs w:val="20"/>
              </w:rPr>
            </w:pPr>
            <w:r w:rsidRPr="00BB6A81">
              <w:rPr>
                <w:b/>
                <w:bCs/>
                <w:sz w:val="20"/>
                <w:szCs w:val="20"/>
              </w:rPr>
              <w:t>Odds Ratio</w:t>
            </w:r>
          </w:p>
          <w:p w14:paraId="4BCB8E2A" w14:textId="77777777" w:rsidR="00781C2D" w:rsidRPr="00BB6A81" w:rsidRDefault="00781C2D" w:rsidP="0014692E">
            <w:pPr>
              <w:spacing w:line="360" w:lineRule="auto"/>
              <w:jc w:val="center"/>
              <w:rPr>
                <w:sz w:val="20"/>
                <w:szCs w:val="20"/>
              </w:rPr>
            </w:pPr>
            <w:r w:rsidRPr="00BB6A81">
              <w:rPr>
                <w:b/>
                <w:bCs/>
                <w:sz w:val="20"/>
                <w:szCs w:val="20"/>
              </w:rPr>
              <w:t>(95%CI)</w:t>
            </w:r>
          </w:p>
        </w:tc>
      </w:tr>
      <w:tr w:rsidR="00781C2D" w:rsidRPr="00BB6A81" w14:paraId="09F1DB62" w14:textId="77777777" w:rsidTr="00781C2D">
        <w:trPr>
          <w:divId w:val="2122989716"/>
        </w:trPr>
        <w:tc>
          <w:tcPr>
            <w:tcW w:w="2448" w:type="dxa"/>
            <w:hideMark/>
          </w:tcPr>
          <w:p w14:paraId="05BE192A" w14:textId="77777777" w:rsidR="00781C2D" w:rsidRPr="00BB6A81" w:rsidRDefault="00781C2D" w:rsidP="0014692E">
            <w:pPr>
              <w:spacing w:line="360" w:lineRule="auto"/>
              <w:rPr>
                <w:sz w:val="20"/>
                <w:szCs w:val="20"/>
              </w:rPr>
            </w:pPr>
            <w:r w:rsidRPr="00BB6A81">
              <w:rPr>
                <w:b/>
                <w:bCs/>
                <w:sz w:val="20"/>
                <w:szCs w:val="20"/>
              </w:rPr>
              <w:t>Gender</w:t>
            </w:r>
          </w:p>
        </w:tc>
        <w:tc>
          <w:tcPr>
            <w:tcW w:w="1574" w:type="dxa"/>
            <w:vAlign w:val="center"/>
            <w:hideMark/>
          </w:tcPr>
          <w:p w14:paraId="68D800ED" w14:textId="77777777" w:rsidR="00781C2D" w:rsidRPr="00BB6A81" w:rsidRDefault="00781C2D" w:rsidP="0014692E">
            <w:pPr>
              <w:spacing w:line="360" w:lineRule="auto"/>
              <w:jc w:val="center"/>
              <w:rPr>
                <w:sz w:val="20"/>
                <w:szCs w:val="20"/>
              </w:rPr>
            </w:pPr>
          </w:p>
        </w:tc>
        <w:tc>
          <w:tcPr>
            <w:tcW w:w="2130" w:type="dxa"/>
            <w:vAlign w:val="center"/>
            <w:hideMark/>
          </w:tcPr>
          <w:p w14:paraId="41A8656E" w14:textId="77777777" w:rsidR="00781C2D" w:rsidRPr="00BB6A81" w:rsidRDefault="00781C2D" w:rsidP="0014692E">
            <w:pPr>
              <w:spacing w:line="360" w:lineRule="auto"/>
              <w:jc w:val="center"/>
              <w:rPr>
                <w:sz w:val="20"/>
                <w:szCs w:val="20"/>
              </w:rPr>
            </w:pPr>
          </w:p>
        </w:tc>
        <w:tc>
          <w:tcPr>
            <w:tcW w:w="1998" w:type="dxa"/>
            <w:vAlign w:val="center"/>
            <w:hideMark/>
          </w:tcPr>
          <w:p w14:paraId="744804ED" w14:textId="77777777" w:rsidR="00781C2D" w:rsidRPr="00BB6A81" w:rsidRDefault="00781C2D" w:rsidP="0014692E">
            <w:pPr>
              <w:spacing w:line="360" w:lineRule="auto"/>
              <w:jc w:val="center"/>
              <w:rPr>
                <w:sz w:val="20"/>
                <w:szCs w:val="20"/>
              </w:rPr>
            </w:pPr>
          </w:p>
        </w:tc>
      </w:tr>
      <w:tr w:rsidR="00781C2D" w:rsidRPr="00BB6A81" w14:paraId="727D55C5" w14:textId="77777777" w:rsidTr="00781C2D">
        <w:trPr>
          <w:divId w:val="2122989716"/>
        </w:trPr>
        <w:tc>
          <w:tcPr>
            <w:tcW w:w="2448" w:type="dxa"/>
            <w:hideMark/>
          </w:tcPr>
          <w:p w14:paraId="1E79E5A4" w14:textId="77777777" w:rsidR="00781C2D" w:rsidRPr="00BB6A81" w:rsidRDefault="00781C2D" w:rsidP="0014692E">
            <w:pPr>
              <w:spacing w:line="360" w:lineRule="auto"/>
              <w:rPr>
                <w:sz w:val="20"/>
                <w:szCs w:val="20"/>
              </w:rPr>
            </w:pPr>
            <w:r w:rsidRPr="00BB6A81">
              <w:rPr>
                <w:sz w:val="20"/>
                <w:szCs w:val="20"/>
              </w:rPr>
              <w:t>Male</w:t>
            </w:r>
          </w:p>
        </w:tc>
        <w:tc>
          <w:tcPr>
            <w:tcW w:w="1574" w:type="dxa"/>
            <w:vAlign w:val="center"/>
            <w:hideMark/>
          </w:tcPr>
          <w:p w14:paraId="456B9068" w14:textId="77777777" w:rsidR="00781C2D" w:rsidRPr="00BB6A81" w:rsidRDefault="00781C2D" w:rsidP="0014692E">
            <w:pPr>
              <w:spacing w:line="360" w:lineRule="auto"/>
              <w:jc w:val="center"/>
              <w:rPr>
                <w:sz w:val="20"/>
                <w:szCs w:val="20"/>
              </w:rPr>
            </w:pPr>
            <w:r w:rsidRPr="00BB6A81">
              <w:rPr>
                <w:sz w:val="20"/>
                <w:szCs w:val="20"/>
              </w:rPr>
              <w:t>6785</w:t>
            </w:r>
          </w:p>
        </w:tc>
        <w:tc>
          <w:tcPr>
            <w:tcW w:w="2130" w:type="dxa"/>
            <w:vAlign w:val="center"/>
            <w:hideMark/>
          </w:tcPr>
          <w:p w14:paraId="4A8FB8BA" w14:textId="77777777" w:rsidR="00781C2D" w:rsidRPr="00BB6A81" w:rsidRDefault="00781C2D" w:rsidP="0014692E">
            <w:pPr>
              <w:spacing w:line="360" w:lineRule="auto"/>
              <w:jc w:val="center"/>
              <w:rPr>
                <w:sz w:val="20"/>
                <w:szCs w:val="20"/>
              </w:rPr>
            </w:pPr>
            <w:r w:rsidRPr="00BB6A81">
              <w:rPr>
                <w:sz w:val="20"/>
                <w:szCs w:val="20"/>
              </w:rPr>
              <w:t>300 (4.4)</w:t>
            </w:r>
          </w:p>
        </w:tc>
        <w:tc>
          <w:tcPr>
            <w:tcW w:w="1998" w:type="dxa"/>
            <w:vAlign w:val="center"/>
            <w:hideMark/>
          </w:tcPr>
          <w:p w14:paraId="06AE9456" w14:textId="77777777" w:rsidR="00781C2D" w:rsidRPr="00BB6A81" w:rsidRDefault="00781C2D" w:rsidP="0014692E">
            <w:pPr>
              <w:spacing w:line="360" w:lineRule="auto"/>
              <w:jc w:val="center"/>
              <w:rPr>
                <w:sz w:val="20"/>
                <w:szCs w:val="20"/>
              </w:rPr>
            </w:pPr>
            <w:r w:rsidRPr="00BB6A81">
              <w:rPr>
                <w:sz w:val="20"/>
                <w:szCs w:val="20"/>
              </w:rPr>
              <w:t>-</w:t>
            </w:r>
          </w:p>
        </w:tc>
      </w:tr>
      <w:tr w:rsidR="00781C2D" w:rsidRPr="00BB6A81" w14:paraId="20BAD187" w14:textId="77777777" w:rsidTr="00781C2D">
        <w:trPr>
          <w:divId w:val="2122989716"/>
        </w:trPr>
        <w:tc>
          <w:tcPr>
            <w:tcW w:w="2448" w:type="dxa"/>
            <w:hideMark/>
          </w:tcPr>
          <w:p w14:paraId="4D505F0D" w14:textId="77777777" w:rsidR="00781C2D" w:rsidRPr="00BB6A81" w:rsidRDefault="00781C2D" w:rsidP="0014692E">
            <w:pPr>
              <w:spacing w:line="360" w:lineRule="auto"/>
              <w:rPr>
                <w:sz w:val="20"/>
                <w:szCs w:val="20"/>
              </w:rPr>
            </w:pPr>
            <w:r w:rsidRPr="00BB6A81">
              <w:rPr>
                <w:sz w:val="20"/>
                <w:szCs w:val="20"/>
              </w:rPr>
              <w:t>Female</w:t>
            </w:r>
          </w:p>
        </w:tc>
        <w:tc>
          <w:tcPr>
            <w:tcW w:w="1574" w:type="dxa"/>
            <w:vAlign w:val="center"/>
            <w:hideMark/>
          </w:tcPr>
          <w:p w14:paraId="1F5B5290" w14:textId="77777777" w:rsidR="00781C2D" w:rsidRPr="00BB6A81" w:rsidRDefault="00781C2D" w:rsidP="0014692E">
            <w:pPr>
              <w:spacing w:line="360" w:lineRule="auto"/>
              <w:jc w:val="center"/>
              <w:rPr>
                <w:sz w:val="20"/>
                <w:szCs w:val="20"/>
              </w:rPr>
            </w:pPr>
            <w:r w:rsidRPr="00BB6A81">
              <w:rPr>
                <w:sz w:val="20"/>
                <w:szCs w:val="20"/>
              </w:rPr>
              <w:t>7164</w:t>
            </w:r>
          </w:p>
        </w:tc>
        <w:tc>
          <w:tcPr>
            <w:tcW w:w="2130" w:type="dxa"/>
            <w:vAlign w:val="center"/>
            <w:hideMark/>
          </w:tcPr>
          <w:p w14:paraId="0D7B13D1" w14:textId="77777777" w:rsidR="00781C2D" w:rsidRPr="00BB6A81" w:rsidRDefault="00781C2D" w:rsidP="0014692E">
            <w:pPr>
              <w:spacing w:line="360" w:lineRule="auto"/>
              <w:jc w:val="center"/>
              <w:rPr>
                <w:sz w:val="20"/>
                <w:szCs w:val="20"/>
              </w:rPr>
            </w:pPr>
            <w:r w:rsidRPr="00BB6A81">
              <w:rPr>
                <w:sz w:val="20"/>
                <w:szCs w:val="20"/>
              </w:rPr>
              <w:t>610 (8.5)</w:t>
            </w:r>
          </w:p>
        </w:tc>
        <w:tc>
          <w:tcPr>
            <w:tcW w:w="1998" w:type="dxa"/>
            <w:vAlign w:val="center"/>
            <w:hideMark/>
          </w:tcPr>
          <w:p w14:paraId="45B3E090" w14:textId="77777777" w:rsidR="00781C2D" w:rsidRPr="00BB6A81" w:rsidRDefault="00781C2D" w:rsidP="0014692E">
            <w:pPr>
              <w:spacing w:line="360" w:lineRule="auto"/>
              <w:jc w:val="center"/>
              <w:rPr>
                <w:sz w:val="20"/>
                <w:szCs w:val="20"/>
              </w:rPr>
            </w:pPr>
            <w:r w:rsidRPr="00BB6A81">
              <w:rPr>
                <w:sz w:val="20"/>
                <w:szCs w:val="20"/>
              </w:rPr>
              <w:t>2.01 (1.75</w:t>
            </w:r>
            <w:r>
              <w:rPr>
                <w:sz w:val="20"/>
                <w:szCs w:val="20"/>
              </w:rPr>
              <w:t>-</w:t>
            </w:r>
            <w:r w:rsidRPr="00BB6A81">
              <w:rPr>
                <w:sz w:val="20"/>
                <w:szCs w:val="20"/>
              </w:rPr>
              <w:t>2.32)</w:t>
            </w:r>
          </w:p>
        </w:tc>
      </w:tr>
      <w:tr w:rsidR="00781C2D" w:rsidRPr="00BB6A81" w14:paraId="192D35E7" w14:textId="77777777" w:rsidTr="00781C2D">
        <w:trPr>
          <w:divId w:val="2122989716"/>
        </w:trPr>
        <w:tc>
          <w:tcPr>
            <w:tcW w:w="2448" w:type="dxa"/>
            <w:hideMark/>
          </w:tcPr>
          <w:p w14:paraId="3A04DA05" w14:textId="77777777" w:rsidR="00781C2D" w:rsidRPr="00BB6A81" w:rsidRDefault="00781C2D" w:rsidP="0014692E">
            <w:pPr>
              <w:spacing w:line="360" w:lineRule="auto"/>
              <w:rPr>
                <w:sz w:val="20"/>
                <w:szCs w:val="20"/>
              </w:rPr>
            </w:pPr>
            <w:r w:rsidRPr="00BB6A81">
              <w:rPr>
                <w:b/>
                <w:bCs/>
                <w:sz w:val="20"/>
                <w:szCs w:val="20"/>
              </w:rPr>
              <w:t>Practice IMD</w:t>
            </w:r>
            <w:r>
              <w:rPr>
                <w:b/>
                <w:bCs/>
                <w:sz w:val="20"/>
                <w:szCs w:val="20"/>
              </w:rPr>
              <w:t>*</w:t>
            </w:r>
          </w:p>
        </w:tc>
        <w:tc>
          <w:tcPr>
            <w:tcW w:w="1574" w:type="dxa"/>
            <w:vAlign w:val="center"/>
            <w:hideMark/>
          </w:tcPr>
          <w:p w14:paraId="672CD193" w14:textId="77777777" w:rsidR="00781C2D" w:rsidRPr="00BB6A81" w:rsidRDefault="00781C2D" w:rsidP="0014692E">
            <w:pPr>
              <w:spacing w:line="360" w:lineRule="auto"/>
              <w:jc w:val="center"/>
              <w:rPr>
                <w:sz w:val="20"/>
                <w:szCs w:val="20"/>
              </w:rPr>
            </w:pPr>
          </w:p>
        </w:tc>
        <w:tc>
          <w:tcPr>
            <w:tcW w:w="2130" w:type="dxa"/>
            <w:vAlign w:val="center"/>
            <w:hideMark/>
          </w:tcPr>
          <w:p w14:paraId="3D70D37D" w14:textId="77777777" w:rsidR="00781C2D" w:rsidRPr="00BB6A81" w:rsidRDefault="00781C2D" w:rsidP="0014692E">
            <w:pPr>
              <w:spacing w:line="360" w:lineRule="auto"/>
              <w:jc w:val="center"/>
              <w:rPr>
                <w:sz w:val="20"/>
                <w:szCs w:val="20"/>
              </w:rPr>
            </w:pPr>
          </w:p>
        </w:tc>
        <w:tc>
          <w:tcPr>
            <w:tcW w:w="1998" w:type="dxa"/>
            <w:vAlign w:val="center"/>
            <w:hideMark/>
          </w:tcPr>
          <w:p w14:paraId="2C6E2925" w14:textId="77777777" w:rsidR="00781C2D" w:rsidRPr="00BB6A81" w:rsidRDefault="00781C2D" w:rsidP="0014692E">
            <w:pPr>
              <w:spacing w:line="360" w:lineRule="auto"/>
              <w:jc w:val="center"/>
              <w:rPr>
                <w:sz w:val="20"/>
                <w:szCs w:val="20"/>
              </w:rPr>
            </w:pPr>
          </w:p>
        </w:tc>
      </w:tr>
      <w:tr w:rsidR="00781C2D" w:rsidRPr="00BB6A81" w14:paraId="3565ED00" w14:textId="77777777" w:rsidTr="00781C2D">
        <w:trPr>
          <w:divId w:val="2122989716"/>
        </w:trPr>
        <w:tc>
          <w:tcPr>
            <w:tcW w:w="2448" w:type="dxa"/>
            <w:hideMark/>
          </w:tcPr>
          <w:p w14:paraId="7679A100" w14:textId="77777777" w:rsidR="00781C2D" w:rsidRPr="00BB6A81" w:rsidRDefault="00781C2D" w:rsidP="0014692E">
            <w:pPr>
              <w:spacing w:line="360" w:lineRule="auto"/>
              <w:rPr>
                <w:sz w:val="20"/>
                <w:szCs w:val="20"/>
              </w:rPr>
            </w:pPr>
            <w:r w:rsidRPr="00BB6A81">
              <w:rPr>
                <w:sz w:val="20"/>
                <w:szCs w:val="20"/>
              </w:rPr>
              <w:t xml:space="preserve">Above national median </w:t>
            </w:r>
          </w:p>
        </w:tc>
        <w:tc>
          <w:tcPr>
            <w:tcW w:w="1574" w:type="dxa"/>
            <w:vAlign w:val="center"/>
            <w:hideMark/>
          </w:tcPr>
          <w:p w14:paraId="33228525" w14:textId="77777777" w:rsidR="00781C2D" w:rsidRPr="00BB6A81" w:rsidRDefault="00781C2D" w:rsidP="0014692E">
            <w:pPr>
              <w:spacing w:line="360" w:lineRule="auto"/>
              <w:jc w:val="center"/>
              <w:rPr>
                <w:sz w:val="20"/>
                <w:szCs w:val="20"/>
              </w:rPr>
            </w:pPr>
            <w:r w:rsidRPr="00BB6A81">
              <w:rPr>
                <w:sz w:val="20"/>
                <w:szCs w:val="20"/>
              </w:rPr>
              <w:t>7631</w:t>
            </w:r>
          </w:p>
        </w:tc>
        <w:tc>
          <w:tcPr>
            <w:tcW w:w="2130" w:type="dxa"/>
            <w:vAlign w:val="center"/>
            <w:hideMark/>
          </w:tcPr>
          <w:p w14:paraId="4E5AB7EE" w14:textId="77777777" w:rsidR="00781C2D" w:rsidRPr="00BB6A81" w:rsidRDefault="00781C2D" w:rsidP="0014692E">
            <w:pPr>
              <w:spacing w:line="360" w:lineRule="auto"/>
              <w:jc w:val="center"/>
              <w:rPr>
                <w:sz w:val="20"/>
                <w:szCs w:val="20"/>
              </w:rPr>
            </w:pPr>
            <w:r w:rsidRPr="00BB6A81">
              <w:rPr>
                <w:sz w:val="20"/>
                <w:szCs w:val="20"/>
              </w:rPr>
              <w:t>376 (4.9)</w:t>
            </w:r>
          </w:p>
        </w:tc>
        <w:tc>
          <w:tcPr>
            <w:tcW w:w="1998" w:type="dxa"/>
            <w:vAlign w:val="center"/>
            <w:hideMark/>
          </w:tcPr>
          <w:p w14:paraId="094EF6FD" w14:textId="77777777" w:rsidR="00781C2D" w:rsidRPr="00BB6A81" w:rsidRDefault="00781C2D" w:rsidP="0014692E">
            <w:pPr>
              <w:spacing w:line="360" w:lineRule="auto"/>
              <w:jc w:val="center"/>
              <w:rPr>
                <w:sz w:val="20"/>
                <w:szCs w:val="20"/>
              </w:rPr>
            </w:pPr>
            <w:r w:rsidRPr="00BB6A81">
              <w:rPr>
                <w:sz w:val="20"/>
                <w:szCs w:val="20"/>
              </w:rPr>
              <w:t>-</w:t>
            </w:r>
          </w:p>
        </w:tc>
      </w:tr>
      <w:tr w:rsidR="00781C2D" w:rsidRPr="00BB6A81" w14:paraId="64FA35B1" w14:textId="77777777" w:rsidTr="00781C2D">
        <w:trPr>
          <w:divId w:val="2122989716"/>
        </w:trPr>
        <w:tc>
          <w:tcPr>
            <w:tcW w:w="2448" w:type="dxa"/>
            <w:hideMark/>
          </w:tcPr>
          <w:p w14:paraId="2241EF78" w14:textId="77777777" w:rsidR="00781C2D" w:rsidRPr="00BB6A81" w:rsidRDefault="00781C2D" w:rsidP="0014692E">
            <w:pPr>
              <w:spacing w:line="360" w:lineRule="auto"/>
              <w:rPr>
                <w:sz w:val="20"/>
                <w:szCs w:val="20"/>
              </w:rPr>
            </w:pPr>
            <w:r w:rsidRPr="00BB6A81">
              <w:rPr>
                <w:sz w:val="20"/>
                <w:szCs w:val="20"/>
              </w:rPr>
              <w:t>Below national median</w:t>
            </w:r>
          </w:p>
        </w:tc>
        <w:tc>
          <w:tcPr>
            <w:tcW w:w="1574" w:type="dxa"/>
            <w:vAlign w:val="center"/>
            <w:hideMark/>
          </w:tcPr>
          <w:p w14:paraId="568C9999" w14:textId="77777777" w:rsidR="00781C2D" w:rsidRPr="00BB6A81" w:rsidRDefault="00781C2D" w:rsidP="0014692E">
            <w:pPr>
              <w:spacing w:line="360" w:lineRule="auto"/>
              <w:jc w:val="center"/>
              <w:rPr>
                <w:sz w:val="20"/>
                <w:szCs w:val="20"/>
              </w:rPr>
            </w:pPr>
            <w:r w:rsidRPr="00BB6A81">
              <w:rPr>
                <w:sz w:val="20"/>
                <w:szCs w:val="20"/>
              </w:rPr>
              <w:t>6318</w:t>
            </w:r>
          </w:p>
        </w:tc>
        <w:tc>
          <w:tcPr>
            <w:tcW w:w="2130" w:type="dxa"/>
            <w:vAlign w:val="center"/>
            <w:hideMark/>
          </w:tcPr>
          <w:p w14:paraId="6AED559A" w14:textId="77777777" w:rsidR="00781C2D" w:rsidRPr="00BB6A81" w:rsidRDefault="00781C2D" w:rsidP="0014692E">
            <w:pPr>
              <w:spacing w:line="360" w:lineRule="auto"/>
              <w:jc w:val="center"/>
              <w:rPr>
                <w:sz w:val="20"/>
                <w:szCs w:val="20"/>
              </w:rPr>
            </w:pPr>
            <w:r w:rsidRPr="00BB6A81">
              <w:rPr>
                <w:sz w:val="20"/>
                <w:szCs w:val="20"/>
              </w:rPr>
              <w:t>534 (8.5)</w:t>
            </w:r>
          </w:p>
        </w:tc>
        <w:tc>
          <w:tcPr>
            <w:tcW w:w="1998" w:type="dxa"/>
            <w:vAlign w:val="center"/>
            <w:hideMark/>
          </w:tcPr>
          <w:p w14:paraId="2DF9D8AD" w14:textId="77777777" w:rsidR="00781C2D" w:rsidRPr="00BB6A81" w:rsidRDefault="00781C2D" w:rsidP="0014692E">
            <w:pPr>
              <w:spacing w:line="360" w:lineRule="auto"/>
              <w:jc w:val="center"/>
              <w:rPr>
                <w:sz w:val="20"/>
                <w:szCs w:val="20"/>
              </w:rPr>
            </w:pPr>
            <w:r w:rsidRPr="00BB6A81">
              <w:rPr>
                <w:sz w:val="20"/>
                <w:szCs w:val="20"/>
              </w:rPr>
              <w:t>1.77 (1.55-2.03)</w:t>
            </w:r>
          </w:p>
        </w:tc>
      </w:tr>
      <w:tr w:rsidR="00781C2D" w:rsidRPr="00BB6A81" w14:paraId="69084B0F" w14:textId="77777777" w:rsidTr="00781C2D">
        <w:trPr>
          <w:divId w:val="2122989716"/>
        </w:trPr>
        <w:tc>
          <w:tcPr>
            <w:tcW w:w="2448" w:type="dxa"/>
            <w:hideMark/>
          </w:tcPr>
          <w:p w14:paraId="6DEAC720" w14:textId="77777777" w:rsidR="00781C2D" w:rsidRPr="00BB6A81" w:rsidRDefault="00781C2D" w:rsidP="0014692E">
            <w:pPr>
              <w:spacing w:line="360" w:lineRule="auto"/>
              <w:rPr>
                <w:sz w:val="20"/>
                <w:szCs w:val="20"/>
              </w:rPr>
            </w:pPr>
            <w:r w:rsidRPr="00BB6A81">
              <w:rPr>
                <w:b/>
                <w:bCs/>
                <w:sz w:val="20"/>
                <w:szCs w:val="20"/>
              </w:rPr>
              <w:t>Age</w:t>
            </w:r>
          </w:p>
        </w:tc>
        <w:tc>
          <w:tcPr>
            <w:tcW w:w="1574" w:type="dxa"/>
            <w:vAlign w:val="center"/>
            <w:hideMark/>
          </w:tcPr>
          <w:p w14:paraId="62E6122E" w14:textId="77777777" w:rsidR="00781C2D" w:rsidRPr="00BB6A81" w:rsidRDefault="00781C2D" w:rsidP="0014692E">
            <w:pPr>
              <w:spacing w:line="360" w:lineRule="auto"/>
              <w:jc w:val="center"/>
              <w:rPr>
                <w:sz w:val="20"/>
                <w:szCs w:val="20"/>
              </w:rPr>
            </w:pPr>
          </w:p>
        </w:tc>
        <w:tc>
          <w:tcPr>
            <w:tcW w:w="2130" w:type="dxa"/>
            <w:vAlign w:val="center"/>
            <w:hideMark/>
          </w:tcPr>
          <w:p w14:paraId="2F545CC8" w14:textId="77777777" w:rsidR="00781C2D" w:rsidRPr="00BB6A81" w:rsidRDefault="00781C2D" w:rsidP="0014692E">
            <w:pPr>
              <w:spacing w:line="360" w:lineRule="auto"/>
              <w:jc w:val="center"/>
              <w:rPr>
                <w:sz w:val="20"/>
                <w:szCs w:val="20"/>
              </w:rPr>
            </w:pPr>
          </w:p>
        </w:tc>
        <w:tc>
          <w:tcPr>
            <w:tcW w:w="1998" w:type="dxa"/>
            <w:vAlign w:val="center"/>
            <w:hideMark/>
          </w:tcPr>
          <w:p w14:paraId="527837FA" w14:textId="77777777" w:rsidR="00781C2D" w:rsidRPr="00BB6A81" w:rsidRDefault="00781C2D" w:rsidP="0014692E">
            <w:pPr>
              <w:spacing w:line="360" w:lineRule="auto"/>
              <w:jc w:val="center"/>
              <w:rPr>
                <w:sz w:val="20"/>
                <w:szCs w:val="20"/>
              </w:rPr>
            </w:pPr>
          </w:p>
        </w:tc>
      </w:tr>
      <w:tr w:rsidR="00781C2D" w:rsidRPr="00BB6A81" w14:paraId="328C6F1A" w14:textId="77777777" w:rsidTr="00781C2D">
        <w:trPr>
          <w:divId w:val="2122989716"/>
        </w:trPr>
        <w:tc>
          <w:tcPr>
            <w:tcW w:w="2448" w:type="dxa"/>
            <w:hideMark/>
          </w:tcPr>
          <w:p w14:paraId="7E346519" w14:textId="77777777" w:rsidR="00781C2D" w:rsidRPr="00BB6A81" w:rsidRDefault="00781C2D" w:rsidP="0014692E">
            <w:pPr>
              <w:spacing w:line="360" w:lineRule="auto"/>
              <w:rPr>
                <w:sz w:val="20"/>
                <w:szCs w:val="20"/>
              </w:rPr>
            </w:pPr>
            <w:r w:rsidRPr="00BB6A81">
              <w:rPr>
                <w:sz w:val="20"/>
                <w:szCs w:val="20"/>
              </w:rPr>
              <w:t>&lt;40 years</w:t>
            </w:r>
          </w:p>
        </w:tc>
        <w:tc>
          <w:tcPr>
            <w:tcW w:w="1574" w:type="dxa"/>
            <w:vAlign w:val="center"/>
            <w:hideMark/>
          </w:tcPr>
          <w:p w14:paraId="3B176A71" w14:textId="77777777" w:rsidR="00781C2D" w:rsidRPr="00BB6A81" w:rsidRDefault="00781C2D" w:rsidP="0014692E">
            <w:pPr>
              <w:spacing w:line="360" w:lineRule="auto"/>
              <w:jc w:val="center"/>
              <w:rPr>
                <w:sz w:val="20"/>
                <w:szCs w:val="20"/>
              </w:rPr>
            </w:pPr>
            <w:r w:rsidRPr="00BB6A81">
              <w:rPr>
                <w:sz w:val="20"/>
                <w:szCs w:val="20"/>
              </w:rPr>
              <w:t>3384</w:t>
            </w:r>
          </w:p>
        </w:tc>
        <w:tc>
          <w:tcPr>
            <w:tcW w:w="2130" w:type="dxa"/>
            <w:vAlign w:val="center"/>
            <w:hideMark/>
          </w:tcPr>
          <w:p w14:paraId="0C5B3C5B" w14:textId="77777777" w:rsidR="00781C2D" w:rsidRPr="00BB6A81" w:rsidRDefault="00781C2D" w:rsidP="0014692E">
            <w:pPr>
              <w:spacing w:line="360" w:lineRule="auto"/>
              <w:jc w:val="center"/>
              <w:rPr>
                <w:sz w:val="20"/>
                <w:szCs w:val="20"/>
              </w:rPr>
            </w:pPr>
            <w:r w:rsidRPr="00BB6A81">
              <w:rPr>
                <w:sz w:val="20"/>
                <w:szCs w:val="20"/>
              </w:rPr>
              <w:t>155 (4.6)</w:t>
            </w:r>
          </w:p>
        </w:tc>
        <w:tc>
          <w:tcPr>
            <w:tcW w:w="1998" w:type="dxa"/>
            <w:vAlign w:val="center"/>
            <w:hideMark/>
          </w:tcPr>
          <w:p w14:paraId="23273797" w14:textId="77777777" w:rsidR="00781C2D" w:rsidRPr="00BB6A81" w:rsidRDefault="00781C2D" w:rsidP="0014692E">
            <w:pPr>
              <w:spacing w:line="360" w:lineRule="auto"/>
              <w:jc w:val="center"/>
              <w:rPr>
                <w:sz w:val="20"/>
                <w:szCs w:val="20"/>
              </w:rPr>
            </w:pPr>
            <w:r w:rsidRPr="00BB6A81">
              <w:rPr>
                <w:sz w:val="20"/>
                <w:szCs w:val="20"/>
              </w:rPr>
              <w:t>-</w:t>
            </w:r>
          </w:p>
        </w:tc>
      </w:tr>
      <w:tr w:rsidR="00781C2D" w:rsidRPr="00BB6A81" w14:paraId="1DA8A308" w14:textId="77777777" w:rsidTr="00781C2D">
        <w:trPr>
          <w:divId w:val="2122989716"/>
        </w:trPr>
        <w:tc>
          <w:tcPr>
            <w:tcW w:w="2448" w:type="dxa"/>
            <w:hideMark/>
          </w:tcPr>
          <w:p w14:paraId="508F0AB7" w14:textId="77777777" w:rsidR="00781C2D" w:rsidRPr="00BB6A81" w:rsidRDefault="00781C2D" w:rsidP="0014692E">
            <w:pPr>
              <w:spacing w:line="360" w:lineRule="auto"/>
              <w:rPr>
                <w:sz w:val="20"/>
                <w:szCs w:val="20"/>
              </w:rPr>
            </w:pPr>
            <w:r w:rsidRPr="00BB6A81">
              <w:rPr>
                <w:sz w:val="20"/>
                <w:szCs w:val="20"/>
              </w:rPr>
              <w:t>≥40 years</w:t>
            </w:r>
          </w:p>
        </w:tc>
        <w:tc>
          <w:tcPr>
            <w:tcW w:w="1574" w:type="dxa"/>
            <w:vAlign w:val="center"/>
            <w:hideMark/>
          </w:tcPr>
          <w:p w14:paraId="1A9AF942" w14:textId="77777777" w:rsidR="00781C2D" w:rsidRPr="00BB6A81" w:rsidRDefault="00781C2D" w:rsidP="0014692E">
            <w:pPr>
              <w:spacing w:line="360" w:lineRule="auto"/>
              <w:jc w:val="center"/>
              <w:rPr>
                <w:sz w:val="20"/>
                <w:szCs w:val="20"/>
              </w:rPr>
            </w:pPr>
            <w:r w:rsidRPr="00BB6A81">
              <w:rPr>
                <w:sz w:val="20"/>
                <w:szCs w:val="20"/>
              </w:rPr>
              <w:t>10565</w:t>
            </w:r>
          </w:p>
        </w:tc>
        <w:tc>
          <w:tcPr>
            <w:tcW w:w="2130" w:type="dxa"/>
            <w:vAlign w:val="center"/>
            <w:hideMark/>
          </w:tcPr>
          <w:p w14:paraId="4659063C" w14:textId="77777777" w:rsidR="00781C2D" w:rsidRPr="00BB6A81" w:rsidRDefault="00781C2D" w:rsidP="0014692E">
            <w:pPr>
              <w:spacing w:line="360" w:lineRule="auto"/>
              <w:jc w:val="center"/>
              <w:rPr>
                <w:sz w:val="20"/>
                <w:szCs w:val="20"/>
              </w:rPr>
            </w:pPr>
            <w:r w:rsidRPr="00BB6A81">
              <w:rPr>
                <w:sz w:val="20"/>
                <w:szCs w:val="20"/>
              </w:rPr>
              <w:t>752 (7%)</w:t>
            </w:r>
          </w:p>
        </w:tc>
        <w:tc>
          <w:tcPr>
            <w:tcW w:w="1998" w:type="dxa"/>
            <w:vAlign w:val="center"/>
            <w:hideMark/>
          </w:tcPr>
          <w:p w14:paraId="6050FA8B" w14:textId="77777777" w:rsidR="00781C2D" w:rsidRPr="00BB6A81" w:rsidRDefault="00781C2D" w:rsidP="0014692E">
            <w:pPr>
              <w:spacing w:line="360" w:lineRule="auto"/>
              <w:jc w:val="center"/>
              <w:rPr>
                <w:sz w:val="20"/>
                <w:szCs w:val="20"/>
              </w:rPr>
            </w:pPr>
            <w:r w:rsidRPr="00BB6A81">
              <w:rPr>
                <w:sz w:val="20"/>
                <w:szCs w:val="20"/>
              </w:rPr>
              <w:t>1.60 (1.34-1.91)</w:t>
            </w:r>
          </w:p>
        </w:tc>
      </w:tr>
    </w:tbl>
    <w:p w14:paraId="69831909" w14:textId="77777777" w:rsidR="00781C2D" w:rsidRPr="00BB6A81" w:rsidRDefault="00781C2D" w:rsidP="00781C2D">
      <w:pPr>
        <w:spacing w:line="360" w:lineRule="auto"/>
        <w:divId w:val="2122989716"/>
        <w:rPr>
          <w:i/>
          <w:sz w:val="20"/>
          <w:szCs w:val="20"/>
        </w:rPr>
      </w:pPr>
      <w:r>
        <w:rPr>
          <w:i/>
          <w:sz w:val="20"/>
          <w:szCs w:val="20"/>
        </w:rPr>
        <w:t>*</w:t>
      </w:r>
      <w:r w:rsidRPr="00BB6A81">
        <w:rPr>
          <w:i/>
          <w:sz w:val="20"/>
          <w:szCs w:val="20"/>
        </w:rPr>
        <w:t>Practice IMD = Index of multiple deprivation calculated using practice postcode. Higher IMD = more deprived location.</w:t>
      </w:r>
    </w:p>
    <w:p w14:paraId="0388A3C3" w14:textId="77777777" w:rsidR="00C35B72" w:rsidRDefault="00C35B72" w:rsidP="00BB6A81">
      <w:pPr>
        <w:pStyle w:val="NormalWeb"/>
        <w:ind w:left="480" w:hanging="480"/>
        <w:divId w:val="2122989716"/>
        <w:rPr>
          <w:sz w:val="22"/>
          <w:szCs w:val="22"/>
        </w:rPr>
      </w:pPr>
    </w:p>
    <w:sectPr w:rsidR="00C35B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68FE" w14:textId="77777777" w:rsidR="009D50A8" w:rsidRDefault="009D50A8" w:rsidP="0037651C">
      <w:pPr>
        <w:spacing w:after="0" w:line="240" w:lineRule="auto"/>
      </w:pPr>
      <w:r>
        <w:separator/>
      </w:r>
    </w:p>
  </w:endnote>
  <w:endnote w:type="continuationSeparator" w:id="0">
    <w:p w14:paraId="3A3D1062" w14:textId="77777777" w:rsidR="009D50A8" w:rsidRDefault="009D50A8" w:rsidP="0037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19506"/>
      <w:docPartObj>
        <w:docPartGallery w:val="Page Numbers (Bottom of Page)"/>
        <w:docPartUnique/>
      </w:docPartObj>
    </w:sdtPr>
    <w:sdtEndPr>
      <w:rPr>
        <w:noProof/>
      </w:rPr>
    </w:sdtEndPr>
    <w:sdtContent>
      <w:p w14:paraId="1446E035" w14:textId="77777777" w:rsidR="0010717B" w:rsidRDefault="0010717B">
        <w:pPr>
          <w:pStyle w:val="Footer"/>
          <w:jc w:val="right"/>
        </w:pPr>
        <w:r>
          <w:fldChar w:fldCharType="begin"/>
        </w:r>
        <w:r>
          <w:instrText xml:space="preserve"> PAGE   \* MERGEFORMAT </w:instrText>
        </w:r>
        <w:r>
          <w:fldChar w:fldCharType="separate"/>
        </w:r>
        <w:r w:rsidR="00D658C8">
          <w:rPr>
            <w:noProof/>
          </w:rPr>
          <w:t>10</w:t>
        </w:r>
        <w:r>
          <w:rPr>
            <w:noProof/>
          </w:rPr>
          <w:fldChar w:fldCharType="end"/>
        </w:r>
      </w:p>
    </w:sdtContent>
  </w:sdt>
  <w:p w14:paraId="7E140B8B" w14:textId="77777777" w:rsidR="0010717B" w:rsidRDefault="00107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CDFBF" w14:textId="77777777" w:rsidR="009D50A8" w:rsidRDefault="009D50A8" w:rsidP="0037651C">
      <w:pPr>
        <w:spacing w:after="0" w:line="240" w:lineRule="auto"/>
      </w:pPr>
      <w:r>
        <w:separator/>
      </w:r>
    </w:p>
  </w:footnote>
  <w:footnote w:type="continuationSeparator" w:id="0">
    <w:p w14:paraId="677C69B3" w14:textId="77777777" w:rsidR="009D50A8" w:rsidRDefault="009D50A8" w:rsidP="00376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C17"/>
    <w:multiLevelType w:val="multilevel"/>
    <w:tmpl w:val="F6E6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1400A"/>
    <w:multiLevelType w:val="hybridMultilevel"/>
    <w:tmpl w:val="67CA10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D76CF6"/>
    <w:multiLevelType w:val="multilevel"/>
    <w:tmpl w:val="EB2A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z50peed2509cetwdp5ad54ff99xz9sw5xr&quot;&gt;My EndNote Library&lt;record-ids&gt;&lt;item&gt;8&lt;/item&gt;&lt;item&gt;69&lt;/item&gt;&lt;item&gt;131&lt;/item&gt;&lt;item&gt;144&lt;/item&gt;&lt;item&gt;265&lt;/item&gt;&lt;/record-ids&gt;&lt;/item&gt;&lt;/Libraries&gt;"/>
  </w:docVars>
  <w:rsids>
    <w:rsidRoot w:val="003C27E2"/>
    <w:rsid w:val="00041AB0"/>
    <w:rsid w:val="0004473C"/>
    <w:rsid w:val="000457D8"/>
    <w:rsid w:val="00064178"/>
    <w:rsid w:val="000811B7"/>
    <w:rsid w:val="00092165"/>
    <w:rsid w:val="000B1164"/>
    <w:rsid w:val="000D2889"/>
    <w:rsid w:val="000D7BA7"/>
    <w:rsid w:val="000E3B7A"/>
    <w:rsid w:val="000E4DD9"/>
    <w:rsid w:val="000F2CE9"/>
    <w:rsid w:val="000F32D4"/>
    <w:rsid w:val="000F3410"/>
    <w:rsid w:val="000F50E9"/>
    <w:rsid w:val="0010717B"/>
    <w:rsid w:val="001250D5"/>
    <w:rsid w:val="00127B68"/>
    <w:rsid w:val="001429F7"/>
    <w:rsid w:val="00157D8E"/>
    <w:rsid w:val="001613D9"/>
    <w:rsid w:val="00161C27"/>
    <w:rsid w:val="00165D5F"/>
    <w:rsid w:val="00167A55"/>
    <w:rsid w:val="00170B85"/>
    <w:rsid w:val="00181967"/>
    <w:rsid w:val="00182138"/>
    <w:rsid w:val="00186AFC"/>
    <w:rsid w:val="00187EF0"/>
    <w:rsid w:val="001A0750"/>
    <w:rsid w:val="001A0840"/>
    <w:rsid w:val="001A7BDD"/>
    <w:rsid w:val="001B1611"/>
    <w:rsid w:val="001B3FA6"/>
    <w:rsid w:val="001B5D0E"/>
    <w:rsid w:val="001C14D8"/>
    <w:rsid w:val="001C59FA"/>
    <w:rsid w:val="001C601E"/>
    <w:rsid w:val="001D2354"/>
    <w:rsid w:val="001D3650"/>
    <w:rsid w:val="001D4F52"/>
    <w:rsid w:val="001E731A"/>
    <w:rsid w:val="002042FC"/>
    <w:rsid w:val="00205151"/>
    <w:rsid w:val="0020677B"/>
    <w:rsid w:val="002104C8"/>
    <w:rsid w:val="00232F4C"/>
    <w:rsid w:val="00234B76"/>
    <w:rsid w:val="00235F52"/>
    <w:rsid w:val="002439E7"/>
    <w:rsid w:val="00243E26"/>
    <w:rsid w:val="002515CB"/>
    <w:rsid w:val="00252BD9"/>
    <w:rsid w:val="00260AC8"/>
    <w:rsid w:val="00264BB5"/>
    <w:rsid w:val="00266987"/>
    <w:rsid w:val="00267DD7"/>
    <w:rsid w:val="00272E5D"/>
    <w:rsid w:val="00284118"/>
    <w:rsid w:val="00285010"/>
    <w:rsid w:val="002A1FC3"/>
    <w:rsid w:val="002B4D67"/>
    <w:rsid w:val="002B71C2"/>
    <w:rsid w:val="002C17A6"/>
    <w:rsid w:val="002C2196"/>
    <w:rsid w:val="002D14C2"/>
    <w:rsid w:val="002D1814"/>
    <w:rsid w:val="002D6A12"/>
    <w:rsid w:val="002E2798"/>
    <w:rsid w:val="002E30E0"/>
    <w:rsid w:val="002E52D4"/>
    <w:rsid w:val="002F1D87"/>
    <w:rsid w:val="003024EA"/>
    <w:rsid w:val="00322864"/>
    <w:rsid w:val="0033017C"/>
    <w:rsid w:val="0033703D"/>
    <w:rsid w:val="00337448"/>
    <w:rsid w:val="0034060F"/>
    <w:rsid w:val="00340AB6"/>
    <w:rsid w:val="00342064"/>
    <w:rsid w:val="003526B4"/>
    <w:rsid w:val="00354969"/>
    <w:rsid w:val="00362DE4"/>
    <w:rsid w:val="003737A1"/>
    <w:rsid w:val="0037651C"/>
    <w:rsid w:val="00391047"/>
    <w:rsid w:val="003A01E5"/>
    <w:rsid w:val="003A3973"/>
    <w:rsid w:val="003A487E"/>
    <w:rsid w:val="003B1909"/>
    <w:rsid w:val="003B7F23"/>
    <w:rsid w:val="003C27E2"/>
    <w:rsid w:val="003C529B"/>
    <w:rsid w:val="003C7BA3"/>
    <w:rsid w:val="003D5374"/>
    <w:rsid w:val="003E3B95"/>
    <w:rsid w:val="003E6C19"/>
    <w:rsid w:val="003F311D"/>
    <w:rsid w:val="003F4111"/>
    <w:rsid w:val="004133C2"/>
    <w:rsid w:val="00416EB8"/>
    <w:rsid w:val="0043053B"/>
    <w:rsid w:val="00441E68"/>
    <w:rsid w:val="00450A73"/>
    <w:rsid w:val="00452B4E"/>
    <w:rsid w:val="004539A3"/>
    <w:rsid w:val="0047089A"/>
    <w:rsid w:val="00473001"/>
    <w:rsid w:val="004808D8"/>
    <w:rsid w:val="004870BE"/>
    <w:rsid w:val="0049294B"/>
    <w:rsid w:val="00494768"/>
    <w:rsid w:val="004B0234"/>
    <w:rsid w:val="004C19C6"/>
    <w:rsid w:val="004D1967"/>
    <w:rsid w:val="004D3AC2"/>
    <w:rsid w:val="004D3D6F"/>
    <w:rsid w:val="004D5555"/>
    <w:rsid w:val="004D5E61"/>
    <w:rsid w:val="004E29F3"/>
    <w:rsid w:val="0050611C"/>
    <w:rsid w:val="00513499"/>
    <w:rsid w:val="00535B53"/>
    <w:rsid w:val="00543058"/>
    <w:rsid w:val="00544B4E"/>
    <w:rsid w:val="00552E99"/>
    <w:rsid w:val="00561EF4"/>
    <w:rsid w:val="00576517"/>
    <w:rsid w:val="00580D1C"/>
    <w:rsid w:val="00586B53"/>
    <w:rsid w:val="005901D8"/>
    <w:rsid w:val="00593649"/>
    <w:rsid w:val="005D2146"/>
    <w:rsid w:val="005D21D1"/>
    <w:rsid w:val="005E635E"/>
    <w:rsid w:val="005F1C1C"/>
    <w:rsid w:val="005F424E"/>
    <w:rsid w:val="00610B10"/>
    <w:rsid w:val="0061687E"/>
    <w:rsid w:val="0062032A"/>
    <w:rsid w:val="006272A4"/>
    <w:rsid w:val="006355A4"/>
    <w:rsid w:val="006373DD"/>
    <w:rsid w:val="00646CAE"/>
    <w:rsid w:val="00656DD0"/>
    <w:rsid w:val="00660CB9"/>
    <w:rsid w:val="0067148F"/>
    <w:rsid w:val="00673248"/>
    <w:rsid w:val="00674C7A"/>
    <w:rsid w:val="006770CF"/>
    <w:rsid w:val="00694062"/>
    <w:rsid w:val="006A3CCE"/>
    <w:rsid w:val="006C4167"/>
    <w:rsid w:val="006D2B2E"/>
    <w:rsid w:val="006D6095"/>
    <w:rsid w:val="006E3E52"/>
    <w:rsid w:val="006E73E8"/>
    <w:rsid w:val="00717FC6"/>
    <w:rsid w:val="007414D5"/>
    <w:rsid w:val="00743CE0"/>
    <w:rsid w:val="0074758E"/>
    <w:rsid w:val="00753072"/>
    <w:rsid w:val="00770113"/>
    <w:rsid w:val="00777995"/>
    <w:rsid w:val="00780240"/>
    <w:rsid w:val="00781C2D"/>
    <w:rsid w:val="007967A4"/>
    <w:rsid w:val="007B2BEF"/>
    <w:rsid w:val="007D12EE"/>
    <w:rsid w:val="007D5067"/>
    <w:rsid w:val="007D6E4B"/>
    <w:rsid w:val="007D7BA0"/>
    <w:rsid w:val="007E52F9"/>
    <w:rsid w:val="007F08FD"/>
    <w:rsid w:val="007F5333"/>
    <w:rsid w:val="008110DF"/>
    <w:rsid w:val="00820ABC"/>
    <w:rsid w:val="008235D2"/>
    <w:rsid w:val="008259A8"/>
    <w:rsid w:val="00827898"/>
    <w:rsid w:val="008438AE"/>
    <w:rsid w:val="00843C55"/>
    <w:rsid w:val="0085115A"/>
    <w:rsid w:val="008607C4"/>
    <w:rsid w:val="00860857"/>
    <w:rsid w:val="00871E48"/>
    <w:rsid w:val="00882F0C"/>
    <w:rsid w:val="008A1360"/>
    <w:rsid w:val="008A2D86"/>
    <w:rsid w:val="008A36BC"/>
    <w:rsid w:val="008C532C"/>
    <w:rsid w:val="008C7137"/>
    <w:rsid w:val="008D192B"/>
    <w:rsid w:val="008F0B99"/>
    <w:rsid w:val="008F7203"/>
    <w:rsid w:val="00903FAF"/>
    <w:rsid w:val="009079F8"/>
    <w:rsid w:val="0091308C"/>
    <w:rsid w:val="009242D0"/>
    <w:rsid w:val="00934B2C"/>
    <w:rsid w:val="00942BF9"/>
    <w:rsid w:val="00944A27"/>
    <w:rsid w:val="0094610C"/>
    <w:rsid w:val="00953FA2"/>
    <w:rsid w:val="00973012"/>
    <w:rsid w:val="009759A2"/>
    <w:rsid w:val="00983092"/>
    <w:rsid w:val="009922CF"/>
    <w:rsid w:val="009A1F3F"/>
    <w:rsid w:val="009A2CA8"/>
    <w:rsid w:val="009A33B4"/>
    <w:rsid w:val="009A6835"/>
    <w:rsid w:val="009C136E"/>
    <w:rsid w:val="009D50A8"/>
    <w:rsid w:val="009D645B"/>
    <w:rsid w:val="009E49F7"/>
    <w:rsid w:val="009F5BA1"/>
    <w:rsid w:val="009F6CED"/>
    <w:rsid w:val="00A00C05"/>
    <w:rsid w:val="00A06F2B"/>
    <w:rsid w:val="00A0722C"/>
    <w:rsid w:val="00A34B1E"/>
    <w:rsid w:val="00A35B03"/>
    <w:rsid w:val="00A35E9F"/>
    <w:rsid w:val="00A41CF7"/>
    <w:rsid w:val="00A50948"/>
    <w:rsid w:val="00A534CC"/>
    <w:rsid w:val="00A57C58"/>
    <w:rsid w:val="00A612AB"/>
    <w:rsid w:val="00A62487"/>
    <w:rsid w:val="00A62F36"/>
    <w:rsid w:val="00A65C2B"/>
    <w:rsid w:val="00A66488"/>
    <w:rsid w:val="00A70147"/>
    <w:rsid w:val="00A8194B"/>
    <w:rsid w:val="00A82716"/>
    <w:rsid w:val="00AA159F"/>
    <w:rsid w:val="00AA3AF2"/>
    <w:rsid w:val="00AA4135"/>
    <w:rsid w:val="00AB2D48"/>
    <w:rsid w:val="00AB48CC"/>
    <w:rsid w:val="00AC351E"/>
    <w:rsid w:val="00AE1BF6"/>
    <w:rsid w:val="00AE5125"/>
    <w:rsid w:val="00AE53EE"/>
    <w:rsid w:val="00B05051"/>
    <w:rsid w:val="00B17AA4"/>
    <w:rsid w:val="00B23F71"/>
    <w:rsid w:val="00B25479"/>
    <w:rsid w:val="00B269ED"/>
    <w:rsid w:val="00B46183"/>
    <w:rsid w:val="00B66AEE"/>
    <w:rsid w:val="00B76545"/>
    <w:rsid w:val="00B770F0"/>
    <w:rsid w:val="00B804D1"/>
    <w:rsid w:val="00B95741"/>
    <w:rsid w:val="00BA3D31"/>
    <w:rsid w:val="00BA604C"/>
    <w:rsid w:val="00BB6A81"/>
    <w:rsid w:val="00BB6F4A"/>
    <w:rsid w:val="00BC6686"/>
    <w:rsid w:val="00BC7FEE"/>
    <w:rsid w:val="00BD4B29"/>
    <w:rsid w:val="00BD717B"/>
    <w:rsid w:val="00BF219E"/>
    <w:rsid w:val="00BF5A7F"/>
    <w:rsid w:val="00C011DF"/>
    <w:rsid w:val="00C039F2"/>
    <w:rsid w:val="00C221B3"/>
    <w:rsid w:val="00C35B72"/>
    <w:rsid w:val="00C45D37"/>
    <w:rsid w:val="00C56714"/>
    <w:rsid w:val="00C71034"/>
    <w:rsid w:val="00C76659"/>
    <w:rsid w:val="00C92A0B"/>
    <w:rsid w:val="00CA57A5"/>
    <w:rsid w:val="00CA5A8C"/>
    <w:rsid w:val="00CC5335"/>
    <w:rsid w:val="00D019A6"/>
    <w:rsid w:val="00D22E2C"/>
    <w:rsid w:val="00D31E67"/>
    <w:rsid w:val="00D31F67"/>
    <w:rsid w:val="00D657BB"/>
    <w:rsid w:val="00D658C8"/>
    <w:rsid w:val="00D66106"/>
    <w:rsid w:val="00D7156D"/>
    <w:rsid w:val="00D72ED8"/>
    <w:rsid w:val="00D73560"/>
    <w:rsid w:val="00D736C9"/>
    <w:rsid w:val="00D96DEC"/>
    <w:rsid w:val="00DB18B5"/>
    <w:rsid w:val="00DB6416"/>
    <w:rsid w:val="00DC0219"/>
    <w:rsid w:val="00DC0CCC"/>
    <w:rsid w:val="00DC2BEF"/>
    <w:rsid w:val="00DD6E46"/>
    <w:rsid w:val="00DE0521"/>
    <w:rsid w:val="00DE26FB"/>
    <w:rsid w:val="00E1104C"/>
    <w:rsid w:val="00E47C06"/>
    <w:rsid w:val="00E505AA"/>
    <w:rsid w:val="00E51213"/>
    <w:rsid w:val="00E65920"/>
    <w:rsid w:val="00E74389"/>
    <w:rsid w:val="00ED1D51"/>
    <w:rsid w:val="00EE2776"/>
    <w:rsid w:val="00F02E78"/>
    <w:rsid w:val="00F07BA7"/>
    <w:rsid w:val="00F1209D"/>
    <w:rsid w:val="00F20C8C"/>
    <w:rsid w:val="00F45F18"/>
    <w:rsid w:val="00F5041A"/>
    <w:rsid w:val="00F57D18"/>
    <w:rsid w:val="00F63501"/>
    <w:rsid w:val="00F7154E"/>
    <w:rsid w:val="00F71A60"/>
    <w:rsid w:val="00F851DE"/>
    <w:rsid w:val="00F950D6"/>
    <w:rsid w:val="00F96A78"/>
    <w:rsid w:val="00FB6770"/>
    <w:rsid w:val="00FC03C9"/>
    <w:rsid w:val="00FC37B7"/>
    <w:rsid w:val="00FD6BD2"/>
    <w:rsid w:val="00FF33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E6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C27E2"/>
    <w:pPr>
      <w:spacing w:line="240" w:lineRule="auto"/>
    </w:pPr>
    <w:rPr>
      <w:sz w:val="20"/>
      <w:szCs w:val="20"/>
    </w:rPr>
  </w:style>
  <w:style w:type="character" w:customStyle="1" w:styleId="CommentTextChar">
    <w:name w:val="Comment Text Char"/>
    <w:basedOn w:val="DefaultParagraphFont"/>
    <w:link w:val="CommentText"/>
    <w:uiPriority w:val="99"/>
    <w:rsid w:val="003C27E2"/>
    <w:rPr>
      <w:sz w:val="20"/>
      <w:szCs w:val="20"/>
    </w:rPr>
  </w:style>
  <w:style w:type="character" w:customStyle="1" w:styleId="apple-converted-space">
    <w:name w:val="apple-converted-space"/>
    <w:basedOn w:val="DefaultParagraphFont"/>
    <w:rsid w:val="00D96DEC"/>
  </w:style>
  <w:style w:type="character" w:styleId="CommentReference">
    <w:name w:val="annotation reference"/>
    <w:basedOn w:val="DefaultParagraphFont"/>
    <w:uiPriority w:val="99"/>
    <w:semiHidden/>
    <w:unhideWhenUsed/>
    <w:rsid w:val="00770113"/>
    <w:rPr>
      <w:sz w:val="16"/>
      <w:szCs w:val="16"/>
    </w:rPr>
  </w:style>
  <w:style w:type="paragraph" w:styleId="BalloonText">
    <w:name w:val="Balloon Text"/>
    <w:basedOn w:val="Normal"/>
    <w:link w:val="BalloonTextChar"/>
    <w:uiPriority w:val="99"/>
    <w:semiHidden/>
    <w:unhideWhenUsed/>
    <w:rsid w:val="00770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13"/>
    <w:rPr>
      <w:rFonts w:ascii="Tahoma" w:hAnsi="Tahoma" w:cs="Tahoma"/>
      <w:sz w:val="16"/>
      <w:szCs w:val="16"/>
    </w:rPr>
  </w:style>
  <w:style w:type="character" w:styleId="Hyperlink">
    <w:name w:val="Hyperlink"/>
    <w:basedOn w:val="DefaultParagraphFont"/>
    <w:uiPriority w:val="99"/>
    <w:unhideWhenUsed/>
    <w:rsid w:val="00BB6F4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438AE"/>
    <w:rPr>
      <w:b/>
      <w:bCs/>
    </w:rPr>
  </w:style>
  <w:style w:type="character" w:customStyle="1" w:styleId="CommentSubjectChar">
    <w:name w:val="Comment Subject Char"/>
    <w:basedOn w:val="CommentTextChar"/>
    <w:link w:val="CommentSubject"/>
    <w:uiPriority w:val="99"/>
    <w:semiHidden/>
    <w:rsid w:val="008438AE"/>
    <w:rPr>
      <w:b/>
      <w:bCs/>
      <w:sz w:val="20"/>
      <w:szCs w:val="20"/>
    </w:rPr>
  </w:style>
  <w:style w:type="table" w:styleId="TableGrid">
    <w:name w:val="Table Grid"/>
    <w:basedOn w:val="TableNormal"/>
    <w:uiPriority w:val="39"/>
    <w:rsid w:val="00A7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51C"/>
  </w:style>
  <w:style w:type="paragraph" w:styleId="Footer">
    <w:name w:val="footer"/>
    <w:basedOn w:val="Normal"/>
    <w:link w:val="FooterChar"/>
    <w:uiPriority w:val="99"/>
    <w:unhideWhenUsed/>
    <w:rsid w:val="00376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51C"/>
  </w:style>
  <w:style w:type="paragraph" w:styleId="Revision">
    <w:name w:val="Revision"/>
    <w:hidden/>
    <w:uiPriority w:val="99"/>
    <w:semiHidden/>
    <w:rsid w:val="00064178"/>
    <w:pPr>
      <w:spacing w:after="0" w:line="240" w:lineRule="auto"/>
    </w:pPr>
  </w:style>
  <w:style w:type="paragraph" w:styleId="NormalWeb">
    <w:name w:val="Normal (Web)"/>
    <w:basedOn w:val="Normal"/>
    <w:uiPriority w:val="99"/>
    <w:unhideWhenUsed/>
    <w:rsid w:val="004B023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C27E2"/>
    <w:pPr>
      <w:spacing w:line="240" w:lineRule="auto"/>
    </w:pPr>
    <w:rPr>
      <w:sz w:val="20"/>
      <w:szCs w:val="20"/>
    </w:rPr>
  </w:style>
  <w:style w:type="character" w:customStyle="1" w:styleId="CommentTextChar">
    <w:name w:val="Comment Text Char"/>
    <w:basedOn w:val="DefaultParagraphFont"/>
    <w:link w:val="CommentText"/>
    <w:uiPriority w:val="99"/>
    <w:rsid w:val="003C27E2"/>
    <w:rPr>
      <w:sz w:val="20"/>
      <w:szCs w:val="20"/>
    </w:rPr>
  </w:style>
  <w:style w:type="character" w:customStyle="1" w:styleId="apple-converted-space">
    <w:name w:val="apple-converted-space"/>
    <w:basedOn w:val="DefaultParagraphFont"/>
    <w:rsid w:val="00D96DEC"/>
  </w:style>
  <w:style w:type="character" w:styleId="CommentReference">
    <w:name w:val="annotation reference"/>
    <w:basedOn w:val="DefaultParagraphFont"/>
    <w:uiPriority w:val="99"/>
    <w:semiHidden/>
    <w:unhideWhenUsed/>
    <w:rsid w:val="00770113"/>
    <w:rPr>
      <w:sz w:val="16"/>
      <w:szCs w:val="16"/>
    </w:rPr>
  </w:style>
  <w:style w:type="paragraph" w:styleId="BalloonText">
    <w:name w:val="Balloon Text"/>
    <w:basedOn w:val="Normal"/>
    <w:link w:val="BalloonTextChar"/>
    <w:uiPriority w:val="99"/>
    <w:semiHidden/>
    <w:unhideWhenUsed/>
    <w:rsid w:val="00770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13"/>
    <w:rPr>
      <w:rFonts w:ascii="Tahoma" w:hAnsi="Tahoma" w:cs="Tahoma"/>
      <w:sz w:val="16"/>
      <w:szCs w:val="16"/>
    </w:rPr>
  </w:style>
  <w:style w:type="character" w:styleId="Hyperlink">
    <w:name w:val="Hyperlink"/>
    <w:basedOn w:val="DefaultParagraphFont"/>
    <w:uiPriority w:val="99"/>
    <w:unhideWhenUsed/>
    <w:rsid w:val="00BB6F4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438AE"/>
    <w:rPr>
      <w:b/>
      <w:bCs/>
    </w:rPr>
  </w:style>
  <w:style w:type="character" w:customStyle="1" w:styleId="CommentSubjectChar">
    <w:name w:val="Comment Subject Char"/>
    <w:basedOn w:val="CommentTextChar"/>
    <w:link w:val="CommentSubject"/>
    <w:uiPriority w:val="99"/>
    <w:semiHidden/>
    <w:rsid w:val="008438AE"/>
    <w:rPr>
      <w:b/>
      <w:bCs/>
      <w:sz w:val="20"/>
      <w:szCs w:val="20"/>
    </w:rPr>
  </w:style>
  <w:style w:type="table" w:styleId="TableGrid">
    <w:name w:val="Table Grid"/>
    <w:basedOn w:val="TableNormal"/>
    <w:uiPriority w:val="39"/>
    <w:rsid w:val="00A7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51C"/>
  </w:style>
  <w:style w:type="paragraph" w:styleId="Footer">
    <w:name w:val="footer"/>
    <w:basedOn w:val="Normal"/>
    <w:link w:val="FooterChar"/>
    <w:uiPriority w:val="99"/>
    <w:unhideWhenUsed/>
    <w:rsid w:val="00376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51C"/>
  </w:style>
  <w:style w:type="paragraph" w:styleId="Revision">
    <w:name w:val="Revision"/>
    <w:hidden/>
    <w:uiPriority w:val="99"/>
    <w:semiHidden/>
    <w:rsid w:val="00064178"/>
    <w:pPr>
      <w:spacing w:after="0" w:line="240" w:lineRule="auto"/>
    </w:pPr>
  </w:style>
  <w:style w:type="paragraph" w:styleId="NormalWeb">
    <w:name w:val="Normal (Web)"/>
    <w:basedOn w:val="Normal"/>
    <w:uiPriority w:val="99"/>
    <w:unhideWhenUsed/>
    <w:rsid w:val="004B023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168">
      <w:bodyDiv w:val="1"/>
      <w:marLeft w:val="0"/>
      <w:marRight w:val="0"/>
      <w:marTop w:val="0"/>
      <w:marBottom w:val="0"/>
      <w:divBdr>
        <w:top w:val="none" w:sz="0" w:space="0" w:color="auto"/>
        <w:left w:val="none" w:sz="0" w:space="0" w:color="auto"/>
        <w:bottom w:val="none" w:sz="0" w:space="0" w:color="auto"/>
        <w:right w:val="none" w:sz="0" w:space="0" w:color="auto"/>
      </w:divBdr>
    </w:div>
    <w:div w:id="421534201">
      <w:bodyDiv w:val="1"/>
      <w:marLeft w:val="0"/>
      <w:marRight w:val="0"/>
      <w:marTop w:val="0"/>
      <w:marBottom w:val="0"/>
      <w:divBdr>
        <w:top w:val="none" w:sz="0" w:space="0" w:color="auto"/>
        <w:left w:val="none" w:sz="0" w:space="0" w:color="auto"/>
        <w:bottom w:val="none" w:sz="0" w:space="0" w:color="auto"/>
        <w:right w:val="none" w:sz="0" w:space="0" w:color="auto"/>
      </w:divBdr>
    </w:div>
    <w:div w:id="490409983">
      <w:bodyDiv w:val="1"/>
      <w:marLeft w:val="0"/>
      <w:marRight w:val="0"/>
      <w:marTop w:val="0"/>
      <w:marBottom w:val="0"/>
      <w:divBdr>
        <w:top w:val="none" w:sz="0" w:space="0" w:color="auto"/>
        <w:left w:val="none" w:sz="0" w:space="0" w:color="auto"/>
        <w:bottom w:val="none" w:sz="0" w:space="0" w:color="auto"/>
        <w:right w:val="none" w:sz="0" w:space="0" w:color="auto"/>
      </w:divBdr>
    </w:div>
    <w:div w:id="497160065">
      <w:bodyDiv w:val="1"/>
      <w:marLeft w:val="0"/>
      <w:marRight w:val="0"/>
      <w:marTop w:val="0"/>
      <w:marBottom w:val="0"/>
      <w:divBdr>
        <w:top w:val="none" w:sz="0" w:space="0" w:color="auto"/>
        <w:left w:val="none" w:sz="0" w:space="0" w:color="auto"/>
        <w:bottom w:val="none" w:sz="0" w:space="0" w:color="auto"/>
        <w:right w:val="none" w:sz="0" w:space="0" w:color="auto"/>
      </w:divBdr>
    </w:div>
    <w:div w:id="674962137">
      <w:bodyDiv w:val="1"/>
      <w:marLeft w:val="0"/>
      <w:marRight w:val="0"/>
      <w:marTop w:val="0"/>
      <w:marBottom w:val="0"/>
      <w:divBdr>
        <w:top w:val="none" w:sz="0" w:space="0" w:color="auto"/>
        <w:left w:val="none" w:sz="0" w:space="0" w:color="auto"/>
        <w:bottom w:val="none" w:sz="0" w:space="0" w:color="auto"/>
        <w:right w:val="none" w:sz="0" w:space="0" w:color="auto"/>
      </w:divBdr>
    </w:div>
    <w:div w:id="742264441">
      <w:bodyDiv w:val="1"/>
      <w:marLeft w:val="0"/>
      <w:marRight w:val="0"/>
      <w:marTop w:val="0"/>
      <w:marBottom w:val="0"/>
      <w:divBdr>
        <w:top w:val="none" w:sz="0" w:space="0" w:color="auto"/>
        <w:left w:val="none" w:sz="0" w:space="0" w:color="auto"/>
        <w:bottom w:val="none" w:sz="0" w:space="0" w:color="auto"/>
        <w:right w:val="none" w:sz="0" w:space="0" w:color="auto"/>
      </w:divBdr>
    </w:div>
    <w:div w:id="756558401">
      <w:bodyDiv w:val="1"/>
      <w:marLeft w:val="0"/>
      <w:marRight w:val="0"/>
      <w:marTop w:val="0"/>
      <w:marBottom w:val="0"/>
      <w:divBdr>
        <w:top w:val="none" w:sz="0" w:space="0" w:color="auto"/>
        <w:left w:val="none" w:sz="0" w:space="0" w:color="auto"/>
        <w:bottom w:val="none" w:sz="0" w:space="0" w:color="auto"/>
        <w:right w:val="none" w:sz="0" w:space="0" w:color="auto"/>
      </w:divBdr>
    </w:div>
    <w:div w:id="818041153">
      <w:bodyDiv w:val="1"/>
      <w:marLeft w:val="0"/>
      <w:marRight w:val="0"/>
      <w:marTop w:val="0"/>
      <w:marBottom w:val="0"/>
      <w:divBdr>
        <w:top w:val="none" w:sz="0" w:space="0" w:color="auto"/>
        <w:left w:val="none" w:sz="0" w:space="0" w:color="auto"/>
        <w:bottom w:val="none" w:sz="0" w:space="0" w:color="auto"/>
        <w:right w:val="none" w:sz="0" w:space="0" w:color="auto"/>
      </w:divBdr>
      <w:divsChild>
        <w:div w:id="1804303769">
          <w:marLeft w:val="0"/>
          <w:marRight w:val="0"/>
          <w:marTop w:val="0"/>
          <w:marBottom w:val="0"/>
          <w:divBdr>
            <w:top w:val="none" w:sz="0" w:space="0" w:color="auto"/>
            <w:left w:val="none" w:sz="0" w:space="0" w:color="auto"/>
            <w:bottom w:val="none" w:sz="0" w:space="0" w:color="auto"/>
            <w:right w:val="none" w:sz="0" w:space="0" w:color="auto"/>
          </w:divBdr>
          <w:divsChild>
            <w:div w:id="1366978119">
              <w:marLeft w:val="0"/>
              <w:marRight w:val="0"/>
              <w:marTop w:val="0"/>
              <w:marBottom w:val="0"/>
              <w:divBdr>
                <w:top w:val="none" w:sz="0" w:space="0" w:color="auto"/>
                <w:left w:val="none" w:sz="0" w:space="0" w:color="auto"/>
                <w:bottom w:val="none" w:sz="0" w:space="0" w:color="auto"/>
                <w:right w:val="none" w:sz="0" w:space="0" w:color="auto"/>
              </w:divBdr>
              <w:divsChild>
                <w:div w:id="1985818036">
                  <w:marLeft w:val="0"/>
                  <w:marRight w:val="0"/>
                  <w:marTop w:val="0"/>
                  <w:marBottom w:val="0"/>
                  <w:divBdr>
                    <w:top w:val="none" w:sz="0" w:space="0" w:color="auto"/>
                    <w:left w:val="none" w:sz="0" w:space="0" w:color="auto"/>
                    <w:bottom w:val="none" w:sz="0" w:space="0" w:color="auto"/>
                    <w:right w:val="none" w:sz="0" w:space="0" w:color="auto"/>
                  </w:divBdr>
                  <w:divsChild>
                    <w:div w:id="2104570106">
                      <w:marLeft w:val="0"/>
                      <w:marRight w:val="0"/>
                      <w:marTop w:val="0"/>
                      <w:marBottom w:val="0"/>
                      <w:divBdr>
                        <w:top w:val="none" w:sz="0" w:space="0" w:color="auto"/>
                        <w:left w:val="none" w:sz="0" w:space="0" w:color="auto"/>
                        <w:bottom w:val="none" w:sz="0" w:space="0" w:color="auto"/>
                        <w:right w:val="none" w:sz="0" w:space="0" w:color="auto"/>
                      </w:divBdr>
                      <w:divsChild>
                        <w:div w:id="1304770329">
                          <w:marLeft w:val="0"/>
                          <w:marRight w:val="0"/>
                          <w:marTop w:val="0"/>
                          <w:marBottom w:val="0"/>
                          <w:divBdr>
                            <w:top w:val="none" w:sz="0" w:space="0" w:color="auto"/>
                            <w:left w:val="none" w:sz="0" w:space="0" w:color="auto"/>
                            <w:bottom w:val="none" w:sz="0" w:space="0" w:color="auto"/>
                            <w:right w:val="none" w:sz="0" w:space="0" w:color="auto"/>
                          </w:divBdr>
                          <w:divsChild>
                            <w:div w:id="1073086959">
                              <w:marLeft w:val="0"/>
                              <w:marRight w:val="0"/>
                              <w:marTop w:val="0"/>
                              <w:marBottom w:val="0"/>
                              <w:divBdr>
                                <w:top w:val="none" w:sz="0" w:space="0" w:color="auto"/>
                                <w:left w:val="none" w:sz="0" w:space="0" w:color="auto"/>
                                <w:bottom w:val="none" w:sz="0" w:space="0" w:color="auto"/>
                                <w:right w:val="none" w:sz="0" w:space="0" w:color="auto"/>
                              </w:divBdr>
                              <w:divsChild>
                                <w:div w:id="2121412062">
                                  <w:marLeft w:val="0"/>
                                  <w:marRight w:val="0"/>
                                  <w:marTop w:val="0"/>
                                  <w:marBottom w:val="0"/>
                                  <w:divBdr>
                                    <w:top w:val="none" w:sz="0" w:space="0" w:color="auto"/>
                                    <w:left w:val="none" w:sz="0" w:space="0" w:color="auto"/>
                                    <w:bottom w:val="none" w:sz="0" w:space="0" w:color="auto"/>
                                    <w:right w:val="none" w:sz="0" w:space="0" w:color="auto"/>
                                  </w:divBdr>
                                  <w:divsChild>
                                    <w:div w:id="1902596951">
                                      <w:marLeft w:val="0"/>
                                      <w:marRight w:val="0"/>
                                      <w:marTop w:val="0"/>
                                      <w:marBottom w:val="0"/>
                                      <w:divBdr>
                                        <w:top w:val="none" w:sz="0" w:space="0" w:color="auto"/>
                                        <w:left w:val="none" w:sz="0" w:space="0" w:color="auto"/>
                                        <w:bottom w:val="none" w:sz="0" w:space="0" w:color="auto"/>
                                        <w:right w:val="none" w:sz="0" w:space="0" w:color="auto"/>
                                      </w:divBdr>
                                      <w:divsChild>
                                        <w:div w:id="1295868644">
                                          <w:marLeft w:val="0"/>
                                          <w:marRight w:val="0"/>
                                          <w:marTop w:val="0"/>
                                          <w:marBottom w:val="0"/>
                                          <w:divBdr>
                                            <w:top w:val="none" w:sz="0" w:space="0" w:color="auto"/>
                                            <w:left w:val="none" w:sz="0" w:space="0" w:color="auto"/>
                                            <w:bottom w:val="none" w:sz="0" w:space="0" w:color="auto"/>
                                            <w:right w:val="none" w:sz="0" w:space="0" w:color="auto"/>
                                          </w:divBdr>
                                          <w:divsChild>
                                            <w:div w:id="869486810">
                                              <w:marLeft w:val="0"/>
                                              <w:marRight w:val="0"/>
                                              <w:marTop w:val="0"/>
                                              <w:marBottom w:val="0"/>
                                              <w:divBdr>
                                                <w:top w:val="none" w:sz="0" w:space="0" w:color="auto"/>
                                                <w:left w:val="none" w:sz="0" w:space="0" w:color="auto"/>
                                                <w:bottom w:val="none" w:sz="0" w:space="0" w:color="auto"/>
                                                <w:right w:val="none" w:sz="0" w:space="0" w:color="auto"/>
                                              </w:divBdr>
                                              <w:divsChild>
                                                <w:div w:id="342897339">
                                                  <w:marLeft w:val="0"/>
                                                  <w:marRight w:val="0"/>
                                                  <w:marTop w:val="0"/>
                                                  <w:marBottom w:val="0"/>
                                                  <w:divBdr>
                                                    <w:top w:val="none" w:sz="0" w:space="0" w:color="auto"/>
                                                    <w:left w:val="none" w:sz="0" w:space="0" w:color="auto"/>
                                                    <w:bottom w:val="none" w:sz="0" w:space="0" w:color="auto"/>
                                                    <w:right w:val="none" w:sz="0" w:space="0" w:color="auto"/>
                                                  </w:divBdr>
                                                  <w:divsChild>
                                                    <w:div w:id="2122989716">
                                                      <w:marLeft w:val="0"/>
                                                      <w:marRight w:val="0"/>
                                                      <w:marTop w:val="0"/>
                                                      <w:marBottom w:val="0"/>
                                                      <w:divBdr>
                                                        <w:top w:val="none" w:sz="0" w:space="0" w:color="auto"/>
                                                        <w:left w:val="none" w:sz="0" w:space="0" w:color="auto"/>
                                                        <w:bottom w:val="none" w:sz="0" w:space="0" w:color="auto"/>
                                                        <w:right w:val="none" w:sz="0" w:space="0" w:color="auto"/>
                                                      </w:divBdr>
                                                      <w:divsChild>
                                                        <w:div w:id="136919178">
                                                          <w:marLeft w:val="0"/>
                                                          <w:marRight w:val="0"/>
                                                          <w:marTop w:val="0"/>
                                                          <w:marBottom w:val="0"/>
                                                          <w:divBdr>
                                                            <w:top w:val="none" w:sz="0" w:space="0" w:color="auto"/>
                                                            <w:left w:val="none" w:sz="0" w:space="0" w:color="auto"/>
                                                            <w:bottom w:val="none" w:sz="0" w:space="0" w:color="auto"/>
                                                            <w:right w:val="none" w:sz="0" w:space="0" w:color="auto"/>
                                                          </w:divBdr>
                                                          <w:divsChild>
                                                            <w:div w:id="1794523169">
                                                              <w:marLeft w:val="0"/>
                                                              <w:marRight w:val="0"/>
                                                              <w:marTop w:val="0"/>
                                                              <w:marBottom w:val="0"/>
                                                              <w:divBdr>
                                                                <w:top w:val="none" w:sz="0" w:space="0" w:color="auto"/>
                                                                <w:left w:val="none" w:sz="0" w:space="0" w:color="auto"/>
                                                                <w:bottom w:val="none" w:sz="0" w:space="0" w:color="auto"/>
                                                                <w:right w:val="none" w:sz="0" w:space="0" w:color="auto"/>
                                                              </w:divBdr>
                                                              <w:divsChild>
                                                                <w:div w:id="483549641">
                                                                  <w:marLeft w:val="0"/>
                                                                  <w:marRight w:val="0"/>
                                                                  <w:marTop w:val="0"/>
                                                                  <w:marBottom w:val="0"/>
                                                                  <w:divBdr>
                                                                    <w:top w:val="none" w:sz="0" w:space="0" w:color="auto"/>
                                                                    <w:left w:val="none" w:sz="0" w:space="0" w:color="auto"/>
                                                                    <w:bottom w:val="none" w:sz="0" w:space="0" w:color="auto"/>
                                                                    <w:right w:val="none" w:sz="0" w:space="0" w:color="auto"/>
                                                                  </w:divBdr>
                                                                  <w:divsChild>
                                                                    <w:div w:id="1993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3956047">
      <w:bodyDiv w:val="1"/>
      <w:marLeft w:val="0"/>
      <w:marRight w:val="0"/>
      <w:marTop w:val="0"/>
      <w:marBottom w:val="0"/>
      <w:divBdr>
        <w:top w:val="none" w:sz="0" w:space="0" w:color="auto"/>
        <w:left w:val="none" w:sz="0" w:space="0" w:color="auto"/>
        <w:bottom w:val="none" w:sz="0" w:space="0" w:color="auto"/>
        <w:right w:val="none" w:sz="0" w:space="0" w:color="auto"/>
      </w:divBdr>
    </w:div>
    <w:div w:id="991519971">
      <w:bodyDiv w:val="1"/>
      <w:marLeft w:val="0"/>
      <w:marRight w:val="0"/>
      <w:marTop w:val="0"/>
      <w:marBottom w:val="0"/>
      <w:divBdr>
        <w:top w:val="none" w:sz="0" w:space="0" w:color="auto"/>
        <w:left w:val="none" w:sz="0" w:space="0" w:color="auto"/>
        <w:bottom w:val="none" w:sz="0" w:space="0" w:color="auto"/>
        <w:right w:val="none" w:sz="0" w:space="0" w:color="auto"/>
      </w:divBdr>
    </w:div>
    <w:div w:id="1115489741">
      <w:bodyDiv w:val="1"/>
      <w:marLeft w:val="0"/>
      <w:marRight w:val="0"/>
      <w:marTop w:val="0"/>
      <w:marBottom w:val="0"/>
      <w:divBdr>
        <w:top w:val="none" w:sz="0" w:space="0" w:color="auto"/>
        <w:left w:val="none" w:sz="0" w:space="0" w:color="auto"/>
        <w:bottom w:val="none" w:sz="0" w:space="0" w:color="auto"/>
        <w:right w:val="none" w:sz="0" w:space="0" w:color="auto"/>
      </w:divBdr>
    </w:div>
    <w:div w:id="17412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a34@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B9CA-03FB-4092-A829-0898ABFC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21996</Words>
  <Characters>125383</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147085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Ahern</dc:creator>
  <cp:lastModifiedBy>Amy Ahern</cp:lastModifiedBy>
  <cp:revision>2</cp:revision>
  <cp:lastPrinted>2015-04-28T11:22:00Z</cp:lastPrinted>
  <dcterms:created xsi:type="dcterms:W3CDTF">2015-09-04T13:13:00Z</dcterms:created>
  <dcterms:modified xsi:type="dcterms:W3CDTF">2015-09-04T13:13:00Z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ala34@cam.ac.uk@www.mendeley.com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http://www.zotero.org/styles/bmj</vt:lpwstr>
  </property>
  <property fmtid="{D5CDD505-2E9C-101B-9397-08002B2CF9AE}" pid="9" name="Mendeley Recent Style Name 2_1">
    <vt:lpwstr>BMJ</vt:lpwstr>
  </property>
  <property fmtid="{D5CDD505-2E9C-101B-9397-08002B2CF9AE}" pid="10" name="Mendeley Recent Style Id 3_1">
    <vt:lpwstr>http://www.zotero.org/styles/bmj-open</vt:lpwstr>
  </property>
  <property fmtid="{D5CDD505-2E9C-101B-9397-08002B2CF9AE}" pid="11" name="Mendeley Recent Style Name 3_1">
    <vt:lpwstr>BMJ Open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http://www.zotero.org/styles/the-open-university-numeric-superscript</vt:lpwstr>
  </property>
  <property fmtid="{D5CDD505-2E9C-101B-9397-08002B2CF9AE}" pid="21" name="Mendeley Recent Style Name 8_1">
    <vt:lpwstr>The Open University (numeric, superscript)</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ies>
</file>