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B2" w:rsidRDefault="006A57B2">
      <w:pPr>
        <w:spacing w:after="0" w:line="240" w:lineRule="auto"/>
        <w:rPr>
          <w:rFonts w:asciiTheme="majorHAnsi" w:eastAsia="Times New Roman" w:hAnsiTheme="majorHAnsi" w:cstheme="majorBidi"/>
          <w:color w:val="323E4F" w:themeColor="text2" w:themeShade="BF"/>
          <w:spacing w:val="5"/>
          <w:kern w:val="28"/>
          <w:sz w:val="52"/>
          <w:szCs w:val="52"/>
          <w:lang w:eastAsia="en-GB"/>
        </w:rPr>
      </w:pPr>
      <w:bookmarkStart w:id="0" w:name="_GoBack"/>
      <w:bookmarkEnd w:id="0"/>
    </w:p>
    <w:p w:rsidR="006A57B2" w:rsidRDefault="006A57B2" w:rsidP="00983668">
      <w:pPr>
        <w:spacing w:after="0" w:line="240" w:lineRule="auto"/>
        <w:jc w:val="center"/>
        <w:rPr>
          <w:rFonts w:asciiTheme="majorHAnsi" w:eastAsia="Times New Roman" w:hAnsiTheme="majorHAnsi" w:cstheme="majorBidi"/>
          <w:b/>
          <w:color w:val="323E4F" w:themeColor="text2" w:themeShade="BF"/>
          <w:spacing w:val="5"/>
          <w:kern w:val="28"/>
          <w:sz w:val="56"/>
          <w:szCs w:val="56"/>
          <w:lang w:eastAsia="en-GB"/>
        </w:rPr>
      </w:pPr>
      <w:r w:rsidRPr="00876E0F">
        <w:rPr>
          <w:rFonts w:asciiTheme="majorHAnsi" w:eastAsia="Times New Roman" w:hAnsiTheme="majorHAnsi" w:cstheme="majorBidi"/>
          <w:b/>
          <w:color w:val="323E4F" w:themeColor="text2" w:themeShade="BF"/>
          <w:spacing w:val="5"/>
          <w:kern w:val="28"/>
          <w:sz w:val="56"/>
          <w:szCs w:val="56"/>
          <w:lang w:eastAsia="en-GB"/>
        </w:rPr>
        <w:t xml:space="preserve">The </w:t>
      </w:r>
      <w:r>
        <w:rPr>
          <w:rFonts w:asciiTheme="majorHAnsi" w:eastAsia="Times New Roman" w:hAnsiTheme="majorHAnsi" w:cstheme="majorBidi"/>
          <w:b/>
          <w:color w:val="323E4F" w:themeColor="text2" w:themeShade="BF"/>
          <w:spacing w:val="5"/>
          <w:kern w:val="28"/>
          <w:sz w:val="56"/>
          <w:szCs w:val="56"/>
          <w:lang w:eastAsia="en-GB"/>
        </w:rPr>
        <w:t>CATCH trial</w:t>
      </w:r>
    </w:p>
    <w:p w:rsidR="006A57B2" w:rsidRPr="00983668" w:rsidRDefault="006A57B2" w:rsidP="00983668">
      <w:pPr>
        <w:spacing w:after="0" w:line="240" w:lineRule="auto"/>
        <w:jc w:val="center"/>
        <w:rPr>
          <w:rFonts w:asciiTheme="majorHAnsi" w:eastAsia="Times New Roman" w:hAnsiTheme="majorHAnsi" w:cstheme="majorBidi"/>
          <w:b/>
          <w:color w:val="323E4F" w:themeColor="text2" w:themeShade="BF"/>
          <w:spacing w:val="5"/>
          <w:kern w:val="28"/>
          <w:sz w:val="36"/>
          <w:szCs w:val="36"/>
          <w:lang w:eastAsia="en-GB"/>
        </w:rPr>
      </w:pPr>
      <w:r w:rsidRPr="00983668">
        <w:rPr>
          <w:rFonts w:asciiTheme="majorHAnsi" w:eastAsia="Times New Roman" w:hAnsiTheme="majorHAnsi" w:cstheme="majorBidi"/>
          <w:b/>
          <w:color w:val="323E4F" w:themeColor="text2" w:themeShade="BF"/>
          <w:spacing w:val="5"/>
          <w:kern w:val="28"/>
          <w:sz w:val="36"/>
          <w:szCs w:val="36"/>
          <w:u w:val="single"/>
          <w:lang w:eastAsia="en-GB"/>
        </w:rPr>
        <w:t>CAT</w:t>
      </w:r>
      <w:r w:rsidRPr="00983668">
        <w:rPr>
          <w:rFonts w:asciiTheme="majorHAnsi" w:eastAsia="Times New Roman" w:hAnsiTheme="majorHAnsi" w:cstheme="majorBidi"/>
          <w:b/>
          <w:color w:val="323E4F" w:themeColor="text2" w:themeShade="BF"/>
          <w:spacing w:val="5"/>
          <w:kern w:val="28"/>
          <w:sz w:val="36"/>
          <w:szCs w:val="36"/>
          <w:lang w:eastAsia="en-GB"/>
        </w:rPr>
        <w:t xml:space="preserve">heter Infections in </w:t>
      </w:r>
      <w:r w:rsidRPr="00983668">
        <w:rPr>
          <w:rFonts w:asciiTheme="majorHAnsi" w:eastAsia="Times New Roman" w:hAnsiTheme="majorHAnsi" w:cstheme="majorBidi"/>
          <w:b/>
          <w:color w:val="323E4F" w:themeColor="text2" w:themeShade="BF"/>
          <w:spacing w:val="5"/>
          <w:kern w:val="28"/>
          <w:sz w:val="36"/>
          <w:szCs w:val="36"/>
          <w:u w:val="single"/>
          <w:lang w:eastAsia="en-GB"/>
        </w:rPr>
        <w:t>C</w:t>
      </w:r>
      <w:r>
        <w:rPr>
          <w:rFonts w:asciiTheme="majorHAnsi" w:eastAsia="Times New Roman" w:hAnsiTheme="majorHAnsi" w:cstheme="majorBidi"/>
          <w:b/>
          <w:color w:val="323E4F" w:themeColor="text2" w:themeShade="BF"/>
          <w:spacing w:val="5"/>
          <w:kern w:val="28"/>
          <w:sz w:val="36"/>
          <w:szCs w:val="36"/>
          <w:u w:val="single"/>
          <w:lang w:eastAsia="en-GB"/>
        </w:rPr>
        <w:t>H</w:t>
      </w:r>
      <w:r w:rsidRPr="00983668">
        <w:rPr>
          <w:rFonts w:asciiTheme="majorHAnsi" w:eastAsia="Times New Roman" w:hAnsiTheme="majorHAnsi" w:cstheme="majorBidi"/>
          <w:b/>
          <w:color w:val="323E4F" w:themeColor="text2" w:themeShade="BF"/>
          <w:spacing w:val="5"/>
          <w:kern w:val="28"/>
          <w:sz w:val="36"/>
          <w:szCs w:val="36"/>
          <w:lang w:eastAsia="en-GB"/>
        </w:rPr>
        <w:t xml:space="preserve">ildren: a randomised controlled trial </w:t>
      </w:r>
      <w:r>
        <w:rPr>
          <w:rFonts w:asciiTheme="majorHAnsi" w:eastAsia="Times New Roman" w:hAnsiTheme="majorHAnsi" w:cstheme="majorBidi"/>
          <w:b/>
          <w:color w:val="323E4F" w:themeColor="text2" w:themeShade="BF"/>
          <w:spacing w:val="5"/>
          <w:kern w:val="28"/>
          <w:sz w:val="36"/>
          <w:szCs w:val="36"/>
          <w:lang w:eastAsia="en-GB"/>
        </w:rPr>
        <w:t xml:space="preserve">and economic </w:t>
      </w:r>
      <w:r w:rsidRPr="00983668">
        <w:rPr>
          <w:rFonts w:asciiTheme="majorHAnsi" w:eastAsia="Times New Roman" w:hAnsiTheme="majorHAnsi" w:cstheme="majorBidi"/>
          <w:b/>
          <w:color w:val="323E4F" w:themeColor="text2" w:themeShade="BF"/>
          <w:spacing w:val="5"/>
          <w:kern w:val="28"/>
          <w:sz w:val="36"/>
          <w:szCs w:val="36"/>
          <w:lang w:eastAsia="en-GB"/>
        </w:rPr>
        <w:t>evaluati</w:t>
      </w:r>
      <w:r>
        <w:rPr>
          <w:rFonts w:asciiTheme="majorHAnsi" w:eastAsia="Times New Roman" w:hAnsiTheme="majorHAnsi" w:cstheme="majorBidi"/>
          <w:b/>
          <w:color w:val="323E4F" w:themeColor="text2" w:themeShade="BF"/>
          <w:spacing w:val="5"/>
          <w:kern w:val="28"/>
          <w:sz w:val="36"/>
          <w:szCs w:val="36"/>
          <w:lang w:eastAsia="en-GB"/>
        </w:rPr>
        <w:t xml:space="preserve">on comparing impregnated and standard </w:t>
      </w:r>
      <w:r w:rsidRPr="00983668">
        <w:rPr>
          <w:rFonts w:asciiTheme="majorHAnsi" w:eastAsia="Times New Roman" w:hAnsiTheme="majorHAnsi" w:cstheme="majorBidi"/>
          <w:b/>
          <w:color w:val="323E4F" w:themeColor="text2" w:themeShade="BF"/>
          <w:spacing w:val="5"/>
          <w:kern w:val="28"/>
          <w:sz w:val="36"/>
          <w:szCs w:val="36"/>
          <w:lang w:eastAsia="en-GB"/>
        </w:rPr>
        <w:t xml:space="preserve">central venous catheters in children </w:t>
      </w:r>
    </w:p>
    <w:p w:rsidR="006A57B2" w:rsidRDefault="006A57B2">
      <w:pPr>
        <w:spacing w:after="0" w:line="240" w:lineRule="auto"/>
        <w:rPr>
          <w:rFonts w:asciiTheme="majorHAnsi" w:eastAsia="Times New Roman" w:hAnsiTheme="majorHAnsi" w:cstheme="majorBidi"/>
          <w:color w:val="323E4F" w:themeColor="text2" w:themeShade="BF"/>
          <w:spacing w:val="5"/>
          <w:kern w:val="28"/>
          <w:sz w:val="52"/>
          <w:szCs w:val="52"/>
          <w:lang w:eastAsia="en-GB"/>
        </w:rPr>
      </w:pPr>
    </w:p>
    <w:p w:rsidR="006A57B2" w:rsidRPr="00BA1929" w:rsidRDefault="006A57B2">
      <w:pPr>
        <w:spacing w:after="0" w:line="240" w:lineRule="auto"/>
        <w:rPr>
          <w:rFonts w:asciiTheme="majorHAnsi" w:eastAsia="Times New Roman" w:hAnsiTheme="majorHAnsi" w:cstheme="majorHAnsi"/>
          <w:color w:val="323E4F" w:themeColor="text2" w:themeShade="BF"/>
          <w:spacing w:val="5"/>
          <w:kern w:val="28"/>
          <w:sz w:val="32"/>
          <w:szCs w:val="32"/>
          <w:lang w:eastAsia="en-GB"/>
        </w:rPr>
      </w:pPr>
      <w:r w:rsidRPr="00BA1929">
        <w:rPr>
          <w:rFonts w:asciiTheme="majorHAnsi" w:eastAsia="Times New Roman" w:hAnsiTheme="majorHAnsi" w:cstheme="majorHAnsi"/>
          <w:color w:val="323E4F" w:themeColor="text2" w:themeShade="BF"/>
          <w:spacing w:val="5"/>
          <w:kern w:val="28"/>
          <w:sz w:val="32"/>
          <w:szCs w:val="32"/>
          <w:lang w:eastAsia="en-GB"/>
        </w:rPr>
        <w:t>K Harron</w:t>
      </w:r>
      <w:r w:rsidRPr="00A4480D">
        <w:rPr>
          <w:rFonts w:asciiTheme="majorHAnsi" w:eastAsia="Times New Roman" w:hAnsiTheme="majorHAnsi" w:cstheme="majorHAnsi"/>
          <w:color w:val="323E4F" w:themeColor="text2" w:themeShade="BF"/>
          <w:spacing w:val="5"/>
          <w:kern w:val="28"/>
          <w:sz w:val="32"/>
          <w:szCs w:val="32"/>
          <w:vertAlign w:val="superscript"/>
          <w:lang w:eastAsia="en-GB"/>
        </w:rPr>
        <w:t>1</w:t>
      </w:r>
      <w:r w:rsidRPr="00BA1929">
        <w:rPr>
          <w:rFonts w:asciiTheme="majorHAnsi" w:eastAsia="Times New Roman" w:hAnsiTheme="majorHAnsi" w:cstheme="majorHAnsi"/>
          <w:color w:val="323E4F" w:themeColor="text2" w:themeShade="BF"/>
          <w:spacing w:val="5"/>
          <w:kern w:val="28"/>
          <w:sz w:val="32"/>
          <w:szCs w:val="32"/>
          <w:lang w:eastAsia="en-GB"/>
        </w:rPr>
        <w:t>, Q Mok</w:t>
      </w:r>
      <w:r>
        <w:rPr>
          <w:rFonts w:asciiTheme="majorHAnsi" w:eastAsia="Times New Roman" w:hAnsiTheme="majorHAnsi" w:cstheme="majorHAnsi"/>
          <w:color w:val="323E4F" w:themeColor="text2" w:themeShade="BF"/>
          <w:spacing w:val="5"/>
          <w:kern w:val="28"/>
          <w:sz w:val="32"/>
          <w:szCs w:val="32"/>
          <w:vertAlign w:val="superscript"/>
          <w:lang w:eastAsia="en-GB"/>
        </w:rPr>
        <w:t>2</w:t>
      </w:r>
      <w:r w:rsidRPr="00BA1929">
        <w:rPr>
          <w:rFonts w:asciiTheme="majorHAnsi" w:eastAsia="Times New Roman" w:hAnsiTheme="majorHAnsi" w:cstheme="majorHAnsi"/>
          <w:color w:val="323E4F" w:themeColor="text2" w:themeShade="BF"/>
          <w:spacing w:val="5"/>
          <w:kern w:val="28"/>
          <w:sz w:val="32"/>
          <w:szCs w:val="32"/>
          <w:lang w:eastAsia="en-GB"/>
        </w:rPr>
        <w:t>, K Dwan</w:t>
      </w:r>
      <w:r>
        <w:rPr>
          <w:rFonts w:asciiTheme="majorHAnsi" w:eastAsia="Times New Roman" w:hAnsiTheme="majorHAnsi" w:cstheme="majorHAnsi"/>
          <w:color w:val="323E4F" w:themeColor="text2" w:themeShade="BF"/>
          <w:spacing w:val="5"/>
          <w:kern w:val="28"/>
          <w:sz w:val="32"/>
          <w:szCs w:val="32"/>
          <w:vertAlign w:val="superscript"/>
          <w:lang w:eastAsia="en-GB"/>
        </w:rPr>
        <w:t>3</w:t>
      </w:r>
      <w:r w:rsidRPr="00BA1929">
        <w:rPr>
          <w:rFonts w:asciiTheme="majorHAnsi" w:eastAsia="Times New Roman" w:hAnsiTheme="majorHAnsi" w:cstheme="majorHAnsi"/>
          <w:color w:val="323E4F" w:themeColor="text2" w:themeShade="BF"/>
          <w:spacing w:val="5"/>
          <w:kern w:val="28"/>
          <w:sz w:val="32"/>
          <w:szCs w:val="32"/>
          <w:lang w:eastAsia="en-GB"/>
        </w:rPr>
        <w:t>, CH Ridyard</w:t>
      </w:r>
      <w:r>
        <w:rPr>
          <w:rFonts w:asciiTheme="majorHAnsi" w:eastAsia="Times New Roman" w:hAnsiTheme="majorHAnsi" w:cstheme="majorHAnsi"/>
          <w:color w:val="323E4F" w:themeColor="text2" w:themeShade="BF"/>
          <w:spacing w:val="5"/>
          <w:kern w:val="28"/>
          <w:sz w:val="32"/>
          <w:szCs w:val="32"/>
          <w:vertAlign w:val="superscript"/>
          <w:lang w:eastAsia="en-GB"/>
        </w:rPr>
        <w:t>4</w:t>
      </w:r>
      <w:r w:rsidRPr="00BA1929">
        <w:rPr>
          <w:rFonts w:asciiTheme="majorHAnsi" w:eastAsia="Times New Roman" w:hAnsiTheme="majorHAnsi" w:cstheme="majorHAnsi"/>
          <w:color w:val="323E4F" w:themeColor="text2" w:themeShade="BF"/>
          <w:spacing w:val="5"/>
          <w:kern w:val="28"/>
          <w:sz w:val="32"/>
          <w:szCs w:val="32"/>
          <w:lang w:eastAsia="en-GB"/>
        </w:rPr>
        <w:t>, T Moitt</w:t>
      </w:r>
      <w:r>
        <w:rPr>
          <w:rFonts w:asciiTheme="majorHAnsi" w:eastAsia="Times New Roman" w:hAnsiTheme="majorHAnsi" w:cstheme="majorHAnsi"/>
          <w:color w:val="323E4F" w:themeColor="text2" w:themeShade="BF"/>
          <w:spacing w:val="5"/>
          <w:kern w:val="28"/>
          <w:sz w:val="32"/>
          <w:szCs w:val="32"/>
          <w:vertAlign w:val="superscript"/>
          <w:lang w:eastAsia="en-GB"/>
        </w:rPr>
        <w:t>3</w:t>
      </w:r>
      <w:r w:rsidRPr="00BA1929">
        <w:rPr>
          <w:rFonts w:asciiTheme="majorHAnsi" w:eastAsia="Times New Roman" w:hAnsiTheme="majorHAnsi" w:cstheme="majorHAnsi"/>
          <w:color w:val="323E4F" w:themeColor="text2" w:themeShade="BF"/>
          <w:spacing w:val="5"/>
          <w:kern w:val="28"/>
          <w:sz w:val="32"/>
          <w:szCs w:val="32"/>
          <w:lang w:eastAsia="en-GB"/>
        </w:rPr>
        <w:t>, M Millar</w:t>
      </w:r>
      <w:r>
        <w:rPr>
          <w:rFonts w:asciiTheme="majorHAnsi" w:eastAsia="Times New Roman" w:hAnsiTheme="majorHAnsi" w:cstheme="majorHAnsi"/>
          <w:color w:val="323E4F" w:themeColor="text2" w:themeShade="BF"/>
          <w:spacing w:val="5"/>
          <w:kern w:val="28"/>
          <w:sz w:val="32"/>
          <w:szCs w:val="32"/>
          <w:vertAlign w:val="superscript"/>
          <w:lang w:eastAsia="en-GB"/>
        </w:rPr>
        <w:t>5</w:t>
      </w:r>
      <w:r w:rsidRPr="00BA1929">
        <w:rPr>
          <w:rFonts w:asciiTheme="majorHAnsi" w:eastAsia="Times New Roman" w:hAnsiTheme="majorHAnsi" w:cstheme="majorHAnsi"/>
          <w:color w:val="323E4F" w:themeColor="text2" w:themeShade="BF"/>
          <w:spacing w:val="5"/>
          <w:kern w:val="28"/>
          <w:sz w:val="32"/>
          <w:szCs w:val="32"/>
          <w:lang w:eastAsia="en-GB"/>
        </w:rPr>
        <w:t>, P Ramnarayan</w:t>
      </w:r>
      <w:r>
        <w:rPr>
          <w:rFonts w:asciiTheme="majorHAnsi" w:eastAsia="Times New Roman" w:hAnsiTheme="majorHAnsi" w:cstheme="majorHAnsi"/>
          <w:color w:val="323E4F" w:themeColor="text2" w:themeShade="BF"/>
          <w:spacing w:val="5"/>
          <w:kern w:val="28"/>
          <w:sz w:val="32"/>
          <w:szCs w:val="32"/>
          <w:vertAlign w:val="superscript"/>
          <w:lang w:eastAsia="en-GB"/>
        </w:rPr>
        <w:t>2</w:t>
      </w:r>
      <w:r w:rsidRPr="00BA1929">
        <w:rPr>
          <w:rFonts w:asciiTheme="majorHAnsi" w:eastAsia="Times New Roman" w:hAnsiTheme="majorHAnsi" w:cstheme="majorHAnsi"/>
          <w:color w:val="323E4F" w:themeColor="text2" w:themeShade="BF"/>
          <w:spacing w:val="5"/>
          <w:kern w:val="28"/>
          <w:sz w:val="32"/>
          <w:szCs w:val="32"/>
          <w:lang w:eastAsia="en-GB"/>
        </w:rPr>
        <w:t>, SM Tibby</w:t>
      </w:r>
      <w:r>
        <w:rPr>
          <w:rFonts w:asciiTheme="majorHAnsi" w:eastAsia="Times New Roman" w:hAnsiTheme="majorHAnsi" w:cstheme="majorHAnsi"/>
          <w:color w:val="323E4F" w:themeColor="text2" w:themeShade="BF"/>
          <w:spacing w:val="5"/>
          <w:kern w:val="28"/>
          <w:sz w:val="32"/>
          <w:szCs w:val="32"/>
          <w:vertAlign w:val="superscript"/>
          <w:lang w:eastAsia="en-GB"/>
        </w:rPr>
        <w:t>6</w:t>
      </w:r>
      <w:r w:rsidRPr="00BA1929">
        <w:rPr>
          <w:rFonts w:asciiTheme="majorHAnsi" w:eastAsia="Times New Roman" w:hAnsiTheme="majorHAnsi" w:cstheme="majorHAnsi"/>
          <w:color w:val="323E4F" w:themeColor="text2" w:themeShade="BF"/>
          <w:spacing w:val="5"/>
          <w:kern w:val="28"/>
          <w:sz w:val="32"/>
          <w:szCs w:val="32"/>
          <w:lang w:eastAsia="en-GB"/>
        </w:rPr>
        <w:t>, D</w:t>
      </w:r>
      <w:r>
        <w:rPr>
          <w:rFonts w:asciiTheme="majorHAnsi" w:eastAsia="Times New Roman" w:hAnsiTheme="majorHAnsi" w:cstheme="majorHAnsi"/>
          <w:color w:val="323E4F" w:themeColor="text2" w:themeShade="BF"/>
          <w:spacing w:val="5"/>
          <w:kern w:val="28"/>
          <w:sz w:val="32"/>
          <w:szCs w:val="32"/>
          <w:lang w:eastAsia="en-GB"/>
        </w:rPr>
        <w:t>A</w:t>
      </w:r>
      <w:r w:rsidRPr="00BA1929">
        <w:rPr>
          <w:rFonts w:asciiTheme="majorHAnsi" w:eastAsia="Times New Roman" w:hAnsiTheme="majorHAnsi" w:cstheme="majorHAnsi"/>
          <w:color w:val="323E4F" w:themeColor="text2" w:themeShade="BF"/>
          <w:spacing w:val="5"/>
          <w:kern w:val="28"/>
          <w:sz w:val="32"/>
          <w:szCs w:val="32"/>
          <w:lang w:eastAsia="en-GB"/>
        </w:rPr>
        <w:t xml:space="preserve"> Hughes</w:t>
      </w:r>
      <w:r>
        <w:rPr>
          <w:rFonts w:asciiTheme="majorHAnsi" w:eastAsia="Times New Roman" w:hAnsiTheme="majorHAnsi" w:cstheme="majorHAnsi"/>
          <w:color w:val="323E4F" w:themeColor="text2" w:themeShade="BF"/>
          <w:spacing w:val="5"/>
          <w:kern w:val="28"/>
          <w:sz w:val="32"/>
          <w:szCs w:val="32"/>
          <w:vertAlign w:val="superscript"/>
          <w:lang w:eastAsia="en-GB"/>
        </w:rPr>
        <w:t>4</w:t>
      </w:r>
      <w:r w:rsidRPr="00BA1929">
        <w:rPr>
          <w:rFonts w:asciiTheme="majorHAnsi" w:eastAsia="Times New Roman" w:hAnsiTheme="majorHAnsi" w:cstheme="majorHAnsi"/>
          <w:color w:val="323E4F" w:themeColor="text2" w:themeShade="BF"/>
          <w:spacing w:val="5"/>
          <w:kern w:val="28"/>
          <w:sz w:val="32"/>
          <w:szCs w:val="32"/>
          <w:lang w:eastAsia="en-GB"/>
        </w:rPr>
        <w:t>, C Gamble</w:t>
      </w:r>
      <w:r>
        <w:rPr>
          <w:rFonts w:asciiTheme="majorHAnsi" w:eastAsia="Times New Roman" w:hAnsiTheme="majorHAnsi" w:cstheme="majorHAnsi"/>
          <w:color w:val="323E4F" w:themeColor="text2" w:themeShade="BF"/>
          <w:spacing w:val="5"/>
          <w:kern w:val="28"/>
          <w:sz w:val="32"/>
          <w:szCs w:val="32"/>
          <w:vertAlign w:val="superscript"/>
          <w:lang w:eastAsia="en-GB"/>
        </w:rPr>
        <w:t>3</w:t>
      </w:r>
      <w:r w:rsidRPr="00BA1929">
        <w:rPr>
          <w:rFonts w:asciiTheme="majorHAnsi" w:eastAsia="Times New Roman" w:hAnsiTheme="majorHAnsi" w:cstheme="majorHAnsi"/>
          <w:color w:val="323E4F" w:themeColor="text2" w:themeShade="BF"/>
          <w:spacing w:val="5"/>
          <w:kern w:val="28"/>
          <w:sz w:val="32"/>
          <w:szCs w:val="32"/>
          <w:lang w:eastAsia="en-GB"/>
        </w:rPr>
        <w:t xml:space="preserve"> and RE Gilbert</w:t>
      </w:r>
      <w:r w:rsidRPr="00480A7D">
        <w:rPr>
          <w:rFonts w:asciiTheme="majorHAnsi" w:eastAsia="Times New Roman" w:hAnsiTheme="majorHAnsi" w:cstheme="majorHAnsi"/>
          <w:color w:val="323E4F" w:themeColor="text2" w:themeShade="BF"/>
          <w:spacing w:val="5"/>
          <w:kern w:val="28"/>
          <w:sz w:val="32"/>
          <w:szCs w:val="32"/>
          <w:vertAlign w:val="superscript"/>
          <w:lang w:eastAsia="en-GB"/>
        </w:rPr>
        <w:t>1</w:t>
      </w:r>
      <w:r>
        <w:rPr>
          <w:rFonts w:asciiTheme="majorHAnsi" w:eastAsia="Times New Roman" w:hAnsiTheme="majorHAnsi" w:cstheme="majorHAnsi"/>
          <w:color w:val="323E4F" w:themeColor="text2" w:themeShade="BF"/>
          <w:spacing w:val="5"/>
          <w:kern w:val="28"/>
          <w:sz w:val="32"/>
          <w:szCs w:val="32"/>
          <w:lang w:eastAsia="en-GB"/>
        </w:rPr>
        <w:t>*</w:t>
      </w: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rsidP="00DD66C0">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Pr>
          <w:rFonts w:asciiTheme="majorHAnsi" w:eastAsia="Times New Roman" w:hAnsiTheme="majorHAnsi" w:cstheme="majorHAnsi"/>
          <w:i/>
          <w:color w:val="323E4F" w:themeColor="text2" w:themeShade="BF"/>
          <w:spacing w:val="5"/>
          <w:kern w:val="28"/>
          <w:sz w:val="24"/>
          <w:szCs w:val="24"/>
          <w:lang w:eastAsia="en-GB"/>
        </w:rPr>
        <w:t xml:space="preserve">*Corresponding author: </w:t>
      </w:r>
      <w:r w:rsidRPr="006A57B2">
        <w:rPr>
          <w:rFonts w:eastAsia="Times New Roman" w:cstheme="majorHAnsi"/>
          <w:i/>
          <w:color w:val="323E4F" w:themeColor="text2" w:themeShade="BF"/>
          <w:sz w:val="24"/>
          <w:szCs w:val="24"/>
          <w:lang w:eastAsia="en-GB"/>
        </w:rPr>
        <w:t>r.gilbert@ucl.ac.uk</w:t>
      </w:r>
      <w:r>
        <w:rPr>
          <w:rFonts w:asciiTheme="majorHAnsi" w:eastAsia="Times New Roman" w:hAnsiTheme="majorHAnsi" w:cstheme="majorHAnsi"/>
          <w:i/>
          <w:color w:val="323E4F" w:themeColor="text2" w:themeShade="BF"/>
          <w:spacing w:val="5"/>
          <w:kern w:val="28"/>
          <w:sz w:val="24"/>
          <w:szCs w:val="24"/>
          <w:lang w:eastAsia="en-GB"/>
        </w:rPr>
        <w:t xml:space="preserve"> </w:t>
      </w:r>
    </w:p>
    <w:p w:rsidR="006A57B2"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sidRPr="00A4480D">
        <w:rPr>
          <w:rFonts w:asciiTheme="majorHAnsi" w:eastAsia="Times New Roman" w:hAnsiTheme="majorHAnsi" w:cstheme="majorHAnsi"/>
          <w:i/>
          <w:color w:val="323E4F" w:themeColor="text2" w:themeShade="BF"/>
          <w:spacing w:val="5"/>
          <w:kern w:val="28"/>
          <w:sz w:val="24"/>
          <w:szCs w:val="24"/>
          <w:vertAlign w:val="superscript"/>
          <w:lang w:eastAsia="en-GB"/>
        </w:rPr>
        <w:t xml:space="preserve">1 </w:t>
      </w:r>
      <w:r>
        <w:rPr>
          <w:rFonts w:asciiTheme="majorHAnsi" w:eastAsia="Times New Roman" w:hAnsiTheme="majorHAnsi" w:cstheme="majorHAnsi"/>
          <w:i/>
          <w:color w:val="323E4F" w:themeColor="text2" w:themeShade="BF"/>
          <w:spacing w:val="5"/>
          <w:kern w:val="28"/>
          <w:sz w:val="24"/>
          <w:szCs w:val="24"/>
          <w:lang w:eastAsia="en-GB"/>
        </w:rPr>
        <w:t>Institute of Child Health, University College London, UK</w:t>
      </w:r>
    </w:p>
    <w:p w:rsidR="006A57B2" w:rsidRPr="003432C6"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sidRPr="00A4480D">
        <w:rPr>
          <w:rFonts w:asciiTheme="majorHAnsi" w:eastAsia="Times New Roman" w:hAnsiTheme="majorHAnsi" w:cstheme="majorHAnsi"/>
          <w:i/>
          <w:color w:val="323E4F" w:themeColor="text2" w:themeShade="BF"/>
          <w:spacing w:val="5"/>
          <w:kern w:val="28"/>
          <w:sz w:val="24"/>
          <w:szCs w:val="24"/>
          <w:vertAlign w:val="superscript"/>
          <w:lang w:eastAsia="en-GB"/>
        </w:rPr>
        <w:t xml:space="preserve">2 </w:t>
      </w:r>
      <w:r>
        <w:rPr>
          <w:rFonts w:asciiTheme="majorHAnsi" w:eastAsia="Times New Roman" w:hAnsiTheme="majorHAnsi" w:cstheme="majorHAnsi"/>
          <w:i/>
          <w:color w:val="323E4F" w:themeColor="text2" w:themeShade="BF"/>
          <w:spacing w:val="5"/>
          <w:kern w:val="28"/>
          <w:sz w:val="24"/>
          <w:szCs w:val="24"/>
          <w:lang w:eastAsia="en-GB"/>
        </w:rPr>
        <w:t xml:space="preserve">Great </w:t>
      </w:r>
      <w:r w:rsidRPr="003432C6">
        <w:rPr>
          <w:rFonts w:asciiTheme="majorHAnsi" w:eastAsia="Times New Roman" w:hAnsiTheme="majorHAnsi" w:cstheme="majorHAnsi"/>
          <w:i/>
          <w:color w:val="323E4F" w:themeColor="text2" w:themeShade="BF"/>
          <w:spacing w:val="5"/>
          <w:kern w:val="28"/>
          <w:sz w:val="24"/>
          <w:szCs w:val="24"/>
          <w:lang w:eastAsia="en-GB"/>
        </w:rPr>
        <w:t>Ormond Street Hospital, London, UK</w:t>
      </w:r>
    </w:p>
    <w:p w:rsidR="006A57B2" w:rsidRPr="003432C6"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sidRPr="00FF11BF">
        <w:rPr>
          <w:rFonts w:asciiTheme="majorHAnsi" w:eastAsia="Times New Roman" w:hAnsiTheme="majorHAnsi" w:cstheme="majorHAnsi"/>
          <w:i/>
          <w:color w:val="323E4F" w:themeColor="text2" w:themeShade="BF"/>
          <w:spacing w:val="5"/>
          <w:kern w:val="28"/>
          <w:sz w:val="24"/>
          <w:szCs w:val="24"/>
          <w:vertAlign w:val="superscript"/>
          <w:lang w:eastAsia="en-GB"/>
        </w:rPr>
        <w:t xml:space="preserve">3 </w:t>
      </w:r>
      <w:r w:rsidRPr="00FF11BF">
        <w:rPr>
          <w:rFonts w:asciiTheme="majorHAnsi" w:eastAsia="Times New Roman" w:hAnsiTheme="majorHAnsi" w:cstheme="majorHAnsi"/>
          <w:i/>
          <w:color w:val="323E4F" w:themeColor="text2" w:themeShade="BF"/>
          <w:spacing w:val="5"/>
          <w:kern w:val="28"/>
          <w:sz w:val="24"/>
          <w:szCs w:val="24"/>
          <w:lang w:eastAsia="en-GB"/>
        </w:rPr>
        <w:t>Medicines for C</w:t>
      </w:r>
      <w:r w:rsidRPr="00951266">
        <w:rPr>
          <w:rFonts w:asciiTheme="majorHAnsi" w:eastAsia="Times New Roman" w:hAnsiTheme="majorHAnsi" w:cstheme="majorHAnsi"/>
          <w:i/>
          <w:color w:val="323E4F" w:themeColor="text2" w:themeShade="BF"/>
          <w:spacing w:val="5"/>
          <w:kern w:val="28"/>
          <w:sz w:val="24"/>
          <w:szCs w:val="24"/>
          <w:lang w:eastAsia="en-GB"/>
        </w:rPr>
        <w:t xml:space="preserve">hildren Research Network Clinical Trials Unit, </w:t>
      </w:r>
      <w:r w:rsidRPr="003432C6">
        <w:rPr>
          <w:rFonts w:asciiTheme="majorHAnsi" w:eastAsia="Times New Roman" w:hAnsiTheme="majorHAnsi" w:cstheme="majorHAnsi"/>
          <w:i/>
          <w:color w:val="323E4F" w:themeColor="text2" w:themeShade="BF"/>
          <w:spacing w:val="5"/>
          <w:kern w:val="28"/>
          <w:sz w:val="24"/>
          <w:szCs w:val="24"/>
          <w:lang w:eastAsia="en-GB"/>
        </w:rPr>
        <w:t>University of Liverpool, UK</w:t>
      </w:r>
    </w:p>
    <w:p w:rsidR="006A57B2" w:rsidRPr="003432C6"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sidRPr="003432C6">
        <w:rPr>
          <w:rFonts w:asciiTheme="majorHAnsi" w:eastAsia="Times New Roman" w:hAnsiTheme="majorHAnsi" w:cstheme="majorHAnsi"/>
          <w:i/>
          <w:color w:val="323E4F" w:themeColor="text2" w:themeShade="BF"/>
          <w:spacing w:val="5"/>
          <w:kern w:val="28"/>
          <w:sz w:val="24"/>
          <w:szCs w:val="24"/>
          <w:vertAlign w:val="superscript"/>
          <w:lang w:eastAsia="en-GB"/>
        </w:rPr>
        <w:t xml:space="preserve">4 </w:t>
      </w:r>
      <w:r w:rsidRPr="003432C6">
        <w:rPr>
          <w:rFonts w:asciiTheme="majorHAnsi" w:eastAsia="Times New Roman" w:hAnsiTheme="majorHAnsi" w:cstheme="majorHAnsi"/>
          <w:i/>
          <w:color w:val="323E4F" w:themeColor="text2" w:themeShade="BF"/>
          <w:spacing w:val="5"/>
          <w:kern w:val="28"/>
          <w:sz w:val="24"/>
          <w:szCs w:val="24"/>
          <w:lang w:eastAsia="en-GB"/>
        </w:rPr>
        <w:t>Centre for Health Economics &amp; Medicines Evaluation, Bangor University, UK</w:t>
      </w:r>
    </w:p>
    <w:p w:rsidR="006A57B2" w:rsidRPr="003432C6"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sidRPr="003432C6">
        <w:rPr>
          <w:rFonts w:asciiTheme="majorHAnsi" w:eastAsia="Times New Roman" w:hAnsiTheme="majorHAnsi" w:cstheme="majorHAnsi"/>
          <w:i/>
          <w:color w:val="323E4F" w:themeColor="text2" w:themeShade="BF"/>
          <w:spacing w:val="5"/>
          <w:kern w:val="28"/>
          <w:sz w:val="24"/>
          <w:szCs w:val="24"/>
          <w:vertAlign w:val="superscript"/>
          <w:lang w:eastAsia="en-GB"/>
        </w:rPr>
        <w:t>5</w:t>
      </w:r>
      <w:r w:rsidRPr="003432C6">
        <w:rPr>
          <w:rFonts w:asciiTheme="majorHAnsi" w:eastAsia="Times New Roman" w:hAnsiTheme="majorHAnsi" w:cstheme="majorHAnsi"/>
          <w:i/>
          <w:color w:val="323E4F" w:themeColor="text2" w:themeShade="BF"/>
          <w:spacing w:val="5"/>
          <w:kern w:val="28"/>
          <w:sz w:val="24"/>
          <w:szCs w:val="24"/>
          <w:lang w:eastAsia="en-GB"/>
        </w:rPr>
        <w:t xml:space="preserve"> Barts Health NHS Trust, London, UK</w:t>
      </w:r>
    </w:p>
    <w:p w:rsidR="006A57B2" w:rsidRPr="003432C6"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sidRPr="003432C6">
        <w:rPr>
          <w:rFonts w:asciiTheme="majorHAnsi" w:eastAsia="Times New Roman" w:hAnsiTheme="majorHAnsi" w:cstheme="majorHAnsi"/>
          <w:i/>
          <w:color w:val="323E4F" w:themeColor="text2" w:themeShade="BF"/>
          <w:spacing w:val="5"/>
          <w:kern w:val="28"/>
          <w:sz w:val="24"/>
          <w:szCs w:val="24"/>
          <w:vertAlign w:val="superscript"/>
          <w:lang w:eastAsia="en-GB"/>
        </w:rPr>
        <w:t>6</w:t>
      </w:r>
      <w:r w:rsidRPr="003432C6">
        <w:rPr>
          <w:rFonts w:asciiTheme="majorHAnsi" w:eastAsia="Times New Roman" w:hAnsiTheme="majorHAnsi" w:cstheme="majorHAnsi"/>
          <w:i/>
          <w:color w:val="323E4F" w:themeColor="text2" w:themeShade="BF"/>
          <w:spacing w:val="5"/>
          <w:kern w:val="28"/>
          <w:sz w:val="24"/>
          <w:szCs w:val="24"/>
          <w:lang w:eastAsia="en-GB"/>
        </w:rPr>
        <w:t xml:space="preserve"> Evelina Children’s Hospital, London, UK</w:t>
      </w:r>
    </w:p>
    <w:p w:rsidR="006A57B2" w:rsidRPr="003432C6"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p>
    <w:p w:rsidR="006A57B2" w:rsidRPr="003432C6" w:rsidRDefault="006A57B2">
      <w:pPr>
        <w:spacing w:after="0" w:line="240" w:lineRule="auto"/>
        <w:rPr>
          <w:rFonts w:asciiTheme="majorHAnsi" w:eastAsia="Times New Roman" w:hAnsiTheme="majorHAnsi" w:cstheme="majorHAnsi"/>
          <w:i/>
          <w:color w:val="323E4F" w:themeColor="text2" w:themeShade="BF"/>
          <w:spacing w:val="5"/>
          <w:kern w:val="28"/>
          <w:sz w:val="24"/>
          <w:szCs w:val="24"/>
          <w:lang w:eastAsia="en-GB"/>
        </w:rPr>
      </w:pPr>
      <w:r w:rsidRPr="003432C6">
        <w:rPr>
          <w:rFonts w:asciiTheme="majorHAnsi" w:eastAsia="Times New Roman" w:hAnsiTheme="majorHAnsi" w:cstheme="majorHAnsi"/>
          <w:i/>
          <w:color w:val="323E4F" w:themeColor="text2" w:themeShade="BF"/>
          <w:spacing w:val="5"/>
          <w:kern w:val="28"/>
          <w:sz w:val="24"/>
          <w:szCs w:val="24"/>
          <w:lang w:eastAsia="en-GB"/>
        </w:rPr>
        <w:t xml:space="preserve">Competing interests: M Millar </w:t>
      </w:r>
      <w:r w:rsidRPr="003432C6">
        <w:rPr>
          <w:rFonts w:asciiTheme="majorHAnsi" w:eastAsiaTheme="minorEastAsia" w:hAnsiTheme="majorHAnsi" w:cstheme="majorHAnsi"/>
          <w:i/>
          <w:sz w:val="24"/>
          <w:szCs w:val="24"/>
        </w:rPr>
        <w:t>was a member of the NIHR HTA D</w:t>
      </w:r>
      <w:r>
        <w:rPr>
          <w:rFonts w:asciiTheme="majorHAnsi" w:eastAsiaTheme="minorEastAsia" w:hAnsiTheme="majorHAnsi" w:cstheme="majorHAnsi"/>
          <w:i/>
          <w:sz w:val="24"/>
          <w:szCs w:val="24"/>
        </w:rPr>
        <w:t xml:space="preserve">iagnostic </w:t>
      </w:r>
      <w:r w:rsidRPr="003432C6">
        <w:rPr>
          <w:rFonts w:asciiTheme="majorHAnsi" w:eastAsiaTheme="minorEastAsia" w:hAnsiTheme="majorHAnsi" w:cstheme="majorHAnsi"/>
          <w:i/>
          <w:sz w:val="24"/>
          <w:szCs w:val="24"/>
        </w:rPr>
        <w:t>T</w:t>
      </w:r>
      <w:r>
        <w:rPr>
          <w:rFonts w:asciiTheme="majorHAnsi" w:eastAsiaTheme="minorEastAsia" w:hAnsiTheme="majorHAnsi" w:cstheme="majorHAnsi"/>
          <w:i/>
          <w:sz w:val="24"/>
          <w:szCs w:val="24"/>
        </w:rPr>
        <w:t xml:space="preserve">echnologies and </w:t>
      </w:r>
      <w:r w:rsidRPr="003432C6">
        <w:rPr>
          <w:rFonts w:asciiTheme="majorHAnsi" w:eastAsiaTheme="minorEastAsia" w:hAnsiTheme="majorHAnsi" w:cstheme="majorHAnsi"/>
          <w:i/>
          <w:sz w:val="24"/>
          <w:szCs w:val="24"/>
        </w:rPr>
        <w:t>S</w:t>
      </w:r>
      <w:r>
        <w:rPr>
          <w:rFonts w:asciiTheme="majorHAnsi" w:eastAsiaTheme="minorEastAsia" w:hAnsiTheme="majorHAnsi" w:cstheme="majorHAnsi"/>
          <w:i/>
          <w:sz w:val="24"/>
          <w:szCs w:val="24"/>
        </w:rPr>
        <w:t xml:space="preserve">creening </w:t>
      </w:r>
      <w:r w:rsidRPr="003432C6">
        <w:rPr>
          <w:rFonts w:asciiTheme="majorHAnsi" w:eastAsiaTheme="minorEastAsia" w:hAnsiTheme="majorHAnsi" w:cstheme="majorHAnsi"/>
          <w:i/>
          <w:sz w:val="24"/>
          <w:szCs w:val="24"/>
        </w:rPr>
        <w:t xml:space="preserve">Panel for the duration of the CATCH study. </w:t>
      </w:r>
      <w:r w:rsidRPr="003432C6">
        <w:rPr>
          <w:rFonts w:asciiTheme="majorHAnsi" w:eastAsia="Times New Roman" w:hAnsiTheme="majorHAnsi" w:cstheme="majorHAnsi"/>
          <w:i/>
          <w:color w:val="323E4F" w:themeColor="text2" w:themeShade="BF"/>
          <w:spacing w:val="5"/>
          <w:kern w:val="28"/>
          <w:sz w:val="24"/>
          <w:szCs w:val="24"/>
          <w:lang w:eastAsia="en-GB"/>
        </w:rPr>
        <w:t>No other competing interests declared</w:t>
      </w:r>
    </w:p>
    <w:p w:rsidR="006A57B2" w:rsidRPr="003432C6" w:rsidRDefault="006A57B2">
      <w:pPr>
        <w:spacing w:after="0" w:line="240" w:lineRule="auto"/>
        <w:rPr>
          <w:rFonts w:asciiTheme="majorHAnsi" w:eastAsia="Times New Roman" w:hAnsiTheme="majorHAnsi" w:cstheme="majorHAnsi"/>
          <w:color w:val="323E4F" w:themeColor="text2" w:themeShade="BF"/>
          <w:spacing w:val="5"/>
          <w:kern w:val="28"/>
          <w:sz w:val="24"/>
          <w:szCs w:val="24"/>
          <w:lang w:eastAsia="en-GB"/>
        </w:rPr>
      </w:pPr>
    </w:p>
    <w:p w:rsidR="006A57B2" w:rsidRPr="003432C6" w:rsidRDefault="006A57B2">
      <w:pPr>
        <w:spacing w:after="0" w:line="240" w:lineRule="auto"/>
        <w:rPr>
          <w:rFonts w:asciiTheme="majorHAnsi" w:eastAsia="Times New Roman" w:hAnsiTheme="majorHAnsi" w:cstheme="majorHAnsi"/>
          <w:color w:val="323E4F" w:themeColor="text2" w:themeShade="BF"/>
          <w:spacing w:val="5"/>
          <w:kern w:val="28"/>
          <w:sz w:val="24"/>
          <w:szCs w:val="24"/>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r w:rsidRPr="007E0024">
        <w:rPr>
          <w:rFonts w:asciiTheme="majorHAnsi" w:eastAsia="Times New Roman" w:hAnsiTheme="majorHAnsi" w:cstheme="majorHAnsi"/>
          <w:color w:val="323E4F" w:themeColor="text2" w:themeShade="BF"/>
          <w:spacing w:val="5"/>
          <w:kern w:val="28"/>
          <w:sz w:val="28"/>
          <w:szCs w:val="28"/>
          <w:lang w:eastAsia="en-GB"/>
        </w:rPr>
        <w:t>Final Draft</w:t>
      </w: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r>
        <w:rPr>
          <w:rFonts w:asciiTheme="majorHAnsi" w:eastAsia="Times New Roman" w:hAnsiTheme="majorHAnsi" w:cstheme="majorHAnsi"/>
          <w:color w:val="323E4F" w:themeColor="text2" w:themeShade="BF"/>
          <w:spacing w:val="5"/>
          <w:kern w:val="28"/>
          <w:sz w:val="28"/>
          <w:szCs w:val="28"/>
          <w:lang w:eastAsia="en-GB"/>
        </w:rPr>
        <w:t>Total word count 2</w:t>
      </w:r>
      <w:r w:rsidR="000656A5">
        <w:rPr>
          <w:rFonts w:asciiTheme="majorHAnsi" w:eastAsia="Times New Roman" w:hAnsiTheme="majorHAnsi" w:cstheme="majorHAnsi"/>
          <w:color w:val="323E4F" w:themeColor="text2" w:themeShade="BF"/>
          <w:spacing w:val="5"/>
          <w:kern w:val="28"/>
          <w:sz w:val="28"/>
          <w:szCs w:val="28"/>
          <w:lang w:eastAsia="en-GB"/>
        </w:rPr>
        <w:t>1144</w:t>
      </w: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r>
        <w:rPr>
          <w:rFonts w:asciiTheme="majorHAnsi" w:eastAsia="Times New Roman" w:hAnsiTheme="majorHAnsi" w:cstheme="majorHAnsi"/>
          <w:color w:val="323E4F" w:themeColor="text2" w:themeShade="BF"/>
          <w:spacing w:val="5"/>
          <w:kern w:val="28"/>
          <w:sz w:val="28"/>
          <w:szCs w:val="28"/>
          <w:lang w:eastAsia="en-GB"/>
        </w:rPr>
        <w:t>August 2015</w:t>
      </w:r>
    </w:p>
    <w:p w:rsidR="006A57B2" w:rsidRDefault="006A57B2">
      <w:pPr>
        <w:spacing w:after="0" w:line="240" w:lineRule="auto"/>
        <w:rPr>
          <w:rFonts w:asciiTheme="majorHAnsi" w:eastAsia="Times New Roman" w:hAnsiTheme="majorHAnsi" w:cstheme="majorHAnsi"/>
          <w:color w:val="323E4F" w:themeColor="text2" w:themeShade="BF"/>
          <w:spacing w:val="5"/>
          <w:kern w:val="28"/>
          <w:sz w:val="28"/>
          <w:szCs w:val="28"/>
          <w:lang w:eastAsia="en-GB"/>
        </w:rPr>
      </w:pPr>
    </w:p>
    <w:p w:rsidR="006A57B2" w:rsidRDefault="006A57B2">
      <w:pPr>
        <w:spacing w:after="0" w:line="240" w:lineRule="auto"/>
        <w:rPr>
          <w:rFonts w:asciiTheme="majorHAnsi" w:eastAsia="Times New Roman" w:hAnsiTheme="majorHAnsi" w:cstheme="majorBidi"/>
          <w:color w:val="323E4F" w:themeColor="text2" w:themeShade="BF"/>
          <w:spacing w:val="5"/>
          <w:kern w:val="28"/>
          <w:sz w:val="52"/>
          <w:szCs w:val="52"/>
          <w:lang w:eastAsia="en-GB"/>
        </w:rPr>
      </w:pPr>
      <w:r>
        <w:rPr>
          <w:rFonts w:asciiTheme="majorHAnsi" w:eastAsia="Times New Roman" w:hAnsiTheme="majorHAnsi" w:cstheme="majorBidi"/>
          <w:color w:val="323E4F" w:themeColor="text2" w:themeShade="BF"/>
          <w:spacing w:val="5"/>
          <w:kern w:val="28"/>
          <w:sz w:val="52"/>
          <w:szCs w:val="52"/>
          <w:lang w:eastAsia="en-GB"/>
        </w:rPr>
        <w:br w:type="page"/>
      </w:r>
    </w:p>
    <w:p w:rsidR="006A57B2" w:rsidRPr="006F43EE" w:rsidRDefault="006A57B2" w:rsidP="006F43EE">
      <w:pPr>
        <w:rPr>
          <w:rFonts w:asciiTheme="majorHAnsi" w:hAnsiTheme="majorHAnsi" w:cstheme="majorHAnsi"/>
          <w:b/>
          <w:color w:val="2E74B5" w:themeColor="accent1" w:themeShade="BF"/>
          <w:sz w:val="28"/>
          <w:szCs w:val="28"/>
        </w:rPr>
      </w:pPr>
      <w:r w:rsidRPr="006F43EE">
        <w:rPr>
          <w:rFonts w:asciiTheme="majorHAnsi" w:hAnsiTheme="majorHAnsi" w:cstheme="majorHAnsi"/>
          <w:b/>
          <w:color w:val="2E74B5" w:themeColor="accent1" w:themeShade="BF"/>
          <w:sz w:val="28"/>
          <w:szCs w:val="28"/>
        </w:rPr>
        <w:lastRenderedPageBreak/>
        <w:t>CONTENTS</w:t>
      </w:r>
    </w:p>
    <w:p w:rsidR="006A57B2" w:rsidRPr="006F43EE" w:rsidRDefault="006A57B2" w:rsidP="006F43EE">
      <w:pPr>
        <w:rPr>
          <w:lang w:eastAsia="en-GB"/>
        </w:rPr>
      </w:pPr>
    </w:p>
    <w:p w:rsidR="006A57B2" w:rsidRPr="007F3EC5" w:rsidRDefault="006A57B2">
      <w:pPr>
        <w:pStyle w:val="TOC1"/>
        <w:rPr>
          <w:rFonts w:eastAsiaTheme="minorEastAsia"/>
          <w:noProof/>
          <w:sz w:val="22"/>
        </w:rPr>
      </w:pPr>
      <w:r w:rsidRPr="007F3EC5">
        <w:rPr>
          <w:rStyle w:val="Hyperlink"/>
          <w:noProof/>
          <w:color w:val="auto"/>
          <w:u w:val="none"/>
        </w:rPr>
        <w:t>LIST OF FIGURES</w:t>
      </w:r>
      <w:r w:rsidRPr="007F3EC5">
        <w:rPr>
          <w:noProof/>
          <w:webHidden/>
        </w:rPr>
        <w:tab/>
        <w:t>5</w:t>
      </w:r>
    </w:p>
    <w:p w:rsidR="006A57B2" w:rsidRPr="007F3EC5" w:rsidRDefault="006A57B2">
      <w:pPr>
        <w:pStyle w:val="TOC1"/>
        <w:rPr>
          <w:rFonts w:eastAsiaTheme="minorEastAsia"/>
          <w:noProof/>
          <w:sz w:val="22"/>
        </w:rPr>
      </w:pPr>
      <w:r w:rsidRPr="007F3EC5">
        <w:rPr>
          <w:rStyle w:val="Hyperlink"/>
          <w:noProof/>
          <w:color w:val="auto"/>
          <w:u w:val="none"/>
        </w:rPr>
        <w:t>LIST OF ABBREVIATIONS</w:t>
      </w:r>
      <w:r w:rsidRPr="007F3EC5">
        <w:rPr>
          <w:noProof/>
          <w:webHidden/>
        </w:rPr>
        <w:tab/>
        <w:t>7</w:t>
      </w:r>
    </w:p>
    <w:p w:rsidR="006A57B2" w:rsidRPr="007F3EC5" w:rsidRDefault="006A57B2">
      <w:pPr>
        <w:pStyle w:val="TOC1"/>
        <w:rPr>
          <w:rFonts w:eastAsiaTheme="minorEastAsia"/>
          <w:noProof/>
          <w:sz w:val="22"/>
        </w:rPr>
      </w:pPr>
      <w:r w:rsidRPr="007F3EC5">
        <w:rPr>
          <w:rStyle w:val="Hyperlink"/>
          <w:rFonts w:eastAsia="Times New Roman"/>
          <w:noProof/>
          <w:color w:val="auto"/>
          <w:u w:val="none"/>
        </w:rPr>
        <w:t>ABSTRACT</w:t>
      </w:r>
      <w:r w:rsidRPr="007F3EC5">
        <w:rPr>
          <w:noProof/>
          <w:webHidden/>
        </w:rPr>
        <w:tab/>
        <w:t>8</w:t>
      </w:r>
    </w:p>
    <w:p w:rsidR="006A57B2" w:rsidRPr="007F3EC5" w:rsidRDefault="006A57B2">
      <w:pPr>
        <w:pStyle w:val="TOC1"/>
        <w:rPr>
          <w:rFonts w:eastAsiaTheme="minorEastAsia"/>
          <w:noProof/>
          <w:sz w:val="22"/>
        </w:rPr>
      </w:pPr>
      <w:r w:rsidRPr="007F3EC5">
        <w:rPr>
          <w:rStyle w:val="Hyperlink"/>
          <w:noProof/>
          <w:color w:val="auto"/>
          <w:u w:val="none"/>
        </w:rPr>
        <w:t>SCIENTIFIC SUMMARY</w:t>
      </w:r>
      <w:r w:rsidRPr="007F3EC5">
        <w:rPr>
          <w:noProof/>
          <w:webHidden/>
        </w:rPr>
        <w:tab/>
        <w:t>11</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Background</w:t>
      </w:r>
      <w:r w:rsidRPr="007F3EC5">
        <w:rPr>
          <w:noProof/>
          <w:webHidden/>
        </w:rPr>
        <w:tab/>
        <w:t>11</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Objectives</w:t>
      </w:r>
      <w:r w:rsidRPr="007F3EC5">
        <w:rPr>
          <w:noProof/>
          <w:webHidden/>
        </w:rPr>
        <w:tab/>
        <w:t>11</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lang w:eastAsia="en-GB"/>
        </w:rPr>
        <w:t>1) RANDOMISED CONTROLLED TRIAL: CLINICAL EFFECTIVENESS</w:t>
      </w:r>
      <w:r w:rsidRPr="007F3EC5">
        <w:rPr>
          <w:noProof/>
          <w:webHidden/>
        </w:rPr>
        <w:tab/>
        <w:t>12</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Methods</w:t>
      </w:r>
      <w:r w:rsidRPr="007F3EC5">
        <w:rPr>
          <w:noProof/>
          <w:webHidden/>
        </w:rPr>
        <w:tab/>
        <w:t>12</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Results</w:t>
      </w:r>
      <w:r w:rsidRPr="007F3EC5">
        <w:rPr>
          <w:noProof/>
          <w:webHidden/>
        </w:rPr>
        <w:tab/>
        <w:t>14</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lang w:eastAsia="en-GB"/>
        </w:rPr>
        <w:t>2) COST-EFFECTIVENESS</w:t>
      </w:r>
      <w:r w:rsidRPr="007F3EC5">
        <w:rPr>
          <w:noProof/>
          <w:webHidden/>
        </w:rPr>
        <w:tab/>
        <w:t>16</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Methods</w:t>
      </w:r>
      <w:r w:rsidRPr="007F3EC5">
        <w:rPr>
          <w:noProof/>
          <w:webHidden/>
        </w:rPr>
        <w:tab/>
        <w:t>16</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Results</w:t>
      </w:r>
      <w:r w:rsidRPr="007F3EC5">
        <w:rPr>
          <w:noProof/>
          <w:webHidden/>
        </w:rPr>
        <w:tab/>
        <w:t>17</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lang w:eastAsia="en-GB"/>
        </w:rPr>
        <w:t>3) GENERALISABILITY AND COST-IMPACT</w:t>
      </w:r>
      <w:r w:rsidRPr="007F3EC5">
        <w:rPr>
          <w:noProof/>
          <w:webHidden/>
        </w:rPr>
        <w:tab/>
        <w:t>18</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Methods</w:t>
      </w:r>
      <w:r w:rsidRPr="007F3EC5">
        <w:rPr>
          <w:noProof/>
          <w:webHidden/>
        </w:rPr>
        <w:tab/>
        <w:t>18</w:t>
      </w:r>
    </w:p>
    <w:p w:rsidR="006A57B2" w:rsidRPr="007F3EC5" w:rsidRDefault="006A57B2">
      <w:pPr>
        <w:pStyle w:val="TOC2"/>
        <w:tabs>
          <w:tab w:val="right" w:leader="dot" w:pos="8296"/>
        </w:tabs>
        <w:rPr>
          <w:rFonts w:eastAsiaTheme="minorEastAsia"/>
          <w:noProof/>
          <w:lang w:eastAsia="en-GB"/>
        </w:rPr>
      </w:pPr>
      <w:r w:rsidRPr="007F3EC5">
        <w:rPr>
          <w:rStyle w:val="Hyperlink"/>
          <w:rFonts w:eastAsia="Times New Roman"/>
          <w:noProof/>
          <w:color w:val="auto"/>
          <w:u w:val="none"/>
          <w:lang w:eastAsia="en-GB"/>
        </w:rPr>
        <w:t>Results</w:t>
      </w:r>
      <w:r w:rsidRPr="007F3EC5">
        <w:rPr>
          <w:noProof/>
          <w:webHidden/>
        </w:rPr>
        <w:tab/>
        <w:t>18</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Conclusions</w:t>
      </w:r>
      <w:r w:rsidRPr="007F3EC5">
        <w:rPr>
          <w:noProof/>
          <w:webHidden/>
        </w:rPr>
        <w:tab/>
        <w:t>19</w:t>
      </w:r>
    </w:p>
    <w:p w:rsidR="006A57B2" w:rsidRPr="007F3EC5" w:rsidRDefault="006A57B2">
      <w:pPr>
        <w:pStyle w:val="TOC1"/>
        <w:rPr>
          <w:rFonts w:eastAsiaTheme="minorEastAsia"/>
          <w:noProof/>
          <w:sz w:val="22"/>
        </w:rPr>
      </w:pPr>
      <w:r w:rsidRPr="007F3EC5">
        <w:rPr>
          <w:rStyle w:val="Hyperlink"/>
          <w:noProof/>
          <w:color w:val="auto"/>
          <w:u w:val="none"/>
        </w:rPr>
        <w:t>PLAIN ENGLISH SUMMARY</w:t>
      </w:r>
      <w:r w:rsidRPr="007F3EC5">
        <w:rPr>
          <w:noProof/>
          <w:webHidden/>
        </w:rPr>
        <w:tab/>
        <w:t>20</w:t>
      </w:r>
    </w:p>
    <w:p w:rsidR="006A57B2" w:rsidRPr="007F3EC5" w:rsidRDefault="006A57B2">
      <w:pPr>
        <w:pStyle w:val="TOC1"/>
        <w:rPr>
          <w:rFonts w:eastAsiaTheme="minorEastAsia"/>
          <w:noProof/>
          <w:sz w:val="22"/>
        </w:rPr>
      </w:pPr>
      <w:r w:rsidRPr="007F3EC5">
        <w:rPr>
          <w:rStyle w:val="Hyperlink"/>
          <w:noProof/>
          <w:color w:val="auto"/>
          <w:u w:val="none"/>
        </w:rPr>
        <w:t>CHAPTER 1 INTRODUCTION</w:t>
      </w:r>
      <w:r w:rsidRPr="007F3EC5">
        <w:rPr>
          <w:noProof/>
          <w:webHidden/>
        </w:rPr>
        <w:tab/>
        <w:t>21</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Use in practice</w:t>
      </w:r>
      <w:r w:rsidRPr="007F3EC5">
        <w:rPr>
          <w:noProof/>
          <w:webHidden/>
        </w:rPr>
        <w:tab/>
        <w:t>21</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Rationale</w:t>
      </w:r>
      <w:r w:rsidRPr="007F3EC5">
        <w:rPr>
          <w:noProof/>
          <w:webHidden/>
        </w:rPr>
        <w:tab/>
        <w:t>21</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Risks and benefits</w:t>
      </w:r>
      <w:r w:rsidRPr="007F3EC5">
        <w:rPr>
          <w:noProof/>
          <w:webHidden/>
        </w:rPr>
        <w:tab/>
        <w:t>23</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Overview of aims and research questions</w:t>
      </w:r>
      <w:r w:rsidRPr="007F3EC5">
        <w:rPr>
          <w:noProof/>
          <w:webHidden/>
        </w:rPr>
        <w:tab/>
        <w:t>24</w:t>
      </w:r>
    </w:p>
    <w:p w:rsidR="006A57B2" w:rsidRPr="007F3EC5" w:rsidRDefault="006A57B2">
      <w:pPr>
        <w:pStyle w:val="TOC1"/>
        <w:rPr>
          <w:rFonts w:eastAsiaTheme="minorEastAsia"/>
          <w:noProof/>
          <w:sz w:val="22"/>
        </w:rPr>
      </w:pPr>
      <w:r w:rsidRPr="007F3EC5">
        <w:rPr>
          <w:rStyle w:val="Hyperlink"/>
          <w:noProof/>
          <w:color w:val="auto"/>
          <w:u w:val="none"/>
        </w:rPr>
        <w:t>CHAPTER 2 CLINICAL EFFECTIVENESS: METHODS</w:t>
      </w:r>
      <w:r w:rsidRPr="007F3EC5">
        <w:rPr>
          <w:noProof/>
          <w:webHidden/>
        </w:rPr>
        <w:tab/>
        <w:t>26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Trial design</w:t>
      </w:r>
      <w:r w:rsidRPr="007F3EC5">
        <w:rPr>
          <w:noProof/>
          <w:webHidden/>
        </w:rPr>
        <w:tab/>
        <w:t>26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Setting and participants</w:t>
      </w:r>
      <w:r w:rsidRPr="007F3EC5">
        <w:rPr>
          <w:noProof/>
          <w:webHidden/>
        </w:rPr>
        <w:tab/>
        <w:t>26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Interventions</w:t>
      </w:r>
      <w:r w:rsidRPr="007F3EC5">
        <w:rPr>
          <w:noProof/>
          <w:webHidden/>
        </w:rPr>
        <w:tab/>
        <w:t>26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Randomisation and consent</w:t>
      </w:r>
      <w:r w:rsidRPr="007F3EC5">
        <w:rPr>
          <w:noProof/>
          <w:webHidden/>
        </w:rPr>
        <w:tab/>
        <w:t>26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Blinding</w:t>
      </w:r>
      <w:r w:rsidRPr="007F3EC5">
        <w:rPr>
          <w:noProof/>
          <w:webHidden/>
        </w:rPr>
        <w:tab/>
        <w:t>27</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Comparisons and outcomes</w:t>
      </w:r>
      <w:r w:rsidRPr="007F3EC5">
        <w:rPr>
          <w:noProof/>
          <w:webHidden/>
        </w:rPr>
        <w:tab/>
        <w:t>27</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Sample size</w:t>
      </w:r>
      <w:r w:rsidRPr="007F3EC5">
        <w:rPr>
          <w:noProof/>
          <w:webHidden/>
        </w:rPr>
        <w:tab/>
        <w:t>29</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Statistical methods</w:t>
      </w:r>
      <w:r w:rsidRPr="007F3EC5">
        <w:rPr>
          <w:noProof/>
          <w:webHidden/>
        </w:rPr>
        <w:tab/>
        <w:t>29</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lastRenderedPageBreak/>
        <w:t>Study oversight and role of funders</w:t>
      </w:r>
      <w:r w:rsidRPr="007F3EC5">
        <w:rPr>
          <w:noProof/>
          <w:webHidden/>
        </w:rPr>
        <w:tab/>
        <w:t>30</w:t>
      </w:r>
    </w:p>
    <w:p w:rsidR="006A57B2" w:rsidRPr="007F3EC5" w:rsidRDefault="006A57B2">
      <w:pPr>
        <w:pStyle w:val="TOC1"/>
        <w:rPr>
          <w:rFonts w:eastAsiaTheme="minorEastAsia"/>
          <w:noProof/>
          <w:sz w:val="22"/>
        </w:rPr>
      </w:pPr>
      <w:r w:rsidRPr="007F3EC5">
        <w:rPr>
          <w:rStyle w:val="Hyperlink"/>
          <w:noProof/>
          <w:color w:val="auto"/>
          <w:u w:val="none"/>
        </w:rPr>
        <w:t>CHAPTER 3 CLINICAL EFFECTIVENESS: RESULTS</w:t>
      </w:r>
      <w:r w:rsidRPr="007F3EC5">
        <w:rPr>
          <w:noProof/>
          <w:webHidden/>
        </w:rPr>
        <w:tab/>
        <w:t>31</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Study population</w:t>
      </w:r>
      <w:r w:rsidRPr="007F3EC5">
        <w:rPr>
          <w:noProof/>
          <w:webHidden/>
        </w:rPr>
        <w:tab/>
        <w:t>31</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Comparison of interventions</w:t>
      </w:r>
      <w:r w:rsidRPr="007F3EC5">
        <w:rPr>
          <w:noProof/>
          <w:webHidden/>
        </w:rPr>
        <w:tab/>
        <w:t>31</w:t>
      </w:r>
    </w:p>
    <w:p w:rsidR="006A57B2" w:rsidRPr="007F3EC5" w:rsidRDefault="006A57B2">
      <w:pPr>
        <w:pStyle w:val="TOC1"/>
        <w:rPr>
          <w:rFonts w:eastAsiaTheme="minorEastAsia"/>
          <w:noProof/>
          <w:sz w:val="22"/>
        </w:rPr>
      </w:pPr>
      <w:r w:rsidRPr="007F3EC5">
        <w:rPr>
          <w:rStyle w:val="Hyperlink"/>
          <w:noProof/>
          <w:color w:val="auto"/>
          <w:u w:val="none"/>
        </w:rPr>
        <w:t>CHAPTER 4 COST-EFFECTIVENESS ANALYSIS</w:t>
      </w:r>
      <w:r w:rsidRPr="007F3EC5">
        <w:rPr>
          <w:noProof/>
          <w:webHidden/>
        </w:rPr>
        <w:tab/>
        <w:t>46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Introduction</w:t>
      </w:r>
      <w:r w:rsidRPr="007F3EC5">
        <w:rPr>
          <w:noProof/>
          <w:webHidden/>
        </w:rPr>
        <w:tab/>
        <w:t>46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Methods</w:t>
      </w:r>
      <w:r w:rsidRPr="007F3EC5">
        <w:rPr>
          <w:noProof/>
          <w:webHidden/>
        </w:rPr>
        <w:tab/>
        <w:t>48</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Results</w:t>
      </w:r>
      <w:r w:rsidRPr="007F3EC5">
        <w:rPr>
          <w:noProof/>
          <w:webHidden/>
        </w:rPr>
        <w:tab/>
        <w:t>52</w:t>
      </w:r>
    </w:p>
    <w:p w:rsidR="006A57B2" w:rsidRPr="007F3EC5" w:rsidRDefault="006A57B2">
      <w:pPr>
        <w:pStyle w:val="TOC1"/>
        <w:rPr>
          <w:rFonts w:eastAsiaTheme="minorEastAsia"/>
          <w:noProof/>
          <w:sz w:val="22"/>
        </w:rPr>
      </w:pPr>
      <w:r w:rsidRPr="007F3EC5">
        <w:rPr>
          <w:rStyle w:val="Hyperlink"/>
          <w:noProof/>
          <w:color w:val="auto"/>
          <w:u w:val="none"/>
        </w:rPr>
        <w:t>CHAPTER 5 GENERALISABILITY STUDY</w:t>
      </w:r>
      <w:r w:rsidRPr="007F3EC5">
        <w:rPr>
          <w:noProof/>
          <w:webHidden/>
        </w:rPr>
        <w:tab/>
        <w:t>67</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Introduction</w:t>
      </w:r>
      <w:r w:rsidRPr="007F3EC5">
        <w:rPr>
          <w:noProof/>
          <w:webHidden/>
        </w:rPr>
        <w:tab/>
        <w:t>67</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Methods</w:t>
      </w:r>
      <w:r w:rsidRPr="007F3EC5">
        <w:rPr>
          <w:noProof/>
          <w:webHidden/>
        </w:rPr>
        <w:tab/>
        <w:t>68</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Results</w:t>
      </w:r>
      <w:r w:rsidRPr="007F3EC5">
        <w:rPr>
          <w:noProof/>
          <w:webHidden/>
        </w:rPr>
        <w:tab/>
        <w:t>71</w:t>
      </w:r>
    </w:p>
    <w:p w:rsidR="006A57B2" w:rsidRPr="007F3EC5" w:rsidRDefault="006A57B2">
      <w:pPr>
        <w:pStyle w:val="TOC1"/>
        <w:rPr>
          <w:rFonts w:eastAsiaTheme="minorEastAsia"/>
          <w:noProof/>
          <w:sz w:val="22"/>
        </w:rPr>
      </w:pPr>
      <w:r w:rsidRPr="007F3EC5">
        <w:rPr>
          <w:rStyle w:val="Hyperlink"/>
          <w:noProof/>
          <w:color w:val="auto"/>
          <w:u w:val="none"/>
        </w:rPr>
        <w:t>CHAPTER 6 DISCUSSION</w:t>
      </w:r>
      <w:r w:rsidRPr="007F3EC5">
        <w:rPr>
          <w:noProof/>
          <w:webHidden/>
        </w:rPr>
        <w:tab/>
        <w:t>78</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Introduction</w:t>
      </w:r>
      <w:r w:rsidRPr="007F3EC5">
        <w:rPr>
          <w:noProof/>
          <w:webHidden/>
        </w:rPr>
        <w:tab/>
        <w:t>78</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Clinical effectiveness</w:t>
      </w:r>
      <w:r w:rsidRPr="007F3EC5">
        <w:rPr>
          <w:noProof/>
          <w:webHidden/>
        </w:rPr>
        <w:tab/>
        <w:t>78</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Cost-effectiveness</w:t>
      </w:r>
      <w:r w:rsidRPr="007F3EC5">
        <w:rPr>
          <w:noProof/>
          <w:webHidden/>
        </w:rPr>
        <w:tab/>
        <w:t>80</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Generalisability and cost-impact</w:t>
      </w:r>
      <w:r w:rsidRPr="007F3EC5">
        <w:rPr>
          <w:noProof/>
          <w:webHidden/>
        </w:rPr>
        <w:tab/>
        <w:t>82</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Other conclusions</w:t>
      </w:r>
      <w:r w:rsidRPr="007F3EC5">
        <w:rPr>
          <w:noProof/>
          <w:webHidden/>
        </w:rPr>
        <w:tab/>
        <w:t>83</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Implications for practice</w:t>
      </w:r>
      <w:r w:rsidRPr="007F3EC5">
        <w:rPr>
          <w:noProof/>
          <w:webHidden/>
        </w:rPr>
        <w:tab/>
        <w:t>86</w:t>
      </w:r>
    </w:p>
    <w:p w:rsidR="006A57B2" w:rsidRPr="007F3EC5" w:rsidRDefault="006A57B2">
      <w:pPr>
        <w:pStyle w:val="TOC2"/>
        <w:tabs>
          <w:tab w:val="right" w:leader="dot" w:pos="8296"/>
        </w:tabs>
        <w:rPr>
          <w:rFonts w:eastAsiaTheme="minorEastAsia"/>
          <w:noProof/>
          <w:lang w:eastAsia="en-GB"/>
        </w:rPr>
      </w:pPr>
      <w:r w:rsidRPr="007F3EC5">
        <w:rPr>
          <w:rStyle w:val="Hyperlink"/>
          <w:noProof/>
          <w:color w:val="auto"/>
          <w:u w:val="none"/>
        </w:rPr>
        <w:t>Recommendations for future research</w:t>
      </w:r>
      <w:r w:rsidRPr="007F3EC5">
        <w:rPr>
          <w:noProof/>
          <w:webHidden/>
        </w:rPr>
        <w:tab/>
        <w:t>86</w:t>
      </w:r>
    </w:p>
    <w:p w:rsidR="006A57B2" w:rsidRPr="007F3EC5" w:rsidRDefault="006A57B2">
      <w:pPr>
        <w:pStyle w:val="TOC1"/>
        <w:rPr>
          <w:rFonts w:eastAsiaTheme="minorEastAsia"/>
          <w:noProof/>
          <w:sz w:val="22"/>
        </w:rPr>
      </w:pPr>
      <w:r w:rsidRPr="007F3EC5">
        <w:rPr>
          <w:rStyle w:val="Hyperlink"/>
          <w:noProof/>
          <w:color w:val="auto"/>
          <w:u w:val="none"/>
        </w:rPr>
        <w:t>REFERENCES</w:t>
      </w:r>
      <w:r w:rsidRPr="007F3EC5">
        <w:rPr>
          <w:noProof/>
          <w:webHidden/>
        </w:rPr>
        <w:tab/>
        <w:t>88</w:t>
      </w:r>
    </w:p>
    <w:p w:rsidR="006A57B2" w:rsidRDefault="006A57B2" w:rsidP="00E80448">
      <w:pPr>
        <w:rPr>
          <w:lang w:eastAsia="en-GB"/>
        </w:rPr>
      </w:pPr>
    </w:p>
    <w:p w:rsidR="006A57B2" w:rsidRDefault="006A57B2">
      <w:pPr>
        <w:spacing w:after="0" w:line="240" w:lineRule="auto"/>
        <w:rPr>
          <w:lang w:eastAsia="en-GB"/>
        </w:rPr>
      </w:pPr>
      <w:r>
        <w:rPr>
          <w:lang w:eastAsia="en-GB"/>
        </w:rPr>
        <w:br w:type="page"/>
      </w:r>
    </w:p>
    <w:p w:rsidR="006A57B2" w:rsidRDefault="006A57B2" w:rsidP="00B175AA">
      <w:pPr>
        <w:pStyle w:val="Heading1"/>
        <w:rPr>
          <w:lang w:eastAsia="en-GB"/>
        </w:rPr>
      </w:pPr>
      <w:bookmarkStart w:id="1" w:name="_Toc418857460"/>
      <w:bookmarkStart w:id="2" w:name="_Toc428195141"/>
      <w:r>
        <w:rPr>
          <w:lang w:eastAsia="en-GB"/>
        </w:rPr>
        <w:lastRenderedPageBreak/>
        <w:t>LIST OF FIGURES</w:t>
      </w:r>
      <w:bookmarkEnd w:id="1"/>
      <w:bookmarkEnd w:id="2"/>
    </w:p>
    <w:p w:rsidR="006A57B2" w:rsidRPr="00DF27FC" w:rsidRDefault="006A57B2" w:rsidP="00D876C0">
      <w:pPr>
        <w:rPr>
          <w:lang w:eastAsia="en-GB"/>
        </w:rPr>
      </w:pP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1: CONSORT flow diagram for all trial participants</w:t>
      </w:r>
      <w:r w:rsidRPr="007F3EC5">
        <w:rPr>
          <w:b w:val="0"/>
          <w:noProof/>
        </w:rPr>
        <w:tab/>
        <w:t>24</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2 Number of children included in the primary outcome, the rate of BSI and catheter related BSI according to time since randomisation</w:t>
      </w:r>
      <w:r w:rsidRPr="007F3EC5">
        <w:rPr>
          <w:b w:val="0"/>
          <w:noProof/>
        </w:rPr>
        <w:tab/>
        <w:t>25</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3: Kaplan-Meier curve for time to first BSI by CVC allocation</w:t>
      </w:r>
      <w:r w:rsidRPr="007F3EC5">
        <w:rPr>
          <w:b w:val="0"/>
          <w:noProof/>
        </w:rPr>
        <w:tab/>
        <w:t>26</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4: Flow diagram of the methods employed for the economic evaluation</w:t>
      </w:r>
      <w:r w:rsidRPr="007F3EC5">
        <w:rPr>
          <w:rFonts w:asciiTheme="majorHAnsi" w:eastAsia="Calibri" w:hAnsiTheme="majorHAnsi" w:cs="Times New Roman"/>
          <w:b w:val="0"/>
          <w:noProof/>
          <w:color w:val="2E74B5" w:themeColor="accent1" w:themeShade="BF"/>
        </w:rPr>
        <w:t>.</w:t>
      </w:r>
      <w:r w:rsidRPr="007F3EC5">
        <w:rPr>
          <w:b w:val="0"/>
          <w:noProof/>
        </w:rPr>
        <w:tab/>
        <w:t>56</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5: Ranking of total, 6-month costs by intervention group, indicating patients who experienced a bloodstream infection</w:t>
      </w:r>
      <w:r w:rsidRPr="007F3EC5">
        <w:rPr>
          <w:rFonts w:asciiTheme="majorHAnsi" w:eastAsia="Calibri" w:hAnsiTheme="majorHAnsi" w:cs="Times New Roman"/>
          <w:b w:val="0"/>
          <w:noProof/>
          <w:color w:val="2E74B5" w:themeColor="accent1" w:themeShade="BF"/>
        </w:rPr>
        <w:t>.</w:t>
      </w:r>
      <w:r w:rsidRPr="007F3EC5">
        <w:rPr>
          <w:b w:val="0"/>
          <w:noProof/>
        </w:rPr>
        <w:tab/>
        <w:t>57</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6: Cost-effectiveness acceptability curve based on a 6 month time horizon presenting the probability of antibiotic and standard CVCs being cost-effective for given values of ceiling ratio expressed as cost per bloodstream infection (BSI) averted</w:t>
      </w:r>
      <w:r w:rsidRPr="007F3EC5">
        <w:rPr>
          <w:b w:val="0"/>
          <w:noProof/>
        </w:rPr>
        <w:tab/>
        <w:t>58</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7: Relation between total costs (cumulative) and time since randomisation, according to intervention group</w:t>
      </w:r>
      <w:r w:rsidRPr="007F3EC5">
        <w:rPr>
          <w:b w:val="0"/>
          <w:noProof/>
        </w:rPr>
        <w:tab/>
        <w:t>58</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8: Relation between the ICER for antibiotic CVC versus standard CVC, and time since randomisation. Positive ICERs are cost-incurring, negative values represent incremental savings per BSI averted</w:t>
      </w:r>
      <w:r w:rsidRPr="007F3EC5">
        <w:rPr>
          <w:b w:val="0"/>
          <w:noProof/>
        </w:rPr>
        <w:tab/>
        <w:t>59</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9: Risk-adjusted rates in bloodstream infection for children expected to have central venous catheters based on linked PICANet-Labbase2 data for 16 PICUs in  England; symbols=observed rates; lines=smoothed adjusted rates (log-scale)</w:t>
      </w:r>
      <w:r w:rsidRPr="007F3EC5">
        <w:rPr>
          <w:b w:val="0"/>
          <w:noProof/>
        </w:rPr>
        <w:tab/>
        <w:t>68</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10: Probability distribution for the value of resources made available by averting BSI using antibiotic CVC in all PICUs in England during 2012, 90% of the distribution represented costs greater than the additional cost of purchasing antibiotic CVCs</w:t>
      </w:r>
      <w:r w:rsidRPr="007F3EC5">
        <w:rPr>
          <w:b w:val="0"/>
          <w:noProof/>
        </w:rPr>
        <w:tab/>
        <w:t>69</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Figure 11: Cost-impact: Number of BSI averted and value of resources made available using antibiotic in place of standard CVCs for a range of baseline rates, assuming each BSI is associated with a mean cost of £10,975</w:t>
      </w:r>
      <w:r w:rsidRPr="007F3EC5">
        <w:rPr>
          <w:b w:val="0"/>
          <w:noProof/>
        </w:rPr>
        <w:tab/>
        <w:t>70</w:t>
      </w:r>
    </w:p>
    <w:p w:rsidR="006A57B2" w:rsidRPr="00D876C0" w:rsidRDefault="006A57B2" w:rsidP="00861ED4">
      <w:pPr>
        <w:spacing w:line="360" w:lineRule="auto"/>
        <w:rPr>
          <w:lang w:eastAsia="en-GB"/>
        </w:rPr>
      </w:pPr>
    </w:p>
    <w:p w:rsidR="006A57B2" w:rsidRDefault="006A57B2">
      <w:pPr>
        <w:spacing w:after="0" w:line="240" w:lineRule="auto"/>
        <w:rPr>
          <w:lang w:eastAsia="en-GB"/>
        </w:rPr>
      </w:pPr>
      <w:r>
        <w:rPr>
          <w:lang w:eastAsia="en-GB"/>
        </w:rPr>
        <w:br w:type="page"/>
      </w:r>
    </w:p>
    <w:p w:rsidR="006A57B2" w:rsidRPr="00900F81" w:rsidRDefault="006A57B2" w:rsidP="005B1EE5">
      <w:pPr>
        <w:pStyle w:val="TableofFigures"/>
        <w:tabs>
          <w:tab w:val="right" w:pos="8290"/>
        </w:tabs>
        <w:spacing w:line="480" w:lineRule="auto"/>
        <w:ind w:left="0" w:firstLine="0"/>
        <w:rPr>
          <w:rFonts w:asciiTheme="majorHAnsi" w:hAnsiTheme="majorHAnsi"/>
          <w:color w:val="2E74B5" w:themeColor="accent1" w:themeShade="BF"/>
          <w:sz w:val="28"/>
          <w:szCs w:val="28"/>
          <w:lang w:eastAsia="en-GB"/>
        </w:rPr>
      </w:pPr>
      <w:r w:rsidRPr="00900F81">
        <w:rPr>
          <w:rFonts w:asciiTheme="majorHAnsi" w:hAnsiTheme="majorHAnsi"/>
          <w:color w:val="2E74B5" w:themeColor="accent1" w:themeShade="BF"/>
          <w:sz w:val="28"/>
          <w:szCs w:val="28"/>
          <w:lang w:eastAsia="en-GB"/>
        </w:rPr>
        <w:lastRenderedPageBreak/>
        <w:t>LIST OF TABLES</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 Baseline characteristics and clinical condition before randomisation (n=number of participants by randomised CVC)</w:t>
      </w:r>
      <w:r w:rsidRPr="007F3EC5">
        <w:rPr>
          <w:b w:val="0"/>
          <w:noProof/>
        </w:rPr>
        <w:tab/>
        <w:t>28</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2: Details of the intervention and characteristics at 48 hours post randomisation (n=number of participants with CVC inserted)</w:t>
      </w:r>
      <w:r w:rsidRPr="007F3EC5">
        <w:rPr>
          <w:b w:val="0"/>
          <w:noProof/>
        </w:rPr>
        <w:tab/>
        <w:t>29</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3: Samples taken in primary outcome time window (n=number of participants by randomised CVC)</w:t>
      </w:r>
      <w:r w:rsidRPr="007F3EC5">
        <w:rPr>
          <w:b w:val="0"/>
          <w:noProof/>
        </w:rPr>
        <w:tab/>
        <w:t>30</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4: Primary outcome (absolute measures) and type of organism isolated, according to CVC allocation (values are n by randomised CVC (%) unless otherwise stated)</w:t>
      </w:r>
      <w:r w:rsidRPr="007F3EC5">
        <w:rPr>
          <w:rFonts w:asciiTheme="majorHAnsi" w:hAnsiTheme="majorHAnsi"/>
          <w:b w:val="0"/>
          <w:noProof/>
          <w:color w:val="2E74B5" w:themeColor="accent1" w:themeShade="BF"/>
        </w:rPr>
        <w:t>)</w:t>
      </w:r>
      <w:r w:rsidRPr="007F3EC5">
        <w:rPr>
          <w:b w:val="0"/>
          <w:noProof/>
        </w:rPr>
        <w:tab/>
        <w:t>31</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5: Risk difference for first BSI and hazard ratio for time to first BSI according to CVC allocation (hazard ratios p&lt;0.05 are in bold)</w:t>
      </w:r>
      <w:r w:rsidRPr="007F3EC5">
        <w:rPr>
          <w:b w:val="0"/>
          <w:noProof/>
        </w:rPr>
        <w:tab/>
        <w:t>31</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6: Regression results for primary outcome</w:t>
      </w:r>
      <w:r w:rsidRPr="007F3EC5">
        <w:rPr>
          <w:b w:val="0"/>
          <w:noProof/>
        </w:rPr>
        <w:tab/>
        <w:t>32</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7: Competing risk analysis for primary outcome of time to first BSI</w:t>
      </w:r>
      <w:r w:rsidRPr="007F3EC5">
        <w:rPr>
          <w:b w:val="0"/>
          <w:noProof/>
        </w:rPr>
        <w:tab/>
        <w:t>32</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8: Secondary outcomes (absolute measures) by CVC allocation (n is number of participants by randomised CVC who experienced the outcome)</w:t>
      </w:r>
      <w:r w:rsidRPr="007F3EC5">
        <w:rPr>
          <w:b w:val="0"/>
          <w:noProof/>
        </w:rPr>
        <w:tab/>
        <w:t>33</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9: Risk difference and/or hazard ratios for secondary outcomes according to CVC allocation (hazard ratios p&lt;0.05 are in bold)</w:t>
      </w:r>
      <w:r w:rsidRPr="007F3EC5">
        <w:rPr>
          <w:b w:val="0"/>
          <w:noProof/>
        </w:rPr>
        <w:tab/>
        <w:t>34</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10: Safety analyses of CVC-related adverse events and mortality (n is number by type of received or if not inserted, type attempted to be inserted)</w:t>
      </w:r>
      <w:r w:rsidRPr="007F3EC5">
        <w:rPr>
          <w:b w:val="0"/>
          <w:noProof/>
        </w:rPr>
        <w:tab/>
        <w:t>35</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11: PCR results for bacteria in blood samples taken during the primary outcome time window by CVC type (N is number by randomised CVC)</w:t>
      </w:r>
      <w:r w:rsidRPr="007F3EC5">
        <w:rPr>
          <w:b w:val="0"/>
          <w:noProof/>
        </w:rPr>
        <w:tab/>
        <w:t>36</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12: Unit cost for intensive care and high dependency care, based on HRGs from the National Schedule tariff (2012-13)</w:t>
      </w:r>
      <w:r w:rsidRPr="007F3EC5">
        <w:rPr>
          <w:b w:val="0"/>
          <w:noProof/>
        </w:rPr>
        <w:tab/>
        <w:t>47</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13: Hospital ward bed-day rates as provided by hospital finance departments and adjusted for inflation (£ sterling, 2013)</w:t>
      </w:r>
      <w:r w:rsidRPr="007F3EC5">
        <w:rPr>
          <w:b w:val="0"/>
          <w:noProof/>
        </w:rPr>
        <w:tab/>
        <w:t>48</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14: Patients' lengths of stay and count of dominant HRGs relating to inpatient stays, from randomisation to 6 months (including readmissions), according to place and intensity of care and by intervention group</w:t>
      </w:r>
      <w:r w:rsidRPr="007F3EC5">
        <w:rPr>
          <w:b w:val="0"/>
          <w:noProof/>
        </w:rPr>
        <w:tab/>
        <w:t>49</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15: Disaggregated and total costs (£) by intervention group from randomisation to end of the six-month timeframe</w:t>
      </w:r>
      <w:r w:rsidRPr="007F3EC5">
        <w:rPr>
          <w:b w:val="0"/>
          <w:noProof/>
        </w:rPr>
        <w:tab/>
        <w:t>50</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16: Adjusted, total (6-month) costs: results of Ordinary Least Squares regression of total costs based on significant baseline variables</w:t>
      </w:r>
      <w:r w:rsidRPr="007F3EC5">
        <w:rPr>
          <w:b w:val="0"/>
          <w:noProof/>
        </w:rPr>
        <w:tab/>
        <w:t>52</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17: Value of healthcare resource associated with managing a BSI: results of Ordinary Least Squares regression for estimating the cost of BSI, with total costs as the dependent variable and univariately significant baseline explanatory variables</w:t>
      </w:r>
      <w:r w:rsidRPr="007F3EC5">
        <w:rPr>
          <w:b w:val="0"/>
          <w:noProof/>
        </w:rPr>
        <w:tab/>
        <w:t>53</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18: Incremental Analysis of unadjusted costs (6 month timeframe and index hospitalisation)</w:t>
      </w:r>
      <w:r w:rsidRPr="007F3EC5">
        <w:rPr>
          <w:b w:val="0"/>
          <w:noProof/>
        </w:rPr>
        <w:tab/>
        <w:t>54</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19: Patients' length of stay for hospitalisation episode from randomisation by intervention group</w:t>
      </w:r>
      <w:r w:rsidRPr="007F3EC5">
        <w:rPr>
          <w:b w:val="0"/>
          <w:noProof/>
        </w:rPr>
        <w:tab/>
        <w:t>54</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20: Parameter estimates for cost-impact analysis and sensitivity analysis</w:t>
      </w:r>
      <w:r w:rsidRPr="007F3EC5">
        <w:rPr>
          <w:b w:val="0"/>
          <w:noProof/>
        </w:rPr>
        <w:tab/>
        <w:t>66</w:t>
      </w:r>
    </w:p>
    <w:p w:rsidR="006A57B2" w:rsidRPr="007F3EC5" w:rsidRDefault="006A57B2">
      <w:pPr>
        <w:pStyle w:val="TableofFigures"/>
        <w:tabs>
          <w:tab w:val="right" w:leader="dot" w:pos="8296"/>
        </w:tabs>
        <w:rPr>
          <w:rFonts w:eastAsiaTheme="minorEastAsia"/>
          <w:b w:val="0"/>
          <w:bCs w:val="0"/>
          <w:noProof/>
          <w:sz w:val="22"/>
          <w:szCs w:val="22"/>
          <w:lang w:eastAsia="en-GB"/>
        </w:rPr>
      </w:pPr>
      <w:r w:rsidRPr="007F3EC5">
        <w:rPr>
          <w:b w:val="0"/>
          <w:noProof/>
        </w:rPr>
        <w:t>Table 21: Cost impacted analysis of managing BSIs occurring with standard versus antibiotic CVCs with best and worst case scenarios* and hypothetical scenarios for a typical PICU with 350 admissions per year</w:t>
      </w:r>
      <w:r w:rsidRPr="007F3EC5">
        <w:rPr>
          <w:b w:val="0"/>
          <w:noProof/>
        </w:rPr>
        <w:tab/>
        <w:t>67</w:t>
      </w:r>
    </w:p>
    <w:p w:rsidR="006A57B2" w:rsidRPr="007F3EC5" w:rsidRDefault="006A57B2" w:rsidP="00861ED4">
      <w:pPr>
        <w:spacing w:line="360" w:lineRule="auto"/>
        <w:rPr>
          <w:lang w:eastAsia="en-GB"/>
        </w:rPr>
      </w:pPr>
    </w:p>
    <w:p w:rsidR="006A57B2" w:rsidRDefault="006A57B2" w:rsidP="00861ED4">
      <w:pPr>
        <w:spacing w:line="360" w:lineRule="auto"/>
        <w:rPr>
          <w:b/>
          <w:lang w:eastAsia="en-GB"/>
        </w:rPr>
      </w:pPr>
    </w:p>
    <w:p w:rsidR="006A57B2" w:rsidRDefault="006A57B2" w:rsidP="00861ED4">
      <w:pPr>
        <w:spacing w:line="360" w:lineRule="auto"/>
        <w:rPr>
          <w:lang w:eastAsia="en-GB"/>
        </w:rPr>
      </w:pPr>
    </w:p>
    <w:p w:rsidR="006A57B2" w:rsidRPr="00E80448" w:rsidRDefault="006A57B2" w:rsidP="005E10F3">
      <w:pPr>
        <w:pStyle w:val="Heading1"/>
        <w:tabs>
          <w:tab w:val="left" w:pos="4722"/>
        </w:tabs>
        <w:rPr>
          <w:lang w:eastAsia="en-GB"/>
        </w:rPr>
      </w:pPr>
      <w:bookmarkStart w:id="3" w:name="_Toc418857461"/>
      <w:bookmarkStart w:id="4" w:name="_Toc428195142"/>
      <w:r>
        <w:rPr>
          <w:lang w:eastAsia="en-GB"/>
        </w:rPr>
        <w:lastRenderedPageBreak/>
        <w:t>LIST OF ABBRE</w:t>
      </w:r>
      <w:r w:rsidRPr="00E80448">
        <w:rPr>
          <w:lang w:eastAsia="en-GB"/>
        </w:rPr>
        <w:t>VIATIONS</w:t>
      </w:r>
      <w:bookmarkEnd w:id="3"/>
      <w:bookmarkEnd w:id="4"/>
      <w:r w:rsidRPr="00E80448">
        <w:rPr>
          <w:lang w:eastAsia="en-GB"/>
        </w:rPr>
        <w:t xml:space="preserve"> </w:t>
      </w:r>
      <w:r>
        <w:rPr>
          <w:lang w:eastAsia="en-GB"/>
        </w:rPr>
        <w:tab/>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3231"/>
        <w:gridCol w:w="1186"/>
        <w:gridCol w:w="2950"/>
      </w:tblGrid>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AE</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 xml:space="preserve">Adverse </w:t>
            </w:r>
            <w:r>
              <w:rPr>
                <w:rFonts w:ascii="Calibri" w:hAnsi="Calibri" w:cs="Times New Roman"/>
              </w:rPr>
              <w:t>Event</w:t>
            </w:r>
          </w:p>
        </w:tc>
        <w:tc>
          <w:tcPr>
            <w:tcW w:w="1186" w:type="dxa"/>
          </w:tcPr>
          <w:p w:rsidR="006A57B2" w:rsidRPr="00BD6916" w:rsidRDefault="006A57B2" w:rsidP="001C12FF">
            <w:pPr>
              <w:spacing w:after="0" w:line="240" w:lineRule="auto"/>
              <w:rPr>
                <w:rFonts w:ascii="Calibri" w:hAnsi="Calibri" w:cs="Times New Roman"/>
              </w:rPr>
            </w:pPr>
            <w:r w:rsidRPr="00193B5B">
              <w:rPr>
                <w:rFonts w:ascii="Calibri" w:hAnsi="Calibri" w:cs="Times New Roman"/>
              </w:rPr>
              <w:t>IDSMC</w:t>
            </w:r>
          </w:p>
        </w:tc>
        <w:tc>
          <w:tcPr>
            <w:tcW w:w="2950" w:type="dxa"/>
          </w:tcPr>
          <w:p w:rsidR="006A57B2" w:rsidRPr="00BD6916" w:rsidRDefault="006A57B2" w:rsidP="001C12FF">
            <w:pPr>
              <w:spacing w:after="0" w:line="240" w:lineRule="auto"/>
              <w:rPr>
                <w:rFonts w:ascii="Calibri" w:hAnsi="Calibri" w:cs="Times New Roman"/>
              </w:rPr>
            </w:pPr>
            <w:r w:rsidRPr="00193B5B">
              <w:rPr>
                <w:rFonts w:ascii="Calibri" w:hAnsi="Calibri" w:cs="Times New Roman"/>
              </w:rPr>
              <w:t>Independent Data and Safety and Monitoring Committee</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 xml:space="preserve">AI </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Adverse Incident</w:t>
            </w:r>
          </w:p>
        </w:tc>
        <w:tc>
          <w:tcPr>
            <w:tcW w:w="1186" w:type="dxa"/>
          </w:tcPr>
          <w:p w:rsidR="006A57B2" w:rsidRPr="00BD6916" w:rsidRDefault="006A57B2" w:rsidP="001C12FF">
            <w:pPr>
              <w:spacing w:after="0" w:line="240" w:lineRule="auto"/>
              <w:rPr>
                <w:rFonts w:ascii="Calibri" w:hAnsi="Calibri" w:cs="Times New Roman"/>
              </w:rPr>
            </w:pPr>
            <w:r w:rsidRPr="00BF408C">
              <w:rPr>
                <w:rFonts w:ascii="Calibri" w:hAnsi="Calibri" w:cs="Times New Roman"/>
              </w:rPr>
              <w:t>Ln</w:t>
            </w:r>
          </w:p>
        </w:tc>
        <w:tc>
          <w:tcPr>
            <w:tcW w:w="2950" w:type="dxa"/>
          </w:tcPr>
          <w:p w:rsidR="006A57B2" w:rsidRPr="00BD6916" w:rsidRDefault="006A57B2" w:rsidP="001C12FF">
            <w:pPr>
              <w:spacing w:after="0" w:line="240" w:lineRule="auto"/>
              <w:rPr>
                <w:rFonts w:ascii="Calibri" w:hAnsi="Calibri" w:cs="Times New Roman"/>
              </w:rPr>
            </w:pPr>
            <w:r w:rsidRPr="00BF408C">
              <w:rPr>
                <w:rFonts w:ascii="Calibri" w:hAnsi="Calibri" w:cs="Times New Roman"/>
              </w:rPr>
              <w:t>Natural logarithm</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AIC</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Adverse Incident Centre</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MHRA</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Medicines and Healthcare products Regulatory Agency</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BSI</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Blood Stream Infection</w:t>
            </w:r>
          </w:p>
        </w:tc>
        <w:tc>
          <w:tcPr>
            <w:tcW w:w="1186" w:type="dxa"/>
          </w:tcPr>
          <w:p w:rsidR="006A57B2" w:rsidRPr="00BD6916" w:rsidRDefault="006A57B2" w:rsidP="001C12FF">
            <w:pPr>
              <w:spacing w:after="0" w:line="240" w:lineRule="auto"/>
              <w:rPr>
                <w:rFonts w:ascii="Calibri" w:hAnsi="Calibri" w:cs="Times New Roman"/>
              </w:rPr>
            </w:pPr>
            <w:r>
              <w:rPr>
                <w:rFonts w:ascii="Calibri" w:hAnsi="Calibri" w:cs="Times New Roman"/>
              </w:rPr>
              <w:t>MRSA</w:t>
            </w:r>
          </w:p>
        </w:tc>
        <w:tc>
          <w:tcPr>
            <w:tcW w:w="2950" w:type="dxa"/>
          </w:tcPr>
          <w:p w:rsidR="006A57B2" w:rsidRPr="00BD6916" w:rsidRDefault="006A57B2" w:rsidP="001C12FF">
            <w:pPr>
              <w:spacing w:after="0" w:line="240" w:lineRule="auto"/>
              <w:rPr>
                <w:rFonts w:ascii="Calibri" w:hAnsi="Calibri" w:cs="Times New Roman"/>
              </w:rPr>
            </w:pPr>
            <w:r w:rsidRPr="00A90A6F">
              <w:rPr>
                <w:rFonts w:ascii="Calibri" w:hAnsi="Calibri" w:cs="Times New Roman"/>
              </w:rPr>
              <w:t>Methicillin-resistant Staphylococcus aureus</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E10AF4">
              <w:rPr>
                <w:rFonts w:ascii="Calibri" w:hAnsi="Calibri" w:cs="Times New Roman"/>
              </w:rPr>
              <w:t>Bundled HRG</w:t>
            </w:r>
          </w:p>
        </w:tc>
        <w:tc>
          <w:tcPr>
            <w:tcW w:w="3231" w:type="dxa"/>
          </w:tcPr>
          <w:p w:rsidR="006A57B2" w:rsidRPr="00BD6916" w:rsidRDefault="006A57B2" w:rsidP="001C12FF">
            <w:pPr>
              <w:spacing w:after="0" w:line="240" w:lineRule="auto"/>
              <w:rPr>
                <w:rFonts w:ascii="Calibri" w:hAnsi="Calibri" w:cs="Times New Roman"/>
              </w:rPr>
            </w:pPr>
            <w:r w:rsidRPr="00E10AF4">
              <w:rPr>
                <w:rFonts w:ascii="Calibri" w:hAnsi="Calibri" w:cs="Times New Roman"/>
              </w:rPr>
              <w:t>HRG referring to patient pathway of care such as ward stay</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NHS</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National Health Service</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CATS</w:t>
            </w:r>
          </w:p>
        </w:tc>
        <w:tc>
          <w:tcPr>
            <w:tcW w:w="3231"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Children’s Acute Transport Service</w:t>
            </w:r>
          </w:p>
        </w:tc>
        <w:tc>
          <w:tcPr>
            <w:tcW w:w="1186"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NRES</w:t>
            </w:r>
          </w:p>
        </w:tc>
        <w:tc>
          <w:tcPr>
            <w:tcW w:w="2950"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National Research Ethics Service</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CEAC</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Cost Effectiveness Acceptability Curve</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ONS</w:t>
            </w:r>
          </w:p>
        </w:tc>
        <w:tc>
          <w:tcPr>
            <w:tcW w:w="2950" w:type="dxa"/>
          </w:tcPr>
          <w:p w:rsidR="006A57B2" w:rsidRPr="00BD6916" w:rsidRDefault="006A57B2" w:rsidP="001C12FF">
            <w:pPr>
              <w:spacing w:after="0" w:line="240" w:lineRule="auto"/>
              <w:rPr>
                <w:rFonts w:ascii="Calibri" w:hAnsi="Calibri" w:cs="Times New Roman"/>
              </w:rPr>
            </w:pPr>
            <w:r>
              <w:rPr>
                <w:rFonts w:ascii="Calibri" w:hAnsi="Calibri" w:cs="Times New Roman"/>
              </w:rPr>
              <w:t>Office for</w:t>
            </w:r>
            <w:r w:rsidRPr="00BD6916">
              <w:rPr>
                <w:rFonts w:ascii="Calibri" w:hAnsi="Calibri" w:cs="Times New Roman"/>
              </w:rPr>
              <w:t xml:space="preserve"> National Statistics</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CFU</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Colony Forming Units</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PAS</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Patient Admission System</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CI</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Chief Investigator</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PCR</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Polymerase Chain Reaction</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CPA</w:t>
            </w:r>
          </w:p>
        </w:tc>
        <w:tc>
          <w:tcPr>
            <w:tcW w:w="3231"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Clinical Pathology Accreditations</w:t>
            </w:r>
          </w:p>
        </w:tc>
        <w:tc>
          <w:tcPr>
            <w:tcW w:w="1186"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PI</w:t>
            </w:r>
          </w:p>
        </w:tc>
        <w:tc>
          <w:tcPr>
            <w:tcW w:w="2950"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Principal Investigator</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CRF</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Case Report Form</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PICANet</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Paediatric Intensive Care Audit Network</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CTRC</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Clinical Trials Research Centre</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PICU</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Paediatric Intensive Care Unit</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CTU</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Clinical Trials Unit</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QALY</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Quality Adjusted Life Year</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CVC</w:t>
            </w:r>
          </w:p>
        </w:tc>
        <w:tc>
          <w:tcPr>
            <w:tcW w:w="3231"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Central Venous Catheter</w:t>
            </w:r>
          </w:p>
        </w:tc>
        <w:tc>
          <w:tcPr>
            <w:tcW w:w="1186"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RCT</w:t>
            </w:r>
          </w:p>
        </w:tc>
        <w:tc>
          <w:tcPr>
            <w:tcW w:w="2950" w:type="dxa"/>
          </w:tcPr>
          <w:p w:rsidR="006A57B2" w:rsidRPr="00E26287" w:rsidRDefault="006A57B2" w:rsidP="001C12FF">
            <w:pPr>
              <w:spacing w:after="0" w:line="240" w:lineRule="auto"/>
              <w:rPr>
                <w:rFonts w:ascii="Calibri" w:hAnsi="Calibri" w:cs="Times New Roman"/>
                <w:szCs w:val="12"/>
              </w:rPr>
            </w:pPr>
            <w:r w:rsidRPr="00E26287">
              <w:rPr>
                <w:rFonts w:ascii="Calibri" w:hAnsi="Calibri" w:cs="Times New Roman"/>
                <w:szCs w:val="12"/>
              </w:rPr>
              <w:t>Randomised Controlled Trial</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GP</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General Practitioner</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REC</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Research Ethics Committee</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Cs w:val="16"/>
              </w:rPr>
            </w:pPr>
            <w:r w:rsidRPr="00E26287">
              <w:rPr>
                <w:rFonts w:ascii="Calibri" w:hAnsi="Calibri" w:cs="Times New Roman"/>
                <w:szCs w:val="16"/>
              </w:rPr>
              <w:t>HDU</w:t>
            </w:r>
          </w:p>
        </w:tc>
        <w:tc>
          <w:tcPr>
            <w:tcW w:w="3231" w:type="dxa"/>
          </w:tcPr>
          <w:p w:rsidR="006A57B2" w:rsidRPr="00E26287" w:rsidRDefault="006A57B2" w:rsidP="001C12FF">
            <w:pPr>
              <w:spacing w:after="0" w:line="240" w:lineRule="auto"/>
              <w:rPr>
                <w:rFonts w:ascii="Calibri" w:hAnsi="Calibri" w:cs="Times New Roman"/>
                <w:szCs w:val="16"/>
              </w:rPr>
            </w:pPr>
            <w:r w:rsidRPr="00E26287">
              <w:rPr>
                <w:rFonts w:ascii="Calibri" w:hAnsi="Calibri" w:cs="Times New Roman"/>
                <w:szCs w:val="16"/>
              </w:rPr>
              <w:t>High Dependency Unit</w:t>
            </w:r>
          </w:p>
        </w:tc>
        <w:tc>
          <w:tcPr>
            <w:tcW w:w="1186" w:type="dxa"/>
          </w:tcPr>
          <w:p w:rsidR="006A57B2" w:rsidRPr="00E26287" w:rsidRDefault="006A57B2" w:rsidP="001C12FF">
            <w:pPr>
              <w:spacing w:after="0" w:line="240" w:lineRule="auto"/>
              <w:rPr>
                <w:rFonts w:ascii="Calibri" w:hAnsi="Calibri" w:cs="Times New Roman"/>
                <w:szCs w:val="16"/>
              </w:rPr>
            </w:pPr>
            <w:r w:rsidRPr="00BD6916">
              <w:rPr>
                <w:rFonts w:ascii="Calibri" w:hAnsi="Calibri" w:cs="Times New Roman"/>
              </w:rPr>
              <w:t>RN</w:t>
            </w:r>
          </w:p>
        </w:tc>
        <w:tc>
          <w:tcPr>
            <w:tcW w:w="2950" w:type="dxa"/>
          </w:tcPr>
          <w:p w:rsidR="006A57B2" w:rsidRPr="00E26287" w:rsidRDefault="006A57B2" w:rsidP="001C12FF">
            <w:pPr>
              <w:spacing w:after="0" w:line="240" w:lineRule="auto"/>
              <w:rPr>
                <w:rFonts w:ascii="Calibri" w:hAnsi="Calibri" w:cs="Times New Roman"/>
                <w:szCs w:val="16"/>
              </w:rPr>
            </w:pPr>
            <w:r w:rsidRPr="00BD6916">
              <w:rPr>
                <w:rFonts w:ascii="Calibri" w:hAnsi="Calibri" w:cs="Times New Roman"/>
              </w:rPr>
              <w:t>Re</w:t>
            </w:r>
            <w:r>
              <w:rPr>
                <w:rFonts w:ascii="Calibri" w:hAnsi="Calibri" w:cs="Times New Roman"/>
              </w:rPr>
              <w:t>search</w:t>
            </w:r>
            <w:r w:rsidRPr="00BD6916">
              <w:rPr>
                <w:rFonts w:ascii="Calibri" w:hAnsi="Calibri" w:cs="Times New Roman"/>
              </w:rPr>
              <w:t xml:space="preserve"> Nurse</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HES</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Hospital Episodes Statistics</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RR</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Relative Risk</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HRGs</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Healthcare Resource Groups</w:t>
            </w:r>
          </w:p>
        </w:tc>
        <w:tc>
          <w:tcPr>
            <w:tcW w:w="1186" w:type="dxa"/>
          </w:tcPr>
          <w:p w:rsidR="006A57B2" w:rsidRPr="00BD6916" w:rsidRDefault="006A57B2" w:rsidP="001C12FF">
            <w:pPr>
              <w:spacing w:after="0" w:line="240" w:lineRule="auto"/>
              <w:rPr>
                <w:rFonts w:ascii="Calibri" w:hAnsi="Calibri" w:cs="Times New Roman"/>
              </w:rPr>
            </w:pPr>
            <w:r w:rsidRPr="00E26287">
              <w:rPr>
                <w:rFonts w:ascii="Calibri" w:hAnsi="Calibri" w:cs="Times New Roman"/>
                <w:szCs w:val="16"/>
              </w:rPr>
              <w:t>SAE</w:t>
            </w:r>
          </w:p>
        </w:tc>
        <w:tc>
          <w:tcPr>
            <w:tcW w:w="2950" w:type="dxa"/>
          </w:tcPr>
          <w:p w:rsidR="006A57B2" w:rsidRPr="00BD6916" w:rsidRDefault="006A57B2" w:rsidP="001C12FF">
            <w:pPr>
              <w:spacing w:after="0" w:line="240" w:lineRule="auto"/>
              <w:rPr>
                <w:rFonts w:ascii="Calibri" w:hAnsi="Calibri" w:cs="Times New Roman"/>
              </w:rPr>
            </w:pPr>
            <w:r w:rsidRPr="00E26287">
              <w:rPr>
                <w:rFonts w:ascii="Calibri" w:hAnsi="Calibri" w:cs="Times New Roman"/>
                <w:szCs w:val="16"/>
              </w:rPr>
              <w:t>Serious Adverse Event</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HSCIC</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Health and Social Care Information Centre</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SOP</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Standard Operating Procedure</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Cs w:val="16"/>
              </w:rPr>
            </w:pPr>
            <w:r w:rsidRPr="00E26287">
              <w:rPr>
                <w:rFonts w:ascii="Calibri" w:hAnsi="Calibri" w:cs="Times New Roman"/>
                <w:szCs w:val="16"/>
              </w:rPr>
              <w:t>HTA</w:t>
            </w:r>
          </w:p>
        </w:tc>
        <w:tc>
          <w:tcPr>
            <w:tcW w:w="3231" w:type="dxa"/>
          </w:tcPr>
          <w:p w:rsidR="006A57B2" w:rsidRPr="00E26287" w:rsidRDefault="006A57B2" w:rsidP="001C12FF">
            <w:pPr>
              <w:spacing w:after="0" w:line="240" w:lineRule="auto"/>
              <w:rPr>
                <w:rFonts w:ascii="Calibri" w:hAnsi="Calibri" w:cs="Times New Roman"/>
                <w:szCs w:val="16"/>
              </w:rPr>
            </w:pPr>
            <w:r w:rsidRPr="00E26287">
              <w:rPr>
                <w:rFonts w:ascii="Calibri" w:hAnsi="Calibri" w:cs="Times New Roman"/>
                <w:szCs w:val="16"/>
              </w:rPr>
              <w:t>Health Technology Assessment</w:t>
            </w:r>
          </w:p>
        </w:tc>
        <w:tc>
          <w:tcPr>
            <w:tcW w:w="1186" w:type="dxa"/>
          </w:tcPr>
          <w:p w:rsidR="006A57B2" w:rsidRPr="00E26287" w:rsidRDefault="006A57B2" w:rsidP="001C12FF">
            <w:pPr>
              <w:spacing w:after="0" w:line="240" w:lineRule="auto"/>
              <w:rPr>
                <w:rFonts w:ascii="Calibri" w:hAnsi="Calibri" w:cs="Times New Roman"/>
                <w:szCs w:val="16"/>
              </w:rPr>
            </w:pPr>
            <w:r w:rsidRPr="00BD6916">
              <w:rPr>
                <w:rFonts w:ascii="Calibri" w:hAnsi="Calibri" w:cs="Times New Roman"/>
              </w:rPr>
              <w:t>TMG</w:t>
            </w:r>
          </w:p>
        </w:tc>
        <w:tc>
          <w:tcPr>
            <w:tcW w:w="2950" w:type="dxa"/>
          </w:tcPr>
          <w:p w:rsidR="006A57B2" w:rsidRPr="00E26287" w:rsidRDefault="006A57B2" w:rsidP="001C12FF">
            <w:pPr>
              <w:spacing w:after="0" w:line="240" w:lineRule="auto"/>
              <w:rPr>
                <w:rFonts w:ascii="Calibri" w:hAnsi="Calibri" w:cs="Times New Roman"/>
                <w:szCs w:val="16"/>
              </w:rPr>
            </w:pPr>
            <w:r w:rsidRPr="00BD6916">
              <w:rPr>
                <w:rFonts w:ascii="Calibri" w:hAnsi="Calibri" w:cs="Times New Roman"/>
              </w:rPr>
              <w:t>Trial Management Group</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Pr>
                <w:rFonts w:ascii="Calibri" w:hAnsi="Calibri" w:cs="Times New Roman"/>
              </w:rPr>
              <w:t>MCRNCTU</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Medicines for Children Research Network Clinical Trials Unit</w:t>
            </w:r>
          </w:p>
        </w:tc>
        <w:tc>
          <w:tcPr>
            <w:tcW w:w="1186"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TSC</w:t>
            </w:r>
          </w:p>
        </w:tc>
        <w:tc>
          <w:tcPr>
            <w:tcW w:w="2950"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 xml:space="preserve">Trial Steering Committee </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ICER</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Incremental Cost Effectiveness Ratio</w:t>
            </w:r>
          </w:p>
        </w:tc>
        <w:tc>
          <w:tcPr>
            <w:tcW w:w="1186" w:type="dxa"/>
          </w:tcPr>
          <w:p w:rsidR="006A57B2" w:rsidRPr="00E10AF4" w:rsidRDefault="006A57B2" w:rsidP="001C12FF">
            <w:pPr>
              <w:spacing w:after="0" w:line="240" w:lineRule="auto"/>
              <w:rPr>
                <w:rFonts w:ascii="Calibri" w:hAnsi="Calibri" w:cs="Times New Roman"/>
              </w:rPr>
            </w:pPr>
            <w:r w:rsidRPr="00E26287">
              <w:rPr>
                <w:rFonts w:ascii="Calibri" w:hAnsi="Calibri" w:cs="Times New Roman"/>
                <w:szCs w:val="16"/>
              </w:rPr>
              <w:t>unbundled HRGs</w:t>
            </w:r>
            <w:r>
              <w:rPr>
                <w:rFonts w:ascii="Calibri" w:hAnsi="Calibri" w:cs="Times New Roman"/>
                <w:szCs w:val="16"/>
              </w:rPr>
              <w:t xml:space="preserve"> </w:t>
            </w:r>
          </w:p>
        </w:tc>
        <w:tc>
          <w:tcPr>
            <w:tcW w:w="2950" w:type="dxa"/>
          </w:tcPr>
          <w:p w:rsidR="006A57B2" w:rsidRPr="00E10AF4" w:rsidRDefault="006A57B2" w:rsidP="001C12FF">
            <w:pPr>
              <w:spacing w:after="0" w:line="240" w:lineRule="auto"/>
              <w:rPr>
                <w:rFonts w:ascii="Calibri" w:hAnsi="Calibri" w:cs="Times New Roman"/>
              </w:rPr>
            </w:pPr>
            <w:r w:rsidRPr="00E26287">
              <w:rPr>
                <w:rFonts w:ascii="Calibri" w:hAnsi="Calibri" w:cs="Times New Roman"/>
                <w:szCs w:val="16"/>
              </w:rPr>
              <w:t>High cost or specialist service HRG in addition to patient pathway of care</w:t>
            </w:r>
          </w:p>
        </w:tc>
      </w:tr>
      <w:tr w:rsidR="006A57B2" w:rsidRPr="00E26287" w:rsidTr="001C12FF">
        <w:tc>
          <w:tcPr>
            <w:tcW w:w="1149" w:type="dxa"/>
          </w:tcPr>
          <w:p w:rsidR="006A57B2" w:rsidRPr="00E26287" w:rsidRDefault="006A57B2" w:rsidP="001C12FF">
            <w:pPr>
              <w:spacing w:after="0" w:line="240" w:lineRule="auto"/>
              <w:rPr>
                <w:rFonts w:ascii="Calibri" w:hAnsi="Calibri" w:cs="Times New Roman"/>
                <w:sz w:val="12"/>
                <w:szCs w:val="12"/>
              </w:rPr>
            </w:pPr>
          </w:p>
        </w:tc>
        <w:tc>
          <w:tcPr>
            <w:tcW w:w="3231" w:type="dxa"/>
          </w:tcPr>
          <w:p w:rsidR="006A57B2" w:rsidRPr="00E26287" w:rsidRDefault="006A57B2" w:rsidP="001C12FF">
            <w:pPr>
              <w:spacing w:after="0" w:line="240" w:lineRule="auto"/>
              <w:rPr>
                <w:rFonts w:ascii="Calibri" w:hAnsi="Calibri" w:cs="Times New Roman"/>
                <w:sz w:val="12"/>
                <w:szCs w:val="12"/>
              </w:rPr>
            </w:pPr>
          </w:p>
        </w:tc>
        <w:tc>
          <w:tcPr>
            <w:tcW w:w="1186" w:type="dxa"/>
          </w:tcPr>
          <w:p w:rsidR="006A57B2" w:rsidRPr="00E26287" w:rsidRDefault="006A57B2" w:rsidP="001C12FF">
            <w:pPr>
              <w:spacing w:after="0" w:line="240" w:lineRule="auto"/>
              <w:rPr>
                <w:rFonts w:ascii="Calibri" w:hAnsi="Calibri" w:cs="Times New Roman"/>
                <w:sz w:val="12"/>
                <w:szCs w:val="12"/>
              </w:rPr>
            </w:pPr>
          </w:p>
        </w:tc>
        <w:tc>
          <w:tcPr>
            <w:tcW w:w="2950" w:type="dxa"/>
          </w:tcPr>
          <w:p w:rsidR="006A57B2" w:rsidRPr="00E26287" w:rsidRDefault="006A57B2" w:rsidP="001C12FF">
            <w:pPr>
              <w:spacing w:after="0" w:line="240" w:lineRule="auto"/>
              <w:rPr>
                <w:rFonts w:ascii="Calibri" w:hAnsi="Calibri" w:cs="Times New Roman"/>
                <w:sz w:val="12"/>
                <w:szCs w:val="12"/>
              </w:rPr>
            </w:pPr>
          </w:p>
        </w:tc>
      </w:tr>
      <w:tr w:rsidR="006A57B2" w:rsidRPr="00BD6916" w:rsidTr="001C12FF">
        <w:tc>
          <w:tcPr>
            <w:tcW w:w="1149"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ICU</w:t>
            </w:r>
          </w:p>
        </w:tc>
        <w:tc>
          <w:tcPr>
            <w:tcW w:w="3231" w:type="dxa"/>
          </w:tcPr>
          <w:p w:rsidR="006A57B2" w:rsidRPr="00BD6916" w:rsidRDefault="006A57B2" w:rsidP="001C12FF">
            <w:pPr>
              <w:spacing w:after="0" w:line="240" w:lineRule="auto"/>
              <w:rPr>
                <w:rFonts w:ascii="Calibri" w:hAnsi="Calibri" w:cs="Times New Roman"/>
              </w:rPr>
            </w:pPr>
            <w:r w:rsidRPr="00BD6916">
              <w:rPr>
                <w:rFonts w:ascii="Calibri" w:hAnsi="Calibri" w:cs="Times New Roman"/>
              </w:rPr>
              <w:t>Intensive Care Unit</w:t>
            </w:r>
          </w:p>
        </w:tc>
        <w:tc>
          <w:tcPr>
            <w:tcW w:w="1186" w:type="dxa"/>
          </w:tcPr>
          <w:p w:rsidR="006A57B2" w:rsidRPr="00BD6916" w:rsidRDefault="006A57B2" w:rsidP="001C12FF">
            <w:pPr>
              <w:spacing w:after="0" w:line="240" w:lineRule="auto"/>
              <w:rPr>
                <w:rFonts w:ascii="Calibri" w:hAnsi="Calibri" w:cs="Times New Roman"/>
              </w:rPr>
            </w:pPr>
          </w:p>
        </w:tc>
        <w:tc>
          <w:tcPr>
            <w:tcW w:w="2950" w:type="dxa"/>
          </w:tcPr>
          <w:p w:rsidR="006A57B2" w:rsidRPr="00BD6916" w:rsidRDefault="006A57B2" w:rsidP="001C12FF">
            <w:pPr>
              <w:spacing w:after="0" w:line="240" w:lineRule="auto"/>
              <w:rPr>
                <w:rFonts w:ascii="Calibri" w:hAnsi="Calibri" w:cs="Times New Roman"/>
              </w:rPr>
            </w:pPr>
          </w:p>
        </w:tc>
      </w:tr>
    </w:tbl>
    <w:p w:rsidR="006A57B2" w:rsidRDefault="006A57B2">
      <w:pPr>
        <w:spacing w:after="0" w:line="240" w:lineRule="auto"/>
        <w:rPr>
          <w:rFonts w:asciiTheme="majorHAnsi" w:hAnsiTheme="majorHAnsi"/>
          <w:b/>
          <w:color w:val="44546A" w:themeColor="text2"/>
          <w:sz w:val="28"/>
          <w:szCs w:val="28"/>
          <w:lang w:eastAsia="en-GB"/>
        </w:rPr>
        <w:sectPr w:rsidR="006A57B2" w:rsidSect="007F3EC5">
          <w:footerReference w:type="default" r:id="rId8"/>
          <w:pgSz w:w="11906" w:h="16838"/>
          <w:pgMar w:top="1440" w:right="1440" w:bottom="1440" w:left="1440" w:header="708" w:footer="708" w:gutter="0"/>
          <w:cols w:space="708"/>
          <w:docGrid w:linePitch="360"/>
        </w:sectPr>
      </w:pPr>
    </w:p>
    <w:p w:rsidR="006A57B2" w:rsidRDefault="006A57B2" w:rsidP="00B22173">
      <w:pPr>
        <w:pStyle w:val="Heading1"/>
        <w:rPr>
          <w:rFonts w:eastAsia="Times New Roman"/>
          <w:lang w:eastAsia="en-GB"/>
        </w:rPr>
      </w:pPr>
      <w:bookmarkStart w:id="5" w:name="_Toc418857462"/>
      <w:bookmarkStart w:id="6" w:name="_Toc428195143"/>
      <w:r>
        <w:rPr>
          <w:rFonts w:eastAsia="Times New Roman"/>
          <w:lang w:eastAsia="en-GB"/>
        </w:rPr>
        <w:lastRenderedPageBreak/>
        <w:t>ABSTRACT</w:t>
      </w:r>
      <w:bookmarkEnd w:id="5"/>
      <w:bookmarkEnd w:id="6"/>
      <w:r>
        <w:rPr>
          <w:rFonts w:eastAsia="Times New Roman"/>
          <w:lang w:eastAsia="en-GB"/>
        </w:rPr>
        <w:t xml:space="preserve"> </w:t>
      </w:r>
    </w:p>
    <w:p w:rsidR="006A57B2" w:rsidRDefault="006A57B2" w:rsidP="00B22173">
      <w:pPr>
        <w:pStyle w:val="Heading3"/>
        <w:spacing w:line="360" w:lineRule="auto"/>
        <w:rPr>
          <w:rFonts w:eastAsia="Times New Roman"/>
          <w:lang w:eastAsia="en-GB"/>
        </w:rPr>
      </w:pPr>
      <w:r>
        <w:rPr>
          <w:rFonts w:eastAsia="Times New Roman"/>
          <w:lang w:eastAsia="en-GB"/>
        </w:rPr>
        <w:t>Background:</w:t>
      </w:r>
    </w:p>
    <w:p w:rsidR="006A57B2" w:rsidRPr="001B519D" w:rsidRDefault="006A57B2" w:rsidP="00B22173">
      <w:pPr>
        <w:spacing w:line="360" w:lineRule="auto"/>
        <w:rPr>
          <w:lang w:eastAsia="en-GB"/>
        </w:rPr>
      </w:pPr>
      <w:r w:rsidRPr="001B519D">
        <w:rPr>
          <w:lang w:eastAsia="en-GB"/>
        </w:rPr>
        <w:t>Impregnated central venous catheters (CVCs) are recommended for adults to reduce bloodstream infection (BSI) but not for children due to a lack of evidence for their effectiveness.</w:t>
      </w:r>
    </w:p>
    <w:p w:rsidR="006A57B2" w:rsidRDefault="006A57B2" w:rsidP="00B22173">
      <w:pPr>
        <w:pStyle w:val="Heading3"/>
        <w:spacing w:line="360" w:lineRule="auto"/>
        <w:rPr>
          <w:rFonts w:eastAsia="Times New Roman"/>
          <w:lang w:eastAsia="en-GB"/>
        </w:rPr>
      </w:pPr>
      <w:r w:rsidRPr="00966601">
        <w:rPr>
          <w:rFonts w:eastAsia="Times New Roman"/>
          <w:lang w:eastAsia="en-GB"/>
        </w:rPr>
        <w:t>Objective</w:t>
      </w:r>
      <w:r>
        <w:rPr>
          <w:rFonts w:eastAsia="Times New Roman"/>
          <w:lang w:eastAsia="en-GB"/>
        </w:rPr>
        <w:t>:</w:t>
      </w:r>
    </w:p>
    <w:p w:rsidR="006A57B2" w:rsidRPr="00966601" w:rsidRDefault="006A57B2" w:rsidP="00B22173">
      <w:pPr>
        <w:spacing w:line="360" w:lineRule="auto"/>
        <w:rPr>
          <w:lang w:eastAsia="en-GB"/>
        </w:rPr>
      </w:pPr>
      <w:r>
        <w:rPr>
          <w:lang w:eastAsia="en-GB"/>
        </w:rPr>
        <w:t>To determine the effectiveness of impregnated versus standard CVCs for reducing BSI in children admitted to intensive care.</w:t>
      </w:r>
    </w:p>
    <w:p w:rsidR="006A57B2" w:rsidRDefault="006A57B2" w:rsidP="00B22173">
      <w:pPr>
        <w:pStyle w:val="Heading3"/>
        <w:spacing w:line="360" w:lineRule="auto"/>
        <w:rPr>
          <w:rFonts w:eastAsia="Times New Roman"/>
          <w:lang w:eastAsia="en-GB"/>
        </w:rPr>
      </w:pPr>
      <w:r w:rsidRPr="00966601">
        <w:rPr>
          <w:rFonts w:eastAsia="Times New Roman"/>
          <w:lang w:eastAsia="en-GB"/>
        </w:rPr>
        <w:t>Design</w:t>
      </w:r>
      <w:r>
        <w:rPr>
          <w:rFonts w:eastAsia="Times New Roman"/>
          <w:lang w:eastAsia="en-GB"/>
        </w:rPr>
        <w:t xml:space="preserve">: </w:t>
      </w:r>
    </w:p>
    <w:p w:rsidR="006A57B2" w:rsidRPr="000E2D7B" w:rsidRDefault="006A57B2" w:rsidP="00B22173">
      <w:pPr>
        <w:pStyle w:val="ListParagraph"/>
        <w:numPr>
          <w:ilvl w:val="0"/>
          <w:numId w:val="6"/>
        </w:numPr>
        <w:spacing w:before="100" w:beforeAutospacing="1" w:after="100" w:afterAutospacing="1" w:line="360" w:lineRule="auto"/>
        <w:ind w:left="714" w:hanging="357"/>
        <w:rPr>
          <w:rFonts w:cstheme="minorHAnsi"/>
        </w:rPr>
      </w:pPr>
      <w:r w:rsidRPr="000E2D7B">
        <w:rPr>
          <w:rFonts w:cstheme="minorHAnsi"/>
        </w:rPr>
        <w:t>Multicent</w:t>
      </w:r>
      <w:r>
        <w:rPr>
          <w:rFonts w:cstheme="minorHAnsi"/>
        </w:rPr>
        <w:t>re randomised controlled trial</w:t>
      </w:r>
      <w:r w:rsidRPr="000E2D7B">
        <w:rPr>
          <w:rFonts w:cstheme="minorHAnsi"/>
        </w:rPr>
        <w:t xml:space="preserve"> </w:t>
      </w:r>
    </w:p>
    <w:p w:rsidR="006A57B2" w:rsidRDefault="006A57B2" w:rsidP="00B22173">
      <w:pPr>
        <w:pStyle w:val="ListParagraph"/>
        <w:numPr>
          <w:ilvl w:val="0"/>
          <w:numId w:val="6"/>
        </w:numPr>
        <w:spacing w:line="360" w:lineRule="auto"/>
        <w:ind w:left="714" w:hanging="357"/>
        <w:rPr>
          <w:lang w:eastAsia="en-GB"/>
        </w:rPr>
      </w:pPr>
      <w:r>
        <w:rPr>
          <w:lang w:eastAsia="en-GB"/>
        </w:rPr>
        <w:t>Cost-effectiveness analysis from an NHS perspective</w:t>
      </w:r>
    </w:p>
    <w:p w:rsidR="006A57B2" w:rsidRPr="00966601" w:rsidRDefault="006A57B2" w:rsidP="00B22173">
      <w:pPr>
        <w:pStyle w:val="ListParagraph"/>
        <w:numPr>
          <w:ilvl w:val="0"/>
          <w:numId w:val="6"/>
        </w:numPr>
        <w:spacing w:line="360" w:lineRule="auto"/>
        <w:ind w:left="714" w:hanging="357"/>
        <w:rPr>
          <w:lang w:eastAsia="en-GB"/>
        </w:rPr>
      </w:pPr>
      <w:r>
        <w:rPr>
          <w:lang w:eastAsia="en-GB"/>
        </w:rPr>
        <w:t xml:space="preserve">Generalisability analysis and cost-impact analysis </w:t>
      </w:r>
    </w:p>
    <w:p w:rsidR="006A57B2" w:rsidRDefault="006A57B2" w:rsidP="00B22173">
      <w:pPr>
        <w:pStyle w:val="Heading3"/>
        <w:spacing w:line="360" w:lineRule="auto"/>
        <w:rPr>
          <w:rFonts w:eastAsia="Times New Roman"/>
          <w:lang w:eastAsia="en-GB"/>
        </w:rPr>
      </w:pPr>
      <w:r w:rsidRPr="00966601">
        <w:rPr>
          <w:rFonts w:eastAsia="Times New Roman"/>
          <w:lang w:eastAsia="en-GB"/>
        </w:rPr>
        <w:t>Setting</w:t>
      </w:r>
      <w:r>
        <w:rPr>
          <w:rFonts w:eastAsia="Times New Roman"/>
          <w:lang w:eastAsia="en-GB"/>
        </w:rPr>
        <w:t xml:space="preserve">: </w:t>
      </w:r>
    </w:p>
    <w:p w:rsidR="006A57B2" w:rsidRPr="00966601" w:rsidRDefault="006A57B2" w:rsidP="00B22173">
      <w:pPr>
        <w:spacing w:line="360" w:lineRule="auto"/>
        <w:rPr>
          <w:lang w:eastAsia="en-GB"/>
        </w:rPr>
      </w:pPr>
      <w:r w:rsidRPr="006B32FA">
        <w:rPr>
          <w:rFonts w:cstheme="minorHAnsi"/>
        </w:rPr>
        <w:t xml:space="preserve">14 English paediatric intensive care units </w:t>
      </w:r>
      <w:r>
        <w:rPr>
          <w:rFonts w:cstheme="minorHAnsi"/>
        </w:rPr>
        <w:t xml:space="preserve">(PICUs) </w:t>
      </w:r>
      <w:r>
        <w:rPr>
          <w:lang w:eastAsia="en-GB"/>
        </w:rPr>
        <w:t>in England.</w:t>
      </w:r>
    </w:p>
    <w:p w:rsidR="006A57B2" w:rsidRDefault="006A57B2" w:rsidP="00B22173">
      <w:pPr>
        <w:pStyle w:val="Heading3"/>
        <w:spacing w:line="360" w:lineRule="auto"/>
        <w:rPr>
          <w:rFonts w:eastAsia="Times New Roman"/>
          <w:lang w:eastAsia="en-GB"/>
        </w:rPr>
      </w:pPr>
      <w:r>
        <w:rPr>
          <w:rFonts w:eastAsia="Times New Roman"/>
          <w:lang w:eastAsia="en-GB"/>
        </w:rPr>
        <w:t xml:space="preserve">Participants: </w:t>
      </w:r>
    </w:p>
    <w:p w:rsidR="006A57B2" w:rsidRPr="00966601" w:rsidRDefault="006A57B2" w:rsidP="00B22173">
      <w:pPr>
        <w:spacing w:line="360" w:lineRule="auto"/>
        <w:rPr>
          <w:lang w:eastAsia="en-GB"/>
        </w:rPr>
      </w:pPr>
      <w:r w:rsidRPr="005E10F3">
        <w:rPr>
          <w:lang w:eastAsia="en-GB"/>
        </w:rPr>
        <w:t xml:space="preserve">Children &lt;16 years, weighing &gt;=3kg admitted to PICU and expected to require a CVC for </w:t>
      </w:r>
      <w:r>
        <w:rPr>
          <w:lang w:eastAsia="en-GB"/>
        </w:rPr>
        <w:t>&gt;=3</w:t>
      </w:r>
      <w:r w:rsidRPr="005E10F3">
        <w:rPr>
          <w:lang w:eastAsia="en-GB"/>
        </w:rPr>
        <w:t xml:space="preserve"> days.</w:t>
      </w:r>
    </w:p>
    <w:p w:rsidR="006A57B2" w:rsidRDefault="006A57B2" w:rsidP="00B22173">
      <w:pPr>
        <w:pStyle w:val="Heading3"/>
        <w:spacing w:line="360" w:lineRule="auto"/>
        <w:rPr>
          <w:rFonts w:eastAsia="Times New Roman"/>
          <w:lang w:eastAsia="en-GB"/>
        </w:rPr>
      </w:pPr>
      <w:r w:rsidRPr="00966601">
        <w:rPr>
          <w:rFonts w:eastAsia="Times New Roman"/>
          <w:lang w:eastAsia="en-GB"/>
        </w:rPr>
        <w:t>Interventions</w:t>
      </w:r>
      <w:r>
        <w:rPr>
          <w:rFonts w:eastAsia="Times New Roman"/>
          <w:lang w:eastAsia="en-GB"/>
        </w:rPr>
        <w:t xml:space="preserve">: </w:t>
      </w:r>
    </w:p>
    <w:p w:rsidR="006A57B2" w:rsidRPr="00966601" w:rsidRDefault="006A57B2" w:rsidP="00B22173">
      <w:pPr>
        <w:spacing w:line="360" w:lineRule="auto"/>
        <w:rPr>
          <w:lang w:eastAsia="en-GB"/>
        </w:rPr>
      </w:pPr>
      <w:r>
        <w:rPr>
          <w:lang w:eastAsia="en-GB"/>
        </w:rPr>
        <w:t xml:space="preserve">Heparin-bonded, antibiotic-impregnated (rifampicin and minocycline) and standard polyurethane CVCs, </w:t>
      </w:r>
      <w:r>
        <w:t xml:space="preserve">allocated randomly (1:1:1). The intervention was blinded to all but the inserting clinician. </w:t>
      </w:r>
    </w:p>
    <w:p w:rsidR="006A57B2" w:rsidRDefault="006A57B2" w:rsidP="00B22173">
      <w:pPr>
        <w:pStyle w:val="Heading3"/>
        <w:spacing w:line="360" w:lineRule="auto"/>
        <w:rPr>
          <w:rFonts w:eastAsia="Times New Roman"/>
          <w:lang w:eastAsia="en-GB"/>
        </w:rPr>
      </w:pPr>
      <w:r>
        <w:rPr>
          <w:rFonts w:eastAsia="Times New Roman"/>
          <w:lang w:eastAsia="en-GB"/>
        </w:rPr>
        <w:t>Main outcome measure:</w:t>
      </w:r>
    </w:p>
    <w:p w:rsidR="006A57B2" w:rsidRPr="00966601" w:rsidRDefault="006A57B2" w:rsidP="00B22173">
      <w:pPr>
        <w:spacing w:line="360" w:lineRule="auto"/>
        <w:rPr>
          <w:lang w:eastAsia="en-GB"/>
        </w:rPr>
      </w:pPr>
      <w:r>
        <w:rPr>
          <w:lang w:eastAsia="en-GB"/>
        </w:rPr>
        <w:t>Time to first BSI sampled between 48 hours after randomisation and 48 hours after CVC removal.</w:t>
      </w:r>
    </w:p>
    <w:p w:rsidR="006A57B2" w:rsidRDefault="006A57B2" w:rsidP="00B22173">
      <w:pPr>
        <w:pStyle w:val="Heading3"/>
        <w:spacing w:line="360" w:lineRule="auto"/>
        <w:rPr>
          <w:rFonts w:eastAsia="Times New Roman"/>
          <w:lang w:eastAsia="en-GB"/>
        </w:rPr>
      </w:pPr>
      <w:r>
        <w:rPr>
          <w:rFonts w:eastAsia="Times New Roman"/>
          <w:lang w:eastAsia="en-GB"/>
        </w:rPr>
        <w:t xml:space="preserve">Data: </w:t>
      </w:r>
    </w:p>
    <w:p w:rsidR="006A57B2" w:rsidRPr="00D60E3F" w:rsidRDefault="006A57B2" w:rsidP="00B22173">
      <w:pPr>
        <w:spacing w:line="360" w:lineRule="auto"/>
        <w:rPr>
          <w:lang w:eastAsia="en-GB"/>
        </w:rPr>
      </w:pPr>
      <w:r>
        <w:rPr>
          <w:lang w:eastAsia="en-GB"/>
        </w:rPr>
        <w:t>Trial case report forms; hospital administrative data for 6 months pre- and post-randomisation; national linked PICU audit and laboratory data.</w:t>
      </w:r>
    </w:p>
    <w:p w:rsidR="006A57B2" w:rsidRDefault="006A57B2" w:rsidP="00B22173">
      <w:pPr>
        <w:pStyle w:val="Heading3"/>
        <w:spacing w:line="360" w:lineRule="auto"/>
        <w:rPr>
          <w:rFonts w:eastAsia="Times New Roman"/>
          <w:lang w:eastAsia="en-GB"/>
        </w:rPr>
      </w:pPr>
      <w:r>
        <w:rPr>
          <w:rFonts w:eastAsia="Times New Roman"/>
          <w:lang w:eastAsia="en-GB"/>
        </w:rPr>
        <w:lastRenderedPageBreak/>
        <w:t>Results:</w:t>
      </w:r>
    </w:p>
    <w:p w:rsidR="006A57B2" w:rsidRPr="007F256A" w:rsidRDefault="006A57B2" w:rsidP="00452F22">
      <w:pPr>
        <w:pStyle w:val="Heading4"/>
        <w:rPr>
          <w:lang w:eastAsia="en-GB"/>
        </w:rPr>
      </w:pPr>
      <w:r w:rsidRPr="007F256A">
        <w:rPr>
          <w:lang w:eastAsia="en-GB"/>
        </w:rPr>
        <w:t>Clinical effectiveness:</w:t>
      </w:r>
    </w:p>
    <w:p w:rsidR="006A57B2" w:rsidRPr="00C23469" w:rsidRDefault="006A57B2" w:rsidP="00B22173">
      <w:pPr>
        <w:spacing w:line="360" w:lineRule="auto"/>
      </w:pPr>
      <w:r w:rsidRPr="00C23469">
        <w:t xml:space="preserve">BSI occurred in 3.59% (18/502) </w:t>
      </w:r>
      <w:r>
        <w:t xml:space="preserve">children </w:t>
      </w:r>
      <w:r w:rsidRPr="00C23469">
        <w:t>randomised to standard, 1.44% (7/486) to antibiotic and 3.42% (17/497) to heparin CVC</w:t>
      </w:r>
      <w:r>
        <w:t>s</w:t>
      </w:r>
      <w:r w:rsidRPr="00C23469">
        <w:t>.</w:t>
      </w:r>
      <w:r>
        <w:t xml:space="preserve"> Primary analyses comparing impregnated (antibiotic and heparin CVCs) with standard CVCs showed no effect (</w:t>
      </w:r>
      <w:r w:rsidRPr="00C23469">
        <w:t xml:space="preserve">hazard ratio </w:t>
      </w:r>
      <w:r>
        <w:t xml:space="preserve">0.71; </w:t>
      </w:r>
      <w:r w:rsidRPr="00C23469">
        <w:t>95% CI 0.37</w:t>
      </w:r>
      <w:r>
        <w:t xml:space="preserve">, </w:t>
      </w:r>
      <w:r w:rsidRPr="00C23469">
        <w:t>1.34)</w:t>
      </w:r>
      <w:r>
        <w:t xml:space="preserve">. Secondary analyses showed antibiotic CVCs were superior to standard (HR 0.43; </w:t>
      </w:r>
      <w:r w:rsidRPr="00C23469">
        <w:t>0.20</w:t>
      </w:r>
      <w:r>
        <w:t xml:space="preserve">, </w:t>
      </w:r>
      <w:r w:rsidRPr="00C23469">
        <w:t xml:space="preserve">0.96) </w:t>
      </w:r>
      <w:r>
        <w:t xml:space="preserve">but heparin CVCs were not (HR </w:t>
      </w:r>
      <w:r w:rsidRPr="00C23469">
        <w:t>1.04</w:t>
      </w:r>
      <w:r>
        <w:t xml:space="preserve">; </w:t>
      </w:r>
      <w:r w:rsidRPr="00C23469">
        <w:t xml:space="preserve">0.53-2.03). Time to thrombosis, mortality by </w:t>
      </w:r>
      <w:r>
        <w:t>30 days</w:t>
      </w:r>
      <w:r w:rsidRPr="00C23469">
        <w:t>, and minocycline or rifampicin resistance</w:t>
      </w:r>
      <w:r>
        <w:t xml:space="preserve"> did not differ</w:t>
      </w:r>
      <w:r w:rsidRPr="00C23469">
        <w:t xml:space="preserve"> by CVC.</w:t>
      </w:r>
    </w:p>
    <w:p w:rsidR="006A57B2" w:rsidRPr="00AF1537" w:rsidRDefault="006A57B2" w:rsidP="00452F22">
      <w:pPr>
        <w:pStyle w:val="Heading4"/>
      </w:pPr>
      <w:r>
        <w:rPr>
          <w:rStyle w:val="Heading3Char"/>
          <w:b/>
          <w:bCs/>
        </w:rPr>
        <w:t>Cost-</w:t>
      </w:r>
      <w:r w:rsidRPr="00AF1537">
        <w:rPr>
          <w:rStyle w:val="Heading3Char"/>
          <w:b/>
          <w:bCs/>
        </w:rPr>
        <w:t>effectiveness:</w:t>
      </w:r>
    </w:p>
    <w:p w:rsidR="006A57B2" w:rsidRPr="005A4FE8" w:rsidRDefault="006A57B2" w:rsidP="00B22173">
      <w:pPr>
        <w:spacing w:line="360" w:lineRule="auto"/>
      </w:pPr>
      <w:r>
        <w:t>Heparin CVCs were not clinically effective and therefore not cost-effective. The incremental cost of antibiotic CVCs over a 6-month time horizon was £1,160 (-£4,743, £6,962)</w:t>
      </w:r>
      <w:r w:rsidRPr="003D590B">
        <w:t xml:space="preserve"> </w:t>
      </w:r>
      <w:r>
        <w:t xml:space="preserve">compared with standard CVCs, with an </w:t>
      </w:r>
      <w:r>
        <w:rPr>
          <w:lang w:eastAsia="en-GB"/>
        </w:rPr>
        <w:t xml:space="preserve">incremental cost-effectiveness ratio of </w:t>
      </w:r>
      <w:r>
        <w:t xml:space="preserve">£54,057 per BSI avoided. There was considerable uncertainty in costs: antibiotic CVCs had a probability of 0.35 of being dominant. </w:t>
      </w:r>
      <w:r w:rsidRPr="000C0E86">
        <w:t xml:space="preserve">Based on index </w:t>
      </w:r>
      <w:r>
        <w:t xml:space="preserve">hospital </w:t>
      </w:r>
      <w:r w:rsidRPr="000C0E86">
        <w:t>stay</w:t>
      </w:r>
      <w:r>
        <w:t xml:space="preserve"> costs only</w:t>
      </w:r>
      <w:r w:rsidRPr="000C0E86">
        <w:t>, antibiotic CVC</w:t>
      </w:r>
      <w:r>
        <w:t>s</w:t>
      </w:r>
      <w:r w:rsidRPr="000C0E86">
        <w:t xml:space="preserve"> </w:t>
      </w:r>
      <w:r>
        <w:t xml:space="preserve">were associated with a </w:t>
      </w:r>
      <w:r w:rsidRPr="000C0E86">
        <w:t>saving of £97,543 per BSI averted.</w:t>
      </w:r>
      <w:r>
        <w:t xml:space="preserve"> </w:t>
      </w:r>
      <w:r w:rsidRPr="005A4FE8">
        <w:rPr>
          <w:lang w:eastAsia="en-GB"/>
        </w:rPr>
        <w:t xml:space="preserve">The </w:t>
      </w:r>
      <w:r>
        <w:rPr>
          <w:lang w:eastAsia="en-GB"/>
        </w:rPr>
        <w:t xml:space="preserve">estimated value of healthcare resources associated with each </w:t>
      </w:r>
      <w:r w:rsidRPr="005A4FE8">
        <w:rPr>
          <w:lang w:eastAsia="en-GB"/>
        </w:rPr>
        <w:t xml:space="preserve">BSI was </w:t>
      </w:r>
      <w:r>
        <w:t>£10,975 (£-2,801, £24,751</w:t>
      </w:r>
      <w:r>
        <w:rPr>
          <w:lang w:eastAsia="en-GB"/>
        </w:rPr>
        <w:t>)</w:t>
      </w:r>
      <w:r w:rsidRPr="005A4FE8">
        <w:rPr>
          <w:lang w:eastAsia="en-GB"/>
        </w:rPr>
        <w:t>.</w:t>
      </w:r>
    </w:p>
    <w:p w:rsidR="006A57B2" w:rsidRPr="00AF1537" w:rsidRDefault="006A57B2" w:rsidP="00452F22">
      <w:pPr>
        <w:pStyle w:val="Heading4"/>
      </w:pPr>
      <w:r w:rsidRPr="00AF1537">
        <w:rPr>
          <w:rStyle w:val="Heading3Char"/>
          <w:b/>
          <w:bCs/>
        </w:rPr>
        <w:t>Generalisability</w:t>
      </w:r>
      <w:r>
        <w:rPr>
          <w:rStyle w:val="Heading3Char"/>
          <w:b/>
          <w:bCs/>
        </w:rPr>
        <w:t xml:space="preserve"> and cost-impact</w:t>
      </w:r>
      <w:r w:rsidRPr="00AF1537">
        <w:rPr>
          <w:rStyle w:val="Heading3Char"/>
          <w:b/>
          <w:bCs/>
        </w:rPr>
        <w:t>:</w:t>
      </w:r>
      <w:r>
        <w:t xml:space="preserve"> </w:t>
      </w:r>
    </w:p>
    <w:p w:rsidR="006A57B2" w:rsidRPr="00320090" w:rsidRDefault="006A57B2" w:rsidP="00B22173">
      <w:pPr>
        <w:spacing w:line="360" w:lineRule="auto"/>
        <w:rPr>
          <w:rFonts w:cstheme="minorHAnsi"/>
          <w:lang w:eastAsia="en-GB"/>
        </w:rPr>
      </w:pPr>
      <w:r w:rsidRPr="00320090">
        <w:rPr>
          <w:lang w:eastAsia="en-GB"/>
        </w:rPr>
        <w:t xml:space="preserve">The baseline risk of BSI in 2012 </w:t>
      </w:r>
      <w:r>
        <w:rPr>
          <w:lang w:eastAsia="en-GB"/>
        </w:rPr>
        <w:t xml:space="preserve">for PICUs in England </w:t>
      </w:r>
      <w:r w:rsidRPr="00320090">
        <w:rPr>
          <w:lang w:eastAsia="en-GB"/>
        </w:rPr>
        <w:t xml:space="preserve">was </w:t>
      </w:r>
      <w:r w:rsidRPr="00D0422E">
        <w:t>4.</w:t>
      </w:r>
      <w:r>
        <w:t>58</w:t>
      </w:r>
      <w:r w:rsidRPr="00D0422E">
        <w:t xml:space="preserve"> (95% CI </w:t>
      </w:r>
      <w:r>
        <w:t>4.42</w:t>
      </w:r>
      <w:r>
        <w:rPr>
          <w:rFonts w:cstheme="minorHAnsi"/>
        </w:rPr>
        <w:t>, 4.74</w:t>
      </w:r>
      <w:r w:rsidRPr="00D0422E">
        <w:t>)</w:t>
      </w:r>
      <w:r w:rsidRPr="00320090">
        <w:rPr>
          <w:lang w:eastAsia="en-GB"/>
        </w:rPr>
        <w:t xml:space="preserve"> per 1000 bed-days. </w:t>
      </w:r>
      <w:r>
        <w:rPr>
          <w:lang w:eastAsia="en-GB"/>
        </w:rPr>
        <w:t>An estimated 232</w:t>
      </w:r>
      <w:r w:rsidRPr="00320090">
        <w:rPr>
          <w:lang w:eastAsia="en-GB"/>
        </w:rPr>
        <w:t xml:space="preserve"> BSI </w:t>
      </w:r>
      <w:r>
        <w:rPr>
          <w:lang w:eastAsia="en-GB"/>
        </w:rPr>
        <w:t xml:space="preserve">could have been </w:t>
      </w:r>
      <w:r w:rsidRPr="00320090">
        <w:rPr>
          <w:lang w:eastAsia="en-GB"/>
        </w:rPr>
        <w:t>averted</w:t>
      </w:r>
      <w:r>
        <w:rPr>
          <w:lang w:eastAsia="en-GB"/>
        </w:rPr>
        <w:t xml:space="preserve"> in 2012 using antibiotic CVCs. The additional cost of purchasing antibiotic CVCs for all children who require them (£36 per CVC) </w:t>
      </w:r>
      <w:r w:rsidRPr="00D0422E">
        <w:rPr>
          <w:rFonts w:cstheme="minorHAnsi"/>
        </w:rPr>
        <w:t xml:space="preserve">would be </w:t>
      </w:r>
      <w:r>
        <w:rPr>
          <w:rFonts w:cstheme="minorHAnsi"/>
        </w:rPr>
        <w:t>less than the value of resources associated with managing BSI</w:t>
      </w:r>
      <w:r w:rsidRPr="00D0422E">
        <w:rPr>
          <w:rFonts w:cstheme="minorHAnsi"/>
        </w:rPr>
        <w:t xml:space="preserve"> </w:t>
      </w:r>
      <w:r>
        <w:rPr>
          <w:rFonts w:cstheme="minorHAnsi"/>
        </w:rPr>
        <w:t xml:space="preserve">in PICUs </w:t>
      </w:r>
      <w:r w:rsidRPr="00D0422E">
        <w:rPr>
          <w:rFonts w:cstheme="minorHAnsi"/>
        </w:rPr>
        <w:t xml:space="preserve">with standard </w:t>
      </w:r>
      <w:r>
        <w:rPr>
          <w:rFonts w:cstheme="minorHAnsi"/>
        </w:rPr>
        <w:t xml:space="preserve">BSI rates </w:t>
      </w:r>
      <w:r w:rsidRPr="00085D91">
        <w:rPr>
          <w:rFonts w:cstheme="minorHAnsi"/>
        </w:rPr>
        <w:t>&gt;</w:t>
      </w:r>
      <w:r>
        <w:rPr>
          <w:rFonts w:cstheme="minorHAnsi"/>
        </w:rPr>
        <w:t>1</w:t>
      </w:r>
      <w:r w:rsidRPr="00085D91">
        <w:rPr>
          <w:rFonts w:cstheme="minorHAnsi"/>
        </w:rPr>
        <w:t>.</w:t>
      </w:r>
      <w:r>
        <w:rPr>
          <w:rFonts w:cstheme="minorHAnsi"/>
        </w:rPr>
        <w:t>2</w:t>
      </w:r>
      <w:r w:rsidRPr="00085D91">
        <w:rPr>
          <w:rFonts w:cstheme="minorHAnsi"/>
        </w:rPr>
        <w:t xml:space="preserve"> </w:t>
      </w:r>
      <w:r>
        <w:rPr>
          <w:rFonts w:cstheme="minorHAnsi"/>
        </w:rPr>
        <w:t>per 1000 CVC</w:t>
      </w:r>
      <w:r w:rsidRPr="00D0422E">
        <w:rPr>
          <w:rFonts w:cstheme="minorHAnsi"/>
        </w:rPr>
        <w:t>-days.</w:t>
      </w:r>
    </w:p>
    <w:p w:rsidR="006A57B2" w:rsidRDefault="006A57B2" w:rsidP="00B22173">
      <w:pPr>
        <w:pStyle w:val="Heading3"/>
        <w:spacing w:line="360" w:lineRule="auto"/>
        <w:rPr>
          <w:rFonts w:eastAsia="Times New Roman"/>
          <w:lang w:eastAsia="en-GB"/>
        </w:rPr>
      </w:pPr>
      <w:r>
        <w:rPr>
          <w:rFonts w:eastAsia="Times New Roman"/>
          <w:lang w:eastAsia="en-GB"/>
        </w:rPr>
        <w:t xml:space="preserve">Conclusions: </w:t>
      </w:r>
    </w:p>
    <w:p w:rsidR="006A57B2" w:rsidRPr="00966601" w:rsidRDefault="006A57B2" w:rsidP="00B22173">
      <w:pPr>
        <w:spacing w:line="360" w:lineRule="auto"/>
        <w:rPr>
          <w:lang w:eastAsia="en-GB"/>
        </w:rPr>
      </w:pPr>
      <w:r>
        <w:rPr>
          <w:lang w:eastAsia="en-GB"/>
        </w:rPr>
        <w:t>The primary outcome, time to BSI, did not differ between impregnated and standard CVCs. However, a</w:t>
      </w:r>
      <w:r w:rsidRPr="00EB7ADE">
        <w:rPr>
          <w:rFonts w:cstheme="minorHAnsi"/>
        </w:rPr>
        <w:t>ntibiotic-impregnated CVCs significantly reduced the risk of</w:t>
      </w:r>
      <w:r>
        <w:rPr>
          <w:rFonts w:cstheme="minorHAnsi"/>
        </w:rPr>
        <w:t xml:space="preserve"> </w:t>
      </w:r>
      <w:r w:rsidRPr="00864D3F">
        <w:rPr>
          <w:rFonts w:cstheme="minorHAnsi"/>
        </w:rPr>
        <w:t>BSI compared with standard and heparin CVCs.</w:t>
      </w:r>
      <w:r>
        <w:rPr>
          <w:rFonts w:cstheme="minorHAnsi"/>
        </w:rPr>
        <w:t xml:space="preserve"> A</w:t>
      </w:r>
      <w:r w:rsidRPr="00EB7ADE">
        <w:rPr>
          <w:rFonts w:cstheme="minorHAnsi"/>
        </w:rPr>
        <w:t xml:space="preserve">doption of antibiotic-impregnated CVCs </w:t>
      </w:r>
      <w:r>
        <w:rPr>
          <w:rFonts w:cstheme="minorHAnsi"/>
        </w:rPr>
        <w:t>c</w:t>
      </w:r>
      <w:r w:rsidRPr="00EB7ADE">
        <w:rPr>
          <w:rFonts w:cstheme="minorHAnsi"/>
        </w:rPr>
        <w:t xml:space="preserve">ould </w:t>
      </w:r>
      <w:r>
        <w:rPr>
          <w:rFonts w:cstheme="minorHAnsi"/>
        </w:rPr>
        <w:t xml:space="preserve">be beneficial even for </w:t>
      </w:r>
      <w:r w:rsidRPr="00EB7ADE">
        <w:rPr>
          <w:rFonts w:cstheme="minorHAnsi"/>
        </w:rPr>
        <w:t>PICU</w:t>
      </w:r>
      <w:r>
        <w:rPr>
          <w:rFonts w:cstheme="minorHAnsi"/>
        </w:rPr>
        <w:t xml:space="preserve">s </w:t>
      </w:r>
      <w:r>
        <w:rPr>
          <w:lang w:eastAsia="en-GB"/>
        </w:rPr>
        <w:t>with low BSI rates, although uncertainty remains as to whether they represent value for money to the NHS.</w:t>
      </w:r>
    </w:p>
    <w:p w:rsidR="006A57B2" w:rsidRDefault="006A57B2" w:rsidP="00B22173">
      <w:pPr>
        <w:pStyle w:val="Heading3"/>
        <w:spacing w:line="360" w:lineRule="auto"/>
        <w:rPr>
          <w:rFonts w:eastAsia="Times New Roman"/>
          <w:lang w:eastAsia="en-GB"/>
        </w:rPr>
      </w:pPr>
      <w:r>
        <w:rPr>
          <w:rFonts w:eastAsia="Times New Roman"/>
          <w:lang w:eastAsia="en-GB"/>
        </w:rPr>
        <w:t>Future work:</w:t>
      </w:r>
    </w:p>
    <w:p w:rsidR="006A57B2" w:rsidRPr="00DC371B" w:rsidRDefault="006A57B2" w:rsidP="00B22173">
      <w:pPr>
        <w:spacing w:line="360" w:lineRule="auto"/>
        <w:rPr>
          <w:lang w:eastAsia="en-GB"/>
        </w:rPr>
      </w:pPr>
      <w:r>
        <w:rPr>
          <w:rFonts w:eastAsia="Times New Roman"/>
          <w:lang w:eastAsia="en-GB"/>
        </w:rPr>
        <w:t xml:space="preserve">Implementation strategies </w:t>
      </w:r>
      <w:r w:rsidRPr="00DC371B">
        <w:rPr>
          <w:rFonts w:eastAsia="Times New Roman"/>
          <w:lang w:eastAsia="en-GB"/>
        </w:rPr>
        <w:t xml:space="preserve">to promote </w:t>
      </w:r>
      <w:r>
        <w:rPr>
          <w:rFonts w:eastAsia="Times New Roman"/>
          <w:lang w:eastAsia="en-GB"/>
        </w:rPr>
        <w:t xml:space="preserve">adoption </w:t>
      </w:r>
      <w:r w:rsidRPr="00DC371B">
        <w:rPr>
          <w:rFonts w:eastAsia="Times New Roman"/>
          <w:lang w:eastAsia="en-GB"/>
        </w:rPr>
        <w:t xml:space="preserve">of impregnated CVCs </w:t>
      </w:r>
      <w:r>
        <w:rPr>
          <w:rFonts w:eastAsia="Times New Roman"/>
          <w:lang w:eastAsia="en-GB"/>
        </w:rPr>
        <w:t>in PICU should be developed and could be monitored through l</w:t>
      </w:r>
      <w:r>
        <w:rPr>
          <w:lang w:eastAsia="en-GB"/>
        </w:rPr>
        <w:t xml:space="preserve">inkage of electronic-healthcare data and clinical data on CVC use. </w:t>
      </w:r>
    </w:p>
    <w:p w:rsidR="006A57B2" w:rsidRDefault="006A57B2" w:rsidP="00B22173">
      <w:pPr>
        <w:pStyle w:val="Heading3"/>
        <w:spacing w:line="360" w:lineRule="auto"/>
        <w:rPr>
          <w:rFonts w:eastAsia="Times New Roman"/>
          <w:lang w:eastAsia="en-GB"/>
        </w:rPr>
      </w:pPr>
      <w:r w:rsidRPr="00F330F4">
        <w:rPr>
          <w:rFonts w:eastAsia="Times New Roman"/>
          <w:lang w:eastAsia="en-GB"/>
        </w:rPr>
        <w:t xml:space="preserve">Study registration: </w:t>
      </w:r>
    </w:p>
    <w:p w:rsidR="006A57B2" w:rsidRPr="0091278F" w:rsidRDefault="006A57B2" w:rsidP="00B22173">
      <w:pPr>
        <w:spacing w:line="360" w:lineRule="auto"/>
      </w:pPr>
      <w:r w:rsidRPr="0091278F">
        <w:t>ClinicalTrials.gov</w:t>
      </w:r>
      <w:r>
        <w:t>:</w:t>
      </w:r>
      <w:r w:rsidRPr="0091278F">
        <w:t>NCT01029717</w:t>
      </w:r>
    </w:p>
    <w:p w:rsidR="006A57B2" w:rsidRDefault="006A57B2" w:rsidP="00B22173">
      <w:pPr>
        <w:pStyle w:val="Heading3"/>
        <w:spacing w:line="360" w:lineRule="auto"/>
        <w:rPr>
          <w:rFonts w:eastAsia="Times New Roman"/>
          <w:lang w:eastAsia="en-GB"/>
        </w:rPr>
      </w:pPr>
      <w:r w:rsidRPr="00966601">
        <w:rPr>
          <w:rFonts w:eastAsia="Times New Roman"/>
          <w:lang w:eastAsia="en-GB"/>
        </w:rPr>
        <w:t>Funding</w:t>
      </w:r>
      <w:r>
        <w:rPr>
          <w:rFonts w:eastAsia="Times New Roman"/>
          <w:lang w:eastAsia="en-GB"/>
        </w:rPr>
        <w:t xml:space="preserve">: </w:t>
      </w:r>
    </w:p>
    <w:p w:rsidR="006A57B2" w:rsidRDefault="006A57B2" w:rsidP="00864D3F">
      <w:pPr>
        <w:spacing w:line="360" w:lineRule="auto"/>
      </w:pPr>
      <w:r w:rsidRPr="00AC36D2">
        <w:t xml:space="preserve">National Institute for Health Research Health Technology Assessment (NIHR HTA) programme (project number 08/13/47). </w:t>
      </w:r>
    </w:p>
    <w:p w:rsidR="006A57B2" w:rsidRDefault="006A57B2" w:rsidP="00864D3F">
      <w:pPr>
        <w:spacing w:line="360" w:lineRule="auto"/>
      </w:pPr>
    </w:p>
    <w:p w:rsidR="006A57B2" w:rsidRDefault="006A57B2" w:rsidP="00864D3F">
      <w:pPr>
        <w:spacing w:line="360" w:lineRule="auto"/>
      </w:pPr>
      <w:r w:rsidRPr="00737EE0">
        <w:rPr>
          <w:b/>
        </w:rPr>
        <w:t xml:space="preserve">Abstract word count: </w:t>
      </w:r>
      <w:r>
        <w:t>507</w:t>
      </w:r>
    </w:p>
    <w:p w:rsidR="006A57B2" w:rsidRDefault="006A57B2" w:rsidP="00864D3F">
      <w:pPr>
        <w:spacing w:line="360" w:lineRule="auto"/>
        <w:rPr>
          <w:b/>
        </w:rPr>
      </w:pPr>
      <w:r w:rsidRPr="00DD66C0">
        <w:rPr>
          <w:b/>
        </w:rPr>
        <w:t xml:space="preserve">Key words: </w:t>
      </w:r>
    </w:p>
    <w:p w:rsidR="006A57B2" w:rsidRPr="00DD66C0" w:rsidRDefault="006A57B2" w:rsidP="00864D3F">
      <w:pPr>
        <w:spacing w:line="360" w:lineRule="auto"/>
        <w:rPr>
          <w:b/>
          <w:lang w:eastAsia="en-GB"/>
        </w:rPr>
        <w:sectPr w:rsidR="006A57B2" w:rsidRPr="00DD66C0" w:rsidSect="007F3EC5">
          <w:footerReference w:type="first" r:id="rId9"/>
          <w:pgSz w:w="11900" w:h="16840" w:code="9"/>
          <w:pgMar w:top="1440" w:right="1797" w:bottom="1440" w:left="1797" w:header="709" w:footer="709" w:gutter="0"/>
          <w:lnNumType w:countBy="1" w:restart="continuous"/>
          <w:cols w:space="708"/>
          <w:docGrid w:linePitch="360"/>
        </w:sectPr>
      </w:pPr>
      <w:r w:rsidRPr="00C47C63">
        <w:t>randomised controlled trial, bloodstream, infection, central venous catheter, p</w:t>
      </w:r>
      <w:r>
        <w:t>a</w:t>
      </w:r>
      <w:r w:rsidRPr="00C47C63">
        <w:t>ediatric inten</w:t>
      </w:r>
      <w:r>
        <w:t>sive care, antibiotic, heparin, impregnated, CVC</w:t>
      </w:r>
    </w:p>
    <w:p w:rsidR="006A57B2" w:rsidRDefault="006A57B2" w:rsidP="00B22173">
      <w:pPr>
        <w:pStyle w:val="Heading1"/>
        <w:spacing w:line="360" w:lineRule="auto"/>
      </w:pPr>
      <w:bookmarkStart w:id="7" w:name="_Toc418857463"/>
      <w:bookmarkStart w:id="8" w:name="_Toc428195144"/>
      <w:r>
        <w:t>SCIENTIFIC SUMMARY</w:t>
      </w:r>
      <w:bookmarkEnd w:id="7"/>
      <w:bookmarkEnd w:id="8"/>
      <w:r>
        <w:t xml:space="preserve"> </w:t>
      </w:r>
    </w:p>
    <w:p w:rsidR="006A57B2" w:rsidRDefault="006A57B2" w:rsidP="00B22173">
      <w:pPr>
        <w:pStyle w:val="Heading2"/>
        <w:spacing w:line="360" w:lineRule="auto"/>
        <w:rPr>
          <w:rFonts w:eastAsia="Times New Roman"/>
          <w:lang w:eastAsia="en-GB"/>
        </w:rPr>
      </w:pPr>
      <w:bookmarkStart w:id="9" w:name="_Toc418857464"/>
      <w:bookmarkStart w:id="10" w:name="_Toc428195145"/>
      <w:r>
        <w:rPr>
          <w:rFonts w:eastAsia="Times New Roman"/>
          <w:lang w:eastAsia="en-GB"/>
        </w:rPr>
        <w:t>Background</w:t>
      </w:r>
      <w:bookmarkEnd w:id="9"/>
      <w:bookmarkEnd w:id="10"/>
    </w:p>
    <w:p w:rsidR="006A57B2" w:rsidRDefault="006A57B2" w:rsidP="00B22173">
      <w:pPr>
        <w:spacing w:line="360" w:lineRule="auto"/>
      </w:pPr>
      <w:r w:rsidRPr="0045680E">
        <w:t>Bloodstream infection (BSI) is an important cause of adverse clinical outcome and cost to the National Health Service (NHS)</w:t>
      </w:r>
      <w:r>
        <w:t xml:space="preserve"> in the UK</w:t>
      </w:r>
      <w:r w:rsidRPr="0045680E">
        <w:t>. Paediatric intensive care units (PICUs) have one of the highest reported rates of hospital-</w:t>
      </w:r>
      <w:r w:rsidRPr="00FE3A93">
        <w:t>acquired BSI of any clinical specialty</w:t>
      </w:r>
      <w:r>
        <w:t>.</w:t>
      </w:r>
    </w:p>
    <w:p w:rsidR="006A57B2" w:rsidRPr="0045680E" w:rsidRDefault="006A57B2" w:rsidP="00607F48">
      <w:pPr>
        <w:spacing w:line="360" w:lineRule="auto"/>
      </w:pPr>
      <w:r w:rsidRPr="0045680E">
        <w:t xml:space="preserve">Nine systematic reviews, two </w:t>
      </w:r>
      <w:r>
        <w:t>cost-effectiveness</w:t>
      </w:r>
      <w:r w:rsidRPr="0045680E">
        <w:t xml:space="preserve"> analyses, and at least 48 randomised controlled trials (RCTS; 11,586 patients) demonstrate substantial benefits of impregnated </w:t>
      </w:r>
      <w:r>
        <w:t xml:space="preserve">CVCs </w:t>
      </w:r>
      <w:r w:rsidRPr="0045680E">
        <w:t xml:space="preserve">for </w:t>
      </w:r>
      <w:r>
        <w:t xml:space="preserve">reducing </w:t>
      </w:r>
      <w:r w:rsidRPr="0045680E">
        <w:t xml:space="preserve">catheter-related BSI (CR-BSI) in adults. </w:t>
      </w:r>
      <w:r>
        <w:t>The best evidence to-date shows that antibiotic-impregnated or heparin-bonded CVCs are most effective, with similar reductions in risk of CR-BSI (70-80%).</w:t>
      </w:r>
      <w:r w:rsidRPr="00E075A0">
        <w:rPr>
          <w:noProof/>
          <w:vertAlign w:val="superscript"/>
        </w:rPr>
        <w:t>1</w:t>
      </w:r>
      <w:r>
        <w:t xml:space="preserve"> However, t</w:t>
      </w:r>
      <w:r w:rsidRPr="00FE3A93">
        <w:t>here is a lack</w:t>
      </w:r>
      <w:r w:rsidRPr="0045680E">
        <w:t xml:space="preserve"> of child-specific evidence for impregnated CVCs and they are not recommended for children in UK or US guidance. </w:t>
      </w:r>
      <w:r>
        <w:t xml:space="preserve">We compared both types of impregnated CVC (antibiotic and heparin) with standard CVCs to determine their effectiveness in children. Secondary analyses were conducted to investigate the effectiveness of each type of impregnation. </w:t>
      </w:r>
    </w:p>
    <w:p w:rsidR="006A57B2" w:rsidRPr="00391D86" w:rsidRDefault="006A57B2" w:rsidP="00B22173">
      <w:pPr>
        <w:pStyle w:val="Heading2"/>
        <w:spacing w:line="360" w:lineRule="auto"/>
        <w:rPr>
          <w:rFonts w:eastAsia="Times New Roman"/>
          <w:lang w:eastAsia="en-GB"/>
        </w:rPr>
      </w:pPr>
      <w:bookmarkStart w:id="11" w:name="_Toc418857465"/>
      <w:bookmarkStart w:id="12" w:name="_Toc428195146"/>
      <w:r>
        <w:rPr>
          <w:rFonts w:eastAsia="Times New Roman"/>
          <w:lang w:eastAsia="en-GB"/>
        </w:rPr>
        <w:t>Objectives</w:t>
      </w:r>
      <w:bookmarkEnd w:id="11"/>
      <w:bookmarkEnd w:id="12"/>
    </w:p>
    <w:p w:rsidR="006A57B2" w:rsidRPr="004A50E8" w:rsidRDefault="006A57B2" w:rsidP="00B22173">
      <w:pPr>
        <w:pStyle w:val="ListParagraph"/>
        <w:numPr>
          <w:ilvl w:val="0"/>
          <w:numId w:val="2"/>
        </w:numPr>
        <w:spacing w:line="360" w:lineRule="auto"/>
        <w:rPr>
          <w:rFonts w:cs="Arial"/>
          <w:color w:val="000000"/>
          <w:lang w:eastAsia="en-GB"/>
        </w:rPr>
      </w:pPr>
      <w:r>
        <w:rPr>
          <w:lang w:eastAsia="en-GB"/>
        </w:rPr>
        <w:t>To determine the c</w:t>
      </w:r>
      <w:r w:rsidRPr="000E7835">
        <w:rPr>
          <w:lang w:eastAsia="en-GB"/>
        </w:rPr>
        <w:t xml:space="preserve">linical effectiveness of impregnated compared with standard CVCs for </w:t>
      </w:r>
      <w:r>
        <w:rPr>
          <w:lang w:eastAsia="en-GB"/>
        </w:rPr>
        <w:t xml:space="preserve">reducing </w:t>
      </w:r>
      <w:r w:rsidRPr="000E7835">
        <w:rPr>
          <w:lang w:eastAsia="en-GB"/>
        </w:rPr>
        <w:t>BSI in chil</w:t>
      </w:r>
      <w:r>
        <w:rPr>
          <w:lang w:eastAsia="en-GB"/>
        </w:rPr>
        <w:t>dren admitted for intensive care</w:t>
      </w:r>
    </w:p>
    <w:p w:rsidR="006A57B2" w:rsidRPr="004A50E8" w:rsidRDefault="006A57B2" w:rsidP="00B22173">
      <w:pPr>
        <w:pStyle w:val="ListParagraph"/>
        <w:numPr>
          <w:ilvl w:val="0"/>
          <w:numId w:val="2"/>
        </w:numPr>
        <w:spacing w:line="360" w:lineRule="auto"/>
        <w:rPr>
          <w:rFonts w:cs="Arial"/>
          <w:color w:val="000000"/>
          <w:lang w:eastAsia="en-GB"/>
        </w:rPr>
      </w:pPr>
      <w:r>
        <w:rPr>
          <w:lang w:eastAsia="en-GB"/>
        </w:rPr>
        <w:t>To determine the cost-</w:t>
      </w:r>
      <w:r w:rsidRPr="000E7835">
        <w:rPr>
          <w:lang w:eastAsia="en-GB"/>
        </w:rPr>
        <w:t>effectiveness</w:t>
      </w:r>
      <w:r>
        <w:rPr>
          <w:lang w:eastAsia="en-GB"/>
        </w:rPr>
        <w:t xml:space="preserve"> of impregnated </w:t>
      </w:r>
      <w:r w:rsidRPr="000E7835">
        <w:rPr>
          <w:lang w:eastAsia="en-GB"/>
        </w:rPr>
        <w:t>C</w:t>
      </w:r>
      <w:r>
        <w:rPr>
          <w:lang w:eastAsia="en-GB"/>
        </w:rPr>
        <w:t>VCs from an NHS perspective</w:t>
      </w:r>
    </w:p>
    <w:p w:rsidR="006A57B2" w:rsidRPr="00986AA4" w:rsidRDefault="006A57B2" w:rsidP="00B22173">
      <w:pPr>
        <w:pStyle w:val="ListParagraph"/>
        <w:numPr>
          <w:ilvl w:val="0"/>
          <w:numId w:val="2"/>
        </w:numPr>
        <w:spacing w:line="360" w:lineRule="auto"/>
        <w:rPr>
          <w:rFonts w:cs="Arial"/>
          <w:lang w:eastAsia="en-GB"/>
        </w:rPr>
      </w:pPr>
      <w:r>
        <w:rPr>
          <w:lang w:eastAsia="en-GB"/>
        </w:rPr>
        <w:t xml:space="preserve">To inform purchasing by assessing the generalisability and the cost-impact of </w:t>
      </w:r>
      <w:r w:rsidRPr="004459DC">
        <w:t>adopt</w:t>
      </w:r>
      <w:r>
        <w:t>ing</w:t>
      </w:r>
      <w:r w:rsidRPr="004459DC">
        <w:t xml:space="preserve"> </w:t>
      </w:r>
      <w:r w:rsidRPr="00986AA4">
        <w:t>impregnated CVCs for all children who need them</w:t>
      </w:r>
    </w:p>
    <w:p w:rsidR="006A57B2" w:rsidRDefault="006A57B2" w:rsidP="001C12FF">
      <w:pPr>
        <w:rPr>
          <w:lang w:eastAsia="en-GB"/>
        </w:rPr>
      </w:pPr>
      <w:bookmarkStart w:id="13" w:name="_Toc418857466"/>
    </w:p>
    <w:p w:rsidR="006A57B2" w:rsidRDefault="006A57B2" w:rsidP="001C12FF">
      <w:pPr>
        <w:rPr>
          <w:lang w:eastAsia="en-GB"/>
        </w:rPr>
      </w:pPr>
    </w:p>
    <w:p w:rsidR="006A57B2" w:rsidRDefault="006A57B2" w:rsidP="001C12FF">
      <w:pPr>
        <w:rPr>
          <w:lang w:eastAsia="en-GB"/>
        </w:rPr>
      </w:pPr>
    </w:p>
    <w:p w:rsidR="006A57B2" w:rsidRDefault="006A57B2" w:rsidP="001C12FF">
      <w:pPr>
        <w:rPr>
          <w:lang w:eastAsia="en-GB"/>
        </w:rPr>
      </w:pPr>
    </w:p>
    <w:p w:rsidR="006A57B2" w:rsidRDefault="006A57B2" w:rsidP="001C12FF">
      <w:pPr>
        <w:rPr>
          <w:lang w:eastAsia="en-GB"/>
        </w:rPr>
      </w:pPr>
    </w:p>
    <w:p w:rsidR="006A57B2" w:rsidRDefault="006A57B2" w:rsidP="001C12FF">
      <w:pPr>
        <w:rPr>
          <w:lang w:eastAsia="en-GB"/>
        </w:rPr>
      </w:pPr>
    </w:p>
    <w:p w:rsidR="006A57B2" w:rsidRPr="00F331A5" w:rsidRDefault="006A57B2" w:rsidP="00B22173">
      <w:pPr>
        <w:pStyle w:val="Heading2"/>
        <w:spacing w:line="360" w:lineRule="auto"/>
        <w:rPr>
          <w:lang w:eastAsia="en-GB"/>
        </w:rPr>
      </w:pPr>
      <w:bookmarkStart w:id="14" w:name="_Toc428195147"/>
      <w:r w:rsidRPr="00F331A5">
        <w:rPr>
          <w:lang w:eastAsia="en-GB"/>
        </w:rPr>
        <w:t>1) RANDOMISED CONTROLLED TRIAL: CLINICAL EFFECTIVENESS</w:t>
      </w:r>
      <w:bookmarkEnd w:id="13"/>
      <w:bookmarkEnd w:id="14"/>
      <w:r w:rsidRPr="00F331A5">
        <w:rPr>
          <w:lang w:eastAsia="en-GB"/>
        </w:rPr>
        <w:t xml:space="preserve"> </w:t>
      </w:r>
    </w:p>
    <w:p w:rsidR="006A57B2" w:rsidRDefault="006A57B2" w:rsidP="00B22173">
      <w:pPr>
        <w:pStyle w:val="Heading2"/>
        <w:spacing w:line="360" w:lineRule="auto"/>
        <w:rPr>
          <w:rFonts w:eastAsia="Times New Roman"/>
          <w:lang w:eastAsia="en-GB"/>
        </w:rPr>
      </w:pPr>
      <w:bookmarkStart w:id="15" w:name="_Toc418857467"/>
      <w:bookmarkStart w:id="16" w:name="_Toc428195148"/>
      <w:r w:rsidRPr="00966601">
        <w:rPr>
          <w:rFonts w:eastAsia="Times New Roman"/>
          <w:lang w:eastAsia="en-GB"/>
        </w:rPr>
        <w:t>Methods</w:t>
      </w:r>
      <w:bookmarkEnd w:id="15"/>
      <w:bookmarkEnd w:id="16"/>
    </w:p>
    <w:p w:rsidR="006A57B2" w:rsidRDefault="006A57B2" w:rsidP="00B22173">
      <w:pPr>
        <w:spacing w:line="360" w:lineRule="auto"/>
        <w:rPr>
          <w:lang w:eastAsia="en-GB"/>
        </w:rPr>
      </w:pPr>
      <w:r>
        <w:rPr>
          <w:lang w:eastAsia="en-GB"/>
        </w:rPr>
        <w:t>We conducted a three-arm RCT to compare the effect of heparin-bonded, antibiotic-impregnated and standard polyurethane CVCs on BSI in children requiring intensive care.</w:t>
      </w:r>
    </w:p>
    <w:p w:rsidR="006A57B2" w:rsidRPr="00452F22" w:rsidRDefault="006A57B2" w:rsidP="00452F22">
      <w:pPr>
        <w:pStyle w:val="Heading4"/>
      </w:pPr>
      <w:r w:rsidRPr="00452F22">
        <w:t>Design, study population and intervention</w:t>
      </w:r>
    </w:p>
    <w:p w:rsidR="006A57B2" w:rsidRPr="00986AA4" w:rsidRDefault="006A57B2" w:rsidP="00B22173">
      <w:pPr>
        <w:spacing w:line="360" w:lineRule="auto"/>
        <w:rPr>
          <w:rFonts w:ascii="Times New Roman" w:hAnsi="Times New Roman" w:cs="Times New Roman"/>
          <w:sz w:val="24"/>
          <w:szCs w:val="24"/>
          <w:lang w:eastAsia="en-GB"/>
        </w:rPr>
      </w:pPr>
      <w:r w:rsidRPr="00986AA4">
        <w:rPr>
          <w:rFonts w:cstheme="minorHAnsi"/>
        </w:rPr>
        <w:t>Children admitted to 14 PICUs in England between December 2010 and November 2012 were randomised to heparin-bonded, antibiotic or standard CVCs</w:t>
      </w:r>
      <w:r w:rsidRPr="00986AA4">
        <w:t xml:space="preserve"> manufactured by </w:t>
      </w:r>
      <w:r w:rsidRPr="00986AA4">
        <w:rPr>
          <w:rFonts w:cstheme="minorHAnsi"/>
          <w:szCs w:val="20"/>
          <w:lang w:val="en-AU"/>
        </w:rPr>
        <w:t xml:space="preserve">Cook Medical Incorporated (IN 47404 USA). </w:t>
      </w:r>
    </w:p>
    <w:p w:rsidR="006A57B2" w:rsidRPr="00986AA4" w:rsidRDefault="006A57B2" w:rsidP="00B22173">
      <w:pPr>
        <w:spacing w:line="360" w:lineRule="auto"/>
      </w:pPr>
      <w:r w:rsidRPr="00986AA4">
        <w:t xml:space="preserve">Children &lt;16 years were eligible if they were admitted or being prepared for admission to a participating PICU and were expected to require a CVC for 3 or more days. For children admitted to PICU following elective surgery, we sought prospective parental consent during pre-operative assessment. For children who required a CVC as an emergency, we sought parental consent after randomisation and stabilisation (deferred consent) to avoid delaying </w:t>
      </w:r>
      <w:r w:rsidRPr="00FE3A93">
        <w:t xml:space="preserve">treatment. </w:t>
      </w:r>
    </w:p>
    <w:p w:rsidR="006A57B2" w:rsidRPr="00986AA4" w:rsidRDefault="006A57B2" w:rsidP="00452F22">
      <w:pPr>
        <w:pStyle w:val="Heading4"/>
      </w:pPr>
      <w:r w:rsidRPr="00986AA4">
        <w:t>Randomisation and masking</w:t>
      </w:r>
    </w:p>
    <w:p w:rsidR="006A57B2" w:rsidRPr="00986AA4" w:rsidRDefault="006A57B2" w:rsidP="00B22173">
      <w:pPr>
        <w:spacing w:line="360" w:lineRule="auto"/>
      </w:pPr>
      <w:r w:rsidRPr="00986AA4">
        <w:t>Children were randomised at bedside or in theatre immediately prior to CVC insertion. Randomisation sequences were computer generated in a 1:1:1 ratio, stratified by method of consent, site and envelope storage location within the site.</w:t>
      </w:r>
    </w:p>
    <w:p w:rsidR="006A57B2" w:rsidRPr="00986AA4" w:rsidRDefault="006A57B2" w:rsidP="00B22173">
      <w:pPr>
        <w:spacing w:line="360" w:lineRule="auto"/>
      </w:pPr>
      <w:r w:rsidRPr="00986AA4">
        <w:rPr>
          <w:rFonts w:cstheme="minorHAnsi"/>
        </w:rPr>
        <w:t xml:space="preserve">CVC allocation was not blinded to the clinician responsible for inserting the CVC (due to different colour strips for </w:t>
      </w:r>
      <w:r>
        <w:rPr>
          <w:rFonts w:cstheme="minorHAnsi"/>
        </w:rPr>
        <w:t>impregnated</w:t>
      </w:r>
      <w:r w:rsidRPr="00986AA4">
        <w:rPr>
          <w:rFonts w:cstheme="minorHAnsi"/>
        </w:rPr>
        <w:t xml:space="preserve"> CVCs) but since CVCs looked identical whilst in situ, allocation was concealed from patients, their parents and PICU personnel responsible for their care. </w:t>
      </w:r>
    </w:p>
    <w:p w:rsidR="006A57B2" w:rsidRPr="00986AA4" w:rsidRDefault="006A57B2" w:rsidP="00452F22">
      <w:pPr>
        <w:pStyle w:val="Heading4"/>
      </w:pPr>
      <w:r w:rsidRPr="00986AA4">
        <w:t>Comparisons and end points</w:t>
      </w:r>
    </w:p>
    <w:p w:rsidR="006A57B2" w:rsidRPr="00A9102F" w:rsidRDefault="006A57B2" w:rsidP="00B22173">
      <w:pPr>
        <w:spacing w:line="360" w:lineRule="auto"/>
      </w:pPr>
      <w:r w:rsidRPr="00A9102F">
        <w:t xml:space="preserve">The primary analysis for the trial compared antibiotic or heparin CVCs with standard CVCs. Secondary analyses </w:t>
      </w:r>
      <w:r>
        <w:t xml:space="preserve">comprised three-way comparisons of standard, </w:t>
      </w:r>
      <w:r w:rsidRPr="00A9102F">
        <w:t xml:space="preserve">antibiotic </w:t>
      </w:r>
      <w:r>
        <w:t>and</w:t>
      </w:r>
      <w:r w:rsidRPr="00A9102F">
        <w:t xml:space="preserve"> heparin CVCs.</w:t>
      </w:r>
    </w:p>
    <w:p w:rsidR="006A57B2" w:rsidRDefault="006A57B2" w:rsidP="00B22173">
      <w:pPr>
        <w:spacing w:line="360" w:lineRule="auto"/>
      </w:pPr>
      <w:r w:rsidRPr="00A9102F">
        <w:t xml:space="preserve">The primary outcome was time to the first BSI based on blood cultures taken between 48 hours after </w:t>
      </w:r>
      <w:r>
        <w:t>randomisation</w:t>
      </w:r>
      <w:r w:rsidRPr="00A9102F">
        <w:t xml:space="preserve"> and 48 hours after CVC removal (or prior to death). All blood culture samples were clinically indicated, defined by recorded evidence of infection (one or more of: </w:t>
      </w:r>
      <w:r>
        <w:t>temperature instability</w:t>
      </w:r>
      <w:r w:rsidRPr="00A9102F">
        <w:t>, change in inotrope requirements, haemodynamic instability, or poor perfusion) or removal of the CVC due to suspected infection.</w:t>
      </w:r>
      <w:r w:rsidRPr="00A9102F" w:rsidDel="00E45991">
        <w:t xml:space="preserve"> </w:t>
      </w:r>
      <w:r w:rsidRPr="00A9102F">
        <w:t xml:space="preserve">Any positive blood culture was accepted for a non-skin organism, but for skin organisms, two or more positive cultures within 48 hours of each other were required. </w:t>
      </w:r>
    </w:p>
    <w:p w:rsidR="006A57B2" w:rsidRDefault="006A57B2" w:rsidP="00B22173">
      <w:pPr>
        <w:spacing w:line="360" w:lineRule="auto"/>
      </w:pPr>
      <w:r>
        <w:t>Secondary BSI-related outcomes</w:t>
      </w:r>
      <w:r w:rsidRPr="00A9102F">
        <w:t xml:space="preserve">: </w:t>
      </w:r>
    </w:p>
    <w:p w:rsidR="006A57B2" w:rsidRDefault="006A57B2" w:rsidP="00B22173">
      <w:pPr>
        <w:spacing w:line="360" w:lineRule="auto"/>
      </w:pPr>
      <w:r w:rsidRPr="00A9102F">
        <w:t xml:space="preserve">(1) CR-BSI: </w:t>
      </w:r>
      <w:r>
        <w:t>the</w:t>
      </w:r>
      <w:r w:rsidRPr="00A9102F">
        <w:t xml:space="preserve"> same organisms cultured from blood and CVC tip between 48 hours after </w:t>
      </w:r>
      <w:r>
        <w:t>randomisation</w:t>
      </w:r>
      <w:r w:rsidRPr="00A9102F">
        <w:t xml:space="preserve"> and 48 hours after CVC removal; or </w:t>
      </w:r>
      <w:r w:rsidRPr="00A9102F">
        <w:rPr>
          <w:rFonts w:ascii="Calibri" w:eastAsia="Calibri" w:hAnsi="Calibri" w:cs="Times New Roman"/>
        </w:rPr>
        <w:t xml:space="preserve">differential </w:t>
      </w:r>
      <w:r w:rsidRPr="00A9102F">
        <w:t xml:space="preserve">positivity of cultures from multiple CVC lumens on two or more occasions; or </w:t>
      </w:r>
      <w:r>
        <w:t xml:space="preserve">BSI and </w:t>
      </w:r>
      <w:r w:rsidRPr="00A9102F">
        <w:t>exit site infecti</w:t>
      </w:r>
      <w:r>
        <w:t>on or BSI and CVC removed for infection.</w:t>
      </w:r>
    </w:p>
    <w:p w:rsidR="006A57B2" w:rsidRDefault="006A57B2" w:rsidP="00B22173">
      <w:pPr>
        <w:spacing w:line="360" w:lineRule="auto"/>
      </w:pPr>
      <w:r>
        <w:t>(2) R</w:t>
      </w:r>
      <w:r w:rsidRPr="00A9102F">
        <w:t xml:space="preserve">ate of BSI per 1000 CVC-days: </w:t>
      </w:r>
      <w:r>
        <w:t>number of</w:t>
      </w:r>
      <w:r w:rsidRPr="00A9102F">
        <w:t xml:space="preserve"> BSI between </w:t>
      </w:r>
      <w:r>
        <w:t>randomisation</w:t>
      </w:r>
      <w:r w:rsidRPr="00A9102F">
        <w:t xml:space="preserve"> and CVC removal</w:t>
      </w:r>
      <w:r>
        <w:t>.</w:t>
      </w:r>
    </w:p>
    <w:p w:rsidR="006A57B2" w:rsidRPr="00A9102F" w:rsidRDefault="006A57B2" w:rsidP="00B22173">
      <w:pPr>
        <w:spacing w:line="360" w:lineRule="auto"/>
      </w:pPr>
      <w:r>
        <w:t>(3) T</w:t>
      </w:r>
      <w:r w:rsidRPr="00A9102F">
        <w:t>ime to a composite measure of BSI comprising the primary outcome or</w:t>
      </w:r>
      <w:r>
        <w:t xml:space="preserve"> </w:t>
      </w:r>
      <w:r w:rsidRPr="00A9102F">
        <w:t xml:space="preserve">a negative blood culture combined with a positive 16S PCR result for bacterial DNA, removal of the CVC because of suspected infection, or a start of antibiotics or change in type of antibiotics on the same or next day. </w:t>
      </w:r>
    </w:p>
    <w:p w:rsidR="006A57B2" w:rsidRPr="00986AA4" w:rsidRDefault="006A57B2" w:rsidP="00B22173">
      <w:pPr>
        <w:spacing w:line="360" w:lineRule="auto"/>
      </w:pPr>
      <w:r>
        <w:t xml:space="preserve">We also compared </w:t>
      </w:r>
      <w:r w:rsidRPr="00A9102F">
        <w:t>time to CVC removal</w:t>
      </w:r>
      <w:r>
        <w:t>,</w:t>
      </w:r>
      <w:r w:rsidRPr="00A9102F">
        <w:t xml:space="preserve"> CVC thrombosis</w:t>
      </w:r>
      <w:r>
        <w:t xml:space="preserve">, </w:t>
      </w:r>
      <w:r w:rsidRPr="00A9102F">
        <w:t xml:space="preserve">PICU discharge, hospital discharge, and </w:t>
      </w:r>
      <w:r>
        <w:t xml:space="preserve">mortality within 30 days. </w:t>
      </w:r>
      <w:r w:rsidRPr="00A9102F">
        <w:t xml:space="preserve">Safety analyses compared </w:t>
      </w:r>
      <w:r>
        <w:t>CVC-related adverse events</w:t>
      </w:r>
      <w:r w:rsidRPr="00A9102F">
        <w:t xml:space="preserve">, mortality, and antibiotic resistance to </w:t>
      </w:r>
      <w:r w:rsidRPr="00986AA4">
        <w:t xml:space="preserve">minocycline (&gt;0.5 </w:t>
      </w:r>
      <w:r w:rsidRPr="00986AA4">
        <w:rPr>
          <w:rFonts w:cstheme="minorHAnsi"/>
        </w:rPr>
        <w:t>µ</w:t>
      </w:r>
      <w:r w:rsidRPr="00986AA4">
        <w:t xml:space="preserve">g/ml) or rifampicin (&gt;1.0 </w:t>
      </w:r>
      <w:r w:rsidRPr="00986AA4">
        <w:rPr>
          <w:rFonts w:cstheme="minorHAnsi"/>
        </w:rPr>
        <w:t>µ</w:t>
      </w:r>
      <w:r w:rsidRPr="00986AA4">
        <w:t>g/ml).</w:t>
      </w:r>
    </w:p>
    <w:p w:rsidR="006A57B2" w:rsidRPr="00986AA4" w:rsidRDefault="006A57B2" w:rsidP="00452F22">
      <w:pPr>
        <w:pStyle w:val="Heading4"/>
      </w:pPr>
      <w:r w:rsidRPr="00986AA4">
        <w:t>Sample size</w:t>
      </w:r>
    </w:p>
    <w:p w:rsidR="006A57B2" w:rsidRDefault="006A57B2" w:rsidP="00B22173">
      <w:pPr>
        <w:spacing w:line="360" w:lineRule="auto"/>
        <w:rPr>
          <w:rFonts w:cstheme="minorHAnsi"/>
        </w:rPr>
      </w:pPr>
      <w:r>
        <w:rPr>
          <w:rFonts w:eastAsia="Calibri" w:cstheme="minorHAnsi"/>
        </w:rPr>
        <w:t xml:space="preserve">1200 children were required </w:t>
      </w:r>
      <w:r w:rsidRPr="00A9102F">
        <w:rPr>
          <w:rFonts w:cstheme="minorHAnsi"/>
        </w:rPr>
        <w:t xml:space="preserve">to achieve 80% power to detect a </w:t>
      </w:r>
      <w:r>
        <w:rPr>
          <w:rFonts w:cstheme="minorHAnsi"/>
        </w:rPr>
        <w:t>relative risk</w:t>
      </w:r>
      <w:r w:rsidRPr="00A9102F">
        <w:rPr>
          <w:rFonts w:cstheme="minorHAnsi"/>
        </w:rPr>
        <w:t xml:space="preserve"> of 0.5 at a 5% level of significance, based on an estimated BSI rate of 10% and all</w:t>
      </w:r>
      <w:r>
        <w:rPr>
          <w:rFonts w:cstheme="minorHAnsi"/>
        </w:rPr>
        <w:t>owing for 5% loss to follow-up.</w:t>
      </w:r>
    </w:p>
    <w:p w:rsidR="006A57B2" w:rsidRPr="00A9102F" w:rsidRDefault="006A57B2" w:rsidP="00452F22">
      <w:pPr>
        <w:pStyle w:val="Heading4"/>
      </w:pPr>
      <w:r w:rsidRPr="00A9102F">
        <w:t>Statistical analysis</w:t>
      </w:r>
    </w:p>
    <w:p w:rsidR="006A57B2" w:rsidRPr="00A9102F" w:rsidRDefault="006A57B2" w:rsidP="00B22173">
      <w:pPr>
        <w:spacing w:line="360" w:lineRule="auto"/>
        <w:rPr>
          <w:rFonts w:eastAsia="Times New Roman" w:cstheme="minorHAnsi"/>
        </w:rPr>
      </w:pPr>
      <w:r w:rsidRPr="00A9102F">
        <w:rPr>
          <w:rFonts w:eastAsia="Times New Roman" w:cstheme="minorHAnsi"/>
        </w:rPr>
        <w:t>Outcome data were analysed according to the intention to treat</w:t>
      </w:r>
      <w:r>
        <w:rPr>
          <w:rFonts w:eastAsia="Times New Roman" w:cstheme="minorHAnsi"/>
        </w:rPr>
        <w:t xml:space="preserve"> principle. </w:t>
      </w:r>
      <w:r w:rsidRPr="00A9102F">
        <w:rPr>
          <w:rFonts w:eastAsia="Times New Roman" w:cstheme="minorHAnsi"/>
        </w:rPr>
        <w:t>Safety analyses included the subset of children for whom CVC insertion was attempted, grouped by CVC actually received</w:t>
      </w:r>
      <w:r>
        <w:rPr>
          <w:rFonts w:eastAsia="Times New Roman" w:cstheme="minorHAnsi"/>
        </w:rPr>
        <w:t>, or if insertion was not successful, the type used in the attempt.</w:t>
      </w:r>
      <w:r w:rsidRPr="00A9102F">
        <w:rPr>
          <w:rFonts w:eastAsia="Times New Roman" w:cstheme="minorHAnsi"/>
        </w:rPr>
        <w:t xml:space="preserve"> </w:t>
      </w:r>
    </w:p>
    <w:p w:rsidR="006A57B2" w:rsidRDefault="006A57B2" w:rsidP="00B22173">
      <w:pPr>
        <w:spacing w:line="360" w:lineRule="auto"/>
        <w:rPr>
          <w:rFonts w:eastAsia="Times New Roman" w:cstheme="minorHAnsi"/>
        </w:rPr>
      </w:pPr>
      <w:r w:rsidRPr="003C2A3B">
        <w:rPr>
          <w:rFonts w:eastAsia="Times New Roman" w:cstheme="minorHAnsi"/>
        </w:rPr>
        <w:t xml:space="preserve">The statistical analysis plan was developed prior to analysis and is available in </w:t>
      </w:r>
      <w:r w:rsidRPr="00356639">
        <w:rPr>
          <w:rFonts w:eastAsia="Times New Roman" w:cstheme="minorHAnsi"/>
        </w:rPr>
        <w:t>Appen</w:t>
      </w:r>
      <w:r w:rsidRPr="00EC10DA">
        <w:rPr>
          <w:rFonts w:eastAsia="Times New Roman" w:cstheme="minorHAnsi"/>
        </w:rPr>
        <w:t>dix</w:t>
      </w:r>
      <w:r>
        <w:rPr>
          <w:rFonts w:eastAsia="Times New Roman" w:cstheme="minorHAnsi"/>
        </w:rPr>
        <w:t xml:space="preserve"> D</w:t>
      </w:r>
      <w:r w:rsidRPr="00EC10DA">
        <w:rPr>
          <w:rFonts w:eastAsia="Times New Roman" w:cstheme="minorHAnsi"/>
        </w:rPr>
        <w:t>. Time</w:t>
      </w:r>
      <w:r>
        <w:rPr>
          <w:rFonts w:eastAsia="Times New Roman" w:cstheme="minorHAnsi"/>
        </w:rPr>
        <w:t>-</w:t>
      </w:r>
      <w:r w:rsidRPr="00A9102F">
        <w:rPr>
          <w:rFonts w:eastAsia="Times New Roman" w:cstheme="minorHAnsi"/>
        </w:rPr>
        <w:t>to</w:t>
      </w:r>
      <w:r>
        <w:rPr>
          <w:rFonts w:eastAsia="Times New Roman" w:cstheme="minorHAnsi"/>
        </w:rPr>
        <w:t>-</w:t>
      </w:r>
      <w:r w:rsidRPr="00A9102F">
        <w:rPr>
          <w:rFonts w:eastAsia="Times New Roman" w:cstheme="minorHAnsi"/>
        </w:rPr>
        <w:t xml:space="preserve">event outcomes were analysed using Kaplan-Meier curves and the log-rank test. Cox regression was used to adjust </w:t>
      </w:r>
      <w:r>
        <w:rPr>
          <w:rFonts w:eastAsia="Times New Roman" w:cstheme="minorHAnsi"/>
        </w:rPr>
        <w:t xml:space="preserve">the primary analysis of time to BSI </w:t>
      </w:r>
      <w:r w:rsidRPr="00A9102F">
        <w:rPr>
          <w:rFonts w:eastAsia="Times New Roman" w:cstheme="minorHAnsi"/>
        </w:rPr>
        <w:t xml:space="preserve">for </w:t>
      </w:r>
      <w:r>
        <w:rPr>
          <w:rFonts w:eastAsia="Times New Roman" w:cstheme="minorHAnsi"/>
        </w:rPr>
        <w:t xml:space="preserve">the use of </w:t>
      </w:r>
      <w:r w:rsidRPr="00A9102F">
        <w:rPr>
          <w:rFonts w:eastAsia="Times New Roman" w:cstheme="minorHAnsi"/>
        </w:rPr>
        <w:t>prospective or deferred consent and suspected infection at baseline</w:t>
      </w:r>
      <w:r>
        <w:rPr>
          <w:rFonts w:eastAsia="Times New Roman" w:cstheme="minorHAnsi"/>
        </w:rPr>
        <w:t>.</w:t>
      </w:r>
      <w:r w:rsidRPr="00A9102F">
        <w:rPr>
          <w:rFonts w:eastAsia="Times New Roman" w:cstheme="minorHAnsi"/>
        </w:rPr>
        <w:t xml:space="preserve"> </w:t>
      </w:r>
      <w:r>
        <w:rPr>
          <w:rFonts w:eastAsia="Times New Roman" w:cstheme="minorHAnsi"/>
        </w:rPr>
        <w:t xml:space="preserve">Poisson regression was used to analyse the </w:t>
      </w:r>
      <w:r w:rsidRPr="00A9102F">
        <w:rPr>
          <w:rFonts w:eastAsia="Times New Roman" w:cstheme="minorHAnsi"/>
        </w:rPr>
        <w:t>rate of BSI</w:t>
      </w:r>
      <w:r w:rsidRPr="00FE3A93">
        <w:rPr>
          <w:rFonts w:eastAsia="Times New Roman" w:cstheme="minorHAnsi"/>
        </w:rPr>
        <w:t>. All analyses were conducted using SAS software.</w:t>
      </w:r>
      <w:r>
        <w:rPr>
          <w:rFonts w:eastAsia="Times New Roman" w:cstheme="minorHAnsi"/>
        </w:rPr>
        <w:t xml:space="preserve"> </w:t>
      </w:r>
    </w:p>
    <w:p w:rsidR="006A57B2" w:rsidRDefault="006A57B2" w:rsidP="00B22173">
      <w:pPr>
        <w:pStyle w:val="Heading2"/>
        <w:spacing w:line="360" w:lineRule="auto"/>
        <w:rPr>
          <w:rFonts w:eastAsia="Times New Roman"/>
          <w:lang w:eastAsia="en-GB"/>
        </w:rPr>
      </w:pPr>
      <w:bookmarkStart w:id="17" w:name="_Toc418857468"/>
      <w:bookmarkStart w:id="18" w:name="_Toc428195149"/>
      <w:r>
        <w:rPr>
          <w:rFonts w:eastAsia="Times New Roman"/>
          <w:lang w:eastAsia="en-GB"/>
        </w:rPr>
        <w:t>Results</w:t>
      </w:r>
      <w:bookmarkEnd w:id="17"/>
      <w:bookmarkEnd w:id="18"/>
    </w:p>
    <w:p w:rsidR="006A57B2" w:rsidRPr="00183245" w:rsidRDefault="006A57B2" w:rsidP="00452F22">
      <w:pPr>
        <w:pStyle w:val="Heading4"/>
      </w:pPr>
      <w:r w:rsidRPr="00183245">
        <w:t>Study population</w:t>
      </w:r>
    </w:p>
    <w:p w:rsidR="006A57B2" w:rsidRPr="00970ED2" w:rsidRDefault="006A57B2" w:rsidP="00B22173">
      <w:pPr>
        <w:spacing w:line="360" w:lineRule="auto"/>
      </w:pPr>
      <w:r w:rsidRPr="00970ED2">
        <w:t xml:space="preserve">1859 children were </w:t>
      </w:r>
      <w:r>
        <w:t>randomised</w:t>
      </w:r>
      <w:r w:rsidRPr="00970ED2">
        <w:t xml:space="preserve">, of whom 501 children were </w:t>
      </w:r>
      <w:r>
        <w:t>randomised</w:t>
      </w:r>
      <w:r w:rsidRPr="00970ED2">
        <w:t xml:space="preserve"> prospectively. 13</w:t>
      </w:r>
      <w:r>
        <w:t>5</w:t>
      </w:r>
      <w:r w:rsidRPr="00970ED2">
        <w:t xml:space="preserve">8 were </w:t>
      </w:r>
      <w:r>
        <w:t>randomised</w:t>
      </w:r>
      <w:r w:rsidRPr="00970ED2">
        <w:t xml:space="preserve"> as an emergency and 984 of these subsequently provided deferred consent for </w:t>
      </w:r>
      <w:r>
        <w:t>follow-up</w:t>
      </w:r>
      <w:r w:rsidRPr="00970ED2">
        <w:t xml:space="preserve">. </w:t>
      </w:r>
    </w:p>
    <w:p w:rsidR="006A57B2" w:rsidRPr="00183245" w:rsidRDefault="006A57B2" w:rsidP="00452F22">
      <w:pPr>
        <w:pStyle w:val="Heading4"/>
      </w:pPr>
      <w:r w:rsidRPr="00183245">
        <w:t>Baseline characteristics</w:t>
      </w:r>
    </w:p>
    <w:p w:rsidR="006A57B2" w:rsidRPr="00970ED2" w:rsidRDefault="006A57B2" w:rsidP="00B22173">
      <w:pPr>
        <w:spacing w:line="360" w:lineRule="auto"/>
      </w:pPr>
      <w:r w:rsidRPr="00970ED2">
        <w:t xml:space="preserve">58% of children were aged </w:t>
      </w:r>
      <w:r>
        <w:t>&lt;</w:t>
      </w:r>
      <w:r w:rsidRPr="00970ED2">
        <w:t>12 months at admission</w:t>
      </w:r>
      <w:r>
        <w:t>;</w:t>
      </w:r>
      <w:r w:rsidRPr="00970ED2">
        <w:t xml:space="preserve"> </w:t>
      </w:r>
      <w:r>
        <w:t>33%</w:t>
      </w:r>
      <w:r w:rsidRPr="00970ED2">
        <w:t xml:space="preserve"> aged </w:t>
      </w:r>
      <w:r>
        <w:t>&lt;</w:t>
      </w:r>
      <w:r w:rsidRPr="00970ED2">
        <w:t xml:space="preserve">3 months. One third of children had surgery prior to admission to PICU and half had cardiovascular problems as their primary diagnosis at admission. </w:t>
      </w:r>
      <w:r>
        <w:t xml:space="preserve">CVC insertion took place in theatre </w:t>
      </w:r>
      <w:r w:rsidRPr="00970ED2">
        <w:t>for 437/493 (89%) in the prospective consent (elective) group, but in only 34/917 (4%) of the defe</w:t>
      </w:r>
      <w:r>
        <w:t>rred consent (emergency) group.</w:t>
      </w:r>
    </w:p>
    <w:p w:rsidR="006A57B2" w:rsidRPr="00183245" w:rsidRDefault="006A57B2" w:rsidP="00452F22">
      <w:pPr>
        <w:pStyle w:val="Heading4"/>
      </w:pPr>
      <w:r w:rsidRPr="00183245">
        <w:t>Endpoints</w:t>
      </w:r>
    </w:p>
    <w:p w:rsidR="006A57B2" w:rsidRPr="00970ED2" w:rsidRDefault="006A57B2" w:rsidP="00B22173">
      <w:pPr>
        <w:spacing w:line="360" w:lineRule="auto"/>
        <w:rPr>
          <w:i/>
        </w:rPr>
      </w:pPr>
      <w:r w:rsidRPr="00970ED2">
        <w:rPr>
          <w:i/>
        </w:rPr>
        <w:t>Primary outcome</w:t>
      </w:r>
    </w:p>
    <w:p w:rsidR="006A57B2" w:rsidRPr="00E74C0A" w:rsidRDefault="006A57B2" w:rsidP="00B22173">
      <w:pPr>
        <w:spacing w:line="360" w:lineRule="auto"/>
        <w:rPr>
          <w:rFonts w:eastAsia="Times New Roman" w:cs="Calibri"/>
          <w:color w:val="000000"/>
          <w:lang w:eastAsia="en-GB"/>
        </w:rPr>
      </w:pPr>
      <w:r w:rsidRPr="00E74C0A">
        <w:t xml:space="preserve">BSI was recorded for 42 children: standard 18/502 (3.59%); antibiotic 7/486 (1.44%); heparin 17/497 (3.42%). </w:t>
      </w:r>
      <w:r w:rsidRPr="00E74C0A">
        <w:rPr>
          <w:rFonts w:eastAsia="Times New Roman" w:cs="Calibri"/>
          <w:color w:val="000000"/>
          <w:lang w:eastAsia="en-GB"/>
        </w:rPr>
        <w:t>There was no significant difference in</w:t>
      </w:r>
      <w:r>
        <w:rPr>
          <w:rFonts w:eastAsia="Times New Roman" w:cs="Calibri"/>
          <w:color w:val="000000"/>
          <w:lang w:eastAsia="en-GB"/>
        </w:rPr>
        <w:t xml:space="preserve"> the primary outcome of</w:t>
      </w:r>
      <w:r w:rsidRPr="00E74C0A">
        <w:rPr>
          <w:rFonts w:eastAsia="Times New Roman" w:cs="Calibri"/>
          <w:color w:val="000000"/>
          <w:lang w:eastAsia="en-GB"/>
        </w:rPr>
        <w:t xml:space="preserve"> time to first BSI comparing any impregnated CVC with standard (HR 0.71; 95% CI 0.37, 1.34, p=0.29)</w:t>
      </w:r>
      <w:r>
        <w:rPr>
          <w:rFonts w:eastAsia="Times New Roman" w:cs="Calibri"/>
          <w:color w:val="000000"/>
          <w:lang w:eastAsia="en-GB"/>
        </w:rPr>
        <w:t>.</w:t>
      </w:r>
      <w:r w:rsidRPr="00E74C0A">
        <w:rPr>
          <w:rFonts w:eastAsia="Times New Roman" w:cs="Calibri"/>
          <w:color w:val="000000"/>
          <w:lang w:eastAsia="en-GB"/>
        </w:rPr>
        <w:t xml:space="preserve"> BSI risk was reduced for antibiotic compared with standard CVCs (HR 0.43; 95% CI 0.20, 0.96, p=0.04) and for antibiotic compared with heparin CVCs (HR 0.42; 95% CI 0.19, 0.93, p=0.03)</w:t>
      </w:r>
      <w:r>
        <w:rPr>
          <w:rFonts w:eastAsia="Times New Roman" w:cs="Calibri"/>
          <w:color w:val="000000"/>
          <w:lang w:eastAsia="en-GB"/>
        </w:rPr>
        <w:t xml:space="preserve"> but not for </w:t>
      </w:r>
      <w:r w:rsidRPr="00E74C0A">
        <w:rPr>
          <w:rFonts w:eastAsia="Times New Roman" w:cs="Calibri"/>
          <w:color w:val="000000"/>
          <w:lang w:eastAsia="en-GB"/>
        </w:rPr>
        <w:t xml:space="preserve">heparin </w:t>
      </w:r>
      <w:r>
        <w:rPr>
          <w:rFonts w:eastAsia="Times New Roman" w:cs="Calibri"/>
          <w:color w:val="000000"/>
          <w:lang w:eastAsia="en-GB"/>
        </w:rPr>
        <w:t xml:space="preserve">compared </w:t>
      </w:r>
      <w:r w:rsidRPr="00E74C0A">
        <w:rPr>
          <w:rFonts w:eastAsia="Times New Roman" w:cs="Calibri"/>
          <w:color w:val="000000"/>
          <w:lang w:eastAsia="en-GB"/>
        </w:rPr>
        <w:t xml:space="preserve">with standard (HR 1.04; 95% CI 0.53, 2.03, p=0.90). The risk difference in BSI comparing any impregnated CVC versus standard CVCs </w:t>
      </w:r>
      <w:r>
        <w:rPr>
          <w:rFonts w:eastAsia="Times New Roman" w:cs="Calibri"/>
          <w:color w:val="000000"/>
          <w:lang w:eastAsia="en-GB"/>
        </w:rPr>
        <w:t>was</w:t>
      </w:r>
      <w:r w:rsidRPr="00E74C0A">
        <w:rPr>
          <w:rFonts w:eastAsia="Times New Roman" w:cs="Calibri"/>
          <w:color w:val="000000"/>
          <w:lang w:eastAsia="en-GB"/>
        </w:rPr>
        <w:t xml:space="preserve">-1.14 (95% CI -3.04, 0.75); heparin versus standard -0.17 (95% CI -2.45, 2.12); antibiotic versus standard -2.15 (95% CI -4.09, -0.20) and antibiotic versus heparin -1.98 (95% CI -3.90, -0.06). </w:t>
      </w:r>
    </w:p>
    <w:p w:rsidR="006A57B2" w:rsidRPr="00E74C0A" w:rsidRDefault="006A57B2" w:rsidP="00B22173">
      <w:pPr>
        <w:spacing w:line="360" w:lineRule="auto"/>
        <w:rPr>
          <w:rFonts w:eastAsia="Times New Roman" w:cs="Calibri"/>
          <w:i/>
          <w:color w:val="000000"/>
          <w:lang w:eastAsia="en-GB"/>
        </w:rPr>
      </w:pPr>
      <w:r w:rsidRPr="00E74C0A">
        <w:rPr>
          <w:rFonts w:eastAsia="Times New Roman" w:cs="Calibri"/>
          <w:i/>
          <w:color w:val="000000"/>
          <w:lang w:eastAsia="en-GB"/>
        </w:rPr>
        <w:t>Secondary outcomes</w:t>
      </w:r>
    </w:p>
    <w:p w:rsidR="006A57B2" w:rsidRPr="00E74C0A" w:rsidRDefault="006A57B2" w:rsidP="00B22173">
      <w:pPr>
        <w:spacing w:line="360" w:lineRule="auto"/>
        <w:rPr>
          <w:rFonts w:eastAsia="Times New Roman" w:cs="Calibri"/>
          <w:lang w:eastAsia="en-GB"/>
        </w:rPr>
      </w:pPr>
      <w:r w:rsidRPr="00E74C0A">
        <w:rPr>
          <w:rFonts w:eastAsia="Times New Roman" w:cs="Calibri"/>
          <w:color w:val="000000"/>
          <w:lang w:eastAsia="en-GB"/>
        </w:rPr>
        <w:t>For CR-BSI, there was no significant difference between any impregnated and standard CVCs (p=0.13), but risk of CR-BSI was significantly lower for antibiotic v</w:t>
      </w:r>
      <w:r>
        <w:rPr>
          <w:rFonts w:eastAsia="Times New Roman" w:cs="Calibri"/>
          <w:color w:val="000000"/>
          <w:lang w:eastAsia="en-GB"/>
        </w:rPr>
        <w:t>ersu</w:t>
      </w:r>
      <w:r w:rsidRPr="00E74C0A">
        <w:rPr>
          <w:rFonts w:eastAsia="Times New Roman" w:cs="Calibri"/>
          <w:color w:val="000000"/>
          <w:lang w:eastAsia="en-GB"/>
        </w:rPr>
        <w:t xml:space="preserve">s standard CVC (p=0.03). There was no significant difference between antibiotic and heparin CVCs (p=0.09) or between heparin and standard CVCs (p=0.68). The BSI rate per 1000 CVC-days was lowest in the antibiotic group. </w:t>
      </w:r>
      <w:r w:rsidRPr="00E74C0A">
        <w:rPr>
          <w:rFonts w:eastAsia="Times New Roman" w:cs="Calibri"/>
          <w:lang w:eastAsia="en-GB"/>
        </w:rPr>
        <w:t>The composite measure of BSI or culture negative infection did not differ by CVC. No other secondary outcomes were associated with type of CVC.</w:t>
      </w:r>
    </w:p>
    <w:p w:rsidR="006A57B2" w:rsidRDefault="006A57B2" w:rsidP="00B22173">
      <w:pPr>
        <w:spacing w:line="360" w:lineRule="auto"/>
        <w:rPr>
          <w:i/>
        </w:rPr>
      </w:pPr>
    </w:p>
    <w:p w:rsidR="006A57B2" w:rsidRPr="00E74C0A" w:rsidRDefault="006A57B2" w:rsidP="00B22173">
      <w:pPr>
        <w:spacing w:line="360" w:lineRule="auto"/>
        <w:rPr>
          <w:i/>
        </w:rPr>
      </w:pPr>
      <w:r w:rsidRPr="00E74C0A">
        <w:rPr>
          <w:i/>
        </w:rPr>
        <w:t>Safety</w:t>
      </w:r>
    </w:p>
    <w:p w:rsidR="006A57B2" w:rsidRPr="00E74C0A" w:rsidRDefault="006A57B2" w:rsidP="00B22173">
      <w:pPr>
        <w:spacing w:line="360" w:lineRule="auto"/>
        <w:rPr>
          <w:rFonts w:eastAsia="Times New Roman" w:cs="Calibri"/>
          <w:color w:val="000000"/>
          <w:lang w:eastAsia="en-GB"/>
        </w:rPr>
      </w:pPr>
      <w:r w:rsidRPr="00E74C0A">
        <w:t xml:space="preserve">No </w:t>
      </w:r>
      <w:r w:rsidRPr="00E74C0A">
        <w:rPr>
          <w:rFonts w:eastAsia="Times New Roman" w:cs="Calibri"/>
          <w:color w:val="000000"/>
          <w:lang w:eastAsia="en-GB"/>
        </w:rPr>
        <w:t>CVC-related adverse events (31 events) or mortality (148 events) were attributed to type of CVC. Only 12</w:t>
      </w:r>
      <w:r>
        <w:rPr>
          <w:rFonts w:eastAsia="Times New Roman" w:cs="Calibri"/>
          <w:color w:val="000000"/>
          <w:lang w:eastAsia="en-GB"/>
        </w:rPr>
        <w:t>/</w:t>
      </w:r>
      <w:r w:rsidRPr="00E74C0A">
        <w:rPr>
          <w:rFonts w:eastAsia="Times New Roman" w:cs="Calibri"/>
          <w:color w:val="000000"/>
          <w:lang w:eastAsia="en-GB"/>
        </w:rPr>
        <w:t>42 children with the primary outcome BSI had minocycline and rifampicin resistance reported using etest strips; 8/12 were resistant, in each case to both antibiotics (3/5 standard; 2/2 antibiotic; 3/5 heparin).</w:t>
      </w:r>
    </w:p>
    <w:p w:rsidR="006A57B2" w:rsidRPr="00E74C0A" w:rsidRDefault="006A57B2" w:rsidP="00C32DB6">
      <w:pPr>
        <w:rPr>
          <w:lang w:eastAsia="en-GB"/>
        </w:rPr>
      </w:pPr>
    </w:p>
    <w:p w:rsidR="006A57B2" w:rsidRPr="00E74C0A" w:rsidRDefault="006A57B2">
      <w:pPr>
        <w:spacing w:after="0" w:line="240" w:lineRule="auto"/>
        <w:rPr>
          <w:rFonts w:eastAsiaTheme="majorEastAsia" w:cstheme="majorBidi"/>
          <w:b/>
          <w:bCs/>
          <w:color w:val="5B9BD5" w:themeColor="accent1"/>
          <w:sz w:val="26"/>
          <w:szCs w:val="26"/>
          <w:lang w:eastAsia="en-GB"/>
        </w:rPr>
      </w:pPr>
      <w:r w:rsidRPr="00E74C0A">
        <w:rPr>
          <w:lang w:eastAsia="en-GB"/>
        </w:rPr>
        <w:br w:type="page"/>
      </w:r>
    </w:p>
    <w:p w:rsidR="006A57B2" w:rsidRDefault="006A57B2" w:rsidP="00B22173">
      <w:pPr>
        <w:pStyle w:val="Heading2"/>
        <w:spacing w:line="360" w:lineRule="auto"/>
        <w:rPr>
          <w:lang w:eastAsia="en-GB"/>
        </w:rPr>
      </w:pPr>
      <w:bookmarkStart w:id="19" w:name="_Toc418857469"/>
      <w:bookmarkStart w:id="20" w:name="_Toc428195150"/>
      <w:r w:rsidRPr="00F331A5">
        <w:rPr>
          <w:lang w:eastAsia="en-GB"/>
        </w:rPr>
        <w:t>2) COST-EFFECTIVENESS</w:t>
      </w:r>
      <w:bookmarkEnd w:id="19"/>
      <w:bookmarkEnd w:id="20"/>
    </w:p>
    <w:p w:rsidR="006A57B2" w:rsidRPr="00385EC7" w:rsidRDefault="006A57B2" w:rsidP="003A46A5">
      <w:pPr>
        <w:rPr>
          <w:lang w:eastAsia="en-GB"/>
        </w:rPr>
      </w:pPr>
      <w:r>
        <w:rPr>
          <w:lang w:eastAsia="en-GB"/>
        </w:rPr>
        <w:t xml:space="preserve">We determined the cost-effectiveness of type of CVC per BSI averted using individual level data on hospital use captured on study participants. </w:t>
      </w:r>
    </w:p>
    <w:p w:rsidR="006A57B2" w:rsidRPr="00670977" w:rsidRDefault="006A57B2" w:rsidP="00B22173">
      <w:pPr>
        <w:pStyle w:val="Heading2"/>
        <w:spacing w:line="360" w:lineRule="auto"/>
        <w:rPr>
          <w:rFonts w:eastAsia="Times New Roman"/>
          <w:lang w:eastAsia="en-GB"/>
        </w:rPr>
      </w:pPr>
      <w:bookmarkStart w:id="21" w:name="_Toc418857470"/>
      <w:bookmarkStart w:id="22" w:name="_Toc428195151"/>
      <w:r w:rsidRPr="00966601">
        <w:rPr>
          <w:rFonts w:eastAsia="Times New Roman"/>
          <w:lang w:eastAsia="en-GB"/>
        </w:rPr>
        <w:t>Methods</w:t>
      </w:r>
      <w:bookmarkEnd w:id="21"/>
      <w:bookmarkEnd w:id="22"/>
    </w:p>
    <w:p w:rsidR="006A57B2" w:rsidRPr="00C579BF" w:rsidRDefault="006A57B2" w:rsidP="00B22173">
      <w:pPr>
        <w:spacing w:line="360" w:lineRule="auto"/>
        <w:contextualSpacing/>
        <w:rPr>
          <w:b/>
        </w:rPr>
      </w:pPr>
      <w:r w:rsidRPr="00C579BF">
        <w:rPr>
          <w:b/>
        </w:rPr>
        <w:t>Resource use and costs</w:t>
      </w:r>
    </w:p>
    <w:p w:rsidR="006A57B2" w:rsidRDefault="006A57B2" w:rsidP="00B22173">
      <w:pPr>
        <w:spacing w:line="360" w:lineRule="auto"/>
      </w:pPr>
      <w:r>
        <w:t xml:space="preserve">We assumed that </w:t>
      </w:r>
      <w:r w:rsidRPr="00C579BF">
        <w:t>inpatient hospital co</w:t>
      </w:r>
      <w:r>
        <w:t>sts would capture the main cost-</w:t>
      </w:r>
      <w:r w:rsidRPr="00C579BF">
        <w:t xml:space="preserve">drivers and the greatest proportion of direct medical costs. The time horizon </w:t>
      </w:r>
      <w:r>
        <w:t xml:space="preserve">aimed to </w:t>
      </w:r>
      <w:r w:rsidRPr="00C579BF">
        <w:t xml:space="preserve">include costs associated with managing </w:t>
      </w:r>
      <w:r>
        <w:t>BSI and was</w:t>
      </w:r>
      <w:r w:rsidRPr="00C579BF">
        <w:t xml:space="preserve"> defined as </w:t>
      </w:r>
      <w:r>
        <w:t>6 months post-</w:t>
      </w:r>
      <w:r w:rsidRPr="00C579BF">
        <w:t xml:space="preserve">randomisation </w:t>
      </w:r>
      <w:r>
        <w:t>(or death).</w:t>
      </w:r>
    </w:p>
    <w:p w:rsidR="006A57B2" w:rsidRPr="00C579BF" w:rsidRDefault="006A57B2" w:rsidP="00B22173">
      <w:pPr>
        <w:spacing w:line="360" w:lineRule="auto"/>
      </w:pPr>
      <w:r>
        <w:t>Resource use was evaluated using</w:t>
      </w:r>
      <w:r w:rsidRPr="00C579BF">
        <w:t>:</w:t>
      </w:r>
    </w:p>
    <w:p w:rsidR="006A57B2" w:rsidRPr="00C579BF" w:rsidRDefault="006A57B2" w:rsidP="00B22173">
      <w:pPr>
        <w:numPr>
          <w:ilvl w:val="0"/>
          <w:numId w:val="7"/>
        </w:numPr>
        <w:spacing w:line="360" w:lineRule="auto"/>
        <w:contextualSpacing/>
      </w:pPr>
      <w:r>
        <w:t xml:space="preserve">Trial case report forms (CRFs) </w:t>
      </w:r>
      <w:r w:rsidRPr="00C579BF">
        <w:t>record</w:t>
      </w:r>
      <w:r>
        <w:t>ing</w:t>
      </w:r>
      <w:r w:rsidRPr="00C579BF">
        <w:t xml:space="preserve"> </w:t>
      </w:r>
      <w:r>
        <w:t>admission and transfer/discharge dates for PICUs</w:t>
      </w:r>
      <w:r w:rsidRPr="00C579BF">
        <w:t xml:space="preserve">, high dependency units </w:t>
      </w:r>
      <w:r>
        <w:t xml:space="preserve">(HDUs) </w:t>
      </w:r>
      <w:r w:rsidRPr="00C579BF">
        <w:t xml:space="preserve">and paediatric wards within </w:t>
      </w:r>
      <w:r>
        <w:t xml:space="preserve">participating </w:t>
      </w:r>
      <w:r w:rsidRPr="00C579BF">
        <w:t xml:space="preserve">hospitals. </w:t>
      </w:r>
    </w:p>
    <w:p w:rsidR="006A57B2" w:rsidRDefault="006A57B2" w:rsidP="00B22173">
      <w:pPr>
        <w:numPr>
          <w:ilvl w:val="0"/>
          <w:numId w:val="7"/>
        </w:numPr>
        <w:spacing w:line="360" w:lineRule="auto"/>
        <w:contextualSpacing/>
      </w:pPr>
      <w:r w:rsidRPr="00C579BF">
        <w:t>Ho</w:t>
      </w:r>
      <w:r>
        <w:t>spital Episode Statistics (HES)</w:t>
      </w:r>
      <w:r w:rsidRPr="00662F77">
        <w:rPr>
          <w:vertAlign w:val="superscript"/>
        </w:rPr>
        <w:t xml:space="preserve"> </w:t>
      </w:r>
      <w:r w:rsidRPr="00C579BF">
        <w:t>contain</w:t>
      </w:r>
      <w:r>
        <w:t xml:space="preserve">ing health resource groups (HRGs) for </w:t>
      </w:r>
      <w:r w:rsidRPr="00C579BF">
        <w:t>admissions to NHS hospitals in England.</w:t>
      </w:r>
      <w:r>
        <w:t xml:space="preserve"> </w:t>
      </w:r>
    </w:p>
    <w:p w:rsidR="006A57B2" w:rsidRDefault="006A57B2" w:rsidP="00B22173">
      <w:pPr>
        <w:numPr>
          <w:ilvl w:val="0"/>
          <w:numId w:val="7"/>
        </w:numPr>
        <w:spacing w:line="360" w:lineRule="auto"/>
        <w:contextualSpacing/>
      </w:pPr>
      <w:r>
        <w:t xml:space="preserve">PICANet, containing length of stay and HRGs for HDU and PICU admissions. </w:t>
      </w:r>
    </w:p>
    <w:p w:rsidR="006A57B2" w:rsidRDefault="006A57B2" w:rsidP="00B22173">
      <w:pPr>
        <w:numPr>
          <w:ilvl w:val="0"/>
          <w:numId w:val="7"/>
        </w:numPr>
        <w:spacing w:line="360" w:lineRule="auto"/>
        <w:contextualSpacing/>
      </w:pPr>
      <w:r w:rsidRPr="00C579BF">
        <w:t xml:space="preserve">Hospital Patient Administration Systems (PAS) of </w:t>
      </w:r>
      <w:r>
        <w:t>participating hospitals, capturing length</w:t>
      </w:r>
      <w:r w:rsidRPr="00C579BF">
        <w:t xml:space="preserve"> of stay </w:t>
      </w:r>
      <w:r>
        <w:t xml:space="preserve">and HRGs </w:t>
      </w:r>
      <w:r w:rsidRPr="00C579BF">
        <w:t xml:space="preserve">in </w:t>
      </w:r>
      <w:r>
        <w:t>P</w:t>
      </w:r>
      <w:r w:rsidRPr="00C579BF">
        <w:t>ICUs and wards.</w:t>
      </w:r>
    </w:p>
    <w:p w:rsidR="006A57B2" w:rsidRPr="00C579BF" w:rsidRDefault="006A57B2" w:rsidP="00B22173">
      <w:pPr>
        <w:spacing w:line="360" w:lineRule="auto"/>
        <w:ind w:left="1080"/>
        <w:contextualSpacing/>
      </w:pPr>
    </w:p>
    <w:p w:rsidR="006A57B2" w:rsidRPr="00C579BF" w:rsidRDefault="006A57B2" w:rsidP="00B22173">
      <w:pPr>
        <w:spacing w:line="360" w:lineRule="auto"/>
      </w:pPr>
      <w:r w:rsidRPr="00C579BF">
        <w:t xml:space="preserve">The primary cost analysis was based on CRF </w:t>
      </w:r>
      <w:r>
        <w:t>and</w:t>
      </w:r>
      <w:r w:rsidRPr="00C579BF">
        <w:t xml:space="preserve"> PAS, with 6-month costs taken from HES, supplemented with</w:t>
      </w:r>
      <w:r>
        <w:t xml:space="preserve"> </w:t>
      </w:r>
      <w:r w:rsidRPr="00C579BF">
        <w:t>H</w:t>
      </w:r>
      <w:r>
        <w:t>D</w:t>
      </w:r>
      <w:r w:rsidRPr="00C579BF">
        <w:t>U</w:t>
      </w:r>
      <w:r>
        <w:t xml:space="preserve"> </w:t>
      </w:r>
      <w:r w:rsidRPr="00C579BF">
        <w:t xml:space="preserve">and </w:t>
      </w:r>
      <w:r>
        <w:t>intensive care unit (</w:t>
      </w:r>
      <w:r w:rsidRPr="00C579BF">
        <w:t>ICU</w:t>
      </w:r>
      <w:r>
        <w:t>)</w:t>
      </w:r>
      <w:r w:rsidRPr="00C579BF">
        <w:t xml:space="preserve"> data from PICANet. Total individual patient costs were calculated from</w:t>
      </w:r>
      <w:r>
        <w:t xml:space="preserve"> the sum of their bundled (ward) </w:t>
      </w:r>
      <w:r w:rsidRPr="00C579BF">
        <w:t xml:space="preserve">HRGs coded from the National Tariff and their unbundled (ICU/HDU) codes taken from the National </w:t>
      </w:r>
      <w:r w:rsidRPr="003C2A3B">
        <w:t>Schedule</w:t>
      </w:r>
      <w:r>
        <w:t>.</w:t>
      </w:r>
    </w:p>
    <w:p w:rsidR="006A57B2" w:rsidRPr="00F406BC" w:rsidRDefault="006A57B2" w:rsidP="00452F22">
      <w:pPr>
        <w:pStyle w:val="Heading4"/>
      </w:pPr>
      <w:r w:rsidRPr="00F406BC">
        <w:t>Incremental analysis</w:t>
      </w:r>
    </w:p>
    <w:p w:rsidR="006A57B2" w:rsidRPr="00C579BF" w:rsidRDefault="006A57B2" w:rsidP="00B22173">
      <w:pPr>
        <w:spacing w:line="360" w:lineRule="auto"/>
      </w:pPr>
      <w:r w:rsidRPr="00C579BF">
        <w:t xml:space="preserve">The cost-effectiveness of </w:t>
      </w:r>
      <w:r w:rsidRPr="00FF11BF">
        <w:t>each type of CVC was evaluated by: i) ranking type of CVC</w:t>
      </w:r>
      <w:r w:rsidRPr="00C579BF">
        <w:t xml:space="preserve"> according to decreasing effectiveness</w:t>
      </w:r>
      <w:r>
        <w:t>;</w:t>
      </w:r>
      <w:r w:rsidRPr="00C579BF">
        <w:t xml:space="preserve"> ii) eliminating </w:t>
      </w:r>
      <w:r>
        <w:t xml:space="preserve">ineffective or </w:t>
      </w:r>
      <w:r w:rsidRPr="00C579BF">
        <w:t xml:space="preserve">dominated interventions (those which are less effective, but more costly than others). The incremental </w:t>
      </w:r>
      <w:r>
        <w:t>cost-effectiveness</w:t>
      </w:r>
      <w:r w:rsidRPr="00C579BF">
        <w:t xml:space="preserve"> ratio (ICER) for remaining CVCs was calculated</w:t>
      </w:r>
      <w:r>
        <w:t xml:space="preserve"> as </w:t>
      </w:r>
      <w:r w:rsidRPr="00C579BF">
        <w:t xml:space="preserve">the difference in </w:t>
      </w:r>
      <w:r>
        <w:t xml:space="preserve">adjusted </w:t>
      </w:r>
      <w:r w:rsidRPr="00C579BF">
        <w:t xml:space="preserve">total costs </w:t>
      </w:r>
      <w:r>
        <w:t xml:space="preserve">divided by </w:t>
      </w:r>
      <w:r w:rsidRPr="00C579BF">
        <w:t xml:space="preserve">the difference in </w:t>
      </w:r>
      <w:r>
        <w:t>BSI</w:t>
      </w:r>
      <w:r w:rsidRPr="00C579BF">
        <w:t>.</w:t>
      </w:r>
      <w:r>
        <w:t xml:space="preserve"> </w:t>
      </w:r>
    </w:p>
    <w:p w:rsidR="006A57B2" w:rsidRDefault="006A57B2" w:rsidP="00B22173">
      <w:pPr>
        <w:spacing w:line="360" w:lineRule="auto"/>
      </w:pPr>
      <w:r w:rsidRPr="00C579BF">
        <w:t>A cost-effectiveness acceptability curve (CEAC) was generated</w:t>
      </w:r>
      <w:r>
        <w:t>, using bootstrapping to account for the joint uncertainty in costs and outcomes</w:t>
      </w:r>
      <w:r w:rsidRPr="00C579BF">
        <w:t xml:space="preserve">. </w:t>
      </w:r>
    </w:p>
    <w:p w:rsidR="006A57B2" w:rsidRPr="008A5A4C" w:rsidRDefault="006A57B2" w:rsidP="00452F22">
      <w:pPr>
        <w:pStyle w:val="Heading4"/>
      </w:pPr>
      <w:r>
        <w:t>Value of healthcare resources associated with BSI</w:t>
      </w:r>
    </w:p>
    <w:p w:rsidR="006A57B2" w:rsidRDefault="006A57B2" w:rsidP="00385EC7">
      <w:pPr>
        <w:spacing w:line="360" w:lineRule="auto"/>
      </w:pPr>
      <w:r>
        <w:t>The value of healthcare resources associated with BSI was estimated using generalised linear regression to model total post-randomisation costs, adjusting for significant pre-specified baseline variables.</w:t>
      </w:r>
    </w:p>
    <w:p w:rsidR="006A57B2" w:rsidRPr="00C579BF" w:rsidRDefault="006A57B2" w:rsidP="00B22173">
      <w:pPr>
        <w:spacing w:line="360" w:lineRule="auto"/>
      </w:pPr>
      <w:r w:rsidRPr="00C579BF">
        <w:t>All analyses were performed using STATA Version 10.</w:t>
      </w:r>
    </w:p>
    <w:p w:rsidR="006A57B2" w:rsidRDefault="006A57B2" w:rsidP="00B22173">
      <w:pPr>
        <w:pStyle w:val="Heading2"/>
        <w:spacing w:line="360" w:lineRule="auto"/>
        <w:rPr>
          <w:rFonts w:eastAsia="Times New Roman"/>
          <w:lang w:eastAsia="en-GB"/>
        </w:rPr>
      </w:pPr>
      <w:bookmarkStart w:id="23" w:name="_Toc418857471"/>
      <w:bookmarkStart w:id="24" w:name="_Toc428195152"/>
      <w:r>
        <w:rPr>
          <w:rFonts w:eastAsia="Times New Roman"/>
          <w:lang w:eastAsia="en-GB"/>
        </w:rPr>
        <w:t>Results</w:t>
      </w:r>
      <w:bookmarkEnd w:id="23"/>
      <w:bookmarkEnd w:id="24"/>
    </w:p>
    <w:p w:rsidR="006A57B2" w:rsidRPr="00AC5FE1" w:rsidRDefault="006A57B2" w:rsidP="00F97EA0">
      <w:pPr>
        <w:spacing w:line="360" w:lineRule="auto"/>
      </w:pPr>
      <w:r w:rsidRPr="00AC5FE1">
        <w:t>The average post-randomisation stay in PICU was 10.5 days (95% CI 9.</w:t>
      </w:r>
      <w:r>
        <w:t>2</w:t>
      </w:r>
      <w:r w:rsidRPr="00AC5FE1">
        <w:t>, 11.</w:t>
      </w:r>
      <w:r>
        <w:t>9</w:t>
      </w:r>
      <w:r w:rsidRPr="00AC5FE1">
        <w:t>) for standard CVCs, 10.</w:t>
      </w:r>
      <w:r>
        <w:t>8</w:t>
      </w:r>
      <w:r w:rsidRPr="00AC5FE1">
        <w:t xml:space="preserve"> days (95% CI 9.</w:t>
      </w:r>
      <w:r>
        <w:t>3</w:t>
      </w:r>
      <w:r w:rsidRPr="00AC5FE1">
        <w:t>, 12.</w:t>
      </w:r>
      <w:r>
        <w:t>5</w:t>
      </w:r>
      <w:r w:rsidRPr="00AC5FE1">
        <w:t>) for antibiotic and 9.9 days (95% CI 8.</w:t>
      </w:r>
      <w:r>
        <w:t>6</w:t>
      </w:r>
      <w:r w:rsidRPr="00AC5FE1">
        <w:t>, 11.</w:t>
      </w:r>
      <w:r>
        <w:t>4</w:t>
      </w:r>
      <w:r w:rsidRPr="00AC5FE1">
        <w:t xml:space="preserve">) for heparin. There were no significant differences in length of stay </w:t>
      </w:r>
      <w:r>
        <w:t>by</w:t>
      </w:r>
      <w:r w:rsidRPr="00AC5FE1">
        <w:t xml:space="preserve"> CVC, either in PICU (p=0.61), HDU (p=0.73), or ward (p=0.54).</w:t>
      </w:r>
    </w:p>
    <w:p w:rsidR="006A57B2" w:rsidRPr="00AC5FE1" w:rsidRDefault="006A57B2" w:rsidP="00F97EA0">
      <w:pPr>
        <w:spacing w:line="360" w:lineRule="auto"/>
      </w:pPr>
      <w:r w:rsidRPr="00AC5FE1">
        <w:t xml:space="preserve">Mean 6-month </w:t>
      </w:r>
      <w:r w:rsidRPr="00FF11BF">
        <w:t>unadjusted</w:t>
      </w:r>
      <w:r>
        <w:t xml:space="preserve"> </w:t>
      </w:r>
      <w:r w:rsidRPr="00AC5FE1">
        <w:t>costs per patient were £44,503 (95% CI £40,</w:t>
      </w:r>
      <w:r>
        <w:t>554</w:t>
      </w:r>
      <w:r w:rsidRPr="00AC5FE1">
        <w:t>, £48,</w:t>
      </w:r>
      <w:r>
        <w:t>776</w:t>
      </w:r>
      <w:r w:rsidRPr="00AC5FE1">
        <w:t>) for standard CVCs, £45,663 (95% CI £41,</w:t>
      </w:r>
      <w:r>
        <w:t>600</w:t>
      </w:r>
      <w:r w:rsidRPr="00AC5FE1">
        <w:t>, £49,</w:t>
      </w:r>
      <w:r>
        <w:t>994</w:t>
      </w:r>
      <w:r w:rsidRPr="00AC5FE1">
        <w:t>) for antibiotic and £42,065 (95% CI £38,</w:t>
      </w:r>
      <w:r>
        <w:t>220</w:t>
      </w:r>
      <w:r w:rsidRPr="00AC5FE1">
        <w:t>, £4</w:t>
      </w:r>
      <w:r>
        <w:t>6</w:t>
      </w:r>
      <w:r w:rsidRPr="00AC5FE1">
        <w:t>,</w:t>
      </w:r>
      <w:r>
        <w:t>246</w:t>
      </w:r>
      <w:r w:rsidRPr="00AC5FE1">
        <w:t>) for heparin</w:t>
      </w:r>
      <w:r>
        <w:t>, and</w:t>
      </w:r>
      <w:r w:rsidRPr="003E17DC">
        <w:t xml:space="preserve"> </w:t>
      </w:r>
      <w:r w:rsidRPr="00AC5FE1">
        <w:t xml:space="preserve">were not significantly different by CVC type (p=0.46). </w:t>
      </w:r>
      <w:r>
        <w:t>Six</w:t>
      </w:r>
      <w:r w:rsidRPr="00AC5FE1">
        <w:t xml:space="preserve">-month </w:t>
      </w:r>
      <w:r>
        <w:t xml:space="preserve">incremental </w:t>
      </w:r>
      <w:r w:rsidRPr="00AC5FE1">
        <w:t xml:space="preserve">costs were </w:t>
      </w:r>
      <w:r>
        <w:t>positive</w:t>
      </w:r>
      <w:r w:rsidRPr="00AC5FE1">
        <w:t xml:space="preserve"> (£1,</w:t>
      </w:r>
      <w:r>
        <w:t>160</w:t>
      </w:r>
      <w:r w:rsidRPr="00AC5FE1">
        <w:t>; 95% CI -£4,</w:t>
      </w:r>
      <w:r>
        <w:t>743</w:t>
      </w:r>
      <w:r w:rsidRPr="00AC5FE1">
        <w:t>, £</w:t>
      </w:r>
      <w:r>
        <w:t>6,962</w:t>
      </w:r>
      <w:r w:rsidRPr="00AC5FE1">
        <w:t xml:space="preserve">) for antibiotic and </w:t>
      </w:r>
      <w:r>
        <w:t>negative</w:t>
      </w:r>
      <w:r w:rsidRPr="00AC5FE1">
        <w:t xml:space="preserve"> (-£2,</w:t>
      </w:r>
      <w:r>
        <w:t>439;</w:t>
      </w:r>
      <w:r w:rsidRPr="00AC5FE1">
        <w:t xml:space="preserve"> 95% CI, -£</w:t>
      </w:r>
      <w:r>
        <w:t>8,164,</w:t>
      </w:r>
      <w:r w:rsidRPr="00AC5FE1">
        <w:t xml:space="preserve"> £3,</w:t>
      </w:r>
      <w:r>
        <w:t>359</w:t>
      </w:r>
      <w:r w:rsidRPr="00AC5FE1">
        <w:t xml:space="preserve">) for heparin compared with standard CVCs. </w:t>
      </w:r>
    </w:p>
    <w:p w:rsidR="006A57B2" w:rsidRDefault="006A57B2" w:rsidP="00F97EA0">
      <w:pPr>
        <w:spacing w:line="360" w:lineRule="auto"/>
      </w:pPr>
      <w:r w:rsidRPr="00FF11BF">
        <w:t xml:space="preserve">As heparin CVCs were shown not to be clinically effective when compared to standard CVCs, the incremental cost-effectiveness ratio was limited to antibiotic </w:t>
      </w:r>
      <w:r w:rsidRPr="00951266">
        <w:t xml:space="preserve">compared with </w:t>
      </w:r>
      <w:r w:rsidRPr="00FF11BF">
        <w:t>standard CVCs.</w:t>
      </w:r>
      <w:r>
        <w:t xml:space="preserve"> </w:t>
      </w:r>
      <w:r w:rsidRPr="00AC5FE1">
        <w:t>The incremental cost-effectiveness ratio for the 6-month timeframe was £54,057 per BSI averted with antibiotic versus standard CVCs</w:t>
      </w:r>
      <w:r>
        <w:t>, with a probability of 0.35 for antibiotic CVCs being cost saving or dominant</w:t>
      </w:r>
      <w:r w:rsidRPr="00AC5FE1">
        <w:t xml:space="preserve">. </w:t>
      </w:r>
    </w:p>
    <w:p w:rsidR="006A57B2" w:rsidRDefault="006A57B2" w:rsidP="00F97EA0">
      <w:pPr>
        <w:spacing w:line="360" w:lineRule="auto"/>
      </w:pPr>
      <w:r>
        <w:t>Costs were very sensitive to time horizon of analysis. Limiting the analysis to</w:t>
      </w:r>
      <w:r w:rsidRPr="00AC5FE1">
        <w:t xml:space="preserve"> costs </w:t>
      </w:r>
      <w:r>
        <w:t>associated with</w:t>
      </w:r>
      <w:r w:rsidRPr="00AC5FE1">
        <w:t xml:space="preserve"> the index stay</w:t>
      </w:r>
      <w:r>
        <w:t xml:space="preserve"> only,</w:t>
      </w:r>
      <w:r w:rsidRPr="00AC5FE1">
        <w:t xml:space="preserve"> </w:t>
      </w:r>
      <w:r>
        <w:t xml:space="preserve">resulted in </w:t>
      </w:r>
      <w:r w:rsidRPr="00AC5FE1">
        <w:t>antibiotic CVCs dominat</w:t>
      </w:r>
      <w:r>
        <w:t>ing</w:t>
      </w:r>
      <w:r w:rsidRPr="00AC5FE1">
        <w:t xml:space="preserve"> standard CVCs with a saving of £97,543 per BSI averted.</w:t>
      </w:r>
      <w:r>
        <w:t xml:space="preserve"> The break-even point for the costs of antibiotic and standard CVCs was 122 days post randomisation.</w:t>
      </w:r>
    </w:p>
    <w:p w:rsidR="006A57B2" w:rsidRDefault="006A57B2" w:rsidP="00F97EA0">
      <w:pPr>
        <w:spacing w:line="360" w:lineRule="auto"/>
      </w:pPr>
      <w:r w:rsidRPr="00FF11BF">
        <w:t xml:space="preserve">The value of healthcare resources associated </w:t>
      </w:r>
      <w:r w:rsidR="007A29ED">
        <w:t>with managing each BSI, estimated from the regression analysis, was</w:t>
      </w:r>
      <w:r w:rsidRPr="00AC5FE1">
        <w:t xml:space="preserve"> £10,975 (95% CI -£-2801, £24,751).</w:t>
      </w:r>
    </w:p>
    <w:p w:rsidR="006A57B2" w:rsidRDefault="006A57B2" w:rsidP="00C32DB6"/>
    <w:p w:rsidR="006A57B2" w:rsidRDefault="006A57B2" w:rsidP="00C32DB6"/>
    <w:p w:rsidR="006A57B2" w:rsidRDefault="006A57B2" w:rsidP="00C32DB6"/>
    <w:p w:rsidR="006A57B2" w:rsidRDefault="006A57B2" w:rsidP="00F47EB8"/>
    <w:p w:rsidR="006A57B2" w:rsidRDefault="006A57B2" w:rsidP="00B22173">
      <w:pPr>
        <w:pStyle w:val="Heading2"/>
        <w:spacing w:line="360" w:lineRule="auto"/>
        <w:rPr>
          <w:lang w:eastAsia="en-GB"/>
        </w:rPr>
      </w:pPr>
      <w:bookmarkStart w:id="25" w:name="_Toc418857472"/>
      <w:bookmarkStart w:id="26" w:name="_Toc428195153"/>
      <w:r w:rsidRPr="00F331A5">
        <w:rPr>
          <w:lang w:eastAsia="en-GB"/>
        </w:rPr>
        <w:t xml:space="preserve">3) GENERALISABILITY </w:t>
      </w:r>
      <w:r>
        <w:rPr>
          <w:lang w:eastAsia="en-GB"/>
        </w:rPr>
        <w:t>AND COST-IMPACT</w:t>
      </w:r>
      <w:bookmarkEnd w:id="25"/>
      <w:bookmarkEnd w:id="26"/>
    </w:p>
    <w:p w:rsidR="006A57B2" w:rsidRPr="00884A7E" w:rsidRDefault="006A57B2" w:rsidP="00F47EB8">
      <w:pPr>
        <w:spacing w:line="360" w:lineRule="auto"/>
        <w:rPr>
          <w:lang w:eastAsia="en-GB"/>
        </w:rPr>
      </w:pPr>
      <w:r>
        <w:rPr>
          <w:lang w:eastAsia="en-GB"/>
        </w:rPr>
        <w:t>The generalisability and cost-impact analysis aimed to inform adoption of antibiotic CVCs for all children who need them during admission to PICUs in England.</w:t>
      </w:r>
    </w:p>
    <w:p w:rsidR="006A57B2" w:rsidRPr="00670977" w:rsidRDefault="006A57B2" w:rsidP="00B22173">
      <w:pPr>
        <w:pStyle w:val="Heading2"/>
        <w:spacing w:line="360" w:lineRule="auto"/>
        <w:rPr>
          <w:rFonts w:eastAsia="Times New Roman"/>
          <w:lang w:eastAsia="en-GB"/>
        </w:rPr>
      </w:pPr>
      <w:bookmarkStart w:id="27" w:name="_Toc418857473"/>
      <w:bookmarkStart w:id="28" w:name="_Toc428195154"/>
      <w:r w:rsidRPr="00966601">
        <w:rPr>
          <w:rFonts w:eastAsia="Times New Roman"/>
          <w:lang w:eastAsia="en-GB"/>
        </w:rPr>
        <w:t>Methods</w:t>
      </w:r>
      <w:bookmarkEnd w:id="27"/>
      <w:bookmarkEnd w:id="28"/>
    </w:p>
    <w:p w:rsidR="006A57B2" w:rsidRPr="00473C43" w:rsidRDefault="006A57B2" w:rsidP="00452F22">
      <w:pPr>
        <w:pStyle w:val="Heading4"/>
        <w:rPr>
          <w:lang w:eastAsia="en-GB"/>
        </w:rPr>
      </w:pPr>
      <w:r w:rsidRPr="00473C43">
        <w:rPr>
          <w:lang w:eastAsia="en-GB"/>
        </w:rPr>
        <w:t xml:space="preserve">Generalisability </w:t>
      </w:r>
      <w:r>
        <w:rPr>
          <w:lang w:eastAsia="en-GB"/>
        </w:rPr>
        <w:t>a</w:t>
      </w:r>
      <w:r w:rsidRPr="00473C43">
        <w:rPr>
          <w:lang w:eastAsia="en-GB"/>
        </w:rPr>
        <w:t>nalysis</w:t>
      </w:r>
    </w:p>
    <w:p w:rsidR="006A57B2" w:rsidRDefault="006A57B2">
      <w:pPr>
        <w:spacing w:line="360" w:lineRule="auto"/>
        <w:rPr>
          <w:lang w:eastAsia="en-GB"/>
        </w:rPr>
      </w:pPr>
      <w:r>
        <w:rPr>
          <w:lang w:eastAsia="en-GB"/>
        </w:rPr>
        <w:t>We determined the generalisability of the CATCH findings to the baseline risk of BSI in children with a CVC across PICUs in England. R</w:t>
      </w:r>
      <w:r w:rsidRPr="00FD0470">
        <w:rPr>
          <w:lang w:eastAsia="en-GB"/>
        </w:rPr>
        <w:t>ates of BSI in all children</w:t>
      </w:r>
      <w:r>
        <w:rPr>
          <w:lang w:eastAsia="en-GB"/>
        </w:rPr>
        <w:t xml:space="preserve"> requiring CVCs in PICU were estimated from a data linkage study using </w:t>
      </w:r>
      <w:r w:rsidRPr="00FD0470">
        <w:rPr>
          <w:lang w:eastAsia="en-GB"/>
        </w:rPr>
        <w:t xml:space="preserve">detailed information from PICANet and national laboratory surveillance data coordinated by Public Health </w:t>
      </w:r>
      <w:r w:rsidRPr="00FE3A93">
        <w:rPr>
          <w:lang w:eastAsia="en-GB"/>
        </w:rPr>
        <w:t xml:space="preserve">England. </w:t>
      </w:r>
      <w:r>
        <w:rPr>
          <w:lang w:eastAsia="en-GB"/>
        </w:rPr>
        <w:t>R</w:t>
      </w:r>
      <w:r w:rsidRPr="00FD0470">
        <w:rPr>
          <w:lang w:eastAsia="en-GB"/>
        </w:rPr>
        <w:t>ates of BSI per 1000 bed-days were modelled using multi-level Poisson regression</w:t>
      </w:r>
      <w:r>
        <w:rPr>
          <w:lang w:eastAsia="en-GB"/>
        </w:rPr>
        <w:t xml:space="preserve">, </w:t>
      </w:r>
      <w:r w:rsidRPr="00FD0470">
        <w:rPr>
          <w:lang w:eastAsia="en-GB"/>
        </w:rPr>
        <w:t>adjust</w:t>
      </w:r>
      <w:r>
        <w:rPr>
          <w:lang w:eastAsia="en-GB"/>
        </w:rPr>
        <w:t>ing</w:t>
      </w:r>
      <w:r w:rsidRPr="00FD0470">
        <w:rPr>
          <w:lang w:eastAsia="en-GB"/>
        </w:rPr>
        <w:t xml:space="preserve"> for </w:t>
      </w:r>
      <w:r>
        <w:rPr>
          <w:lang w:eastAsia="en-GB"/>
        </w:rPr>
        <w:t xml:space="preserve">significant patient </w:t>
      </w:r>
      <w:r w:rsidRPr="00FD0470">
        <w:rPr>
          <w:lang w:eastAsia="en-GB"/>
        </w:rPr>
        <w:t xml:space="preserve">risk-factors </w:t>
      </w:r>
      <w:r>
        <w:rPr>
          <w:lang w:eastAsia="en-GB"/>
        </w:rPr>
        <w:t xml:space="preserve">(p&lt;0.05). </w:t>
      </w:r>
    </w:p>
    <w:p w:rsidR="006A57B2" w:rsidRPr="00F744A8" w:rsidRDefault="006A57B2" w:rsidP="00452F22">
      <w:pPr>
        <w:pStyle w:val="Heading4"/>
        <w:rPr>
          <w:lang w:eastAsia="en-GB"/>
        </w:rPr>
      </w:pPr>
      <w:r w:rsidRPr="00F744A8">
        <w:rPr>
          <w:lang w:eastAsia="en-GB"/>
        </w:rPr>
        <w:t>Cost-impact analysis</w:t>
      </w:r>
    </w:p>
    <w:p w:rsidR="006A57B2" w:rsidRDefault="006A57B2" w:rsidP="00B22173">
      <w:pPr>
        <w:spacing w:line="360" w:lineRule="auto"/>
        <w:rPr>
          <w:lang w:eastAsia="en-GB"/>
        </w:rPr>
      </w:pPr>
      <w:r w:rsidRPr="00FD0470">
        <w:rPr>
          <w:lang w:eastAsia="en-GB"/>
        </w:rPr>
        <w:t xml:space="preserve">The baseline risk was defined as the number of BSI per 1000 bed-days in </w:t>
      </w:r>
      <w:r>
        <w:rPr>
          <w:lang w:eastAsia="en-GB"/>
        </w:rPr>
        <w:t xml:space="preserve">children using standard CVCs in English PICUs during </w:t>
      </w:r>
      <w:r w:rsidRPr="00FD0470">
        <w:rPr>
          <w:lang w:eastAsia="en-GB"/>
        </w:rPr>
        <w:t>2012</w:t>
      </w:r>
      <w:r>
        <w:rPr>
          <w:lang w:eastAsia="en-GB"/>
        </w:rPr>
        <w:t xml:space="preserve">. </w:t>
      </w:r>
      <w:r w:rsidRPr="00FD0470">
        <w:rPr>
          <w:lang w:eastAsia="en-GB"/>
        </w:rPr>
        <w:t xml:space="preserve">We </w:t>
      </w:r>
      <w:r>
        <w:rPr>
          <w:lang w:eastAsia="en-GB"/>
        </w:rPr>
        <w:t xml:space="preserve">estimated </w:t>
      </w:r>
      <w:r w:rsidRPr="00FD0470">
        <w:rPr>
          <w:lang w:eastAsia="en-GB"/>
        </w:rPr>
        <w:t xml:space="preserve">the BSI rate </w:t>
      </w:r>
      <w:r>
        <w:rPr>
          <w:lang w:eastAsia="en-GB"/>
        </w:rPr>
        <w:t xml:space="preserve">using antibiotic CVCs </w:t>
      </w:r>
      <w:r w:rsidRPr="00FD0470">
        <w:rPr>
          <w:lang w:eastAsia="en-GB"/>
        </w:rPr>
        <w:t>by applying the rate-ratio from the trial to the baseline BSI rate</w:t>
      </w:r>
      <w:r>
        <w:rPr>
          <w:lang w:eastAsia="en-GB"/>
        </w:rPr>
        <w:t>, assuming</w:t>
      </w:r>
      <w:r w:rsidRPr="00FD0470">
        <w:rPr>
          <w:lang w:eastAsia="en-GB"/>
        </w:rPr>
        <w:t xml:space="preserve"> that irrespective of baseline risk, the relative effect of impregnated CVCs wou</w:t>
      </w:r>
      <w:r>
        <w:rPr>
          <w:lang w:eastAsia="en-GB"/>
        </w:rPr>
        <w:t>ld be the same in all children.</w:t>
      </w:r>
      <w:r w:rsidRPr="00970ED2">
        <w:rPr>
          <w:lang w:eastAsia="en-GB"/>
        </w:rPr>
        <w:t xml:space="preserve"> </w:t>
      </w:r>
      <w:r>
        <w:rPr>
          <w:lang w:eastAsia="en-GB"/>
        </w:rPr>
        <w:t xml:space="preserve">The number of BSI averted using antibiotic CVCs was estimated by applying the respective BSI rates to the total number of bed-days in 2012. </w:t>
      </w:r>
      <w:r w:rsidRPr="00FD0470">
        <w:rPr>
          <w:lang w:eastAsia="en-GB"/>
        </w:rPr>
        <w:t xml:space="preserve">We estimated the number of admissions requiring CVCs </w:t>
      </w:r>
      <w:r>
        <w:rPr>
          <w:lang w:eastAsia="en-GB"/>
        </w:rPr>
        <w:t>from responses to a PICU survey on</w:t>
      </w:r>
      <w:r w:rsidRPr="00FD0470">
        <w:rPr>
          <w:lang w:eastAsia="en-GB"/>
        </w:rPr>
        <w:t xml:space="preserve"> the percentage of emergency and elective admissions receiving CVCs</w:t>
      </w:r>
      <w:r>
        <w:rPr>
          <w:lang w:eastAsia="en-GB"/>
        </w:rPr>
        <w:t xml:space="preserve"> in </w:t>
      </w:r>
      <w:r w:rsidRPr="00FE3A93">
        <w:rPr>
          <w:lang w:eastAsia="en-GB"/>
        </w:rPr>
        <w:t>2012.</w:t>
      </w:r>
      <w:r>
        <w:rPr>
          <w:lang w:eastAsia="en-GB"/>
        </w:rPr>
        <w:t xml:space="preserve"> </w:t>
      </w:r>
    </w:p>
    <w:p w:rsidR="006A57B2" w:rsidRPr="00FD0470" w:rsidRDefault="006A57B2" w:rsidP="00B22173">
      <w:pPr>
        <w:spacing w:line="360" w:lineRule="auto"/>
        <w:rPr>
          <w:lang w:eastAsia="en-GB"/>
        </w:rPr>
      </w:pPr>
      <w:r>
        <w:rPr>
          <w:rFonts w:cstheme="minorHAnsi"/>
        </w:rPr>
        <w:t>We determined the budget- and cost-impacts of adopting antibiotic-impregnated CVCs by synthesising the following evidence: i) the estimated risk of BSI using standard CVCs (derived from the data linkage study); ii) the number of BSI potentially averted by using antibiotic-impregnated CVCs (based on the relative treatment effect in the trial); iii) the additional £36 associated with purchasing each impregnated CVC, for all children expected to require one (numbers of CVCs based on PICU survey data); and</w:t>
      </w:r>
      <w:r w:rsidRPr="00FB1BF1">
        <w:rPr>
          <w:rFonts w:cstheme="minorHAnsi"/>
        </w:rPr>
        <w:t xml:space="preserve"> </w:t>
      </w:r>
      <w:r>
        <w:rPr>
          <w:rFonts w:cstheme="minorHAnsi"/>
        </w:rPr>
        <w:t>iv) the value of the healthcare resources associated with each averted BSI</w:t>
      </w:r>
      <w:r w:rsidRPr="008C7F3B">
        <w:rPr>
          <w:rFonts w:cstheme="minorHAnsi"/>
        </w:rPr>
        <w:t xml:space="preserve"> (from the trial </w:t>
      </w:r>
      <w:r>
        <w:rPr>
          <w:rFonts w:cstheme="minorHAnsi"/>
        </w:rPr>
        <w:t>economic</w:t>
      </w:r>
      <w:r w:rsidRPr="008C7F3B">
        <w:rPr>
          <w:rFonts w:cstheme="minorHAnsi"/>
        </w:rPr>
        <w:t xml:space="preserve"> analysis)</w:t>
      </w:r>
      <w:r>
        <w:rPr>
          <w:rFonts w:cstheme="minorHAnsi"/>
        </w:rPr>
        <w:t>.</w:t>
      </w:r>
    </w:p>
    <w:p w:rsidR="006A57B2" w:rsidRDefault="006A57B2" w:rsidP="00B22173">
      <w:pPr>
        <w:pStyle w:val="Heading2"/>
        <w:spacing w:line="360" w:lineRule="auto"/>
        <w:rPr>
          <w:rFonts w:eastAsia="Times New Roman"/>
          <w:lang w:eastAsia="en-GB"/>
        </w:rPr>
      </w:pPr>
      <w:bookmarkStart w:id="29" w:name="_Toc418857474"/>
      <w:bookmarkStart w:id="30" w:name="_Toc428195155"/>
      <w:r>
        <w:rPr>
          <w:rFonts w:eastAsia="Times New Roman"/>
          <w:lang w:eastAsia="en-GB"/>
        </w:rPr>
        <w:t>Results</w:t>
      </w:r>
      <w:bookmarkEnd w:id="29"/>
      <w:bookmarkEnd w:id="30"/>
    </w:p>
    <w:p w:rsidR="006A57B2" w:rsidRPr="00D0422E" w:rsidRDefault="006A57B2" w:rsidP="00B22173">
      <w:pPr>
        <w:spacing w:line="360" w:lineRule="auto"/>
        <w:rPr>
          <w:rFonts w:cstheme="minorHAnsi"/>
        </w:rPr>
      </w:pPr>
      <w:r>
        <w:t xml:space="preserve">The additional costs of purchasing antibiotic CVCs for all children in English PICUs in 2012 corresponded to an estimated </w:t>
      </w:r>
      <w:r>
        <w:rPr>
          <w:rFonts w:cstheme="minorHAnsi"/>
        </w:rPr>
        <w:t xml:space="preserve">budget impact </w:t>
      </w:r>
      <w:r w:rsidRPr="00AC5FE1">
        <w:rPr>
          <w:rFonts w:cstheme="minorHAnsi"/>
        </w:rPr>
        <w:t>of £317,916</w:t>
      </w:r>
      <w:r>
        <w:rPr>
          <w:rFonts w:cstheme="minorHAnsi"/>
        </w:rPr>
        <w:t xml:space="preserve"> (8831 CVCs)</w:t>
      </w:r>
      <w:r w:rsidRPr="00AC5FE1">
        <w:rPr>
          <w:rFonts w:cstheme="minorHAnsi"/>
        </w:rPr>
        <w:t xml:space="preserve">. Based on 2012 BSI rates, management of BSI in PICUs costs £2.5 million annually (95% uncertainty interval: </w:t>
      </w:r>
      <w:r w:rsidRPr="003A4F66">
        <w:rPr>
          <w:rFonts w:cstheme="minorHAnsi"/>
        </w:rPr>
        <w:t>-£66,544 to £5,557,451</w:t>
      </w:r>
      <w:r w:rsidRPr="00AC5FE1">
        <w:rPr>
          <w:rFonts w:cstheme="minorHAnsi"/>
        </w:rPr>
        <w:t xml:space="preserve">). </w:t>
      </w:r>
      <w:r w:rsidRPr="00D0422E">
        <w:t xml:space="preserve">The BSI rate </w:t>
      </w:r>
      <w:r>
        <w:t xml:space="preserve">using </w:t>
      </w:r>
      <w:r w:rsidRPr="00D0422E">
        <w:t>standard CVCs was 4.</w:t>
      </w:r>
      <w:r>
        <w:t>58</w:t>
      </w:r>
      <w:r w:rsidRPr="00D0422E">
        <w:t xml:space="preserve"> (95</w:t>
      </w:r>
      <w:r w:rsidRPr="00AC5FE1">
        <w:t xml:space="preserve">% CI 4.42, </w:t>
      </w:r>
      <w:r w:rsidRPr="00AC5FE1">
        <w:rPr>
          <w:rFonts w:cstheme="minorHAnsi"/>
        </w:rPr>
        <w:t>4.74</w:t>
      </w:r>
      <w:r w:rsidRPr="00AC5FE1">
        <w:t xml:space="preserve">) per 1000 estimated CVC-days in 2012. Applying the rate-ratio gave an estimated 232 BSI averted using antibiotic CVCs. </w:t>
      </w:r>
      <w:r>
        <w:rPr>
          <w:rFonts w:cstheme="minorHAnsi"/>
        </w:rPr>
        <w:t>The additional costs of a</w:t>
      </w:r>
      <w:r w:rsidRPr="00D0422E">
        <w:rPr>
          <w:rFonts w:cstheme="minorHAnsi"/>
        </w:rPr>
        <w:t xml:space="preserve">ntibiotic CVCs would be </w:t>
      </w:r>
      <w:r>
        <w:rPr>
          <w:rFonts w:cstheme="minorHAnsi"/>
        </w:rPr>
        <w:t>less than the value of resources associated with managing BSI</w:t>
      </w:r>
      <w:r w:rsidRPr="00D0422E">
        <w:rPr>
          <w:rFonts w:cstheme="minorHAnsi"/>
        </w:rPr>
        <w:t xml:space="preserve"> </w:t>
      </w:r>
      <w:r>
        <w:rPr>
          <w:rFonts w:cstheme="minorHAnsi"/>
        </w:rPr>
        <w:t>in</w:t>
      </w:r>
      <w:r w:rsidRPr="00D0422E">
        <w:rPr>
          <w:rFonts w:cstheme="minorHAnsi"/>
        </w:rPr>
        <w:t xml:space="preserve"> PICUs with standard </w:t>
      </w:r>
      <w:r>
        <w:rPr>
          <w:rFonts w:cstheme="minorHAnsi"/>
        </w:rPr>
        <w:t xml:space="preserve">BSI rates </w:t>
      </w:r>
      <w:r w:rsidRPr="00085D91">
        <w:rPr>
          <w:rFonts w:cstheme="minorHAnsi"/>
        </w:rPr>
        <w:t>&gt;</w:t>
      </w:r>
      <w:r>
        <w:rPr>
          <w:rFonts w:cstheme="minorHAnsi"/>
        </w:rPr>
        <w:t>1</w:t>
      </w:r>
      <w:r w:rsidRPr="00085D91">
        <w:rPr>
          <w:rFonts w:cstheme="minorHAnsi"/>
        </w:rPr>
        <w:t>.</w:t>
      </w:r>
      <w:r>
        <w:rPr>
          <w:rFonts w:cstheme="minorHAnsi"/>
        </w:rPr>
        <w:t>2</w:t>
      </w:r>
      <w:r w:rsidRPr="00085D91">
        <w:rPr>
          <w:rFonts w:cstheme="minorHAnsi"/>
        </w:rPr>
        <w:t xml:space="preserve"> </w:t>
      </w:r>
      <w:r>
        <w:rPr>
          <w:rFonts w:cstheme="minorHAnsi"/>
        </w:rPr>
        <w:t>per 1000 CVC</w:t>
      </w:r>
      <w:r w:rsidRPr="00D0422E">
        <w:rPr>
          <w:rFonts w:cstheme="minorHAnsi"/>
        </w:rPr>
        <w:t xml:space="preserve">-days. </w:t>
      </w:r>
    </w:p>
    <w:p w:rsidR="006A57B2" w:rsidRPr="00F47EB8" w:rsidRDefault="006A57B2" w:rsidP="00F47EB8">
      <w:pPr>
        <w:rPr>
          <w:lang w:eastAsia="en-GB"/>
        </w:rPr>
      </w:pPr>
      <w:bookmarkStart w:id="31" w:name="_Toc418857475"/>
    </w:p>
    <w:p w:rsidR="006A57B2" w:rsidRPr="000656A5" w:rsidRDefault="006A57B2" w:rsidP="000656A5">
      <w:pPr>
        <w:pStyle w:val="Heading2"/>
      </w:pPr>
      <w:bookmarkStart w:id="32" w:name="_Toc428195156"/>
      <w:r w:rsidRPr="000656A5">
        <w:t>Conclusions</w:t>
      </w:r>
      <w:bookmarkEnd w:id="31"/>
      <w:bookmarkEnd w:id="32"/>
    </w:p>
    <w:p w:rsidR="006A57B2" w:rsidRPr="00C50BC3" w:rsidRDefault="006A57B2" w:rsidP="00452F22">
      <w:pPr>
        <w:pStyle w:val="Heading4"/>
        <w:rPr>
          <w:lang w:eastAsia="en-GB"/>
        </w:rPr>
      </w:pPr>
      <w:r w:rsidRPr="00C50BC3">
        <w:rPr>
          <w:lang w:eastAsia="en-GB"/>
        </w:rPr>
        <w:t>Implications for practice</w:t>
      </w:r>
    </w:p>
    <w:p w:rsidR="006A57B2" w:rsidRPr="00966601" w:rsidRDefault="006A57B2" w:rsidP="00B22173">
      <w:pPr>
        <w:spacing w:line="360" w:lineRule="auto"/>
        <w:rPr>
          <w:lang w:eastAsia="en-GB"/>
        </w:rPr>
      </w:pPr>
      <w:r>
        <w:rPr>
          <w:lang w:eastAsia="en-GB"/>
        </w:rPr>
        <w:t xml:space="preserve">The primary outcome, time to BSI, did not differ between impregnated and standard CVCs. Secondary analyses showed that antibiotic CVCs reduced the risk of BSI compared with standard or heparin CVCs. Therefore, use of impregnated CVCs for children admitted to PICUs could result in clinically important reductions in BSI rates. The benefits of antibiotic-impregnated CVCs apply even for PICUs with low BSI rates </w:t>
      </w:r>
      <w:r w:rsidRPr="00732199">
        <w:rPr>
          <w:lang w:eastAsia="en-GB"/>
        </w:rPr>
        <w:t xml:space="preserve">although uncertainty remains as to whether they </w:t>
      </w:r>
      <w:r>
        <w:rPr>
          <w:lang w:eastAsia="en-GB"/>
        </w:rPr>
        <w:t>are cost-effective</w:t>
      </w:r>
      <w:r w:rsidRPr="00732199">
        <w:rPr>
          <w:lang w:eastAsia="en-GB"/>
        </w:rPr>
        <w:t xml:space="preserve"> for the NHS</w:t>
      </w:r>
      <w:r>
        <w:rPr>
          <w:lang w:eastAsia="en-GB"/>
        </w:rPr>
        <w:t>.</w:t>
      </w:r>
    </w:p>
    <w:p w:rsidR="006A57B2" w:rsidRPr="003C09B0" w:rsidRDefault="006A57B2" w:rsidP="00452F22">
      <w:pPr>
        <w:pStyle w:val="Heading4"/>
        <w:rPr>
          <w:lang w:eastAsia="en-GB"/>
        </w:rPr>
      </w:pPr>
      <w:r w:rsidRPr="003C09B0">
        <w:rPr>
          <w:lang w:eastAsia="en-GB"/>
        </w:rPr>
        <w:t xml:space="preserve">Recommendations for research </w:t>
      </w:r>
    </w:p>
    <w:p w:rsidR="006A57B2" w:rsidRDefault="006A57B2" w:rsidP="00B22173">
      <w:pPr>
        <w:pStyle w:val="ListParagraph"/>
        <w:numPr>
          <w:ilvl w:val="0"/>
          <w:numId w:val="3"/>
        </w:numPr>
        <w:spacing w:line="360" w:lineRule="auto"/>
        <w:rPr>
          <w:lang w:eastAsia="en-GB"/>
        </w:rPr>
      </w:pPr>
      <w:r w:rsidRPr="00192CB8">
        <w:rPr>
          <w:rFonts w:eastAsia="Times New Roman"/>
          <w:lang w:eastAsia="en-GB"/>
        </w:rPr>
        <w:t xml:space="preserve">Implementation strategies to promote adoption of </w:t>
      </w:r>
      <w:r>
        <w:rPr>
          <w:rFonts w:eastAsia="Times New Roman"/>
          <w:lang w:eastAsia="en-GB"/>
        </w:rPr>
        <w:t>antibiotic-</w:t>
      </w:r>
      <w:r w:rsidRPr="00192CB8">
        <w:rPr>
          <w:rFonts w:eastAsia="Times New Roman"/>
          <w:lang w:eastAsia="en-GB"/>
        </w:rPr>
        <w:t>impregnated CVCs should be developed and could be monitored through continued l</w:t>
      </w:r>
      <w:r>
        <w:rPr>
          <w:lang w:eastAsia="en-GB"/>
        </w:rPr>
        <w:t xml:space="preserve">inkage of infection surveillance and electronic healthcare data. Such monitoring could allow feedback to PICUs and could be enhanced by routine capture of CVC insertion and removal dates. </w:t>
      </w:r>
    </w:p>
    <w:p w:rsidR="006A57B2" w:rsidRDefault="006A57B2" w:rsidP="00B22173">
      <w:pPr>
        <w:pStyle w:val="ListParagraph"/>
        <w:numPr>
          <w:ilvl w:val="0"/>
          <w:numId w:val="3"/>
        </w:numPr>
        <w:spacing w:line="360" w:lineRule="auto"/>
        <w:rPr>
          <w:lang w:eastAsia="en-GB"/>
        </w:rPr>
      </w:pPr>
      <w:r>
        <w:rPr>
          <w:lang w:eastAsia="en-GB"/>
        </w:rPr>
        <w:t>Further trials comparing antibiotic-impregnated or heparin-bonded CVCs with standard CVCs for children or adults in intensive care are not recommended.</w:t>
      </w:r>
    </w:p>
    <w:p w:rsidR="006A57B2" w:rsidRDefault="006A57B2" w:rsidP="00396D89">
      <w:pPr>
        <w:pStyle w:val="ListParagraph"/>
        <w:numPr>
          <w:ilvl w:val="0"/>
          <w:numId w:val="3"/>
        </w:numPr>
        <w:spacing w:line="360" w:lineRule="auto"/>
        <w:rPr>
          <w:lang w:eastAsia="en-GB"/>
        </w:rPr>
      </w:pPr>
      <w:r>
        <w:rPr>
          <w:lang w:eastAsia="en-GB"/>
        </w:rPr>
        <w:t>The NHS should work with industry to evaluate different types of impregnation for specific patient groups (e.g. neonates or patients requiring long-term CVCs).</w:t>
      </w:r>
    </w:p>
    <w:p w:rsidR="006A57B2" w:rsidRDefault="006A57B2" w:rsidP="00B22173">
      <w:pPr>
        <w:pStyle w:val="ListParagraph"/>
        <w:numPr>
          <w:ilvl w:val="0"/>
          <w:numId w:val="3"/>
        </w:numPr>
        <w:spacing w:line="360" w:lineRule="auto"/>
        <w:rPr>
          <w:lang w:eastAsia="en-GB"/>
        </w:rPr>
      </w:pPr>
      <w:r>
        <w:rPr>
          <w:lang w:eastAsia="en-GB"/>
        </w:rPr>
        <w:t>Use of linked administrative data should be considered for future trials of interventions where the event rate is likely to change substantially over the lifetime of the trial, and to monitor implementation of effective interventions.</w:t>
      </w:r>
    </w:p>
    <w:p w:rsidR="006A57B2" w:rsidRDefault="006A57B2">
      <w:pPr>
        <w:spacing w:after="0" w:line="240" w:lineRule="auto"/>
      </w:pPr>
      <w:r>
        <w:br w:type="page"/>
      </w:r>
    </w:p>
    <w:p w:rsidR="006A57B2" w:rsidRDefault="006A57B2" w:rsidP="00D73D13">
      <w:pPr>
        <w:pStyle w:val="Heading1"/>
      </w:pPr>
      <w:bookmarkStart w:id="33" w:name="_Toc418857476"/>
      <w:bookmarkStart w:id="34" w:name="_Toc428195157"/>
      <w:r w:rsidRPr="00D73D13">
        <w:t>PLAIN ENGLISH SUMMARY</w:t>
      </w:r>
      <w:bookmarkEnd w:id="33"/>
      <w:bookmarkEnd w:id="34"/>
      <w:r w:rsidRPr="00D73D13">
        <w:t xml:space="preserve"> </w:t>
      </w:r>
    </w:p>
    <w:p w:rsidR="006A57B2" w:rsidRDefault="006A57B2" w:rsidP="008C6835">
      <w:pPr>
        <w:pStyle w:val="Heading1"/>
        <w:spacing w:before="0" w:after="200" w:line="360" w:lineRule="auto"/>
        <w:rPr>
          <w:rFonts w:asciiTheme="minorHAnsi" w:eastAsiaTheme="minorHAnsi" w:hAnsiTheme="minorHAnsi" w:cstheme="minorBidi"/>
          <w:b w:val="0"/>
          <w:bCs w:val="0"/>
          <w:color w:val="auto"/>
          <w:sz w:val="22"/>
          <w:szCs w:val="22"/>
        </w:rPr>
      </w:pPr>
    </w:p>
    <w:p w:rsidR="006A57B2" w:rsidRPr="008C6835" w:rsidRDefault="006A57B2" w:rsidP="00DF27FC">
      <w:pPr>
        <w:spacing w:line="360" w:lineRule="auto"/>
      </w:pPr>
      <w:r w:rsidRPr="008C6835">
        <w:t>Children who are admitted to hospital for intensive care often need to have medicines given directly into their veins, through a small plastic tube called a central venous catheter (CVC). CVCs avoid the need for repeated injections, but their disadvantage is an increased risk of bloodstream infection (BSI), which can result in prolonged treatment and time in hospital.</w:t>
      </w:r>
    </w:p>
    <w:p w:rsidR="006A57B2" w:rsidRPr="008C6835" w:rsidRDefault="006A57B2" w:rsidP="00DF27FC">
      <w:pPr>
        <w:spacing w:line="360" w:lineRule="auto"/>
      </w:pPr>
      <w:r w:rsidRPr="008C6835">
        <w:t xml:space="preserve">In adults, CVCs coated with medicine to kill bacteria (antibiotics) or prevent clots (heparin) help reduce the risk of BSI. However, we do not know if these impregnated CVCs work the same way in the much narrower CVCs used for children. The only way to find out which type of CVC (standard non-coated, antibiotic, or heparin) works best was to carry out a randomised controlled trial. </w:t>
      </w:r>
    </w:p>
    <w:p w:rsidR="006A57B2" w:rsidRPr="008C6835" w:rsidRDefault="006A57B2" w:rsidP="00DF27FC">
      <w:pPr>
        <w:spacing w:line="360" w:lineRule="auto"/>
      </w:pPr>
      <w:r w:rsidRPr="008C6835">
        <w:t xml:space="preserve">Children aged &lt;16 years who needed a CVC </w:t>
      </w:r>
      <w:r>
        <w:t>for</w:t>
      </w:r>
      <w:r w:rsidRPr="008C6835">
        <w:t xml:space="preserve"> intensive care</w:t>
      </w:r>
      <w:r>
        <w:t xml:space="preserve"> treatment</w:t>
      </w:r>
      <w:r w:rsidRPr="008C6835">
        <w:t xml:space="preserve"> participated within 14 hospitals in England. Consent was provided for all participants in the trial. Each child had an equal chance of receiving one of the three CVC types. </w:t>
      </w:r>
    </w:p>
    <w:p w:rsidR="006A57B2" w:rsidRPr="007C3C99" w:rsidRDefault="006A57B2" w:rsidP="00DF27FC">
      <w:pPr>
        <w:spacing w:line="360" w:lineRule="auto"/>
      </w:pPr>
      <w:r w:rsidRPr="008C6835">
        <w:t>BSI occurred in 4% of children with standard CVCs</w:t>
      </w:r>
      <w:r>
        <w:t xml:space="preserve"> and 2% of those with impregnated CVCs. Rates of BSI were lowest in the antibiotic CVC group (</w:t>
      </w:r>
      <w:r w:rsidRPr="008C6835">
        <w:t>1%</w:t>
      </w:r>
      <w:r>
        <w:t xml:space="preserve">) but these children had slightly </w:t>
      </w:r>
      <w:r w:rsidRPr="008C6835">
        <w:t xml:space="preserve">higher healthcare costs for the 6-months after trial participation. </w:t>
      </w:r>
      <w:r>
        <w:t>Although doubt remains as to whether antibiotic CVCs would results in cost savings for the NHS in England, o</w:t>
      </w:r>
      <w:r w:rsidRPr="008C6835">
        <w:t xml:space="preserve">ur results </w:t>
      </w:r>
      <w:r>
        <w:t xml:space="preserve">suggest </w:t>
      </w:r>
      <w:r w:rsidRPr="008C6835">
        <w:t xml:space="preserve">that using antibiotic CVCs </w:t>
      </w:r>
      <w:r>
        <w:t>c</w:t>
      </w:r>
      <w:r w:rsidRPr="008C6835">
        <w:t xml:space="preserve">ould </w:t>
      </w:r>
      <w:r>
        <w:t xml:space="preserve">help </w:t>
      </w:r>
      <w:r w:rsidRPr="008C6835">
        <w:t>reduce BSI rates</w:t>
      </w:r>
      <w:r>
        <w:t xml:space="preserve"> for children in intensive care</w:t>
      </w:r>
      <w:r w:rsidRPr="00D73D13">
        <w:t>.</w:t>
      </w:r>
      <w:r>
        <w:br w:type="page"/>
      </w:r>
    </w:p>
    <w:p w:rsidR="006A57B2" w:rsidRDefault="006A57B2" w:rsidP="00B22173">
      <w:pPr>
        <w:pStyle w:val="Heading1"/>
        <w:spacing w:line="360" w:lineRule="auto"/>
      </w:pPr>
      <w:bookmarkStart w:id="35" w:name="_Toc418857477"/>
      <w:bookmarkStart w:id="36" w:name="_Toc428195158"/>
      <w:r>
        <w:t>CHAPTER 1 INTRODUCTION</w:t>
      </w:r>
      <w:bookmarkEnd w:id="35"/>
      <w:bookmarkEnd w:id="36"/>
      <w:r>
        <w:t xml:space="preserve"> </w:t>
      </w:r>
    </w:p>
    <w:p w:rsidR="006A57B2" w:rsidRPr="00331C12" w:rsidRDefault="00E503DF" w:rsidP="00B22173">
      <w:pPr>
        <w:spacing w:line="360" w:lineRule="auto"/>
      </w:pPr>
      <w:r>
        <w:pict>
          <v:rect id="_x0000_i1025" style="width:0;height:1.5pt" o:hralign="center" o:hrstd="t" o:hr="t" fillcolor="#a0a0a0" stroked="f"/>
        </w:pict>
      </w:r>
    </w:p>
    <w:p w:rsidR="006A57B2" w:rsidRDefault="006A57B2" w:rsidP="00B22173">
      <w:pPr>
        <w:pStyle w:val="Heading2"/>
        <w:spacing w:line="360" w:lineRule="auto"/>
      </w:pPr>
      <w:bookmarkStart w:id="37" w:name="_Toc418857478"/>
      <w:bookmarkStart w:id="38" w:name="_Toc428195159"/>
      <w:r>
        <w:t>Use in practice</w:t>
      </w:r>
      <w:bookmarkEnd w:id="37"/>
      <w:bookmarkEnd w:id="38"/>
    </w:p>
    <w:p w:rsidR="006A57B2" w:rsidRDefault="006A57B2" w:rsidP="00B22173">
      <w:pPr>
        <w:spacing w:line="360" w:lineRule="auto"/>
      </w:pPr>
      <w:r w:rsidRPr="005B09F8">
        <w:t>Central venous catheters (CVCs) are widely used</w:t>
      </w:r>
      <w:r>
        <w:t xml:space="preserve"> for patients of all ages who need </w:t>
      </w:r>
      <w:r w:rsidRPr="005B09F8">
        <w:t xml:space="preserve">intensive </w:t>
      </w:r>
      <w:r>
        <w:t xml:space="preserve">or </w:t>
      </w:r>
      <w:r w:rsidRPr="005B09F8">
        <w:t xml:space="preserve">high dependency care to provide venous access for resuscitation, drug delivery, intravenous feeding, monitoring, and blood sampling. </w:t>
      </w:r>
      <w:r>
        <w:t xml:space="preserve">CVCs are associated with an increased risk of bloodstream infection (BSI), which is hypothesised to be due to organisms tracking along the CVC from the skin or from the external parts of the CVC to colonise the CVC tubing and </w:t>
      </w:r>
      <w:r w:rsidRPr="000D52DE">
        <w:t>tip.</w:t>
      </w:r>
      <w:r w:rsidRPr="00E075A0">
        <w:rPr>
          <w:noProof/>
          <w:vertAlign w:val="superscript"/>
        </w:rPr>
        <w:t>2-6</w:t>
      </w:r>
      <w:r>
        <w:t xml:space="preserve"> </w:t>
      </w:r>
    </w:p>
    <w:p w:rsidR="006A57B2" w:rsidRDefault="006A57B2" w:rsidP="00B22173">
      <w:pPr>
        <w:spacing w:line="360" w:lineRule="auto"/>
      </w:pPr>
      <w:r>
        <w:t xml:space="preserve">Risk-factors for BSI include catheter dwell time, the frequency of ‘breaching’ the line for medication or sampling, multiple compared </w:t>
      </w:r>
      <w:r w:rsidRPr="000D52DE">
        <w:t>with single lumen CVCs, and infusion of lipid solution as part of parenteral nutrition.</w:t>
      </w:r>
      <w:r w:rsidRPr="00E075A0">
        <w:rPr>
          <w:noProof/>
          <w:vertAlign w:val="superscript"/>
        </w:rPr>
        <w:t>7-11</w:t>
      </w:r>
      <w:r w:rsidRPr="000D52DE">
        <w:t xml:space="preserve"> Risk</w:t>
      </w:r>
      <w:r>
        <w:t xml:space="preserve"> of BSI is reduced by strict </w:t>
      </w:r>
      <w:r w:rsidRPr="000D52DE">
        <w:t>adherence to aseptic procedures during CVC insertion and whenever the CVC is breached.</w:t>
      </w:r>
      <w:r w:rsidRPr="00E075A0">
        <w:rPr>
          <w:noProof/>
          <w:vertAlign w:val="superscript"/>
        </w:rPr>
        <w:t>12-14</w:t>
      </w:r>
      <w:r w:rsidRPr="000D52DE">
        <w:t xml:space="preserve"> To help ensure staff follow aseptic procedures, audited check lists (called CVC bundles) have been introduced in several countries.</w:t>
      </w:r>
      <w:r w:rsidRPr="00E075A0">
        <w:rPr>
          <w:noProof/>
          <w:vertAlign w:val="superscript"/>
        </w:rPr>
        <w:t>15-20</w:t>
      </w:r>
    </w:p>
    <w:p w:rsidR="006A57B2" w:rsidRDefault="006A57B2" w:rsidP="00B22173">
      <w:pPr>
        <w:spacing w:line="360" w:lineRule="auto"/>
      </w:pPr>
      <w:r>
        <w:t xml:space="preserve">In this report, we focus on children who need a CVC as part of their intensive care treatment. </w:t>
      </w:r>
      <w:r w:rsidRPr="003B330F">
        <w:t xml:space="preserve">PICUs have </w:t>
      </w:r>
      <w:r w:rsidRPr="000D52DE">
        <w:t>one of the highest reported rates of hospital-acquired BSI of any clinical specialty,</w:t>
      </w:r>
      <w:r w:rsidRPr="00E075A0">
        <w:rPr>
          <w:noProof/>
          <w:vertAlign w:val="superscript"/>
        </w:rPr>
        <w:t>21-24</w:t>
      </w:r>
      <w:r w:rsidRPr="000D52DE">
        <w:t xml:space="preserve"> and BSI</w:t>
      </w:r>
      <w:r>
        <w:t xml:space="preserve"> </w:t>
      </w:r>
      <w:r w:rsidRPr="003B330F">
        <w:t xml:space="preserve">is an important cause of adverse clinical outcome and </w:t>
      </w:r>
      <w:r>
        <w:t xml:space="preserve">healthcare </w:t>
      </w:r>
      <w:r w:rsidRPr="003B330F">
        <w:t>cos</w:t>
      </w:r>
      <w:r>
        <w:t xml:space="preserve">ts in critically ill </w:t>
      </w:r>
      <w:r w:rsidRPr="000D52DE">
        <w:t>children.</w:t>
      </w:r>
      <w:r w:rsidRPr="00E075A0">
        <w:rPr>
          <w:noProof/>
          <w:vertAlign w:val="superscript"/>
        </w:rPr>
        <w:t>22, 25-27</w:t>
      </w:r>
      <w:r w:rsidRPr="000D52DE">
        <w:t xml:space="preserve"> We estimate</w:t>
      </w:r>
      <w:r>
        <w:t xml:space="preserve"> that approximately 60% of the 16,000 children admitted to 23 PICUs each year in England require insertion of a CVC as part of their acute </w:t>
      </w:r>
      <w:r w:rsidRPr="000D52DE">
        <w:t>care.</w:t>
      </w:r>
      <w:r w:rsidRPr="00E075A0">
        <w:rPr>
          <w:noProof/>
          <w:vertAlign w:val="superscript"/>
        </w:rPr>
        <w:t>28</w:t>
      </w:r>
      <w:r w:rsidRPr="000D52DE">
        <w:t xml:space="preserve"> We</w:t>
      </w:r>
      <w:r>
        <w:t xml:space="preserve"> do not include CVCs used for very preterm babies in neonatal intensive care or long-term CVCs, which are widely used to administer medication or parenteral nutrition for children with conditions such as cancer, cystic fibrosis, renal failure, or short gut syndrome.</w:t>
      </w:r>
    </w:p>
    <w:p w:rsidR="006A57B2" w:rsidRDefault="006A57B2" w:rsidP="00B22173">
      <w:pPr>
        <w:pStyle w:val="Heading2"/>
        <w:spacing w:line="360" w:lineRule="auto"/>
      </w:pPr>
      <w:bookmarkStart w:id="39" w:name="_Toc418857479"/>
      <w:bookmarkStart w:id="40" w:name="_Toc428195160"/>
      <w:r>
        <w:t>Rationale</w:t>
      </w:r>
      <w:bookmarkEnd w:id="39"/>
      <w:bookmarkEnd w:id="40"/>
    </w:p>
    <w:p w:rsidR="006A57B2" w:rsidRDefault="006A57B2" w:rsidP="00B22173">
      <w:pPr>
        <w:spacing w:line="360" w:lineRule="auto"/>
      </w:pPr>
      <w:r w:rsidRPr="0031769C">
        <w:t>CVC impregnation with anti-infective substances has been used for over 25 years.</w:t>
      </w:r>
      <w:r w:rsidRPr="00E075A0">
        <w:rPr>
          <w:noProof/>
          <w:vertAlign w:val="superscript"/>
        </w:rPr>
        <w:t>1</w:t>
      </w:r>
      <w:r w:rsidRPr="003C2A3B">
        <w:t xml:space="preserve"> </w:t>
      </w:r>
      <w:r w:rsidRPr="00356639">
        <w:t>Recent systematic review evidence from 48 randomised controlled trials (RCTs) and cost-effectiveness analyses including 11,586 patients demonstrate</w:t>
      </w:r>
      <w:r>
        <w:t>d</w:t>
      </w:r>
      <w:r w:rsidRPr="00356639">
        <w:t xml:space="preserve"> substantial benefits of impregnated compared with standard CVCs for catheter-related BSI (CR-BSI)</w:t>
      </w:r>
      <w:r>
        <w:t xml:space="preserve">. </w:t>
      </w:r>
      <w:r w:rsidRPr="00E075A0">
        <w:rPr>
          <w:noProof/>
          <w:vertAlign w:val="superscript"/>
        </w:rPr>
        <w:t>1, 3, 6, 29, 30</w:t>
      </w:r>
      <w:r w:rsidRPr="00411690">
        <w:t xml:space="preserve"> </w:t>
      </w:r>
      <w:r>
        <w:t>O</w:t>
      </w:r>
      <w:r w:rsidRPr="00A272D4">
        <w:t>ne of the most recent systematic review</w:t>
      </w:r>
      <w:r>
        <w:t>s</w:t>
      </w:r>
      <w:r w:rsidRPr="00A272D4">
        <w:t xml:space="preserve"> incl</w:t>
      </w:r>
      <w:r w:rsidRPr="003C2A3B">
        <w:t>uded a meta-analysis</w:t>
      </w:r>
      <w:r>
        <w:t xml:space="preserve"> of direct and indirect comparisons of different types of impregnated and standard </w:t>
      </w:r>
      <w:r w:rsidRPr="000D52DE">
        <w:t>CVCs.</w:t>
      </w:r>
      <w:r w:rsidRPr="00E075A0">
        <w:rPr>
          <w:noProof/>
          <w:vertAlign w:val="superscript"/>
        </w:rPr>
        <w:t>1</w:t>
      </w:r>
      <w:r w:rsidRPr="000D52DE">
        <w:t xml:space="preserve"> Heparin</w:t>
      </w:r>
      <w:r>
        <w:t>-</w:t>
      </w:r>
      <w:r w:rsidRPr="005B09F8">
        <w:t>bonded or antibio</w:t>
      </w:r>
      <w:r>
        <w:t>tic-</w:t>
      </w:r>
      <w:r w:rsidRPr="005B09F8">
        <w:t xml:space="preserve">impregnated CVCs </w:t>
      </w:r>
      <w:r>
        <w:t xml:space="preserve">were found to be the most </w:t>
      </w:r>
      <w:r w:rsidRPr="005B09F8">
        <w:t>effective options,</w:t>
      </w:r>
      <w:r>
        <w:t xml:space="preserve"> being associated with similar reductions (70% to 80%) in the risk of CVC related BSI. Heparin-bonding</w:t>
      </w:r>
      <w:r w:rsidRPr="005B09F8">
        <w:t xml:space="preserve"> act</w:t>
      </w:r>
      <w:r>
        <w:t>s</w:t>
      </w:r>
      <w:r w:rsidRPr="005B09F8">
        <w:t xml:space="preserve"> by reducing thrombus formation and bacterial adherence to thrombus, but the bonding agent, benzalkonium chloride, also has anti-i</w:t>
      </w:r>
      <w:r>
        <w:t>nfective properties. Antibiotic-</w:t>
      </w:r>
      <w:r w:rsidRPr="005B09F8">
        <w:t xml:space="preserve">impregnated CVCs act by preventing biofilm formation and thereby prevent bacterial colonisation. </w:t>
      </w:r>
    </w:p>
    <w:p w:rsidR="006A57B2" w:rsidRDefault="006A57B2" w:rsidP="00B22173">
      <w:pPr>
        <w:spacing w:line="360" w:lineRule="auto"/>
      </w:pPr>
      <w:r>
        <w:t xml:space="preserve">Despite the large number of randomised controlled trials and the substantial reductions seen in the risk of BSI in adults, impregnated CVCs have not been recommended for </w:t>
      </w:r>
      <w:r w:rsidRPr="00FF08CF">
        <w:t>children in US or UK guidelines and their use in UK practice has been limited.</w:t>
      </w:r>
      <w:r w:rsidRPr="00E075A0">
        <w:rPr>
          <w:noProof/>
          <w:vertAlign w:val="superscript"/>
        </w:rPr>
        <w:t>4, 16, 31, 32</w:t>
      </w:r>
      <w:r>
        <w:t xml:space="preserve"> A recent survey showed that impregnated CVCs had been adopted for some or all children by less than half of British PICUs </w:t>
      </w:r>
      <w:r w:rsidRPr="00FF08CF">
        <w:t>surveyed.</w:t>
      </w:r>
      <w:r w:rsidRPr="00607F48">
        <w:rPr>
          <w:noProof/>
          <w:vertAlign w:val="superscript"/>
        </w:rPr>
        <w:t>32</w:t>
      </w:r>
      <w:r w:rsidRPr="00FF08CF">
        <w:t xml:space="preserve"> Lack of</w:t>
      </w:r>
      <w:r>
        <w:t xml:space="preserve"> implementation in PICUs relates to i) gaps in the evidence relating to children; ii) concerns about the quality of previous trials; and iii) uncertainty about the generalisability of RCT findings to settings wher</w:t>
      </w:r>
      <w:r w:rsidRPr="00FF08CF">
        <w:t>e improved infection control strategies have been associated with steep declines in BSI rates.</w:t>
      </w:r>
      <w:r w:rsidRPr="00607F48">
        <w:rPr>
          <w:noProof/>
          <w:vertAlign w:val="superscript"/>
        </w:rPr>
        <w:t>33, 34</w:t>
      </w:r>
    </w:p>
    <w:p w:rsidR="006A57B2" w:rsidRDefault="006A57B2" w:rsidP="00B22173">
      <w:pPr>
        <w:spacing w:line="360" w:lineRule="auto"/>
      </w:pPr>
      <w:r>
        <w:t>In children, there is a lack of evidence on the most effective type of CVC and on the expected effect size. According to the network meta-analysis by Wang et al, heparin-bonded and antibiotic-impregnated CVCs are the most effective options, with similar effects compared with standard CVCs.</w:t>
      </w:r>
      <w:r w:rsidRPr="00E075A0">
        <w:rPr>
          <w:noProof/>
          <w:vertAlign w:val="superscript"/>
        </w:rPr>
        <w:t>1</w:t>
      </w:r>
      <w:r>
        <w:t xml:space="preserve"> However, there is a lack of evidence on which type of CVCs would be most effective as there have been no adequately powered, direct ‘head to head’ comparisons of these </w:t>
      </w:r>
      <w:r w:rsidRPr="00FF08CF">
        <w:t>options.</w:t>
      </w:r>
      <w:r w:rsidRPr="00E075A0">
        <w:rPr>
          <w:noProof/>
          <w:vertAlign w:val="superscript"/>
        </w:rPr>
        <w:t>1</w:t>
      </w:r>
      <w:r w:rsidRPr="00FF08CF">
        <w:t xml:space="preserve"> In the</w:t>
      </w:r>
      <w:r>
        <w:t xml:space="preserve"> UK, the additional costs of heparin-bonded or antibiotic-impregnated CVCs are similar, so the decision on which type to adopt depends on their relative benefits and adverse effects. Only one of the eight RCTs comparing antibiotic-impregnated with standard CVCs (n=2073 patients) included </w:t>
      </w:r>
      <w:r w:rsidRPr="005B09F8">
        <w:t>children</w:t>
      </w:r>
      <w:r w:rsidRPr="00462FEB">
        <w:t xml:space="preserve"> </w:t>
      </w:r>
      <w:r>
        <w:t xml:space="preserve">and was terminated early due to a lower than expected </w:t>
      </w:r>
      <w:r w:rsidRPr="00FF08CF">
        <w:t>event rate.</w:t>
      </w:r>
      <w:r w:rsidRPr="00607F48">
        <w:rPr>
          <w:noProof/>
          <w:vertAlign w:val="superscript"/>
        </w:rPr>
        <w:t>35-42</w:t>
      </w:r>
      <w:r w:rsidRPr="00FF08CF">
        <w:t xml:space="preserve"> As CVCs</w:t>
      </w:r>
      <w:r w:rsidRPr="005B09F8">
        <w:t xml:space="preserve"> </w:t>
      </w:r>
      <w:r>
        <w:t xml:space="preserve">for </w:t>
      </w:r>
      <w:r w:rsidRPr="005B09F8">
        <w:t>children are much narrower than adult CVCs and the risk of thrombus formation, bacterial adhesion and infection is much higher</w:t>
      </w:r>
      <w:r>
        <w:t xml:space="preserve">, it is hypothesised that </w:t>
      </w:r>
      <w:r w:rsidRPr="005B09F8">
        <w:t xml:space="preserve">the </w:t>
      </w:r>
      <w:r>
        <w:t>relative effect of antibiotic-</w:t>
      </w:r>
      <w:r w:rsidRPr="005B09F8">
        <w:t xml:space="preserve">impregnated </w:t>
      </w:r>
      <w:r>
        <w:t xml:space="preserve">versus standard </w:t>
      </w:r>
      <w:r w:rsidRPr="005B09F8">
        <w:t xml:space="preserve">CVCs may </w:t>
      </w:r>
      <w:r>
        <w:t xml:space="preserve">differ in children and adults. Evidence is stronger for benefits of heparin-bonded CVCs, as two of the three RCTs comparing heparin-bonded with standard CVCs (n= 472) included </w:t>
      </w:r>
      <w:r w:rsidRPr="00FF08CF">
        <w:t>children.</w:t>
      </w:r>
      <w:r w:rsidRPr="00607F48">
        <w:rPr>
          <w:noProof/>
          <w:vertAlign w:val="superscript"/>
        </w:rPr>
        <w:t>43-45</w:t>
      </w:r>
      <w:r>
        <w:t xml:space="preserve"> </w:t>
      </w:r>
    </w:p>
    <w:p w:rsidR="006A57B2" w:rsidRDefault="006A57B2" w:rsidP="00B22173">
      <w:pPr>
        <w:spacing w:line="360" w:lineRule="auto"/>
      </w:pPr>
      <w:r w:rsidRPr="005B09F8">
        <w:t>Several systematic reviews raise concerns that the poor quality of previous studies means that the benefits of impregnated CVCs may have been overestimated.</w:t>
      </w:r>
      <w:r w:rsidRPr="00E075A0">
        <w:rPr>
          <w:noProof/>
          <w:vertAlign w:val="superscript"/>
        </w:rPr>
        <w:t>6, 29, 46, 47</w:t>
      </w:r>
      <w:r w:rsidRPr="005B09F8">
        <w:t xml:space="preserve"> Firstly, few trials reported good concealment of treatment allocation or blinding of clinicians to the intervention and many failed to </w:t>
      </w:r>
      <w:r w:rsidRPr="00FF08CF">
        <w:t>account for losses or withdrawals, all factors that could lead to overestimation of the effect.</w:t>
      </w:r>
      <w:r w:rsidRPr="00E075A0">
        <w:rPr>
          <w:noProof/>
          <w:vertAlign w:val="superscript"/>
        </w:rPr>
        <w:t>6, 29</w:t>
      </w:r>
      <w:r w:rsidRPr="00FF08CF">
        <w:t xml:space="preserve"> Secondly</w:t>
      </w:r>
      <w:r w:rsidRPr="005B09F8">
        <w:t>, all pre</w:t>
      </w:r>
      <w:r>
        <w:t>vious trials relied on catheter-</w:t>
      </w:r>
      <w:r w:rsidRPr="005B09F8">
        <w:t xml:space="preserve">related </w:t>
      </w:r>
      <w:r>
        <w:t xml:space="preserve">BSI (CR-BSI) </w:t>
      </w:r>
      <w:r w:rsidRPr="005B09F8">
        <w:t>as the primary outcome measure, which requires positive cultures from the blood and catheter tip</w:t>
      </w:r>
      <w:r>
        <w:t>.</w:t>
      </w:r>
      <w:r w:rsidRPr="005B09F8">
        <w:t xml:space="preserve"> This measure is highly susceptible to bias, as the tip can be easily contaminated during removal, and residual antibiotic in the catheter tip may inhibit culture in the laboratory. Aside from the potential biases in measuring </w:t>
      </w:r>
      <w:r>
        <w:t xml:space="preserve">CR-BSI, </w:t>
      </w:r>
      <w:r w:rsidRPr="005B09F8">
        <w:t xml:space="preserve">impregnated CVCs may impact on all </w:t>
      </w:r>
      <w:r>
        <w:t xml:space="preserve">BSI </w:t>
      </w:r>
      <w:r w:rsidRPr="005B09F8">
        <w:t>after CVC insertion</w:t>
      </w:r>
      <w:r>
        <w:t>, not just on CR-BSI,</w:t>
      </w:r>
      <w:r w:rsidRPr="005B09F8">
        <w:t xml:space="preserve"> and on the </w:t>
      </w:r>
      <w:r>
        <w:t xml:space="preserve">risks of </w:t>
      </w:r>
      <w:r w:rsidRPr="005B09F8">
        <w:t xml:space="preserve">mortality, complications and </w:t>
      </w:r>
      <w:r>
        <w:t xml:space="preserve">increased </w:t>
      </w:r>
      <w:r w:rsidRPr="005B09F8">
        <w:t>length of sta</w:t>
      </w:r>
      <w:r>
        <w:t>y associated with BSI</w:t>
      </w:r>
      <w:r w:rsidRPr="005B09F8">
        <w:t xml:space="preserve">. </w:t>
      </w:r>
    </w:p>
    <w:p w:rsidR="006A57B2" w:rsidRPr="005B09F8" w:rsidRDefault="006A57B2" w:rsidP="00B22173">
      <w:pPr>
        <w:spacing w:line="360" w:lineRule="auto"/>
      </w:pPr>
      <w:r>
        <w:t xml:space="preserve">Few </w:t>
      </w:r>
      <w:r w:rsidRPr="005B09F8">
        <w:t xml:space="preserve">trials have determined the effect of impregnated CVCs on all </w:t>
      </w:r>
      <w:r>
        <w:t xml:space="preserve">BSI </w:t>
      </w:r>
      <w:r w:rsidRPr="005B09F8">
        <w:t>in</w:t>
      </w:r>
      <w:r>
        <w:t xml:space="preserve"> PICU,</w:t>
      </w:r>
      <w:r w:rsidRPr="005B09F8">
        <w:t xml:space="preserve"> in the context </w:t>
      </w:r>
      <w:r>
        <w:t xml:space="preserve">of </w:t>
      </w:r>
      <w:r w:rsidRPr="00FF0CC0">
        <w:t>ongoing reductions in BSI rates associated with the introduction of CVC care bundles.</w:t>
      </w:r>
      <w:r w:rsidRPr="00E075A0">
        <w:rPr>
          <w:noProof/>
          <w:vertAlign w:val="superscript"/>
        </w:rPr>
        <w:t>12, 14, 15, 33, 48</w:t>
      </w:r>
      <w:r w:rsidRPr="00FF0CC0">
        <w:t xml:space="preserve"> Neither</w:t>
      </w:r>
      <w:r w:rsidRPr="00D5641B">
        <w:t xml:space="preserve"> of the two trials of heparin</w:t>
      </w:r>
      <w:r>
        <w:t>-</w:t>
      </w:r>
      <w:r w:rsidRPr="00D5641B">
        <w:t>bonded CVCs in children, and few of the trials of antibiotic</w:t>
      </w:r>
      <w:r>
        <w:t>-</w:t>
      </w:r>
      <w:r w:rsidRPr="00D5641B">
        <w:t>impregnated CVCs in adults have been conducted in the context of</w:t>
      </w:r>
      <w:r w:rsidRPr="005B09F8">
        <w:t xml:space="preserve"> </w:t>
      </w:r>
      <w:r>
        <w:t xml:space="preserve">these </w:t>
      </w:r>
      <w:r w:rsidRPr="005B09F8">
        <w:t xml:space="preserve">strenuous efforts to reduce </w:t>
      </w:r>
      <w:r>
        <w:t>BSI</w:t>
      </w:r>
      <w:r w:rsidRPr="005B09F8">
        <w:t>. It is not known whether the relatively large reductions in relative risk and absolute risk seen in trials predating CVC care bundles would be sustained in PICUs where rates of infection have already been reduced by improved CVC care.</w:t>
      </w:r>
      <w:r w:rsidRPr="00607F48">
        <w:rPr>
          <w:noProof/>
          <w:vertAlign w:val="superscript"/>
        </w:rPr>
        <w:t>34</w:t>
      </w:r>
      <w:r w:rsidRPr="005B09F8">
        <w:t xml:space="preserve"> </w:t>
      </w:r>
      <w:r>
        <w:t xml:space="preserve">Even though a UK cost-effectiveness analysis estimated </w:t>
      </w:r>
      <w:r w:rsidRPr="00FF0CC0">
        <w:t xml:space="preserve">that impregnated CVCs would be cost effective given baseline rates of </w:t>
      </w:r>
      <w:r>
        <w:t>CR-</w:t>
      </w:r>
      <w:r w:rsidRPr="00FF0CC0">
        <w:t>BSI as low as 0.2%,</w:t>
      </w:r>
      <w:r w:rsidRPr="00607F48">
        <w:rPr>
          <w:noProof/>
          <w:vertAlign w:val="superscript"/>
        </w:rPr>
        <w:t>29</w:t>
      </w:r>
      <w:r>
        <w:t xml:space="preserve"> there remains a question as to whether the relative effect of impregnation would be less given improved catheter care</w:t>
      </w:r>
      <w:r w:rsidRPr="005B09F8">
        <w:t xml:space="preserve">. </w:t>
      </w:r>
    </w:p>
    <w:p w:rsidR="006A57B2" w:rsidRDefault="006A57B2" w:rsidP="00B22173">
      <w:pPr>
        <w:pStyle w:val="Heading2"/>
        <w:spacing w:line="360" w:lineRule="auto"/>
      </w:pPr>
      <w:bookmarkStart w:id="41" w:name="_Toc418857480"/>
      <w:bookmarkStart w:id="42" w:name="_Toc428195161"/>
      <w:r>
        <w:t>Risks and benefits</w:t>
      </w:r>
      <w:bookmarkEnd w:id="41"/>
      <w:bookmarkEnd w:id="42"/>
    </w:p>
    <w:p w:rsidR="006A57B2" w:rsidRDefault="006A57B2" w:rsidP="00B22173">
      <w:pPr>
        <w:spacing w:line="360" w:lineRule="auto"/>
      </w:pPr>
      <w:r>
        <w:t xml:space="preserve">Prevention of BSI is undoubtedly a clinically important outcome. Although evidence on attributable mortality varies, BSI is clearly associated with a longer stay in hospital and more intensive </w:t>
      </w:r>
      <w:r w:rsidRPr="00FF0CC0">
        <w:t>support.</w:t>
      </w:r>
      <w:r w:rsidRPr="00E075A0">
        <w:rPr>
          <w:noProof/>
          <w:vertAlign w:val="superscript"/>
        </w:rPr>
        <w:t>21, 22, 25-27, 49</w:t>
      </w:r>
      <w:r>
        <w:t xml:space="preserve"> For children in intensive care, catheter-associated </w:t>
      </w:r>
      <w:r w:rsidRPr="00FF0CC0">
        <w:t>BSI have been associated with an additional 9-21 days stay in hospital (6.5-15 days in PICU).</w:t>
      </w:r>
      <w:r w:rsidRPr="00E075A0">
        <w:rPr>
          <w:noProof/>
          <w:vertAlign w:val="superscript"/>
        </w:rPr>
        <w:t>25-27</w:t>
      </w:r>
      <w:r w:rsidRPr="00FF0CC0">
        <w:t xml:space="preserve"> In</w:t>
      </w:r>
      <w:r>
        <w:t xml:space="preserve"> adults, the additional acute healthcare costs attributable to a BSI are an estimated £9148 per patient, and could range between £</w:t>
      </w:r>
      <w:r w:rsidRPr="00FF0CC0">
        <w:t>2500 and £</w:t>
      </w:r>
      <w:r w:rsidRPr="0029628E">
        <w:t>71,000.</w:t>
      </w:r>
      <w:r w:rsidRPr="00607F48">
        <w:rPr>
          <w:noProof/>
          <w:vertAlign w:val="superscript"/>
        </w:rPr>
        <w:t>29</w:t>
      </w:r>
      <w:r w:rsidRPr="0029628E">
        <w:t xml:space="preserve"> The few studies of cost of BSI in PICU patients have found a difference of $33,039 to $39,219 in PICU direct costs for infected and uninfected patients.</w:t>
      </w:r>
      <w:r w:rsidRPr="00E075A0">
        <w:rPr>
          <w:noProof/>
          <w:vertAlign w:val="superscript"/>
        </w:rPr>
        <w:t>22, 26</w:t>
      </w:r>
      <w:r w:rsidRPr="0029628E">
        <w:t xml:space="preserve"> However</w:t>
      </w:r>
      <w:r>
        <w:t>, quantifying the effects of BSI are complicated by the time-</w:t>
      </w:r>
      <w:r w:rsidRPr="0029628E">
        <w:t>dependent exposure: BSI increases hospital stay; increased length of stay is a risk-factor for BSI.</w:t>
      </w:r>
      <w:r w:rsidRPr="00607F48">
        <w:rPr>
          <w:noProof/>
          <w:vertAlign w:val="superscript"/>
        </w:rPr>
        <w:t>50</w:t>
      </w:r>
      <w:r w:rsidRPr="0029628E">
        <w:t xml:space="preserve"> Estimates of attributable</w:t>
      </w:r>
      <w:r>
        <w:t xml:space="preserve"> length of stay are subject to thi</w:t>
      </w:r>
      <w:r w:rsidRPr="0029628E">
        <w:t>s time-dependent bias, leading to potentially overestimated BSI costs in previous studies.</w:t>
      </w:r>
      <w:r w:rsidRPr="00607F48">
        <w:rPr>
          <w:noProof/>
          <w:vertAlign w:val="superscript"/>
        </w:rPr>
        <w:t>51, 52</w:t>
      </w:r>
      <w:r>
        <w:t xml:space="preserve"> On the other hand, no study has taken into account the long-term costs associated with a BSI in children.</w:t>
      </w:r>
    </w:p>
    <w:p w:rsidR="006A57B2" w:rsidRDefault="006A57B2" w:rsidP="00B22173">
      <w:pPr>
        <w:spacing w:line="360" w:lineRule="auto"/>
      </w:pPr>
      <w:r>
        <w:t>Potential adverse effects of CVCs are rare. Heparin-bonding could theoretically trigger an allergic response leading to heparin-induced thrombocytopenia, although no case has been reported to the manufacturers. Antibiotic-impregnation could potentially lead to antibiotic resistance, although a systematic review showed no increased risk of resistant organisms isolated from blood cultures.</w:t>
      </w:r>
      <w:r w:rsidRPr="00E075A0">
        <w:rPr>
          <w:noProof/>
          <w:vertAlign w:val="superscript"/>
        </w:rPr>
        <w:t>2</w:t>
      </w:r>
    </w:p>
    <w:p w:rsidR="006A57B2" w:rsidRDefault="006A57B2" w:rsidP="00B22173">
      <w:pPr>
        <w:pStyle w:val="Heading2"/>
        <w:spacing w:line="360" w:lineRule="auto"/>
      </w:pPr>
      <w:bookmarkStart w:id="43" w:name="_Toc418857481"/>
      <w:bookmarkStart w:id="44" w:name="_Toc428195162"/>
      <w:r>
        <w:t>Overview of aims and research questions</w:t>
      </w:r>
      <w:bookmarkEnd w:id="43"/>
      <w:bookmarkEnd w:id="44"/>
    </w:p>
    <w:p w:rsidR="006A57B2" w:rsidRDefault="006A57B2" w:rsidP="00B22173">
      <w:pPr>
        <w:spacing w:line="360" w:lineRule="auto"/>
      </w:pPr>
      <w:r w:rsidRPr="004459DC">
        <w:t xml:space="preserve">From a policy perspective, there could potentially be significant gains for children’s health and healthcare costs across the NHS if impregnated CVCs could be confirmed to substantially reduce rates of BSI. </w:t>
      </w:r>
      <w:r w:rsidRPr="000656A5">
        <w:t>We compared both types of impregnated CVC previously shown to be most effective (antibiotic and heparin) with standard CVCs to determine the effectiveness of CVC impregnation in children. Secondary analyses were conducted to evaluate the effectiveness of each type of CVC.</w:t>
      </w:r>
    </w:p>
    <w:p w:rsidR="006A57B2" w:rsidRDefault="006A57B2" w:rsidP="00B22173">
      <w:pPr>
        <w:spacing w:line="360" w:lineRule="auto"/>
      </w:pPr>
      <w:r w:rsidRPr="004459DC">
        <w:t>We aimed to inform NHS policy regarding impregnated CVCs for intensive care of children by undertaking a large pragmatic randomised controlled trial</w:t>
      </w:r>
      <w:r>
        <w:t xml:space="preserve"> to determine 1)</w:t>
      </w:r>
      <w:r w:rsidRPr="004459DC">
        <w:t xml:space="preserve"> clinical effectiveness; </w:t>
      </w:r>
      <w:r>
        <w:t>2)</w:t>
      </w:r>
      <w:r w:rsidRPr="004459DC">
        <w:t xml:space="preserve"> </w:t>
      </w:r>
      <w:r>
        <w:t>cost-</w:t>
      </w:r>
      <w:r w:rsidRPr="004459DC">
        <w:t>effectiveness of impregnated</w:t>
      </w:r>
      <w:r>
        <w:t xml:space="preserve"> versus standard</w:t>
      </w:r>
      <w:r w:rsidRPr="004459DC">
        <w:t xml:space="preserve"> CVCs; and </w:t>
      </w:r>
      <w:r>
        <w:t>3</w:t>
      </w:r>
      <w:r w:rsidRPr="004459DC">
        <w:t>)</w:t>
      </w:r>
      <w:r>
        <w:t xml:space="preserve"> the</w:t>
      </w:r>
      <w:r w:rsidRPr="004459DC">
        <w:t xml:space="preserve"> </w:t>
      </w:r>
      <w:r>
        <w:rPr>
          <w:lang w:eastAsia="en-GB"/>
        </w:rPr>
        <w:t xml:space="preserve">generalisability and cost-impact of </w:t>
      </w:r>
      <w:r w:rsidRPr="004459DC">
        <w:t>adopt</w:t>
      </w:r>
      <w:r>
        <w:t>ing</w:t>
      </w:r>
      <w:r w:rsidRPr="004459DC">
        <w:t xml:space="preserve"> impregnated CVCs for all children who need them</w:t>
      </w:r>
      <w:r>
        <w:t>.</w:t>
      </w:r>
    </w:p>
    <w:p w:rsidR="006A57B2" w:rsidRPr="004459DC" w:rsidRDefault="006A57B2" w:rsidP="00B22173">
      <w:pPr>
        <w:spacing w:line="360" w:lineRule="auto"/>
      </w:pPr>
      <w:r w:rsidRPr="004459DC">
        <w:t xml:space="preserve">The main objectives and data sources for the three parts of the study were: </w:t>
      </w:r>
    </w:p>
    <w:p w:rsidR="006A57B2" w:rsidRPr="004459DC" w:rsidRDefault="006A57B2" w:rsidP="00452F22">
      <w:pPr>
        <w:pStyle w:val="Heading4"/>
        <w:rPr>
          <w:lang w:eastAsia="en-GB"/>
        </w:rPr>
      </w:pPr>
      <w:r>
        <w:rPr>
          <w:lang w:eastAsia="en-GB"/>
        </w:rPr>
        <w:t xml:space="preserve">1) </w:t>
      </w:r>
      <w:r w:rsidRPr="004459DC">
        <w:rPr>
          <w:lang w:eastAsia="en-GB"/>
        </w:rPr>
        <w:t xml:space="preserve">Clinical effectiveness </w:t>
      </w:r>
    </w:p>
    <w:p w:rsidR="006A57B2" w:rsidRPr="005A1308" w:rsidRDefault="006A57B2" w:rsidP="00B22173">
      <w:pPr>
        <w:pStyle w:val="ListParagraph"/>
        <w:numPr>
          <w:ilvl w:val="0"/>
          <w:numId w:val="4"/>
        </w:numPr>
        <w:spacing w:line="360" w:lineRule="auto"/>
        <w:rPr>
          <w:rFonts w:cs="Arial"/>
          <w:color w:val="000000"/>
          <w:lang w:eastAsia="en-GB"/>
        </w:rPr>
      </w:pPr>
      <w:r>
        <w:rPr>
          <w:lang w:eastAsia="en-GB"/>
        </w:rPr>
        <w:t>To determine the effectiveness of impregnated versus standard CVCs for reducing BSI in children admitted to intensive care</w:t>
      </w:r>
    </w:p>
    <w:p w:rsidR="006A57B2" w:rsidRPr="004459DC" w:rsidRDefault="006A57B2" w:rsidP="00B22173">
      <w:pPr>
        <w:pStyle w:val="ListParagraph"/>
        <w:numPr>
          <w:ilvl w:val="0"/>
          <w:numId w:val="4"/>
        </w:numPr>
        <w:spacing w:line="360" w:lineRule="auto"/>
      </w:pPr>
      <w:r>
        <w:rPr>
          <w:rFonts w:cs="Arial"/>
          <w:color w:val="000000"/>
          <w:lang w:eastAsia="en-GB"/>
        </w:rPr>
        <w:t xml:space="preserve">To determine which </w:t>
      </w:r>
      <w:r w:rsidRPr="005A1308">
        <w:rPr>
          <w:rFonts w:cs="Arial"/>
          <w:color w:val="000000"/>
          <w:lang w:eastAsia="en-GB"/>
        </w:rPr>
        <w:t xml:space="preserve">type of CVC is most effective, based on 3-way comparisons </w:t>
      </w:r>
      <w:r>
        <w:rPr>
          <w:rFonts w:cs="Arial"/>
          <w:color w:val="000000"/>
          <w:lang w:eastAsia="en-GB"/>
        </w:rPr>
        <w:t>of</w:t>
      </w:r>
      <w:r w:rsidRPr="005A1308">
        <w:rPr>
          <w:rFonts w:cs="Arial"/>
          <w:color w:val="000000"/>
          <w:lang w:eastAsia="en-GB"/>
        </w:rPr>
        <w:t xml:space="preserve"> measures of</w:t>
      </w:r>
      <w:r>
        <w:rPr>
          <w:rFonts w:cs="Arial"/>
          <w:color w:val="000000"/>
          <w:lang w:eastAsia="en-GB"/>
        </w:rPr>
        <w:t xml:space="preserve"> BSI</w:t>
      </w:r>
      <w:r w:rsidRPr="005A1308">
        <w:rPr>
          <w:rFonts w:cs="Arial"/>
          <w:color w:val="000000"/>
          <w:lang w:eastAsia="en-GB"/>
        </w:rPr>
        <w:t xml:space="preserve">, </w:t>
      </w:r>
      <w:r>
        <w:rPr>
          <w:rFonts w:cs="Arial"/>
          <w:color w:val="000000"/>
          <w:lang w:eastAsia="en-GB"/>
        </w:rPr>
        <w:t>mortality, and adverse events</w:t>
      </w:r>
    </w:p>
    <w:p w:rsidR="006A57B2" w:rsidRPr="004459DC" w:rsidRDefault="006A57B2" w:rsidP="00B22173">
      <w:pPr>
        <w:autoSpaceDE w:val="0"/>
        <w:autoSpaceDN w:val="0"/>
        <w:adjustRightInd w:val="0"/>
        <w:spacing w:after="0" w:line="360" w:lineRule="auto"/>
        <w:jc w:val="both"/>
      </w:pPr>
      <w:r w:rsidRPr="000227A7">
        <w:rPr>
          <w:u w:val="single"/>
        </w:rPr>
        <w:t>Data source</w:t>
      </w:r>
      <w:r w:rsidRPr="004D2624">
        <w:t>:</w:t>
      </w:r>
      <w:r>
        <w:t xml:space="preserve"> Clinical outcomes captured on case report forms in the RCT.</w:t>
      </w:r>
    </w:p>
    <w:p w:rsidR="006A57B2" w:rsidRPr="005A1308" w:rsidRDefault="006A57B2" w:rsidP="00452F22">
      <w:pPr>
        <w:pStyle w:val="Heading4"/>
        <w:rPr>
          <w:lang w:eastAsia="en-GB"/>
        </w:rPr>
      </w:pPr>
      <w:r>
        <w:rPr>
          <w:lang w:eastAsia="en-GB"/>
        </w:rPr>
        <w:t>2) Cost-</w:t>
      </w:r>
      <w:r w:rsidRPr="005A1308">
        <w:rPr>
          <w:lang w:eastAsia="en-GB"/>
        </w:rPr>
        <w:t xml:space="preserve">effectiveness: </w:t>
      </w:r>
    </w:p>
    <w:p w:rsidR="006A57B2" w:rsidRPr="005F2DA9" w:rsidRDefault="006A57B2" w:rsidP="00B22173">
      <w:pPr>
        <w:pStyle w:val="ListParagraph"/>
        <w:numPr>
          <w:ilvl w:val="0"/>
          <w:numId w:val="5"/>
        </w:numPr>
        <w:spacing w:line="360" w:lineRule="auto"/>
        <w:rPr>
          <w:rFonts w:cstheme="minorHAnsi"/>
          <w:lang w:eastAsia="en-GB"/>
        </w:rPr>
      </w:pPr>
      <w:r>
        <w:rPr>
          <w:rFonts w:eastAsia="Times New Roman" w:cstheme="minorHAnsi"/>
          <w:lang w:eastAsia="en-GB"/>
        </w:rPr>
        <w:t xml:space="preserve">To determine the cost-effectiveness of impregnated versus standard </w:t>
      </w:r>
      <w:r w:rsidRPr="0062542C">
        <w:rPr>
          <w:rFonts w:eastAsia="Times New Roman" w:cstheme="minorHAnsi"/>
          <w:lang w:eastAsia="en-GB"/>
        </w:rPr>
        <w:t>CVC</w:t>
      </w:r>
      <w:r>
        <w:rPr>
          <w:rFonts w:eastAsia="Times New Roman" w:cstheme="minorHAnsi"/>
          <w:lang w:eastAsia="en-GB"/>
        </w:rPr>
        <w:t>s</w:t>
      </w:r>
      <w:r w:rsidRPr="0062542C">
        <w:rPr>
          <w:rFonts w:eastAsia="Times New Roman" w:cstheme="minorHAnsi"/>
          <w:lang w:eastAsia="en-GB"/>
        </w:rPr>
        <w:t xml:space="preserve"> for </w:t>
      </w:r>
      <w:r>
        <w:rPr>
          <w:rFonts w:eastAsia="Times New Roman" w:cstheme="minorHAnsi"/>
          <w:lang w:eastAsia="en-GB"/>
        </w:rPr>
        <w:t xml:space="preserve">reducing </w:t>
      </w:r>
      <w:r w:rsidRPr="0062542C">
        <w:rPr>
          <w:rFonts w:eastAsia="Times New Roman" w:cstheme="minorHAnsi"/>
          <w:lang w:eastAsia="en-GB"/>
        </w:rPr>
        <w:t>BSI</w:t>
      </w:r>
      <w:r w:rsidRPr="0062542C">
        <w:rPr>
          <w:rFonts w:cstheme="minorHAnsi"/>
          <w:lang w:eastAsia="en-GB"/>
        </w:rPr>
        <w:t>, based on incremental acute h</w:t>
      </w:r>
      <w:r>
        <w:rPr>
          <w:rFonts w:cstheme="minorHAnsi"/>
          <w:lang w:eastAsia="en-GB"/>
        </w:rPr>
        <w:t>ealthcare costs per BSI avoided</w:t>
      </w:r>
    </w:p>
    <w:p w:rsidR="006A57B2" w:rsidRPr="005F2DA9" w:rsidRDefault="006A57B2" w:rsidP="00F97EA0">
      <w:pPr>
        <w:autoSpaceDE w:val="0"/>
        <w:autoSpaceDN w:val="0"/>
        <w:adjustRightInd w:val="0"/>
        <w:spacing w:after="0" w:line="360" w:lineRule="auto"/>
      </w:pPr>
      <w:r w:rsidRPr="000227A7">
        <w:rPr>
          <w:u w:val="single"/>
        </w:rPr>
        <w:t>Data source</w:t>
      </w:r>
      <w:r w:rsidRPr="004D2624">
        <w:t>:</w:t>
      </w:r>
      <w:r>
        <w:t xml:space="preserve"> Clinical outcomes captured on case report forms in the RCT and records of healthcare use captured by linkage of RCT data with hospital administrative data.</w:t>
      </w:r>
    </w:p>
    <w:p w:rsidR="006A57B2" w:rsidRPr="004459DC" w:rsidRDefault="006A57B2" w:rsidP="00452F22">
      <w:pPr>
        <w:pStyle w:val="Heading4"/>
        <w:rPr>
          <w:lang w:eastAsia="en-GB"/>
        </w:rPr>
      </w:pPr>
      <w:r>
        <w:rPr>
          <w:lang w:eastAsia="en-GB"/>
        </w:rPr>
        <w:t xml:space="preserve">3) </w:t>
      </w:r>
      <w:r w:rsidRPr="004459DC">
        <w:rPr>
          <w:lang w:eastAsia="en-GB"/>
        </w:rPr>
        <w:t>Generalisability</w:t>
      </w:r>
      <w:r>
        <w:rPr>
          <w:lang w:eastAsia="en-GB"/>
        </w:rPr>
        <w:t xml:space="preserve"> and cost-impact:</w:t>
      </w:r>
    </w:p>
    <w:p w:rsidR="006A57B2" w:rsidRPr="005F2DA9" w:rsidRDefault="006A57B2" w:rsidP="00F97EA0">
      <w:pPr>
        <w:pStyle w:val="ListParagraph"/>
        <w:numPr>
          <w:ilvl w:val="0"/>
          <w:numId w:val="1"/>
        </w:numPr>
        <w:autoSpaceDE w:val="0"/>
        <w:autoSpaceDN w:val="0"/>
        <w:adjustRightInd w:val="0"/>
        <w:spacing w:after="0" w:line="360" w:lineRule="auto"/>
        <w:ind w:left="714" w:hanging="357"/>
        <w:rPr>
          <w:rFonts w:cs="Arial"/>
          <w:color w:val="000000"/>
          <w:lang w:eastAsia="en-GB"/>
        </w:rPr>
      </w:pPr>
      <w:r>
        <w:t>To e</w:t>
      </w:r>
      <w:r w:rsidRPr="004459DC">
        <w:t xml:space="preserve">stimate the net </w:t>
      </w:r>
      <w:r>
        <w:t xml:space="preserve">cost impact  </w:t>
      </w:r>
      <w:r w:rsidRPr="004459DC">
        <w:t>to NHS PICU</w:t>
      </w:r>
      <w:r>
        <w:t>s</w:t>
      </w:r>
      <w:r w:rsidRPr="004459DC">
        <w:t xml:space="preserve"> given a policy to adopt impregnated CVCs for all children who need them</w:t>
      </w:r>
    </w:p>
    <w:p w:rsidR="006A57B2" w:rsidRDefault="006A57B2" w:rsidP="00F97EA0">
      <w:pPr>
        <w:autoSpaceDE w:val="0"/>
        <w:autoSpaceDN w:val="0"/>
        <w:adjustRightInd w:val="0"/>
        <w:spacing w:after="0" w:line="360" w:lineRule="auto"/>
        <w:rPr>
          <w:u w:val="single"/>
        </w:rPr>
      </w:pPr>
    </w:p>
    <w:p w:rsidR="006A57B2" w:rsidRDefault="006A57B2" w:rsidP="00F97EA0">
      <w:pPr>
        <w:autoSpaceDE w:val="0"/>
        <w:autoSpaceDN w:val="0"/>
        <w:adjustRightInd w:val="0"/>
        <w:spacing w:after="0" w:line="360" w:lineRule="auto"/>
      </w:pPr>
      <w:r w:rsidRPr="005F2DA9">
        <w:rPr>
          <w:u w:val="single"/>
        </w:rPr>
        <w:t>Data source</w:t>
      </w:r>
      <w:r w:rsidRPr="004D2624">
        <w:t>:</w:t>
      </w:r>
      <w:r w:rsidRPr="005F2DA9">
        <w:t xml:space="preserve"> </w:t>
      </w:r>
      <w:r>
        <w:t>National data on PICU admissions (PICANet) linked with infection surveillance data collated by Public Health England and costs from the economic evaluation.</w:t>
      </w:r>
    </w:p>
    <w:p w:rsidR="006A57B2" w:rsidRDefault="006A57B2" w:rsidP="00F97EA0">
      <w:pPr>
        <w:autoSpaceDE w:val="0"/>
        <w:autoSpaceDN w:val="0"/>
        <w:adjustRightInd w:val="0"/>
        <w:spacing w:after="0" w:line="360" w:lineRule="auto"/>
      </w:pPr>
    </w:p>
    <w:p w:rsidR="006A57B2" w:rsidRDefault="006A57B2" w:rsidP="00F97EA0">
      <w:pPr>
        <w:autoSpaceDE w:val="0"/>
        <w:autoSpaceDN w:val="0"/>
        <w:adjustRightInd w:val="0"/>
        <w:spacing w:after="0" w:line="360" w:lineRule="auto"/>
      </w:pPr>
      <w:r w:rsidRPr="004459DC">
        <w:t xml:space="preserve">The specific objectives, methods and results for each of the three phases of the study are reported in separate sections. We discuss the implications of our findings for policy and recommendations for future research in the final chapter. </w:t>
      </w:r>
    </w:p>
    <w:p w:rsidR="006A57B2" w:rsidRDefault="006A57B2">
      <w:pPr>
        <w:spacing w:after="0" w:line="240" w:lineRule="auto"/>
      </w:pPr>
      <w:r>
        <w:br w:type="page"/>
      </w:r>
    </w:p>
    <w:p w:rsidR="006A57B2" w:rsidRDefault="006A57B2" w:rsidP="00B22173">
      <w:pPr>
        <w:pStyle w:val="Heading1"/>
        <w:spacing w:line="360" w:lineRule="auto"/>
      </w:pPr>
      <w:bookmarkStart w:id="45" w:name="_Toc418857482"/>
      <w:bookmarkStart w:id="46" w:name="_Toc428195163"/>
      <w:r>
        <w:t>CHAPTER 2 CLINICAL EFFECTIVENESS: METHODS</w:t>
      </w:r>
      <w:bookmarkEnd w:id="45"/>
      <w:bookmarkEnd w:id="46"/>
      <w:r>
        <w:t xml:space="preserve"> </w:t>
      </w:r>
    </w:p>
    <w:p w:rsidR="006A57B2" w:rsidRDefault="00E503DF" w:rsidP="00B22173">
      <w:pPr>
        <w:spacing w:line="360" w:lineRule="auto"/>
      </w:pPr>
      <w:r>
        <w:pict>
          <v:rect id="_x0000_i1026" style="width:0;height:1.5pt" o:hralign="center" o:hrstd="t" o:hr="t" fillcolor="#a0a0a0" stroked="f"/>
        </w:pict>
      </w:r>
    </w:p>
    <w:p w:rsidR="006A57B2" w:rsidRDefault="006A57B2" w:rsidP="00B22173">
      <w:pPr>
        <w:pStyle w:val="Heading2"/>
        <w:spacing w:line="360" w:lineRule="auto"/>
      </w:pPr>
      <w:bookmarkStart w:id="47" w:name="_Toc418857483"/>
      <w:bookmarkStart w:id="48" w:name="_Toc428195164"/>
      <w:r>
        <w:t>Trial design</w:t>
      </w:r>
      <w:bookmarkEnd w:id="47"/>
      <w:bookmarkEnd w:id="48"/>
    </w:p>
    <w:p w:rsidR="006A57B2" w:rsidRPr="00256E5F" w:rsidRDefault="006A57B2" w:rsidP="00B22173">
      <w:pPr>
        <w:spacing w:line="360" w:lineRule="auto"/>
        <w:rPr>
          <w:rFonts w:ascii="Times New Roman" w:hAnsi="Times New Roman" w:cs="Times New Roman"/>
          <w:sz w:val="24"/>
          <w:szCs w:val="24"/>
          <w:lang w:eastAsia="en-GB"/>
        </w:rPr>
      </w:pPr>
      <w:r>
        <w:t>We conducted a parallel, three-arm RCT. C</w:t>
      </w:r>
      <w:r w:rsidRPr="00F8520B">
        <w:t>hildren admitted to</w:t>
      </w:r>
      <w:r>
        <w:t xml:space="preserve"> 14</w:t>
      </w:r>
      <w:r w:rsidRPr="00F8520B">
        <w:t xml:space="preserve"> PICUs in England</w:t>
      </w:r>
      <w:r>
        <w:t xml:space="preserve"> between December 2010 and November 2012 were randomised to CVCs impregnated with antibiotics or heparin or to standard CVCs in a ratio of 1:1:1. </w:t>
      </w:r>
    </w:p>
    <w:p w:rsidR="006A57B2" w:rsidRDefault="006A57B2" w:rsidP="00B22173">
      <w:pPr>
        <w:pStyle w:val="Heading2"/>
        <w:spacing w:line="360" w:lineRule="auto"/>
      </w:pPr>
      <w:bookmarkStart w:id="49" w:name="_Toc418857484"/>
      <w:bookmarkStart w:id="50" w:name="_Toc428195165"/>
      <w:r>
        <w:t>Setting and participants</w:t>
      </w:r>
      <w:bookmarkEnd w:id="49"/>
      <w:bookmarkEnd w:id="50"/>
    </w:p>
    <w:p w:rsidR="006A57B2" w:rsidRDefault="006A57B2" w:rsidP="00B22173">
      <w:pPr>
        <w:spacing w:line="360" w:lineRule="auto"/>
      </w:pPr>
      <w:r>
        <w:t xml:space="preserve">Children &lt;16 years were eligible if they were admitted to a participating PICU or being prepared for PICU admission by an emergency retrieval team and were expected to require a CVC for 3 or more days. Children who had already participated in the trial were ineligible. </w:t>
      </w:r>
    </w:p>
    <w:p w:rsidR="006A57B2" w:rsidRDefault="006A57B2" w:rsidP="00B22173">
      <w:pPr>
        <w:pStyle w:val="Heading2"/>
        <w:spacing w:line="360" w:lineRule="auto"/>
      </w:pPr>
      <w:bookmarkStart w:id="51" w:name="_Toc418857485"/>
      <w:bookmarkStart w:id="52" w:name="_Toc428195166"/>
      <w:r>
        <w:t>Interventions</w:t>
      </w:r>
      <w:bookmarkEnd w:id="51"/>
      <w:bookmarkEnd w:id="52"/>
    </w:p>
    <w:p w:rsidR="006A57B2" w:rsidRPr="00E06525" w:rsidRDefault="006A57B2" w:rsidP="00B22173">
      <w:pPr>
        <w:spacing w:line="360" w:lineRule="auto"/>
      </w:pPr>
      <w:r>
        <w:t xml:space="preserve">We used polyurethane CVCs manufactured by </w:t>
      </w:r>
      <w:r w:rsidRPr="00AF75EB">
        <w:rPr>
          <w:szCs w:val="20"/>
          <w:lang w:val="en-AU"/>
        </w:rPr>
        <w:t>Cook Medical Incorporated (IN 47404 USA). Sizes used were</w:t>
      </w:r>
      <w:r>
        <w:rPr>
          <w:rFonts w:ascii="Arial" w:hAnsi="Arial" w:cs="Arial"/>
          <w:color w:val="002060"/>
          <w:sz w:val="20"/>
          <w:szCs w:val="20"/>
          <w:lang w:val="en-AU"/>
        </w:rPr>
        <w:t xml:space="preserve"> </w:t>
      </w:r>
      <w:r>
        <w:t>French gauge 4 (double lumen), 5 or 7 (triple lumen)</w:t>
      </w:r>
      <w:r w:rsidRPr="008E1FEC">
        <w:t xml:space="preserve">. </w:t>
      </w:r>
      <w:r>
        <w:t xml:space="preserve">Both types of impregnation involve internal </w:t>
      </w:r>
      <w:r w:rsidRPr="00447AEE">
        <w:t>and external surfaces. Cook reports a concentration of 503 µg/cm minocycline and 480 µg/cm rifampicin for their antibiotic-impregnated CVC, which reduces biofilm formation.</w:t>
      </w:r>
      <w:r w:rsidRPr="00607F48">
        <w:rPr>
          <w:noProof/>
          <w:vertAlign w:val="superscript"/>
        </w:rPr>
        <w:t>53</w:t>
      </w:r>
      <w:r w:rsidRPr="008E1FEC">
        <w:t xml:space="preserve"> </w:t>
      </w:r>
      <w:r>
        <w:t>Heparin-bonding</w:t>
      </w:r>
      <w:r w:rsidRPr="00447AEE">
        <w:t xml:space="preserve"> reduces thrombus and thereby biofilm formation and uses benzalkonium chloride as an anti-infective bonding agent.</w:t>
      </w:r>
      <w:r w:rsidRPr="00E075A0">
        <w:rPr>
          <w:noProof/>
          <w:vertAlign w:val="superscript"/>
        </w:rPr>
        <w:t>6, 54</w:t>
      </w:r>
    </w:p>
    <w:p w:rsidR="006A57B2" w:rsidRDefault="006A57B2" w:rsidP="00B22173">
      <w:pPr>
        <w:pStyle w:val="Heading2"/>
        <w:spacing w:line="360" w:lineRule="auto"/>
      </w:pPr>
      <w:bookmarkStart w:id="53" w:name="_Toc418857486"/>
      <w:bookmarkStart w:id="54" w:name="_Toc428195167"/>
      <w:r>
        <w:t>Randomisation and consent</w:t>
      </w:r>
      <w:bookmarkEnd w:id="53"/>
      <w:bookmarkEnd w:id="54"/>
    </w:p>
    <w:p w:rsidR="006A57B2" w:rsidRPr="00193B5B" w:rsidRDefault="006A57B2" w:rsidP="00B22173">
      <w:pPr>
        <w:spacing w:line="360" w:lineRule="auto"/>
      </w:pPr>
      <w:r w:rsidRPr="00AB54A0">
        <w:t xml:space="preserve">For children admitted to PICU following elective surgery, we sought prospective parental consent during pre-operative assessment. Randomisation took place in theatre or in the anaesthetic room prior to entry into theatre. For children who required a CVC as an emergency, we sought parental consent after randomisation and stabilisation (deferred consent) to avoid delaying treatment, and usually within 48 hours of randomisation. Children who required a CVC as part of their emergency care or resuscitation were randomised at the bedside in PICU or at another hospital where they were randomised by the PICU retrieval team prior to transfer to PICU. </w:t>
      </w:r>
      <w:r w:rsidRPr="00193B5B">
        <w:t>Further details are given in the protocol (</w:t>
      </w:r>
      <w:r w:rsidRPr="00B5166F">
        <w:t>http://www.nets.nihr.ac.uk/projects/hta/081347</w:t>
      </w:r>
      <w:r w:rsidRPr="00193B5B">
        <w:t>).</w:t>
      </w:r>
    </w:p>
    <w:p w:rsidR="006A57B2" w:rsidRPr="00951266" w:rsidRDefault="006A57B2" w:rsidP="00B22173">
      <w:pPr>
        <w:spacing w:line="360" w:lineRule="auto"/>
      </w:pPr>
      <w:r w:rsidRPr="00EF0F74">
        <w:t>At randomisation, the clinician or research nu</w:t>
      </w:r>
      <w:r w:rsidRPr="00613C31">
        <w:t>rse opened a pressure sealed, sequentially</w:t>
      </w:r>
      <w:r w:rsidRPr="00AB54A0">
        <w:t xml:space="preserve"> numbered, opaque envelope containing the CVC allocation. Randomisation sequences were computer generated by an independent statistician in random blocks of three and six, stratified by method of </w:t>
      </w:r>
      <w:r w:rsidRPr="00FF11BF">
        <w:t>consent (deferred or prospective), site and envelope storage location within the site to facilitate easy access to envelopes (e.g. for insertion</w:t>
      </w:r>
      <w:r w:rsidRPr="00951266">
        <w:t xml:space="preserve"> in theatre and in PICU). </w:t>
      </w:r>
    </w:p>
    <w:p w:rsidR="006A57B2" w:rsidRDefault="006A57B2" w:rsidP="00B22173">
      <w:pPr>
        <w:spacing w:line="360" w:lineRule="auto"/>
      </w:pPr>
      <w:r w:rsidRPr="00FF11BF">
        <w:t>Parents consented to the use of their child’s data for the trial, to follow-up using routinely recorded clinical data, and to 0.5ml of blood being collected whenever a blood culture was clinically required.</w:t>
      </w:r>
      <w:r w:rsidRPr="00FF11BF">
        <w:rPr>
          <w:noProof/>
          <w:vertAlign w:val="superscript"/>
        </w:rPr>
        <w:t>55</w:t>
      </w:r>
      <w:r w:rsidRPr="00FF11BF">
        <w:t xml:space="preserve"> </w:t>
      </w:r>
      <w:r w:rsidRPr="00AB54A0">
        <w:t xml:space="preserve">The sample was sent for PCR testing for 16S rRNA of bacterial ribosome protein to detect bacterial infection. </w:t>
      </w:r>
    </w:p>
    <w:p w:rsidR="006A57B2" w:rsidRPr="00AB54A0" w:rsidRDefault="006A57B2" w:rsidP="00B22173">
      <w:pPr>
        <w:spacing w:line="360" w:lineRule="auto"/>
      </w:pPr>
      <w:r w:rsidRPr="00AB54A0">
        <w:t>We also sought consent to link data from the national Paediatric Intensive Care Audit Network (PICANet)</w:t>
      </w:r>
      <w:r w:rsidRPr="00607F48">
        <w:rPr>
          <w:noProof/>
          <w:vertAlign w:val="superscript"/>
        </w:rPr>
        <w:t>56</w:t>
      </w:r>
      <w:r w:rsidRPr="00AB54A0">
        <w:t xml:space="preserve"> to the child’s study data to categorise the primary reason for admission and the Paediatric Index of Mortality score on admission (PIM2) and to link to administrative hospital data for the economic analyses and death registration data to determine mortality after discharge from PICU.</w:t>
      </w:r>
      <w:r w:rsidRPr="00607F48">
        <w:rPr>
          <w:noProof/>
          <w:vertAlign w:val="superscript"/>
        </w:rPr>
        <w:t>57</w:t>
      </w:r>
    </w:p>
    <w:p w:rsidR="006A57B2" w:rsidRDefault="006A57B2" w:rsidP="00B22173">
      <w:pPr>
        <w:pStyle w:val="Heading2"/>
        <w:spacing w:line="360" w:lineRule="auto"/>
      </w:pPr>
      <w:bookmarkStart w:id="55" w:name="_Toc418857487"/>
      <w:bookmarkStart w:id="56" w:name="_Toc428195168"/>
      <w:r>
        <w:t>Blinding</w:t>
      </w:r>
      <w:bookmarkEnd w:id="55"/>
      <w:bookmarkEnd w:id="56"/>
    </w:p>
    <w:p w:rsidR="006A57B2" w:rsidRDefault="006A57B2" w:rsidP="002A65E1">
      <w:pPr>
        <w:tabs>
          <w:tab w:val="left" w:pos="3261"/>
        </w:tabs>
        <w:spacing w:line="360" w:lineRule="auto"/>
      </w:pPr>
      <w:r>
        <w:t>CVC allocation was not blinded to the clinician responsible for inserting the CVC (due to different colour strips for antibiotic and heparin CVCs) but since CVCs looked identical whilst in situ, allocation was concealed from patients, their parents and PICU personnel responsible for their care. Labels identifying the type of CVC were held securely in a locked drawer in case unblinding was required. Participant inclusion in analyses and occurrence of outcome events were established prior to release of the randomisation sequence for analysis.</w:t>
      </w:r>
    </w:p>
    <w:p w:rsidR="006A57B2" w:rsidRPr="00256E5F" w:rsidRDefault="006A57B2" w:rsidP="00B22173">
      <w:pPr>
        <w:pStyle w:val="Heading2"/>
        <w:spacing w:line="360" w:lineRule="auto"/>
      </w:pPr>
      <w:bookmarkStart w:id="57" w:name="_Toc418857488"/>
      <w:bookmarkStart w:id="58" w:name="_Toc428195169"/>
      <w:r w:rsidRPr="00256E5F">
        <w:t xml:space="preserve">Comparisons and </w:t>
      </w:r>
      <w:r>
        <w:t>outcomes</w:t>
      </w:r>
      <w:bookmarkEnd w:id="57"/>
      <w:bookmarkEnd w:id="58"/>
    </w:p>
    <w:p w:rsidR="006A57B2" w:rsidRPr="00AB54A0" w:rsidRDefault="006A57B2" w:rsidP="00B22173">
      <w:pPr>
        <w:spacing w:line="360" w:lineRule="auto"/>
      </w:pPr>
      <w:r w:rsidRPr="00AB54A0">
        <w:t>The primary analysis for the trial compared antibiotic or heparin CVCs with standard CVCs. Secondary analyses compared antibiotic with standard CVCs, heparin with standard CVCs, and antibiotic with heparin CVCs.</w:t>
      </w:r>
    </w:p>
    <w:p w:rsidR="006A57B2" w:rsidRPr="00AB54A0" w:rsidRDefault="006A57B2" w:rsidP="00B22173">
      <w:pPr>
        <w:spacing w:line="360" w:lineRule="auto"/>
      </w:pPr>
      <w:r w:rsidRPr="00AB54A0">
        <w:t>The primary outcome was time to the first BSI based on blood cultures taken between 48 hours after randomisation and 48 hours after CVC removal (or prior to death)</w:t>
      </w:r>
      <w:r w:rsidRPr="00FF11BF">
        <w:t>. This time interval was intended to capture BSI related to the type of CVC.</w:t>
      </w:r>
      <w:r>
        <w:t xml:space="preserve"> </w:t>
      </w:r>
      <w:r w:rsidRPr="00AB54A0">
        <w:t>All blood culture samples were clinically indicated, defined by removal of the CVC due to suspected infection or other recorded evidence of infection (one or more of:</w:t>
      </w:r>
      <w:r>
        <w:t xml:space="preserve"> temperature instability</w:t>
      </w:r>
      <w:r w:rsidRPr="00AB54A0">
        <w:t>, change in inotrope requirements, haemodynamic instability, or poor perfusion).</w:t>
      </w:r>
      <w:r w:rsidRPr="00AB54A0" w:rsidDel="00E45991">
        <w:t xml:space="preserve"> </w:t>
      </w:r>
      <w:r w:rsidRPr="00AB54A0">
        <w:t xml:space="preserve">Any positive blood culture was accepted for a non-skin organism, but for skin organisms, two or more positive cultures of the same organism were required within 48 hours of each other. A clinical committee reviewed all primary outcomes involving positive cultures. </w:t>
      </w:r>
    </w:p>
    <w:p w:rsidR="006A57B2" w:rsidRPr="00AB54A0" w:rsidRDefault="006A57B2" w:rsidP="00B22173">
      <w:pPr>
        <w:spacing w:line="360" w:lineRule="auto"/>
      </w:pPr>
      <w:r w:rsidRPr="00AB54A0">
        <w:t>We conducted a sensitivity analysis for potentially missing microbiology data, by assuming that children with a record of clinical indication but no sample taken in the primary outcome time window did actually experience the primary outcome.</w:t>
      </w:r>
    </w:p>
    <w:p w:rsidR="006A57B2" w:rsidRPr="00AB54A0" w:rsidRDefault="006A57B2" w:rsidP="00B22173">
      <w:pPr>
        <w:spacing w:line="360" w:lineRule="auto"/>
      </w:pPr>
      <w:r w:rsidRPr="00AB54A0">
        <w:t xml:space="preserve">Secondary BSI outcomes were: </w:t>
      </w:r>
    </w:p>
    <w:p w:rsidR="006A57B2" w:rsidRPr="00AB54A0" w:rsidRDefault="006A57B2" w:rsidP="00B22173">
      <w:pPr>
        <w:pStyle w:val="ListParagraph"/>
        <w:numPr>
          <w:ilvl w:val="0"/>
          <w:numId w:val="9"/>
        </w:numPr>
        <w:spacing w:line="360" w:lineRule="auto"/>
      </w:pPr>
      <w:r w:rsidRPr="00AB54A0">
        <w:t xml:space="preserve">CR-BSI: based on same organisms cultured from blood and CVC tip between 48 hours after randomisation and 48 hours after CVC removal; or </w:t>
      </w:r>
      <w:r w:rsidRPr="00AB54A0">
        <w:rPr>
          <w:rFonts w:eastAsia="Calibri" w:cs="Times New Roman"/>
        </w:rPr>
        <w:t xml:space="preserve">differential </w:t>
      </w:r>
      <w:r w:rsidRPr="00AB54A0">
        <w:t xml:space="preserve">positivity of cultures from multiple CVC lumens on two or more occasions; or BSI and exit site infection or BSI and CVC removed for infection; </w:t>
      </w:r>
    </w:p>
    <w:p w:rsidR="006A57B2" w:rsidRPr="00AB54A0" w:rsidRDefault="006A57B2" w:rsidP="00B22173">
      <w:pPr>
        <w:pStyle w:val="ListParagraph"/>
        <w:numPr>
          <w:ilvl w:val="0"/>
          <w:numId w:val="9"/>
        </w:numPr>
        <w:spacing w:line="360" w:lineRule="auto"/>
      </w:pPr>
      <w:r w:rsidRPr="00AB54A0">
        <w:t xml:space="preserve">Rate of BSI per 1000 CVC-days: based on one or more BSI between randomisation and CVC removal; </w:t>
      </w:r>
    </w:p>
    <w:p w:rsidR="006A57B2" w:rsidRPr="00AB54A0" w:rsidRDefault="006A57B2" w:rsidP="00B22173">
      <w:pPr>
        <w:pStyle w:val="ListParagraph"/>
        <w:numPr>
          <w:ilvl w:val="0"/>
          <w:numId w:val="9"/>
        </w:numPr>
        <w:spacing w:line="360" w:lineRule="auto"/>
      </w:pPr>
      <w:r w:rsidRPr="00AB54A0">
        <w:t>Time to a composite measure of BSI: comprising the primary outcome or a negative blood culture, combined with: i) a positive 16S PCR result for bacterial DNA; ii) removal of the CVC because of suspected infection; or iii) start of antibiotics or change in type of antibiotics on the same or next day.</w:t>
      </w:r>
    </w:p>
    <w:p w:rsidR="006A57B2" w:rsidRPr="00AB54A0" w:rsidRDefault="006A57B2" w:rsidP="00B22173">
      <w:pPr>
        <w:spacing w:line="360" w:lineRule="auto"/>
      </w:pPr>
      <w:r w:rsidRPr="00AB54A0">
        <w:t xml:space="preserve">Other secondary outcomes were: </w:t>
      </w:r>
    </w:p>
    <w:p w:rsidR="006A57B2" w:rsidRPr="00AB54A0" w:rsidRDefault="006A57B2" w:rsidP="00B22173">
      <w:pPr>
        <w:pStyle w:val="ListParagraph"/>
        <w:numPr>
          <w:ilvl w:val="0"/>
          <w:numId w:val="9"/>
        </w:numPr>
        <w:spacing w:line="360" w:lineRule="auto"/>
      </w:pPr>
      <w:r w:rsidRPr="00AB54A0">
        <w:t>Time to CVC thrombosis (defined by two episodes within five days of each other of difficulty flushing the CVC or drawing back blood from the CVC, one episode of swollen limb, CVC removal due to thrombosis, or a positive ultrasound indicating thrombosis)</w:t>
      </w:r>
    </w:p>
    <w:p w:rsidR="006A57B2" w:rsidRPr="00AB54A0" w:rsidRDefault="006A57B2" w:rsidP="00B22173">
      <w:pPr>
        <w:pStyle w:val="ListParagraph"/>
        <w:numPr>
          <w:ilvl w:val="0"/>
          <w:numId w:val="9"/>
        </w:numPr>
        <w:spacing w:line="360" w:lineRule="auto"/>
      </w:pPr>
      <w:r w:rsidRPr="00AB54A0">
        <w:t>Time to CVC removal</w:t>
      </w:r>
    </w:p>
    <w:p w:rsidR="006A57B2" w:rsidRPr="00AB54A0" w:rsidRDefault="006A57B2" w:rsidP="00B22173">
      <w:pPr>
        <w:pStyle w:val="ListParagraph"/>
        <w:numPr>
          <w:ilvl w:val="0"/>
          <w:numId w:val="9"/>
        </w:numPr>
        <w:spacing w:line="360" w:lineRule="auto"/>
      </w:pPr>
      <w:r w:rsidRPr="00AB54A0">
        <w:t xml:space="preserve">Mortality by 30 days </w:t>
      </w:r>
    </w:p>
    <w:p w:rsidR="006A57B2" w:rsidRPr="00AB54A0" w:rsidRDefault="006A57B2" w:rsidP="00B22173">
      <w:pPr>
        <w:pStyle w:val="ListParagraph"/>
        <w:numPr>
          <w:ilvl w:val="0"/>
          <w:numId w:val="9"/>
        </w:numPr>
        <w:spacing w:line="360" w:lineRule="auto"/>
      </w:pPr>
      <w:r w:rsidRPr="00AB54A0">
        <w:t xml:space="preserve">Length of PICU admission </w:t>
      </w:r>
    </w:p>
    <w:p w:rsidR="006A57B2" w:rsidRPr="00AB54A0" w:rsidRDefault="006A57B2" w:rsidP="00B22173">
      <w:pPr>
        <w:pStyle w:val="ListParagraph"/>
        <w:numPr>
          <w:ilvl w:val="0"/>
          <w:numId w:val="9"/>
        </w:numPr>
        <w:spacing w:line="360" w:lineRule="auto"/>
      </w:pPr>
      <w:r w:rsidRPr="00AB54A0">
        <w:t>Length of hospital stay (up to 6 months post-randomisation)</w:t>
      </w:r>
    </w:p>
    <w:p w:rsidR="006A57B2" w:rsidRPr="00AB54A0" w:rsidRDefault="006A57B2" w:rsidP="00B22173">
      <w:pPr>
        <w:pStyle w:val="ListParagraph"/>
        <w:numPr>
          <w:ilvl w:val="0"/>
          <w:numId w:val="9"/>
        </w:numPr>
        <w:spacing w:line="360" w:lineRule="auto"/>
      </w:pPr>
      <w:r w:rsidRPr="00AB54A0">
        <w:t>Type of bacteria or fungi isolated from BSI included in the primary outcome</w:t>
      </w:r>
    </w:p>
    <w:p w:rsidR="006A57B2" w:rsidRPr="00AB54A0" w:rsidRDefault="006A57B2" w:rsidP="00B22173">
      <w:pPr>
        <w:spacing w:line="360" w:lineRule="auto"/>
      </w:pPr>
      <w:r w:rsidRPr="00AB54A0">
        <w:t>CVC-related outcomes evaluated in the safety analyses were:</w:t>
      </w:r>
    </w:p>
    <w:p w:rsidR="006A57B2" w:rsidRPr="00AB54A0" w:rsidRDefault="006A57B2" w:rsidP="00B22173">
      <w:pPr>
        <w:pStyle w:val="ListParagraph"/>
        <w:numPr>
          <w:ilvl w:val="0"/>
          <w:numId w:val="8"/>
        </w:numPr>
        <w:spacing w:line="360" w:lineRule="auto"/>
      </w:pPr>
      <w:r w:rsidRPr="00AB54A0">
        <w:t xml:space="preserve">CVC-related adverse events (unexplained thrombocytopenia after insertion of CVC, exit site infection, hypersensitivity, trauma from line insertion, line displacement, line breakage/mechanical problem/manufacture complication) </w:t>
      </w:r>
    </w:p>
    <w:p w:rsidR="006A57B2" w:rsidRPr="00AB54A0" w:rsidRDefault="006A57B2" w:rsidP="00B22173">
      <w:pPr>
        <w:pStyle w:val="ListParagraph"/>
        <w:numPr>
          <w:ilvl w:val="0"/>
          <w:numId w:val="8"/>
        </w:numPr>
        <w:spacing w:line="360" w:lineRule="auto"/>
      </w:pPr>
      <w:r w:rsidRPr="00AB54A0">
        <w:t>Mortality recorded up till hospital discharge</w:t>
      </w:r>
    </w:p>
    <w:p w:rsidR="006A57B2" w:rsidRPr="00AB54A0" w:rsidRDefault="006A57B2" w:rsidP="00B22173">
      <w:pPr>
        <w:pStyle w:val="ListParagraph"/>
        <w:numPr>
          <w:ilvl w:val="0"/>
          <w:numId w:val="8"/>
        </w:numPr>
        <w:spacing w:line="360" w:lineRule="auto"/>
      </w:pPr>
      <w:r w:rsidRPr="00AB54A0">
        <w:t xml:space="preserve">Antibiotic resistance to minocycline (&gt;0.5 </w:t>
      </w:r>
      <w:r w:rsidRPr="00AB54A0">
        <w:rPr>
          <w:rFonts w:cstheme="minorHAnsi"/>
        </w:rPr>
        <w:t>µ</w:t>
      </w:r>
      <w:r w:rsidRPr="00AB54A0">
        <w:t xml:space="preserve">g/ml) or rifampicin (&gt;1.0 </w:t>
      </w:r>
      <w:r w:rsidRPr="00AB54A0">
        <w:rPr>
          <w:rFonts w:cstheme="minorHAnsi"/>
        </w:rPr>
        <w:t>µ</w:t>
      </w:r>
      <w:r w:rsidRPr="00AB54A0">
        <w:t xml:space="preserve">g/ml) </w:t>
      </w:r>
    </w:p>
    <w:p w:rsidR="006A57B2" w:rsidRPr="00AB54A0" w:rsidRDefault="006A57B2" w:rsidP="00B22173">
      <w:pPr>
        <w:spacing w:line="360" w:lineRule="auto"/>
      </w:pPr>
      <w:r w:rsidRPr="00AB54A0">
        <w:t>Antibiotic resistance outcomes were based on etest strips applied to organisms isolated from BSI included in the primary outcome (</w:t>
      </w:r>
      <w:r w:rsidRPr="006A57B2">
        <w:t>www.biomerieux-diagnostics.com/etest</w:t>
      </w:r>
      <w:r w:rsidRPr="00AB54A0">
        <w:t xml:space="preserve">). Incomplete laboratory testing and reporting prevented analysis of resistance in cultures from the CVC tip (as specified in the protocol). </w:t>
      </w:r>
    </w:p>
    <w:p w:rsidR="006A57B2" w:rsidRDefault="006A57B2" w:rsidP="00B22173">
      <w:pPr>
        <w:pStyle w:val="Heading2"/>
        <w:spacing w:line="360" w:lineRule="auto"/>
      </w:pPr>
      <w:bookmarkStart w:id="59" w:name="_Toc418857489"/>
      <w:bookmarkStart w:id="60" w:name="_Toc428195170"/>
      <w:r>
        <w:t>Sample size</w:t>
      </w:r>
      <w:bookmarkEnd w:id="59"/>
      <w:bookmarkEnd w:id="60"/>
    </w:p>
    <w:p w:rsidR="006A57B2" w:rsidRDefault="006A57B2" w:rsidP="00B22173">
      <w:pPr>
        <w:spacing w:line="360" w:lineRule="auto"/>
      </w:pPr>
      <w:r>
        <w:rPr>
          <w:rFonts w:eastAsia="Calibri"/>
        </w:rPr>
        <w:t xml:space="preserve">We based the sample size calculation for the </w:t>
      </w:r>
      <w:r w:rsidRPr="00706741">
        <w:rPr>
          <w:rFonts w:eastAsia="Calibri"/>
        </w:rPr>
        <w:t xml:space="preserve">primary </w:t>
      </w:r>
      <w:r>
        <w:rPr>
          <w:rFonts w:eastAsia="Calibri"/>
        </w:rPr>
        <w:t xml:space="preserve">analysis </w:t>
      </w:r>
      <w:r w:rsidRPr="00706741" w:rsidDel="00657A54">
        <w:rPr>
          <w:rFonts w:eastAsia="Calibri"/>
        </w:rPr>
        <w:t xml:space="preserve">on </w:t>
      </w:r>
      <w:r>
        <w:rPr>
          <w:rFonts w:eastAsia="Calibri"/>
        </w:rPr>
        <w:t xml:space="preserve">a </w:t>
      </w:r>
      <w:r w:rsidRPr="00706741" w:rsidDel="00657A54">
        <w:rPr>
          <w:rFonts w:eastAsia="Calibri"/>
        </w:rPr>
        <w:t>relative risk</w:t>
      </w:r>
      <w:r>
        <w:rPr>
          <w:rFonts w:eastAsia="Calibri"/>
        </w:rPr>
        <w:t xml:space="preserve"> (RR)</w:t>
      </w:r>
      <w:r w:rsidRPr="00706741" w:rsidDel="00657A54">
        <w:rPr>
          <w:rFonts w:eastAsia="Calibri"/>
        </w:rPr>
        <w:t xml:space="preserve">. </w:t>
      </w:r>
      <w:r>
        <w:rPr>
          <w:rFonts w:eastAsia="Calibri"/>
        </w:rPr>
        <w:t xml:space="preserve">We assumed </w:t>
      </w:r>
      <w:r w:rsidRPr="00706741">
        <w:t xml:space="preserve">detection of a </w:t>
      </w:r>
      <w:r>
        <w:t>RR</w:t>
      </w:r>
      <w:r w:rsidRPr="00706741">
        <w:t xml:space="preserve"> of 0.5 in patients with a baseline risk of 10% would change policy</w:t>
      </w:r>
      <w:r>
        <w:t xml:space="preserve">. We assumed the RR </w:t>
      </w:r>
      <w:r w:rsidRPr="00706741">
        <w:t>would remain relatively constant across baseline risks while the absolute risk difference would be more variable</w:t>
      </w:r>
      <w:r>
        <w:t>. 1</w:t>
      </w:r>
      <w:r w:rsidRPr="00706741">
        <w:t>200 children w</w:t>
      </w:r>
      <w:r>
        <w:t>ere</w:t>
      </w:r>
      <w:r w:rsidRPr="00706741">
        <w:t xml:space="preserve"> required </w:t>
      </w:r>
      <w:r>
        <w:t xml:space="preserve">in a 2:1 ratio (impregnated:standard) </w:t>
      </w:r>
      <w:r w:rsidRPr="00706741">
        <w:t xml:space="preserve">to achieve 80% power </w:t>
      </w:r>
      <w:r>
        <w:t>to</w:t>
      </w:r>
      <w:r w:rsidRPr="00706741">
        <w:t xml:space="preserve"> detect a </w:t>
      </w:r>
      <w:r>
        <w:t>RR</w:t>
      </w:r>
      <w:r w:rsidRPr="00706741">
        <w:t xml:space="preserve"> of 0.5 at a 5% level of significance, based on an estimated BSI rate of 10% and allowing for 5% loss to follow-up. </w:t>
      </w:r>
      <w:r>
        <w:t xml:space="preserve">A </w:t>
      </w:r>
      <w:r w:rsidRPr="00706741">
        <w:t xml:space="preserve">lower than </w:t>
      </w:r>
      <w:r>
        <w:t>expected BSI rate of 5%</w:t>
      </w:r>
      <w:r w:rsidRPr="00706741">
        <w:t xml:space="preserve"> would have </w:t>
      </w:r>
      <w:r>
        <w:t>62</w:t>
      </w:r>
      <w:r w:rsidRPr="00706741">
        <w:t>%</w:t>
      </w:r>
      <w:r>
        <w:t xml:space="preserve"> power </w:t>
      </w:r>
      <w:r w:rsidRPr="00706741">
        <w:t xml:space="preserve">to </w:t>
      </w:r>
      <w:r>
        <w:t>detect a RR of 0.5 or 80% power for a RR of 0.32.</w:t>
      </w:r>
    </w:p>
    <w:p w:rsidR="006A57B2" w:rsidRDefault="006A57B2" w:rsidP="00B22173">
      <w:pPr>
        <w:spacing w:line="360" w:lineRule="auto"/>
      </w:pPr>
      <w:r>
        <w:t>The Independent Data Monitoring Committee recommended continuation of the study after: reviewing the first 209 children; an</w:t>
      </w:r>
      <w:r w:rsidRPr="000A09A0">
        <w:t xml:space="preserve"> interim analysis </w:t>
      </w:r>
      <w:r>
        <w:t xml:space="preserve">of 650 children using the Peto-Haybittle stopping rule for the primary outcome; recruitment had reached the original target of 1200 pre-schedule in June 2012, before exhausting available funding (see Trial Oversight Committee and Table 22 at end of report). </w:t>
      </w:r>
    </w:p>
    <w:p w:rsidR="006A57B2" w:rsidRDefault="006A57B2" w:rsidP="00B22173">
      <w:pPr>
        <w:pStyle w:val="Heading2"/>
        <w:spacing w:line="360" w:lineRule="auto"/>
      </w:pPr>
      <w:bookmarkStart w:id="61" w:name="_Toc418857490"/>
      <w:bookmarkStart w:id="62" w:name="_Toc428195171"/>
      <w:r>
        <w:t>Statistical methods</w:t>
      </w:r>
      <w:bookmarkEnd w:id="61"/>
      <w:bookmarkEnd w:id="62"/>
    </w:p>
    <w:p w:rsidR="006A57B2" w:rsidRDefault="006A57B2" w:rsidP="00B22173">
      <w:pPr>
        <w:spacing w:line="360" w:lineRule="auto"/>
      </w:pPr>
      <w:r>
        <w:t xml:space="preserve">Outcome data were analysed according to the intention to treat principle </w:t>
      </w:r>
      <w:r>
        <w:rPr>
          <w:rFonts w:eastAsia="Times New Roman" w:cstheme="minorHAnsi"/>
        </w:rPr>
        <w:t>meaning that children who were consented and randomised were analysed according to type of CVC randomised, regardless of whether CVC insertion was attempted or the type of CVC received.</w:t>
      </w:r>
      <w:r>
        <w:t xml:space="preserve"> </w:t>
      </w:r>
      <w:r w:rsidRPr="009E0C41">
        <w:t xml:space="preserve">Safety analyses included the subset of children for whom CVC insertion was attempted, grouped by CVC actually received. </w:t>
      </w:r>
    </w:p>
    <w:p w:rsidR="006A57B2" w:rsidRDefault="006A57B2" w:rsidP="00B22173">
      <w:pPr>
        <w:spacing w:line="360" w:lineRule="auto"/>
      </w:pPr>
      <w:r>
        <w:t xml:space="preserve">The statistical analysis plan was developed prior to analysis and is available in Appendix 4. A 5% level of statistical significance and 95% confidence intervals were used throughout. Absolute risk differences were calculated for proportions. Time-to-event </w:t>
      </w:r>
      <w:r w:rsidRPr="00EC46B7">
        <w:t xml:space="preserve">outcomes were analysed using Kaplan-Meier curves and the log-rank test. </w:t>
      </w:r>
      <w:r w:rsidRPr="00A9102F">
        <w:rPr>
          <w:rFonts w:eastAsia="Times New Roman" w:cstheme="minorHAnsi"/>
        </w:rPr>
        <w:t xml:space="preserve">Cox regression was used to adjust </w:t>
      </w:r>
      <w:r>
        <w:rPr>
          <w:rFonts w:eastAsia="Times New Roman" w:cstheme="minorHAnsi"/>
        </w:rPr>
        <w:t xml:space="preserve">the primary analysis of time to BSI </w:t>
      </w:r>
      <w:r w:rsidRPr="00A9102F">
        <w:rPr>
          <w:rFonts w:eastAsia="Times New Roman" w:cstheme="minorHAnsi"/>
        </w:rPr>
        <w:t xml:space="preserve">for </w:t>
      </w:r>
      <w:r>
        <w:rPr>
          <w:rFonts w:eastAsia="Times New Roman" w:cstheme="minorHAnsi"/>
        </w:rPr>
        <w:t xml:space="preserve">the use of </w:t>
      </w:r>
      <w:r w:rsidRPr="00A9102F">
        <w:rPr>
          <w:rFonts w:eastAsia="Times New Roman" w:cstheme="minorHAnsi"/>
        </w:rPr>
        <w:t>prospective or deferred consent and suspected infection at baseline</w:t>
      </w:r>
      <w:r>
        <w:rPr>
          <w:rFonts w:eastAsia="Times New Roman" w:cstheme="minorHAnsi"/>
        </w:rPr>
        <w:t>.</w:t>
      </w:r>
      <w:r w:rsidRPr="00A9102F">
        <w:rPr>
          <w:rFonts w:eastAsia="Times New Roman" w:cstheme="minorHAnsi"/>
        </w:rPr>
        <w:t xml:space="preserve"> </w:t>
      </w:r>
      <w:r>
        <w:rPr>
          <w:rFonts w:eastAsia="Times New Roman" w:cstheme="minorHAnsi"/>
        </w:rPr>
        <w:t xml:space="preserve">Poisson regression was used to analyse the secondary outcome of </w:t>
      </w:r>
      <w:r w:rsidRPr="00A9102F">
        <w:rPr>
          <w:rFonts w:eastAsia="Times New Roman" w:cstheme="minorHAnsi"/>
        </w:rPr>
        <w:t xml:space="preserve">rate of BSI (defined as the total number of BSI per 1000 CVC-days occurring between randomisation and CVC </w:t>
      </w:r>
      <w:r w:rsidRPr="00FE3A93">
        <w:rPr>
          <w:rFonts w:eastAsia="Times New Roman" w:cstheme="minorHAnsi"/>
        </w:rPr>
        <w:t>removal)</w:t>
      </w:r>
      <w:r>
        <w:rPr>
          <w:rFonts w:eastAsia="Times New Roman" w:cstheme="minorHAnsi"/>
        </w:rPr>
        <w:t>.</w:t>
      </w:r>
      <w:r w:rsidRPr="00FE3A93">
        <w:rPr>
          <w:rFonts w:eastAsia="Times New Roman" w:cstheme="minorHAnsi"/>
        </w:rPr>
        <w:t xml:space="preserve"> </w:t>
      </w:r>
      <w:r w:rsidRPr="00D164E1">
        <w:t>All analyses were conducted using SAS software.</w:t>
      </w:r>
      <w:r w:rsidRPr="00607F48">
        <w:rPr>
          <w:noProof/>
          <w:vertAlign w:val="superscript"/>
        </w:rPr>
        <w:t>58</w:t>
      </w:r>
    </w:p>
    <w:p w:rsidR="006A57B2" w:rsidRPr="007D133B" w:rsidRDefault="006A57B2" w:rsidP="00B22173">
      <w:pPr>
        <w:spacing w:line="360" w:lineRule="auto"/>
      </w:pPr>
      <w:r>
        <w:rPr>
          <w:rFonts w:eastAsia="Times New Roman" w:cstheme="minorHAnsi"/>
        </w:rPr>
        <w:t xml:space="preserve">Post hoc analyses evaluated </w:t>
      </w:r>
      <w:r>
        <w:rPr>
          <w:rFonts w:cs="Times New Roman"/>
        </w:rPr>
        <w:t xml:space="preserve">competing risks from death or </w:t>
      </w:r>
      <w:r w:rsidRPr="00595437">
        <w:rPr>
          <w:rFonts w:cs="Times New Roman"/>
        </w:rPr>
        <w:t xml:space="preserve">time to </w:t>
      </w:r>
      <w:r>
        <w:rPr>
          <w:rFonts w:cs="Times New Roman"/>
        </w:rPr>
        <w:t>first bloodstream infection, u</w:t>
      </w:r>
      <w:r>
        <w:rPr>
          <w:rFonts w:eastAsia="Times New Roman" w:cstheme="minorHAnsi"/>
        </w:rPr>
        <w:t>sing c</w:t>
      </w:r>
      <w:r w:rsidRPr="00595437">
        <w:rPr>
          <w:rFonts w:cs="Times New Roman"/>
        </w:rPr>
        <w:t>umulative incidence curves</w:t>
      </w:r>
      <w:r>
        <w:rPr>
          <w:rFonts w:cs="Times New Roman"/>
        </w:rPr>
        <w:t>. We applied Gra</w:t>
      </w:r>
      <w:r w:rsidRPr="004E282E">
        <w:rPr>
          <w:rFonts w:cs="Times New Roman"/>
        </w:rPr>
        <w:t>y’s test to detect whether there was a difference between impregnated and standard CVCs for the primary outcome.</w:t>
      </w:r>
      <w:r w:rsidRPr="00607F48">
        <w:rPr>
          <w:rFonts w:cs="Times New Roman"/>
          <w:noProof/>
          <w:vertAlign w:val="superscript"/>
        </w:rPr>
        <w:t>59</w:t>
      </w:r>
      <w:r w:rsidRPr="004E282E">
        <w:rPr>
          <w:rFonts w:cs="Times New Roman"/>
        </w:rPr>
        <w:t xml:space="preserve"> </w:t>
      </w:r>
      <w:r w:rsidRPr="004E282E">
        <w:t>This analysis was conducted using R statistical software.</w:t>
      </w:r>
      <w:r w:rsidRPr="00607F48">
        <w:rPr>
          <w:noProof/>
          <w:vertAlign w:val="superscript"/>
        </w:rPr>
        <w:t>60</w:t>
      </w:r>
    </w:p>
    <w:p w:rsidR="006A57B2" w:rsidRDefault="006A57B2" w:rsidP="00B22173">
      <w:pPr>
        <w:pStyle w:val="Heading2"/>
        <w:spacing w:line="360" w:lineRule="auto"/>
      </w:pPr>
      <w:bookmarkStart w:id="63" w:name="_Toc418857491"/>
      <w:bookmarkStart w:id="64" w:name="_Toc428195172"/>
      <w:r>
        <w:t>Study oversight and role of funders</w:t>
      </w:r>
      <w:bookmarkEnd w:id="63"/>
      <w:bookmarkEnd w:id="64"/>
    </w:p>
    <w:p w:rsidR="006A57B2" w:rsidRDefault="006A57B2" w:rsidP="00B22173">
      <w:pPr>
        <w:spacing w:line="360" w:lineRule="auto"/>
        <w:rPr>
          <w:rFonts w:eastAsia="Times New Roman" w:cstheme="minorHAnsi"/>
          <w:color w:val="000000"/>
          <w:lang w:eastAsia="en-GB"/>
        </w:rPr>
      </w:pPr>
      <w:r w:rsidRPr="00AB54A0">
        <w:t xml:space="preserve">The Research Ethics Committee for South West England approved the study protocol. The manufacturer Cook supplied CVCs to participating units at a 20% discounted price. Neither the manufacturer nor the funder (the National Institute of Health Research) had any role in the design of the study, collection or interpretation of data or reporting of results. </w:t>
      </w:r>
      <w:r w:rsidRPr="00AB54A0">
        <w:rPr>
          <w:rFonts w:cstheme="minorHAnsi"/>
        </w:rPr>
        <w:t xml:space="preserve">The CATCH trial is registered with </w:t>
      </w:r>
      <w:r w:rsidRPr="00AB54A0">
        <w:rPr>
          <w:rFonts w:eastAsia="Times New Roman" w:cstheme="minorHAnsi"/>
          <w:bCs/>
          <w:color w:val="000000"/>
          <w:lang w:eastAsia="en-GB"/>
        </w:rPr>
        <w:t>ClinicalTrials</w:t>
      </w:r>
      <w:r w:rsidRPr="00193B5B">
        <w:rPr>
          <w:rFonts w:eastAsia="Times New Roman" w:cstheme="minorHAnsi"/>
          <w:bCs/>
          <w:color w:val="000000"/>
          <w:lang w:eastAsia="en-GB"/>
        </w:rPr>
        <w:t>.gov (Identifier</w:t>
      </w:r>
      <w:r w:rsidRPr="00193B5B">
        <w:rPr>
          <w:rFonts w:eastAsia="Times New Roman" w:cstheme="minorHAnsi"/>
          <w:b/>
          <w:bCs/>
          <w:color w:val="000000"/>
          <w:lang w:eastAsia="en-GB"/>
        </w:rPr>
        <w:t>:</w:t>
      </w:r>
      <w:r>
        <w:rPr>
          <w:rFonts w:eastAsia="Times New Roman" w:cstheme="minorHAnsi"/>
          <w:b/>
          <w:bCs/>
          <w:color w:val="000000"/>
          <w:lang w:eastAsia="en-GB"/>
        </w:rPr>
        <w:t xml:space="preserve"> </w:t>
      </w:r>
      <w:r w:rsidRPr="00EF0F74">
        <w:rPr>
          <w:rFonts w:eastAsia="Times New Roman" w:cstheme="minorHAnsi"/>
          <w:color w:val="000000"/>
          <w:lang w:eastAsia="en-GB"/>
        </w:rPr>
        <w:t>NCT01029717).</w:t>
      </w:r>
      <w:r w:rsidRPr="00613C31">
        <w:rPr>
          <w:rFonts w:cstheme="minorHAnsi"/>
        </w:rPr>
        <w:t xml:space="preserve"> </w:t>
      </w:r>
      <w:r>
        <w:rPr>
          <w:rFonts w:eastAsia="Calibri" w:cs="Calibri"/>
          <w:color w:val="000000"/>
          <w:lang w:eastAsia="en-GB"/>
        </w:rPr>
        <w:t xml:space="preserve">The protocol is available at </w:t>
      </w:r>
      <w:r w:rsidRPr="006A57B2">
        <w:rPr>
          <w:rFonts w:eastAsia="Calibri" w:cs="Calibri"/>
          <w:color w:val="000000"/>
          <w:lang w:eastAsia="en-GB"/>
        </w:rPr>
        <w:t>http://www.nets.nihr.ac.uk/projects/hta/081347</w:t>
      </w:r>
      <w:r>
        <w:rPr>
          <w:rFonts w:eastAsia="Calibri" w:cs="Calibri"/>
          <w:color w:val="000000"/>
          <w:lang w:eastAsia="en-GB"/>
        </w:rPr>
        <w:t xml:space="preserve"> and the s</w:t>
      </w:r>
      <w:r w:rsidRPr="00613C31">
        <w:rPr>
          <w:rFonts w:eastAsia="Calibri" w:cs="Calibri"/>
          <w:color w:val="000000"/>
          <w:lang w:eastAsia="en-GB"/>
        </w:rPr>
        <w:t xml:space="preserve">tatistical </w:t>
      </w:r>
      <w:r>
        <w:rPr>
          <w:rFonts w:eastAsia="Calibri" w:cs="Calibri"/>
          <w:color w:val="000000"/>
          <w:lang w:eastAsia="en-GB"/>
        </w:rPr>
        <w:t>a</w:t>
      </w:r>
      <w:r w:rsidRPr="00613C31">
        <w:rPr>
          <w:rFonts w:eastAsia="Calibri" w:cs="Calibri"/>
          <w:color w:val="000000"/>
          <w:lang w:eastAsia="en-GB"/>
        </w:rPr>
        <w:t xml:space="preserve">nalysis </w:t>
      </w:r>
      <w:r>
        <w:rPr>
          <w:rFonts w:eastAsia="Calibri" w:cs="Calibri"/>
          <w:color w:val="000000"/>
          <w:lang w:eastAsia="en-GB"/>
        </w:rPr>
        <w:t>p</w:t>
      </w:r>
      <w:r w:rsidRPr="00613C31">
        <w:rPr>
          <w:rFonts w:eastAsia="Calibri" w:cs="Calibri"/>
          <w:color w:val="000000"/>
          <w:lang w:eastAsia="en-GB"/>
        </w:rPr>
        <w:t xml:space="preserve">lan </w:t>
      </w:r>
      <w:r>
        <w:rPr>
          <w:rFonts w:eastAsia="Calibri" w:cs="Calibri"/>
          <w:color w:val="000000"/>
          <w:lang w:eastAsia="en-GB"/>
        </w:rPr>
        <w:t>is provided</w:t>
      </w:r>
      <w:r w:rsidRPr="00193B5B">
        <w:rPr>
          <w:rFonts w:eastAsia="Calibri" w:cs="Calibri"/>
          <w:color w:val="000000"/>
          <w:lang w:eastAsia="en-GB"/>
        </w:rPr>
        <w:t xml:space="preserve"> in </w:t>
      </w:r>
      <w:r>
        <w:rPr>
          <w:rFonts w:eastAsia="Calibri" w:cs="Calibri"/>
          <w:lang w:eastAsia="en-GB"/>
        </w:rPr>
        <w:t>Appendix 4.</w:t>
      </w:r>
      <w:r w:rsidRPr="005E10F3">
        <w:rPr>
          <w:rFonts w:eastAsia="Calibri" w:cs="Calibri"/>
          <w:lang w:eastAsia="en-GB"/>
        </w:rPr>
        <w:t xml:space="preserve"> </w:t>
      </w:r>
      <w:r w:rsidRPr="00AB54A0">
        <w:rPr>
          <w:rFonts w:eastAsia="Times New Roman" w:cstheme="minorHAnsi"/>
          <w:color w:val="000000"/>
          <w:lang w:eastAsia="en-GB"/>
        </w:rPr>
        <w:t xml:space="preserve">. </w:t>
      </w:r>
    </w:p>
    <w:p w:rsidR="006A57B2" w:rsidRDefault="006A57B2" w:rsidP="00737EE0">
      <w:pPr>
        <w:rPr>
          <w:lang w:eastAsia="en-GB"/>
        </w:rPr>
      </w:pPr>
    </w:p>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737EE0"/>
    <w:p w:rsidR="006A57B2" w:rsidRDefault="006A57B2" w:rsidP="006A57B2">
      <w:bookmarkStart w:id="65" w:name="_Toc418857492"/>
      <w:bookmarkStart w:id="66" w:name="_Toc428195173"/>
      <w:r>
        <w:t>CHAPTER 3 CLINICAL EFFECTIVENESS: RESULTS</w:t>
      </w:r>
      <w:bookmarkEnd w:id="65"/>
      <w:bookmarkEnd w:id="66"/>
      <w:r>
        <w:t xml:space="preserve"> </w:t>
      </w:r>
    </w:p>
    <w:p w:rsidR="006A57B2" w:rsidRPr="00331C12" w:rsidRDefault="00E503DF" w:rsidP="00B22173">
      <w:pPr>
        <w:spacing w:line="360" w:lineRule="auto"/>
      </w:pPr>
      <w:r>
        <w:pict>
          <v:rect id="_x0000_i1027" style="width:0;height:1.5pt" o:hralign="center" o:hrstd="t" o:hr="t" fillcolor="#a0a0a0" stroked="f"/>
        </w:pict>
      </w:r>
    </w:p>
    <w:p w:rsidR="006A57B2" w:rsidRDefault="006A57B2" w:rsidP="00B22173">
      <w:pPr>
        <w:pStyle w:val="Heading2"/>
        <w:spacing w:line="360" w:lineRule="auto"/>
      </w:pPr>
      <w:bookmarkStart w:id="67" w:name="_Toc418857493"/>
      <w:bookmarkStart w:id="68" w:name="_Toc428195174"/>
      <w:r>
        <w:t>Study population</w:t>
      </w:r>
      <w:bookmarkEnd w:id="67"/>
      <w:bookmarkEnd w:id="68"/>
    </w:p>
    <w:p w:rsidR="006A57B2" w:rsidRDefault="006A57B2" w:rsidP="00B22173">
      <w:pPr>
        <w:spacing w:line="360" w:lineRule="auto"/>
      </w:pPr>
      <w:r w:rsidRPr="003C2A3B">
        <w:t>1859 children were randomised</w:t>
      </w:r>
      <w:r w:rsidRPr="00356639">
        <w:t xml:space="preserve">, of whom 501 children were randomised prospectively. 1358 were randomised as an emergency and 984 of these subsequently provided deferred consent for inclusion in analyses (Figure 1; see </w:t>
      </w:r>
      <w:r>
        <w:t>Appendix 1</w:t>
      </w:r>
      <w:r w:rsidRPr="00D96536">
        <w:t>.</w:t>
      </w:r>
      <w:r>
        <w:t>1 and 1.2</w:t>
      </w:r>
      <w:r w:rsidRPr="00D96536">
        <w:t xml:space="preserve"> </w:t>
      </w:r>
      <w:r w:rsidRPr="003C2A3B">
        <w:t>for numbers by emergency/elective randomisation</w:t>
      </w:r>
      <w:r w:rsidRPr="00356639">
        <w:t xml:space="preserve">). Reasons for non-consent in the deferred consent group included: not approached (n=180; 48%, mainly due to transfer to a non-participating unit or early discharge from PICU), no response (n=17; 4.5%), or consent refused (n=177; 47%). </w:t>
      </w:r>
      <w:r w:rsidRPr="001B1831">
        <w:t>Detailed reasons for non-consent are reported elsewhere.</w:t>
      </w:r>
      <w:r w:rsidRPr="00607F48">
        <w:rPr>
          <w:noProof/>
          <w:vertAlign w:val="superscript"/>
        </w:rPr>
        <w:t>61</w:t>
      </w:r>
      <w:r w:rsidRPr="00857473">
        <w:rPr>
          <w:i/>
        </w:rPr>
        <w:t xml:space="preserve"> </w:t>
      </w:r>
      <w:r w:rsidRPr="00897FA5">
        <w:t>N</w:t>
      </w:r>
      <w:r w:rsidRPr="00857473">
        <w:t xml:space="preserve">umbers enrolled by </w:t>
      </w:r>
      <w:r>
        <w:t xml:space="preserve">site and by </w:t>
      </w:r>
      <w:r w:rsidRPr="00857473">
        <w:t xml:space="preserve">month are provided in </w:t>
      </w:r>
      <w:r>
        <w:t>Appendix 1</w:t>
      </w:r>
      <w:r w:rsidRPr="00A272D4">
        <w:t>.</w:t>
      </w:r>
      <w:r>
        <w:t>3 and 1.4.</w:t>
      </w:r>
    </w:p>
    <w:p w:rsidR="006A57B2" w:rsidRDefault="006A57B2" w:rsidP="00B22173">
      <w:pPr>
        <w:pStyle w:val="Heading2"/>
        <w:spacing w:line="360" w:lineRule="auto"/>
      </w:pPr>
      <w:bookmarkStart w:id="69" w:name="_Toc418857494"/>
      <w:bookmarkStart w:id="70" w:name="_Toc428195175"/>
      <w:r>
        <w:t>Comparison of interventions</w:t>
      </w:r>
      <w:bookmarkEnd w:id="69"/>
      <w:bookmarkEnd w:id="70"/>
    </w:p>
    <w:p w:rsidR="006A57B2" w:rsidRDefault="006A57B2" w:rsidP="00B22173">
      <w:pPr>
        <w:spacing w:line="360" w:lineRule="auto"/>
      </w:pPr>
      <w:r>
        <w:t xml:space="preserve">The </w:t>
      </w:r>
      <w:r w:rsidRPr="003C2A3B">
        <w:t xml:space="preserve">intention to treat sample comprised 1485 children; 1345 children received the allocated CVC. Threats to validity due to protocol deviations are provided in </w:t>
      </w:r>
      <w:r>
        <w:t>Appendix 1</w:t>
      </w:r>
      <w:r w:rsidRPr="002C47C0">
        <w:t>.</w:t>
      </w:r>
      <w:r>
        <w:t>5.</w:t>
      </w:r>
      <w:r w:rsidRPr="002C47C0">
        <w:t xml:space="preserve"> Very few</w:t>
      </w:r>
      <w:r>
        <w:t xml:space="preserve"> children had a clinical indication but no blood culture taken in the primary outcome time window (Figure 1). Timings of samples for positive BSI included in the primary and secondary outcomes are provided in Figure 2. </w:t>
      </w:r>
    </w:p>
    <w:p w:rsidR="006A57B2" w:rsidRDefault="006A57B2" w:rsidP="00452F22">
      <w:pPr>
        <w:pStyle w:val="Heading4"/>
      </w:pPr>
      <w:r>
        <w:t>Baseline characteristics</w:t>
      </w:r>
    </w:p>
    <w:p w:rsidR="006A57B2" w:rsidRPr="00ED041C" w:rsidRDefault="006A57B2" w:rsidP="00B22173">
      <w:pPr>
        <w:spacing w:line="360" w:lineRule="auto"/>
      </w:pPr>
      <w:r>
        <w:t>Table 1 shows that baseline characteristics were similar according to randomised CVC. O</w:t>
      </w:r>
      <w:r w:rsidRPr="00ED041C">
        <w:t xml:space="preserve">ver half (58%) of children were aged under 12 months at admission, with one-third aged less than 3 months. One third of children had surgery prior to admission to PICU and half </w:t>
      </w:r>
      <w:r>
        <w:t xml:space="preserve">of all children randomised </w:t>
      </w:r>
      <w:r w:rsidRPr="00ED041C">
        <w:t xml:space="preserve">had cardiovascular problems as their primary diagnosis at admission. </w:t>
      </w:r>
    </w:p>
    <w:p w:rsidR="006A57B2" w:rsidRDefault="006A57B2" w:rsidP="00452F22">
      <w:pPr>
        <w:pStyle w:val="Heading4"/>
      </w:pPr>
      <w:r>
        <w:t>During follow up</w:t>
      </w:r>
    </w:p>
    <w:p w:rsidR="006A57B2" w:rsidRDefault="006A57B2" w:rsidP="00B22173">
      <w:pPr>
        <w:spacing w:line="360" w:lineRule="auto"/>
      </w:pPr>
      <w:r>
        <w:t xml:space="preserve">Table 2 provides details of the CVC insertion and characteristics at 48 hours post randomisation. </w:t>
      </w:r>
      <w:r w:rsidRPr="00ED041C">
        <w:t>CVC insertion took place in the operating room for 437/493 (89%) in the prospective consent (elective) group, but in only 34/917 (4%) of the deferred consent (emergency) group</w:t>
      </w:r>
      <w:r>
        <w:t>.</w:t>
      </w:r>
    </w:p>
    <w:p w:rsidR="006A57B2" w:rsidRDefault="006A57B2" w:rsidP="00B22173">
      <w:pPr>
        <w:spacing w:line="360" w:lineRule="auto"/>
      </w:pPr>
      <w:r>
        <w:t>Table 3 shows the number of arterial, peripheral and CVC samples taken by trial arm. Overall, 3583 blood samples were taken, and 1216/1485 (81.9%) of children had a sample taken. Sampling was similar by trial arm and site (see Appendix 1.6).</w:t>
      </w:r>
    </w:p>
    <w:p w:rsidR="006A57B2" w:rsidRDefault="006A57B2" w:rsidP="00452F22">
      <w:pPr>
        <w:pStyle w:val="Heading4"/>
      </w:pPr>
      <w:r>
        <w:t xml:space="preserve">Primary outcome </w:t>
      </w:r>
    </w:p>
    <w:p w:rsidR="006A57B2" w:rsidRPr="00411690" w:rsidRDefault="006A57B2" w:rsidP="00B22173">
      <w:pPr>
        <w:spacing w:line="360" w:lineRule="auto"/>
      </w:pPr>
      <w:r w:rsidRPr="00356639">
        <w:t xml:space="preserve">The number of blood samples contributing to the primary outcome is shown in </w:t>
      </w:r>
      <w:r>
        <w:t>Appendix 1.7</w:t>
      </w:r>
      <w:r w:rsidRPr="002C47C0">
        <w:t>. Blood cultures were taken between 48 hours of randomisation and CVC removal for 40% of those randomised (593/1485; Figure 1). BSI was recorded for 42 children: standar</w:t>
      </w:r>
      <w:r w:rsidRPr="00411690">
        <w:t xml:space="preserve">d 18/502 (3.59%); antibiotic 7/486 (1.44%); heparin 17/497 (3.42%). Gram-positive organisms accounted for the majority of BSI (Table 4). </w:t>
      </w:r>
    </w:p>
    <w:p w:rsidR="006A57B2" w:rsidRPr="002A65E1" w:rsidRDefault="006A57B2" w:rsidP="00B22173">
      <w:pPr>
        <w:spacing w:line="360" w:lineRule="auto"/>
        <w:rPr>
          <w:rFonts w:eastAsia="Times New Roman" w:cs="Calibri"/>
          <w:color w:val="000000"/>
          <w:lang w:eastAsia="en-GB"/>
        </w:rPr>
      </w:pPr>
      <w:r w:rsidRPr="002A65E1">
        <w:rPr>
          <w:rFonts w:eastAsia="Times New Roman" w:cs="Calibri"/>
          <w:color w:val="000000"/>
          <w:lang w:eastAsia="en-GB"/>
        </w:rPr>
        <w:t>Figure</w:t>
      </w:r>
      <w:r>
        <w:rPr>
          <w:rFonts w:eastAsia="Times New Roman" w:cs="Calibri"/>
          <w:color w:val="000000"/>
          <w:lang w:eastAsia="en-GB"/>
        </w:rPr>
        <w:t xml:space="preserve"> 3</w:t>
      </w:r>
      <w:r w:rsidRPr="002A65E1">
        <w:rPr>
          <w:rFonts w:eastAsia="Times New Roman" w:cs="Calibri"/>
          <w:color w:val="000000"/>
          <w:lang w:eastAsia="en-GB"/>
        </w:rPr>
        <w:t xml:space="preserve"> shows the Kaplan-Meier curve for</w:t>
      </w:r>
      <w:r>
        <w:rPr>
          <w:rFonts w:eastAsia="Times New Roman" w:cs="Calibri"/>
          <w:color w:val="000000"/>
          <w:lang w:eastAsia="en-GB"/>
        </w:rPr>
        <w:t xml:space="preserve"> the primary outcome of</w:t>
      </w:r>
      <w:r w:rsidRPr="002A65E1">
        <w:rPr>
          <w:rFonts w:eastAsia="Times New Roman" w:cs="Calibri"/>
          <w:color w:val="000000"/>
          <w:lang w:eastAsia="en-GB"/>
        </w:rPr>
        <w:t xml:space="preserve"> time to first BSI. </w:t>
      </w:r>
      <w:r w:rsidRPr="00356639">
        <w:t>There was no significant difference in time to first BSI when com</w:t>
      </w:r>
      <w:r w:rsidRPr="004062E9">
        <w:t>paring any impregnated (antibiotic and heparin) with standard CVCs (Table 5). However, risk of BSI was significantly lower for antibiotic versus standard CVCs (hazard ratio 0.43; 95% CI 0.20</w:t>
      </w:r>
      <w:r w:rsidRPr="002C47C0">
        <w:t>, 0.96) and for antibiotic versus heparin CVCs (HR 0.42; 95% CI 0.19</w:t>
      </w:r>
      <w:r w:rsidRPr="00411690">
        <w:t xml:space="preserve">, </w:t>
      </w:r>
      <w:r w:rsidRPr="00857473">
        <w:t xml:space="preserve">0.93). </w:t>
      </w:r>
      <w:r w:rsidRPr="002A65E1">
        <w:rPr>
          <w:rFonts w:eastAsia="Times New Roman" w:cs="Calibri"/>
          <w:color w:val="000000"/>
          <w:lang w:eastAsia="en-GB"/>
        </w:rPr>
        <w:t xml:space="preserve">The direction of these results was robust to the sensitivity analysis (see </w:t>
      </w:r>
      <w:r>
        <w:rPr>
          <w:rFonts w:eastAsia="Times New Roman" w:cs="Calibri"/>
          <w:color w:val="000000"/>
          <w:lang w:eastAsia="en-GB"/>
        </w:rPr>
        <w:t>Appendix 1</w:t>
      </w:r>
      <w:r w:rsidRPr="002A65E1">
        <w:rPr>
          <w:rFonts w:eastAsia="Times New Roman" w:cs="Calibri"/>
          <w:color w:val="000000"/>
          <w:lang w:eastAsia="en-GB"/>
        </w:rPr>
        <w:t>.</w:t>
      </w:r>
      <w:r>
        <w:rPr>
          <w:rFonts w:eastAsia="Times New Roman" w:cs="Calibri"/>
          <w:color w:val="000000"/>
          <w:lang w:eastAsia="en-GB"/>
        </w:rPr>
        <w:t>8</w:t>
      </w:r>
      <w:r w:rsidRPr="002A65E1">
        <w:rPr>
          <w:rFonts w:eastAsia="Times New Roman" w:cs="Calibri"/>
          <w:color w:val="000000"/>
          <w:lang w:eastAsia="en-GB"/>
        </w:rPr>
        <w:t>). Regression analysis showed no significant effect of pre-specified variables (type of consent and suspected infection at randomisation) and the effect of type of CVC was similar after adjusting for these variables (Table 6).</w:t>
      </w:r>
    </w:p>
    <w:p w:rsidR="006A57B2" w:rsidRDefault="006A57B2" w:rsidP="00B22173">
      <w:pPr>
        <w:spacing w:line="360" w:lineRule="auto"/>
        <w:rPr>
          <w:rFonts w:ascii="Calibri" w:eastAsia="Times New Roman" w:hAnsi="Calibri" w:cs="Calibri"/>
          <w:color w:val="000000"/>
          <w:lang w:eastAsia="en-GB"/>
        </w:rPr>
      </w:pPr>
      <w:r>
        <w:rPr>
          <w:rFonts w:eastAsia="Times New Roman"/>
          <w:color w:val="000000"/>
          <w:lang w:eastAsia="en-GB"/>
        </w:rPr>
        <w:t xml:space="preserve">Competing risk analyses using </w:t>
      </w:r>
      <w:r w:rsidRPr="00EB7ADE">
        <w:rPr>
          <w:rFonts w:cs="Times New Roman"/>
          <w:color w:val="000000" w:themeColor="text1"/>
        </w:rPr>
        <w:t>Gray’s test indicated no difference between the treatments for either competing risks (p-values of p=0.29 for bloodstream infection and p=0.89 for death</w:t>
      </w:r>
      <w:r>
        <w:rPr>
          <w:rFonts w:cs="Times New Roman"/>
          <w:color w:val="000000" w:themeColor="text1"/>
        </w:rPr>
        <w:t>, Table 7</w:t>
      </w:r>
      <w:r w:rsidRPr="00EB7ADE">
        <w:rPr>
          <w:rFonts w:cs="Times New Roman"/>
          <w:color w:val="000000" w:themeColor="text1"/>
        </w:rPr>
        <w:t>).</w:t>
      </w:r>
    </w:p>
    <w:p w:rsidR="006A57B2" w:rsidRDefault="006A57B2" w:rsidP="00452F22">
      <w:pPr>
        <w:pStyle w:val="Heading4"/>
      </w:pPr>
      <w:r>
        <w:t xml:space="preserve">Secondary outcomes </w:t>
      </w:r>
    </w:p>
    <w:p w:rsidR="006A57B2" w:rsidRPr="00AB54A0" w:rsidRDefault="006A57B2" w:rsidP="00B22173">
      <w:pPr>
        <w:spacing w:line="360" w:lineRule="auto"/>
        <w:rPr>
          <w:lang w:eastAsia="en-GB"/>
        </w:rPr>
      </w:pPr>
      <w:r w:rsidRPr="00AB54A0">
        <w:rPr>
          <w:lang w:eastAsia="en-GB"/>
        </w:rPr>
        <w:t>No children had more than one BSI whilst the trial CVC was in situ. The relationship between BSI outcomes by time since ra</w:t>
      </w:r>
      <w:r>
        <w:rPr>
          <w:lang w:eastAsia="en-GB"/>
        </w:rPr>
        <w:t>ndomisation is shown in Figure 2</w:t>
      </w:r>
      <w:r w:rsidRPr="00AB54A0">
        <w:rPr>
          <w:lang w:eastAsia="en-GB"/>
        </w:rPr>
        <w:t>.</w:t>
      </w:r>
    </w:p>
    <w:p w:rsidR="006A57B2" w:rsidRPr="002A65E1" w:rsidRDefault="006A57B2" w:rsidP="00B22173">
      <w:pPr>
        <w:spacing w:line="360" w:lineRule="auto"/>
        <w:rPr>
          <w:rFonts w:eastAsia="Times New Roman" w:cs="Calibri"/>
          <w:color w:val="000000"/>
          <w:lang w:eastAsia="en-GB"/>
        </w:rPr>
      </w:pPr>
      <w:r w:rsidRPr="00AB54A0">
        <w:rPr>
          <w:lang w:eastAsia="en-GB"/>
        </w:rPr>
        <w:t xml:space="preserve">Overall, 25 (1.7%) children experienced CR-BSI. </w:t>
      </w:r>
      <w:r w:rsidRPr="002A65E1">
        <w:rPr>
          <w:rFonts w:eastAsia="Times New Roman" w:cs="Calibri"/>
          <w:color w:val="000000"/>
          <w:lang w:eastAsia="en-GB"/>
        </w:rPr>
        <w:t xml:space="preserve">There was no significant difference between any impregnated and standard CVCs (p=0.13, Table 8), but risk of CR-BSI was significantly lower for antibiotic </w:t>
      </w:r>
      <w:r>
        <w:rPr>
          <w:rFonts w:eastAsia="Times New Roman" w:cs="Calibri"/>
          <w:color w:val="000000"/>
          <w:lang w:eastAsia="en-GB"/>
        </w:rPr>
        <w:t>versus</w:t>
      </w:r>
      <w:r w:rsidRPr="002A65E1">
        <w:rPr>
          <w:rFonts w:eastAsia="Times New Roman" w:cs="Calibri"/>
          <w:color w:val="000000"/>
          <w:lang w:eastAsia="en-GB"/>
        </w:rPr>
        <w:t xml:space="preserve"> standard CVC (p=0.03). There was no significant difference between antibiotic and heparin CVCs (p=0.09) or between heparin and standard CVCs (p=0.68). </w:t>
      </w:r>
    </w:p>
    <w:p w:rsidR="006A57B2" w:rsidRPr="00AB54A0" w:rsidRDefault="006A57B2" w:rsidP="00B22173">
      <w:pPr>
        <w:spacing w:line="360" w:lineRule="auto"/>
        <w:rPr>
          <w:lang w:eastAsia="en-GB"/>
        </w:rPr>
      </w:pPr>
      <w:r w:rsidRPr="00AB54A0">
        <w:rPr>
          <w:lang w:eastAsia="en-GB"/>
        </w:rPr>
        <w:t>The rate of BSI per 1000 CVC-days did not differ in the primary comparison between any impregnated and standard CVCs (Table 8). However, the rate of BSI was significantly lower for antibiotic compared with standard (p=0.04) and heparin CVCs (p=0.03; Table 9). There was no significant difference in rate of BSI between heparin and standard CVCs (p=0.85).</w:t>
      </w:r>
    </w:p>
    <w:p w:rsidR="006A57B2" w:rsidRPr="00AB54A0" w:rsidRDefault="006A57B2" w:rsidP="00B22173">
      <w:pPr>
        <w:spacing w:line="360" w:lineRule="auto"/>
        <w:rPr>
          <w:color w:val="FF0000"/>
          <w:lang w:eastAsia="en-GB"/>
        </w:rPr>
      </w:pPr>
      <w:r w:rsidRPr="002A65E1">
        <w:rPr>
          <w:rFonts w:eastAsia="Times New Roman" w:cstheme="minorHAnsi"/>
          <w:color w:val="000000"/>
          <w:lang w:eastAsia="en-GB"/>
        </w:rPr>
        <w:t xml:space="preserve">A change in antibiotics on the same day or the next day as a negative blood culture made the largest contribution to </w:t>
      </w:r>
      <w:r w:rsidRPr="00AB54A0">
        <w:rPr>
          <w:lang w:eastAsia="en-GB"/>
        </w:rPr>
        <w:t xml:space="preserve">the composite measure of BSI (see </w:t>
      </w:r>
      <w:r>
        <w:rPr>
          <w:lang w:eastAsia="en-GB"/>
        </w:rPr>
        <w:t>Appendix 1</w:t>
      </w:r>
      <w:r w:rsidRPr="00AB54A0">
        <w:rPr>
          <w:lang w:eastAsia="en-GB"/>
        </w:rPr>
        <w:t>.</w:t>
      </w:r>
      <w:r>
        <w:rPr>
          <w:lang w:eastAsia="en-GB"/>
        </w:rPr>
        <w:t>9</w:t>
      </w:r>
      <w:r w:rsidRPr="00AB54A0">
        <w:rPr>
          <w:lang w:eastAsia="en-GB"/>
        </w:rPr>
        <w:t xml:space="preserve">). Overall, 317 (21%) children experienced the composite measure of BSI, and this outcome did not differ by CVC type (Table 9). </w:t>
      </w:r>
    </w:p>
    <w:p w:rsidR="006A57B2" w:rsidRPr="00AB54A0" w:rsidRDefault="006A57B2" w:rsidP="00B22173">
      <w:pPr>
        <w:spacing w:line="360" w:lineRule="auto"/>
      </w:pPr>
      <w:r w:rsidRPr="00AB54A0">
        <w:t xml:space="preserve">There was no difference in any other secondary outcomes by CVC allocation (Table 9). The types of bacteria and fungi isolated from positive blood cultures are provided in </w:t>
      </w:r>
      <w:r>
        <w:t>Appendix 1.10</w:t>
      </w:r>
      <w:r w:rsidRPr="00AB54A0">
        <w:t xml:space="preserve">. </w:t>
      </w:r>
    </w:p>
    <w:p w:rsidR="006A57B2" w:rsidRDefault="006A57B2" w:rsidP="00452F22">
      <w:pPr>
        <w:pStyle w:val="Heading4"/>
      </w:pPr>
      <w:r>
        <w:t>Safety analyses</w:t>
      </w:r>
    </w:p>
    <w:p w:rsidR="006A57B2" w:rsidRPr="00AB54A0" w:rsidRDefault="006A57B2" w:rsidP="00B22173">
      <w:pPr>
        <w:spacing w:line="360" w:lineRule="auto"/>
      </w:pPr>
      <w:r w:rsidRPr="00AB54A0">
        <w:t xml:space="preserve">The cohort for safety analyses comprised more children in the standard group (n=533) than the antibiotic (n=451) or heparin groups (n=479). As standard CVCs were the default option in the majority of PICUs, more children received the allocated CVC in the standard arm (93%) compared with the antibiotic (90%) or heparin (89%) arms. </w:t>
      </w:r>
    </w:p>
    <w:p w:rsidR="006A57B2" w:rsidRPr="004261F2" w:rsidRDefault="006A57B2" w:rsidP="00B22173">
      <w:pPr>
        <w:spacing w:line="360" w:lineRule="auto"/>
        <w:rPr>
          <w:rFonts w:eastAsia="Times New Roman" w:cs="Calibri"/>
          <w:color w:val="000000"/>
          <w:lang w:eastAsia="en-GB"/>
        </w:rPr>
      </w:pPr>
      <w:r w:rsidRPr="00AB54A0">
        <w:t>No serious adverse events</w:t>
      </w:r>
      <w:r>
        <w:t xml:space="preserve"> (e.g. intervention causing death or prolonging hospitalisation)</w:t>
      </w:r>
      <w:r w:rsidRPr="00AB54A0">
        <w:t xml:space="preserve"> were reported. </w:t>
      </w:r>
      <w:r w:rsidRPr="005E10F3">
        <w:rPr>
          <w:rFonts w:eastAsia="Times New Roman" w:cs="Calibri"/>
          <w:color w:val="000000"/>
          <w:lang w:eastAsia="en-GB"/>
        </w:rPr>
        <w:t>CVC-related adverse events were reported for 31 children (21 mild, 8 moderate and 2 severe</w:t>
      </w:r>
      <w:r>
        <w:rPr>
          <w:rFonts w:eastAsia="Times New Roman" w:cs="Calibri"/>
          <w:color w:val="000000"/>
          <w:lang w:eastAsia="en-GB"/>
        </w:rPr>
        <w:t xml:space="preserve"> (i.e. unable to perform routine activity</w:t>
      </w:r>
      <w:r w:rsidRPr="005E10F3">
        <w:rPr>
          <w:rFonts w:eastAsia="Times New Roman" w:cs="Calibri"/>
          <w:color w:val="000000"/>
          <w:lang w:eastAsia="en-GB"/>
        </w:rPr>
        <w:t xml:space="preserve">; </w:t>
      </w:r>
      <w:r w:rsidRPr="004261F2">
        <w:rPr>
          <w:rFonts w:eastAsia="Times New Roman" w:cs="Calibri"/>
          <w:color w:val="000000"/>
          <w:lang w:eastAsia="en-GB"/>
        </w:rPr>
        <w:t xml:space="preserve">see Table 10). No children had more than one adverse event and no events were attributed to the type of CVC. </w:t>
      </w:r>
      <w:r w:rsidRPr="005E10F3">
        <w:rPr>
          <w:rFonts w:eastAsia="Times New Roman" w:cs="Calibri"/>
          <w:color w:val="000000"/>
          <w:lang w:eastAsia="en-GB"/>
        </w:rPr>
        <w:t>.</w:t>
      </w:r>
      <w:r>
        <w:rPr>
          <w:rFonts w:eastAsia="Times New Roman" w:cs="Calibri"/>
          <w:color w:val="000000"/>
          <w:lang w:eastAsia="en-GB"/>
        </w:rPr>
        <w:t xml:space="preserve"> </w:t>
      </w:r>
    </w:p>
    <w:p w:rsidR="006A57B2" w:rsidRPr="004261F2" w:rsidRDefault="006A57B2" w:rsidP="00B22173">
      <w:pPr>
        <w:spacing w:line="360" w:lineRule="auto"/>
        <w:rPr>
          <w:rFonts w:eastAsia="Times New Roman" w:cs="Calibri"/>
          <w:color w:val="000000"/>
          <w:lang w:eastAsia="en-GB"/>
        </w:rPr>
      </w:pPr>
      <w:r w:rsidRPr="004261F2">
        <w:rPr>
          <w:rFonts w:eastAsia="Times New Roman" w:cs="Calibri"/>
          <w:color w:val="000000"/>
          <w:lang w:eastAsia="en-GB"/>
        </w:rPr>
        <w:t xml:space="preserve">Of the 1463 children whose CVC insertion was attempted, 148 (10%) died before </w:t>
      </w:r>
      <w:r w:rsidRPr="00FF11BF">
        <w:rPr>
          <w:rFonts w:eastAsia="Times New Roman" w:cs="Calibri"/>
          <w:color w:val="000000"/>
          <w:lang w:eastAsia="en-GB"/>
        </w:rPr>
        <w:t>discharge</w:t>
      </w:r>
      <w:r w:rsidRPr="00FF11BF" w:rsidDel="00BC18E0">
        <w:rPr>
          <w:rFonts w:eastAsia="Times New Roman" w:cs="Calibri"/>
          <w:color w:val="000000"/>
          <w:lang w:eastAsia="en-GB"/>
        </w:rPr>
        <w:t xml:space="preserve"> </w:t>
      </w:r>
      <w:r w:rsidRPr="00FF11BF">
        <w:rPr>
          <w:rFonts w:eastAsia="Times New Roman" w:cs="Calibri"/>
          <w:color w:val="000000"/>
          <w:lang w:eastAsia="en-GB"/>
        </w:rPr>
        <w:t xml:space="preserve"> from PICU after</w:t>
      </w:r>
      <w:r w:rsidRPr="004261F2">
        <w:rPr>
          <w:rFonts w:eastAsia="Times New Roman" w:cs="Calibri"/>
          <w:color w:val="000000"/>
          <w:lang w:eastAsia="en-GB"/>
        </w:rPr>
        <w:t xml:space="preserve">-randomisation (Table 10). The majority of deaths were due to reasons related to co-morbidities at admission (see </w:t>
      </w:r>
      <w:r>
        <w:rPr>
          <w:rFonts w:eastAsia="Times New Roman" w:cs="Calibri"/>
          <w:color w:val="000000"/>
          <w:lang w:eastAsia="en-GB"/>
        </w:rPr>
        <w:t>Appendix 1.11</w:t>
      </w:r>
      <w:r w:rsidRPr="004261F2">
        <w:rPr>
          <w:rFonts w:eastAsia="Times New Roman" w:cs="Calibri"/>
          <w:color w:val="000000"/>
          <w:lang w:eastAsia="en-GB"/>
        </w:rPr>
        <w:t xml:space="preserve">). </w:t>
      </w:r>
    </w:p>
    <w:p w:rsidR="006A57B2" w:rsidRPr="002A65E1" w:rsidRDefault="006A57B2" w:rsidP="00B22173">
      <w:pPr>
        <w:spacing w:line="360" w:lineRule="auto"/>
        <w:rPr>
          <w:rFonts w:eastAsiaTheme="majorEastAsia" w:cstheme="majorBidi"/>
          <w:b/>
          <w:bCs/>
          <w:color w:val="2E74B5" w:themeColor="accent1" w:themeShade="BF"/>
        </w:rPr>
      </w:pPr>
      <w:r w:rsidRPr="004261F2">
        <w:rPr>
          <w:rFonts w:eastAsia="Times New Roman" w:cs="Calibri"/>
          <w:color w:val="000000"/>
          <w:lang w:eastAsia="en-GB"/>
        </w:rPr>
        <w:t xml:space="preserve">Testing for antibiotic resistance varied by centre. Only 12 of the 42 children with the primary outcome had minocycline and rifampicin resistance reported using etest strips; 8/12 were resistant, in each case to both antibiotics (3/5 standard; 2/2 antibiotic; 3/5 heparin). Resistant organisms by trial arm are provided in </w:t>
      </w:r>
      <w:r>
        <w:rPr>
          <w:rFonts w:eastAsia="Times New Roman" w:cs="Calibri"/>
          <w:color w:val="000000"/>
          <w:lang w:eastAsia="en-GB"/>
        </w:rPr>
        <w:t>Appendix 1.12</w:t>
      </w:r>
      <w:r w:rsidRPr="004261F2">
        <w:rPr>
          <w:rFonts w:eastAsia="Times New Roman" w:cs="Calibri"/>
          <w:color w:val="000000"/>
          <w:lang w:eastAsia="en-GB"/>
        </w:rPr>
        <w:t xml:space="preserve">. </w:t>
      </w:r>
    </w:p>
    <w:p w:rsidR="006A57B2" w:rsidRDefault="006A57B2" w:rsidP="00452F22">
      <w:pPr>
        <w:pStyle w:val="Heading4"/>
      </w:pPr>
      <w:r w:rsidRPr="008B47A8">
        <w:t xml:space="preserve">Post-hoc analyses </w:t>
      </w:r>
    </w:p>
    <w:p w:rsidR="006A57B2" w:rsidRDefault="006A57B2" w:rsidP="00B22173">
      <w:pPr>
        <w:spacing w:line="360" w:lineRule="auto"/>
        <w:sectPr w:rsidR="006A57B2" w:rsidSect="007F3EC5">
          <w:footerReference w:type="default" r:id="rId10"/>
          <w:pgSz w:w="11900" w:h="16840" w:code="9"/>
          <w:pgMar w:top="1440" w:right="1797" w:bottom="1440" w:left="1797" w:header="709" w:footer="709" w:gutter="0"/>
          <w:cols w:space="708"/>
          <w:docGrid w:linePitch="360"/>
        </w:sectPr>
      </w:pPr>
      <w:r>
        <w:t xml:space="preserve">A total of 1573 valid PCR samples were taken from 715 (48%) of children. Of these children, 11 (1.5%) had positive PCR results (12 samples). Positive PCR results were observed for 2 (8%) children with the primary outcome compared with 9 (1.3%) children </w:t>
      </w:r>
      <w:r w:rsidRPr="00EC10DA">
        <w:t>without the primary outcome (</w:t>
      </w:r>
      <w:r w:rsidRPr="0041369B">
        <w:t xml:space="preserve">Table 10). Values of the positive PCR results are provided in </w:t>
      </w:r>
      <w:r>
        <w:t>Appendix 1.13</w:t>
      </w:r>
      <w:r w:rsidRPr="002C47C0">
        <w:t>.</w:t>
      </w:r>
    </w:p>
    <w:p w:rsidR="006A57B2" w:rsidRPr="00BE078C" w:rsidRDefault="006A57B2" w:rsidP="00FF0134">
      <w:pPr>
        <w:pStyle w:val="Caption"/>
        <w:rPr>
          <w:rFonts w:asciiTheme="majorHAnsi" w:hAnsiTheme="majorHAnsi"/>
          <w:color w:val="2E74B5" w:themeColor="accent1" w:themeShade="BF"/>
          <w:sz w:val="22"/>
          <w:szCs w:val="22"/>
        </w:rPr>
      </w:pPr>
      <w:bookmarkStart w:id="71" w:name="_Toc418150498"/>
      <w:bookmarkStart w:id="72" w:name="_Toc428178945"/>
      <w:r w:rsidRPr="00BE078C">
        <w:rPr>
          <w:sz w:val="22"/>
          <w:szCs w:val="22"/>
        </w:rPr>
        <w:t xml:space="preserve">Figure </w:t>
      </w:r>
      <w:r>
        <w:rPr>
          <w:noProof/>
          <w:sz w:val="22"/>
          <w:szCs w:val="22"/>
        </w:rPr>
        <w:t>1</w:t>
      </w:r>
      <w:r w:rsidRPr="00BE078C">
        <w:rPr>
          <w:noProof/>
          <w:sz w:val="22"/>
          <w:szCs w:val="22"/>
        </w:rPr>
        <w:t>: CONSORT flow diagram for all trial participants</w:t>
      </w:r>
      <w:bookmarkEnd w:id="71"/>
      <w:bookmarkEnd w:id="72"/>
    </w:p>
    <w:tbl>
      <w:tblPr>
        <w:tblW w:w="13437" w:type="dxa"/>
        <w:tblInd w:w="108" w:type="dxa"/>
        <w:tblLook w:val="04A0" w:firstRow="1" w:lastRow="0" w:firstColumn="1" w:lastColumn="0" w:noHBand="0" w:noVBand="1"/>
      </w:tblPr>
      <w:tblGrid>
        <w:gridCol w:w="1062"/>
        <w:gridCol w:w="2061"/>
        <w:gridCol w:w="818"/>
        <w:gridCol w:w="275"/>
        <w:gridCol w:w="1062"/>
        <w:gridCol w:w="871"/>
        <w:gridCol w:w="1065"/>
        <w:gridCol w:w="201"/>
        <w:gridCol w:w="237"/>
        <w:gridCol w:w="370"/>
        <w:gridCol w:w="276"/>
        <w:gridCol w:w="278"/>
        <w:gridCol w:w="274"/>
        <w:gridCol w:w="394"/>
        <w:gridCol w:w="140"/>
        <w:gridCol w:w="973"/>
        <w:gridCol w:w="1039"/>
        <w:gridCol w:w="1062"/>
        <w:gridCol w:w="102"/>
        <w:gridCol w:w="877"/>
      </w:tblGrid>
      <w:tr w:rsidR="006A57B2" w:rsidRPr="003C170C" w:rsidTr="00B22173">
        <w:trPr>
          <w:trHeight w:val="300"/>
        </w:trPr>
        <w:tc>
          <w:tcPr>
            <w:tcW w:w="1062"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mc:AlternateContent>
                <mc:Choice Requires="wpg">
                  <w:drawing>
                    <wp:anchor distT="0" distB="0" distL="114300" distR="114300" simplePos="0" relativeHeight="251660288" behindDoc="0" locked="0" layoutInCell="1" allowOverlap="1" wp14:anchorId="78A91F6E" wp14:editId="0B27B055">
                      <wp:simplePos x="0" y="0"/>
                      <wp:positionH relativeFrom="column">
                        <wp:posOffset>661846</wp:posOffset>
                      </wp:positionH>
                      <wp:positionV relativeFrom="paragraph">
                        <wp:posOffset>84576</wp:posOffset>
                      </wp:positionV>
                      <wp:extent cx="6160520" cy="1920453"/>
                      <wp:effectExtent l="95250" t="0" r="107315" b="60960"/>
                      <wp:wrapNone/>
                      <wp:docPr id="2" name="Group 2"/>
                      <wp:cNvGraphicFramePr/>
                      <a:graphic xmlns:a="http://schemas.openxmlformats.org/drawingml/2006/main">
                        <a:graphicData uri="http://schemas.microsoft.com/office/word/2010/wordprocessingGroup">
                          <wpg:wgp>
                            <wpg:cNvGrpSpPr/>
                            <wpg:grpSpPr>
                              <a:xfrm>
                                <a:off x="0" y="0"/>
                                <a:ext cx="6160520" cy="1920453"/>
                                <a:chOff x="0" y="0"/>
                                <a:chExt cx="6160520" cy="1920453"/>
                              </a:xfrm>
                            </wpg:grpSpPr>
                            <wps:wsp>
                              <wps:cNvPr id="22" name="Straight Arrow Connector 22"/>
                              <wps:cNvCnPr/>
                              <wps:spPr>
                                <a:xfrm>
                                  <a:off x="0" y="1054563"/>
                                  <a:ext cx="0" cy="8096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wps:spPr>
                                <a:xfrm>
                                  <a:off x="2723177" y="1728683"/>
                                  <a:ext cx="0" cy="1917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wps:spPr>
                                <a:xfrm>
                                  <a:off x="6160520" y="1715334"/>
                                  <a:ext cx="0" cy="1917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Straight Arrow Connector 12"/>
                              <wps:cNvCnPr/>
                              <wps:spPr>
                                <a:xfrm>
                                  <a:off x="2502920" y="6674"/>
                                  <a:ext cx="1239520" cy="15303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Straight Arrow Connector 13"/>
                              <wps:cNvCnPr/>
                              <wps:spPr>
                                <a:xfrm flipH="1">
                                  <a:off x="40047" y="0"/>
                                  <a:ext cx="1039495" cy="1536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 name="Straight Connector 1"/>
                              <wps:cNvCnPr/>
                              <wps:spPr>
                                <a:xfrm flipH="1">
                                  <a:off x="0" y="1728683"/>
                                  <a:ext cx="616052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ED58C0D" id="Group 2" o:spid="_x0000_s1026" style="position:absolute;margin-left:52.1pt;margin-top:6.65pt;width:485.1pt;height:151.2pt;z-index:251660288" coordsize="61605,1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3BfAMAAEgQAAAOAAAAZHJzL2Uyb0RvYy54bWzsWNtu1DAQfUfiH6y809w22d2oWwQtLQ/c&#10;ROEDXMe5SI5t2abZ/XvGl6TQbllaJKRKfckmjmc8c3JmfLzHr7cDQ9dU6V7wTZQeJRGinIi65+0m&#10;+v7t/NUqQtpgXmMmON1EO6qj1ycvXxyPsqKZ6ASrqULghOtqlJuoM0ZWcaxJRwesj4SkHF42Qg3Y&#10;wKNq41rhEbwPLM6SpIxHoWqpBKFaw+iZfxmdOP9NQ4n53DSaGsQ2EcRm3FW565W9xifHuGoVll1P&#10;Qhj4EVEMuOew6OzqDBuMfqj+jquhJ0po0ZgjIoZYNE1PqMsBskmTW9lcKPFDulzaamzlDBNAewun&#10;R7sln66/KNTXmyiLEMcDfCK3KsosNKNsK5hxoeSl/KLCQOufbLbbRg32F/JAWwfqbgaVbg0iMFim&#10;ZVJkgD2Bd+k6SxZF7mEnHXybO3ake3fAMp4Wjm18czijBArpG5T0v6F02WFJHfjaYjChNMN0aRTu&#10;286gN0qJEZ0KzoFtQqEsQOfMTnnATVcaILwXtDQpFkUZgJmgC6CtknWZFRazOXNcSaXNBRUDsjeb&#10;SIdo5jBSR0d8/UEbbzgZ2BC4OO8Zg3FcMY7GTbQuYAFEMFRgw7CB20ECJzRvI4RZC6VNjHIetWB9&#10;ba2tsVbt1SlT6BpDeS3OV+nbMz+pwzX1o+siSUKZaWw+itoPQ75hHHIKblx+v/m3MZ9h3Xkb98pT&#10;x+CeveM1MjsJjMX2CwR8GLeBUVf6IXdLDA++vbsS9c59E2CPI4yl+f9gzmIqsPuZs7BJ2GiAcIeZ&#10;ky2zPF0uI2QLa5mtytV+/qRrmOW+wTN/6qfLHyhQ36Dv549rEn/Nn7kzO/6kRZ47/kH1hAY8N+1n&#10;/tgG97T7T3p454IpD+o/RZLBfu76T1kub5EnzXLYVSYKFXmSP29hT51C+cEWlLot6M8tCDWsl+9h&#10;z3JaIWjHRZIs/FYW1MLUhNIkXy/WVp3YNlXk5fNW9uRb0R0azbIVpYdb0F7++Da0VwbN+5xl0AEd&#10;xHpuRT+u9ipnJxlvpKQ2O0a9iP5KGzhFwXHHk9qdX+ksjTEhlBuXGkgwxmG2NWtARs+GiVfO9uB7&#10;n2GYfyNwH2LsJfG0suBmNh56LoK4/311s51Cbvx8UOi2tEPe9naPmnanMjiuOjkfjtb2PPzrs3N0&#10;8wfAyU8AAAD//wMAUEsDBBQABgAIAAAAIQDjp0ay4QAAAAsBAAAPAAAAZHJzL2Rvd25yZXYueG1s&#10;TI/BSsNAEIbvgu+wjODN7qZJrcRsSinqqQhtBfG2TaZJaHY2ZLdJ+vZOT3qbn/n455tsNdlWDNj7&#10;xpGGaKZAIBWubKjS8HV4f3oB4YOh0rSOUMMVPazy+7vMpKUbaYfDPlSCS8inRkMdQpdK6YsarfEz&#10;1yHx7uR6awLHvpJlb0Yut62cK/UsrWmIL9Smw02NxXl/sRo+RjOu4+ht2J5Pm+vPYfH5vY1Q68eH&#10;af0KIuAU/mC46bM65Ox0dBcqvWg5q2TOKA9xDOIGqGWSgDhqiKPFEmSeyf8/5L8AAAD//wMAUEsB&#10;Ai0AFAAGAAgAAAAhALaDOJL+AAAA4QEAABMAAAAAAAAAAAAAAAAAAAAAAFtDb250ZW50X1R5cGVz&#10;XS54bWxQSwECLQAUAAYACAAAACEAOP0h/9YAAACUAQAACwAAAAAAAAAAAAAAAAAvAQAAX3JlbHMv&#10;LnJlbHNQSwECLQAUAAYACAAAACEAoC1dwXwDAABIEAAADgAAAAAAAAAAAAAAAAAuAgAAZHJzL2Uy&#10;b0RvYy54bWxQSwECLQAUAAYACAAAACEA46dGsuEAAAALAQAADwAAAAAAAAAAAAAAAADWBQAAZHJz&#10;L2Rvd25yZXYueG1sUEsFBgAAAAAEAAQA8wAAAOQGAAAAAA==&#10;">
                      <v:shapetype id="_x0000_t32" coordsize="21600,21600" o:spt="32" o:oned="t" path="m,l21600,21600e" filled="f">
                        <v:path arrowok="t" fillok="f" o:connecttype="none"/>
                        <o:lock v:ext="edit" shapetype="t"/>
                      </v:shapetype>
                      <v:shape id="Straight Arrow Connector 22" o:spid="_x0000_s1027" type="#_x0000_t32" style="position:absolute;top:10545;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shape id="Straight Arrow Connector 24" o:spid="_x0000_s1028" type="#_x0000_t32" style="position:absolute;left:27231;top:17286;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qQ8YAAADbAAAADwAAAGRycy9kb3ducmV2LnhtbESPzWrDMBCE74W+g9hCbrXcYEpwrYQk&#10;NOBLAvkx9LixNraxtXItNXH69FWh0OMwM98w2WI0nbjS4BrLCl6iGARxaXXDlYLTcfM8A+E8ssbO&#10;Mim4k4PF/PEhw1TbG+/pevCVCBB2KSqove9TKV1Zk0EX2Z44eBc7GPRBDpXUA94C3HRyGsev0mDD&#10;YaHGntY1le3hyyhY59s8X21m7e5cfLTv5jv5LPaJUpOncfkGwtPo/8N/7VwrmC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makPGAAAA2wAAAA8AAAAAAAAA&#10;AAAAAAAAoQIAAGRycy9kb3ducmV2LnhtbFBLBQYAAAAABAAEAPkAAACUAwAAAAA=&#10;" strokecolor="#4a7ebb">
                        <v:stroke endarrow="open"/>
                      </v:shape>
                      <v:shape id="Straight Arrow Connector 25" o:spid="_x0000_s1029" type="#_x0000_t32" style="position:absolute;left:61605;top:17153;width:0;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P2MUAAADbAAAADwAAAGRycy9kb3ducmV2LnhtbESPQWvCQBSE7wX/w/IEb3WjaJHUVVQU&#10;clFQK/T4mn0mIdm3Mbtq2l/fFQSPw8x8w0znranEjRpXWFYw6EcgiFOrC84UfB037xMQziNrrCyT&#10;gl9yMJ913qYYa3vnPd0OPhMBwi5GBbn3dSylS3My6Pq2Jg7e2TYGfZBNJnWD9wA3lRxG0Yc0WHBY&#10;yLGmVU5pebgaBatkmyTLzaTc/Zy+y7X5G11O+5FSvW67+AThqfWv8LOdaAXDM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rP2MUAAADbAAAADwAAAAAAAAAA&#10;AAAAAAChAgAAZHJzL2Rvd25yZXYueG1sUEsFBgAAAAAEAAQA+QAAAJMDAAAAAA==&#10;" strokecolor="#4a7ebb">
                        <v:stroke endarrow="open"/>
                      </v:shape>
                      <v:shape id="Straight Arrow Connector 12" o:spid="_x0000_s1030" type="#_x0000_t32" style="position:absolute;left:25029;top:66;width:12395;height:1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Straight Arrow Connector 13" o:spid="_x0000_s1031" type="#_x0000_t32" style="position:absolute;left:400;width:10395;height:15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MAAAADbAAAADwAAAGRycy9kb3ducmV2LnhtbERP24rCMBB9F/Yfwiz4pqkuiHSNIsLi&#10;LqjQ1g8Ymtm22ExKEmv9eyMIvs3hXGe1GUwrenK+saxgNk1AEJdWN1wpOBc/kyUIH5A1tpZJwZ08&#10;bNYfoxWm2t44oz4PlYgh7FNUUIfQpVL6siaDfmo74sj9W2cwROgqqR3eYrhp5TxJFtJgw7Ghxo52&#10;NZWX/GoUlAd/csfj/m83y+bZnou8vfaNUuPPYfsNItAQ3uKX+1fH+V/w/CUe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f/4TAAAAA2wAAAA8AAAAAAAAAAAAAAAAA&#10;oQIAAGRycy9kb3ducmV2LnhtbFBLBQYAAAAABAAEAPkAAACOAwAAAAA=&#10;" strokecolor="#4a7ebb">
                        <v:stroke endarrow="open"/>
                      </v:shape>
                      <v:line id="Straight Connector 1" o:spid="_x0000_s1032" style="position:absolute;flip:x;visibility:visible;mso-wrap-style:square" from="0,17286" to="61605,1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P98AAAADaAAAADwAAAGRycy9kb3ducmV2LnhtbERPTYvCMBC9C/6HMII3TVdQ3Gosi1gQ&#10;xAV1PXgbm7HtbjMpTdT67zeC4Gl4vM+ZJ62pxI0aV1pW8DGMQBBnVpecK/g5pIMpCOeRNVaWScGD&#10;HCSLbmeOsbZ33tFt73MRQtjFqKDwvo6ldFlBBt3Q1sSBu9jGoA+wyaVu8B7CTSVHUTSRBksODQXW&#10;tCwo+9tfjYJUb888/XTfp6MtJ5v1b31cjcdK9Xvt1wyEp9a/xS/3Wof58HzleeX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1j/fAAAAA2gAAAA8AAAAAAAAAAAAAAAAA&#10;oQIAAGRycy9kb3ducmV2LnhtbFBLBQYAAAAABAAEAPkAAACOAwAAAAA=&#10;" strokecolor="#5b9bd5 [3204]" strokeweight=".5pt">
                        <v:stroke joinstyle="miter"/>
                      </v:line>
                    </v:group>
                  </w:pict>
                </mc:Fallback>
              </mc:AlternateContent>
            </w:r>
          </w:p>
        </w:tc>
        <w:tc>
          <w:tcPr>
            <w:tcW w:w="818"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20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lang w:eastAsia="en-GB"/>
              </w:rPr>
            </w:pPr>
            <w:r w:rsidRPr="003C170C">
              <w:rPr>
                <w:rFonts w:ascii="Calibri" w:eastAsia="Times New Roman" w:hAnsi="Calibri" w:cs="Times New Roman"/>
                <w:b/>
                <w:color w:val="000000"/>
                <w:sz w:val="20"/>
                <w:lang w:eastAsia="en-GB"/>
              </w:rPr>
              <w:t>Randomised</w:t>
            </w:r>
            <w:r w:rsidRPr="003C170C">
              <w:rPr>
                <w:rFonts w:ascii="Calibri" w:eastAsia="Times New Roman" w:hAnsi="Calibri" w:cs="Times New Roman"/>
                <w:color w:val="000000"/>
                <w:sz w:val="20"/>
                <w:lang w:eastAsia="en-GB"/>
              </w:rPr>
              <w:t xml:space="preserve">           1859</w:t>
            </w:r>
          </w:p>
        </w:tc>
        <w:tc>
          <w:tcPr>
            <w:tcW w:w="1503"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924"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4"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507"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164"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r>
      <w:tr w:rsidR="006A57B2" w:rsidRPr="003C170C" w:rsidTr="00B22173">
        <w:trPr>
          <w:trHeight w:val="130"/>
        </w:trPr>
        <w:tc>
          <w:tcPr>
            <w:tcW w:w="1062"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18"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503"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924"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4"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507"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164"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r>
      <w:tr w:rsidR="006A57B2" w:rsidRPr="003C170C" w:rsidTr="00B22173">
        <w:trPr>
          <w:trHeight w:val="288"/>
        </w:trPr>
        <w:tc>
          <w:tcPr>
            <w:tcW w:w="3123" w:type="dxa"/>
            <w:gridSpan w:val="2"/>
            <w:tcBorders>
              <w:top w:val="single" w:sz="8" w:space="0" w:color="auto"/>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Randomised and consent obtained:</w:t>
            </w:r>
          </w:p>
        </w:tc>
        <w:tc>
          <w:tcPr>
            <w:tcW w:w="818" w:type="dxa"/>
            <w:tcBorders>
              <w:top w:val="single" w:sz="8" w:space="0" w:color="auto"/>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center"/>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      1485</w:t>
            </w:r>
          </w:p>
        </w:tc>
        <w:tc>
          <w:tcPr>
            <w:tcW w:w="27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5247" w:type="dxa"/>
            <w:gridSpan w:val="11"/>
            <w:tcBorders>
              <w:top w:val="single" w:sz="8" w:space="0" w:color="auto"/>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Randomised and deferred consent not obtained:</w:t>
            </w:r>
          </w:p>
        </w:tc>
        <w:tc>
          <w:tcPr>
            <w:tcW w:w="1164" w:type="dxa"/>
            <w:gridSpan w:val="2"/>
            <w:tcBorders>
              <w:top w:val="single" w:sz="8" w:space="0" w:color="auto"/>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 </w:t>
            </w:r>
          </w:p>
        </w:tc>
        <w:tc>
          <w:tcPr>
            <w:tcW w:w="877" w:type="dxa"/>
            <w:tcBorders>
              <w:top w:val="single" w:sz="8" w:space="0" w:color="auto"/>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374</w:t>
            </w:r>
          </w:p>
        </w:tc>
      </w:tr>
      <w:tr w:rsidR="006A57B2" w:rsidRPr="003C170C" w:rsidTr="00B22173">
        <w:trPr>
          <w:trHeight w:val="288"/>
        </w:trPr>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61"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Prospective consent</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501</w:t>
            </w:r>
          </w:p>
        </w:tc>
        <w:tc>
          <w:tcPr>
            <w:tcW w:w="27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705" w:type="dxa"/>
            <w:gridSpan w:val="7"/>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Not approached</w:t>
            </w:r>
          </w:p>
        </w:tc>
        <w:tc>
          <w:tcPr>
            <w:tcW w:w="1039"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164"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180</w:t>
            </w:r>
          </w:p>
        </w:tc>
      </w:tr>
      <w:tr w:rsidR="006A57B2" w:rsidRPr="003C170C" w:rsidTr="00B22173">
        <w:trPr>
          <w:trHeight w:val="335"/>
        </w:trPr>
        <w:tc>
          <w:tcPr>
            <w:tcW w:w="1062" w:type="dxa"/>
            <w:tcBorders>
              <w:top w:val="nil"/>
              <w:left w:val="single" w:sz="8" w:space="0" w:color="auto"/>
              <w:bottom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61" w:type="dxa"/>
            <w:tcBorders>
              <w:top w:val="nil"/>
              <w:left w:val="nil"/>
              <w:bottom w:val="single" w:sz="8" w:space="0" w:color="auto"/>
              <w:right w:val="nil"/>
            </w:tcBorders>
            <w:shd w:val="clear" w:color="auto" w:fill="auto"/>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Deferred consent</w:t>
            </w:r>
          </w:p>
        </w:tc>
        <w:tc>
          <w:tcPr>
            <w:tcW w:w="818" w:type="dxa"/>
            <w:tcBorders>
              <w:top w:val="nil"/>
              <w:left w:val="nil"/>
              <w:bottom w:val="single" w:sz="8" w:space="0" w:color="auto"/>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984</w:t>
            </w:r>
          </w:p>
        </w:tc>
        <w:tc>
          <w:tcPr>
            <w:tcW w:w="27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1592" w:type="dxa"/>
            <w:gridSpan w:val="5"/>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 response</w:t>
            </w:r>
          </w:p>
        </w:tc>
        <w:tc>
          <w:tcPr>
            <w:tcW w:w="1113"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p>
        </w:tc>
        <w:tc>
          <w:tcPr>
            <w:tcW w:w="1039"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164"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17</w:t>
            </w:r>
          </w:p>
        </w:tc>
      </w:tr>
      <w:tr w:rsidR="006A57B2" w:rsidRPr="003C170C" w:rsidTr="00B22173">
        <w:trPr>
          <w:trHeight w:val="317"/>
        </w:trPr>
        <w:tc>
          <w:tcPr>
            <w:tcW w:w="1062"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r w:rsidRPr="003C170C">
              <w:rPr>
                <w:rFonts w:ascii="Calibri" w:eastAsia="Times New Roman" w:hAnsi="Calibri" w:cs="Times New Roman"/>
                <w:noProof/>
                <w:color w:val="000000"/>
                <w:lang w:eastAsia="en-GB"/>
              </w:rPr>
              <mc:AlternateContent>
                <mc:Choice Requires="wpg">
                  <w:drawing>
                    <wp:anchor distT="0" distB="0" distL="114300" distR="114300" simplePos="0" relativeHeight="251659264" behindDoc="0" locked="0" layoutInCell="1" allowOverlap="1" wp14:anchorId="0CA4599D" wp14:editId="180EA05F">
                      <wp:simplePos x="0" y="0"/>
                      <wp:positionH relativeFrom="column">
                        <wp:posOffset>476250</wp:posOffset>
                      </wp:positionH>
                      <wp:positionV relativeFrom="paragraph">
                        <wp:posOffset>-12700</wp:posOffset>
                      </wp:positionV>
                      <wp:extent cx="6271260" cy="929640"/>
                      <wp:effectExtent l="0" t="0" r="0" b="0"/>
                      <wp:wrapNone/>
                      <wp:docPr id="8" name="Group 8"/>
                      <wp:cNvGraphicFramePr/>
                      <a:graphic xmlns:a="http://schemas.openxmlformats.org/drawingml/2006/main">
                        <a:graphicData uri="http://schemas.microsoft.com/office/word/2010/wordprocessingGroup">
                          <wpg:wgp>
                            <wpg:cNvGrpSpPr/>
                            <wpg:grpSpPr>
                              <a:xfrm>
                                <a:off x="0" y="0"/>
                                <a:ext cx="0" cy="0"/>
                                <a:chOff x="0" y="488446"/>
                                <a:chExt cx="5563403" cy="1006243"/>
                              </a:xfrm>
                            </wpg:grpSpPr>
                            <wps:wsp>
                              <wps:cNvPr id="16" name="Straight Arrow Connector 16"/>
                              <wps:cNvCnPr/>
                              <wps:spPr>
                                <a:xfrm>
                                  <a:off x="0" y="488446"/>
                                  <a:ext cx="0" cy="10033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Straight Connector 17"/>
                              <wps:cNvCnPr/>
                              <wps:spPr>
                                <a:xfrm>
                                  <a:off x="0" y="1260909"/>
                                  <a:ext cx="5555615" cy="0"/>
                                </a:xfrm>
                                <a:prstGeom prst="line">
                                  <a:avLst/>
                                </a:prstGeom>
                                <a:noFill/>
                                <a:ln w="9525" cap="flat" cmpd="sng" algn="ctr">
                                  <a:solidFill>
                                    <a:srgbClr val="4F81BD">
                                      <a:shade val="95000"/>
                                      <a:satMod val="105000"/>
                                    </a:srgbClr>
                                  </a:solidFill>
                                  <a:prstDash val="solid"/>
                                </a:ln>
                                <a:effectLst/>
                              </wps:spPr>
                              <wps:bodyPr/>
                            </wps:wsp>
                            <wps:wsp>
                              <wps:cNvPr id="18" name="Straight Arrow Connector 18"/>
                              <wps:cNvCnPr/>
                              <wps:spPr>
                                <a:xfrm>
                                  <a:off x="2704699" y="1270534"/>
                                  <a:ext cx="0" cy="2241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Straight Arrow Connector 19"/>
                              <wps:cNvCnPr/>
                              <wps:spPr>
                                <a:xfrm>
                                  <a:off x="5563403" y="1260909"/>
                                  <a:ext cx="0" cy="224155"/>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E080E4" id="Group 8" o:spid="_x0000_s1026" style="position:absolute;margin-left:37.5pt;margin-top:-1pt;width:493.8pt;height:73.2pt;z-index:251659264" coordorigin=",4884" coordsize="55634,10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Y22wIAAIELAAAOAAAAZHJzL2Uyb0RvYy54bWzsVttu2zAMfR+wfxD0vvoS202MOsXWtH3Z&#10;ugLdPkCV5QsgS4Kkxsnfj5IvTdsVGzqg2IbmwZFokSYPD0mdnO46jrZMm1aKAkdHIUZMUFm2oi7w&#10;928XH5YYGUtESbgUrMB7ZvDp+v27k17lLJaN5CXTCIwIk/eqwI21Kg8CQxvWEXMkFRPwspK6Ixa2&#10;ug5KTXqw3vEgDsMs6KUulZaUGQPSzfASr739qmLUfq0qwyziBQbfrH9q/7x1z2B9QvJaE9W0dHSD&#10;vMCLjrQCPjqb2hBL0J1un5jqWqqlkZU9orILZFW1lPkYIJoofBTNpZZ3ysdS532tZpgA2kc4vdgs&#10;vdpea9SWBYZECdJBivxX0dJB06s6hxOXWt2oaz0K6mHnot1VunP/EAfaeVD3M6hsZxEdhPReShvI&#10;x/3ZZLlMkmzIAm3OR5U0zRZJuMDIKUaQ5ThZuDPB9MXAOTb70SvgjrmHx/wZPDcNUcyjblzwIzxR&#10;NuFzYzVp68aij1rLHp1JIYBmUiM44iHyamdiBMzkBrB7Fq1DBB5BBpEvFmH8IHKSK23sJZMdcosC&#10;m9Gb2Y3I85BsPxs7QDYpOBeEvGg5BznJuUB9gVdpnALOBEqv4sTCslNABiNqjAivoaap1d6ikbwt&#10;nbZTNrq+PeMabQnUVXKxjD5thkMNKdkgXaVhONaXIfaLLAdxFE5yyOZoxmf2gX3n84aYZtDxrwaS&#10;WNLyc1Eiu1dAVeIyMOLDhXOM+ZofY3fEGMB3q1tZ7n1OgD2eMI7fr8Gc4yfMmZOFouMXcCaKs3AV&#10;rgZEJtKk8Msil8yp2uZyeUIa3grHcJL/nzSBwP9eNsx99vk+Mvbe3+wj8XGYZKsVRq5ZwiZdJA+Z&#10;AXPPcSKOkyhNx2qZOvfUHN66yb/STSDRw5x+nj++M7jeBuPr13NonraePz/pLG/8eZ1p5G81cM/z&#10;43C8k7qL5OEe1oc35/UPAAAA//8DAFBLAwQUAAYACAAAACEA2XH23uEAAAAKAQAADwAAAGRycy9k&#10;b3ducmV2LnhtbEyPQWuDQBCF74X+h2UKvSWr1thgXUMIbU+h0KRQctvoRCXurLgbNf++k1Nzmhne&#10;4833stVkWjFg7xpLCsJ5AAKpsGVDlYKf/cdsCcJ5TaVuLaGCKzpY5Y8PmU5LO9I3DjtfCQ4hl2oF&#10;tfddKqUrajTazW2HxNrJ9kZ7PvtKlr0eOdy0MgqCRBrdEH+odYebGovz7mIUfI56XL+E78P2fNpc&#10;D/vF1+82RKWen6b1GwiPk/83ww2f0SFnpqO9UOlEq+B1wVW8glnE86YHSZSAOPIWxzHIPJP3FfI/&#10;AAAA//8DAFBLAQItABQABgAIAAAAIQC2gziS/gAAAOEBAAATAAAAAAAAAAAAAAAAAAAAAABbQ29u&#10;dGVudF9UeXBlc10ueG1sUEsBAi0AFAAGAAgAAAAhADj9If/WAAAAlAEAAAsAAAAAAAAAAAAAAAAA&#10;LwEAAF9yZWxzLy5yZWxzUEsBAi0AFAAGAAgAAAAhADMaVjbbAgAAgQsAAA4AAAAAAAAAAAAAAAAA&#10;LgIAAGRycy9lMm9Eb2MueG1sUEsBAi0AFAAGAAgAAAAhANlx9t7hAAAACgEAAA8AAAAAAAAAAAAA&#10;AAAANQUAAGRycy9kb3ducmV2LnhtbFBLBQYAAAAABAAEAPMAAABDBgAAAAA=&#10;">
                      <v:shape id="Straight Arrow Connector 16" o:spid="_x0000_s1027" type="#_x0000_t32" style="position:absolute;top:4884;width:0;height:10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line id="Straight Connector 17" o:spid="_x0000_s1028" style="position:absolute;visibility:visible;mso-wrap-style:square" from="0,12609" to="55556,1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X4MAAAADbAAAADwAAAGRycy9kb3ducmV2LnhtbERPTWsCMRC9F/wPYQrearYKtl2NyyII&#10;HjyoLbTHMZlulm4m6ybq+u+NIPQ2j/c586J3jThTF2rPCl5HGQhi7U3NlYKvz9XLO4gQkQ02nknB&#10;lQIUi8HTHHPjL7yj8z5WIoVwyFGBjbHNpQzaksMw8i1x4n595zAm2FXSdHhJ4a6R4yybSoc1pwaL&#10;LS0t6b/9ySn4trjZbvUhkp/8lNpUxvjjh1LD576cgYjUx3/xw702af4b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1+DAAAAA2wAAAA8AAAAAAAAAAAAAAAAA&#10;oQIAAGRycy9kb3ducmV2LnhtbFBLBQYAAAAABAAEAPkAAACOAwAAAAA=&#10;" strokecolor="#4a7ebb"/>
                      <v:shape id="Straight Arrow Connector 18" o:spid="_x0000_s1029" type="#_x0000_t32" style="position:absolute;left:27046;top:12705;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Straight Arrow Connector 19" o:spid="_x0000_s1030" type="#_x0000_t32" style="position:absolute;left:55634;top:12609;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group>
                  </w:pict>
                </mc:Fallback>
              </mc:AlternateContent>
            </w:r>
          </w:p>
        </w:tc>
        <w:tc>
          <w:tcPr>
            <w:tcW w:w="818"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705" w:type="dxa"/>
            <w:gridSpan w:val="7"/>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Consent refused </w:t>
            </w:r>
          </w:p>
        </w:tc>
        <w:tc>
          <w:tcPr>
            <w:tcW w:w="1039"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164"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77"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177</w:t>
            </w:r>
          </w:p>
        </w:tc>
      </w:tr>
      <w:tr w:rsidR="006A57B2" w:rsidRPr="003C170C" w:rsidTr="00B22173">
        <w:trPr>
          <w:trHeight w:val="288"/>
        </w:trPr>
        <w:tc>
          <w:tcPr>
            <w:tcW w:w="1062"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18"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503"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 </w:t>
            </w:r>
          </w:p>
        </w:tc>
        <w:tc>
          <w:tcPr>
            <w:tcW w:w="370"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59" w:type="dxa"/>
            <w:gridSpan w:val="5"/>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 xml:space="preserve">Standard </w:t>
            </w:r>
          </w:p>
        </w:tc>
        <w:tc>
          <w:tcPr>
            <w:tcW w:w="1164"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Antibiotic</w:t>
            </w:r>
          </w:p>
        </w:tc>
        <w:tc>
          <w:tcPr>
            <w:tcW w:w="877"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Heparin</w:t>
            </w:r>
          </w:p>
        </w:tc>
      </w:tr>
      <w:tr w:rsidR="006A57B2" w:rsidRPr="003C170C" w:rsidTr="00B22173">
        <w:trPr>
          <w:trHeight w:val="300"/>
        </w:trPr>
        <w:tc>
          <w:tcPr>
            <w:tcW w:w="1062"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18"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873" w:type="dxa"/>
            <w:gridSpan w:val="4"/>
            <w:tcBorders>
              <w:top w:val="nil"/>
              <w:left w:val="single" w:sz="8" w:space="0" w:color="auto"/>
              <w:bottom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Pr>
                <w:rFonts w:ascii="Calibri" w:eastAsia="Times New Roman" w:hAnsi="Calibri" w:cstheme="minorHAnsi"/>
                <w:color w:val="000000"/>
                <w:sz w:val="20"/>
                <w:szCs w:val="20"/>
                <w:lang w:eastAsia="en-GB"/>
              </w:rPr>
              <w:t xml:space="preserve">Trial arm </w:t>
            </w:r>
          </w:p>
        </w:tc>
        <w:tc>
          <w:tcPr>
            <w:tcW w:w="276" w:type="dxa"/>
            <w:tcBorders>
              <w:top w:val="nil"/>
              <w:left w:val="nil"/>
              <w:bottom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r w:rsidRPr="003C170C">
              <w:rPr>
                <w:rFonts w:ascii="Calibri" w:eastAsia="Times New Roman" w:hAnsi="Calibri" w:cs="Times New Roman"/>
                <w:color w:val="000000"/>
                <w:lang w:eastAsia="en-GB"/>
              </w:rPr>
              <w:t> </w:t>
            </w:r>
          </w:p>
        </w:tc>
        <w:tc>
          <w:tcPr>
            <w:tcW w:w="2059" w:type="dxa"/>
            <w:gridSpan w:val="5"/>
            <w:tcBorders>
              <w:top w:val="nil"/>
              <w:left w:val="nil"/>
              <w:bottom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r w:rsidRPr="003C170C">
              <w:rPr>
                <w:rFonts w:ascii="Calibri" w:eastAsia="Times New Roman" w:hAnsi="Calibri" w:cs="Times New Roman"/>
                <w:color w:val="000000"/>
                <w:lang w:eastAsia="en-GB"/>
              </w:rPr>
              <w:t> </w:t>
            </w:r>
          </w:p>
        </w:tc>
        <w:tc>
          <w:tcPr>
            <w:tcW w:w="1039" w:type="dxa"/>
            <w:tcBorders>
              <w:top w:val="nil"/>
              <w:left w:val="nil"/>
              <w:bottom w:val="single" w:sz="8" w:space="0" w:color="auto"/>
              <w:right w:val="nil"/>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122</w:t>
            </w:r>
          </w:p>
        </w:tc>
        <w:tc>
          <w:tcPr>
            <w:tcW w:w="1164" w:type="dxa"/>
            <w:gridSpan w:val="2"/>
            <w:tcBorders>
              <w:top w:val="nil"/>
              <w:left w:val="nil"/>
              <w:bottom w:val="single" w:sz="8" w:space="0" w:color="auto"/>
              <w:right w:val="nil"/>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126</w:t>
            </w:r>
          </w:p>
        </w:tc>
        <w:tc>
          <w:tcPr>
            <w:tcW w:w="877" w:type="dxa"/>
            <w:tcBorders>
              <w:top w:val="nil"/>
              <w:left w:val="nil"/>
              <w:bottom w:val="single" w:sz="8" w:space="0" w:color="auto"/>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126</w:t>
            </w:r>
          </w:p>
        </w:tc>
      </w:tr>
      <w:tr w:rsidR="006A57B2" w:rsidRPr="003C170C" w:rsidTr="00B22173">
        <w:trPr>
          <w:trHeight w:val="288"/>
        </w:trPr>
        <w:tc>
          <w:tcPr>
            <w:tcW w:w="1062"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18"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ind w:firstLineChars="200" w:firstLine="440"/>
              <w:rPr>
                <w:rFonts w:ascii="Calibri" w:eastAsia="Times New Roman" w:hAnsi="Calibri" w:cs="Times New Roman"/>
                <w:color w:val="000000"/>
                <w:lang w:eastAsia="en-GB"/>
              </w:rPr>
            </w:pPr>
          </w:p>
        </w:tc>
        <w:tc>
          <w:tcPr>
            <w:tcW w:w="808"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r w:rsidRPr="003C170C">
              <w:rPr>
                <w:rFonts w:ascii="Calibri" w:eastAsia="Times New Roman" w:hAnsi="Calibri" w:cs="Times New Roman"/>
                <w:color w:val="000000"/>
                <w:lang w:eastAsia="en-GB"/>
              </w:rPr>
              <w:t> </w:t>
            </w:r>
          </w:p>
        </w:tc>
        <w:tc>
          <w:tcPr>
            <w:tcW w:w="3098" w:type="dxa"/>
            <w:gridSpan w:val="6"/>
            <w:tcBorders>
              <w:top w:val="single" w:sz="8" w:space="0" w:color="auto"/>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r w:rsidRPr="003C170C">
              <w:rPr>
                <w:rFonts w:ascii="Calibri" w:eastAsia="Times New Roman" w:hAnsi="Calibri" w:cs="Times New Roman"/>
                <w:color w:val="000000"/>
                <w:lang w:eastAsia="en-GB"/>
              </w:rPr>
              <w:t> </w:t>
            </w:r>
          </w:p>
        </w:tc>
        <w:tc>
          <w:tcPr>
            <w:tcW w:w="2041" w:type="dxa"/>
            <w:gridSpan w:val="3"/>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r>
      <w:tr w:rsidR="006A57B2" w:rsidRPr="003C170C" w:rsidTr="00B22173">
        <w:trPr>
          <w:trHeight w:val="205"/>
        </w:trPr>
        <w:tc>
          <w:tcPr>
            <w:tcW w:w="1062"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c>
          <w:tcPr>
            <w:tcW w:w="2061"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c>
          <w:tcPr>
            <w:tcW w:w="818"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c>
          <w:tcPr>
            <w:tcW w:w="27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c>
          <w:tcPr>
            <w:tcW w:w="1933"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c>
          <w:tcPr>
            <w:tcW w:w="106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ind w:firstLineChars="200" w:firstLine="280"/>
              <w:rPr>
                <w:rFonts w:ascii="Calibri" w:eastAsia="Times New Roman" w:hAnsi="Calibri" w:cs="Times New Roman"/>
                <w:color w:val="000000"/>
                <w:sz w:val="14"/>
                <w:szCs w:val="14"/>
                <w:lang w:eastAsia="en-GB"/>
              </w:rPr>
            </w:pPr>
          </w:p>
        </w:tc>
        <w:tc>
          <w:tcPr>
            <w:tcW w:w="808" w:type="dxa"/>
            <w:gridSpan w:val="3"/>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c>
          <w:tcPr>
            <w:tcW w:w="276"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c>
          <w:tcPr>
            <w:tcW w:w="3098" w:type="dxa"/>
            <w:gridSpan w:val="6"/>
            <w:tcBorders>
              <w:top w:val="nil"/>
              <w:left w:val="nil"/>
              <w:bottom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r w:rsidRPr="003C170C">
              <w:rPr>
                <w:rFonts w:ascii="Calibri" w:eastAsia="Times New Roman" w:hAnsi="Calibri" w:cs="Times New Roman"/>
                <w:color w:val="000000"/>
                <w:sz w:val="14"/>
                <w:szCs w:val="14"/>
                <w:lang w:eastAsia="en-GB"/>
              </w:rPr>
              <w:t> </w:t>
            </w:r>
          </w:p>
        </w:tc>
        <w:tc>
          <w:tcPr>
            <w:tcW w:w="2041" w:type="dxa"/>
            <w:gridSpan w:val="3"/>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4"/>
                <w:szCs w:val="14"/>
                <w:lang w:eastAsia="en-GB"/>
              </w:rPr>
            </w:pPr>
          </w:p>
        </w:tc>
      </w:tr>
      <w:tr w:rsidR="006A57B2" w:rsidRPr="003C170C" w:rsidTr="00B22173">
        <w:trPr>
          <w:trHeight w:val="288"/>
        </w:trPr>
        <w:tc>
          <w:tcPr>
            <w:tcW w:w="1062" w:type="dxa"/>
            <w:tcBorders>
              <w:top w:val="single" w:sz="8" w:space="0" w:color="auto"/>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Standard</w:t>
            </w:r>
          </w:p>
        </w:tc>
        <w:tc>
          <w:tcPr>
            <w:tcW w:w="2061" w:type="dxa"/>
            <w:tcBorders>
              <w:top w:val="single" w:sz="8" w:space="0" w:color="auto"/>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818" w:type="dxa"/>
            <w:tcBorders>
              <w:top w:val="single" w:sz="8" w:space="0" w:color="auto"/>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 </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998" w:type="dxa"/>
            <w:gridSpan w:val="3"/>
            <w:tcBorders>
              <w:top w:val="single" w:sz="8" w:space="0" w:color="auto"/>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Antibiotic</w:t>
            </w:r>
          </w:p>
        </w:tc>
        <w:tc>
          <w:tcPr>
            <w:tcW w:w="808" w:type="dxa"/>
            <w:gridSpan w:val="3"/>
            <w:tcBorders>
              <w:top w:val="single" w:sz="8" w:space="0" w:color="auto"/>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 </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098" w:type="dxa"/>
            <w:gridSpan w:val="6"/>
            <w:tcBorders>
              <w:top w:val="single" w:sz="8" w:space="0" w:color="auto"/>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Heparin</w:t>
            </w:r>
          </w:p>
        </w:tc>
        <w:tc>
          <w:tcPr>
            <w:tcW w:w="1062" w:type="dxa"/>
            <w:tcBorders>
              <w:top w:val="single" w:sz="8" w:space="0" w:color="auto"/>
              <w:left w:val="nil"/>
              <w:bottom w:val="nil"/>
              <w:right w:val="single" w:sz="4" w:space="0" w:color="auto"/>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979" w:type="dxa"/>
            <w:gridSpan w:val="2"/>
            <w:tcBorders>
              <w:left w:val="single" w:sz="4" w:space="0" w:color="auto"/>
              <w:bottom w:val="nil"/>
              <w:right w:val="nil"/>
            </w:tcBorders>
            <w:shd w:val="clear" w:color="auto" w:fill="auto"/>
            <w:vAlign w:val="center"/>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p>
        </w:tc>
      </w:tr>
      <w:tr w:rsidR="006A57B2" w:rsidRPr="003C170C" w:rsidTr="00B22173">
        <w:trPr>
          <w:trHeight w:val="288"/>
        </w:trPr>
        <w:tc>
          <w:tcPr>
            <w:tcW w:w="3123" w:type="dxa"/>
            <w:gridSpan w:val="2"/>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Allocated (ITT analysis)</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502</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998"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Allocated (ITT analysis)</w:t>
            </w: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486</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098" w:type="dxa"/>
            <w:gridSpan w:val="6"/>
            <w:tcBorders>
              <w:top w:val="nil"/>
              <w:left w:val="single" w:sz="8" w:space="0" w:color="auto"/>
              <w:bottom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Allocated (ITT analysis)</w:t>
            </w:r>
          </w:p>
        </w:tc>
        <w:tc>
          <w:tcPr>
            <w:tcW w:w="1062" w:type="dxa"/>
            <w:tcBorders>
              <w:top w:val="nil"/>
              <w:left w:val="nil"/>
              <w:bottom w:val="nil"/>
              <w:right w:val="single" w:sz="4" w:space="0" w:color="auto"/>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497</w:t>
            </w: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288"/>
        </w:trPr>
        <w:tc>
          <w:tcPr>
            <w:tcW w:w="3123" w:type="dxa"/>
            <w:gridSpan w:val="2"/>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Received (per protocol)</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468</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998"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Received (per protocol)</w:t>
            </w: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437</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098" w:type="dxa"/>
            <w:gridSpan w:val="6"/>
            <w:tcBorders>
              <w:top w:val="nil"/>
              <w:left w:val="single" w:sz="8" w:space="0" w:color="auto"/>
              <w:bottom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Received (per protocol)</w:t>
            </w:r>
          </w:p>
        </w:tc>
        <w:tc>
          <w:tcPr>
            <w:tcW w:w="1062" w:type="dxa"/>
            <w:tcBorders>
              <w:top w:val="nil"/>
              <w:left w:val="nil"/>
              <w:bottom w:val="nil"/>
              <w:right w:val="single" w:sz="4" w:space="0" w:color="auto"/>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440</w:t>
            </w: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288"/>
        </w:trPr>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r w:rsidRPr="003C170C">
              <w:rPr>
                <w:rFonts w:ascii="Calibri" w:eastAsia="Times New Roman" w:hAnsi="Calibri" w:cs="Times New Roman"/>
                <w:color w:val="000000"/>
                <w:lang w:eastAsia="en-GB"/>
              </w:rPr>
              <w:t> </w:t>
            </w: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933" w:type="dxa"/>
            <w:gridSpan w:val="2"/>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1065"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059" w:type="dxa"/>
            <w:gridSpan w:val="5"/>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1039"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top w:val="nil"/>
              <w:left w:val="nil"/>
              <w:bottom w:val="nil"/>
              <w:right w:val="single" w:sz="4"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288"/>
        </w:trPr>
        <w:tc>
          <w:tcPr>
            <w:tcW w:w="3123" w:type="dxa"/>
            <w:gridSpan w:val="2"/>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Received other:</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13</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998"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Received other:</w:t>
            </w: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28</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098" w:type="dxa"/>
            <w:gridSpan w:val="6"/>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Received other:</w:t>
            </w:r>
          </w:p>
        </w:tc>
        <w:tc>
          <w:tcPr>
            <w:tcW w:w="1062" w:type="dxa"/>
            <w:tcBorders>
              <w:top w:val="nil"/>
              <w:left w:val="nil"/>
              <w:bottom w:val="nil"/>
              <w:right w:val="single" w:sz="4"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imes New Roman"/>
                <w:color w:val="000000"/>
                <w:sz w:val="20"/>
                <w:szCs w:val="20"/>
                <w:lang w:eastAsia="en-GB"/>
              </w:rPr>
              <w:t>24</w:t>
            </w: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288"/>
        </w:trPr>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61"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Antibiotic</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1936"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Standard </w:t>
            </w: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23</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86" w:type="dxa"/>
            <w:gridSpan w:val="4"/>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12"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Standard </w:t>
            </w:r>
          </w:p>
        </w:tc>
        <w:tc>
          <w:tcPr>
            <w:tcW w:w="1062" w:type="dxa"/>
            <w:tcBorders>
              <w:top w:val="nil"/>
              <w:left w:val="nil"/>
              <w:bottom w:val="nil"/>
              <w:right w:val="single" w:sz="4"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imes New Roman"/>
                <w:color w:val="000000"/>
                <w:sz w:val="20"/>
                <w:szCs w:val="20"/>
                <w:lang w:eastAsia="en-GB"/>
              </w:rPr>
              <w:t>22</w:t>
            </w: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288"/>
        </w:trPr>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61"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Heparin</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12</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1936"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Heparin</w:t>
            </w: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5</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86" w:type="dxa"/>
            <w:gridSpan w:val="4"/>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12"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Antibiotic </w:t>
            </w:r>
          </w:p>
        </w:tc>
        <w:tc>
          <w:tcPr>
            <w:tcW w:w="1062" w:type="dxa"/>
            <w:tcBorders>
              <w:top w:val="nil"/>
              <w:left w:val="nil"/>
              <w:bottom w:val="nil"/>
              <w:right w:val="single" w:sz="4"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imes New Roman"/>
                <w:color w:val="000000"/>
                <w:sz w:val="20"/>
                <w:szCs w:val="20"/>
                <w:lang w:eastAsia="en-GB"/>
              </w:rPr>
              <w:t>2</w:t>
            </w: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139"/>
        </w:trPr>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ind w:firstLineChars="200" w:firstLine="200"/>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2061"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ind w:firstLineChars="200" w:firstLine="200"/>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1936"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86" w:type="dxa"/>
            <w:gridSpan w:val="4"/>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ind w:firstLineChars="200" w:firstLine="200"/>
              <w:rPr>
                <w:rFonts w:ascii="Calibri" w:eastAsia="Times New Roman" w:hAnsi="Calibri" w:cs="Times New Roman"/>
                <w:color w:val="000000"/>
                <w:sz w:val="10"/>
                <w:szCs w:val="10"/>
                <w:lang w:eastAsia="en-GB"/>
              </w:rPr>
            </w:pPr>
            <w:r w:rsidRPr="003C170C">
              <w:rPr>
                <w:rFonts w:ascii="Calibri" w:eastAsia="Times New Roman" w:hAnsi="Calibri" w:cs="Times New Roman"/>
                <w:color w:val="000000"/>
                <w:sz w:val="10"/>
                <w:szCs w:val="10"/>
                <w:lang w:eastAsia="en-GB"/>
              </w:rPr>
              <w:t> </w:t>
            </w:r>
          </w:p>
        </w:tc>
        <w:tc>
          <w:tcPr>
            <w:tcW w:w="2012" w:type="dxa"/>
            <w:gridSpan w:val="2"/>
            <w:tcBorders>
              <w:top w:val="nil"/>
              <w:left w:val="nil"/>
              <w:bottom w:val="nil"/>
              <w:right w:val="nil"/>
            </w:tcBorders>
            <w:shd w:val="clear" w:color="auto" w:fill="auto"/>
            <w:noWrap/>
            <w:vAlign w:val="bottom"/>
            <w:hideMark/>
          </w:tcPr>
          <w:p w:rsidR="006A57B2" w:rsidRPr="003C170C" w:rsidRDefault="006A57B2" w:rsidP="00B22173">
            <w:pPr>
              <w:spacing w:after="0" w:line="240" w:lineRule="auto"/>
              <w:ind w:firstLineChars="100" w:firstLine="220"/>
              <w:rPr>
                <w:rFonts w:ascii="Calibri" w:eastAsia="Times New Roman" w:hAnsi="Calibri" w:cs="Times New Roman"/>
                <w:color w:val="000000"/>
                <w:lang w:eastAsia="en-GB"/>
              </w:rPr>
            </w:pPr>
          </w:p>
        </w:tc>
        <w:tc>
          <w:tcPr>
            <w:tcW w:w="1062" w:type="dxa"/>
            <w:tcBorders>
              <w:top w:val="nil"/>
              <w:left w:val="nil"/>
              <w:bottom w:val="nil"/>
              <w:right w:val="single" w:sz="4"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288"/>
        </w:trPr>
        <w:tc>
          <w:tcPr>
            <w:tcW w:w="3123" w:type="dxa"/>
            <w:gridSpan w:val="2"/>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None received:</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21</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2998" w:type="dxa"/>
            <w:gridSpan w:val="3"/>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None received:</w:t>
            </w: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21</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098" w:type="dxa"/>
            <w:gridSpan w:val="6"/>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None received:</w:t>
            </w:r>
          </w:p>
        </w:tc>
        <w:tc>
          <w:tcPr>
            <w:tcW w:w="1062" w:type="dxa"/>
            <w:tcBorders>
              <w:top w:val="nil"/>
              <w:left w:val="nil"/>
              <w:bottom w:val="nil"/>
              <w:right w:val="single" w:sz="4"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imes New Roman"/>
                <w:color w:val="000000"/>
                <w:sz w:val="20"/>
                <w:szCs w:val="20"/>
                <w:lang w:eastAsia="en-GB"/>
              </w:rPr>
              <w:t>33</w:t>
            </w: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403"/>
        </w:trPr>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61" w:type="dxa"/>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Insertion attempted</w:t>
            </w:r>
          </w:p>
        </w:tc>
        <w:tc>
          <w:tcPr>
            <w:tcW w:w="818" w:type="dxa"/>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15</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1936"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Insertion attempted</w:t>
            </w:r>
          </w:p>
        </w:tc>
        <w:tc>
          <w:tcPr>
            <w:tcW w:w="808" w:type="dxa"/>
            <w:gridSpan w:val="3"/>
            <w:tcBorders>
              <w:top w:val="nil"/>
              <w:left w:val="nil"/>
              <w:bottom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14</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86" w:type="dxa"/>
            <w:gridSpan w:val="4"/>
            <w:tcBorders>
              <w:top w:val="nil"/>
              <w:left w:val="single" w:sz="8" w:space="0" w:color="auto"/>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12" w:type="dxa"/>
            <w:gridSpan w:val="2"/>
            <w:tcBorders>
              <w:top w:val="nil"/>
              <w:left w:val="nil"/>
              <w:bottom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Insertion attempted</w:t>
            </w:r>
          </w:p>
        </w:tc>
        <w:tc>
          <w:tcPr>
            <w:tcW w:w="1062" w:type="dxa"/>
            <w:tcBorders>
              <w:top w:val="nil"/>
              <w:left w:val="nil"/>
              <w:bottom w:val="nil"/>
              <w:right w:val="single" w:sz="4" w:space="0" w:color="auto"/>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imes New Roman"/>
                <w:color w:val="000000"/>
                <w:sz w:val="20"/>
                <w:szCs w:val="20"/>
                <w:lang w:eastAsia="en-GB"/>
              </w:rPr>
              <w:t>24</w:t>
            </w:r>
          </w:p>
        </w:tc>
        <w:tc>
          <w:tcPr>
            <w:tcW w:w="979" w:type="dxa"/>
            <w:gridSpan w:val="2"/>
            <w:tcBorders>
              <w:top w:val="nil"/>
              <w:left w:val="single" w:sz="4" w:space="0" w:color="auto"/>
              <w:bottom w:val="nil"/>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300"/>
        </w:trPr>
        <w:tc>
          <w:tcPr>
            <w:tcW w:w="1062" w:type="dxa"/>
            <w:tcBorders>
              <w:top w:val="nil"/>
              <w:left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61" w:type="dxa"/>
            <w:tcBorders>
              <w:top w:val="nil"/>
              <w:left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Not attempted</w:t>
            </w:r>
          </w:p>
        </w:tc>
        <w:tc>
          <w:tcPr>
            <w:tcW w:w="818" w:type="dxa"/>
            <w:tcBorders>
              <w:top w:val="nil"/>
              <w:left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6</w:t>
            </w:r>
          </w:p>
        </w:tc>
        <w:tc>
          <w:tcPr>
            <w:tcW w:w="275" w:type="dxa"/>
            <w:tcBorders>
              <w:top w:val="nil"/>
              <w:left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top w:val="nil"/>
              <w:left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1936" w:type="dxa"/>
            <w:gridSpan w:val="2"/>
            <w:tcBorders>
              <w:top w:val="nil"/>
              <w:left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Not attempted</w:t>
            </w:r>
          </w:p>
        </w:tc>
        <w:tc>
          <w:tcPr>
            <w:tcW w:w="808" w:type="dxa"/>
            <w:gridSpan w:val="3"/>
            <w:tcBorders>
              <w:top w:val="nil"/>
              <w:left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7</w:t>
            </w:r>
          </w:p>
        </w:tc>
        <w:tc>
          <w:tcPr>
            <w:tcW w:w="276" w:type="dxa"/>
            <w:tcBorders>
              <w:top w:val="nil"/>
              <w:left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86" w:type="dxa"/>
            <w:gridSpan w:val="4"/>
            <w:tcBorders>
              <w:top w:val="nil"/>
              <w:left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p>
        </w:tc>
        <w:tc>
          <w:tcPr>
            <w:tcW w:w="2012" w:type="dxa"/>
            <w:gridSpan w:val="2"/>
            <w:tcBorders>
              <w:top w:val="nil"/>
              <w:left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Not attempted</w:t>
            </w:r>
          </w:p>
        </w:tc>
        <w:tc>
          <w:tcPr>
            <w:tcW w:w="1062" w:type="dxa"/>
            <w:tcBorders>
              <w:top w:val="nil"/>
              <w:left w:val="nil"/>
              <w:right w:val="single" w:sz="4" w:space="0" w:color="auto"/>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sidRPr="003C170C">
              <w:rPr>
                <w:rFonts w:ascii="Calibri" w:eastAsia="Times New Roman" w:hAnsi="Calibri" w:cs="Times New Roman"/>
                <w:color w:val="000000"/>
                <w:sz w:val="20"/>
                <w:szCs w:val="20"/>
                <w:lang w:eastAsia="en-GB"/>
              </w:rPr>
              <w:t>9</w:t>
            </w:r>
          </w:p>
        </w:tc>
        <w:tc>
          <w:tcPr>
            <w:tcW w:w="979" w:type="dxa"/>
            <w:gridSpan w:val="2"/>
            <w:tcBorders>
              <w:top w:val="nil"/>
              <w:left w:val="single" w:sz="4" w:space="0" w:color="auto"/>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300"/>
        </w:trPr>
        <w:tc>
          <w:tcPr>
            <w:tcW w:w="1062" w:type="dxa"/>
            <w:tcBorders>
              <w:top w:val="nil"/>
              <w:left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p>
        </w:tc>
        <w:tc>
          <w:tcPr>
            <w:tcW w:w="2061" w:type="dxa"/>
            <w:tcBorders>
              <w:top w:val="nil"/>
              <w:left w:val="nil"/>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p>
        </w:tc>
        <w:tc>
          <w:tcPr>
            <w:tcW w:w="818" w:type="dxa"/>
            <w:tcBorders>
              <w:top w:val="nil"/>
              <w:left w:val="nil"/>
              <w:right w:val="single" w:sz="8" w:space="0" w:color="auto"/>
            </w:tcBorders>
            <w:shd w:val="clear" w:color="auto" w:fill="auto"/>
            <w:noWrap/>
            <w:vAlign w:val="center"/>
          </w:tcPr>
          <w:p w:rsidR="006A57B2" w:rsidRPr="003C170C" w:rsidRDefault="006A57B2" w:rsidP="00B22173">
            <w:pPr>
              <w:spacing w:after="0" w:line="240" w:lineRule="auto"/>
              <w:jc w:val="right"/>
              <w:rPr>
                <w:rFonts w:ascii="Calibri" w:eastAsia="Times New Roman" w:hAnsi="Calibri" w:cstheme="minorHAnsi"/>
                <w:color w:val="000000"/>
                <w:sz w:val="20"/>
                <w:szCs w:val="20"/>
                <w:lang w:eastAsia="en-GB"/>
              </w:rPr>
            </w:pPr>
          </w:p>
        </w:tc>
        <w:tc>
          <w:tcPr>
            <w:tcW w:w="275" w:type="dxa"/>
            <w:tcBorders>
              <w:top w:val="nil"/>
              <w:left w:val="nil"/>
              <w:right w:val="nil"/>
            </w:tcBorders>
            <w:shd w:val="clear" w:color="auto" w:fill="auto"/>
            <w:noWrap/>
            <w:vAlign w:val="bottom"/>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top w:val="nil"/>
              <w:left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p>
        </w:tc>
        <w:tc>
          <w:tcPr>
            <w:tcW w:w="1936" w:type="dxa"/>
            <w:gridSpan w:val="2"/>
            <w:tcBorders>
              <w:top w:val="nil"/>
              <w:left w:val="nil"/>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p>
        </w:tc>
        <w:tc>
          <w:tcPr>
            <w:tcW w:w="808" w:type="dxa"/>
            <w:gridSpan w:val="3"/>
            <w:tcBorders>
              <w:top w:val="nil"/>
              <w:left w:val="nil"/>
              <w:right w:val="single" w:sz="8" w:space="0" w:color="auto"/>
            </w:tcBorders>
            <w:shd w:val="clear" w:color="auto" w:fill="auto"/>
            <w:noWrap/>
            <w:vAlign w:val="center"/>
          </w:tcPr>
          <w:p w:rsidR="006A57B2" w:rsidRPr="003C170C" w:rsidRDefault="006A57B2" w:rsidP="00B22173">
            <w:pPr>
              <w:spacing w:after="0" w:line="240" w:lineRule="auto"/>
              <w:jc w:val="right"/>
              <w:rPr>
                <w:rFonts w:ascii="Calibri" w:eastAsia="Times New Roman" w:hAnsi="Calibri" w:cstheme="minorHAnsi"/>
                <w:color w:val="000000"/>
                <w:sz w:val="20"/>
                <w:szCs w:val="20"/>
                <w:lang w:eastAsia="en-GB"/>
              </w:rPr>
            </w:pPr>
          </w:p>
        </w:tc>
        <w:tc>
          <w:tcPr>
            <w:tcW w:w="276" w:type="dxa"/>
            <w:tcBorders>
              <w:top w:val="nil"/>
              <w:left w:val="nil"/>
              <w:right w:val="nil"/>
            </w:tcBorders>
            <w:shd w:val="clear" w:color="auto" w:fill="auto"/>
            <w:noWrap/>
            <w:vAlign w:val="bottom"/>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86" w:type="dxa"/>
            <w:gridSpan w:val="4"/>
            <w:tcBorders>
              <w:top w:val="nil"/>
              <w:left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p>
        </w:tc>
        <w:tc>
          <w:tcPr>
            <w:tcW w:w="2012" w:type="dxa"/>
            <w:gridSpan w:val="2"/>
            <w:tcBorders>
              <w:top w:val="nil"/>
              <w:left w:val="nil"/>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p>
        </w:tc>
        <w:tc>
          <w:tcPr>
            <w:tcW w:w="1062" w:type="dxa"/>
            <w:tcBorders>
              <w:top w:val="nil"/>
              <w:left w:val="nil"/>
              <w:right w:val="single" w:sz="4" w:space="0" w:color="auto"/>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c>
          <w:tcPr>
            <w:tcW w:w="979" w:type="dxa"/>
            <w:gridSpan w:val="2"/>
            <w:tcBorders>
              <w:top w:val="nil"/>
              <w:left w:val="single" w:sz="4" w:space="0" w:color="auto"/>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300"/>
        </w:trPr>
        <w:tc>
          <w:tcPr>
            <w:tcW w:w="1062" w:type="dxa"/>
            <w:tcBorders>
              <w:left w:val="single" w:sz="8" w:space="0" w:color="auto"/>
              <w:bottom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r w:rsidRPr="003C170C">
              <w:rPr>
                <w:rFonts w:ascii="Calibri" w:eastAsia="Times New Roman" w:hAnsi="Calibri" w:cstheme="minorHAnsi"/>
                <w:color w:val="000000"/>
                <w:sz w:val="20"/>
                <w:szCs w:val="20"/>
                <w:lang w:eastAsia="en-GB"/>
              </w:rPr>
              <w:t>Unblinded</w:t>
            </w:r>
          </w:p>
        </w:tc>
        <w:tc>
          <w:tcPr>
            <w:tcW w:w="2061" w:type="dxa"/>
            <w:tcBorders>
              <w:left w:val="nil"/>
              <w:bottom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r w:rsidRPr="003C170C">
              <w:rPr>
                <w:rFonts w:ascii="Calibri" w:eastAsia="Times New Roman" w:hAnsi="Calibri" w:cstheme="minorHAnsi"/>
                <w:color w:val="000000"/>
                <w:sz w:val="20"/>
                <w:szCs w:val="20"/>
                <w:lang w:eastAsia="en-GB"/>
              </w:rPr>
              <w:t> </w:t>
            </w:r>
          </w:p>
        </w:tc>
        <w:tc>
          <w:tcPr>
            <w:tcW w:w="818" w:type="dxa"/>
            <w:tcBorders>
              <w:left w:val="nil"/>
              <w:bottom w:val="single" w:sz="8" w:space="0" w:color="auto"/>
              <w:right w:val="single" w:sz="8" w:space="0" w:color="auto"/>
            </w:tcBorders>
            <w:shd w:val="clear" w:color="auto" w:fill="auto"/>
            <w:noWrap/>
            <w:vAlign w:val="center"/>
          </w:tcPr>
          <w:p w:rsidR="006A57B2" w:rsidRPr="003C170C" w:rsidRDefault="006A57B2" w:rsidP="00B22173">
            <w:pPr>
              <w:spacing w:after="0" w:line="240" w:lineRule="auto"/>
              <w:jc w:val="right"/>
              <w:rPr>
                <w:rFonts w:ascii="Calibri" w:eastAsia="Times New Roman" w:hAnsi="Calibri" w:cstheme="minorHAnsi"/>
                <w:color w:val="000000"/>
                <w:sz w:val="20"/>
                <w:szCs w:val="20"/>
                <w:lang w:eastAsia="en-GB"/>
              </w:rPr>
            </w:pPr>
            <w:r w:rsidRPr="003C170C">
              <w:rPr>
                <w:rFonts w:ascii="Calibri" w:eastAsia="Times New Roman" w:hAnsi="Calibri" w:cstheme="minorHAnsi"/>
                <w:color w:val="000000"/>
                <w:sz w:val="20"/>
                <w:szCs w:val="20"/>
                <w:lang w:eastAsia="en-GB"/>
              </w:rPr>
              <w:t>1</w:t>
            </w:r>
          </w:p>
        </w:tc>
        <w:tc>
          <w:tcPr>
            <w:tcW w:w="275" w:type="dxa"/>
            <w:tcBorders>
              <w:left w:val="nil"/>
              <w:bottom w:val="nil"/>
              <w:right w:val="nil"/>
            </w:tcBorders>
            <w:shd w:val="clear" w:color="auto" w:fill="auto"/>
            <w:noWrap/>
            <w:vAlign w:val="bottom"/>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62" w:type="dxa"/>
            <w:tcBorders>
              <w:left w:val="single" w:sz="8" w:space="0" w:color="auto"/>
              <w:bottom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r w:rsidRPr="003C170C">
              <w:rPr>
                <w:rFonts w:ascii="Calibri" w:eastAsia="Times New Roman" w:hAnsi="Calibri" w:cstheme="minorHAnsi"/>
                <w:color w:val="000000"/>
                <w:sz w:val="20"/>
                <w:szCs w:val="20"/>
                <w:lang w:eastAsia="en-GB"/>
              </w:rPr>
              <w:t>Unblinded</w:t>
            </w:r>
          </w:p>
        </w:tc>
        <w:tc>
          <w:tcPr>
            <w:tcW w:w="1936" w:type="dxa"/>
            <w:gridSpan w:val="2"/>
            <w:tcBorders>
              <w:left w:val="nil"/>
              <w:bottom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r w:rsidRPr="003C170C">
              <w:rPr>
                <w:rFonts w:ascii="Calibri" w:eastAsia="Times New Roman" w:hAnsi="Calibri" w:cstheme="minorHAnsi"/>
                <w:color w:val="000000"/>
                <w:sz w:val="20"/>
                <w:szCs w:val="20"/>
                <w:lang w:eastAsia="en-GB"/>
              </w:rPr>
              <w:t> </w:t>
            </w:r>
          </w:p>
        </w:tc>
        <w:tc>
          <w:tcPr>
            <w:tcW w:w="808" w:type="dxa"/>
            <w:gridSpan w:val="3"/>
            <w:tcBorders>
              <w:left w:val="nil"/>
              <w:bottom w:val="single" w:sz="8" w:space="0" w:color="auto"/>
              <w:right w:val="single" w:sz="8" w:space="0" w:color="auto"/>
            </w:tcBorders>
            <w:shd w:val="clear" w:color="auto" w:fill="auto"/>
            <w:noWrap/>
            <w:vAlign w:val="center"/>
          </w:tcPr>
          <w:p w:rsidR="006A57B2" w:rsidRPr="003C170C" w:rsidRDefault="006A57B2" w:rsidP="00B22173">
            <w:pPr>
              <w:spacing w:after="0" w:line="240" w:lineRule="auto"/>
              <w:jc w:val="right"/>
              <w:rPr>
                <w:rFonts w:ascii="Calibri" w:eastAsia="Times New Roman" w:hAnsi="Calibri" w:cstheme="minorHAnsi"/>
                <w:color w:val="000000"/>
                <w:sz w:val="20"/>
                <w:szCs w:val="20"/>
                <w:lang w:eastAsia="en-GB"/>
              </w:rPr>
            </w:pPr>
            <w:r w:rsidRPr="003C170C">
              <w:rPr>
                <w:rFonts w:ascii="Calibri" w:eastAsia="Times New Roman" w:hAnsi="Calibri" w:cstheme="minorHAnsi"/>
                <w:color w:val="000000"/>
                <w:sz w:val="20"/>
                <w:szCs w:val="20"/>
                <w:lang w:eastAsia="en-GB"/>
              </w:rPr>
              <w:t>1</w:t>
            </w:r>
          </w:p>
        </w:tc>
        <w:tc>
          <w:tcPr>
            <w:tcW w:w="276" w:type="dxa"/>
            <w:tcBorders>
              <w:left w:val="nil"/>
              <w:bottom w:val="nil"/>
              <w:right w:val="nil"/>
            </w:tcBorders>
            <w:shd w:val="clear" w:color="auto" w:fill="auto"/>
            <w:noWrap/>
            <w:vAlign w:val="bottom"/>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1086" w:type="dxa"/>
            <w:gridSpan w:val="4"/>
            <w:tcBorders>
              <w:left w:val="single" w:sz="8" w:space="0" w:color="auto"/>
              <w:bottom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r w:rsidRPr="003C170C">
              <w:rPr>
                <w:rFonts w:ascii="Calibri" w:eastAsia="Times New Roman" w:hAnsi="Calibri" w:cstheme="minorHAnsi"/>
                <w:color w:val="000000"/>
                <w:sz w:val="20"/>
                <w:szCs w:val="20"/>
                <w:lang w:eastAsia="en-GB"/>
              </w:rPr>
              <w:t>Unblinded</w:t>
            </w:r>
          </w:p>
        </w:tc>
        <w:tc>
          <w:tcPr>
            <w:tcW w:w="2012" w:type="dxa"/>
            <w:gridSpan w:val="2"/>
            <w:tcBorders>
              <w:left w:val="nil"/>
              <w:bottom w:val="single" w:sz="8" w:space="0" w:color="auto"/>
              <w:right w:val="nil"/>
            </w:tcBorders>
            <w:shd w:val="clear" w:color="auto" w:fill="auto"/>
            <w:noWrap/>
            <w:vAlign w:val="center"/>
          </w:tcPr>
          <w:p w:rsidR="006A57B2" w:rsidRPr="003C170C" w:rsidRDefault="006A57B2" w:rsidP="00B22173">
            <w:pPr>
              <w:spacing w:after="0" w:line="240" w:lineRule="auto"/>
              <w:rPr>
                <w:rFonts w:ascii="Calibri" w:eastAsia="Times New Roman" w:hAnsi="Calibri" w:cstheme="minorHAnsi"/>
                <w:color w:val="000000"/>
                <w:sz w:val="20"/>
                <w:szCs w:val="20"/>
                <w:lang w:eastAsia="en-GB"/>
              </w:rPr>
            </w:pPr>
            <w:r>
              <w:rPr>
                <w:rFonts w:ascii="Calibri" w:eastAsia="Times New Roman" w:hAnsi="Calibri" w:cstheme="minorHAnsi"/>
                <w:color w:val="000000"/>
                <w:sz w:val="20"/>
                <w:szCs w:val="20"/>
                <w:lang w:eastAsia="en-GB"/>
              </w:rPr>
              <w:t> </w:t>
            </w:r>
          </w:p>
        </w:tc>
        <w:tc>
          <w:tcPr>
            <w:tcW w:w="1062" w:type="dxa"/>
            <w:tcBorders>
              <w:left w:val="nil"/>
              <w:bottom w:val="single" w:sz="8" w:space="0" w:color="auto"/>
              <w:right w:val="single" w:sz="4" w:space="0" w:color="auto"/>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heme="minorHAnsi"/>
                <w:color w:val="000000"/>
                <w:sz w:val="20"/>
                <w:szCs w:val="20"/>
                <w:lang w:eastAsia="en-GB"/>
              </w:rPr>
              <w:t>2</w:t>
            </w:r>
          </w:p>
        </w:tc>
        <w:tc>
          <w:tcPr>
            <w:tcW w:w="979" w:type="dxa"/>
            <w:gridSpan w:val="2"/>
            <w:tcBorders>
              <w:top w:val="nil"/>
              <w:left w:val="single" w:sz="4" w:space="0" w:color="auto"/>
              <w:right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r w:rsidR="006A57B2" w:rsidRPr="003C170C" w:rsidTr="00B22173">
        <w:trPr>
          <w:trHeight w:val="300"/>
        </w:trPr>
        <w:tc>
          <w:tcPr>
            <w:tcW w:w="3123" w:type="dxa"/>
            <w:gridSpan w:val="2"/>
            <w:tcBorders>
              <w:top w:val="nil"/>
              <w:left w:val="single" w:sz="8" w:space="0" w:color="auto"/>
              <w:bottom w:val="nil"/>
              <w:right w:val="nil"/>
            </w:tcBorders>
            <w:shd w:val="clear" w:color="auto" w:fill="BDD6EE" w:themeFill="accent1" w:themeFillTint="66"/>
            <w:noWrap/>
            <w:vAlign w:val="center"/>
            <w:hideMark/>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r w:rsidRPr="007826B8">
              <w:rPr>
                <w:rFonts w:ascii="Calibri" w:eastAsia="Times New Roman" w:hAnsi="Calibri" w:cs="Times New Roman"/>
                <w:color w:val="000000"/>
                <w:sz w:val="20"/>
                <w:szCs w:val="20"/>
                <w:lang w:eastAsia="en-GB"/>
              </w:rPr>
              <w:t> Primary outcome</w:t>
            </w:r>
            <w:r>
              <w:rPr>
                <w:rFonts w:ascii="Calibri" w:eastAsia="Times New Roman" w:hAnsi="Calibri" w:cs="Times New Roman"/>
                <w:color w:val="000000"/>
                <w:sz w:val="20"/>
                <w:szCs w:val="20"/>
                <w:lang w:eastAsia="en-GB"/>
              </w:rPr>
              <w:t>*</w:t>
            </w:r>
          </w:p>
        </w:tc>
        <w:tc>
          <w:tcPr>
            <w:tcW w:w="818" w:type="dxa"/>
            <w:tcBorders>
              <w:top w:val="nil"/>
              <w:left w:val="nil"/>
              <w:bottom w:val="nil"/>
              <w:right w:val="single" w:sz="8" w:space="0" w:color="auto"/>
            </w:tcBorders>
            <w:shd w:val="clear" w:color="auto" w:fill="BDD6EE" w:themeFill="accent1" w:themeFillTint="66"/>
            <w:noWrap/>
            <w:vAlign w:val="center"/>
            <w:hideMark/>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r w:rsidRPr="007826B8">
              <w:rPr>
                <w:rFonts w:ascii="Calibri" w:eastAsia="Times New Roman" w:hAnsi="Calibri" w:cs="Times New Roman"/>
                <w:color w:val="000000"/>
                <w:sz w:val="20"/>
                <w:szCs w:val="20"/>
                <w:lang w:eastAsia="en-GB"/>
              </w:rPr>
              <w:t> </w:t>
            </w:r>
          </w:p>
        </w:tc>
        <w:tc>
          <w:tcPr>
            <w:tcW w:w="275" w:type="dxa"/>
            <w:tcBorders>
              <w:top w:val="nil"/>
              <w:left w:val="nil"/>
              <w:bottom w:val="nil"/>
              <w:right w:val="nil"/>
            </w:tcBorders>
            <w:shd w:val="clear" w:color="auto" w:fill="auto"/>
            <w:noWrap/>
            <w:vAlign w:val="bottom"/>
            <w:hideMark/>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p>
        </w:tc>
        <w:tc>
          <w:tcPr>
            <w:tcW w:w="2998" w:type="dxa"/>
            <w:gridSpan w:val="3"/>
            <w:tcBorders>
              <w:top w:val="nil"/>
              <w:left w:val="single" w:sz="8" w:space="0" w:color="auto"/>
              <w:bottom w:val="nil"/>
              <w:right w:val="nil"/>
            </w:tcBorders>
            <w:shd w:val="clear" w:color="auto" w:fill="BDD6EE" w:themeFill="accent1" w:themeFillTint="66"/>
            <w:noWrap/>
            <w:vAlign w:val="center"/>
            <w:hideMark/>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r w:rsidRPr="007826B8">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Primary outcome*</w:t>
            </w:r>
          </w:p>
        </w:tc>
        <w:tc>
          <w:tcPr>
            <w:tcW w:w="808" w:type="dxa"/>
            <w:gridSpan w:val="3"/>
            <w:tcBorders>
              <w:top w:val="nil"/>
              <w:left w:val="nil"/>
              <w:bottom w:val="nil"/>
              <w:right w:val="single" w:sz="8" w:space="0" w:color="auto"/>
            </w:tcBorders>
            <w:shd w:val="clear" w:color="auto" w:fill="BDD6EE" w:themeFill="accent1" w:themeFillTint="66"/>
            <w:noWrap/>
            <w:vAlign w:val="center"/>
            <w:hideMark/>
          </w:tcPr>
          <w:p w:rsidR="006A57B2" w:rsidRPr="007826B8" w:rsidRDefault="006A57B2" w:rsidP="00B22173">
            <w:pPr>
              <w:spacing w:after="0" w:line="240" w:lineRule="auto"/>
              <w:jc w:val="right"/>
              <w:rPr>
                <w:rFonts w:ascii="Calibri" w:eastAsia="Times New Roman" w:hAnsi="Calibri" w:cs="Times New Roman"/>
                <w:color w:val="000000"/>
                <w:sz w:val="20"/>
                <w:szCs w:val="20"/>
                <w:lang w:eastAsia="en-GB"/>
              </w:rPr>
            </w:pPr>
            <w:r w:rsidRPr="007826B8">
              <w:rPr>
                <w:rFonts w:ascii="Calibri" w:eastAsia="Times New Roman" w:hAnsi="Calibri" w:cs="Times New Roman"/>
                <w:color w:val="000000"/>
                <w:sz w:val="20"/>
                <w:szCs w:val="20"/>
                <w:lang w:eastAsia="en-GB"/>
              </w:rPr>
              <w:t> </w:t>
            </w:r>
          </w:p>
        </w:tc>
        <w:tc>
          <w:tcPr>
            <w:tcW w:w="276" w:type="dxa"/>
            <w:tcBorders>
              <w:top w:val="nil"/>
              <w:left w:val="nil"/>
              <w:bottom w:val="nil"/>
              <w:right w:val="nil"/>
            </w:tcBorders>
            <w:shd w:val="clear" w:color="auto" w:fill="auto"/>
            <w:noWrap/>
            <w:vAlign w:val="bottom"/>
            <w:hideMark/>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p>
        </w:tc>
        <w:tc>
          <w:tcPr>
            <w:tcW w:w="3098" w:type="dxa"/>
            <w:gridSpan w:val="6"/>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r w:rsidRPr="007826B8">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Primary outcome*</w:t>
            </w:r>
            <w:r w:rsidRPr="007826B8">
              <w:rPr>
                <w:rFonts w:ascii="Calibri" w:eastAsia="Times New Roman" w:hAnsi="Calibri" w:cs="Times New Roman"/>
                <w:color w:val="000000"/>
                <w:sz w:val="20"/>
                <w:szCs w:val="20"/>
                <w:lang w:eastAsia="en-GB"/>
              </w:rPr>
              <w:t> </w:t>
            </w:r>
          </w:p>
        </w:tc>
        <w:tc>
          <w:tcPr>
            <w:tcW w:w="1062" w:type="dxa"/>
            <w:tcBorders>
              <w:top w:val="single" w:sz="8" w:space="0" w:color="auto"/>
              <w:left w:val="nil"/>
              <w:bottom w:val="single" w:sz="8" w:space="0" w:color="auto"/>
              <w:right w:val="single" w:sz="4" w:space="0" w:color="auto"/>
            </w:tcBorders>
            <w:shd w:val="clear" w:color="auto" w:fill="BDD6EE" w:themeFill="accent1" w:themeFillTint="66"/>
            <w:noWrap/>
            <w:vAlign w:val="center"/>
            <w:hideMark/>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r w:rsidRPr="007826B8">
              <w:rPr>
                <w:rFonts w:ascii="Calibri" w:eastAsia="Times New Roman" w:hAnsi="Calibri" w:cs="Times New Roman"/>
                <w:color w:val="000000"/>
                <w:sz w:val="20"/>
                <w:szCs w:val="20"/>
                <w:lang w:eastAsia="en-GB"/>
              </w:rPr>
              <w:t> </w:t>
            </w:r>
          </w:p>
        </w:tc>
        <w:tc>
          <w:tcPr>
            <w:tcW w:w="979" w:type="dxa"/>
            <w:gridSpan w:val="2"/>
            <w:tcBorders>
              <w:top w:val="nil"/>
              <w:left w:val="single" w:sz="4" w:space="0" w:color="auto"/>
              <w:right w:val="nil"/>
            </w:tcBorders>
            <w:shd w:val="clear" w:color="auto" w:fill="auto"/>
            <w:vAlign w:val="center"/>
          </w:tcPr>
          <w:p w:rsidR="006A57B2" w:rsidRPr="007826B8" w:rsidRDefault="006A57B2" w:rsidP="00B22173">
            <w:pPr>
              <w:spacing w:after="0" w:line="240" w:lineRule="auto"/>
              <w:rPr>
                <w:rFonts w:ascii="Calibri" w:eastAsia="Times New Roman" w:hAnsi="Calibri" w:cs="Times New Roman"/>
                <w:color w:val="000000"/>
                <w:sz w:val="20"/>
                <w:szCs w:val="20"/>
                <w:lang w:eastAsia="en-GB"/>
              </w:rPr>
            </w:pPr>
          </w:p>
        </w:tc>
      </w:tr>
      <w:tr w:rsidR="006A57B2" w:rsidRPr="003C170C" w:rsidTr="00B22173">
        <w:trPr>
          <w:trHeight w:val="288"/>
        </w:trPr>
        <w:tc>
          <w:tcPr>
            <w:tcW w:w="394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Cli</w:t>
            </w:r>
            <w:r>
              <w:rPr>
                <w:rFonts w:ascii="Calibri" w:eastAsia="Times New Roman" w:hAnsi="Calibri" w:cstheme="minorHAnsi"/>
                <w:b/>
                <w:bCs/>
                <w:color w:val="000000"/>
                <w:sz w:val="20"/>
                <w:szCs w:val="20"/>
                <w:lang w:eastAsia="en-GB"/>
              </w:rPr>
              <w:t>nical indicators recorded and :-</w:t>
            </w:r>
          </w:p>
        </w:tc>
        <w:tc>
          <w:tcPr>
            <w:tcW w:w="275"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806" w:type="dxa"/>
            <w:gridSpan w:val="6"/>
            <w:tcBorders>
              <w:top w:val="single" w:sz="8" w:space="0" w:color="auto"/>
              <w:left w:val="single" w:sz="8" w:space="0" w:color="auto"/>
              <w:bottom w:val="nil"/>
              <w:right w:val="single" w:sz="8" w:space="0" w:color="000000"/>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Cli</w:t>
            </w:r>
            <w:r>
              <w:rPr>
                <w:rFonts w:ascii="Calibri" w:eastAsia="Times New Roman" w:hAnsi="Calibri" w:cstheme="minorHAnsi"/>
                <w:b/>
                <w:bCs/>
                <w:color w:val="000000"/>
                <w:sz w:val="20"/>
                <w:szCs w:val="20"/>
                <w:lang w:eastAsia="en-GB"/>
              </w:rPr>
              <w:t>nical indicators recorded and :-</w:t>
            </w:r>
          </w:p>
        </w:tc>
        <w:tc>
          <w:tcPr>
            <w:tcW w:w="276" w:type="dxa"/>
            <w:tcBorders>
              <w:top w:val="nil"/>
              <w:left w:val="nil"/>
              <w:bottom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4160" w:type="dxa"/>
            <w:gridSpan w:val="7"/>
            <w:tcBorders>
              <w:top w:val="single" w:sz="8" w:space="0" w:color="auto"/>
              <w:left w:val="single" w:sz="8" w:space="0" w:color="auto"/>
              <w:bottom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r w:rsidRPr="003C170C">
              <w:rPr>
                <w:rFonts w:ascii="Calibri" w:eastAsia="Times New Roman" w:hAnsi="Calibri" w:cstheme="minorHAnsi"/>
                <w:b/>
                <w:bCs/>
                <w:color w:val="000000"/>
                <w:sz w:val="20"/>
                <w:szCs w:val="20"/>
                <w:lang w:eastAsia="en-GB"/>
              </w:rPr>
              <w:t>Cli</w:t>
            </w:r>
            <w:r>
              <w:rPr>
                <w:rFonts w:ascii="Calibri" w:eastAsia="Times New Roman" w:hAnsi="Calibri" w:cstheme="minorHAnsi"/>
                <w:b/>
                <w:bCs/>
                <w:color w:val="000000"/>
                <w:sz w:val="20"/>
                <w:szCs w:val="20"/>
                <w:lang w:eastAsia="en-GB"/>
              </w:rPr>
              <w:t>nical indicators recorded and :-</w:t>
            </w:r>
          </w:p>
        </w:tc>
        <w:tc>
          <w:tcPr>
            <w:tcW w:w="979" w:type="dxa"/>
            <w:gridSpan w:val="2"/>
            <w:tcBorders>
              <w:left w:val="single" w:sz="8" w:space="0" w:color="auto"/>
              <w:bottom w:val="nil"/>
            </w:tcBorders>
            <w:shd w:val="clear" w:color="auto" w:fill="auto"/>
            <w:vAlign w:val="center"/>
          </w:tcPr>
          <w:p w:rsidR="006A57B2" w:rsidRPr="003C170C" w:rsidRDefault="006A57B2" w:rsidP="00B22173">
            <w:pPr>
              <w:spacing w:after="0" w:line="240" w:lineRule="auto"/>
              <w:rPr>
                <w:rFonts w:ascii="Calibri" w:eastAsia="Times New Roman" w:hAnsi="Calibri" w:cs="Times New Roman"/>
                <w:b/>
                <w:bCs/>
                <w:color w:val="000000"/>
                <w:sz w:val="20"/>
                <w:szCs w:val="20"/>
                <w:lang w:eastAsia="en-GB"/>
              </w:rPr>
            </w:pPr>
          </w:p>
        </w:tc>
      </w:tr>
      <w:tr w:rsidR="006A57B2" w:rsidRPr="003C170C" w:rsidTr="00B22173">
        <w:trPr>
          <w:trHeight w:val="288"/>
        </w:trPr>
        <w:tc>
          <w:tcPr>
            <w:tcW w:w="3123" w:type="dxa"/>
            <w:gridSpan w:val="2"/>
            <w:tcBorders>
              <w:top w:val="nil"/>
              <w:left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 ≥ 1 </w:t>
            </w:r>
            <w:r>
              <w:rPr>
                <w:rFonts w:ascii="Calibri" w:eastAsia="Times New Roman" w:hAnsi="Calibri" w:cstheme="minorHAnsi"/>
                <w:color w:val="000000"/>
                <w:sz w:val="20"/>
                <w:szCs w:val="20"/>
                <w:lang w:eastAsia="en-GB"/>
              </w:rPr>
              <w:t xml:space="preserve">blood culture </w:t>
            </w:r>
            <w:r w:rsidRPr="003C170C">
              <w:rPr>
                <w:rFonts w:ascii="Calibri" w:eastAsia="Times New Roman" w:hAnsi="Calibri" w:cstheme="minorHAnsi"/>
                <w:color w:val="000000"/>
                <w:sz w:val="20"/>
                <w:szCs w:val="20"/>
                <w:lang w:eastAsia="en-GB"/>
              </w:rPr>
              <w:t>sample taken:</w:t>
            </w:r>
          </w:p>
        </w:tc>
        <w:tc>
          <w:tcPr>
            <w:tcW w:w="818" w:type="dxa"/>
            <w:tcBorders>
              <w:top w:val="nil"/>
              <w:left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heme="minorHAnsi"/>
                <w:color w:val="000000"/>
                <w:sz w:val="20"/>
                <w:szCs w:val="20"/>
                <w:lang w:eastAsia="en-GB"/>
              </w:rPr>
              <w:t>213</w:t>
            </w:r>
          </w:p>
        </w:tc>
        <w:tc>
          <w:tcPr>
            <w:tcW w:w="275" w:type="dxa"/>
            <w:tcBorders>
              <w:top w:val="nil"/>
              <w:left w:val="nil"/>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199" w:type="dxa"/>
            <w:gridSpan w:val="4"/>
            <w:tcBorders>
              <w:top w:val="nil"/>
              <w:left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 ≥ 1 sample taken:</w:t>
            </w:r>
          </w:p>
        </w:tc>
        <w:tc>
          <w:tcPr>
            <w:tcW w:w="607" w:type="dxa"/>
            <w:gridSpan w:val="2"/>
            <w:tcBorders>
              <w:top w:val="nil"/>
              <w:left w:val="nil"/>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heme="minorHAnsi"/>
                <w:color w:val="000000"/>
                <w:sz w:val="20"/>
                <w:szCs w:val="20"/>
                <w:lang w:eastAsia="en-GB"/>
              </w:rPr>
              <w:t>190</w:t>
            </w:r>
          </w:p>
        </w:tc>
        <w:tc>
          <w:tcPr>
            <w:tcW w:w="276" w:type="dxa"/>
            <w:tcBorders>
              <w:top w:val="nil"/>
              <w:left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098" w:type="dxa"/>
            <w:gridSpan w:val="6"/>
            <w:tcBorders>
              <w:top w:val="nil"/>
              <w:left w:val="single" w:sz="8"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xml:space="preserve"> ≥ 1 sample taken:</w:t>
            </w:r>
          </w:p>
        </w:tc>
        <w:tc>
          <w:tcPr>
            <w:tcW w:w="1062" w:type="dxa"/>
            <w:tcBorders>
              <w:top w:val="nil"/>
              <w:left w:val="nil"/>
              <w:right w:val="single" w:sz="4"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lang w:eastAsia="en-GB"/>
              </w:rPr>
            </w:pPr>
            <w:r w:rsidRPr="003C170C">
              <w:rPr>
                <w:rFonts w:ascii="Calibri" w:eastAsia="Times New Roman" w:hAnsi="Calibri" w:cs="Times New Roman"/>
                <w:color w:val="000000"/>
                <w:sz w:val="20"/>
                <w:lang w:eastAsia="en-GB"/>
              </w:rPr>
              <w:t xml:space="preserve">       </w:t>
            </w:r>
            <w:r>
              <w:rPr>
                <w:rFonts w:ascii="Calibri" w:eastAsia="Times New Roman" w:hAnsi="Calibri" w:cs="Times New Roman"/>
                <w:color w:val="000000"/>
                <w:sz w:val="20"/>
                <w:lang w:eastAsia="en-GB"/>
              </w:rPr>
              <w:t xml:space="preserve">    190</w:t>
            </w:r>
          </w:p>
        </w:tc>
        <w:tc>
          <w:tcPr>
            <w:tcW w:w="979" w:type="dxa"/>
            <w:gridSpan w:val="2"/>
            <w:tcBorders>
              <w:top w:val="nil"/>
              <w:left w:val="nil"/>
              <w:bottom w:val="nil"/>
            </w:tcBorders>
            <w:shd w:val="clear" w:color="auto" w:fill="auto"/>
            <w:vAlign w:val="bottom"/>
          </w:tcPr>
          <w:p w:rsidR="006A57B2" w:rsidRPr="003C170C" w:rsidRDefault="006A57B2" w:rsidP="00B22173">
            <w:pPr>
              <w:spacing w:after="0" w:line="240" w:lineRule="auto"/>
              <w:jc w:val="right"/>
              <w:rPr>
                <w:rFonts w:ascii="Calibri" w:eastAsia="Times New Roman" w:hAnsi="Calibri" w:cs="Times New Roman"/>
                <w:color w:val="000000"/>
                <w:lang w:eastAsia="en-GB"/>
              </w:rPr>
            </w:pPr>
          </w:p>
        </w:tc>
      </w:tr>
      <w:tr w:rsidR="006A57B2" w:rsidRPr="003C170C" w:rsidTr="00B22173">
        <w:trPr>
          <w:trHeight w:val="288"/>
        </w:trPr>
        <w:tc>
          <w:tcPr>
            <w:tcW w:w="3123" w:type="dxa"/>
            <w:gridSpan w:val="2"/>
            <w:tcBorders>
              <w:top w:val="nil"/>
              <w:left w:val="single" w:sz="8" w:space="0" w:color="auto"/>
              <w:bottom w:val="single" w:sz="4" w:space="0" w:color="auto"/>
              <w:right w:val="nil"/>
            </w:tcBorders>
            <w:shd w:val="clear" w:color="auto" w:fill="auto"/>
            <w:noWrap/>
            <w:vAlign w:val="center"/>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3C170C">
              <w:rPr>
                <w:rFonts w:ascii="Calibri" w:eastAsia="Times New Roman" w:hAnsi="Calibri" w:cstheme="minorHAnsi"/>
                <w:color w:val="000000"/>
                <w:sz w:val="20"/>
                <w:szCs w:val="20"/>
                <w:lang w:eastAsia="en-GB"/>
              </w:rPr>
              <w:t> </w:t>
            </w:r>
            <w:r>
              <w:rPr>
                <w:rFonts w:ascii="Calibri" w:eastAsia="Times New Roman" w:hAnsi="Calibri" w:cstheme="minorHAnsi"/>
                <w:color w:val="000000"/>
                <w:sz w:val="20"/>
                <w:szCs w:val="20"/>
                <w:lang w:eastAsia="en-GB"/>
              </w:rPr>
              <w:t>No blood culture sample taken**</w:t>
            </w:r>
          </w:p>
        </w:tc>
        <w:tc>
          <w:tcPr>
            <w:tcW w:w="818" w:type="dxa"/>
            <w:tcBorders>
              <w:top w:val="nil"/>
              <w:left w:val="nil"/>
              <w:bottom w:val="single" w:sz="4" w:space="0" w:color="auto"/>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heme="minorHAnsi"/>
                <w:color w:val="000000"/>
                <w:sz w:val="20"/>
                <w:szCs w:val="20"/>
                <w:lang w:eastAsia="en-GB"/>
              </w:rPr>
              <w:t>8</w:t>
            </w:r>
          </w:p>
        </w:tc>
        <w:tc>
          <w:tcPr>
            <w:tcW w:w="275" w:type="dxa"/>
            <w:tcBorders>
              <w:top w:val="nil"/>
              <w:left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199" w:type="dxa"/>
            <w:gridSpan w:val="4"/>
            <w:tcBorders>
              <w:top w:val="nil"/>
              <w:left w:val="single" w:sz="8" w:space="0" w:color="auto"/>
              <w:bottom w:val="single" w:sz="4" w:space="0" w:color="auto"/>
              <w:right w:val="nil"/>
            </w:tcBorders>
            <w:shd w:val="clear" w:color="auto" w:fill="auto"/>
            <w:noWrap/>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7756C6">
              <w:rPr>
                <w:rFonts w:ascii="Calibri" w:eastAsia="Times New Roman" w:hAnsi="Calibri" w:cstheme="minorHAnsi"/>
                <w:color w:val="000000"/>
                <w:sz w:val="20"/>
                <w:szCs w:val="20"/>
                <w:lang w:eastAsia="en-GB"/>
              </w:rPr>
              <w:t>No blood culture sample taken**</w:t>
            </w:r>
          </w:p>
        </w:tc>
        <w:tc>
          <w:tcPr>
            <w:tcW w:w="607" w:type="dxa"/>
            <w:gridSpan w:val="2"/>
            <w:tcBorders>
              <w:top w:val="nil"/>
              <w:left w:val="nil"/>
              <w:bottom w:val="single" w:sz="4" w:space="0" w:color="auto"/>
              <w:right w:val="single" w:sz="8" w:space="0" w:color="auto"/>
            </w:tcBorders>
            <w:shd w:val="clear" w:color="auto" w:fill="auto"/>
            <w:noWrap/>
            <w:vAlign w:val="center"/>
            <w:hideMark/>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heme="minorHAnsi"/>
                <w:color w:val="000000"/>
                <w:sz w:val="20"/>
                <w:szCs w:val="20"/>
                <w:lang w:eastAsia="en-GB"/>
              </w:rPr>
              <w:t>6</w:t>
            </w:r>
          </w:p>
        </w:tc>
        <w:tc>
          <w:tcPr>
            <w:tcW w:w="276" w:type="dxa"/>
            <w:tcBorders>
              <w:top w:val="nil"/>
              <w:left w:val="nil"/>
              <w:right w:val="nil"/>
            </w:tcBorders>
            <w:shd w:val="clear" w:color="auto" w:fill="auto"/>
            <w:noWrap/>
            <w:vAlign w:val="bottom"/>
            <w:hideMark/>
          </w:tcPr>
          <w:p w:rsidR="006A57B2" w:rsidRPr="003C170C" w:rsidRDefault="006A57B2" w:rsidP="00B22173">
            <w:pPr>
              <w:spacing w:after="0" w:line="240" w:lineRule="auto"/>
              <w:rPr>
                <w:rFonts w:ascii="Calibri" w:eastAsia="Times New Roman" w:hAnsi="Calibri" w:cs="Times New Roman"/>
                <w:color w:val="000000"/>
                <w:lang w:eastAsia="en-GB"/>
              </w:rPr>
            </w:pPr>
          </w:p>
        </w:tc>
        <w:tc>
          <w:tcPr>
            <w:tcW w:w="3098" w:type="dxa"/>
            <w:gridSpan w:val="6"/>
            <w:tcBorders>
              <w:top w:val="nil"/>
              <w:left w:val="single" w:sz="8" w:space="0" w:color="auto"/>
              <w:bottom w:val="single" w:sz="4" w:space="0" w:color="auto"/>
            </w:tcBorders>
            <w:shd w:val="clear" w:color="auto" w:fill="auto"/>
            <w:noWrap/>
            <w:hideMark/>
          </w:tcPr>
          <w:p w:rsidR="006A57B2" w:rsidRPr="003C170C" w:rsidRDefault="006A57B2" w:rsidP="00B22173">
            <w:pPr>
              <w:spacing w:after="0" w:line="240" w:lineRule="auto"/>
              <w:rPr>
                <w:rFonts w:ascii="Calibri" w:eastAsia="Times New Roman" w:hAnsi="Calibri" w:cs="Times New Roman"/>
                <w:color w:val="000000"/>
                <w:sz w:val="20"/>
                <w:szCs w:val="20"/>
                <w:lang w:eastAsia="en-GB"/>
              </w:rPr>
            </w:pPr>
            <w:r w:rsidRPr="00A5492C">
              <w:rPr>
                <w:rFonts w:ascii="Calibri" w:eastAsia="Times New Roman" w:hAnsi="Calibri" w:cstheme="minorHAnsi"/>
                <w:color w:val="000000"/>
                <w:sz w:val="20"/>
                <w:szCs w:val="20"/>
                <w:lang w:eastAsia="en-GB"/>
              </w:rPr>
              <w:t>No blood culture sample taken**</w:t>
            </w:r>
          </w:p>
        </w:tc>
        <w:tc>
          <w:tcPr>
            <w:tcW w:w="1062" w:type="dxa"/>
            <w:tcBorders>
              <w:top w:val="nil"/>
              <w:left w:val="nil"/>
              <w:bottom w:val="single" w:sz="4" w:space="0" w:color="auto"/>
              <w:right w:val="single" w:sz="4" w:space="0" w:color="auto"/>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  3   </w:t>
            </w:r>
          </w:p>
        </w:tc>
        <w:tc>
          <w:tcPr>
            <w:tcW w:w="979" w:type="dxa"/>
            <w:gridSpan w:val="2"/>
            <w:tcBorders>
              <w:top w:val="nil"/>
              <w:left w:val="nil"/>
              <w:bottom w:val="nil"/>
            </w:tcBorders>
            <w:shd w:val="clear" w:color="auto" w:fill="auto"/>
            <w:vAlign w:val="center"/>
          </w:tcPr>
          <w:p w:rsidR="006A57B2" w:rsidRPr="003C170C" w:rsidRDefault="006A57B2" w:rsidP="00B22173">
            <w:pPr>
              <w:spacing w:after="0" w:line="240" w:lineRule="auto"/>
              <w:jc w:val="right"/>
              <w:rPr>
                <w:rFonts w:ascii="Calibri" w:eastAsia="Times New Roman" w:hAnsi="Calibri" w:cs="Times New Roman"/>
                <w:color w:val="000000"/>
                <w:sz w:val="20"/>
                <w:szCs w:val="20"/>
                <w:lang w:eastAsia="en-GB"/>
              </w:rPr>
            </w:pPr>
          </w:p>
        </w:tc>
      </w:tr>
    </w:tbl>
    <w:p w:rsidR="006A57B2" w:rsidRDefault="006A57B2" w:rsidP="00B22173">
      <w:pPr>
        <w:rPr>
          <w:b/>
          <w:sz w:val="18"/>
          <w:szCs w:val="18"/>
        </w:rPr>
      </w:pPr>
      <w:r w:rsidRPr="00133308">
        <w:rPr>
          <w:b/>
          <w:sz w:val="18"/>
          <w:szCs w:val="18"/>
        </w:rPr>
        <w:t>*based on clinically indicated blood culture sample taken &gt;=48 hours after randomisation and &lt;48 hours after CVC removal; ** used in sensitivity analysis</w:t>
      </w:r>
    </w:p>
    <w:p w:rsidR="006A57B2" w:rsidRPr="00B419A9" w:rsidRDefault="006A57B2" w:rsidP="00B419A9">
      <w:pPr>
        <w:pStyle w:val="Caption"/>
        <w:keepNext/>
        <w:rPr>
          <w:sz w:val="22"/>
          <w:szCs w:val="22"/>
        </w:rPr>
      </w:pPr>
      <w:bookmarkStart w:id="73" w:name="_Toc428178946"/>
      <w:bookmarkStart w:id="74" w:name="_Toc418150500"/>
      <w:r w:rsidRPr="00B419A9">
        <w:rPr>
          <w:sz w:val="22"/>
          <w:szCs w:val="22"/>
        </w:rPr>
        <w:t xml:space="preserve">Figure </w:t>
      </w:r>
      <w:r>
        <w:rPr>
          <w:noProof/>
          <w:sz w:val="22"/>
          <w:szCs w:val="22"/>
        </w:rPr>
        <w:t>2</w:t>
      </w:r>
      <w:r w:rsidRPr="00B419A9">
        <w:rPr>
          <w:sz w:val="22"/>
          <w:szCs w:val="22"/>
        </w:rPr>
        <w:t xml:space="preserve"> Number of children included in the primary outcome, the rate of BSI and catheter related BSI according to time since randomisation</w:t>
      </w:r>
      <w:bookmarkEnd w:id="73"/>
    </w:p>
    <w:tbl>
      <w:tblPr>
        <w:tblW w:w="5600" w:type="dxa"/>
        <w:jc w:val="center"/>
        <w:tblLook w:val="04A0" w:firstRow="1" w:lastRow="0" w:firstColumn="1" w:lastColumn="0" w:noHBand="0" w:noVBand="1"/>
      </w:tblPr>
      <w:tblGrid>
        <w:gridCol w:w="820"/>
        <w:gridCol w:w="740"/>
        <w:gridCol w:w="2280"/>
        <w:gridCol w:w="760"/>
        <w:gridCol w:w="1000"/>
      </w:tblGrid>
      <w:tr w:rsidR="006A57B2" w:rsidRPr="00B2198D" w:rsidTr="00275F1A">
        <w:trPr>
          <w:trHeight w:val="2940"/>
          <w:jc w:val="center"/>
        </w:trPr>
        <w:tc>
          <w:tcPr>
            <w:tcW w:w="820" w:type="dxa"/>
            <w:tcBorders>
              <w:top w:val="single" w:sz="4" w:space="0" w:color="auto"/>
              <w:left w:val="single" w:sz="4" w:space="0" w:color="auto"/>
              <w:bottom w:val="single" w:sz="4" w:space="0" w:color="auto"/>
              <w:right w:val="nil"/>
            </w:tcBorders>
            <w:shd w:val="clear" w:color="auto" w:fill="auto"/>
            <w:textDirection w:val="btLr"/>
            <w:hideMark/>
          </w:tcPr>
          <w:bookmarkEnd w:id="74"/>
          <w:p w:rsidR="006A57B2" w:rsidRPr="00B2198D" w:rsidRDefault="006A57B2" w:rsidP="00275F1A">
            <w:pPr>
              <w:spacing w:after="0" w:line="240" w:lineRule="auto"/>
              <w:rPr>
                <w:rFonts w:ascii="Calibri" w:eastAsia="Times New Roman" w:hAnsi="Calibri" w:cs="Calibri"/>
                <w:sz w:val="24"/>
                <w:lang w:eastAsia="en-GB"/>
              </w:rPr>
            </w:pPr>
            <w:r w:rsidRPr="00B2198D">
              <w:rPr>
                <w:rFonts w:ascii="Calibri" w:eastAsia="Times New Roman" w:hAnsi="Calibri" w:cs="Calibri"/>
                <w:sz w:val="24"/>
                <w:lang w:eastAsia="en-GB"/>
              </w:rPr>
              <w:t>Randomisation</w:t>
            </w:r>
          </w:p>
        </w:tc>
        <w:tc>
          <w:tcPr>
            <w:tcW w:w="740" w:type="dxa"/>
            <w:tcBorders>
              <w:top w:val="single" w:sz="4" w:space="0" w:color="auto"/>
              <w:left w:val="nil"/>
              <w:bottom w:val="single" w:sz="4" w:space="0" w:color="auto"/>
              <w:right w:val="single" w:sz="4" w:space="0" w:color="auto"/>
            </w:tcBorders>
            <w:shd w:val="clear" w:color="auto" w:fill="auto"/>
            <w:textDirection w:val="btLr"/>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r w:rsidRPr="00B2198D">
              <w:rPr>
                <w:rFonts w:ascii="Calibri" w:eastAsia="Times New Roman" w:hAnsi="Calibri" w:cs="Calibri"/>
                <w:color w:val="000000"/>
                <w:sz w:val="24"/>
                <w:lang w:eastAsia="en-GB"/>
              </w:rPr>
              <w:t>48 hours after randomisation</w:t>
            </w:r>
          </w:p>
        </w:tc>
        <w:tc>
          <w:tcPr>
            <w:tcW w:w="2280" w:type="dxa"/>
            <w:tcBorders>
              <w:top w:val="single" w:sz="4" w:space="0" w:color="auto"/>
              <w:left w:val="nil"/>
              <w:bottom w:val="single" w:sz="4" w:space="0" w:color="auto"/>
              <w:right w:val="single" w:sz="4" w:space="0" w:color="auto"/>
            </w:tcBorders>
            <w:shd w:val="clear" w:color="auto" w:fill="auto"/>
            <w:textDirection w:val="btLr"/>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r w:rsidRPr="00B2198D">
              <w:rPr>
                <w:rFonts w:ascii="Calibri" w:eastAsia="Times New Roman" w:hAnsi="Calibri" w:cs="Calibri"/>
                <w:color w:val="000000"/>
                <w:sz w:val="24"/>
                <w:lang w:eastAsia="en-GB"/>
              </w:rPr>
              <w:t>CVC removal</w:t>
            </w:r>
          </w:p>
        </w:tc>
        <w:tc>
          <w:tcPr>
            <w:tcW w:w="760" w:type="dxa"/>
            <w:tcBorders>
              <w:top w:val="single" w:sz="4" w:space="0" w:color="auto"/>
              <w:left w:val="nil"/>
              <w:bottom w:val="single" w:sz="4" w:space="0" w:color="auto"/>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r w:rsidRPr="00B2198D">
              <w:rPr>
                <w:rFonts w:ascii="Calibri" w:eastAsia="Times New Roman" w:hAnsi="Calibri" w:cs="Calibri"/>
                <w:color w:val="000000"/>
                <w:sz w:val="24"/>
                <w:lang w:eastAsia="en-GB"/>
              </w:rPr>
              <w:t>48 h after CVC removal</w:t>
            </w:r>
          </w:p>
        </w:tc>
      </w:tr>
      <w:tr w:rsidR="006A57B2" w:rsidRPr="00B2198D" w:rsidTr="00275F1A">
        <w:trPr>
          <w:trHeight w:val="300"/>
          <w:jc w:val="center"/>
        </w:trPr>
        <w:tc>
          <w:tcPr>
            <w:tcW w:w="1560" w:type="dxa"/>
            <w:gridSpan w:val="2"/>
            <w:tcBorders>
              <w:top w:val="nil"/>
              <w:left w:val="nil"/>
              <w:bottom w:val="nil"/>
              <w:right w:val="nil"/>
            </w:tcBorders>
            <w:shd w:val="clear" w:color="auto" w:fill="auto"/>
            <w:noWrap/>
            <w:vAlign w:val="bottom"/>
            <w:hideMark/>
          </w:tcPr>
          <w:p w:rsidR="006A57B2" w:rsidRPr="00B2198D" w:rsidRDefault="006A57B2" w:rsidP="00275F1A">
            <w:pPr>
              <w:spacing w:after="0" w:line="240" w:lineRule="auto"/>
              <w:jc w:val="center"/>
              <w:rPr>
                <w:rFonts w:ascii="Calibri" w:eastAsia="Times New Roman" w:hAnsi="Calibri" w:cs="Calibri"/>
                <w:color w:val="000000"/>
                <w:sz w:val="24"/>
                <w:lang w:eastAsia="en-GB"/>
              </w:rPr>
            </w:pPr>
          </w:p>
        </w:tc>
        <w:tc>
          <w:tcPr>
            <w:tcW w:w="228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76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100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r>
      <w:tr w:rsidR="006A57B2" w:rsidRPr="00B2198D" w:rsidTr="00275F1A">
        <w:trPr>
          <w:trHeight w:val="300"/>
          <w:jc w:val="center"/>
        </w:trPr>
        <w:tc>
          <w:tcPr>
            <w:tcW w:w="82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4040" w:type="dxa"/>
            <w:gridSpan w:val="3"/>
            <w:tcBorders>
              <w:top w:val="single" w:sz="4" w:space="0" w:color="auto"/>
              <w:left w:val="single" w:sz="4" w:space="0" w:color="auto"/>
              <w:bottom w:val="nil"/>
              <w:right w:val="single" w:sz="4" w:space="0" w:color="000000"/>
            </w:tcBorders>
            <w:shd w:val="clear" w:color="000000" w:fill="FFC7CE"/>
            <w:noWrap/>
            <w:vAlign w:val="bottom"/>
            <w:hideMark/>
          </w:tcPr>
          <w:p w:rsidR="006A57B2" w:rsidRPr="00B2198D" w:rsidRDefault="006A57B2" w:rsidP="00275F1A">
            <w:pPr>
              <w:spacing w:after="0" w:line="240" w:lineRule="auto"/>
              <w:jc w:val="center"/>
              <w:rPr>
                <w:rFonts w:ascii="Calibri" w:eastAsia="Times New Roman" w:hAnsi="Calibri" w:cs="Calibri"/>
                <w:color w:val="9C0006"/>
                <w:sz w:val="24"/>
                <w:lang w:eastAsia="en-GB"/>
              </w:rPr>
            </w:pPr>
            <w:r w:rsidRPr="00B2198D">
              <w:rPr>
                <w:rFonts w:ascii="Calibri" w:eastAsia="Times New Roman" w:hAnsi="Calibri" w:cs="Calibri"/>
                <w:color w:val="9C0006"/>
                <w:sz w:val="24"/>
                <w:lang w:eastAsia="en-GB"/>
              </w:rPr>
              <w:t>Primary outcome of BSI</w:t>
            </w:r>
          </w:p>
        </w:tc>
      </w:tr>
      <w:tr w:rsidR="006A57B2" w:rsidRPr="00B2198D" w:rsidTr="00275F1A">
        <w:trPr>
          <w:trHeight w:val="300"/>
          <w:jc w:val="center"/>
        </w:trPr>
        <w:tc>
          <w:tcPr>
            <w:tcW w:w="82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22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6A57B2" w:rsidRPr="00B2198D" w:rsidRDefault="006A57B2" w:rsidP="00275F1A">
            <w:pPr>
              <w:spacing w:after="0" w:line="240" w:lineRule="auto"/>
              <w:jc w:val="center"/>
              <w:rPr>
                <w:rFonts w:ascii="Calibri" w:eastAsia="Times New Roman" w:hAnsi="Calibri" w:cs="Calibri"/>
                <w:color w:val="9C0006"/>
                <w:sz w:val="24"/>
                <w:lang w:eastAsia="en-GB"/>
              </w:rPr>
            </w:pPr>
            <w:r w:rsidRPr="00B2198D">
              <w:rPr>
                <w:rFonts w:ascii="Calibri" w:eastAsia="Times New Roman" w:hAnsi="Calibri" w:cs="Calibri"/>
                <w:color w:val="9C0006"/>
                <w:sz w:val="24"/>
                <w:lang w:eastAsia="en-GB"/>
              </w:rPr>
              <w:t>n=40</w:t>
            </w:r>
          </w:p>
        </w:tc>
        <w:tc>
          <w:tcPr>
            <w:tcW w:w="1760" w:type="dxa"/>
            <w:gridSpan w:val="2"/>
            <w:tcBorders>
              <w:top w:val="single" w:sz="4" w:space="0" w:color="auto"/>
              <w:left w:val="nil"/>
              <w:bottom w:val="single" w:sz="4" w:space="0" w:color="auto"/>
              <w:right w:val="single" w:sz="4" w:space="0" w:color="000000"/>
            </w:tcBorders>
            <w:shd w:val="clear" w:color="000000" w:fill="FFC7CE"/>
            <w:noWrap/>
            <w:vAlign w:val="bottom"/>
            <w:hideMark/>
          </w:tcPr>
          <w:p w:rsidR="006A57B2" w:rsidRPr="00B2198D" w:rsidRDefault="006A57B2" w:rsidP="00275F1A">
            <w:pPr>
              <w:spacing w:after="0" w:line="240" w:lineRule="auto"/>
              <w:jc w:val="center"/>
              <w:rPr>
                <w:rFonts w:ascii="Calibri" w:eastAsia="Times New Roman" w:hAnsi="Calibri" w:cs="Calibri"/>
                <w:color w:val="9C0006"/>
                <w:sz w:val="24"/>
                <w:lang w:eastAsia="en-GB"/>
              </w:rPr>
            </w:pPr>
            <w:r w:rsidRPr="00B2198D">
              <w:rPr>
                <w:rFonts w:ascii="Calibri" w:eastAsia="Times New Roman" w:hAnsi="Calibri" w:cs="Calibri"/>
                <w:color w:val="9C0006"/>
                <w:sz w:val="24"/>
                <w:lang w:eastAsia="en-GB"/>
              </w:rPr>
              <w:t>n=2</w:t>
            </w:r>
          </w:p>
        </w:tc>
      </w:tr>
      <w:tr w:rsidR="006A57B2" w:rsidRPr="00B2198D" w:rsidTr="00275F1A">
        <w:trPr>
          <w:trHeight w:val="300"/>
          <w:jc w:val="center"/>
        </w:trPr>
        <w:tc>
          <w:tcPr>
            <w:tcW w:w="3840" w:type="dxa"/>
            <w:gridSpan w:val="3"/>
            <w:tcBorders>
              <w:top w:val="single" w:sz="4" w:space="0" w:color="auto"/>
              <w:left w:val="single" w:sz="4" w:space="0" w:color="auto"/>
              <w:bottom w:val="nil"/>
              <w:right w:val="single" w:sz="4" w:space="0" w:color="000000"/>
            </w:tcBorders>
            <w:shd w:val="clear" w:color="000000" w:fill="C6EFCE"/>
            <w:vAlign w:val="bottom"/>
            <w:hideMark/>
          </w:tcPr>
          <w:p w:rsidR="006A57B2" w:rsidRPr="00B2198D" w:rsidRDefault="006A57B2" w:rsidP="00275F1A">
            <w:pPr>
              <w:spacing w:after="0" w:line="240" w:lineRule="auto"/>
              <w:jc w:val="center"/>
              <w:rPr>
                <w:rFonts w:ascii="Calibri" w:eastAsia="Times New Roman" w:hAnsi="Calibri" w:cs="Calibri"/>
                <w:color w:val="006100"/>
                <w:sz w:val="24"/>
                <w:lang w:eastAsia="en-GB"/>
              </w:rPr>
            </w:pPr>
            <w:r w:rsidRPr="00B2198D">
              <w:rPr>
                <w:rFonts w:ascii="Calibri" w:eastAsia="Times New Roman" w:hAnsi="Calibri" w:cs="Calibri"/>
                <w:color w:val="006100"/>
                <w:sz w:val="24"/>
                <w:lang w:eastAsia="en-GB"/>
              </w:rPr>
              <w:t>Rate of BSI per 1000 CVC-days</w:t>
            </w:r>
          </w:p>
        </w:tc>
        <w:tc>
          <w:tcPr>
            <w:tcW w:w="76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100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r>
      <w:tr w:rsidR="006A57B2" w:rsidRPr="00B2198D" w:rsidTr="00275F1A">
        <w:trPr>
          <w:trHeight w:val="300"/>
          <w:jc w:val="center"/>
        </w:trPr>
        <w:tc>
          <w:tcPr>
            <w:tcW w:w="1560" w:type="dxa"/>
            <w:gridSpan w:val="2"/>
            <w:tcBorders>
              <w:top w:val="single" w:sz="4" w:space="0" w:color="auto"/>
              <w:left w:val="single" w:sz="4" w:space="0" w:color="auto"/>
              <w:bottom w:val="single" w:sz="4" w:space="0" w:color="auto"/>
              <w:right w:val="single" w:sz="4" w:space="0" w:color="000000"/>
            </w:tcBorders>
            <w:shd w:val="clear" w:color="000000" w:fill="C6EFCE"/>
            <w:vAlign w:val="bottom"/>
            <w:hideMark/>
          </w:tcPr>
          <w:p w:rsidR="006A57B2" w:rsidRPr="00B2198D" w:rsidRDefault="006A57B2" w:rsidP="00275F1A">
            <w:pPr>
              <w:spacing w:after="0" w:line="240" w:lineRule="auto"/>
              <w:jc w:val="center"/>
              <w:rPr>
                <w:rFonts w:ascii="Calibri" w:eastAsia="Times New Roman" w:hAnsi="Calibri" w:cs="Calibri"/>
                <w:color w:val="006100"/>
                <w:sz w:val="24"/>
                <w:lang w:eastAsia="en-GB"/>
              </w:rPr>
            </w:pPr>
            <w:r w:rsidRPr="00B2198D">
              <w:rPr>
                <w:rFonts w:ascii="Calibri" w:eastAsia="Times New Roman" w:hAnsi="Calibri" w:cs="Calibri"/>
                <w:color w:val="006100"/>
                <w:sz w:val="24"/>
                <w:lang w:eastAsia="en-GB"/>
              </w:rPr>
              <w:t>n=10</w:t>
            </w:r>
          </w:p>
        </w:tc>
        <w:tc>
          <w:tcPr>
            <w:tcW w:w="2280" w:type="dxa"/>
            <w:tcBorders>
              <w:top w:val="single" w:sz="4" w:space="0" w:color="auto"/>
              <w:left w:val="nil"/>
              <w:bottom w:val="single" w:sz="4" w:space="0" w:color="auto"/>
              <w:right w:val="single" w:sz="4" w:space="0" w:color="auto"/>
            </w:tcBorders>
            <w:shd w:val="clear" w:color="000000" w:fill="C6EFCE"/>
            <w:vAlign w:val="bottom"/>
            <w:hideMark/>
          </w:tcPr>
          <w:p w:rsidR="006A57B2" w:rsidRPr="00B2198D" w:rsidRDefault="006A57B2" w:rsidP="00275F1A">
            <w:pPr>
              <w:spacing w:after="0" w:line="240" w:lineRule="auto"/>
              <w:jc w:val="center"/>
              <w:rPr>
                <w:rFonts w:ascii="Calibri" w:eastAsia="Times New Roman" w:hAnsi="Calibri" w:cs="Calibri"/>
                <w:color w:val="006100"/>
                <w:sz w:val="24"/>
                <w:lang w:eastAsia="en-GB"/>
              </w:rPr>
            </w:pPr>
            <w:r w:rsidRPr="00B2198D">
              <w:rPr>
                <w:rFonts w:ascii="Calibri" w:eastAsia="Times New Roman" w:hAnsi="Calibri" w:cs="Calibri"/>
                <w:color w:val="006100"/>
                <w:sz w:val="24"/>
                <w:lang w:eastAsia="en-GB"/>
              </w:rPr>
              <w:t>n=40</w:t>
            </w:r>
          </w:p>
        </w:tc>
        <w:tc>
          <w:tcPr>
            <w:tcW w:w="76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100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r>
      <w:tr w:rsidR="006A57B2" w:rsidRPr="00B2198D" w:rsidTr="00275F1A">
        <w:trPr>
          <w:trHeight w:val="300"/>
          <w:jc w:val="center"/>
        </w:trPr>
        <w:tc>
          <w:tcPr>
            <w:tcW w:w="82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4040" w:type="dxa"/>
            <w:gridSpan w:val="3"/>
            <w:tcBorders>
              <w:top w:val="single" w:sz="4" w:space="0" w:color="auto"/>
              <w:left w:val="single" w:sz="4" w:space="0" w:color="auto"/>
              <w:bottom w:val="nil"/>
              <w:right w:val="single" w:sz="4" w:space="0" w:color="000000"/>
            </w:tcBorders>
            <w:shd w:val="clear" w:color="000000" w:fill="FFEB9C"/>
            <w:vAlign w:val="bottom"/>
            <w:hideMark/>
          </w:tcPr>
          <w:p w:rsidR="006A57B2" w:rsidRPr="00B2198D" w:rsidRDefault="006A57B2" w:rsidP="00275F1A">
            <w:pPr>
              <w:spacing w:after="0" w:line="240" w:lineRule="auto"/>
              <w:jc w:val="center"/>
              <w:rPr>
                <w:rFonts w:ascii="Calibri" w:eastAsia="Times New Roman" w:hAnsi="Calibri" w:cs="Calibri"/>
                <w:color w:val="9C6500"/>
                <w:sz w:val="24"/>
                <w:lang w:eastAsia="en-GB"/>
              </w:rPr>
            </w:pPr>
            <w:r w:rsidRPr="00B2198D">
              <w:rPr>
                <w:rFonts w:ascii="Calibri" w:eastAsia="Times New Roman" w:hAnsi="Calibri" w:cs="Calibri"/>
                <w:color w:val="9C6500"/>
                <w:sz w:val="24"/>
                <w:lang w:eastAsia="en-GB"/>
              </w:rPr>
              <w:t>Catheter-related BSI (CR-BSI)</w:t>
            </w:r>
          </w:p>
        </w:tc>
      </w:tr>
      <w:tr w:rsidR="006A57B2" w:rsidRPr="00B2198D" w:rsidTr="00275F1A">
        <w:trPr>
          <w:trHeight w:val="300"/>
          <w:jc w:val="center"/>
        </w:trPr>
        <w:tc>
          <w:tcPr>
            <w:tcW w:w="82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740" w:type="dxa"/>
            <w:tcBorders>
              <w:top w:val="nil"/>
              <w:left w:val="nil"/>
              <w:bottom w:val="nil"/>
              <w:right w:val="nil"/>
            </w:tcBorders>
            <w:shd w:val="clear" w:color="auto" w:fill="auto"/>
            <w:noWrap/>
            <w:vAlign w:val="bottom"/>
            <w:hideMark/>
          </w:tcPr>
          <w:p w:rsidR="006A57B2" w:rsidRPr="00B2198D" w:rsidRDefault="006A57B2" w:rsidP="00275F1A">
            <w:pPr>
              <w:spacing w:after="0" w:line="240" w:lineRule="auto"/>
              <w:rPr>
                <w:rFonts w:ascii="Calibri" w:eastAsia="Times New Roman" w:hAnsi="Calibri" w:cs="Calibri"/>
                <w:color w:val="000000"/>
                <w:sz w:val="24"/>
                <w:lang w:eastAsia="en-GB"/>
              </w:rPr>
            </w:pPr>
          </w:p>
        </w:tc>
        <w:tc>
          <w:tcPr>
            <w:tcW w:w="2280" w:type="dxa"/>
            <w:tcBorders>
              <w:top w:val="single" w:sz="4" w:space="0" w:color="auto"/>
              <w:left w:val="single" w:sz="4" w:space="0" w:color="auto"/>
              <w:bottom w:val="single" w:sz="4" w:space="0" w:color="auto"/>
              <w:right w:val="single" w:sz="4" w:space="0" w:color="auto"/>
            </w:tcBorders>
            <w:shd w:val="clear" w:color="000000" w:fill="FFEB9C"/>
            <w:vAlign w:val="bottom"/>
            <w:hideMark/>
          </w:tcPr>
          <w:p w:rsidR="006A57B2" w:rsidRPr="00B2198D" w:rsidRDefault="006A57B2" w:rsidP="00275F1A">
            <w:pPr>
              <w:spacing w:after="0" w:line="240" w:lineRule="auto"/>
              <w:jc w:val="center"/>
              <w:rPr>
                <w:rFonts w:ascii="Calibri" w:eastAsia="Times New Roman" w:hAnsi="Calibri" w:cs="Calibri"/>
                <w:color w:val="9C6500"/>
                <w:sz w:val="24"/>
                <w:lang w:eastAsia="en-GB"/>
              </w:rPr>
            </w:pPr>
            <w:r w:rsidRPr="00B2198D">
              <w:rPr>
                <w:rFonts w:ascii="Calibri" w:eastAsia="Times New Roman" w:hAnsi="Calibri" w:cs="Calibri"/>
                <w:color w:val="9C6500"/>
                <w:sz w:val="24"/>
                <w:lang w:eastAsia="en-GB"/>
              </w:rPr>
              <w:t>n=24</w:t>
            </w:r>
          </w:p>
        </w:tc>
        <w:tc>
          <w:tcPr>
            <w:tcW w:w="1760" w:type="dxa"/>
            <w:gridSpan w:val="2"/>
            <w:tcBorders>
              <w:top w:val="single" w:sz="4" w:space="0" w:color="auto"/>
              <w:left w:val="nil"/>
              <w:bottom w:val="single" w:sz="4" w:space="0" w:color="auto"/>
              <w:right w:val="single" w:sz="4" w:space="0" w:color="000000"/>
            </w:tcBorders>
            <w:shd w:val="clear" w:color="000000" w:fill="FFEB9C"/>
            <w:vAlign w:val="bottom"/>
            <w:hideMark/>
          </w:tcPr>
          <w:p w:rsidR="006A57B2" w:rsidRPr="00B2198D" w:rsidRDefault="006A57B2" w:rsidP="00275F1A">
            <w:pPr>
              <w:spacing w:after="0" w:line="240" w:lineRule="auto"/>
              <w:jc w:val="center"/>
              <w:rPr>
                <w:rFonts w:ascii="Calibri" w:eastAsia="Times New Roman" w:hAnsi="Calibri" w:cs="Calibri"/>
                <w:color w:val="9C6500"/>
                <w:sz w:val="24"/>
                <w:lang w:eastAsia="en-GB"/>
              </w:rPr>
            </w:pPr>
            <w:r w:rsidRPr="00B2198D">
              <w:rPr>
                <w:rFonts w:ascii="Calibri" w:eastAsia="Times New Roman" w:hAnsi="Calibri" w:cs="Calibri"/>
                <w:color w:val="9C6500"/>
                <w:sz w:val="24"/>
                <w:lang w:eastAsia="en-GB"/>
              </w:rPr>
              <w:t>n=1</w:t>
            </w:r>
          </w:p>
        </w:tc>
      </w:tr>
    </w:tbl>
    <w:p w:rsidR="006A57B2" w:rsidRDefault="006A57B2" w:rsidP="00B22173">
      <w:pPr>
        <w:rPr>
          <w:b/>
          <w:sz w:val="18"/>
          <w:szCs w:val="18"/>
        </w:rPr>
      </w:pPr>
    </w:p>
    <w:p w:rsidR="006A57B2" w:rsidRDefault="006A57B2" w:rsidP="00B22173">
      <w:pPr>
        <w:rPr>
          <w:b/>
          <w:sz w:val="18"/>
          <w:szCs w:val="18"/>
        </w:rPr>
      </w:pPr>
    </w:p>
    <w:p w:rsidR="006A57B2" w:rsidRDefault="006A57B2" w:rsidP="00B22173">
      <w:pPr>
        <w:rPr>
          <w:b/>
          <w:sz w:val="18"/>
          <w:szCs w:val="18"/>
        </w:rPr>
      </w:pPr>
    </w:p>
    <w:p w:rsidR="006A57B2" w:rsidRDefault="006A57B2" w:rsidP="00B22173">
      <w:pPr>
        <w:rPr>
          <w:b/>
          <w:sz w:val="18"/>
          <w:szCs w:val="18"/>
        </w:rPr>
      </w:pPr>
    </w:p>
    <w:p w:rsidR="006A57B2" w:rsidRDefault="006A57B2" w:rsidP="00B22173">
      <w:pPr>
        <w:rPr>
          <w:b/>
          <w:sz w:val="18"/>
          <w:szCs w:val="18"/>
        </w:rPr>
      </w:pPr>
    </w:p>
    <w:p w:rsidR="006A57B2" w:rsidRDefault="006A57B2" w:rsidP="00B22173">
      <w:pPr>
        <w:rPr>
          <w:b/>
          <w:sz w:val="18"/>
          <w:szCs w:val="18"/>
        </w:rPr>
      </w:pPr>
    </w:p>
    <w:p w:rsidR="006A57B2" w:rsidRPr="00133308" w:rsidRDefault="006A57B2" w:rsidP="00B22173">
      <w:pPr>
        <w:rPr>
          <w:b/>
          <w:sz w:val="18"/>
          <w:szCs w:val="18"/>
        </w:rPr>
      </w:pPr>
    </w:p>
    <w:p w:rsidR="006A57B2" w:rsidRDefault="006A57B2" w:rsidP="00B419A9">
      <w:pPr>
        <w:pStyle w:val="Caption"/>
        <w:rPr>
          <w:sz w:val="22"/>
          <w:szCs w:val="22"/>
        </w:rPr>
      </w:pPr>
      <w:bookmarkStart w:id="75" w:name="_Toc418150499"/>
      <w:bookmarkStart w:id="76" w:name="_Toc428178947"/>
      <w:r w:rsidRPr="00B419A9">
        <w:rPr>
          <w:sz w:val="22"/>
          <w:szCs w:val="22"/>
        </w:rPr>
        <w:t xml:space="preserve">Figure </w:t>
      </w:r>
      <w:r>
        <w:rPr>
          <w:noProof/>
          <w:sz w:val="22"/>
          <w:szCs w:val="22"/>
        </w:rPr>
        <w:t>3</w:t>
      </w:r>
      <w:r w:rsidRPr="00B419A9">
        <w:rPr>
          <w:sz w:val="22"/>
          <w:szCs w:val="22"/>
        </w:rPr>
        <w:t>: Kaplan-Meier curve for time to first BSI by CVC allocation</w:t>
      </w:r>
      <w:bookmarkEnd w:id="75"/>
      <w:bookmarkEnd w:id="76"/>
    </w:p>
    <w:p w:rsidR="006A57B2" w:rsidRPr="00737EE0" w:rsidRDefault="006A57B2" w:rsidP="00737EE0">
      <w:r>
        <w:rPr>
          <w:noProof/>
          <w:lang w:eastAsia="en-GB"/>
        </w:rPr>
        <w:drawing>
          <wp:inline distT="0" distB="0" distL="0" distR="0" wp14:anchorId="042B292B" wp14:editId="06D70322">
            <wp:extent cx="7355253" cy="53427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plan plot.png"/>
                    <pic:cNvPicPr/>
                  </pic:nvPicPr>
                  <pic:blipFill>
                    <a:blip r:embed="rId11">
                      <a:extLst>
                        <a:ext uri="{28A0092B-C50C-407E-A947-70E740481C1C}">
                          <a14:useLocalDpi xmlns:a14="http://schemas.microsoft.com/office/drawing/2010/main" val="0"/>
                        </a:ext>
                      </a:extLst>
                    </a:blip>
                    <a:stretch>
                      <a:fillRect/>
                    </a:stretch>
                  </pic:blipFill>
                  <pic:spPr>
                    <a:xfrm>
                      <a:off x="0" y="0"/>
                      <a:ext cx="7374209" cy="5356477"/>
                    </a:xfrm>
                    <a:prstGeom prst="rect">
                      <a:avLst/>
                    </a:prstGeom>
                  </pic:spPr>
                </pic:pic>
              </a:graphicData>
            </a:graphic>
          </wp:inline>
        </w:drawing>
      </w:r>
    </w:p>
    <w:p w:rsidR="006A57B2" w:rsidRPr="00411C6E" w:rsidRDefault="006A57B2" w:rsidP="00B22173">
      <w:pPr>
        <w:rPr>
          <w:b/>
        </w:rPr>
        <w:sectPr w:rsidR="006A57B2" w:rsidRPr="00411C6E" w:rsidSect="002C0696">
          <w:pgSz w:w="16838" w:h="11906" w:orient="landscape"/>
          <w:pgMar w:top="1440" w:right="1440" w:bottom="1440" w:left="1440" w:header="708" w:footer="708" w:gutter="0"/>
          <w:cols w:space="708"/>
          <w:docGrid w:linePitch="360"/>
        </w:sectPr>
      </w:pPr>
    </w:p>
    <w:p w:rsidR="006A57B2" w:rsidRPr="00BE078C" w:rsidRDefault="006A57B2" w:rsidP="00FF0134">
      <w:pPr>
        <w:pStyle w:val="Caption"/>
        <w:rPr>
          <w:rFonts w:asciiTheme="majorHAnsi" w:hAnsiTheme="majorHAnsi" w:cstheme="minorHAnsi"/>
          <w:color w:val="2E74B5" w:themeColor="accent1" w:themeShade="BF"/>
          <w:sz w:val="22"/>
          <w:szCs w:val="22"/>
        </w:rPr>
      </w:pPr>
      <w:bookmarkStart w:id="77" w:name="_Toc428178956"/>
      <w:r w:rsidRPr="00BE078C">
        <w:rPr>
          <w:sz w:val="22"/>
          <w:szCs w:val="22"/>
        </w:rPr>
        <w:t xml:space="preserve">Table </w:t>
      </w:r>
      <w:r>
        <w:rPr>
          <w:noProof/>
          <w:sz w:val="22"/>
          <w:szCs w:val="22"/>
        </w:rPr>
        <w:t>1</w:t>
      </w:r>
      <w:r w:rsidRPr="00BE078C">
        <w:rPr>
          <w:sz w:val="22"/>
          <w:szCs w:val="22"/>
        </w:rPr>
        <w:t>: Baseline characteristics and clinical condition before randomisation (n=number of participants by randomised CVC)</w:t>
      </w:r>
      <w:bookmarkEnd w:id="77"/>
      <w:r w:rsidRPr="00BE078C">
        <w:rPr>
          <w:rFonts w:asciiTheme="majorHAnsi" w:hAnsiTheme="majorHAnsi" w:cstheme="minorHAnsi"/>
          <w:b w:val="0"/>
          <w:color w:val="2E74B5" w:themeColor="accent1" w:themeShade="BF"/>
          <w:sz w:val="22"/>
          <w:szCs w:val="22"/>
        </w:rPr>
        <w:t xml:space="preserve"> </w:t>
      </w:r>
    </w:p>
    <w:p w:rsidR="006A57B2" w:rsidRPr="00ED041C" w:rsidRDefault="006A57B2" w:rsidP="00B22173">
      <w:pPr>
        <w:spacing w:after="0" w:line="240" w:lineRule="auto"/>
        <w:rPr>
          <w:rFonts w:cstheme="minorHAnsi"/>
          <w:b/>
          <w:sz w:val="20"/>
        </w:rPr>
      </w:pPr>
    </w:p>
    <w:tbl>
      <w:tblPr>
        <w:tblW w:w="9059" w:type="dxa"/>
        <w:tblInd w:w="93" w:type="dxa"/>
        <w:tblLook w:val="04A0" w:firstRow="1" w:lastRow="0" w:firstColumn="1" w:lastColumn="0" w:noHBand="0" w:noVBand="1"/>
      </w:tblPr>
      <w:tblGrid>
        <w:gridCol w:w="2850"/>
        <w:gridCol w:w="2268"/>
        <w:gridCol w:w="709"/>
        <w:gridCol w:w="672"/>
        <w:gridCol w:w="604"/>
        <w:gridCol w:w="676"/>
        <w:gridCol w:w="600"/>
        <w:gridCol w:w="680"/>
      </w:tblGrid>
      <w:tr w:rsidR="006A57B2" w:rsidRPr="00ED041C" w:rsidTr="00B22173">
        <w:trPr>
          <w:trHeight w:val="300"/>
        </w:trPr>
        <w:tc>
          <w:tcPr>
            <w:tcW w:w="2850" w:type="dxa"/>
            <w:tcBorders>
              <w:top w:val="single" w:sz="4" w:space="0" w:color="auto"/>
              <w:left w:val="single" w:sz="4" w:space="0" w:color="auto"/>
              <w:bottom w:val="nil"/>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single" w:sz="4" w:space="0" w:color="auto"/>
              <w:left w:val="nil"/>
              <w:bottom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1381" w:type="dxa"/>
            <w:gridSpan w:val="2"/>
            <w:tcBorders>
              <w:top w:val="single" w:sz="4" w:space="0" w:color="auto"/>
              <w:left w:val="nil"/>
              <w:bottom w:val="nil"/>
              <w:right w:val="single" w:sz="4" w:space="0" w:color="000000"/>
            </w:tcBorders>
            <w:shd w:val="clear" w:color="auto" w:fill="BDD6EE" w:themeFill="accent1" w:themeFillTint="66"/>
            <w:noWrap/>
            <w:vAlign w:val="center"/>
            <w:hideMark/>
          </w:tcPr>
          <w:p w:rsidR="006A57B2" w:rsidRPr="00ED041C" w:rsidRDefault="006A57B2" w:rsidP="00B22173">
            <w:pPr>
              <w:spacing w:after="0" w:line="240" w:lineRule="auto"/>
              <w:jc w:val="center"/>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Standard</w:t>
            </w:r>
          </w:p>
        </w:tc>
        <w:tc>
          <w:tcPr>
            <w:tcW w:w="1280" w:type="dxa"/>
            <w:gridSpan w:val="2"/>
            <w:tcBorders>
              <w:top w:val="single" w:sz="4" w:space="0" w:color="auto"/>
              <w:left w:val="nil"/>
              <w:bottom w:val="nil"/>
              <w:right w:val="single" w:sz="4" w:space="0" w:color="000000"/>
            </w:tcBorders>
            <w:shd w:val="clear" w:color="auto" w:fill="BDD6EE" w:themeFill="accent1" w:themeFillTint="66"/>
            <w:noWrap/>
            <w:vAlign w:val="center"/>
            <w:hideMark/>
          </w:tcPr>
          <w:p w:rsidR="006A57B2" w:rsidRPr="00ED041C" w:rsidRDefault="006A57B2" w:rsidP="00B22173">
            <w:pPr>
              <w:spacing w:after="0" w:line="240" w:lineRule="auto"/>
              <w:jc w:val="center"/>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 xml:space="preserve">Antibiotic </w:t>
            </w:r>
          </w:p>
        </w:tc>
        <w:tc>
          <w:tcPr>
            <w:tcW w:w="1280" w:type="dxa"/>
            <w:gridSpan w:val="2"/>
            <w:tcBorders>
              <w:top w:val="single" w:sz="4" w:space="0" w:color="auto"/>
              <w:left w:val="nil"/>
              <w:bottom w:val="nil"/>
              <w:right w:val="single" w:sz="4" w:space="0" w:color="000000"/>
            </w:tcBorders>
            <w:shd w:val="clear" w:color="auto" w:fill="BDD6EE" w:themeFill="accent1" w:themeFillTint="66"/>
            <w:noWrap/>
            <w:vAlign w:val="center"/>
            <w:hideMark/>
          </w:tcPr>
          <w:p w:rsidR="006A57B2" w:rsidRPr="00ED041C" w:rsidRDefault="006A57B2" w:rsidP="00B22173">
            <w:pPr>
              <w:spacing w:after="0" w:line="240" w:lineRule="auto"/>
              <w:jc w:val="center"/>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 xml:space="preserve">Heparin </w:t>
            </w:r>
          </w:p>
        </w:tc>
      </w:tr>
      <w:tr w:rsidR="006A57B2" w:rsidRPr="00ED041C" w:rsidTr="00B22173">
        <w:trPr>
          <w:trHeight w:val="300"/>
        </w:trPr>
        <w:tc>
          <w:tcPr>
            <w:tcW w:w="2850" w:type="dxa"/>
            <w:tcBorders>
              <w:top w:val="nil"/>
              <w:left w:val="single" w:sz="4" w:space="0" w:color="auto"/>
              <w:bottom w:val="nil"/>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2268" w:type="dxa"/>
            <w:tcBorders>
              <w:top w:val="nil"/>
              <w:left w:val="nil"/>
              <w:bottom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nil"/>
              <w:bottom w:val="nil"/>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n</w:t>
            </w:r>
          </w:p>
        </w:tc>
        <w:tc>
          <w:tcPr>
            <w:tcW w:w="672" w:type="dxa"/>
            <w:tcBorders>
              <w:top w:val="nil"/>
              <w:left w:val="nil"/>
              <w:bottom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w:t>
            </w:r>
          </w:p>
        </w:tc>
        <w:tc>
          <w:tcPr>
            <w:tcW w:w="604" w:type="dxa"/>
            <w:tcBorders>
              <w:top w:val="nil"/>
              <w:left w:val="nil"/>
              <w:bottom w:val="nil"/>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n</w:t>
            </w:r>
          </w:p>
        </w:tc>
        <w:tc>
          <w:tcPr>
            <w:tcW w:w="676" w:type="dxa"/>
            <w:tcBorders>
              <w:top w:val="nil"/>
              <w:left w:val="nil"/>
              <w:bottom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w:t>
            </w:r>
          </w:p>
        </w:tc>
        <w:tc>
          <w:tcPr>
            <w:tcW w:w="600" w:type="dxa"/>
            <w:tcBorders>
              <w:top w:val="nil"/>
              <w:left w:val="nil"/>
              <w:bottom w:val="nil"/>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n</w:t>
            </w:r>
          </w:p>
        </w:tc>
        <w:tc>
          <w:tcPr>
            <w:tcW w:w="680" w:type="dxa"/>
            <w:tcBorders>
              <w:top w:val="nil"/>
              <w:left w:val="nil"/>
              <w:bottom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w:t>
            </w:r>
          </w:p>
        </w:tc>
      </w:tr>
      <w:tr w:rsidR="006A57B2" w:rsidRPr="00ED041C" w:rsidTr="00B22173">
        <w:trPr>
          <w:trHeight w:val="300"/>
        </w:trPr>
        <w:tc>
          <w:tcPr>
            <w:tcW w:w="2850" w:type="dxa"/>
            <w:tcBorders>
              <w:top w:val="nil"/>
              <w:left w:val="single" w:sz="4" w:space="0" w:color="auto"/>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color w:val="000000"/>
                <w:sz w:val="20"/>
                <w:szCs w:val="20"/>
                <w:lang w:eastAsia="en-GB"/>
              </w:rPr>
            </w:pPr>
            <w:r w:rsidRPr="00ED041C">
              <w:rPr>
                <w:rFonts w:ascii="Calibri" w:eastAsia="Times New Roman" w:hAnsi="Calibri" w:cs="Calibri"/>
                <w:b/>
                <w:color w:val="000000"/>
                <w:sz w:val="20"/>
                <w:szCs w:val="20"/>
                <w:lang w:eastAsia="en-GB"/>
              </w:rPr>
              <w:t>Patient characteristics</w:t>
            </w:r>
          </w:p>
        </w:tc>
        <w:tc>
          <w:tcPr>
            <w:tcW w:w="2268"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502</w:t>
            </w:r>
          </w:p>
        </w:tc>
        <w:tc>
          <w:tcPr>
            <w:tcW w:w="672"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100</w:t>
            </w:r>
          </w:p>
        </w:tc>
        <w:tc>
          <w:tcPr>
            <w:tcW w:w="604" w:type="dxa"/>
            <w:tcBorders>
              <w:top w:val="nil"/>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486</w:t>
            </w:r>
          </w:p>
        </w:tc>
        <w:tc>
          <w:tcPr>
            <w:tcW w:w="676"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100</w:t>
            </w:r>
          </w:p>
        </w:tc>
        <w:tc>
          <w:tcPr>
            <w:tcW w:w="600" w:type="dxa"/>
            <w:tcBorders>
              <w:top w:val="nil"/>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497</w:t>
            </w:r>
          </w:p>
        </w:tc>
        <w:tc>
          <w:tcPr>
            <w:tcW w:w="680"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100</w:t>
            </w:r>
          </w:p>
        </w:tc>
      </w:tr>
      <w:tr w:rsidR="006A57B2" w:rsidRPr="00ED041C" w:rsidTr="00B22173">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Emergency (deferred consent)</w:t>
            </w: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333</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66.3</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320</w:t>
            </w:r>
          </w:p>
        </w:tc>
        <w:tc>
          <w:tcPr>
            <w:tcW w:w="676"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65.8</w:t>
            </w:r>
          </w:p>
        </w:tc>
        <w:tc>
          <w:tcPr>
            <w:tcW w:w="60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331</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66.6</w:t>
            </w:r>
          </w:p>
        </w:tc>
      </w:tr>
      <w:tr w:rsidR="006A57B2" w:rsidRPr="00ED041C" w:rsidTr="00B22173">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Elective  (prospective consent)</w:t>
            </w: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169</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33.7</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166</w:t>
            </w:r>
          </w:p>
        </w:tc>
        <w:tc>
          <w:tcPr>
            <w:tcW w:w="676"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34.2</w:t>
            </w:r>
          </w:p>
        </w:tc>
        <w:tc>
          <w:tcPr>
            <w:tcW w:w="60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166</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33.4</w:t>
            </w:r>
          </w:p>
        </w:tc>
      </w:tr>
      <w:tr w:rsidR="006A57B2" w:rsidRPr="00ED041C" w:rsidTr="00B22173">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Male</w:t>
            </w: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285</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56.8</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291</w:t>
            </w:r>
          </w:p>
        </w:tc>
        <w:tc>
          <w:tcPr>
            <w:tcW w:w="676"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59.9</w:t>
            </w:r>
          </w:p>
        </w:tc>
        <w:tc>
          <w:tcPr>
            <w:tcW w:w="60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277</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55.7</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Age</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&lt;3 months</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159</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31.7</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159</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32.7</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175</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35.2</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3-12 months</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129</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25.7</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123</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25.3</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116</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23.3</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1-10 years</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174</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34.7</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154</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31.7</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174</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35.0</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 years</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40</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8.0</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50</w:t>
            </w:r>
          </w:p>
        </w:tc>
        <w:tc>
          <w:tcPr>
            <w:tcW w:w="676"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10.3</w:t>
            </w:r>
          </w:p>
        </w:tc>
        <w:tc>
          <w:tcPr>
            <w:tcW w:w="60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32</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6.4</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Weight at admission</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&lt; 3kg</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41</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8.2</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38</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7.8</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56</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11.3</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3-10kg</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278</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55.4</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280</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57.6</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273</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54.9</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xml:space="preserve">&gt;10 kg </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183</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36.5</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166</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34.2</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168</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33.8</w:t>
            </w:r>
          </w:p>
        </w:tc>
      </w:tr>
      <w:tr w:rsidR="006A57B2" w:rsidRPr="00ED041C" w:rsidTr="00B22173">
        <w:trPr>
          <w:trHeight w:val="300"/>
        </w:trPr>
        <w:tc>
          <w:tcPr>
            <w:tcW w:w="2850" w:type="dxa"/>
            <w:vMerge/>
            <w:tcBorders>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Missing</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0.4</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r>
      <w:tr w:rsidR="006A57B2" w:rsidRPr="00ED041C" w:rsidTr="00B22173">
        <w:trPr>
          <w:trHeight w:val="300"/>
        </w:trPr>
        <w:tc>
          <w:tcPr>
            <w:tcW w:w="2850" w:type="dxa"/>
            <w:tcBorders>
              <w:top w:val="single" w:sz="4" w:space="0" w:color="auto"/>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Admitted for surgery</w:t>
            </w:r>
          </w:p>
        </w:tc>
        <w:tc>
          <w:tcPr>
            <w:tcW w:w="2268" w:type="dxa"/>
            <w:tcBorders>
              <w:top w:val="single" w:sz="4" w:space="0" w:color="auto"/>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174</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34.7</w:t>
            </w:r>
          </w:p>
        </w:tc>
        <w:tc>
          <w:tcPr>
            <w:tcW w:w="604" w:type="dxa"/>
            <w:tcBorders>
              <w:top w:val="single" w:sz="4" w:space="0" w:color="auto"/>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35.2</w:t>
            </w:r>
          </w:p>
        </w:tc>
        <w:tc>
          <w:tcPr>
            <w:tcW w:w="600" w:type="dxa"/>
            <w:tcBorders>
              <w:top w:val="single" w:sz="4" w:space="0" w:color="auto"/>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36.4</w:t>
            </w:r>
          </w:p>
        </w:tc>
      </w:tr>
      <w:tr w:rsidR="006A57B2" w:rsidRPr="00ED041C" w:rsidTr="00B22173">
        <w:trPr>
          <w:trHeight w:val="330"/>
        </w:trPr>
        <w:tc>
          <w:tcPr>
            <w:tcW w:w="5118" w:type="dxa"/>
            <w:gridSpan w:val="2"/>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PICU assessment (from linked PICANet data)</w:t>
            </w:r>
          </w:p>
        </w:tc>
        <w:tc>
          <w:tcPr>
            <w:tcW w:w="709" w:type="dxa"/>
            <w:tcBorders>
              <w:top w:val="nil"/>
              <w:left w:val="single" w:sz="4" w:space="0" w:color="auto"/>
              <w:bottom w:val="single" w:sz="4" w:space="0" w:color="auto"/>
              <w:right w:val="nil"/>
            </w:tcBorders>
            <w:shd w:val="clear" w:color="auto" w:fill="BDD6EE" w:themeFill="accent1" w:themeFillTint="66"/>
            <w:noWrap/>
            <w:vAlign w:val="bottom"/>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479</w:t>
            </w:r>
          </w:p>
        </w:tc>
        <w:tc>
          <w:tcPr>
            <w:tcW w:w="672" w:type="dxa"/>
            <w:tcBorders>
              <w:top w:val="nil"/>
              <w:left w:val="nil"/>
              <w:bottom w:val="single" w:sz="4" w:space="0" w:color="auto"/>
              <w:right w:val="single" w:sz="4" w:space="0" w:color="auto"/>
            </w:tcBorders>
            <w:shd w:val="clear" w:color="auto" w:fill="BDD6EE" w:themeFill="accent1" w:themeFillTint="66"/>
            <w:noWrap/>
            <w:vAlign w:val="bottom"/>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95.4</w:t>
            </w:r>
          </w:p>
        </w:tc>
        <w:tc>
          <w:tcPr>
            <w:tcW w:w="604" w:type="dxa"/>
            <w:tcBorders>
              <w:top w:val="nil"/>
              <w:left w:val="nil"/>
              <w:bottom w:val="single" w:sz="4" w:space="0" w:color="auto"/>
              <w:right w:val="nil"/>
            </w:tcBorders>
            <w:shd w:val="clear" w:color="auto" w:fill="BDD6EE" w:themeFill="accent1" w:themeFillTint="66"/>
            <w:noWrap/>
            <w:vAlign w:val="bottom"/>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456</w:t>
            </w:r>
          </w:p>
        </w:tc>
        <w:tc>
          <w:tcPr>
            <w:tcW w:w="676" w:type="dxa"/>
            <w:tcBorders>
              <w:top w:val="nil"/>
              <w:left w:val="nil"/>
              <w:bottom w:val="single" w:sz="4" w:space="0" w:color="auto"/>
              <w:right w:val="nil"/>
            </w:tcBorders>
            <w:shd w:val="clear" w:color="auto" w:fill="BDD6EE" w:themeFill="accent1" w:themeFillTint="66"/>
            <w:noWrap/>
            <w:vAlign w:val="bottom"/>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93.8</w:t>
            </w:r>
          </w:p>
        </w:tc>
        <w:tc>
          <w:tcPr>
            <w:tcW w:w="600" w:type="dxa"/>
            <w:tcBorders>
              <w:top w:val="nil"/>
              <w:left w:val="single" w:sz="4" w:space="0" w:color="auto"/>
              <w:bottom w:val="single" w:sz="4" w:space="0" w:color="auto"/>
              <w:right w:val="nil"/>
            </w:tcBorders>
            <w:shd w:val="clear" w:color="auto" w:fill="BDD6EE" w:themeFill="accent1" w:themeFillTint="66"/>
            <w:noWrap/>
            <w:vAlign w:val="bottom"/>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473</w:t>
            </w:r>
          </w:p>
        </w:tc>
        <w:tc>
          <w:tcPr>
            <w:tcW w:w="680" w:type="dxa"/>
            <w:tcBorders>
              <w:top w:val="nil"/>
              <w:left w:val="nil"/>
              <w:bottom w:val="single" w:sz="4" w:space="0" w:color="auto"/>
              <w:right w:val="single" w:sz="4" w:space="0" w:color="auto"/>
            </w:tcBorders>
            <w:shd w:val="clear" w:color="auto" w:fill="BDD6EE" w:themeFill="accent1" w:themeFillTint="66"/>
            <w:noWrap/>
            <w:vAlign w:val="bottom"/>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95.2</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Primary reason for admission</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Cardiovascular</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235</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49.1</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233</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51.1</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250</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52.9</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Endocrine/metabolic</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30</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6.3</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7.5</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30</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6.3</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xml:space="preserve">Infection </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39</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8.1</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30</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6.6</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6.6</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Cancer</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1.9</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1.3</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Respiratory</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102</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21.3</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86</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18.9</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84</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17.8</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Neurological</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22</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4.6</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6.8</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29</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6.1</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Trauma</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3.8</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2.2</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3.8</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Other</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24</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5.0</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26</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5.7</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22</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4.7</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Unknown</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76"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c>
          <w:tcPr>
            <w:tcW w:w="60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0.2</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Paediatric Index of Mortality (PIM2)</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&lt;1%</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54</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11.3</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48</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10.5</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48</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10.1</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264</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55.1</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236</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51.8</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247</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52.2</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5-&lt;15%</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116</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24.2</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123</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27.0</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119</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25.2</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15-&lt;30%</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7.1</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6.8</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39</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8.2</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30%+</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11</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w:t>
            </w:r>
          </w:p>
        </w:tc>
        <w:tc>
          <w:tcPr>
            <w:tcW w:w="676"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3.9</w:t>
            </w:r>
          </w:p>
        </w:tc>
        <w:tc>
          <w:tcPr>
            <w:tcW w:w="600"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20</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4.2</w:t>
            </w:r>
          </w:p>
        </w:tc>
      </w:tr>
      <w:tr w:rsidR="006A57B2" w:rsidRPr="00ED041C" w:rsidTr="00B22173">
        <w:trPr>
          <w:trHeight w:val="300"/>
        </w:trPr>
        <w:tc>
          <w:tcPr>
            <w:tcW w:w="5118" w:type="dxa"/>
            <w:gridSpan w:val="2"/>
            <w:tcBorders>
              <w:top w:val="nil"/>
              <w:left w:val="single" w:sz="4" w:space="0" w:color="auto"/>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Clinical condition at randomisation</w:t>
            </w:r>
          </w:p>
        </w:tc>
        <w:tc>
          <w:tcPr>
            <w:tcW w:w="709" w:type="dxa"/>
            <w:tcBorders>
              <w:top w:val="nil"/>
              <w:left w:val="single" w:sz="4" w:space="0" w:color="auto"/>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502</w:t>
            </w:r>
          </w:p>
        </w:tc>
        <w:tc>
          <w:tcPr>
            <w:tcW w:w="672"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100.0</w:t>
            </w:r>
          </w:p>
        </w:tc>
        <w:tc>
          <w:tcPr>
            <w:tcW w:w="604" w:type="dxa"/>
            <w:tcBorders>
              <w:top w:val="nil"/>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486</w:t>
            </w:r>
          </w:p>
        </w:tc>
        <w:tc>
          <w:tcPr>
            <w:tcW w:w="676" w:type="dxa"/>
            <w:tcBorders>
              <w:top w:val="nil"/>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100.0</w:t>
            </w:r>
          </w:p>
        </w:tc>
        <w:tc>
          <w:tcPr>
            <w:tcW w:w="600" w:type="dxa"/>
            <w:tcBorders>
              <w:top w:val="nil"/>
              <w:left w:val="single" w:sz="4" w:space="0" w:color="auto"/>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497</w:t>
            </w:r>
          </w:p>
        </w:tc>
        <w:tc>
          <w:tcPr>
            <w:tcW w:w="680"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100.0</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&lt; 72h before randomised</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Other </w:t>
            </w:r>
            <w:r w:rsidRPr="00ED041C">
              <w:rPr>
                <w:rFonts w:ascii="Calibri" w:eastAsia="Times New Roman" w:hAnsi="Calibri" w:cs="Calibri"/>
                <w:color w:val="000000"/>
                <w:sz w:val="20"/>
                <w:szCs w:val="20"/>
                <w:lang w:eastAsia="en-GB"/>
              </w:rPr>
              <w:t>CVC in situ</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95</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18.9</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91</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18.7</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83</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16.7</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Anticoagulants received</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50</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10.0</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59</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12.1</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61</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12.3</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Antibiotics received</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286</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57.0</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276</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56.8</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284</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57.1</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Positive blood culture</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40</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8.0</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25</w:t>
            </w:r>
          </w:p>
        </w:tc>
        <w:tc>
          <w:tcPr>
            <w:tcW w:w="676"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5.1</w:t>
            </w:r>
          </w:p>
        </w:tc>
        <w:tc>
          <w:tcPr>
            <w:tcW w:w="60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36</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7.2</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At randomisation</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Infection suspected</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214</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42.6</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181</w:t>
            </w:r>
          </w:p>
        </w:tc>
        <w:tc>
          <w:tcPr>
            <w:tcW w:w="676"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37.2</w:t>
            </w:r>
          </w:p>
        </w:tc>
        <w:tc>
          <w:tcPr>
            <w:tcW w:w="60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199</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40.0</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Immune compromised</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44</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8.8</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w:t>
            </w:r>
          </w:p>
        </w:tc>
        <w:tc>
          <w:tcPr>
            <w:tcW w:w="676"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6.4</w:t>
            </w:r>
          </w:p>
        </w:tc>
        <w:tc>
          <w:tcPr>
            <w:tcW w:w="60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29</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5.8</w:t>
            </w:r>
          </w:p>
        </w:tc>
      </w:tr>
    </w:tbl>
    <w:p w:rsidR="006A57B2" w:rsidRDefault="006A57B2" w:rsidP="00B22173"/>
    <w:p w:rsidR="006A57B2" w:rsidRDefault="006A57B2" w:rsidP="00B22173"/>
    <w:p w:rsidR="006A57B2" w:rsidRDefault="006A57B2" w:rsidP="00B22173"/>
    <w:p w:rsidR="006A57B2" w:rsidRPr="00BE078C" w:rsidRDefault="006A57B2" w:rsidP="00FF0134">
      <w:pPr>
        <w:pStyle w:val="Caption"/>
        <w:rPr>
          <w:rFonts w:asciiTheme="majorHAnsi" w:hAnsiTheme="majorHAnsi"/>
          <w:color w:val="2E74B5" w:themeColor="accent1" w:themeShade="BF"/>
          <w:sz w:val="22"/>
          <w:szCs w:val="22"/>
        </w:rPr>
      </w:pPr>
      <w:bookmarkStart w:id="78" w:name="_Toc428178957"/>
      <w:r w:rsidRPr="00BE078C">
        <w:rPr>
          <w:sz w:val="22"/>
          <w:szCs w:val="22"/>
        </w:rPr>
        <w:t xml:space="preserve">Table </w:t>
      </w:r>
      <w:r>
        <w:rPr>
          <w:noProof/>
          <w:sz w:val="22"/>
          <w:szCs w:val="22"/>
        </w:rPr>
        <w:t>2</w:t>
      </w:r>
      <w:r w:rsidRPr="00BE078C">
        <w:rPr>
          <w:sz w:val="22"/>
          <w:szCs w:val="22"/>
        </w:rPr>
        <w:t>: Details of the intervention and characteristics at 48 hours post randomisation (n=number of participants with CVC inserted)</w:t>
      </w:r>
      <w:bookmarkEnd w:id="78"/>
      <w:r w:rsidRPr="00BE078C">
        <w:rPr>
          <w:rFonts w:asciiTheme="majorHAnsi" w:hAnsiTheme="majorHAnsi"/>
          <w:b w:val="0"/>
          <w:color w:val="2E74B5" w:themeColor="accent1" w:themeShade="BF"/>
          <w:sz w:val="22"/>
          <w:szCs w:val="22"/>
        </w:rPr>
        <w:t xml:space="preserve"> </w:t>
      </w:r>
    </w:p>
    <w:tbl>
      <w:tblPr>
        <w:tblW w:w="9059" w:type="dxa"/>
        <w:tblInd w:w="93" w:type="dxa"/>
        <w:tblLook w:val="04A0" w:firstRow="1" w:lastRow="0" w:firstColumn="1" w:lastColumn="0" w:noHBand="0" w:noVBand="1"/>
      </w:tblPr>
      <w:tblGrid>
        <w:gridCol w:w="2850"/>
        <w:gridCol w:w="2268"/>
        <w:gridCol w:w="709"/>
        <w:gridCol w:w="672"/>
        <w:gridCol w:w="604"/>
        <w:gridCol w:w="676"/>
        <w:gridCol w:w="600"/>
        <w:gridCol w:w="680"/>
      </w:tblGrid>
      <w:tr w:rsidR="006A57B2" w:rsidRPr="00ED041C" w:rsidTr="00B22173">
        <w:trPr>
          <w:trHeight w:val="300"/>
        </w:trPr>
        <w:tc>
          <w:tcPr>
            <w:tcW w:w="2850" w:type="dxa"/>
            <w:tcBorders>
              <w:top w:val="single" w:sz="4" w:space="0" w:color="auto"/>
              <w:left w:val="single" w:sz="4" w:space="0" w:color="auto"/>
              <w:bottom w:val="nil"/>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single" w:sz="4" w:space="0" w:color="auto"/>
              <w:left w:val="nil"/>
              <w:bottom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1381" w:type="dxa"/>
            <w:gridSpan w:val="2"/>
            <w:tcBorders>
              <w:top w:val="single" w:sz="4" w:space="0" w:color="auto"/>
              <w:left w:val="nil"/>
              <w:bottom w:val="nil"/>
              <w:right w:val="single" w:sz="4" w:space="0" w:color="000000"/>
            </w:tcBorders>
            <w:shd w:val="clear" w:color="auto" w:fill="BDD6EE" w:themeFill="accent1" w:themeFillTint="66"/>
            <w:noWrap/>
            <w:vAlign w:val="center"/>
            <w:hideMark/>
          </w:tcPr>
          <w:p w:rsidR="006A57B2" w:rsidRPr="00ED041C" w:rsidRDefault="006A57B2" w:rsidP="00B22173">
            <w:pPr>
              <w:spacing w:after="0" w:line="240" w:lineRule="auto"/>
              <w:jc w:val="center"/>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Standard</w:t>
            </w:r>
          </w:p>
        </w:tc>
        <w:tc>
          <w:tcPr>
            <w:tcW w:w="1280" w:type="dxa"/>
            <w:gridSpan w:val="2"/>
            <w:tcBorders>
              <w:top w:val="single" w:sz="4" w:space="0" w:color="auto"/>
              <w:left w:val="nil"/>
              <w:bottom w:val="nil"/>
              <w:right w:val="single" w:sz="4" w:space="0" w:color="000000"/>
            </w:tcBorders>
            <w:shd w:val="clear" w:color="auto" w:fill="BDD6EE" w:themeFill="accent1" w:themeFillTint="66"/>
            <w:noWrap/>
            <w:vAlign w:val="center"/>
            <w:hideMark/>
          </w:tcPr>
          <w:p w:rsidR="006A57B2" w:rsidRPr="00ED041C" w:rsidRDefault="006A57B2" w:rsidP="00B22173">
            <w:pPr>
              <w:spacing w:after="0" w:line="240" w:lineRule="auto"/>
              <w:jc w:val="center"/>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 xml:space="preserve">Antibiotic </w:t>
            </w:r>
          </w:p>
        </w:tc>
        <w:tc>
          <w:tcPr>
            <w:tcW w:w="1280" w:type="dxa"/>
            <w:gridSpan w:val="2"/>
            <w:tcBorders>
              <w:top w:val="single" w:sz="4" w:space="0" w:color="auto"/>
              <w:left w:val="nil"/>
              <w:bottom w:val="nil"/>
              <w:right w:val="single" w:sz="4" w:space="0" w:color="000000"/>
            </w:tcBorders>
            <w:shd w:val="clear" w:color="auto" w:fill="BDD6EE" w:themeFill="accent1" w:themeFillTint="66"/>
            <w:noWrap/>
            <w:vAlign w:val="center"/>
            <w:hideMark/>
          </w:tcPr>
          <w:p w:rsidR="006A57B2" w:rsidRPr="00ED041C" w:rsidRDefault="006A57B2" w:rsidP="00B22173">
            <w:pPr>
              <w:spacing w:after="0" w:line="240" w:lineRule="auto"/>
              <w:jc w:val="center"/>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 xml:space="preserve">Heparin </w:t>
            </w:r>
          </w:p>
        </w:tc>
      </w:tr>
      <w:tr w:rsidR="006A57B2" w:rsidRPr="00ED041C" w:rsidTr="00B22173">
        <w:trPr>
          <w:trHeight w:val="300"/>
        </w:trPr>
        <w:tc>
          <w:tcPr>
            <w:tcW w:w="2850" w:type="dxa"/>
            <w:tcBorders>
              <w:top w:val="nil"/>
              <w:left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2268" w:type="dxa"/>
            <w:tcBorders>
              <w:top w:val="nil"/>
              <w:left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nil"/>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n</w:t>
            </w:r>
          </w:p>
        </w:tc>
        <w:tc>
          <w:tcPr>
            <w:tcW w:w="672" w:type="dxa"/>
            <w:tcBorders>
              <w:top w:val="nil"/>
              <w:left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w:t>
            </w:r>
          </w:p>
        </w:tc>
        <w:tc>
          <w:tcPr>
            <w:tcW w:w="604" w:type="dxa"/>
            <w:tcBorders>
              <w:top w:val="nil"/>
              <w:left w:val="nil"/>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n</w:t>
            </w:r>
          </w:p>
        </w:tc>
        <w:tc>
          <w:tcPr>
            <w:tcW w:w="676" w:type="dxa"/>
            <w:tcBorders>
              <w:top w:val="nil"/>
              <w:left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w:t>
            </w:r>
          </w:p>
        </w:tc>
        <w:tc>
          <w:tcPr>
            <w:tcW w:w="600" w:type="dxa"/>
            <w:tcBorders>
              <w:top w:val="nil"/>
              <w:left w:val="nil"/>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n</w:t>
            </w:r>
          </w:p>
        </w:tc>
        <w:tc>
          <w:tcPr>
            <w:tcW w:w="680" w:type="dxa"/>
            <w:tcBorders>
              <w:top w:val="nil"/>
              <w:left w:val="nil"/>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w:t>
            </w:r>
          </w:p>
        </w:tc>
      </w:tr>
      <w:tr w:rsidR="006A57B2" w:rsidRPr="00ED041C" w:rsidTr="00B22173">
        <w:trPr>
          <w:trHeight w:val="300"/>
        </w:trPr>
        <w:tc>
          <w:tcPr>
            <w:tcW w:w="2850" w:type="dxa"/>
            <w:tcBorders>
              <w:left w:val="single" w:sz="4" w:space="0" w:color="auto"/>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CVC details (inserted CVCs)</w:t>
            </w:r>
          </w:p>
        </w:tc>
        <w:tc>
          <w:tcPr>
            <w:tcW w:w="2268" w:type="dxa"/>
            <w:tcBorders>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 </w:t>
            </w:r>
          </w:p>
        </w:tc>
        <w:tc>
          <w:tcPr>
            <w:tcW w:w="709" w:type="dxa"/>
            <w:tcBorders>
              <w:left w:val="single" w:sz="4" w:space="0" w:color="auto"/>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481</w:t>
            </w:r>
          </w:p>
        </w:tc>
        <w:tc>
          <w:tcPr>
            <w:tcW w:w="672" w:type="dxa"/>
            <w:tcBorders>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95.8</w:t>
            </w:r>
          </w:p>
        </w:tc>
        <w:tc>
          <w:tcPr>
            <w:tcW w:w="604" w:type="dxa"/>
            <w:tcBorders>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465</w:t>
            </w:r>
          </w:p>
        </w:tc>
        <w:tc>
          <w:tcPr>
            <w:tcW w:w="676" w:type="dxa"/>
            <w:tcBorders>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95.7</w:t>
            </w:r>
          </w:p>
        </w:tc>
        <w:tc>
          <w:tcPr>
            <w:tcW w:w="600" w:type="dxa"/>
            <w:tcBorders>
              <w:left w:val="nil"/>
              <w:bottom w:val="single" w:sz="4" w:space="0" w:color="auto"/>
              <w:right w:val="nil"/>
            </w:tcBorders>
            <w:shd w:val="clear" w:color="auto" w:fill="BDD6EE" w:themeFill="accent1" w:themeFillTint="66"/>
            <w:noWrap/>
            <w:vAlign w:val="center"/>
            <w:hideMark/>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464</w:t>
            </w:r>
          </w:p>
        </w:tc>
        <w:tc>
          <w:tcPr>
            <w:tcW w:w="680" w:type="dxa"/>
            <w:tcBorders>
              <w:left w:val="nil"/>
              <w:bottom w:val="single" w:sz="4" w:space="0" w:color="auto"/>
              <w:right w:val="single" w:sz="4" w:space="0" w:color="auto"/>
            </w:tcBorders>
            <w:shd w:val="clear" w:color="auto" w:fill="BDD6EE" w:themeFill="accent1" w:themeFillTint="66"/>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93.4</w:t>
            </w:r>
          </w:p>
        </w:tc>
      </w:tr>
      <w:tr w:rsidR="006A57B2" w:rsidRPr="00ED041C" w:rsidTr="00B22173">
        <w:trPr>
          <w:trHeight w:val="300"/>
        </w:trPr>
        <w:tc>
          <w:tcPr>
            <w:tcW w:w="2850"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Deferred consent, CVC inserted</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314</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65.3</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301</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64.7</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302</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65.1</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Inserted at same hospital</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ICU</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276</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57.4</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264</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56.8</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259</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55.8</w:t>
            </w:r>
          </w:p>
        </w:tc>
      </w:tr>
      <w:tr w:rsidR="006A57B2" w:rsidRPr="00ED041C" w:rsidTr="005E10F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Theatre</w:t>
            </w:r>
          </w:p>
        </w:tc>
        <w:tc>
          <w:tcPr>
            <w:tcW w:w="709" w:type="dxa"/>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w:t>
            </w:r>
          </w:p>
        </w:tc>
        <w:tc>
          <w:tcPr>
            <w:tcW w:w="672" w:type="dxa"/>
            <w:tcBorders>
              <w:top w:val="nil"/>
              <w:left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w:t>
            </w:r>
          </w:p>
        </w:tc>
        <w:tc>
          <w:tcPr>
            <w:tcW w:w="604" w:type="dxa"/>
            <w:tcBorders>
              <w:top w:val="nil"/>
              <w:left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w:t>
            </w:r>
          </w:p>
        </w:tc>
        <w:tc>
          <w:tcPr>
            <w:tcW w:w="676" w:type="dxa"/>
            <w:tcBorders>
              <w:top w:val="nil"/>
              <w:left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0.9</w:t>
            </w:r>
          </w:p>
        </w:tc>
        <w:tc>
          <w:tcPr>
            <w:tcW w:w="600" w:type="dxa"/>
            <w:tcBorders>
              <w:top w:val="nil"/>
              <w:left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7</w:t>
            </w:r>
          </w:p>
        </w:tc>
        <w:tc>
          <w:tcPr>
            <w:tcW w:w="680" w:type="dxa"/>
            <w:tcBorders>
              <w:top w:val="nil"/>
              <w:left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w:t>
            </w:r>
          </w:p>
        </w:tc>
      </w:tr>
      <w:tr w:rsidR="006A57B2" w:rsidRPr="00ED041C" w:rsidTr="005E10F3">
        <w:trPr>
          <w:trHeight w:val="300"/>
        </w:trPr>
        <w:tc>
          <w:tcPr>
            <w:tcW w:w="2850" w:type="dxa"/>
            <w:vMerge/>
            <w:tcBorders>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Other</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0.4</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w:t>
            </w:r>
          </w:p>
        </w:tc>
        <w:tc>
          <w:tcPr>
            <w:tcW w:w="676"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0.6</w:t>
            </w:r>
          </w:p>
        </w:tc>
        <w:tc>
          <w:tcPr>
            <w:tcW w:w="600"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0.2</w:t>
            </w:r>
          </w:p>
        </w:tc>
      </w:tr>
      <w:tr w:rsidR="006A57B2" w:rsidRPr="00ED041C" w:rsidTr="005E10F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Inserted at other hospital</w:t>
            </w:r>
            <w:r>
              <w:rPr>
                <w:rFonts w:ascii="Calibri" w:eastAsia="Times New Roman" w:hAnsi="Calibri" w:cs="Calibri"/>
                <w:color w:val="000000"/>
                <w:sz w:val="20"/>
                <w:szCs w:val="20"/>
                <w:lang w:eastAsia="en-GB"/>
              </w:rPr>
              <w:t>*</w:t>
            </w:r>
          </w:p>
        </w:tc>
        <w:tc>
          <w:tcPr>
            <w:tcW w:w="2268" w:type="dxa"/>
            <w:tcBorders>
              <w:top w:val="single" w:sz="4" w:space="0" w:color="auto"/>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ICU</w:t>
            </w:r>
          </w:p>
        </w:tc>
        <w:tc>
          <w:tcPr>
            <w:tcW w:w="709" w:type="dxa"/>
            <w:tcBorders>
              <w:top w:val="single" w:sz="4" w:space="0" w:color="auto"/>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w:t>
            </w:r>
          </w:p>
        </w:tc>
        <w:tc>
          <w:tcPr>
            <w:tcW w:w="672" w:type="dxa"/>
            <w:tcBorders>
              <w:top w:val="single" w:sz="4" w:space="0" w:color="auto"/>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w:t>
            </w:r>
          </w:p>
        </w:tc>
        <w:tc>
          <w:tcPr>
            <w:tcW w:w="604" w:type="dxa"/>
            <w:tcBorders>
              <w:top w:val="single" w:sz="4" w:space="0" w:color="auto"/>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6</w:t>
            </w:r>
          </w:p>
        </w:tc>
        <w:tc>
          <w:tcPr>
            <w:tcW w:w="676" w:type="dxa"/>
            <w:tcBorders>
              <w:top w:val="single" w:sz="4" w:space="0" w:color="auto"/>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1.3</w:t>
            </w:r>
          </w:p>
        </w:tc>
        <w:tc>
          <w:tcPr>
            <w:tcW w:w="600" w:type="dxa"/>
            <w:tcBorders>
              <w:top w:val="single" w:sz="4" w:space="0" w:color="auto"/>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w:t>
            </w:r>
          </w:p>
        </w:tc>
        <w:tc>
          <w:tcPr>
            <w:tcW w:w="680" w:type="dxa"/>
            <w:tcBorders>
              <w:top w:val="single" w:sz="4" w:space="0" w:color="auto"/>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0.6</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Theatre</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0.6</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8</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1.7</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7</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w:t>
            </w:r>
          </w:p>
        </w:tc>
      </w:tr>
      <w:tr w:rsidR="006A57B2" w:rsidRPr="00ED041C" w:rsidTr="00B22173">
        <w:trPr>
          <w:trHeight w:val="300"/>
        </w:trPr>
        <w:tc>
          <w:tcPr>
            <w:tcW w:w="2850" w:type="dxa"/>
            <w:vMerge/>
            <w:tcBorders>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Other</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4.8</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5.0</w:t>
            </w:r>
          </w:p>
        </w:tc>
      </w:tr>
      <w:tr w:rsidR="006A57B2" w:rsidRPr="00ED041C" w:rsidTr="00B22173">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Missing</w:t>
            </w: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76"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c>
          <w:tcPr>
            <w:tcW w:w="600"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0.4</w:t>
            </w:r>
          </w:p>
        </w:tc>
      </w:tr>
      <w:tr w:rsidR="006A57B2" w:rsidRPr="00ED041C" w:rsidTr="00B22173">
        <w:trPr>
          <w:trHeight w:val="300"/>
        </w:trPr>
        <w:tc>
          <w:tcPr>
            <w:tcW w:w="5118" w:type="dxa"/>
            <w:gridSpan w:val="2"/>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Prospective consent, CVC inserted</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167</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34.7</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164</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35.3</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162</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34.9</w:t>
            </w:r>
          </w:p>
        </w:tc>
      </w:tr>
      <w:tr w:rsidR="006A57B2" w:rsidRPr="00ED041C" w:rsidTr="00B22173">
        <w:trPr>
          <w:trHeight w:val="300"/>
        </w:trPr>
        <w:tc>
          <w:tcPr>
            <w:tcW w:w="2850" w:type="dxa"/>
            <w:vMerge w:val="restart"/>
            <w:tcBorders>
              <w:top w:val="nil"/>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Inserted at same hospital</w:t>
            </w: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ICU</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4.9</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16</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3.4</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Theatre</w:t>
            </w:r>
          </w:p>
        </w:tc>
        <w:tc>
          <w:tcPr>
            <w:tcW w:w="709" w:type="dxa"/>
            <w:tcBorders>
              <w:top w:val="nil"/>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152</w:t>
            </w:r>
          </w:p>
        </w:tc>
        <w:tc>
          <w:tcPr>
            <w:tcW w:w="672"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31.6</w:t>
            </w:r>
          </w:p>
        </w:tc>
        <w:tc>
          <w:tcPr>
            <w:tcW w:w="604"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141</w:t>
            </w:r>
          </w:p>
        </w:tc>
        <w:tc>
          <w:tcPr>
            <w:tcW w:w="676"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30.3</w:t>
            </w:r>
          </w:p>
        </w:tc>
        <w:tc>
          <w:tcPr>
            <w:tcW w:w="600" w:type="dxa"/>
            <w:tcBorders>
              <w:top w:val="nil"/>
              <w:left w:val="nil"/>
              <w:bottom w:val="nil"/>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144</w:t>
            </w:r>
          </w:p>
        </w:tc>
        <w:tc>
          <w:tcPr>
            <w:tcW w:w="680" w:type="dxa"/>
            <w:tcBorders>
              <w:top w:val="nil"/>
              <w:left w:val="nil"/>
              <w:bottom w:val="nil"/>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31.0</w:t>
            </w:r>
          </w:p>
        </w:tc>
      </w:tr>
      <w:tr w:rsidR="006A57B2" w:rsidRPr="00ED041C" w:rsidTr="00B22173">
        <w:trPr>
          <w:trHeight w:val="300"/>
        </w:trPr>
        <w:tc>
          <w:tcPr>
            <w:tcW w:w="2850" w:type="dxa"/>
            <w:vMerge/>
            <w:tcBorders>
              <w:left w:val="single" w:sz="4" w:space="0" w:color="auto"/>
              <w:bottom w:val="nil"/>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Other</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w:t>
            </w:r>
          </w:p>
        </w:tc>
        <w:tc>
          <w:tcPr>
            <w:tcW w:w="676"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0.0</w:t>
            </w:r>
          </w:p>
        </w:tc>
        <w:tc>
          <w:tcPr>
            <w:tcW w:w="600"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0.2</w:t>
            </w:r>
          </w:p>
        </w:tc>
      </w:tr>
      <w:tr w:rsidR="006A57B2" w:rsidRPr="00ED041C" w:rsidTr="00B22173">
        <w:trPr>
          <w:trHeight w:val="300"/>
        </w:trPr>
        <w:tc>
          <w:tcPr>
            <w:tcW w:w="2850" w:type="dxa"/>
            <w:vMerge w:val="restart"/>
            <w:tcBorders>
              <w:top w:val="single" w:sz="4" w:space="0" w:color="auto"/>
              <w:left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Size of line</w:t>
            </w:r>
          </w:p>
        </w:tc>
        <w:tc>
          <w:tcPr>
            <w:tcW w:w="2268"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w:t>
            </w:r>
          </w:p>
        </w:tc>
        <w:tc>
          <w:tcPr>
            <w:tcW w:w="709" w:type="dxa"/>
            <w:tcBorders>
              <w:top w:val="single" w:sz="4" w:space="0" w:color="auto"/>
              <w:left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28</w:t>
            </w:r>
          </w:p>
        </w:tc>
        <w:tc>
          <w:tcPr>
            <w:tcW w:w="672"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5.8</w:t>
            </w:r>
          </w:p>
        </w:tc>
        <w:tc>
          <w:tcPr>
            <w:tcW w:w="604"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45</w:t>
            </w:r>
          </w:p>
        </w:tc>
        <w:tc>
          <w:tcPr>
            <w:tcW w:w="676"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9.7</w:t>
            </w:r>
          </w:p>
        </w:tc>
        <w:tc>
          <w:tcPr>
            <w:tcW w:w="600"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39</w:t>
            </w:r>
          </w:p>
        </w:tc>
        <w:tc>
          <w:tcPr>
            <w:tcW w:w="680"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8.4</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left w:val="nil"/>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w:t>
            </w:r>
          </w:p>
        </w:tc>
        <w:tc>
          <w:tcPr>
            <w:tcW w:w="709" w:type="dxa"/>
            <w:tcBorders>
              <w:left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421</w:t>
            </w:r>
          </w:p>
        </w:tc>
        <w:tc>
          <w:tcPr>
            <w:tcW w:w="672"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87.5</w:t>
            </w:r>
          </w:p>
        </w:tc>
        <w:tc>
          <w:tcPr>
            <w:tcW w:w="604"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384</w:t>
            </w:r>
          </w:p>
        </w:tc>
        <w:tc>
          <w:tcPr>
            <w:tcW w:w="676"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82.6</w:t>
            </w:r>
          </w:p>
        </w:tc>
        <w:tc>
          <w:tcPr>
            <w:tcW w:w="600"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391</w:t>
            </w:r>
          </w:p>
        </w:tc>
        <w:tc>
          <w:tcPr>
            <w:tcW w:w="680"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84.3</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left w:val="nil"/>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w:t>
            </w:r>
          </w:p>
        </w:tc>
        <w:tc>
          <w:tcPr>
            <w:tcW w:w="709" w:type="dxa"/>
            <w:tcBorders>
              <w:left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21</w:t>
            </w:r>
          </w:p>
        </w:tc>
        <w:tc>
          <w:tcPr>
            <w:tcW w:w="672"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4.4</w:t>
            </w:r>
          </w:p>
        </w:tc>
        <w:tc>
          <w:tcPr>
            <w:tcW w:w="604"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w:t>
            </w:r>
          </w:p>
        </w:tc>
        <w:tc>
          <w:tcPr>
            <w:tcW w:w="676"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5.0</w:t>
            </w:r>
          </w:p>
        </w:tc>
        <w:tc>
          <w:tcPr>
            <w:tcW w:w="600"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w:t>
            </w:r>
          </w:p>
        </w:tc>
        <w:tc>
          <w:tcPr>
            <w:tcW w:w="680"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3.9</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Missing</w:t>
            </w:r>
          </w:p>
        </w:tc>
        <w:tc>
          <w:tcPr>
            <w:tcW w:w="709" w:type="dxa"/>
            <w:tcBorders>
              <w:left w:val="single" w:sz="4" w:space="0" w:color="auto"/>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tc>
        <w:tc>
          <w:tcPr>
            <w:tcW w:w="672"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w:t>
            </w:r>
          </w:p>
        </w:tc>
        <w:tc>
          <w:tcPr>
            <w:tcW w:w="604"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13</w:t>
            </w:r>
          </w:p>
        </w:tc>
        <w:tc>
          <w:tcPr>
            <w:tcW w:w="676"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2.8</w:t>
            </w:r>
          </w:p>
        </w:tc>
        <w:tc>
          <w:tcPr>
            <w:tcW w:w="600"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w:t>
            </w:r>
          </w:p>
        </w:tc>
        <w:tc>
          <w:tcPr>
            <w:tcW w:w="680"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3.5</w:t>
            </w:r>
          </w:p>
        </w:tc>
      </w:tr>
      <w:tr w:rsidR="006A57B2" w:rsidRPr="00ED041C" w:rsidTr="00B22173">
        <w:trPr>
          <w:trHeight w:val="300"/>
        </w:trPr>
        <w:tc>
          <w:tcPr>
            <w:tcW w:w="2850" w:type="dxa"/>
            <w:tcBorders>
              <w:top w:val="single" w:sz="4" w:space="0" w:color="auto"/>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Triple lumen CVC</w:t>
            </w:r>
          </w:p>
        </w:tc>
        <w:tc>
          <w:tcPr>
            <w:tcW w:w="2268" w:type="dxa"/>
            <w:tcBorders>
              <w:top w:val="single" w:sz="4" w:space="0" w:color="auto"/>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450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93.6</w:t>
            </w:r>
          </w:p>
        </w:tc>
        <w:tc>
          <w:tcPr>
            <w:tcW w:w="604" w:type="dxa"/>
            <w:tcBorders>
              <w:top w:val="single" w:sz="4" w:space="0" w:color="auto"/>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421</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90.5</w:t>
            </w:r>
          </w:p>
        </w:tc>
        <w:tc>
          <w:tcPr>
            <w:tcW w:w="600" w:type="dxa"/>
            <w:tcBorders>
              <w:top w:val="single" w:sz="4" w:space="0" w:color="auto"/>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422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90.9</w:t>
            </w:r>
          </w:p>
        </w:tc>
      </w:tr>
      <w:tr w:rsidR="006A57B2" w:rsidRPr="00ED041C" w:rsidTr="00B22173">
        <w:trPr>
          <w:trHeight w:val="300"/>
        </w:trPr>
        <w:tc>
          <w:tcPr>
            <w:tcW w:w="2850"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CVC inserted into femoral vein</w:t>
            </w:r>
          </w:p>
        </w:tc>
        <w:tc>
          <w:tcPr>
            <w:tcW w:w="2268"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 </w:t>
            </w:r>
          </w:p>
        </w:tc>
        <w:tc>
          <w:tcPr>
            <w:tcW w:w="709" w:type="dxa"/>
            <w:tcBorders>
              <w:top w:val="nil"/>
              <w:left w:val="single" w:sz="4" w:space="0" w:color="auto"/>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253</w:t>
            </w:r>
          </w:p>
        </w:tc>
        <w:tc>
          <w:tcPr>
            <w:tcW w:w="672"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52.6</w:t>
            </w:r>
          </w:p>
        </w:tc>
        <w:tc>
          <w:tcPr>
            <w:tcW w:w="604"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217</w:t>
            </w:r>
          </w:p>
        </w:tc>
        <w:tc>
          <w:tcPr>
            <w:tcW w:w="676"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46.7</w:t>
            </w:r>
          </w:p>
        </w:tc>
        <w:tc>
          <w:tcPr>
            <w:tcW w:w="600" w:type="dxa"/>
            <w:tcBorders>
              <w:top w:val="nil"/>
              <w:left w:val="nil"/>
              <w:bottom w:val="single" w:sz="4" w:space="0" w:color="auto"/>
              <w:right w:val="nil"/>
            </w:tcBorders>
            <w:shd w:val="clear" w:color="auto" w:fill="auto"/>
            <w:noWrap/>
            <w:vAlign w:val="center"/>
            <w:hideMark/>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235</w:t>
            </w:r>
          </w:p>
        </w:tc>
        <w:tc>
          <w:tcPr>
            <w:tcW w:w="680" w:type="dxa"/>
            <w:tcBorders>
              <w:top w:val="nil"/>
              <w:left w:val="nil"/>
              <w:bottom w:val="single" w:sz="4" w:space="0" w:color="auto"/>
              <w:right w:val="single" w:sz="4" w:space="0" w:color="auto"/>
            </w:tcBorders>
            <w:shd w:val="clear" w:color="auto" w:fill="auto"/>
            <w:noWrap/>
            <w:vAlign w:val="center"/>
            <w:hideMark/>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50.6</w:t>
            </w:r>
          </w:p>
        </w:tc>
      </w:tr>
      <w:tr w:rsidR="006A57B2" w:rsidRPr="00ED041C" w:rsidTr="00B22173">
        <w:trPr>
          <w:trHeight w:val="300"/>
        </w:trPr>
        <w:tc>
          <w:tcPr>
            <w:tcW w:w="2850" w:type="dxa"/>
            <w:tcBorders>
              <w:top w:val="single" w:sz="4" w:space="0" w:color="auto"/>
              <w:left w:val="single" w:sz="4" w:space="0" w:color="auto"/>
              <w:bottom w:val="single" w:sz="4" w:space="0" w:color="auto"/>
              <w:right w:val="nil"/>
            </w:tcBorders>
            <w:shd w:val="clear" w:color="auto" w:fill="BDD6EE" w:themeFill="accent1" w:themeFillTint="66"/>
            <w:noWrap/>
            <w:vAlign w:val="center"/>
          </w:tcPr>
          <w:p w:rsidR="006A57B2" w:rsidRPr="007D2078" w:rsidRDefault="006A57B2" w:rsidP="00B22173">
            <w:pPr>
              <w:spacing w:after="0" w:line="240" w:lineRule="auto"/>
              <w:rPr>
                <w:rFonts w:ascii="Calibri" w:eastAsia="Times New Roman" w:hAnsi="Calibri" w:cs="Calibri"/>
                <w:b/>
                <w:color w:val="000000"/>
                <w:sz w:val="20"/>
                <w:szCs w:val="20"/>
                <w:lang w:eastAsia="en-GB"/>
              </w:rPr>
            </w:pPr>
            <w:r w:rsidRPr="007D2078">
              <w:rPr>
                <w:rFonts w:ascii="Calibri" w:eastAsia="Times New Roman" w:hAnsi="Calibri" w:cs="Calibri"/>
                <w:b/>
                <w:color w:val="000000"/>
                <w:sz w:val="20"/>
                <w:szCs w:val="20"/>
                <w:lang w:eastAsia="en-GB"/>
              </w:rPr>
              <w:t xml:space="preserve">48 hours post randomisation </w:t>
            </w:r>
          </w:p>
        </w:tc>
        <w:tc>
          <w:tcPr>
            <w:tcW w:w="2268" w:type="dxa"/>
            <w:tcBorders>
              <w:top w:val="single" w:sz="4" w:space="0" w:color="auto"/>
              <w:left w:val="nil"/>
              <w:bottom w:val="single" w:sz="4" w:space="0" w:color="auto"/>
              <w:right w:val="nil"/>
            </w:tcBorders>
            <w:shd w:val="clear" w:color="auto" w:fill="BDD6EE" w:themeFill="accent1" w:themeFillTint="66"/>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nil"/>
            </w:tcBorders>
            <w:shd w:val="clear" w:color="auto" w:fill="BDD6EE" w:themeFill="accent1" w:themeFillTint="66"/>
            <w:noWrap/>
            <w:vAlign w:val="center"/>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502</w:t>
            </w:r>
          </w:p>
        </w:tc>
        <w:tc>
          <w:tcPr>
            <w:tcW w:w="67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100.0</w:t>
            </w:r>
          </w:p>
        </w:tc>
        <w:tc>
          <w:tcPr>
            <w:tcW w:w="604" w:type="dxa"/>
            <w:tcBorders>
              <w:top w:val="single" w:sz="4" w:space="0" w:color="auto"/>
              <w:left w:val="nil"/>
              <w:bottom w:val="single" w:sz="4" w:space="0" w:color="auto"/>
              <w:right w:val="nil"/>
            </w:tcBorders>
            <w:shd w:val="clear" w:color="auto" w:fill="BDD6EE" w:themeFill="accent1" w:themeFillTint="66"/>
            <w:noWrap/>
            <w:vAlign w:val="center"/>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486</w:t>
            </w:r>
          </w:p>
        </w:tc>
        <w:tc>
          <w:tcPr>
            <w:tcW w:w="676"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100.0</w:t>
            </w:r>
          </w:p>
        </w:tc>
        <w:tc>
          <w:tcPr>
            <w:tcW w:w="600" w:type="dxa"/>
            <w:tcBorders>
              <w:top w:val="single" w:sz="4" w:space="0" w:color="auto"/>
              <w:left w:val="nil"/>
              <w:bottom w:val="single" w:sz="4" w:space="0" w:color="auto"/>
              <w:right w:val="nil"/>
            </w:tcBorders>
            <w:shd w:val="clear" w:color="auto" w:fill="BDD6EE" w:themeFill="accent1" w:themeFillTint="66"/>
            <w:noWrap/>
            <w:vAlign w:val="center"/>
          </w:tcPr>
          <w:p w:rsidR="006A57B2" w:rsidRPr="00ED041C" w:rsidRDefault="006A57B2" w:rsidP="00B22173">
            <w:pPr>
              <w:spacing w:after="0" w:line="240" w:lineRule="auto"/>
              <w:jc w:val="right"/>
              <w:rPr>
                <w:rFonts w:ascii="Calibri" w:eastAsia="Times New Roman" w:hAnsi="Calibri" w:cs="Calibri"/>
                <w:b/>
                <w:bCs/>
                <w:color w:val="000000"/>
                <w:sz w:val="20"/>
                <w:szCs w:val="20"/>
                <w:lang w:eastAsia="en-GB"/>
              </w:rPr>
            </w:pPr>
            <w:r w:rsidRPr="00ED041C">
              <w:rPr>
                <w:rFonts w:ascii="Calibri" w:eastAsia="Times New Roman" w:hAnsi="Calibri" w:cs="Calibri"/>
                <w:b/>
                <w:bCs/>
                <w:color w:val="000000"/>
                <w:sz w:val="20"/>
                <w:szCs w:val="20"/>
                <w:lang w:eastAsia="en-GB"/>
              </w:rPr>
              <w:t>497</w:t>
            </w:r>
          </w:p>
        </w:tc>
        <w:tc>
          <w:tcPr>
            <w:tcW w:w="68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sidRPr="00ED041C">
              <w:rPr>
                <w:rFonts w:ascii="Calibri" w:eastAsia="Times New Roman" w:hAnsi="Calibri" w:cs="Calibri"/>
                <w:color w:val="000000"/>
                <w:sz w:val="20"/>
                <w:szCs w:val="20"/>
                <w:lang w:eastAsia="en-GB"/>
              </w:rPr>
              <w:t>100.0</w:t>
            </w:r>
          </w:p>
        </w:tc>
      </w:tr>
      <w:tr w:rsidR="006A57B2" w:rsidRPr="00ED041C" w:rsidTr="00B22173">
        <w:trPr>
          <w:trHeight w:val="300"/>
        </w:trPr>
        <w:tc>
          <w:tcPr>
            <w:tcW w:w="2850" w:type="dxa"/>
            <w:vMerge w:val="restart"/>
            <w:tcBorders>
              <w:top w:val="single" w:sz="4" w:space="0" w:color="auto"/>
              <w:left w:val="single" w:sz="4" w:space="0" w:color="auto"/>
              <w:right w:val="nil"/>
            </w:tcBorders>
            <w:shd w:val="clear" w:color="auto" w:fill="auto"/>
            <w:noWrap/>
            <w:vAlign w:val="center"/>
          </w:tcPr>
          <w:p w:rsidR="006A57B2" w:rsidRPr="00ED041C" w:rsidRDefault="006A57B2" w:rsidP="00111DE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Number of devices in situ</w:t>
            </w:r>
          </w:p>
        </w:tc>
        <w:tc>
          <w:tcPr>
            <w:tcW w:w="2268"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&lt;4</w:t>
            </w:r>
          </w:p>
        </w:tc>
        <w:tc>
          <w:tcPr>
            <w:tcW w:w="709" w:type="dxa"/>
            <w:tcBorders>
              <w:top w:val="single" w:sz="4" w:space="0" w:color="auto"/>
              <w:left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160</w:t>
            </w:r>
          </w:p>
        </w:tc>
        <w:tc>
          <w:tcPr>
            <w:tcW w:w="672"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31.9</w:t>
            </w:r>
          </w:p>
        </w:tc>
        <w:tc>
          <w:tcPr>
            <w:tcW w:w="604"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169</w:t>
            </w:r>
          </w:p>
        </w:tc>
        <w:tc>
          <w:tcPr>
            <w:tcW w:w="676"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34.8</w:t>
            </w:r>
          </w:p>
        </w:tc>
        <w:tc>
          <w:tcPr>
            <w:tcW w:w="600"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185</w:t>
            </w:r>
          </w:p>
        </w:tc>
        <w:tc>
          <w:tcPr>
            <w:tcW w:w="680"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37.2</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left w:val="nil"/>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&gt;=4</w:t>
            </w:r>
          </w:p>
        </w:tc>
        <w:tc>
          <w:tcPr>
            <w:tcW w:w="709" w:type="dxa"/>
            <w:tcBorders>
              <w:left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340</w:t>
            </w:r>
          </w:p>
        </w:tc>
        <w:tc>
          <w:tcPr>
            <w:tcW w:w="672"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67.7</w:t>
            </w:r>
          </w:p>
        </w:tc>
        <w:tc>
          <w:tcPr>
            <w:tcW w:w="604"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311</w:t>
            </w:r>
          </w:p>
        </w:tc>
        <w:tc>
          <w:tcPr>
            <w:tcW w:w="676"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64.0</w:t>
            </w:r>
          </w:p>
        </w:tc>
        <w:tc>
          <w:tcPr>
            <w:tcW w:w="600"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311</w:t>
            </w:r>
          </w:p>
        </w:tc>
        <w:tc>
          <w:tcPr>
            <w:tcW w:w="680"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62.6</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Missing</w:t>
            </w:r>
          </w:p>
        </w:tc>
        <w:tc>
          <w:tcPr>
            <w:tcW w:w="709" w:type="dxa"/>
            <w:tcBorders>
              <w:left w:val="single" w:sz="4" w:space="0" w:color="auto"/>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c>
          <w:tcPr>
            <w:tcW w:w="672"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w:t>
            </w:r>
          </w:p>
        </w:tc>
        <w:tc>
          <w:tcPr>
            <w:tcW w:w="604"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6</w:t>
            </w:r>
          </w:p>
        </w:tc>
        <w:tc>
          <w:tcPr>
            <w:tcW w:w="676"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1.2</w:t>
            </w:r>
          </w:p>
        </w:tc>
        <w:tc>
          <w:tcPr>
            <w:tcW w:w="600"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c>
          <w:tcPr>
            <w:tcW w:w="680"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w:t>
            </w:r>
          </w:p>
        </w:tc>
      </w:tr>
      <w:tr w:rsidR="006A57B2" w:rsidRPr="00ED041C" w:rsidTr="00B22173">
        <w:trPr>
          <w:trHeight w:val="300"/>
        </w:trPr>
        <w:tc>
          <w:tcPr>
            <w:tcW w:w="2850" w:type="dxa"/>
            <w:vMerge w:val="restart"/>
            <w:tcBorders>
              <w:top w:val="single" w:sz="4" w:space="0" w:color="auto"/>
              <w:left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Presence of an intrabody cavity device</w:t>
            </w:r>
            <w:r w:rsidRPr="00FF11BF">
              <w:rPr>
                <w:rFonts w:ascii="Calibri" w:eastAsia="Times New Roman" w:hAnsi="Calibri" w:cs="Calibri"/>
                <w:color w:val="000000"/>
                <w:sz w:val="20"/>
                <w:szCs w:val="20"/>
                <w:lang w:eastAsia="en-GB"/>
              </w:rPr>
              <w:t>**</w:t>
            </w:r>
          </w:p>
        </w:tc>
        <w:tc>
          <w:tcPr>
            <w:tcW w:w="2268"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Yes</w:t>
            </w:r>
          </w:p>
        </w:tc>
        <w:tc>
          <w:tcPr>
            <w:tcW w:w="709" w:type="dxa"/>
            <w:tcBorders>
              <w:top w:val="single" w:sz="4" w:space="0" w:color="auto"/>
              <w:left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404</w:t>
            </w:r>
          </w:p>
        </w:tc>
        <w:tc>
          <w:tcPr>
            <w:tcW w:w="672"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80.5</w:t>
            </w:r>
          </w:p>
        </w:tc>
        <w:tc>
          <w:tcPr>
            <w:tcW w:w="604"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381</w:t>
            </w:r>
          </w:p>
        </w:tc>
        <w:tc>
          <w:tcPr>
            <w:tcW w:w="676"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78.4</w:t>
            </w:r>
          </w:p>
        </w:tc>
        <w:tc>
          <w:tcPr>
            <w:tcW w:w="600" w:type="dxa"/>
            <w:tcBorders>
              <w:top w:val="single" w:sz="4" w:space="0" w:color="auto"/>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380</w:t>
            </w:r>
          </w:p>
        </w:tc>
        <w:tc>
          <w:tcPr>
            <w:tcW w:w="680" w:type="dxa"/>
            <w:tcBorders>
              <w:top w:val="single" w:sz="4" w:space="0" w:color="auto"/>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76.5</w:t>
            </w:r>
          </w:p>
        </w:tc>
      </w:tr>
      <w:tr w:rsidR="006A57B2" w:rsidRPr="00ED041C" w:rsidTr="00B22173">
        <w:trPr>
          <w:trHeight w:val="300"/>
        </w:trPr>
        <w:tc>
          <w:tcPr>
            <w:tcW w:w="2850" w:type="dxa"/>
            <w:vMerge/>
            <w:tcBorders>
              <w:left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left w:val="nil"/>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w:t>
            </w:r>
          </w:p>
        </w:tc>
        <w:tc>
          <w:tcPr>
            <w:tcW w:w="709" w:type="dxa"/>
            <w:tcBorders>
              <w:left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96</w:t>
            </w:r>
          </w:p>
        </w:tc>
        <w:tc>
          <w:tcPr>
            <w:tcW w:w="672"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19.1</w:t>
            </w:r>
          </w:p>
        </w:tc>
        <w:tc>
          <w:tcPr>
            <w:tcW w:w="604"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100</w:t>
            </w:r>
          </w:p>
        </w:tc>
        <w:tc>
          <w:tcPr>
            <w:tcW w:w="676"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20.6</w:t>
            </w:r>
          </w:p>
        </w:tc>
        <w:tc>
          <w:tcPr>
            <w:tcW w:w="600" w:type="dxa"/>
            <w:tcBorders>
              <w:left w:val="nil"/>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116</w:t>
            </w:r>
          </w:p>
        </w:tc>
        <w:tc>
          <w:tcPr>
            <w:tcW w:w="680" w:type="dxa"/>
            <w:tcBorders>
              <w:left w:val="nil"/>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23.3</w:t>
            </w:r>
          </w:p>
        </w:tc>
      </w:tr>
      <w:tr w:rsidR="006A57B2" w:rsidRPr="00ED041C" w:rsidTr="00B22173">
        <w:trPr>
          <w:trHeight w:val="300"/>
        </w:trPr>
        <w:tc>
          <w:tcPr>
            <w:tcW w:w="2850" w:type="dxa"/>
            <w:vMerge/>
            <w:tcBorders>
              <w:left w:val="single" w:sz="4" w:space="0" w:color="auto"/>
              <w:bottom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p>
        </w:tc>
        <w:tc>
          <w:tcPr>
            <w:tcW w:w="2268"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Missing</w:t>
            </w:r>
          </w:p>
        </w:tc>
        <w:tc>
          <w:tcPr>
            <w:tcW w:w="709" w:type="dxa"/>
            <w:tcBorders>
              <w:left w:val="single" w:sz="4" w:space="0" w:color="auto"/>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c>
          <w:tcPr>
            <w:tcW w:w="672"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w:t>
            </w:r>
          </w:p>
        </w:tc>
        <w:tc>
          <w:tcPr>
            <w:tcW w:w="604"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5</w:t>
            </w:r>
          </w:p>
        </w:tc>
        <w:tc>
          <w:tcPr>
            <w:tcW w:w="676"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1.03</w:t>
            </w:r>
          </w:p>
        </w:tc>
        <w:tc>
          <w:tcPr>
            <w:tcW w:w="600" w:type="dxa"/>
            <w:tcBorders>
              <w:left w:val="nil"/>
              <w:bottom w:val="single" w:sz="4" w:space="0" w:color="auto"/>
              <w:right w:val="nil"/>
            </w:tcBorders>
            <w:shd w:val="clear" w:color="auto" w:fill="auto"/>
            <w:noWrap/>
            <w:vAlign w:val="center"/>
          </w:tcPr>
          <w:p w:rsidR="006A57B2" w:rsidRPr="00ED041C"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w:t>
            </w:r>
          </w:p>
        </w:tc>
        <w:tc>
          <w:tcPr>
            <w:tcW w:w="680" w:type="dxa"/>
            <w:tcBorders>
              <w:left w:val="nil"/>
              <w:bottom w:val="single" w:sz="4" w:space="0" w:color="auto"/>
              <w:right w:val="single" w:sz="4" w:space="0" w:color="auto"/>
            </w:tcBorders>
            <w:shd w:val="clear" w:color="auto" w:fill="auto"/>
            <w:noWrap/>
            <w:vAlign w:val="center"/>
          </w:tcPr>
          <w:p w:rsidR="006A57B2" w:rsidRPr="00ED041C"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w:t>
            </w:r>
          </w:p>
        </w:tc>
      </w:tr>
    </w:tbl>
    <w:p w:rsidR="006A57B2" w:rsidRPr="009949E9" w:rsidRDefault="006A57B2" w:rsidP="00FF11BF">
      <w:pPr>
        <w:spacing w:after="0" w:line="240" w:lineRule="auto"/>
        <w:rPr>
          <w:noProof/>
          <w:sz w:val="20"/>
          <w:szCs w:val="20"/>
          <w:lang w:eastAsia="en-GB"/>
        </w:rPr>
      </w:pPr>
      <w:r w:rsidRPr="009949E9">
        <w:rPr>
          <w:rFonts w:cstheme="minorHAnsi"/>
          <w:sz w:val="20"/>
          <w:szCs w:val="20"/>
        </w:rPr>
        <w:t>*</w:t>
      </w:r>
      <w:r w:rsidRPr="009949E9">
        <w:rPr>
          <w:noProof/>
          <w:sz w:val="20"/>
          <w:szCs w:val="20"/>
          <w:lang w:eastAsia="en-GB"/>
        </w:rPr>
        <w:t>CVCs were inserted by the retrieval team prior to transfer to PICU</w:t>
      </w:r>
    </w:p>
    <w:p w:rsidR="006A57B2" w:rsidRDefault="006A57B2">
      <w:pPr>
        <w:spacing w:after="0" w:line="240" w:lineRule="auto"/>
        <w:rPr>
          <w:b/>
          <w:sz w:val="20"/>
        </w:rPr>
      </w:pPr>
      <w:r>
        <w:rPr>
          <w:noProof/>
          <w:sz w:val="20"/>
          <w:szCs w:val="20"/>
          <w:lang w:eastAsia="en-GB"/>
        </w:rPr>
        <w:t xml:space="preserve">** </w:t>
      </w:r>
      <w:r w:rsidRPr="008026DF">
        <w:rPr>
          <w:rFonts w:cstheme="minorHAnsi"/>
          <w:sz w:val="20"/>
          <w:szCs w:val="20"/>
        </w:rPr>
        <w:t>ET tube, tracheotomy tube, intracranial pressure monitor, chest dra</w:t>
      </w:r>
      <w:r>
        <w:rPr>
          <w:rFonts w:cstheme="minorHAnsi"/>
          <w:sz w:val="20"/>
          <w:szCs w:val="20"/>
        </w:rPr>
        <w:t>in, peritoneal dialysis catheter</w:t>
      </w:r>
      <w:r>
        <w:rPr>
          <w:b/>
          <w:sz w:val="20"/>
        </w:rPr>
        <w:br w:type="page"/>
      </w:r>
    </w:p>
    <w:p w:rsidR="006A57B2" w:rsidRPr="00BE078C" w:rsidRDefault="006A57B2" w:rsidP="00FF0134">
      <w:pPr>
        <w:pStyle w:val="Caption"/>
        <w:rPr>
          <w:rFonts w:asciiTheme="majorHAnsi" w:hAnsiTheme="majorHAnsi"/>
          <w:color w:val="2E74B5" w:themeColor="accent1" w:themeShade="BF"/>
          <w:sz w:val="22"/>
          <w:szCs w:val="22"/>
        </w:rPr>
      </w:pPr>
      <w:bookmarkStart w:id="79" w:name="_Toc428178958"/>
      <w:r w:rsidRPr="00BE078C">
        <w:rPr>
          <w:sz w:val="22"/>
          <w:szCs w:val="22"/>
        </w:rPr>
        <w:t xml:space="preserve">Table </w:t>
      </w:r>
      <w:r>
        <w:rPr>
          <w:noProof/>
          <w:sz w:val="22"/>
          <w:szCs w:val="22"/>
        </w:rPr>
        <w:t>3</w:t>
      </w:r>
      <w:r w:rsidRPr="00BE078C">
        <w:rPr>
          <w:sz w:val="22"/>
          <w:szCs w:val="22"/>
        </w:rPr>
        <w:t>: Samples taken in primary outcome time window (n=number of participants by randomised CVC)</w:t>
      </w:r>
      <w:bookmarkEnd w:id="79"/>
      <w:r w:rsidRPr="00BE078C">
        <w:rPr>
          <w:rFonts w:asciiTheme="majorHAnsi" w:hAnsiTheme="majorHAnsi"/>
          <w:b w:val="0"/>
          <w:color w:val="2E74B5" w:themeColor="accent1" w:themeShade="BF"/>
          <w:sz w:val="22"/>
          <w:szCs w:val="22"/>
        </w:rPr>
        <w:t xml:space="preserve"> </w:t>
      </w:r>
    </w:p>
    <w:tbl>
      <w:tblPr>
        <w:tblW w:w="9371" w:type="dxa"/>
        <w:tblInd w:w="93" w:type="dxa"/>
        <w:tblLayout w:type="fixed"/>
        <w:tblLook w:val="04A0" w:firstRow="1" w:lastRow="0" w:firstColumn="1" w:lastColumn="0" w:noHBand="0" w:noVBand="1"/>
      </w:tblPr>
      <w:tblGrid>
        <w:gridCol w:w="2098"/>
        <w:gridCol w:w="1077"/>
        <w:gridCol w:w="1348"/>
        <w:gridCol w:w="709"/>
        <w:gridCol w:w="1417"/>
        <w:gridCol w:w="709"/>
        <w:gridCol w:w="1418"/>
        <w:gridCol w:w="595"/>
      </w:tblGrid>
      <w:tr w:rsidR="006A57B2" w:rsidRPr="006C1C06" w:rsidTr="00B22173">
        <w:trPr>
          <w:trHeight w:val="567"/>
        </w:trPr>
        <w:tc>
          <w:tcPr>
            <w:tcW w:w="2098" w:type="dxa"/>
            <w:tcBorders>
              <w:top w:val="nil"/>
              <w:left w:val="nil"/>
              <w:bottom w:val="nil"/>
              <w:right w:val="nil"/>
            </w:tcBorders>
            <w:shd w:val="clear" w:color="auto" w:fill="auto"/>
            <w:noWrap/>
            <w:vAlign w:val="bottom"/>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077" w:type="dxa"/>
            <w:tcBorders>
              <w:top w:val="nil"/>
              <w:left w:val="nil"/>
              <w:bottom w:val="nil"/>
              <w:right w:val="single" w:sz="4" w:space="0" w:color="auto"/>
            </w:tcBorders>
            <w:shd w:val="clear" w:color="auto" w:fill="auto"/>
            <w:noWrap/>
            <w:vAlign w:val="bottom"/>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2057" w:type="dxa"/>
            <w:gridSpan w:val="2"/>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6A57B2" w:rsidRPr="006C1C06" w:rsidRDefault="006A57B2" w:rsidP="00B22173">
            <w:pPr>
              <w:spacing w:after="0" w:line="240" w:lineRule="auto"/>
              <w:jc w:val="center"/>
              <w:rPr>
                <w:rFonts w:ascii="Calibri" w:eastAsia="Times New Roman" w:hAnsi="Calibri" w:cs="Calibri"/>
                <w:b/>
                <w:bCs/>
                <w:color w:val="000000"/>
                <w:sz w:val="20"/>
                <w:szCs w:val="20"/>
                <w:lang w:eastAsia="en-GB"/>
              </w:rPr>
            </w:pPr>
            <w:r w:rsidRPr="006C1C06">
              <w:rPr>
                <w:rFonts w:ascii="Calibri" w:eastAsia="Times New Roman" w:hAnsi="Calibri" w:cs="Calibri"/>
                <w:b/>
                <w:bCs/>
                <w:color w:val="000000"/>
                <w:sz w:val="20"/>
                <w:szCs w:val="20"/>
                <w:lang w:eastAsia="en-GB"/>
              </w:rPr>
              <w:t>Standard (n=502)</w:t>
            </w:r>
          </w:p>
        </w:tc>
        <w:tc>
          <w:tcPr>
            <w:tcW w:w="2126" w:type="dxa"/>
            <w:gridSpan w:val="2"/>
            <w:tcBorders>
              <w:top w:val="single" w:sz="4" w:space="0" w:color="auto"/>
              <w:left w:val="nil"/>
              <w:bottom w:val="single" w:sz="4" w:space="0" w:color="auto"/>
              <w:right w:val="nil"/>
            </w:tcBorders>
            <w:shd w:val="clear" w:color="auto" w:fill="BDD6EE" w:themeFill="accent1" w:themeFillTint="66"/>
            <w:noWrap/>
            <w:vAlign w:val="center"/>
            <w:hideMark/>
          </w:tcPr>
          <w:p w:rsidR="006A57B2" w:rsidRPr="006C1C06" w:rsidRDefault="006A57B2" w:rsidP="00B22173">
            <w:pPr>
              <w:spacing w:after="0" w:line="240" w:lineRule="auto"/>
              <w:jc w:val="center"/>
              <w:rPr>
                <w:rFonts w:ascii="Calibri" w:eastAsia="Times New Roman" w:hAnsi="Calibri" w:cs="Calibri"/>
                <w:b/>
                <w:bCs/>
                <w:color w:val="000000"/>
                <w:sz w:val="20"/>
                <w:szCs w:val="20"/>
                <w:lang w:eastAsia="en-GB"/>
              </w:rPr>
            </w:pPr>
            <w:r w:rsidRPr="006C1C06">
              <w:rPr>
                <w:rFonts w:ascii="Calibri" w:eastAsia="Times New Roman" w:hAnsi="Calibri" w:cs="Calibri"/>
                <w:b/>
                <w:bCs/>
                <w:color w:val="000000"/>
                <w:sz w:val="20"/>
                <w:szCs w:val="20"/>
                <w:lang w:eastAsia="en-GB"/>
              </w:rPr>
              <w:t>Antibiotic (n=486)</w:t>
            </w:r>
          </w:p>
        </w:tc>
        <w:tc>
          <w:tcPr>
            <w:tcW w:w="2013"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57B2" w:rsidRPr="006C1C06" w:rsidRDefault="006A57B2" w:rsidP="00B22173">
            <w:pPr>
              <w:spacing w:after="0" w:line="240" w:lineRule="auto"/>
              <w:jc w:val="center"/>
              <w:rPr>
                <w:rFonts w:ascii="Calibri" w:eastAsia="Times New Roman" w:hAnsi="Calibri" w:cs="Calibri"/>
                <w:b/>
                <w:bCs/>
                <w:color w:val="000000"/>
                <w:sz w:val="20"/>
                <w:szCs w:val="20"/>
                <w:lang w:eastAsia="en-GB"/>
              </w:rPr>
            </w:pPr>
            <w:r w:rsidRPr="006C1C06">
              <w:rPr>
                <w:rFonts w:ascii="Calibri" w:eastAsia="Times New Roman" w:hAnsi="Calibri" w:cs="Calibri"/>
                <w:b/>
                <w:bCs/>
                <w:color w:val="000000"/>
                <w:sz w:val="20"/>
                <w:szCs w:val="20"/>
                <w:lang w:eastAsia="en-GB"/>
              </w:rPr>
              <w:t>Heparin (n=497)</w:t>
            </w:r>
          </w:p>
        </w:tc>
      </w:tr>
      <w:tr w:rsidR="006A57B2" w:rsidRPr="006C1C06" w:rsidTr="00B22173">
        <w:trPr>
          <w:trHeight w:val="693"/>
        </w:trPr>
        <w:tc>
          <w:tcPr>
            <w:tcW w:w="2098" w:type="dxa"/>
            <w:tcBorders>
              <w:top w:val="nil"/>
              <w:left w:val="nil"/>
              <w:bottom w:val="single" w:sz="4" w:space="0" w:color="auto"/>
              <w:right w:val="nil"/>
            </w:tcBorders>
            <w:shd w:val="clear" w:color="auto" w:fill="auto"/>
            <w:noWrap/>
            <w:vAlign w:val="bottom"/>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348" w:type="dxa"/>
            <w:tcBorders>
              <w:top w:val="single" w:sz="4" w:space="0" w:color="auto"/>
              <w:left w:val="single" w:sz="4" w:space="0" w:color="auto"/>
              <w:bottom w:val="single" w:sz="4" w:space="0" w:color="auto"/>
              <w:right w:val="nil"/>
            </w:tcBorders>
            <w:shd w:val="clear" w:color="auto" w:fill="auto"/>
            <w:noWrap/>
            <w:vAlign w:val="center"/>
            <w:hideMark/>
          </w:tcPr>
          <w:p w:rsidR="006A57B2"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n randomised</w:t>
            </w:r>
          </w:p>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 samples</w:t>
            </w:r>
          </w:p>
        </w:tc>
        <w:tc>
          <w:tcPr>
            <w:tcW w:w="709" w:type="dxa"/>
            <w:tcBorders>
              <w:top w:val="single" w:sz="4" w:space="0" w:color="auto"/>
              <w:left w:val="nil"/>
              <w:bottom w:val="single" w:sz="4" w:space="0" w:color="auto"/>
              <w:right w:val="nil"/>
            </w:tcBorders>
            <w:shd w:val="clear" w:color="auto" w:fill="auto"/>
            <w:noWrap/>
            <w:vAlign w:val="center"/>
            <w:hideMark/>
          </w:tcPr>
          <w:p w:rsidR="006A57B2" w:rsidRDefault="006A57B2" w:rsidP="00B22173">
            <w:pPr>
              <w:spacing w:after="0" w:line="240" w:lineRule="auto"/>
              <w:jc w:val="center"/>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w:t>
            </w:r>
          </w:p>
          <w:p w:rsidR="006A57B2" w:rsidRPr="006C1C06" w:rsidRDefault="006A57B2" w:rsidP="00B22173">
            <w:pPr>
              <w:spacing w:after="0" w:line="240" w:lineRule="auto"/>
              <w:jc w:val="center"/>
              <w:rPr>
                <w:rFonts w:ascii="Calibri" w:eastAsia="Times New Roman" w:hAnsi="Calibri" w:cs="Calibri"/>
                <w:color w:val="000000"/>
                <w:sz w:val="20"/>
                <w:szCs w:val="20"/>
                <w:lang w:eastAsia="en-GB"/>
              </w:rPr>
            </w:pPr>
          </w:p>
        </w:tc>
        <w:tc>
          <w:tcPr>
            <w:tcW w:w="1417" w:type="dxa"/>
            <w:tcBorders>
              <w:top w:val="single" w:sz="4" w:space="0" w:color="auto"/>
              <w:left w:val="nil"/>
              <w:bottom w:val="single" w:sz="4" w:space="0" w:color="auto"/>
              <w:right w:val="nil"/>
            </w:tcBorders>
            <w:shd w:val="clear" w:color="auto" w:fill="auto"/>
            <w:noWrap/>
            <w:vAlign w:val="center"/>
            <w:hideMark/>
          </w:tcPr>
          <w:p w:rsidR="006A57B2"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n randomised</w:t>
            </w:r>
          </w:p>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 samples</w:t>
            </w:r>
          </w:p>
        </w:tc>
        <w:tc>
          <w:tcPr>
            <w:tcW w:w="709" w:type="dxa"/>
            <w:tcBorders>
              <w:top w:val="single" w:sz="4" w:space="0" w:color="auto"/>
              <w:left w:val="nil"/>
              <w:bottom w:val="single" w:sz="4" w:space="0" w:color="auto"/>
              <w:right w:val="nil"/>
            </w:tcBorders>
            <w:shd w:val="clear" w:color="auto" w:fill="auto"/>
            <w:noWrap/>
            <w:vAlign w:val="center"/>
            <w:hideMark/>
          </w:tcPr>
          <w:p w:rsidR="006A57B2" w:rsidRDefault="006A57B2" w:rsidP="00B22173">
            <w:pPr>
              <w:spacing w:after="0" w:line="240" w:lineRule="auto"/>
              <w:jc w:val="center"/>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w:t>
            </w:r>
          </w:p>
          <w:p w:rsidR="006A57B2" w:rsidRPr="006C1C06" w:rsidRDefault="006A57B2" w:rsidP="00B22173">
            <w:pPr>
              <w:spacing w:after="0" w:line="240" w:lineRule="auto"/>
              <w:jc w:val="center"/>
              <w:rPr>
                <w:rFonts w:ascii="Calibri" w:eastAsia="Times New Roman" w:hAnsi="Calibri" w:cs="Calibri"/>
                <w:color w:val="000000"/>
                <w:sz w:val="20"/>
                <w:szCs w:val="20"/>
                <w:lang w:eastAsia="en-GB"/>
              </w:rPr>
            </w:pPr>
          </w:p>
        </w:tc>
        <w:tc>
          <w:tcPr>
            <w:tcW w:w="1418" w:type="dxa"/>
            <w:tcBorders>
              <w:top w:val="single" w:sz="4" w:space="0" w:color="auto"/>
              <w:left w:val="nil"/>
              <w:bottom w:val="single" w:sz="4" w:space="0" w:color="auto"/>
              <w:right w:val="nil"/>
            </w:tcBorders>
            <w:shd w:val="clear" w:color="auto" w:fill="auto"/>
            <w:noWrap/>
            <w:vAlign w:val="center"/>
            <w:hideMark/>
          </w:tcPr>
          <w:p w:rsidR="006A57B2"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n randomised</w:t>
            </w:r>
          </w:p>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 samples</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6A57B2" w:rsidRDefault="006A57B2" w:rsidP="00B22173">
            <w:pPr>
              <w:spacing w:after="0" w:line="240" w:lineRule="auto"/>
              <w:jc w:val="center"/>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w:t>
            </w:r>
          </w:p>
          <w:p w:rsidR="006A57B2" w:rsidRPr="006C1C06" w:rsidRDefault="006A57B2" w:rsidP="00B22173">
            <w:pPr>
              <w:spacing w:after="0" w:line="240" w:lineRule="auto"/>
              <w:jc w:val="center"/>
              <w:rPr>
                <w:rFonts w:ascii="Calibri" w:eastAsia="Times New Roman" w:hAnsi="Calibri" w:cs="Calibri"/>
                <w:color w:val="000000"/>
                <w:sz w:val="20"/>
                <w:szCs w:val="20"/>
                <w:lang w:eastAsia="en-GB"/>
              </w:rPr>
            </w:pPr>
          </w:p>
        </w:tc>
      </w:tr>
      <w:tr w:rsidR="006A57B2" w:rsidRPr="006C1C06" w:rsidTr="00B22173">
        <w:trPr>
          <w:trHeight w:val="300"/>
        </w:trPr>
        <w:tc>
          <w:tcPr>
            <w:tcW w:w="3175"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E1142C">
              <w:rPr>
                <w:rFonts w:ascii="Calibri" w:eastAsia="Times New Roman" w:hAnsi="Calibri" w:cs="Calibri"/>
                <w:b/>
                <w:color w:val="000000"/>
                <w:sz w:val="20"/>
                <w:szCs w:val="20"/>
                <w:lang w:eastAsia="en-GB"/>
              </w:rPr>
              <w:t>Samples clinically indicated and in the primary outcome time window</w:t>
            </w:r>
          </w:p>
        </w:tc>
        <w:tc>
          <w:tcPr>
            <w:tcW w:w="1348" w:type="dxa"/>
            <w:tcBorders>
              <w:top w:val="single" w:sz="4" w:space="0" w:color="auto"/>
              <w:left w:val="single" w:sz="4" w:space="0" w:color="auto"/>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213</w:t>
            </w:r>
          </w:p>
        </w:tc>
        <w:tc>
          <w:tcPr>
            <w:tcW w:w="709"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42.4</w:t>
            </w:r>
          </w:p>
        </w:tc>
        <w:tc>
          <w:tcPr>
            <w:tcW w:w="1417"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190</w:t>
            </w:r>
          </w:p>
        </w:tc>
        <w:tc>
          <w:tcPr>
            <w:tcW w:w="709"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39.1</w:t>
            </w:r>
          </w:p>
        </w:tc>
        <w:tc>
          <w:tcPr>
            <w:tcW w:w="1418"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190</w:t>
            </w:r>
          </w:p>
        </w:tc>
        <w:tc>
          <w:tcPr>
            <w:tcW w:w="595" w:type="dxa"/>
            <w:tcBorders>
              <w:top w:val="single" w:sz="4" w:space="0" w:color="auto"/>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38.2</w:t>
            </w:r>
          </w:p>
        </w:tc>
      </w:tr>
      <w:tr w:rsidR="006A57B2" w:rsidRPr="006C1C06" w:rsidTr="00B22173">
        <w:trPr>
          <w:trHeight w:val="300"/>
        </w:trPr>
        <w:tc>
          <w:tcPr>
            <w:tcW w:w="3175" w:type="dxa"/>
            <w:gridSpan w:val="2"/>
            <w:vMerge/>
            <w:tcBorders>
              <w:left w:val="single" w:sz="4" w:space="0" w:color="auto"/>
              <w:bottom w:val="single" w:sz="4" w:space="0" w:color="auto"/>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348" w:type="dxa"/>
            <w:tcBorders>
              <w:top w:val="nil"/>
              <w:left w:val="single" w:sz="4" w:space="0" w:color="auto"/>
              <w:bottom w:val="single" w:sz="4" w:space="0" w:color="auto"/>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328</w:t>
            </w:r>
          </w:p>
        </w:tc>
        <w:tc>
          <w:tcPr>
            <w:tcW w:w="709"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417"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269</w:t>
            </w:r>
          </w:p>
        </w:tc>
        <w:tc>
          <w:tcPr>
            <w:tcW w:w="709"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326</w:t>
            </w:r>
          </w:p>
        </w:tc>
        <w:tc>
          <w:tcPr>
            <w:tcW w:w="595" w:type="dxa"/>
            <w:tcBorders>
              <w:top w:val="nil"/>
              <w:left w:val="nil"/>
              <w:bottom w:val="single" w:sz="4" w:space="0" w:color="auto"/>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r>
      <w:tr w:rsidR="006A57B2" w:rsidRPr="006C1C06" w:rsidTr="00B22173">
        <w:trPr>
          <w:trHeight w:val="300"/>
        </w:trPr>
        <w:tc>
          <w:tcPr>
            <w:tcW w:w="2098" w:type="dxa"/>
            <w:vMerge w:val="restart"/>
            <w:tcBorders>
              <w:top w:val="single" w:sz="4" w:space="0" w:color="auto"/>
              <w:left w:val="single" w:sz="4" w:space="0" w:color="auto"/>
              <w:right w:val="nil"/>
            </w:tcBorders>
            <w:shd w:val="clear" w:color="auto" w:fill="auto"/>
            <w:noWrap/>
            <w:vAlign w:val="center"/>
            <w:hideMark/>
          </w:tcPr>
          <w:p w:rsidR="006A57B2" w:rsidRPr="00E1142C" w:rsidRDefault="006A57B2" w:rsidP="00B22173">
            <w:pPr>
              <w:spacing w:after="0" w:line="240" w:lineRule="auto"/>
              <w:rPr>
                <w:rFonts w:ascii="Calibri" w:eastAsia="Times New Roman" w:hAnsi="Calibri" w:cs="Calibri"/>
                <w:b/>
                <w:color w:val="000000"/>
                <w:sz w:val="20"/>
                <w:szCs w:val="20"/>
                <w:lang w:eastAsia="en-GB"/>
              </w:rPr>
            </w:pPr>
            <w:r w:rsidRPr="00E1142C">
              <w:rPr>
                <w:rFonts w:ascii="Calibri" w:eastAsia="Times New Roman" w:hAnsi="Calibri" w:cs="Calibri"/>
                <w:b/>
                <w:color w:val="000000"/>
                <w:sz w:val="20"/>
                <w:szCs w:val="20"/>
                <w:lang w:eastAsia="en-GB"/>
              </w:rPr>
              <w:t>Type of sample</w:t>
            </w:r>
          </w:p>
        </w:tc>
        <w:tc>
          <w:tcPr>
            <w:tcW w:w="1077" w:type="dxa"/>
            <w:vMerge w:val="restart"/>
            <w:tcBorders>
              <w:top w:val="single" w:sz="4" w:space="0" w:color="auto"/>
              <w:left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Arterial</w:t>
            </w:r>
          </w:p>
        </w:tc>
        <w:tc>
          <w:tcPr>
            <w:tcW w:w="1348" w:type="dxa"/>
            <w:tcBorders>
              <w:top w:val="single" w:sz="4" w:space="0" w:color="auto"/>
              <w:left w:val="single" w:sz="4" w:space="0" w:color="auto"/>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49</w:t>
            </w:r>
          </w:p>
        </w:tc>
        <w:tc>
          <w:tcPr>
            <w:tcW w:w="709"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9</w:t>
            </w:r>
            <w:r w:rsidRPr="006C1C06">
              <w:rPr>
                <w:rFonts w:ascii="Calibri" w:eastAsia="Times New Roman" w:hAnsi="Calibri" w:cs="Calibri"/>
                <w:color w:val="000000"/>
                <w:sz w:val="20"/>
                <w:szCs w:val="20"/>
                <w:lang w:eastAsia="en-GB"/>
              </w:rPr>
              <w:t>.8</w:t>
            </w:r>
          </w:p>
        </w:tc>
        <w:tc>
          <w:tcPr>
            <w:tcW w:w="1417"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39</w:t>
            </w:r>
          </w:p>
        </w:tc>
        <w:tc>
          <w:tcPr>
            <w:tcW w:w="709"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6C1C06">
              <w:rPr>
                <w:rFonts w:ascii="Calibri" w:eastAsia="Times New Roman" w:hAnsi="Calibri" w:cs="Calibri"/>
                <w:color w:val="000000"/>
                <w:sz w:val="20"/>
                <w:szCs w:val="20"/>
                <w:lang w:eastAsia="en-GB"/>
              </w:rPr>
              <w:t>8.0</w:t>
            </w:r>
          </w:p>
        </w:tc>
        <w:tc>
          <w:tcPr>
            <w:tcW w:w="1418" w:type="dxa"/>
            <w:tcBorders>
              <w:top w:val="single" w:sz="4" w:space="0" w:color="auto"/>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41</w:t>
            </w:r>
          </w:p>
        </w:tc>
        <w:tc>
          <w:tcPr>
            <w:tcW w:w="595" w:type="dxa"/>
            <w:tcBorders>
              <w:top w:val="single" w:sz="4" w:space="0" w:color="auto"/>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6C1C06">
              <w:rPr>
                <w:rFonts w:ascii="Calibri" w:eastAsia="Times New Roman" w:hAnsi="Calibri" w:cs="Calibri"/>
                <w:color w:val="000000"/>
                <w:sz w:val="20"/>
                <w:szCs w:val="20"/>
                <w:lang w:eastAsia="en-GB"/>
              </w:rPr>
              <w:t>8.2</w:t>
            </w:r>
          </w:p>
        </w:tc>
      </w:tr>
      <w:tr w:rsidR="006A57B2" w:rsidRPr="006C1C06" w:rsidTr="00B22173">
        <w:trPr>
          <w:trHeight w:val="300"/>
        </w:trPr>
        <w:tc>
          <w:tcPr>
            <w:tcW w:w="2098" w:type="dxa"/>
            <w:vMerge/>
            <w:tcBorders>
              <w:left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077" w:type="dxa"/>
            <w:vMerge/>
            <w:tcBorders>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348" w:type="dxa"/>
            <w:tcBorders>
              <w:top w:val="nil"/>
              <w:left w:val="single" w:sz="4" w:space="0" w:color="auto"/>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55</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417"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44</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55</w:t>
            </w:r>
          </w:p>
        </w:tc>
        <w:tc>
          <w:tcPr>
            <w:tcW w:w="595" w:type="dxa"/>
            <w:tcBorders>
              <w:top w:val="nil"/>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r>
      <w:tr w:rsidR="006A57B2" w:rsidRPr="006C1C06" w:rsidTr="00B22173">
        <w:trPr>
          <w:trHeight w:val="300"/>
        </w:trPr>
        <w:tc>
          <w:tcPr>
            <w:tcW w:w="2098" w:type="dxa"/>
            <w:vMerge/>
            <w:tcBorders>
              <w:left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077" w:type="dxa"/>
            <w:vMerge w:val="restart"/>
            <w:tcBorders>
              <w:top w:val="nil"/>
              <w:left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 xml:space="preserve">Peripheral </w:t>
            </w:r>
          </w:p>
        </w:tc>
        <w:tc>
          <w:tcPr>
            <w:tcW w:w="1348" w:type="dxa"/>
            <w:tcBorders>
              <w:top w:val="nil"/>
              <w:left w:val="single" w:sz="4" w:space="0" w:color="auto"/>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19</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6C1C06">
              <w:rPr>
                <w:rFonts w:ascii="Calibri" w:eastAsia="Times New Roman" w:hAnsi="Calibri" w:cs="Calibri"/>
                <w:color w:val="000000"/>
                <w:sz w:val="20"/>
                <w:szCs w:val="20"/>
                <w:lang w:eastAsia="en-GB"/>
              </w:rPr>
              <w:t>3.8</w:t>
            </w:r>
          </w:p>
        </w:tc>
        <w:tc>
          <w:tcPr>
            <w:tcW w:w="1417"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32</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6C1C06">
              <w:rPr>
                <w:rFonts w:ascii="Calibri" w:eastAsia="Times New Roman" w:hAnsi="Calibri" w:cs="Calibri"/>
                <w:color w:val="000000"/>
                <w:sz w:val="20"/>
                <w:szCs w:val="20"/>
                <w:lang w:eastAsia="en-GB"/>
              </w:rPr>
              <w:t>6.6</w:t>
            </w:r>
          </w:p>
        </w:tc>
        <w:tc>
          <w:tcPr>
            <w:tcW w:w="1418"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35</w:t>
            </w:r>
          </w:p>
        </w:tc>
        <w:tc>
          <w:tcPr>
            <w:tcW w:w="595" w:type="dxa"/>
            <w:tcBorders>
              <w:top w:val="nil"/>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6C1C06">
              <w:rPr>
                <w:rFonts w:ascii="Calibri" w:eastAsia="Times New Roman" w:hAnsi="Calibri" w:cs="Calibri"/>
                <w:color w:val="000000"/>
                <w:sz w:val="20"/>
                <w:szCs w:val="20"/>
                <w:lang w:eastAsia="en-GB"/>
              </w:rPr>
              <w:t>7.0</w:t>
            </w:r>
          </w:p>
        </w:tc>
      </w:tr>
      <w:tr w:rsidR="006A57B2" w:rsidRPr="006C1C06" w:rsidTr="00B22173">
        <w:trPr>
          <w:trHeight w:val="300"/>
        </w:trPr>
        <w:tc>
          <w:tcPr>
            <w:tcW w:w="2098" w:type="dxa"/>
            <w:vMerge/>
            <w:tcBorders>
              <w:left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077" w:type="dxa"/>
            <w:vMerge/>
            <w:tcBorders>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348" w:type="dxa"/>
            <w:tcBorders>
              <w:top w:val="nil"/>
              <w:left w:val="single" w:sz="4" w:space="0" w:color="auto"/>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22</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417"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33</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418"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39</w:t>
            </w:r>
          </w:p>
        </w:tc>
        <w:tc>
          <w:tcPr>
            <w:tcW w:w="595" w:type="dxa"/>
            <w:tcBorders>
              <w:top w:val="nil"/>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r>
      <w:tr w:rsidR="006A57B2" w:rsidRPr="006C1C06" w:rsidTr="00B22173">
        <w:trPr>
          <w:trHeight w:val="300"/>
        </w:trPr>
        <w:tc>
          <w:tcPr>
            <w:tcW w:w="2098" w:type="dxa"/>
            <w:vMerge/>
            <w:tcBorders>
              <w:left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p>
        </w:tc>
        <w:tc>
          <w:tcPr>
            <w:tcW w:w="1077" w:type="dxa"/>
            <w:vMerge w:val="restart"/>
            <w:tcBorders>
              <w:top w:val="nil"/>
              <w:left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CVC</w:t>
            </w:r>
          </w:p>
        </w:tc>
        <w:tc>
          <w:tcPr>
            <w:tcW w:w="1348" w:type="dxa"/>
            <w:tcBorders>
              <w:top w:val="nil"/>
              <w:left w:val="single" w:sz="4" w:space="0" w:color="auto"/>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161</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32.1</w:t>
            </w:r>
          </w:p>
        </w:tc>
        <w:tc>
          <w:tcPr>
            <w:tcW w:w="1417"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129</w:t>
            </w:r>
          </w:p>
        </w:tc>
        <w:tc>
          <w:tcPr>
            <w:tcW w:w="709"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26.5</w:t>
            </w:r>
          </w:p>
        </w:tc>
        <w:tc>
          <w:tcPr>
            <w:tcW w:w="1418" w:type="dxa"/>
            <w:tcBorders>
              <w:top w:val="nil"/>
              <w:left w:val="nil"/>
              <w:bottom w:val="nil"/>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136</w:t>
            </w:r>
          </w:p>
        </w:tc>
        <w:tc>
          <w:tcPr>
            <w:tcW w:w="595" w:type="dxa"/>
            <w:tcBorders>
              <w:top w:val="nil"/>
              <w:left w:val="nil"/>
              <w:bottom w:val="nil"/>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27.4</w:t>
            </w:r>
          </w:p>
        </w:tc>
      </w:tr>
      <w:tr w:rsidR="006A57B2" w:rsidRPr="006C1C06" w:rsidTr="00B22173">
        <w:trPr>
          <w:trHeight w:val="300"/>
        </w:trPr>
        <w:tc>
          <w:tcPr>
            <w:tcW w:w="2098" w:type="dxa"/>
            <w:vMerge/>
            <w:tcBorders>
              <w:left w:val="single" w:sz="4" w:space="0" w:color="auto"/>
              <w:bottom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lang w:eastAsia="en-GB"/>
              </w:rPr>
            </w:pPr>
          </w:p>
        </w:tc>
        <w:tc>
          <w:tcPr>
            <w:tcW w:w="1077" w:type="dxa"/>
            <w:vMerge/>
            <w:tcBorders>
              <w:left w:val="nil"/>
              <w:bottom w:val="single" w:sz="4" w:space="0" w:color="auto"/>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lang w:eastAsia="en-GB"/>
              </w:rPr>
            </w:pPr>
          </w:p>
        </w:tc>
        <w:tc>
          <w:tcPr>
            <w:tcW w:w="1348" w:type="dxa"/>
            <w:tcBorders>
              <w:top w:val="nil"/>
              <w:left w:val="single" w:sz="4" w:space="0" w:color="auto"/>
              <w:bottom w:val="single" w:sz="4" w:space="0" w:color="auto"/>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226</w:t>
            </w:r>
          </w:p>
        </w:tc>
        <w:tc>
          <w:tcPr>
            <w:tcW w:w="709"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lang w:eastAsia="en-GB"/>
              </w:rPr>
            </w:pPr>
          </w:p>
        </w:tc>
        <w:tc>
          <w:tcPr>
            <w:tcW w:w="1417"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167</w:t>
            </w:r>
          </w:p>
        </w:tc>
        <w:tc>
          <w:tcPr>
            <w:tcW w:w="709"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lang w:eastAsia="en-GB"/>
              </w:rPr>
            </w:pPr>
          </w:p>
        </w:tc>
        <w:tc>
          <w:tcPr>
            <w:tcW w:w="1418" w:type="dxa"/>
            <w:tcBorders>
              <w:top w:val="nil"/>
              <w:left w:val="nil"/>
              <w:bottom w:val="single" w:sz="4" w:space="0" w:color="auto"/>
              <w:right w:val="nil"/>
            </w:tcBorders>
            <w:shd w:val="clear" w:color="auto" w:fill="auto"/>
            <w:noWrap/>
            <w:vAlign w:val="center"/>
            <w:hideMark/>
          </w:tcPr>
          <w:p w:rsidR="006A57B2" w:rsidRPr="006C1C06" w:rsidRDefault="006A57B2" w:rsidP="00B22173">
            <w:pPr>
              <w:spacing w:after="0" w:line="240" w:lineRule="auto"/>
              <w:jc w:val="right"/>
              <w:rPr>
                <w:rFonts w:ascii="Calibri" w:eastAsia="Times New Roman" w:hAnsi="Calibri" w:cs="Calibri"/>
                <w:color w:val="000000"/>
                <w:sz w:val="20"/>
                <w:szCs w:val="20"/>
                <w:lang w:eastAsia="en-GB"/>
              </w:rPr>
            </w:pPr>
            <w:r w:rsidRPr="006C1C06">
              <w:rPr>
                <w:rFonts w:ascii="Calibri" w:eastAsia="Times New Roman" w:hAnsi="Calibri" w:cs="Calibri"/>
                <w:color w:val="000000"/>
                <w:sz w:val="20"/>
                <w:szCs w:val="20"/>
                <w:lang w:eastAsia="en-GB"/>
              </w:rPr>
              <w:t>208</w:t>
            </w:r>
          </w:p>
        </w:tc>
        <w:tc>
          <w:tcPr>
            <w:tcW w:w="595" w:type="dxa"/>
            <w:tcBorders>
              <w:top w:val="nil"/>
              <w:left w:val="nil"/>
              <w:bottom w:val="single" w:sz="4" w:space="0" w:color="auto"/>
              <w:right w:val="single" w:sz="4" w:space="0" w:color="auto"/>
            </w:tcBorders>
            <w:shd w:val="clear" w:color="auto" w:fill="auto"/>
            <w:noWrap/>
            <w:vAlign w:val="center"/>
            <w:hideMark/>
          </w:tcPr>
          <w:p w:rsidR="006A57B2" w:rsidRPr="006C1C06" w:rsidRDefault="006A57B2" w:rsidP="00B22173">
            <w:pPr>
              <w:spacing w:after="0" w:line="240" w:lineRule="auto"/>
              <w:rPr>
                <w:rFonts w:ascii="Calibri" w:eastAsia="Times New Roman" w:hAnsi="Calibri" w:cs="Calibri"/>
                <w:color w:val="000000"/>
                <w:lang w:eastAsia="en-GB"/>
              </w:rPr>
            </w:pPr>
          </w:p>
        </w:tc>
      </w:tr>
    </w:tbl>
    <w:p w:rsidR="006A57B2" w:rsidRDefault="006A57B2" w:rsidP="00B22173">
      <w:pPr>
        <w:sectPr w:rsidR="006A57B2" w:rsidSect="00B22173">
          <w:pgSz w:w="11906" w:h="16838"/>
          <w:pgMar w:top="1440" w:right="1440" w:bottom="1440" w:left="1440" w:header="708" w:footer="708" w:gutter="0"/>
          <w:cols w:space="708"/>
          <w:docGrid w:linePitch="360"/>
        </w:sectPr>
      </w:pPr>
    </w:p>
    <w:p w:rsidR="006A57B2" w:rsidRPr="00BE078C" w:rsidRDefault="006A57B2" w:rsidP="00FF0134">
      <w:pPr>
        <w:pStyle w:val="Caption"/>
        <w:rPr>
          <w:rFonts w:asciiTheme="majorHAnsi" w:hAnsiTheme="majorHAnsi"/>
          <w:color w:val="2E74B5" w:themeColor="accent1" w:themeShade="BF"/>
          <w:sz w:val="22"/>
          <w:szCs w:val="22"/>
        </w:rPr>
      </w:pPr>
      <w:bookmarkStart w:id="80" w:name="_Toc428178959"/>
      <w:r w:rsidRPr="00BE078C">
        <w:rPr>
          <w:sz w:val="22"/>
          <w:szCs w:val="22"/>
        </w:rPr>
        <w:t xml:space="preserve">Table </w:t>
      </w:r>
      <w:r>
        <w:rPr>
          <w:noProof/>
          <w:sz w:val="22"/>
          <w:szCs w:val="22"/>
        </w:rPr>
        <w:t>4</w:t>
      </w:r>
      <w:r w:rsidRPr="00BE078C">
        <w:rPr>
          <w:sz w:val="22"/>
          <w:szCs w:val="22"/>
        </w:rPr>
        <w:t>: Primary outcome (absolute measures) and type of organism isolated, according to CVC allocation (values are n by randomised CVC (%) unless otherwise stated)</w:t>
      </w:r>
      <w:r w:rsidRPr="00BE078C">
        <w:rPr>
          <w:rFonts w:asciiTheme="majorHAnsi" w:hAnsiTheme="majorHAnsi"/>
          <w:color w:val="2E74B5" w:themeColor="accent1" w:themeShade="BF"/>
          <w:sz w:val="22"/>
          <w:szCs w:val="22"/>
        </w:rPr>
        <w:t>)</w:t>
      </w:r>
      <w:bookmarkEnd w:id="80"/>
    </w:p>
    <w:tbl>
      <w:tblPr>
        <w:tblW w:w="10899" w:type="dxa"/>
        <w:tblInd w:w="93" w:type="dxa"/>
        <w:tblLook w:val="04A0" w:firstRow="1" w:lastRow="0" w:firstColumn="1" w:lastColumn="0" w:noHBand="0" w:noVBand="1"/>
      </w:tblPr>
      <w:tblGrid>
        <w:gridCol w:w="1858"/>
        <w:gridCol w:w="1559"/>
        <w:gridCol w:w="1247"/>
        <w:gridCol w:w="1247"/>
        <w:gridCol w:w="1247"/>
        <w:gridCol w:w="1247"/>
        <w:gridCol w:w="1247"/>
        <w:gridCol w:w="1247"/>
      </w:tblGrid>
      <w:tr w:rsidR="006A57B2" w:rsidRPr="004D5AE8" w:rsidTr="00B22173">
        <w:trPr>
          <w:trHeight w:val="454"/>
        </w:trPr>
        <w:tc>
          <w:tcPr>
            <w:tcW w:w="1858" w:type="dxa"/>
            <w:tcBorders>
              <w:bottom w:val="nil"/>
              <w:right w:val="nil"/>
            </w:tcBorders>
            <w:shd w:val="clear" w:color="auto" w:fill="auto"/>
            <w:noWrap/>
            <w:vAlign w:val="center"/>
          </w:tcPr>
          <w:p w:rsidR="006A57B2" w:rsidRPr="004D5AE8" w:rsidRDefault="006A57B2" w:rsidP="00B22173">
            <w:pPr>
              <w:spacing w:after="0" w:line="240" w:lineRule="auto"/>
              <w:rPr>
                <w:rFonts w:ascii="Calibri" w:eastAsia="Times New Roman" w:hAnsi="Calibri" w:cs="Calibri"/>
                <w:b/>
                <w:bCs/>
                <w:sz w:val="20"/>
                <w:szCs w:val="20"/>
                <w:lang w:eastAsia="en-GB"/>
              </w:rPr>
            </w:pPr>
          </w:p>
        </w:tc>
        <w:tc>
          <w:tcPr>
            <w:tcW w:w="1559" w:type="dxa"/>
            <w:tcBorders>
              <w:left w:val="nil"/>
              <w:bottom w:val="nil"/>
              <w:right w:val="nil"/>
            </w:tcBorders>
            <w:shd w:val="clear" w:color="auto" w:fill="auto"/>
            <w:noWrap/>
            <w:vAlign w:val="bottom"/>
          </w:tcPr>
          <w:p w:rsidR="006A57B2" w:rsidRPr="004D5AE8" w:rsidRDefault="006A57B2" w:rsidP="00B22173">
            <w:pPr>
              <w:spacing w:after="0" w:line="240" w:lineRule="auto"/>
              <w:rPr>
                <w:rFonts w:ascii="Calibri" w:eastAsia="Times New Roman" w:hAnsi="Calibri" w:cs="Calibri"/>
                <w:b/>
                <w:bCs/>
                <w:sz w:val="20"/>
                <w:szCs w:val="20"/>
                <w:lang w:eastAsia="en-GB"/>
              </w:rPr>
            </w:pPr>
          </w:p>
        </w:tc>
        <w:tc>
          <w:tcPr>
            <w:tcW w:w="2494" w:type="dxa"/>
            <w:gridSpan w:val="2"/>
            <w:tcBorders>
              <w:top w:val="single" w:sz="8" w:space="0" w:color="auto"/>
              <w:left w:val="single" w:sz="4" w:space="0" w:color="auto"/>
              <w:bottom w:val="single" w:sz="4" w:space="0" w:color="auto"/>
              <w:right w:val="single" w:sz="4" w:space="0" w:color="000000"/>
            </w:tcBorders>
            <w:shd w:val="clear" w:color="auto" w:fill="BDD6EE" w:themeFill="accent1" w:themeFillTint="66"/>
            <w:noWrap/>
            <w:vAlign w:val="center"/>
            <w:hideMark/>
          </w:tcPr>
          <w:p w:rsidR="006A57B2" w:rsidRPr="004D5AE8" w:rsidRDefault="006A57B2" w:rsidP="00B22173">
            <w:pPr>
              <w:spacing w:after="0" w:line="240" w:lineRule="auto"/>
              <w:jc w:val="center"/>
              <w:rPr>
                <w:rFonts w:ascii="Calibri" w:eastAsia="Times New Roman" w:hAnsi="Calibri" w:cs="Calibri"/>
                <w:b/>
                <w:bCs/>
                <w:sz w:val="20"/>
                <w:szCs w:val="20"/>
                <w:lang w:eastAsia="en-GB"/>
              </w:rPr>
            </w:pPr>
            <w:r w:rsidRPr="004D5AE8">
              <w:rPr>
                <w:rFonts w:ascii="Calibri" w:eastAsia="Times New Roman" w:hAnsi="Calibri" w:cs="Calibri"/>
                <w:b/>
                <w:bCs/>
                <w:sz w:val="20"/>
                <w:szCs w:val="20"/>
                <w:lang w:eastAsia="en-GB"/>
              </w:rPr>
              <w:t>Standard</w:t>
            </w:r>
          </w:p>
        </w:tc>
        <w:tc>
          <w:tcPr>
            <w:tcW w:w="2494" w:type="dxa"/>
            <w:gridSpan w:val="2"/>
            <w:tcBorders>
              <w:top w:val="single" w:sz="8" w:space="0" w:color="auto"/>
              <w:left w:val="nil"/>
              <w:bottom w:val="single" w:sz="4" w:space="0" w:color="auto"/>
              <w:right w:val="single" w:sz="4" w:space="0" w:color="000000"/>
            </w:tcBorders>
            <w:shd w:val="clear" w:color="auto" w:fill="BDD6EE" w:themeFill="accent1" w:themeFillTint="66"/>
            <w:noWrap/>
            <w:vAlign w:val="center"/>
            <w:hideMark/>
          </w:tcPr>
          <w:p w:rsidR="006A57B2" w:rsidRPr="004D5AE8" w:rsidRDefault="006A57B2" w:rsidP="00B22173">
            <w:pPr>
              <w:spacing w:after="0" w:line="240" w:lineRule="auto"/>
              <w:jc w:val="center"/>
              <w:rPr>
                <w:rFonts w:ascii="Calibri" w:eastAsia="Times New Roman" w:hAnsi="Calibri" w:cs="Calibri"/>
                <w:b/>
                <w:bCs/>
                <w:sz w:val="20"/>
                <w:szCs w:val="20"/>
                <w:lang w:eastAsia="en-GB"/>
              </w:rPr>
            </w:pPr>
            <w:r w:rsidRPr="004D5AE8">
              <w:rPr>
                <w:rFonts w:ascii="Calibri" w:eastAsia="Times New Roman" w:hAnsi="Calibri" w:cs="Calibri"/>
                <w:b/>
                <w:bCs/>
                <w:sz w:val="20"/>
                <w:szCs w:val="20"/>
                <w:lang w:eastAsia="en-GB"/>
              </w:rPr>
              <w:t xml:space="preserve">Antibiotic </w:t>
            </w:r>
          </w:p>
        </w:tc>
        <w:tc>
          <w:tcPr>
            <w:tcW w:w="2494" w:type="dxa"/>
            <w:gridSpan w:val="2"/>
            <w:tcBorders>
              <w:top w:val="single" w:sz="8" w:space="0" w:color="auto"/>
              <w:left w:val="nil"/>
              <w:bottom w:val="single" w:sz="4" w:space="0" w:color="auto"/>
              <w:right w:val="single" w:sz="8" w:space="0" w:color="000000"/>
            </w:tcBorders>
            <w:shd w:val="clear" w:color="auto" w:fill="BDD6EE" w:themeFill="accent1" w:themeFillTint="66"/>
            <w:noWrap/>
            <w:vAlign w:val="center"/>
            <w:hideMark/>
          </w:tcPr>
          <w:p w:rsidR="006A57B2" w:rsidRPr="004D5AE8" w:rsidRDefault="006A57B2" w:rsidP="00B22173">
            <w:pPr>
              <w:spacing w:after="0" w:line="240" w:lineRule="auto"/>
              <w:jc w:val="center"/>
              <w:rPr>
                <w:rFonts w:ascii="Calibri" w:eastAsia="Times New Roman" w:hAnsi="Calibri" w:cs="Calibri"/>
                <w:b/>
                <w:bCs/>
                <w:sz w:val="20"/>
                <w:szCs w:val="20"/>
                <w:lang w:eastAsia="en-GB"/>
              </w:rPr>
            </w:pPr>
            <w:r w:rsidRPr="004D5AE8">
              <w:rPr>
                <w:rFonts w:ascii="Calibri" w:eastAsia="Times New Roman" w:hAnsi="Calibri" w:cs="Calibri"/>
                <w:b/>
                <w:bCs/>
                <w:sz w:val="20"/>
                <w:szCs w:val="20"/>
                <w:lang w:eastAsia="en-GB"/>
              </w:rPr>
              <w:t>Heparin</w:t>
            </w:r>
          </w:p>
        </w:tc>
      </w:tr>
      <w:tr w:rsidR="006A57B2" w:rsidRPr="004D5AE8" w:rsidTr="00B22173">
        <w:trPr>
          <w:trHeight w:val="340"/>
        </w:trPr>
        <w:tc>
          <w:tcPr>
            <w:tcW w:w="3417" w:type="dxa"/>
            <w:gridSpan w:val="2"/>
            <w:tcBorders>
              <w:top w:val="single" w:sz="4" w:space="0" w:color="auto"/>
              <w:left w:val="single" w:sz="8" w:space="0" w:color="auto"/>
              <w:bottom w:val="single" w:sz="4" w:space="0" w:color="auto"/>
              <w:right w:val="nil"/>
            </w:tcBorders>
            <w:shd w:val="clear" w:color="auto" w:fill="BDD6EE" w:themeFill="accent1" w:themeFillTint="66"/>
            <w:noWrap/>
            <w:vAlign w:val="bottom"/>
            <w:hideMark/>
          </w:tcPr>
          <w:p w:rsidR="006A57B2" w:rsidRPr="004D5AE8" w:rsidRDefault="006A57B2" w:rsidP="00B22173">
            <w:pPr>
              <w:spacing w:after="0" w:line="240" w:lineRule="auto"/>
              <w:rPr>
                <w:rFonts w:ascii="Calibri" w:eastAsia="Times New Roman" w:hAnsi="Calibri" w:cs="Calibri"/>
                <w:i/>
                <w:iCs/>
                <w:sz w:val="20"/>
                <w:szCs w:val="20"/>
                <w:lang w:eastAsia="en-GB"/>
              </w:rPr>
            </w:pPr>
            <w:r w:rsidRPr="004D5AE8">
              <w:rPr>
                <w:rFonts w:ascii="Calibri" w:eastAsia="Times New Roman" w:hAnsi="Calibri" w:cs="Calibri"/>
                <w:i/>
                <w:iCs/>
                <w:sz w:val="20"/>
                <w:szCs w:val="20"/>
                <w:lang w:eastAsia="en-GB"/>
              </w:rPr>
              <w:t>Intention to treat analyses</w:t>
            </w:r>
          </w:p>
        </w:tc>
        <w:tc>
          <w:tcPr>
            <w:tcW w:w="1247" w:type="dxa"/>
            <w:tcBorders>
              <w:top w:val="nil"/>
              <w:left w:val="single" w:sz="4" w:space="0" w:color="auto"/>
              <w:bottom w:val="single" w:sz="4" w:space="0" w:color="auto"/>
              <w:right w:val="nil"/>
            </w:tcBorders>
            <w:shd w:val="clear" w:color="auto" w:fill="BDD6EE" w:themeFill="accent1" w:themeFillTint="66"/>
            <w:vAlign w:val="center"/>
            <w:hideMark/>
          </w:tcPr>
          <w:p w:rsidR="006A57B2" w:rsidRPr="004D5AE8" w:rsidRDefault="006A57B2" w:rsidP="00B22173">
            <w:pPr>
              <w:spacing w:after="0" w:line="240" w:lineRule="auto"/>
              <w:jc w:val="center"/>
              <w:rPr>
                <w:rFonts w:ascii="Calibri" w:eastAsia="Times New Roman" w:hAnsi="Calibri" w:cs="Calibri"/>
                <w:i/>
                <w:iCs/>
                <w:sz w:val="20"/>
                <w:szCs w:val="20"/>
                <w:lang w:eastAsia="en-GB"/>
              </w:rPr>
            </w:pPr>
            <w:r w:rsidRPr="004D5AE8">
              <w:rPr>
                <w:rFonts w:ascii="Calibri" w:eastAsia="Times New Roman" w:hAnsi="Calibri" w:cs="Calibri"/>
                <w:i/>
                <w:iCs/>
                <w:sz w:val="20"/>
                <w:szCs w:val="20"/>
                <w:lang w:eastAsia="en-GB"/>
              </w:rPr>
              <w:t>N=502</w:t>
            </w:r>
          </w:p>
        </w:tc>
        <w:tc>
          <w:tcPr>
            <w:tcW w:w="1247" w:type="dxa"/>
            <w:tcBorders>
              <w:top w:val="nil"/>
              <w:left w:val="nil"/>
              <w:bottom w:val="single" w:sz="4" w:space="0" w:color="auto"/>
              <w:right w:val="single" w:sz="4" w:space="0" w:color="auto"/>
            </w:tcBorders>
            <w:shd w:val="clear" w:color="auto" w:fill="BDD6EE" w:themeFill="accent1" w:themeFillTint="66"/>
            <w:noWrap/>
            <w:vAlign w:val="bottom"/>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w:t>
            </w:r>
          </w:p>
        </w:tc>
        <w:tc>
          <w:tcPr>
            <w:tcW w:w="1247" w:type="dxa"/>
            <w:tcBorders>
              <w:top w:val="nil"/>
              <w:left w:val="nil"/>
              <w:bottom w:val="single" w:sz="4" w:space="0" w:color="auto"/>
              <w:right w:val="nil"/>
            </w:tcBorders>
            <w:shd w:val="clear" w:color="auto" w:fill="BDD6EE" w:themeFill="accent1" w:themeFillTint="66"/>
            <w:noWrap/>
            <w:vAlign w:val="center"/>
            <w:hideMark/>
          </w:tcPr>
          <w:p w:rsidR="006A57B2" w:rsidRPr="004D5AE8" w:rsidRDefault="006A57B2" w:rsidP="00B22173">
            <w:pPr>
              <w:spacing w:after="0" w:line="240" w:lineRule="auto"/>
              <w:jc w:val="center"/>
              <w:rPr>
                <w:rFonts w:ascii="Calibri" w:eastAsia="Times New Roman" w:hAnsi="Calibri" w:cs="Calibri"/>
                <w:i/>
                <w:iCs/>
                <w:sz w:val="20"/>
                <w:szCs w:val="20"/>
                <w:lang w:eastAsia="en-GB"/>
              </w:rPr>
            </w:pPr>
            <w:r w:rsidRPr="004D5AE8">
              <w:rPr>
                <w:rFonts w:ascii="Calibri" w:eastAsia="Times New Roman" w:hAnsi="Calibri" w:cs="Calibri"/>
                <w:i/>
                <w:iCs/>
                <w:sz w:val="20"/>
                <w:szCs w:val="20"/>
                <w:lang w:eastAsia="en-GB"/>
              </w:rPr>
              <w:t>N=486</w:t>
            </w:r>
          </w:p>
        </w:tc>
        <w:tc>
          <w:tcPr>
            <w:tcW w:w="1247" w:type="dxa"/>
            <w:tcBorders>
              <w:top w:val="nil"/>
              <w:left w:val="nil"/>
              <w:bottom w:val="single" w:sz="4" w:space="0" w:color="auto"/>
              <w:right w:val="single" w:sz="4" w:space="0" w:color="auto"/>
            </w:tcBorders>
            <w:shd w:val="clear" w:color="auto" w:fill="BDD6EE" w:themeFill="accent1" w:themeFillTint="66"/>
            <w:noWrap/>
            <w:vAlign w:val="bottom"/>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w:t>
            </w:r>
          </w:p>
        </w:tc>
        <w:tc>
          <w:tcPr>
            <w:tcW w:w="1247" w:type="dxa"/>
            <w:tcBorders>
              <w:top w:val="nil"/>
              <w:left w:val="nil"/>
              <w:bottom w:val="single" w:sz="4" w:space="0" w:color="auto"/>
              <w:right w:val="nil"/>
            </w:tcBorders>
            <w:shd w:val="clear" w:color="auto" w:fill="BDD6EE" w:themeFill="accent1" w:themeFillTint="66"/>
            <w:vAlign w:val="center"/>
            <w:hideMark/>
          </w:tcPr>
          <w:p w:rsidR="006A57B2" w:rsidRPr="004D5AE8" w:rsidRDefault="006A57B2" w:rsidP="00B22173">
            <w:pPr>
              <w:spacing w:after="0" w:line="240" w:lineRule="auto"/>
              <w:jc w:val="center"/>
              <w:rPr>
                <w:rFonts w:ascii="Calibri" w:eastAsia="Times New Roman" w:hAnsi="Calibri" w:cs="Calibri"/>
                <w:i/>
                <w:iCs/>
                <w:sz w:val="20"/>
                <w:szCs w:val="20"/>
                <w:lang w:eastAsia="en-GB"/>
              </w:rPr>
            </w:pPr>
            <w:r w:rsidRPr="004D5AE8">
              <w:rPr>
                <w:rFonts w:ascii="Calibri" w:eastAsia="Times New Roman" w:hAnsi="Calibri" w:cs="Calibri"/>
                <w:i/>
                <w:iCs/>
                <w:sz w:val="20"/>
                <w:szCs w:val="20"/>
                <w:lang w:eastAsia="en-GB"/>
              </w:rPr>
              <w:t>N=497</w:t>
            </w:r>
          </w:p>
        </w:tc>
        <w:tc>
          <w:tcPr>
            <w:tcW w:w="1247" w:type="dxa"/>
            <w:tcBorders>
              <w:top w:val="nil"/>
              <w:left w:val="nil"/>
              <w:bottom w:val="single" w:sz="4" w:space="0" w:color="auto"/>
              <w:right w:val="single" w:sz="8" w:space="0" w:color="auto"/>
            </w:tcBorders>
            <w:shd w:val="clear" w:color="auto" w:fill="BDD6EE" w:themeFill="accent1" w:themeFillTint="66"/>
            <w:noWrap/>
            <w:vAlign w:val="bottom"/>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w:t>
            </w:r>
          </w:p>
        </w:tc>
      </w:tr>
      <w:tr w:rsidR="006A57B2" w:rsidRPr="004D5AE8" w:rsidTr="00B22173">
        <w:trPr>
          <w:trHeight w:val="300"/>
        </w:trPr>
        <w:tc>
          <w:tcPr>
            <w:tcW w:w="3417" w:type="dxa"/>
            <w:gridSpan w:val="2"/>
            <w:tcBorders>
              <w:top w:val="single" w:sz="4" w:space="0" w:color="auto"/>
              <w:left w:val="single" w:sz="8"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Bloodstream infection</w:t>
            </w:r>
          </w:p>
        </w:tc>
        <w:tc>
          <w:tcPr>
            <w:tcW w:w="1247" w:type="dxa"/>
            <w:tcBorders>
              <w:top w:val="single" w:sz="4" w:space="0" w:color="auto"/>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18</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3.59</w:t>
            </w:r>
          </w:p>
        </w:tc>
        <w:tc>
          <w:tcPr>
            <w:tcW w:w="1247" w:type="dxa"/>
            <w:tcBorders>
              <w:top w:val="single" w:sz="4" w:space="0" w:color="auto"/>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7</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1.44</w:t>
            </w:r>
          </w:p>
        </w:tc>
        <w:tc>
          <w:tcPr>
            <w:tcW w:w="1247" w:type="dxa"/>
            <w:tcBorders>
              <w:top w:val="single" w:sz="4" w:space="0" w:color="auto"/>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17</w:t>
            </w:r>
          </w:p>
        </w:tc>
        <w:tc>
          <w:tcPr>
            <w:tcW w:w="1247" w:type="dxa"/>
            <w:tcBorders>
              <w:top w:val="single" w:sz="4" w:space="0" w:color="auto"/>
              <w:left w:val="nil"/>
              <w:bottom w:val="single" w:sz="4" w:space="0" w:color="auto"/>
              <w:right w:val="single" w:sz="8"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3.42</w:t>
            </w:r>
          </w:p>
        </w:tc>
      </w:tr>
      <w:tr w:rsidR="006A57B2" w:rsidRPr="004D5AE8" w:rsidTr="00B22173">
        <w:trPr>
          <w:trHeight w:val="300"/>
        </w:trPr>
        <w:tc>
          <w:tcPr>
            <w:tcW w:w="3417" w:type="dxa"/>
            <w:gridSpan w:val="2"/>
            <w:tcBorders>
              <w:top w:val="single" w:sz="4" w:space="0" w:color="auto"/>
              <w:left w:val="single" w:sz="8"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Median time to first BSI in  days (IQR)</w:t>
            </w:r>
          </w:p>
        </w:tc>
        <w:tc>
          <w:tcPr>
            <w:tcW w:w="1247" w:type="dxa"/>
            <w:tcBorders>
              <w:top w:val="single" w:sz="4" w:space="0" w:color="auto"/>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7.5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(4.5, 11.2)</w:t>
            </w:r>
          </w:p>
        </w:tc>
        <w:tc>
          <w:tcPr>
            <w:tcW w:w="1247" w:type="dxa"/>
            <w:tcBorders>
              <w:top w:val="single" w:sz="4" w:space="0" w:color="auto"/>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6.9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(6.0, 8.0)</w:t>
            </w:r>
          </w:p>
        </w:tc>
        <w:tc>
          <w:tcPr>
            <w:tcW w:w="1247" w:type="dxa"/>
            <w:tcBorders>
              <w:top w:val="single" w:sz="4" w:space="0" w:color="auto"/>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4.2</w:t>
            </w:r>
          </w:p>
        </w:tc>
        <w:tc>
          <w:tcPr>
            <w:tcW w:w="1247" w:type="dxa"/>
            <w:tcBorders>
              <w:top w:val="single" w:sz="4" w:space="0" w:color="auto"/>
              <w:left w:val="nil"/>
              <w:bottom w:val="single" w:sz="4" w:space="0" w:color="auto"/>
              <w:right w:val="single" w:sz="8" w:space="0" w:color="auto"/>
            </w:tcBorders>
            <w:shd w:val="clear" w:color="auto" w:fill="auto"/>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(3.1, 8.4)</w:t>
            </w:r>
          </w:p>
        </w:tc>
      </w:tr>
      <w:tr w:rsidR="006A57B2" w:rsidRPr="004D5AE8" w:rsidTr="00B22173">
        <w:trPr>
          <w:trHeight w:val="300"/>
        </w:trPr>
        <w:tc>
          <w:tcPr>
            <w:tcW w:w="1858" w:type="dxa"/>
            <w:vMerge w:val="restart"/>
            <w:tcBorders>
              <w:top w:val="single" w:sz="4" w:space="0" w:color="auto"/>
              <w:left w:val="single" w:sz="8"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Organism type</w:t>
            </w:r>
          </w:p>
        </w:tc>
        <w:tc>
          <w:tcPr>
            <w:tcW w:w="1559" w:type="dxa"/>
            <w:tcBorders>
              <w:top w:val="single" w:sz="4" w:space="0" w:color="auto"/>
              <w:left w:val="nil"/>
              <w:bottom w:val="nil"/>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Non-skin</w:t>
            </w:r>
          </w:p>
        </w:tc>
        <w:tc>
          <w:tcPr>
            <w:tcW w:w="1247" w:type="dxa"/>
            <w:tcBorders>
              <w:top w:val="single" w:sz="4" w:space="0" w:color="auto"/>
              <w:left w:val="single" w:sz="4" w:space="0" w:color="auto"/>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15</w:t>
            </w:r>
            <w:r w:rsidRPr="004D5AE8">
              <w:rPr>
                <w:rFonts w:ascii="Calibri" w:eastAsia="Times New Roman" w:hAnsi="Calibri" w:cs="Calibri"/>
                <w:sz w:val="20"/>
                <w:szCs w:val="20"/>
                <w:vertAlign w:val="superscript"/>
                <w:lang w:eastAsia="en-GB"/>
              </w:rPr>
              <w:t>$</w:t>
            </w:r>
          </w:p>
        </w:tc>
        <w:tc>
          <w:tcPr>
            <w:tcW w:w="1247" w:type="dxa"/>
            <w:tcBorders>
              <w:top w:val="single" w:sz="4" w:space="0" w:color="auto"/>
              <w:left w:val="nil"/>
              <w:bottom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2.99</w:t>
            </w:r>
          </w:p>
        </w:tc>
        <w:tc>
          <w:tcPr>
            <w:tcW w:w="1247" w:type="dxa"/>
            <w:tcBorders>
              <w:top w:val="single" w:sz="4" w:space="0" w:color="auto"/>
              <w:left w:val="nil"/>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6</w:t>
            </w:r>
          </w:p>
        </w:tc>
        <w:tc>
          <w:tcPr>
            <w:tcW w:w="1247" w:type="dxa"/>
            <w:tcBorders>
              <w:top w:val="single" w:sz="4" w:space="0" w:color="auto"/>
              <w:left w:val="nil"/>
              <w:bottom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1.23</w:t>
            </w:r>
          </w:p>
        </w:tc>
        <w:tc>
          <w:tcPr>
            <w:tcW w:w="1247" w:type="dxa"/>
            <w:tcBorders>
              <w:top w:val="single" w:sz="4" w:space="0" w:color="auto"/>
              <w:left w:val="nil"/>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16</w:t>
            </w:r>
          </w:p>
        </w:tc>
        <w:tc>
          <w:tcPr>
            <w:tcW w:w="1247" w:type="dxa"/>
            <w:tcBorders>
              <w:top w:val="single" w:sz="4" w:space="0" w:color="auto"/>
              <w:left w:val="nil"/>
              <w:bottom w:val="nil"/>
              <w:right w:val="single" w:sz="8"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3.22</w:t>
            </w:r>
          </w:p>
        </w:tc>
      </w:tr>
      <w:tr w:rsidR="006A57B2" w:rsidRPr="004D5AE8" w:rsidTr="00B22173">
        <w:trPr>
          <w:trHeight w:val="300"/>
        </w:trPr>
        <w:tc>
          <w:tcPr>
            <w:tcW w:w="1858" w:type="dxa"/>
            <w:vMerge/>
            <w:tcBorders>
              <w:left w:val="single" w:sz="8"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p>
        </w:tc>
        <w:tc>
          <w:tcPr>
            <w:tcW w:w="1559" w:type="dxa"/>
            <w:tcBorders>
              <w:top w:val="nil"/>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 xml:space="preserve">Skin </w:t>
            </w:r>
          </w:p>
        </w:tc>
        <w:tc>
          <w:tcPr>
            <w:tcW w:w="1247" w:type="dxa"/>
            <w:tcBorders>
              <w:top w:val="nil"/>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3</w:t>
            </w:r>
          </w:p>
        </w:tc>
        <w:tc>
          <w:tcPr>
            <w:tcW w:w="1247" w:type="dxa"/>
            <w:tcBorders>
              <w:top w:val="nil"/>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0.60</w:t>
            </w:r>
          </w:p>
        </w:tc>
        <w:tc>
          <w:tcPr>
            <w:tcW w:w="1247" w:type="dxa"/>
            <w:tcBorders>
              <w:top w:val="nil"/>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w:t>
            </w:r>
          </w:p>
        </w:tc>
        <w:tc>
          <w:tcPr>
            <w:tcW w:w="1247" w:type="dxa"/>
            <w:tcBorders>
              <w:top w:val="nil"/>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0.21</w:t>
            </w:r>
          </w:p>
        </w:tc>
        <w:tc>
          <w:tcPr>
            <w:tcW w:w="1247" w:type="dxa"/>
            <w:tcBorders>
              <w:top w:val="nil"/>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w:t>
            </w:r>
          </w:p>
        </w:tc>
        <w:tc>
          <w:tcPr>
            <w:tcW w:w="1247" w:type="dxa"/>
            <w:tcBorders>
              <w:top w:val="nil"/>
              <w:left w:val="nil"/>
              <w:bottom w:val="single" w:sz="4" w:space="0" w:color="auto"/>
              <w:right w:val="single" w:sz="8"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0.20</w:t>
            </w:r>
          </w:p>
        </w:tc>
      </w:tr>
      <w:tr w:rsidR="006A57B2" w:rsidRPr="004D5AE8" w:rsidTr="00B22173">
        <w:trPr>
          <w:trHeight w:val="300"/>
        </w:trPr>
        <w:tc>
          <w:tcPr>
            <w:tcW w:w="1858" w:type="dxa"/>
            <w:vMerge w:val="restart"/>
            <w:tcBorders>
              <w:top w:val="single" w:sz="4" w:space="0" w:color="auto"/>
              <w:left w:val="single" w:sz="8"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Organism group*</w:t>
            </w:r>
          </w:p>
        </w:tc>
        <w:tc>
          <w:tcPr>
            <w:tcW w:w="1559" w:type="dxa"/>
            <w:tcBorders>
              <w:top w:val="single" w:sz="4" w:space="0" w:color="auto"/>
              <w:left w:val="nil"/>
              <w:bottom w:val="nil"/>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Gram-positive</w:t>
            </w:r>
            <w:r w:rsidRPr="004D5AE8">
              <w:rPr>
                <w:rFonts w:ascii="Calibri" w:eastAsia="Times New Roman" w:hAnsi="Calibri" w:cs="Calibri"/>
                <w:sz w:val="20"/>
                <w:szCs w:val="20"/>
                <w:vertAlign w:val="superscript"/>
                <w:lang w:eastAsia="en-GB"/>
              </w:rPr>
              <w:t>$$</w:t>
            </w:r>
          </w:p>
        </w:tc>
        <w:tc>
          <w:tcPr>
            <w:tcW w:w="1247" w:type="dxa"/>
            <w:tcBorders>
              <w:top w:val="single" w:sz="4" w:space="0" w:color="auto"/>
              <w:left w:val="single" w:sz="4" w:space="0" w:color="auto"/>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10</w:t>
            </w:r>
          </w:p>
        </w:tc>
        <w:tc>
          <w:tcPr>
            <w:tcW w:w="1247" w:type="dxa"/>
            <w:tcBorders>
              <w:top w:val="single" w:sz="4" w:space="0" w:color="auto"/>
              <w:left w:val="nil"/>
              <w:bottom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0.02</w:t>
            </w:r>
          </w:p>
        </w:tc>
        <w:tc>
          <w:tcPr>
            <w:tcW w:w="1247" w:type="dxa"/>
            <w:tcBorders>
              <w:top w:val="single" w:sz="4" w:space="0" w:color="auto"/>
              <w:left w:val="nil"/>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3</w:t>
            </w:r>
          </w:p>
        </w:tc>
        <w:tc>
          <w:tcPr>
            <w:tcW w:w="1247" w:type="dxa"/>
            <w:tcBorders>
              <w:top w:val="single" w:sz="4" w:space="0" w:color="auto"/>
              <w:left w:val="nil"/>
              <w:bottom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0.01</w:t>
            </w:r>
          </w:p>
        </w:tc>
        <w:tc>
          <w:tcPr>
            <w:tcW w:w="1247" w:type="dxa"/>
            <w:tcBorders>
              <w:top w:val="single" w:sz="4" w:space="0" w:color="auto"/>
              <w:left w:val="nil"/>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10</w:t>
            </w:r>
          </w:p>
        </w:tc>
        <w:tc>
          <w:tcPr>
            <w:tcW w:w="1247" w:type="dxa"/>
            <w:tcBorders>
              <w:top w:val="single" w:sz="4" w:space="0" w:color="auto"/>
              <w:left w:val="nil"/>
              <w:bottom w:val="nil"/>
              <w:right w:val="single" w:sz="8"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0.02</w:t>
            </w:r>
          </w:p>
        </w:tc>
      </w:tr>
      <w:tr w:rsidR="006A57B2" w:rsidRPr="004D5AE8" w:rsidTr="00B22173">
        <w:trPr>
          <w:trHeight w:val="300"/>
        </w:trPr>
        <w:tc>
          <w:tcPr>
            <w:tcW w:w="1858" w:type="dxa"/>
            <w:vMerge/>
            <w:tcBorders>
              <w:left w:val="single" w:sz="8"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p>
        </w:tc>
        <w:tc>
          <w:tcPr>
            <w:tcW w:w="1559" w:type="dxa"/>
            <w:tcBorders>
              <w:top w:val="nil"/>
              <w:left w:val="nil"/>
              <w:bottom w:val="nil"/>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Gram-negative</w:t>
            </w:r>
          </w:p>
        </w:tc>
        <w:tc>
          <w:tcPr>
            <w:tcW w:w="1247" w:type="dxa"/>
            <w:tcBorders>
              <w:top w:val="nil"/>
              <w:left w:val="single" w:sz="4" w:space="0" w:color="auto"/>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6</w:t>
            </w:r>
          </w:p>
        </w:tc>
        <w:tc>
          <w:tcPr>
            <w:tcW w:w="1247" w:type="dxa"/>
            <w:tcBorders>
              <w:top w:val="nil"/>
              <w:left w:val="nil"/>
              <w:bottom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0.01</w:t>
            </w:r>
          </w:p>
        </w:tc>
        <w:tc>
          <w:tcPr>
            <w:tcW w:w="1247" w:type="dxa"/>
            <w:tcBorders>
              <w:top w:val="nil"/>
              <w:left w:val="nil"/>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4</w:t>
            </w:r>
          </w:p>
        </w:tc>
        <w:tc>
          <w:tcPr>
            <w:tcW w:w="1247" w:type="dxa"/>
            <w:tcBorders>
              <w:top w:val="nil"/>
              <w:left w:val="nil"/>
              <w:bottom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0.01</w:t>
            </w:r>
          </w:p>
        </w:tc>
        <w:tc>
          <w:tcPr>
            <w:tcW w:w="1247" w:type="dxa"/>
            <w:tcBorders>
              <w:top w:val="nil"/>
              <w:left w:val="nil"/>
              <w:bottom w:val="nil"/>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5</w:t>
            </w:r>
          </w:p>
        </w:tc>
        <w:tc>
          <w:tcPr>
            <w:tcW w:w="1247" w:type="dxa"/>
            <w:tcBorders>
              <w:top w:val="nil"/>
              <w:left w:val="nil"/>
              <w:bottom w:val="nil"/>
              <w:right w:val="single" w:sz="8"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0.01</w:t>
            </w:r>
          </w:p>
        </w:tc>
      </w:tr>
      <w:tr w:rsidR="006A57B2" w:rsidRPr="004D5AE8" w:rsidTr="00B22173">
        <w:trPr>
          <w:trHeight w:val="300"/>
        </w:trPr>
        <w:tc>
          <w:tcPr>
            <w:tcW w:w="1858" w:type="dxa"/>
            <w:vMerge/>
            <w:tcBorders>
              <w:left w:val="single" w:sz="8"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p>
        </w:tc>
        <w:tc>
          <w:tcPr>
            <w:tcW w:w="1559" w:type="dxa"/>
            <w:tcBorders>
              <w:top w:val="nil"/>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Candida</w:t>
            </w:r>
          </w:p>
        </w:tc>
        <w:tc>
          <w:tcPr>
            <w:tcW w:w="1247" w:type="dxa"/>
            <w:tcBorders>
              <w:top w:val="nil"/>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2</w:t>
            </w:r>
          </w:p>
        </w:tc>
        <w:tc>
          <w:tcPr>
            <w:tcW w:w="1247" w:type="dxa"/>
            <w:tcBorders>
              <w:top w:val="nil"/>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0.00</w:t>
            </w:r>
          </w:p>
        </w:tc>
        <w:tc>
          <w:tcPr>
            <w:tcW w:w="1247" w:type="dxa"/>
            <w:tcBorders>
              <w:top w:val="nil"/>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w:t>
            </w:r>
          </w:p>
        </w:tc>
        <w:tc>
          <w:tcPr>
            <w:tcW w:w="1247" w:type="dxa"/>
            <w:tcBorders>
              <w:top w:val="nil"/>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0.00</w:t>
            </w:r>
          </w:p>
        </w:tc>
        <w:tc>
          <w:tcPr>
            <w:tcW w:w="1247" w:type="dxa"/>
            <w:tcBorders>
              <w:top w:val="nil"/>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3</w:t>
            </w:r>
          </w:p>
        </w:tc>
        <w:tc>
          <w:tcPr>
            <w:tcW w:w="1247" w:type="dxa"/>
            <w:tcBorders>
              <w:top w:val="nil"/>
              <w:left w:val="nil"/>
              <w:bottom w:val="single" w:sz="4" w:space="0" w:color="auto"/>
              <w:right w:val="single" w:sz="8"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sz w:val="20"/>
                <w:szCs w:val="20"/>
                <w:lang w:eastAsia="en-GB"/>
              </w:rPr>
            </w:pPr>
            <w:r w:rsidRPr="004D5AE8">
              <w:rPr>
                <w:rFonts w:ascii="Calibri" w:eastAsia="Times New Roman" w:hAnsi="Calibri" w:cs="Calibri"/>
                <w:sz w:val="20"/>
                <w:szCs w:val="20"/>
                <w:lang w:eastAsia="en-GB"/>
              </w:rPr>
              <w:t>0.01</w:t>
            </w:r>
          </w:p>
        </w:tc>
      </w:tr>
    </w:tbl>
    <w:p w:rsidR="006A57B2" w:rsidRDefault="006A57B2" w:rsidP="00B22173">
      <w:pPr>
        <w:spacing w:after="0" w:line="240" w:lineRule="auto"/>
        <w:rPr>
          <w:sz w:val="20"/>
        </w:rPr>
      </w:pPr>
      <w:r w:rsidRPr="00F61049">
        <w:rPr>
          <w:sz w:val="20"/>
        </w:rPr>
        <w:t>* = groups add to more than total due to multiple types of organisms isolated on same occasion in some patients</w:t>
      </w:r>
    </w:p>
    <w:p w:rsidR="006A57B2" w:rsidRDefault="006A57B2" w:rsidP="00B22173">
      <w:pPr>
        <w:spacing w:after="0" w:line="240" w:lineRule="auto"/>
        <w:rPr>
          <w:sz w:val="20"/>
        </w:rPr>
      </w:pPr>
      <w:r w:rsidRPr="00F61049">
        <w:rPr>
          <w:sz w:val="20"/>
          <w:vertAlign w:val="superscript"/>
        </w:rPr>
        <w:t>$</w:t>
      </w:r>
      <w:r w:rsidRPr="00F61049">
        <w:rPr>
          <w:sz w:val="20"/>
        </w:rPr>
        <w:t xml:space="preserve"> = includes 1 mixed BSI pathogen and skin organism</w:t>
      </w:r>
    </w:p>
    <w:p w:rsidR="006A57B2" w:rsidRDefault="006A57B2" w:rsidP="00B22173">
      <w:pPr>
        <w:spacing w:after="0" w:line="240" w:lineRule="auto"/>
      </w:pPr>
      <w:r w:rsidRPr="00F61049">
        <w:rPr>
          <w:sz w:val="20"/>
          <w:vertAlign w:val="superscript"/>
        </w:rPr>
        <w:t>$</w:t>
      </w:r>
      <w:r>
        <w:rPr>
          <w:sz w:val="20"/>
          <w:vertAlign w:val="superscript"/>
        </w:rPr>
        <w:t>$</w:t>
      </w:r>
      <w:r w:rsidRPr="00F61049">
        <w:rPr>
          <w:sz w:val="20"/>
        </w:rPr>
        <w:t xml:space="preserve"> = includes skin bacteria</w:t>
      </w:r>
    </w:p>
    <w:p w:rsidR="006A57B2" w:rsidRPr="005E10F3" w:rsidRDefault="006A57B2" w:rsidP="00B22173">
      <w:pPr>
        <w:rPr>
          <w:sz w:val="20"/>
          <w:szCs w:val="20"/>
        </w:rPr>
      </w:pPr>
    </w:p>
    <w:p w:rsidR="006A57B2" w:rsidRPr="00BE078C" w:rsidRDefault="006A57B2" w:rsidP="00FF0134">
      <w:pPr>
        <w:pStyle w:val="Caption"/>
        <w:rPr>
          <w:rFonts w:asciiTheme="majorHAnsi" w:hAnsiTheme="majorHAnsi"/>
          <w:color w:val="2E74B5" w:themeColor="accent1" w:themeShade="BF"/>
          <w:sz w:val="22"/>
          <w:szCs w:val="22"/>
        </w:rPr>
      </w:pPr>
      <w:bookmarkStart w:id="81" w:name="_Toc428178960"/>
      <w:r w:rsidRPr="00BE078C">
        <w:rPr>
          <w:sz w:val="22"/>
          <w:szCs w:val="22"/>
        </w:rPr>
        <w:t xml:space="preserve">Table </w:t>
      </w:r>
      <w:r>
        <w:rPr>
          <w:noProof/>
          <w:sz w:val="22"/>
          <w:szCs w:val="22"/>
        </w:rPr>
        <w:t>5</w:t>
      </w:r>
      <w:r w:rsidRPr="00BE078C">
        <w:rPr>
          <w:sz w:val="22"/>
          <w:szCs w:val="22"/>
        </w:rPr>
        <w:t>: Risk difference for first BSI and hazard ratio for time to first BSI according to CVC allocation (hazard ratios p&lt;0.05 are in bold)</w:t>
      </w:r>
      <w:bookmarkEnd w:id="81"/>
      <w:r w:rsidRPr="00BE078C">
        <w:rPr>
          <w:rFonts w:asciiTheme="majorHAnsi" w:hAnsiTheme="majorHAnsi"/>
          <w:b w:val="0"/>
          <w:color w:val="2E74B5" w:themeColor="accent1" w:themeShade="BF"/>
          <w:sz w:val="22"/>
          <w:szCs w:val="22"/>
        </w:rPr>
        <w:t xml:space="preserve"> </w:t>
      </w:r>
    </w:p>
    <w:tbl>
      <w:tblPr>
        <w:tblW w:w="9722" w:type="dxa"/>
        <w:tblInd w:w="93" w:type="dxa"/>
        <w:tblLook w:val="04A0" w:firstRow="1" w:lastRow="0" w:firstColumn="1" w:lastColumn="0" w:noHBand="0" w:noVBand="1"/>
      </w:tblPr>
      <w:tblGrid>
        <w:gridCol w:w="1871"/>
        <w:gridCol w:w="2324"/>
        <w:gridCol w:w="952"/>
        <w:gridCol w:w="1429"/>
        <w:gridCol w:w="839"/>
        <w:gridCol w:w="1315"/>
        <w:gridCol w:w="992"/>
      </w:tblGrid>
      <w:tr w:rsidR="006A57B2" w:rsidRPr="004D5AE8" w:rsidTr="00B22173">
        <w:trPr>
          <w:trHeight w:val="640"/>
        </w:trPr>
        <w:tc>
          <w:tcPr>
            <w:tcW w:w="1871" w:type="dxa"/>
            <w:tcBorders>
              <w:top w:val="nil"/>
              <w:left w:val="nil"/>
              <w:bottom w:val="single" w:sz="4" w:space="0" w:color="auto"/>
              <w:right w:val="nil"/>
            </w:tcBorders>
            <w:shd w:val="clear" w:color="auto" w:fill="auto"/>
            <w:noWrap/>
            <w:vAlign w:val="bottom"/>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p>
        </w:tc>
        <w:tc>
          <w:tcPr>
            <w:tcW w:w="2324" w:type="dxa"/>
            <w:tcBorders>
              <w:top w:val="nil"/>
              <w:left w:val="nil"/>
              <w:bottom w:val="single" w:sz="4" w:space="0" w:color="auto"/>
              <w:right w:val="single" w:sz="4" w:space="0" w:color="auto"/>
            </w:tcBorders>
            <w:shd w:val="clear" w:color="auto" w:fill="auto"/>
            <w:noWrap/>
            <w:vAlign w:val="bottom"/>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p>
        </w:tc>
        <w:tc>
          <w:tcPr>
            <w:tcW w:w="2381" w:type="dxa"/>
            <w:gridSpan w:val="2"/>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6A57B2" w:rsidRPr="004D5AE8" w:rsidRDefault="006A57B2" w:rsidP="00B22173">
            <w:pPr>
              <w:spacing w:after="0" w:line="240" w:lineRule="auto"/>
              <w:jc w:val="center"/>
              <w:rPr>
                <w:rFonts w:ascii="Calibri" w:eastAsia="Times New Roman" w:hAnsi="Calibri" w:cs="Calibri"/>
                <w:b/>
                <w:color w:val="000000"/>
                <w:sz w:val="20"/>
                <w:szCs w:val="20"/>
                <w:lang w:eastAsia="en-GB"/>
              </w:rPr>
            </w:pPr>
            <w:r w:rsidRPr="004D5AE8">
              <w:rPr>
                <w:rFonts w:ascii="Calibri" w:eastAsia="Times New Roman" w:hAnsi="Calibri" w:cs="Calibri"/>
                <w:b/>
                <w:color w:val="000000"/>
                <w:sz w:val="20"/>
                <w:szCs w:val="20"/>
                <w:lang w:eastAsia="en-GB"/>
              </w:rPr>
              <w:t>Risk difference (95% CI)</w:t>
            </w:r>
          </w:p>
        </w:tc>
        <w:tc>
          <w:tcPr>
            <w:tcW w:w="2154" w:type="dxa"/>
            <w:gridSpan w:val="2"/>
            <w:tcBorders>
              <w:top w:val="single" w:sz="4" w:space="0" w:color="auto"/>
              <w:left w:val="nil"/>
              <w:bottom w:val="single" w:sz="4" w:space="0" w:color="auto"/>
              <w:right w:val="nil"/>
            </w:tcBorders>
            <w:shd w:val="clear" w:color="auto" w:fill="BDD6EE" w:themeFill="accent1" w:themeFillTint="66"/>
            <w:noWrap/>
            <w:vAlign w:val="center"/>
            <w:hideMark/>
          </w:tcPr>
          <w:p w:rsidR="006A57B2" w:rsidRPr="004D5AE8" w:rsidRDefault="006A57B2" w:rsidP="00B22173">
            <w:pPr>
              <w:spacing w:after="0" w:line="240" w:lineRule="auto"/>
              <w:jc w:val="center"/>
              <w:rPr>
                <w:rFonts w:ascii="Calibri" w:eastAsia="Times New Roman" w:hAnsi="Calibri" w:cs="Calibri"/>
                <w:b/>
                <w:color w:val="000000"/>
                <w:sz w:val="20"/>
                <w:szCs w:val="20"/>
                <w:lang w:eastAsia="en-GB"/>
              </w:rPr>
            </w:pPr>
            <w:r w:rsidRPr="004D5AE8">
              <w:rPr>
                <w:rFonts w:ascii="Calibri" w:eastAsia="Times New Roman" w:hAnsi="Calibri" w:cs="Calibri"/>
                <w:b/>
                <w:color w:val="000000"/>
                <w:sz w:val="20"/>
                <w:szCs w:val="20"/>
                <w:lang w:eastAsia="en-GB"/>
              </w:rPr>
              <w:t>Hazard ratio (95% CI)</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57B2" w:rsidRPr="004D5AE8" w:rsidRDefault="006A57B2" w:rsidP="00B22173">
            <w:pPr>
              <w:spacing w:after="0" w:line="240" w:lineRule="auto"/>
              <w:jc w:val="center"/>
              <w:rPr>
                <w:rFonts w:ascii="Calibri" w:eastAsia="Times New Roman" w:hAnsi="Calibri" w:cs="Calibri"/>
                <w:b/>
                <w:color w:val="000000"/>
                <w:sz w:val="20"/>
                <w:szCs w:val="20"/>
                <w:lang w:eastAsia="en-GB"/>
              </w:rPr>
            </w:pPr>
            <w:r w:rsidRPr="004D5AE8">
              <w:rPr>
                <w:rFonts w:ascii="Calibri" w:eastAsia="Times New Roman" w:hAnsi="Calibri" w:cs="Calibri"/>
                <w:b/>
                <w:color w:val="000000"/>
                <w:sz w:val="20"/>
                <w:szCs w:val="20"/>
                <w:lang w:eastAsia="en-GB"/>
              </w:rPr>
              <w:t>p-value</w:t>
            </w:r>
          </w:p>
        </w:tc>
      </w:tr>
      <w:tr w:rsidR="006A57B2" w:rsidRPr="004D5AE8" w:rsidTr="0012529E">
        <w:trPr>
          <w:trHeight w:val="564"/>
        </w:trPr>
        <w:tc>
          <w:tcPr>
            <w:tcW w:w="1871" w:type="dxa"/>
            <w:tcBorders>
              <w:top w:val="single" w:sz="4" w:space="0" w:color="auto"/>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i/>
                <w:color w:val="000000"/>
                <w:sz w:val="20"/>
                <w:szCs w:val="20"/>
                <w:lang w:eastAsia="en-GB"/>
              </w:rPr>
            </w:pPr>
            <w:r w:rsidRPr="004D5AE8">
              <w:rPr>
                <w:rFonts w:ascii="Calibri" w:eastAsia="Times New Roman" w:hAnsi="Calibri" w:cs="Calibri"/>
                <w:i/>
                <w:color w:val="000000"/>
                <w:sz w:val="20"/>
                <w:szCs w:val="20"/>
                <w:lang w:eastAsia="en-GB"/>
              </w:rPr>
              <w:t>Primary analysis</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 xml:space="preserve">Any impregnated (n=983) </w:t>
            </w:r>
          </w:p>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vs standard (n=502)</w:t>
            </w:r>
          </w:p>
        </w:tc>
        <w:tc>
          <w:tcPr>
            <w:tcW w:w="952" w:type="dxa"/>
            <w:tcBorders>
              <w:top w:val="single" w:sz="4" w:space="0" w:color="auto"/>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-1.14</w:t>
            </w:r>
          </w:p>
        </w:tc>
        <w:tc>
          <w:tcPr>
            <w:tcW w:w="1429" w:type="dxa"/>
            <w:tcBorders>
              <w:top w:val="single" w:sz="4" w:space="0" w:color="auto"/>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(-3.04,  0.75)</w:t>
            </w:r>
          </w:p>
        </w:tc>
        <w:tc>
          <w:tcPr>
            <w:tcW w:w="839" w:type="dxa"/>
            <w:tcBorders>
              <w:top w:val="single" w:sz="4" w:space="0" w:color="auto"/>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0.71</w:t>
            </w:r>
          </w:p>
        </w:tc>
        <w:tc>
          <w:tcPr>
            <w:tcW w:w="1315" w:type="dxa"/>
            <w:tcBorders>
              <w:top w:val="single" w:sz="4" w:space="0" w:color="auto"/>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(0.37, 1.34)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0.29</w:t>
            </w:r>
          </w:p>
        </w:tc>
      </w:tr>
      <w:tr w:rsidR="006A57B2" w:rsidRPr="004D5AE8" w:rsidTr="0012529E">
        <w:trPr>
          <w:trHeight w:val="416"/>
        </w:trPr>
        <w:tc>
          <w:tcPr>
            <w:tcW w:w="1871" w:type="dxa"/>
            <w:tcBorders>
              <w:top w:val="single" w:sz="4" w:space="0" w:color="auto"/>
              <w:left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i/>
                <w:color w:val="000000"/>
                <w:sz w:val="20"/>
                <w:szCs w:val="20"/>
                <w:lang w:eastAsia="en-GB"/>
              </w:rPr>
            </w:pPr>
            <w:r w:rsidRPr="004D5AE8">
              <w:rPr>
                <w:rFonts w:ascii="Calibri" w:eastAsia="Times New Roman" w:hAnsi="Calibri" w:cs="Calibri"/>
                <w:i/>
                <w:color w:val="000000"/>
                <w:sz w:val="20"/>
                <w:szCs w:val="20"/>
                <w:lang w:eastAsia="en-GB"/>
              </w:rPr>
              <w:t>Secondary analysis</w:t>
            </w:r>
          </w:p>
        </w:tc>
        <w:tc>
          <w:tcPr>
            <w:tcW w:w="2324" w:type="dxa"/>
            <w:tcBorders>
              <w:top w:val="single" w:sz="4" w:space="0" w:color="auto"/>
              <w:left w:val="nil"/>
              <w:right w:val="single" w:sz="4" w:space="0" w:color="auto"/>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 xml:space="preserve">Antibiotic (n=486) </w:t>
            </w:r>
          </w:p>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vs standard (n=502)</w:t>
            </w:r>
          </w:p>
        </w:tc>
        <w:tc>
          <w:tcPr>
            <w:tcW w:w="952" w:type="dxa"/>
            <w:tcBorders>
              <w:top w:val="single" w:sz="4" w:space="0" w:color="auto"/>
              <w:left w:val="single" w:sz="4" w:space="0" w:color="auto"/>
              <w:right w:val="nil"/>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-2.15</w:t>
            </w:r>
          </w:p>
        </w:tc>
        <w:tc>
          <w:tcPr>
            <w:tcW w:w="1429" w:type="dxa"/>
            <w:tcBorders>
              <w:top w:val="single" w:sz="4" w:space="0" w:color="auto"/>
              <w:left w:val="nil"/>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(-4.09, -0.20)</w:t>
            </w:r>
          </w:p>
        </w:tc>
        <w:tc>
          <w:tcPr>
            <w:tcW w:w="839" w:type="dxa"/>
            <w:tcBorders>
              <w:top w:val="single" w:sz="4" w:space="0" w:color="auto"/>
              <w:left w:val="nil"/>
              <w:right w:val="nil"/>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b/>
                <w:bCs/>
                <w:color w:val="000000"/>
                <w:sz w:val="20"/>
                <w:szCs w:val="20"/>
                <w:lang w:eastAsia="en-GB"/>
              </w:rPr>
            </w:pPr>
            <w:r w:rsidRPr="004D5AE8">
              <w:rPr>
                <w:rFonts w:ascii="Calibri" w:eastAsia="Times New Roman" w:hAnsi="Calibri" w:cs="Calibri"/>
                <w:b/>
                <w:bCs/>
                <w:color w:val="000000"/>
                <w:sz w:val="20"/>
                <w:szCs w:val="20"/>
                <w:lang w:eastAsia="en-GB"/>
              </w:rPr>
              <w:t>0.43</w:t>
            </w:r>
          </w:p>
        </w:tc>
        <w:tc>
          <w:tcPr>
            <w:tcW w:w="1315" w:type="dxa"/>
            <w:tcBorders>
              <w:top w:val="single" w:sz="4" w:space="0" w:color="auto"/>
              <w:left w:val="nil"/>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b/>
                <w:bCs/>
                <w:color w:val="000000"/>
                <w:sz w:val="20"/>
                <w:szCs w:val="20"/>
                <w:lang w:eastAsia="en-GB"/>
              </w:rPr>
            </w:pPr>
            <w:r w:rsidRPr="004D5AE8">
              <w:rPr>
                <w:rFonts w:ascii="Calibri" w:eastAsia="Times New Roman" w:hAnsi="Calibri" w:cs="Calibri"/>
                <w:b/>
                <w:bCs/>
                <w:color w:val="000000"/>
                <w:sz w:val="20"/>
                <w:szCs w:val="20"/>
                <w:lang w:eastAsia="en-GB"/>
              </w:rPr>
              <w:t>(0.20, 0.96)</w:t>
            </w:r>
          </w:p>
        </w:tc>
        <w:tc>
          <w:tcPr>
            <w:tcW w:w="992" w:type="dxa"/>
            <w:tcBorders>
              <w:top w:val="single" w:sz="4" w:space="0" w:color="auto"/>
              <w:left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b/>
                <w:bCs/>
                <w:color w:val="000000"/>
                <w:sz w:val="20"/>
                <w:szCs w:val="20"/>
                <w:lang w:eastAsia="en-GB"/>
              </w:rPr>
            </w:pPr>
            <w:r w:rsidRPr="004D5AE8">
              <w:rPr>
                <w:rFonts w:ascii="Calibri" w:eastAsia="Times New Roman" w:hAnsi="Calibri" w:cs="Calibri"/>
                <w:b/>
                <w:bCs/>
                <w:color w:val="000000"/>
                <w:sz w:val="20"/>
                <w:szCs w:val="20"/>
                <w:lang w:eastAsia="en-GB"/>
              </w:rPr>
              <w:t>0.04</w:t>
            </w:r>
          </w:p>
        </w:tc>
      </w:tr>
      <w:tr w:rsidR="006A57B2" w:rsidRPr="004D5AE8" w:rsidTr="0012529E">
        <w:trPr>
          <w:trHeight w:val="579"/>
        </w:trPr>
        <w:tc>
          <w:tcPr>
            <w:tcW w:w="1871" w:type="dxa"/>
            <w:tcBorders>
              <w:top w:val="nil"/>
              <w:left w:val="single" w:sz="4" w:space="0" w:color="auto"/>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i/>
                <w:color w:val="000000"/>
                <w:sz w:val="20"/>
                <w:szCs w:val="20"/>
                <w:lang w:eastAsia="en-GB"/>
              </w:rPr>
            </w:pPr>
          </w:p>
        </w:tc>
        <w:tc>
          <w:tcPr>
            <w:tcW w:w="2324" w:type="dxa"/>
            <w:tcBorders>
              <w:top w:val="nil"/>
              <w:right w:val="single" w:sz="4" w:space="0" w:color="auto"/>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Heparin (n=497)</w:t>
            </w:r>
          </w:p>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vs standard (n=502)</w:t>
            </w:r>
          </w:p>
        </w:tc>
        <w:tc>
          <w:tcPr>
            <w:tcW w:w="952" w:type="dxa"/>
            <w:tcBorders>
              <w:top w:val="nil"/>
              <w:left w:val="single" w:sz="4" w:space="0" w:color="auto"/>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-0.17</w:t>
            </w:r>
          </w:p>
        </w:tc>
        <w:tc>
          <w:tcPr>
            <w:tcW w:w="1429" w:type="dxa"/>
            <w:tcBorders>
              <w:top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(-2.45,  2.12)</w:t>
            </w:r>
          </w:p>
        </w:tc>
        <w:tc>
          <w:tcPr>
            <w:tcW w:w="839" w:type="dxa"/>
            <w:tcBorders>
              <w:top w:val="nil"/>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1.04</w:t>
            </w:r>
          </w:p>
        </w:tc>
        <w:tc>
          <w:tcPr>
            <w:tcW w:w="1315" w:type="dxa"/>
            <w:tcBorders>
              <w:top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(0.53, 2.03)</w:t>
            </w:r>
          </w:p>
        </w:tc>
        <w:tc>
          <w:tcPr>
            <w:tcW w:w="992" w:type="dxa"/>
            <w:tcBorders>
              <w:top w:val="nil"/>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0.9</w:t>
            </w:r>
            <w:r>
              <w:rPr>
                <w:rFonts w:ascii="Calibri" w:eastAsia="Times New Roman" w:hAnsi="Calibri" w:cs="Calibri"/>
                <w:color w:val="000000"/>
                <w:sz w:val="20"/>
                <w:szCs w:val="20"/>
                <w:lang w:eastAsia="en-GB"/>
              </w:rPr>
              <w:t>0</w:t>
            </w:r>
          </w:p>
        </w:tc>
      </w:tr>
      <w:tr w:rsidR="006A57B2" w:rsidRPr="004D5AE8" w:rsidTr="0012529E">
        <w:trPr>
          <w:trHeight w:val="559"/>
        </w:trPr>
        <w:tc>
          <w:tcPr>
            <w:tcW w:w="1871" w:type="dxa"/>
            <w:tcBorders>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i/>
                <w:color w:val="000000"/>
                <w:sz w:val="20"/>
                <w:szCs w:val="20"/>
                <w:lang w:eastAsia="en-GB"/>
              </w:rPr>
            </w:pPr>
          </w:p>
        </w:tc>
        <w:tc>
          <w:tcPr>
            <w:tcW w:w="2324" w:type="dxa"/>
            <w:tcBorders>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 xml:space="preserve">Antibiotic (n=486) </w:t>
            </w:r>
          </w:p>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vs heparin (n=497)</w:t>
            </w:r>
          </w:p>
        </w:tc>
        <w:tc>
          <w:tcPr>
            <w:tcW w:w="952" w:type="dxa"/>
            <w:tcBorders>
              <w:left w:val="single" w:sz="4" w:space="0" w:color="auto"/>
              <w:bottom w:val="single" w:sz="4" w:space="0" w:color="auto"/>
              <w:right w:val="nil"/>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-1.98</w:t>
            </w:r>
          </w:p>
        </w:tc>
        <w:tc>
          <w:tcPr>
            <w:tcW w:w="1429" w:type="dxa"/>
            <w:tcBorders>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color w:val="000000"/>
                <w:sz w:val="20"/>
                <w:szCs w:val="20"/>
                <w:lang w:eastAsia="en-GB"/>
              </w:rPr>
            </w:pPr>
            <w:r w:rsidRPr="004D5AE8">
              <w:rPr>
                <w:rFonts w:ascii="Calibri" w:eastAsia="Times New Roman" w:hAnsi="Calibri" w:cs="Calibri"/>
                <w:color w:val="000000"/>
                <w:sz w:val="20"/>
                <w:szCs w:val="20"/>
                <w:lang w:eastAsia="en-GB"/>
              </w:rPr>
              <w:t>(-3.90, -0.06)</w:t>
            </w:r>
          </w:p>
        </w:tc>
        <w:tc>
          <w:tcPr>
            <w:tcW w:w="839" w:type="dxa"/>
            <w:tcBorders>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jc w:val="right"/>
              <w:rPr>
                <w:rFonts w:ascii="Calibri" w:eastAsia="Times New Roman" w:hAnsi="Calibri" w:cs="Calibri"/>
                <w:b/>
                <w:bCs/>
                <w:color w:val="000000"/>
                <w:sz w:val="20"/>
                <w:szCs w:val="20"/>
                <w:lang w:eastAsia="en-GB"/>
              </w:rPr>
            </w:pPr>
            <w:r w:rsidRPr="004D5AE8">
              <w:rPr>
                <w:rFonts w:ascii="Calibri" w:eastAsia="Times New Roman" w:hAnsi="Calibri" w:cs="Calibri"/>
                <w:b/>
                <w:bCs/>
                <w:color w:val="000000"/>
                <w:sz w:val="20"/>
                <w:szCs w:val="20"/>
                <w:lang w:eastAsia="en-GB"/>
              </w:rPr>
              <w:t>0.42</w:t>
            </w:r>
          </w:p>
        </w:tc>
        <w:tc>
          <w:tcPr>
            <w:tcW w:w="1315" w:type="dxa"/>
            <w:tcBorders>
              <w:left w:val="nil"/>
              <w:bottom w:val="single" w:sz="4" w:space="0" w:color="auto"/>
              <w:right w:val="nil"/>
            </w:tcBorders>
            <w:shd w:val="clear" w:color="auto" w:fill="auto"/>
            <w:noWrap/>
            <w:vAlign w:val="center"/>
            <w:hideMark/>
          </w:tcPr>
          <w:p w:rsidR="006A57B2" w:rsidRPr="004D5AE8" w:rsidRDefault="006A57B2" w:rsidP="00B22173">
            <w:pPr>
              <w:spacing w:after="0" w:line="240" w:lineRule="auto"/>
              <w:rPr>
                <w:rFonts w:ascii="Calibri" w:eastAsia="Times New Roman" w:hAnsi="Calibri" w:cs="Calibri"/>
                <w:b/>
                <w:bCs/>
                <w:color w:val="000000"/>
                <w:sz w:val="20"/>
                <w:szCs w:val="20"/>
                <w:lang w:eastAsia="en-GB"/>
              </w:rPr>
            </w:pPr>
            <w:r w:rsidRPr="004D5AE8">
              <w:rPr>
                <w:rFonts w:ascii="Calibri" w:eastAsia="Times New Roman" w:hAnsi="Calibri" w:cs="Calibri"/>
                <w:b/>
                <w:bCs/>
                <w:color w:val="000000"/>
                <w:sz w:val="20"/>
                <w:szCs w:val="20"/>
                <w:lang w:eastAsia="en-GB"/>
              </w:rPr>
              <w:t>(0.19, 0.93)</w:t>
            </w:r>
          </w:p>
        </w:tc>
        <w:tc>
          <w:tcPr>
            <w:tcW w:w="992" w:type="dxa"/>
            <w:tcBorders>
              <w:left w:val="nil"/>
              <w:bottom w:val="single" w:sz="4" w:space="0" w:color="auto"/>
              <w:right w:val="single" w:sz="4" w:space="0" w:color="auto"/>
            </w:tcBorders>
            <w:shd w:val="clear" w:color="auto" w:fill="auto"/>
            <w:noWrap/>
            <w:vAlign w:val="center"/>
            <w:hideMark/>
          </w:tcPr>
          <w:p w:rsidR="006A57B2" w:rsidRPr="004D5AE8" w:rsidRDefault="006A57B2" w:rsidP="00B22173">
            <w:pPr>
              <w:spacing w:after="0" w:line="240" w:lineRule="auto"/>
              <w:jc w:val="center"/>
              <w:rPr>
                <w:rFonts w:ascii="Calibri" w:eastAsia="Times New Roman" w:hAnsi="Calibri" w:cs="Calibri"/>
                <w:b/>
                <w:bCs/>
                <w:color w:val="000000"/>
                <w:sz w:val="20"/>
                <w:szCs w:val="20"/>
                <w:lang w:eastAsia="en-GB"/>
              </w:rPr>
            </w:pPr>
            <w:r w:rsidRPr="004D5AE8">
              <w:rPr>
                <w:rFonts w:ascii="Calibri" w:eastAsia="Times New Roman" w:hAnsi="Calibri" w:cs="Calibri"/>
                <w:b/>
                <w:bCs/>
                <w:color w:val="000000"/>
                <w:sz w:val="20"/>
                <w:szCs w:val="20"/>
                <w:lang w:eastAsia="en-GB"/>
              </w:rPr>
              <w:t>0.03</w:t>
            </w:r>
          </w:p>
        </w:tc>
      </w:tr>
    </w:tbl>
    <w:p w:rsidR="006A57B2" w:rsidRDefault="006A57B2" w:rsidP="00B22173"/>
    <w:p w:rsidR="006A57B2" w:rsidRDefault="006A57B2" w:rsidP="00B22173">
      <w:pPr>
        <w:sectPr w:rsidR="006A57B2" w:rsidSect="00B22173">
          <w:pgSz w:w="16838" w:h="11906" w:orient="landscape"/>
          <w:pgMar w:top="1440" w:right="1440" w:bottom="1440" w:left="1440" w:header="708" w:footer="708" w:gutter="0"/>
          <w:cols w:space="708"/>
          <w:docGrid w:linePitch="360"/>
        </w:sectPr>
      </w:pPr>
    </w:p>
    <w:p w:rsidR="006A57B2" w:rsidRPr="00BE078C" w:rsidRDefault="006A57B2" w:rsidP="00FF0134">
      <w:pPr>
        <w:pStyle w:val="Caption"/>
        <w:rPr>
          <w:rFonts w:asciiTheme="majorHAnsi" w:hAnsiTheme="majorHAnsi"/>
          <w:color w:val="2E74B5" w:themeColor="accent1" w:themeShade="BF"/>
          <w:sz w:val="22"/>
          <w:szCs w:val="22"/>
        </w:rPr>
      </w:pPr>
      <w:bookmarkStart w:id="82" w:name="_Toc428178961"/>
      <w:r w:rsidRPr="00BE078C">
        <w:rPr>
          <w:sz w:val="22"/>
          <w:szCs w:val="22"/>
        </w:rPr>
        <w:t xml:space="preserve">Table </w:t>
      </w:r>
      <w:r>
        <w:rPr>
          <w:noProof/>
          <w:sz w:val="22"/>
          <w:szCs w:val="22"/>
        </w:rPr>
        <w:t>6</w:t>
      </w:r>
      <w:r w:rsidRPr="00BE078C">
        <w:rPr>
          <w:sz w:val="22"/>
          <w:szCs w:val="22"/>
        </w:rPr>
        <w:t>: Regression results for primary outcome</w:t>
      </w:r>
      <w:bookmarkEnd w:id="82"/>
      <w:r w:rsidRPr="00BE078C">
        <w:rPr>
          <w:sz w:val="22"/>
          <w:szCs w:val="22"/>
        </w:rPr>
        <w:t xml:space="preserve"> </w:t>
      </w:r>
    </w:p>
    <w:tbl>
      <w:tblPr>
        <w:tblW w:w="9824" w:type="dxa"/>
        <w:tblInd w:w="93" w:type="dxa"/>
        <w:tblLook w:val="04A0" w:firstRow="1" w:lastRow="0" w:firstColumn="1" w:lastColumn="0" w:noHBand="0" w:noVBand="1"/>
      </w:tblPr>
      <w:tblGrid>
        <w:gridCol w:w="1155"/>
        <w:gridCol w:w="2404"/>
        <w:gridCol w:w="541"/>
        <w:gridCol w:w="2152"/>
        <w:gridCol w:w="733"/>
        <w:gridCol w:w="798"/>
        <w:gridCol w:w="1134"/>
        <w:gridCol w:w="907"/>
      </w:tblGrid>
      <w:tr w:rsidR="006A57B2" w:rsidRPr="008521B7" w:rsidTr="007C5745">
        <w:trPr>
          <w:trHeight w:val="540"/>
        </w:trPr>
        <w:tc>
          <w:tcPr>
            <w:tcW w:w="1155" w:type="dxa"/>
            <w:tcBorders>
              <w:top w:val="single" w:sz="8" w:space="0" w:color="auto"/>
              <w:left w:val="single" w:sz="8" w:space="0" w:color="auto"/>
              <w:bottom w:val="single" w:sz="4" w:space="0" w:color="auto"/>
              <w:right w:val="nil"/>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Analysis</w:t>
            </w:r>
          </w:p>
        </w:tc>
        <w:tc>
          <w:tcPr>
            <w:tcW w:w="2945" w:type="dxa"/>
            <w:gridSpan w:val="2"/>
            <w:tcBorders>
              <w:top w:val="single" w:sz="8" w:space="0" w:color="auto"/>
              <w:left w:val="nil"/>
              <w:bottom w:val="single" w:sz="4" w:space="0" w:color="auto"/>
              <w:right w:val="nil"/>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Variable (n with outcome)</w:t>
            </w:r>
          </w:p>
        </w:tc>
        <w:tc>
          <w:tcPr>
            <w:tcW w:w="2885" w:type="dxa"/>
            <w:gridSpan w:val="2"/>
            <w:tcBorders>
              <w:top w:val="single" w:sz="8" w:space="0" w:color="auto"/>
              <w:left w:val="nil"/>
              <w:bottom w:val="single" w:sz="4" w:space="0" w:color="auto"/>
              <w:right w:val="nil"/>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Comparator (n with outcome)</w:t>
            </w:r>
          </w:p>
        </w:tc>
        <w:tc>
          <w:tcPr>
            <w:tcW w:w="798" w:type="dxa"/>
            <w:tcBorders>
              <w:top w:val="single" w:sz="8" w:space="0" w:color="auto"/>
              <w:left w:val="nil"/>
              <w:bottom w:val="single" w:sz="4" w:space="0" w:color="auto"/>
              <w:right w:val="nil"/>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Hazard Ratio</w:t>
            </w:r>
          </w:p>
        </w:tc>
        <w:tc>
          <w:tcPr>
            <w:tcW w:w="1134" w:type="dxa"/>
            <w:tcBorders>
              <w:top w:val="single" w:sz="8" w:space="0" w:color="auto"/>
              <w:left w:val="nil"/>
              <w:bottom w:val="single" w:sz="4" w:space="0" w:color="auto"/>
              <w:right w:val="nil"/>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95% CI</w:t>
            </w:r>
          </w:p>
        </w:tc>
        <w:tc>
          <w:tcPr>
            <w:tcW w:w="907" w:type="dxa"/>
            <w:tcBorders>
              <w:top w:val="single" w:sz="8" w:space="0" w:color="auto"/>
              <w:left w:val="nil"/>
              <w:bottom w:val="single" w:sz="4" w:space="0" w:color="auto"/>
              <w:right w:val="single" w:sz="8" w:space="0" w:color="auto"/>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p-value</w:t>
            </w:r>
          </w:p>
        </w:tc>
      </w:tr>
      <w:tr w:rsidR="006A57B2" w:rsidRPr="008521B7" w:rsidTr="007C5745">
        <w:trPr>
          <w:trHeight w:val="300"/>
        </w:trPr>
        <w:tc>
          <w:tcPr>
            <w:tcW w:w="1155" w:type="dxa"/>
            <w:tcBorders>
              <w:top w:val="nil"/>
              <w:left w:val="single" w:sz="8" w:space="0" w:color="auto"/>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rPr>
                <w:rFonts w:ascii="Calibri" w:eastAsia="Times New Roman" w:hAnsi="Calibri" w:cs="Calibri"/>
                <w:color w:val="000000"/>
                <w:sz w:val="20"/>
                <w:szCs w:val="20"/>
                <w:lang w:eastAsia="en-GB"/>
              </w:rPr>
            </w:pPr>
          </w:p>
        </w:tc>
        <w:tc>
          <w:tcPr>
            <w:tcW w:w="541" w:type="dxa"/>
            <w:tcBorders>
              <w:top w:val="nil"/>
              <w:left w:val="nil"/>
              <w:bottom w:val="nil"/>
              <w:right w:val="nil"/>
            </w:tcBorders>
          </w:tcPr>
          <w:p w:rsidR="006A57B2" w:rsidRPr="008521B7" w:rsidRDefault="006A57B2" w:rsidP="00B22173">
            <w:pPr>
              <w:spacing w:after="0" w:line="240" w:lineRule="auto"/>
              <w:rPr>
                <w:rFonts w:ascii="Calibri" w:eastAsia="Times New Roman" w:hAnsi="Calibri" w:cs="Calibri"/>
                <w:color w:val="000000"/>
                <w:sz w:val="20"/>
                <w:szCs w:val="20"/>
                <w:lang w:eastAsia="en-GB"/>
              </w:rPr>
            </w:pPr>
          </w:p>
        </w:tc>
        <w:tc>
          <w:tcPr>
            <w:tcW w:w="2152"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rPr>
                <w:rFonts w:ascii="Calibri" w:eastAsia="Times New Roman" w:hAnsi="Calibri" w:cs="Calibri"/>
                <w:color w:val="000000"/>
                <w:sz w:val="20"/>
                <w:szCs w:val="20"/>
                <w:lang w:eastAsia="en-GB"/>
              </w:rPr>
            </w:pPr>
          </w:p>
        </w:tc>
        <w:tc>
          <w:tcPr>
            <w:tcW w:w="733" w:type="dxa"/>
            <w:tcBorders>
              <w:top w:val="nil"/>
              <w:left w:val="nil"/>
              <w:bottom w:val="nil"/>
              <w:right w:val="nil"/>
            </w:tcBorders>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798"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907" w:type="dxa"/>
            <w:tcBorders>
              <w:top w:val="nil"/>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r>
      <w:tr w:rsidR="006A57B2" w:rsidRPr="008521B7" w:rsidTr="007C5745">
        <w:trPr>
          <w:trHeight w:val="300"/>
        </w:trPr>
        <w:tc>
          <w:tcPr>
            <w:tcW w:w="1155" w:type="dxa"/>
            <w:vMerge w:val="restart"/>
            <w:tcBorders>
              <w:top w:val="single" w:sz="4" w:space="0" w:color="auto"/>
              <w:left w:val="single" w:sz="8" w:space="0" w:color="auto"/>
              <w:bottom w:val="single" w:sz="4" w:space="0" w:color="000000"/>
              <w:right w:val="nil"/>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Primary</w:t>
            </w:r>
          </w:p>
        </w:tc>
        <w:tc>
          <w:tcPr>
            <w:tcW w:w="2404" w:type="dxa"/>
            <w:tcBorders>
              <w:top w:val="single" w:sz="4" w:space="0" w:color="auto"/>
              <w:left w:val="nil"/>
              <w:bottom w:val="nil"/>
              <w:right w:val="nil"/>
            </w:tcBorders>
            <w:shd w:val="clear" w:color="auto" w:fill="auto"/>
            <w:noWrap/>
            <w:vAlign w:val="center"/>
            <w:hideMark/>
          </w:tcPr>
          <w:p w:rsidR="006A57B2" w:rsidRPr="008521B7" w:rsidRDefault="006A57B2" w:rsidP="00B22173">
            <w:pPr>
              <w:spacing w:after="0" w:line="240" w:lineRule="auto"/>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Antibiotic or heparin CVC</w:t>
            </w:r>
          </w:p>
        </w:tc>
        <w:tc>
          <w:tcPr>
            <w:tcW w:w="541" w:type="dxa"/>
            <w:tcBorders>
              <w:top w:val="single" w:sz="4" w:space="0" w:color="auto"/>
              <w:left w:val="nil"/>
              <w:bottom w:val="nil"/>
              <w:right w:val="nil"/>
            </w:tcBorders>
            <w:vAlign w:val="center"/>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(24)</w:t>
            </w:r>
          </w:p>
        </w:tc>
        <w:tc>
          <w:tcPr>
            <w:tcW w:w="2152" w:type="dxa"/>
            <w:tcBorders>
              <w:top w:val="single" w:sz="4" w:space="0" w:color="auto"/>
              <w:left w:val="nil"/>
              <w:bottom w:val="nil"/>
              <w:right w:val="nil"/>
            </w:tcBorders>
            <w:shd w:val="clear" w:color="auto" w:fill="auto"/>
            <w:noWrap/>
            <w:vAlign w:val="center"/>
            <w:hideMark/>
          </w:tcPr>
          <w:p w:rsidR="006A57B2" w:rsidRPr="008521B7" w:rsidRDefault="006A57B2" w:rsidP="00B22173">
            <w:pPr>
              <w:spacing w:after="0" w:line="240" w:lineRule="auto"/>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Standard</w:t>
            </w:r>
          </w:p>
        </w:tc>
        <w:tc>
          <w:tcPr>
            <w:tcW w:w="733" w:type="dxa"/>
            <w:tcBorders>
              <w:top w:val="single" w:sz="4" w:space="0" w:color="auto"/>
              <w:left w:val="nil"/>
              <w:bottom w:val="nil"/>
              <w:right w:val="nil"/>
            </w:tcBorders>
            <w:vAlign w:val="center"/>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(18)</w:t>
            </w:r>
          </w:p>
        </w:tc>
        <w:tc>
          <w:tcPr>
            <w:tcW w:w="798" w:type="dxa"/>
            <w:tcBorders>
              <w:top w:val="single" w:sz="4" w:space="0" w:color="auto"/>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0.71</w:t>
            </w:r>
          </w:p>
        </w:tc>
        <w:tc>
          <w:tcPr>
            <w:tcW w:w="1134" w:type="dxa"/>
            <w:tcBorders>
              <w:top w:val="single" w:sz="4" w:space="0" w:color="auto"/>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0.38-1.33</w:t>
            </w:r>
          </w:p>
        </w:tc>
        <w:tc>
          <w:tcPr>
            <w:tcW w:w="907" w:type="dxa"/>
            <w:tcBorders>
              <w:top w:val="single" w:sz="4" w:space="0" w:color="auto"/>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0.29</w:t>
            </w:r>
          </w:p>
        </w:tc>
      </w:tr>
      <w:tr w:rsidR="006A57B2" w:rsidRPr="008521B7" w:rsidTr="007C5745">
        <w:trPr>
          <w:trHeight w:val="300"/>
        </w:trPr>
        <w:tc>
          <w:tcPr>
            <w:tcW w:w="1155" w:type="dxa"/>
            <w:vMerge/>
            <w:tcBorders>
              <w:top w:val="single" w:sz="4" w:space="0" w:color="auto"/>
              <w:left w:val="single" w:sz="8" w:space="0" w:color="auto"/>
              <w:bottom w:val="single" w:sz="4" w:space="0" w:color="000000"/>
              <w:right w:val="nil"/>
            </w:tcBorders>
            <w:shd w:val="clear" w:color="auto" w:fill="DEEAF6" w:themeFill="accent1" w:themeFillTint="33"/>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Deferred consent</w:t>
            </w:r>
            <w:r>
              <w:rPr>
                <w:rFonts w:ascii="Calibri" w:eastAsia="Times New Roman" w:hAnsi="Calibri" w:cs="Calibri"/>
                <w:color w:val="000000"/>
                <w:sz w:val="20"/>
                <w:szCs w:val="20"/>
                <w:lang w:eastAsia="en-GB"/>
              </w:rPr>
              <w:t>*</w:t>
            </w:r>
          </w:p>
        </w:tc>
        <w:tc>
          <w:tcPr>
            <w:tcW w:w="541"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(30)</w:t>
            </w:r>
          </w:p>
        </w:tc>
        <w:tc>
          <w:tcPr>
            <w:tcW w:w="2152"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Prospective</w:t>
            </w:r>
          </w:p>
        </w:tc>
        <w:tc>
          <w:tcPr>
            <w:tcW w:w="733"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(12)</w:t>
            </w:r>
          </w:p>
        </w:tc>
        <w:tc>
          <w:tcPr>
            <w:tcW w:w="798"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0.87</w:t>
            </w:r>
          </w:p>
        </w:tc>
        <w:tc>
          <w:tcPr>
            <w:tcW w:w="1134"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0.40-1.90</w:t>
            </w:r>
          </w:p>
        </w:tc>
        <w:tc>
          <w:tcPr>
            <w:tcW w:w="907" w:type="dxa"/>
            <w:tcBorders>
              <w:top w:val="nil"/>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0.73</w:t>
            </w:r>
          </w:p>
        </w:tc>
      </w:tr>
      <w:tr w:rsidR="006A57B2" w:rsidRPr="008521B7" w:rsidTr="007C5745">
        <w:trPr>
          <w:trHeight w:val="300"/>
        </w:trPr>
        <w:tc>
          <w:tcPr>
            <w:tcW w:w="1155" w:type="dxa"/>
            <w:vMerge/>
            <w:tcBorders>
              <w:top w:val="single" w:sz="4" w:space="0" w:color="auto"/>
              <w:left w:val="single" w:sz="8" w:space="0" w:color="auto"/>
              <w:bottom w:val="single" w:sz="4" w:space="0" w:color="000000"/>
              <w:right w:val="nil"/>
            </w:tcBorders>
            <w:shd w:val="clear" w:color="auto" w:fill="DEEAF6" w:themeFill="accent1" w:themeFillTint="33"/>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single" w:sz="4" w:space="0" w:color="auto"/>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Suspected infection</w:t>
            </w:r>
          </w:p>
        </w:tc>
        <w:tc>
          <w:tcPr>
            <w:tcW w:w="541" w:type="dxa"/>
            <w:tcBorders>
              <w:top w:val="nil"/>
              <w:left w:val="nil"/>
              <w:bottom w:val="single" w:sz="4" w:space="0" w:color="auto"/>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(18)</w:t>
            </w:r>
          </w:p>
        </w:tc>
        <w:tc>
          <w:tcPr>
            <w:tcW w:w="2152" w:type="dxa"/>
            <w:tcBorders>
              <w:top w:val="nil"/>
              <w:left w:val="nil"/>
              <w:bottom w:val="single" w:sz="4" w:space="0" w:color="auto"/>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 xml:space="preserve">No suspected infection </w:t>
            </w:r>
          </w:p>
        </w:tc>
        <w:tc>
          <w:tcPr>
            <w:tcW w:w="733" w:type="dxa"/>
            <w:tcBorders>
              <w:top w:val="nil"/>
              <w:left w:val="nil"/>
              <w:bottom w:val="single" w:sz="4" w:space="0" w:color="auto"/>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(24)</w:t>
            </w:r>
          </w:p>
        </w:tc>
        <w:tc>
          <w:tcPr>
            <w:tcW w:w="798" w:type="dxa"/>
            <w:tcBorders>
              <w:top w:val="nil"/>
              <w:left w:val="nil"/>
              <w:bottom w:val="single" w:sz="4" w:space="0" w:color="auto"/>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0.69</w:t>
            </w:r>
          </w:p>
        </w:tc>
        <w:tc>
          <w:tcPr>
            <w:tcW w:w="1134" w:type="dxa"/>
            <w:tcBorders>
              <w:top w:val="nil"/>
              <w:left w:val="nil"/>
              <w:bottom w:val="single" w:sz="4" w:space="0" w:color="auto"/>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0.33-1.42</w:t>
            </w:r>
          </w:p>
        </w:tc>
        <w:tc>
          <w:tcPr>
            <w:tcW w:w="907" w:type="dxa"/>
            <w:tcBorders>
              <w:top w:val="nil"/>
              <w:left w:val="nil"/>
              <w:bottom w:val="single" w:sz="4" w:space="0" w:color="auto"/>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0.31</w:t>
            </w:r>
          </w:p>
        </w:tc>
      </w:tr>
      <w:tr w:rsidR="006A57B2" w:rsidRPr="008521B7" w:rsidTr="007C5745">
        <w:trPr>
          <w:trHeight w:val="300"/>
        </w:trPr>
        <w:tc>
          <w:tcPr>
            <w:tcW w:w="1155" w:type="dxa"/>
            <w:tcBorders>
              <w:top w:val="nil"/>
              <w:left w:val="single" w:sz="8" w:space="0" w:color="auto"/>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p>
        </w:tc>
        <w:tc>
          <w:tcPr>
            <w:tcW w:w="541"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p>
        </w:tc>
        <w:tc>
          <w:tcPr>
            <w:tcW w:w="2152"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p>
        </w:tc>
        <w:tc>
          <w:tcPr>
            <w:tcW w:w="733"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p>
        </w:tc>
        <w:tc>
          <w:tcPr>
            <w:tcW w:w="798"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907" w:type="dxa"/>
            <w:tcBorders>
              <w:top w:val="nil"/>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r>
      <w:tr w:rsidR="006A57B2" w:rsidRPr="008521B7" w:rsidTr="007C5745">
        <w:trPr>
          <w:trHeight w:val="300"/>
        </w:trPr>
        <w:tc>
          <w:tcPr>
            <w:tcW w:w="1155" w:type="dxa"/>
            <w:vMerge w:val="restart"/>
            <w:tcBorders>
              <w:top w:val="single" w:sz="4" w:space="0" w:color="auto"/>
              <w:left w:val="single" w:sz="8" w:space="0" w:color="auto"/>
              <w:bottom w:val="single" w:sz="4" w:space="0" w:color="000000"/>
              <w:right w:val="nil"/>
            </w:tcBorders>
            <w:shd w:val="clear" w:color="auto" w:fill="DEEAF6" w:themeFill="accent1" w:themeFillTint="33"/>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Secondary</w:t>
            </w:r>
          </w:p>
        </w:tc>
        <w:tc>
          <w:tcPr>
            <w:tcW w:w="2404" w:type="dxa"/>
            <w:tcBorders>
              <w:top w:val="single" w:sz="4" w:space="0" w:color="auto"/>
              <w:left w:val="nil"/>
              <w:bottom w:val="nil"/>
              <w:right w:val="nil"/>
            </w:tcBorders>
            <w:shd w:val="clear" w:color="auto" w:fill="auto"/>
            <w:noWrap/>
            <w:vAlign w:val="center"/>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Antibiotic  CVC</w:t>
            </w:r>
          </w:p>
        </w:tc>
        <w:tc>
          <w:tcPr>
            <w:tcW w:w="541" w:type="dxa"/>
            <w:tcBorders>
              <w:top w:val="single" w:sz="4" w:space="0" w:color="auto"/>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(7)</w:t>
            </w:r>
          </w:p>
        </w:tc>
        <w:tc>
          <w:tcPr>
            <w:tcW w:w="2152" w:type="dxa"/>
            <w:tcBorders>
              <w:top w:val="single" w:sz="4" w:space="0" w:color="auto"/>
              <w:left w:val="nil"/>
              <w:bottom w:val="nil"/>
              <w:right w:val="nil"/>
            </w:tcBorders>
            <w:shd w:val="clear" w:color="auto" w:fill="auto"/>
            <w:noWrap/>
            <w:vAlign w:val="center"/>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Standard</w:t>
            </w:r>
          </w:p>
        </w:tc>
        <w:tc>
          <w:tcPr>
            <w:tcW w:w="733" w:type="dxa"/>
            <w:tcBorders>
              <w:top w:val="single" w:sz="4" w:space="0" w:color="auto"/>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bCs/>
                <w:color w:val="000000"/>
                <w:sz w:val="20"/>
                <w:szCs w:val="20"/>
                <w:lang w:eastAsia="en-GB"/>
              </w:rPr>
            </w:pPr>
            <w:r w:rsidRPr="007826B8">
              <w:rPr>
                <w:rFonts w:ascii="Calibri" w:eastAsia="Times New Roman" w:hAnsi="Calibri" w:cs="Calibri"/>
                <w:bCs/>
                <w:color w:val="000000"/>
                <w:sz w:val="20"/>
                <w:szCs w:val="20"/>
                <w:lang w:eastAsia="en-GB"/>
              </w:rPr>
              <w:t>(18)</w:t>
            </w:r>
          </w:p>
        </w:tc>
        <w:tc>
          <w:tcPr>
            <w:tcW w:w="798" w:type="dxa"/>
            <w:tcBorders>
              <w:top w:val="single" w:sz="4" w:space="0" w:color="auto"/>
              <w:left w:val="nil"/>
              <w:bottom w:val="nil"/>
              <w:right w:val="nil"/>
            </w:tcBorders>
            <w:shd w:val="clear" w:color="auto" w:fill="auto"/>
            <w:noWrap/>
            <w:vAlign w:val="center"/>
          </w:tcPr>
          <w:p w:rsidR="006A57B2" w:rsidRPr="007826B8" w:rsidRDefault="006A57B2" w:rsidP="00B22173">
            <w:pPr>
              <w:spacing w:after="0" w:line="240" w:lineRule="auto"/>
              <w:jc w:val="center"/>
              <w:rPr>
                <w:rFonts w:ascii="Calibri" w:eastAsia="Times New Roman" w:hAnsi="Calibri" w:cs="Calibri"/>
                <w:b/>
                <w:bCs/>
                <w:color w:val="000000"/>
                <w:sz w:val="20"/>
                <w:szCs w:val="20"/>
                <w:lang w:eastAsia="en-GB"/>
              </w:rPr>
            </w:pPr>
            <w:r w:rsidRPr="007826B8">
              <w:rPr>
                <w:rFonts w:ascii="Calibri" w:eastAsia="Times New Roman" w:hAnsi="Calibri" w:cs="Calibri"/>
                <w:b/>
                <w:bCs/>
                <w:color w:val="000000"/>
                <w:sz w:val="20"/>
                <w:szCs w:val="20"/>
                <w:lang w:eastAsia="en-GB"/>
              </w:rPr>
              <w:t>0.40</w:t>
            </w:r>
          </w:p>
        </w:tc>
        <w:tc>
          <w:tcPr>
            <w:tcW w:w="1134" w:type="dxa"/>
            <w:tcBorders>
              <w:top w:val="single" w:sz="4" w:space="0" w:color="auto"/>
              <w:left w:val="nil"/>
              <w:bottom w:val="nil"/>
              <w:right w:val="nil"/>
            </w:tcBorders>
            <w:shd w:val="clear" w:color="auto" w:fill="auto"/>
            <w:noWrap/>
            <w:vAlign w:val="center"/>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0.17-0.96</w:t>
            </w:r>
          </w:p>
        </w:tc>
        <w:tc>
          <w:tcPr>
            <w:tcW w:w="907" w:type="dxa"/>
            <w:tcBorders>
              <w:top w:val="single" w:sz="4" w:space="0" w:color="auto"/>
              <w:left w:val="nil"/>
              <w:bottom w:val="nil"/>
              <w:right w:val="single" w:sz="8" w:space="0" w:color="auto"/>
            </w:tcBorders>
            <w:shd w:val="clear" w:color="auto" w:fill="auto"/>
            <w:noWrap/>
            <w:vAlign w:val="center"/>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0.04</w:t>
            </w:r>
          </w:p>
        </w:tc>
      </w:tr>
      <w:tr w:rsidR="006A57B2" w:rsidRPr="008521B7" w:rsidTr="007C5745">
        <w:trPr>
          <w:trHeight w:val="300"/>
        </w:trPr>
        <w:tc>
          <w:tcPr>
            <w:tcW w:w="1155" w:type="dxa"/>
            <w:vMerge/>
            <w:tcBorders>
              <w:top w:val="single" w:sz="4" w:space="0" w:color="auto"/>
              <w:left w:val="single" w:sz="8" w:space="0" w:color="auto"/>
              <w:bottom w:val="single" w:sz="4" w:space="0" w:color="000000"/>
              <w:right w:val="nil"/>
            </w:tcBorders>
            <w:shd w:val="clear" w:color="auto" w:fill="DEEAF6" w:themeFill="accent1" w:themeFillTint="33"/>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nil"/>
              <w:right w:val="nil"/>
            </w:tcBorders>
            <w:shd w:val="clear" w:color="auto" w:fill="auto"/>
            <w:noWrap/>
            <w:vAlign w:val="center"/>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Heparin CVC</w:t>
            </w:r>
          </w:p>
        </w:tc>
        <w:tc>
          <w:tcPr>
            <w:tcW w:w="541"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(17)</w:t>
            </w:r>
          </w:p>
        </w:tc>
        <w:tc>
          <w:tcPr>
            <w:tcW w:w="2152" w:type="dxa"/>
            <w:tcBorders>
              <w:top w:val="nil"/>
              <w:left w:val="nil"/>
              <w:bottom w:val="nil"/>
              <w:right w:val="nil"/>
            </w:tcBorders>
            <w:shd w:val="clear" w:color="auto" w:fill="auto"/>
            <w:noWrap/>
            <w:vAlign w:val="center"/>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Standard</w:t>
            </w:r>
          </w:p>
        </w:tc>
        <w:tc>
          <w:tcPr>
            <w:tcW w:w="733"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(18)</w:t>
            </w:r>
          </w:p>
        </w:tc>
        <w:tc>
          <w:tcPr>
            <w:tcW w:w="798" w:type="dxa"/>
            <w:tcBorders>
              <w:top w:val="nil"/>
              <w:left w:val="nil"/>
              <w:bottom w:val="nil"/>
              <w:right w:val="nil"/>
            </w:tcBorders>
            <w:shd w:val="clear" w:color="auto" w:fill="auto"/>
            <w:noWrap/>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1.05</w:t>
            </w:r>
          </w:p>
        </w:tc>
        <w:tc>
          <w:tcPr>
            <w:tcW w:w="1134" w:type="dxa"/>
            <w:tcBorders>
              <w:top w:val="nil"/>
              <w:left w:val="nil"/>
              <w:bottom w:val="nil"/>
              <w:right w:val="nil"/>
            </w:tcBorders>
            <w:shd w:val="clear" w:color="auto" w:fill="auto"/>
            <w:noWrap/>
            <w:vAlign w:val="center"/>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0.54-2.05</w:t>
            </w:r>
          </w:p>
        </w:tc>
        <w:tc>
          <w:tcPr>
            <w:tcW w:w="907" w:type="dxa"/>
            <w:tcBorders>
              <w:top w:val="nil"/>
              <w:left w:val="nil"/>
              <w:bottom w:val="nil"/>
              <w:right w:val="single" w:sz="8" w:space="0" w:color="auto"/>
            </w:tcBorders>
            <w:shd w:val="clear" w:color="auto" w:fill="auto"/>
            <w:noWrap/>
            <w:vAlign w:val="center"/>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0.89</w:t>
            </w:r>
          </w:p>
        </w:tc>
      </w:tr>
      <w:tr w:rsidR="006A57B2" w:rsidRPr="008521B7" w:rsidTr="007C5745">
        <w:trPr>
          <w:trHeight w:val="300"/>
        </w:trPr>
        <w:tc>
          <w:tcPr>
            <w:tcW w:w="1155" w:type="dxa"/>
            <w:vMerge/>
            <w:tcBorders>
              <w:top w:val="single" w:sz="4" w:space="0" w:color="auto"/>
              <w:left w:val="single" w:sz="8" w:space="0" w:color="auto"/>
              <w:bottom w:val="single" w:sz="4" w:space="0" w:color="000000"/>
              <w:right w:val="nil"/>
            </w:tcBorders>
            <w:shd w:val="clear" w:color="auto" w:fill="DEEAF6" w:themeFill="accent1" w:themeFillTint="33"/>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Deferred consent</w:t>
            </w:r>
          </w:p>
        </w:tc>
        <w:tc>
          <w:tcPr>
            <w:tcW w:w="541"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(30)</w:t>
            </w:r>
          </w:p>
        </w:tc>
        <w:tc>
          <w:tcPr>
            <w:tcW w:w="2152"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Prospective</w:t>
            </w:r>
          </w:p>
        </w:tc>
        <w:tc>
          <w:tcPr>
            <w:tcW w:w="733"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(12)</w:t>
            </w:r>
          </w:p>
        </w:tc>
        <w:tc>
          <w:tcPr>
            <w:tcW w:w="798"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0.87</w:t>
            </w:r>
          </w:p>
        </w:tc>
        <w:tc>
          <w:tcPr>
            <w:tcW w:w="1134"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0.40-1.90</w:t>
            </w:r>
          </w:p>
        </w:tc>
        <w:tc>
          <w:tcPr>
            <w:tcW w:w="907" w:type="dxa"/>
            <w:tcBorders>
              <w:top w:val="nil"/>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0.35</w:t>
            </w:r>
          </w:p>
        </w:tc>
      </w:tr>
      <w:tr w:rsidR="006A57B2" w:rsidRPr="008521B7" w:rsidTr="007C5745">
        <w:trPr>
          <w:trHeight w:val="300"/>
        </w:trPr>
        <w:tc>
          <w:tcPr>
            <w:tcW w:w="1155" w:type="dxa"/>
            <w:vMerge/>
            <w:tcBorders>
              <w:top w:val="single" w:sz="4" w:space="0" w:color="auto"/>
              <w:left w:val="single" w:sz="8" w:space="0" w:color="auto"/>
              <w:bottom w:val="single" w:sz="4" w:space="0" w:color="000000"/>
              <w:right w:val="nil"/>
            </w:tcBorders>
            <w:shd w:val="clear" w:color="auto" w:fill="DEEAF6" w:themeFill="accent1" w:themeFillTint="33"/>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single" w:sz="4" w:space="0" w:color="auto"/>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Suspected infection</w:t>
            </w:r>
          </w:p>
        </w:tc>
        <w:tc>
          <w:tcPr>
            <w:tcW w:w="541" w:type="dxa"/>
            <w:tcBorders>
              <w:top w:val="nil"/>
              <w:left w:val="nil"/>
              <w:bottom w:val="single" w:sz="4" w:space="0" w:color="auto"/>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(18)</w:t>
            </w:r>
          </w:p>
        </w:tc>
        <w:tc>
          <w:tcPr>
            <w:tcW w:w="2152" w:type="dxa"/>
            <w:tcBorders>
              <w:top w:val="nil"/>
              <w:left w:val="nil"/>
              <w:bottom w:val="single" w:sz="4" w:space="0" w:color="auto"/>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 xml:space="preserve">No suspected infection </w:t>
            </w:r>
          </w:p>
        </w:tc>
        <w:tc>
          <w:tcPr>
            <w:tcW w:w="733" w:type="dxa"/>
            <w:tcBorders>
              <w:top w:val="nil"/>
              <w:left w:val="nil"/>
              <w:bottom w:val="single" w:sz="4" w:space="0" w:color="auto"/>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(24)</w:t>
            </w:r>
          </w:p>
        </w:tc>
        <w:tc>
          <w:tcPr>
            <w:tcW w:w="798" w:type="dxa"/>
            <w:tcBorders>
              <w:top w:val="nil"/>
              <w:left w:val="nil"/>
              <w:bottom w:val="single" w:sz="4" w:space="0" w:color="auto"/>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0.68</w:t>
            </w:r>
          </w:p>
        </w:tc>
        <w:tc>
          <w:tcPr>
            <w:tcW w:w="1134" w:type="dxa"/>
            <w:tcBorders>
              <w:top w:val="nil"/>
              <w:left w:val="nil"/>
              <w:bottom w:val="single" w:sz="4" w:space="0" w:color="auto"/>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0.33-1.40</w:t>
            </w:r>
          </w:p>
        </w:tc>
        <w:tc>
          <w:tcPr>
            <w:tcW w:w="907" w:type="dxa"/>
            <w:tcBorders>
              <w:top w:val="nil"/>
              <w:left w:val="nil"/>
              <w:bottom w:val="single" w:sz="4" w:space="0" w:color="auto"/>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0.30</w:t>
            </w:r>
          </w:p>
        </w:tc>
      </w:tr>
      <w:tr w:rsidR="006A57B2" w:rsidRPr="008521B7" w:rsidTr="007C5745">
        <w:trPr>
          <w:trHeight w:val="300"/>
        </w:trPr>
        <w:tc>
          <w:tcPr>
            <w:tcW w:w="1155" w:type="dxa"/>
            <w:tcBorders>
              <w:top w:val="nil"/>
              <w:left w:val="single" w:sz="8" w:space="0" w:color="auto"/>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2404"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p>
        </w:tc>
        <w:tc>
          <w:tcPr>
            <w:tcW w:w="541"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p>
        </w:tc>
        <w:tc>
          <w:tcPr>
            <w:tcW w:w="2152"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p>
        </w:tc>
        <w:tc>
          <w:tcPr>
            <w:tcW w:w="733"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p>
        </w:tc>
        <w:tc>
          <w:tcPr>
            <w:tcW w:w="798"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p>
        </w:tc>
        <w:tc>
          <w:tcPr>
            <w:tcW w:w="1134"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c>
          <w:tcPr>
            <w:tcW w:w="907" w:type="dxa"/>
            <w:tcBorders>
              <w:top w:val="nil"/>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p>
        </w:tc>
      </w:tr>
      <w:tr w:rsidR="006A57B2" w:rsidRPr="008521B7" w:rsidTr="007C5745">
        <w:trPr>
          <w:trHeight w:val="300"/>
        </w:trPr>
        <w:tc>
          <w:tcPr>
            <w:tcW w:w="1155" w:type="dxa"/>
            <w:vMerge w:val="restart"/>
            <w:tcBorders>
              <w:top w:val="single" w:sz="4" w:space="0" w:color="auto"/>
              <w:left w:val="single" w:sz="8" w:space="0" w:color="auto"/>
              <w:bottom w:val="single" w:sz="8" w:space="0" w:color="000000"/>
              <w:right w:val="nil"/>
            </w:tcBorders>
            <w:shd w:val="clear" w:color="auto" w:fill="DEEAF6" w:themeFill="accent1" w:themeFillTint="33"/>
            <w:noWrap/>
            <w:vAlign w:val="center"/>
            <w:hideMark/>
          </w:tcPr>
          <w:p w:rsidR="006A57B2" w:rsidRPr="008521B7" w:rsidRDefault="006A57B2" w:rsidP="005A763C">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Secondary</w:t>
            </w:r>
          </w:p>
        </w:tc>
        <w:tc>
          <w:tcPr>
            <w:tcW w:w="2404" w:type="dxa"/>
            <w:tcBorders>
              <w:top w:val="single" w:sz="4" w:space="0" w:color="auto"/>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Antibiotic CVC</w:t>
            </w:r>
          </w:p>
        </w:tc>
        <w:tc>
          <w:tcPr>
            <w:tcW w:w="541" w:type="dxa"/>
            <w:tcBorders>
              <w:top w:val="single" w:sz="4" w:space="0" w:color="auto"/>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(7)</w:t>
            </w:r>
          </w:p>
        </w:tc>
        <w:tc>
          <w:tcPr>
            <w:tcW w:w="2152" w:type="dxa"/>
            <w:tcBorders>
              <w:top w:val="single" w:sz="4" w:space="0" w:color="auto"/>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Heparin</w:t>
            </w:r>
          </w:p>
        </w:tc>
        <w:tc>
          <w:tcPr>
            <w:tcW w:w="733" w:type="dxa"/>
            <w:tcBorders>
              <w:top w:val="single" w:sz="4" w:space="0" w:color="auto"/>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bCs/>
                <w:color w:val="000000"/>
                <w:sz w:val="20"/>
                <w:szCs w:val="20"/>
                <w:lang w:eastAsia="en-GB"/>
              </w:rPr>
            </w:pPr>
            <w:r w:rsidRPr="007826B8">
              <w:rPr>
                <w:rFonts w:ascii="Calibri" w:eastAsia="Times New Roman" w:hAnsi="Calibri" w:cs="Calibri"/>
                <w:bCs/>
                <w:color w:val="000000"/>
                <w:sz w:val="20"/>
                <w:szCs w:val="20"/>
                <w:lang w:eastAsia="en-GB"/>
              </w:rPr>
              <w:t>(17)</w:t>
            </w:r>
          </w:p>
        </w:tc>
        <w:tc>
          <w:tcPr>
            <w:tcW w:w="798" w:type="dxa"/>
            <w:tcBorders>
              <w:top w:val="single" w:sz="4" w:space="0" w:color="auto"/>
              <w:left w:val="nil"/>
              <w:bottom w:val="nil"/>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b/>
                <w:bCs/>
                <w:color w:val="000000"/>
                <w:sz w:val="20"/>
                <w:szCs w:val="20"/>
                <w:lang w:eastAsia="en-GB"/>
              </w:rPr>
            </w:pPr>
            <w:r w:rsidRPr="007826B8">
              <w:rPr>
                <w:rFonts w:ascii="Calibri" w:eastAsia="Times New Roman" w:hAnsi="Calibri" w:cs="Calibri"/>
                <w:b/>
                <w:bCs/>
                <w:color w:val="000000"/>
                <w:sz w:val="20"/>
                <w:szCs w:val="20"/>
                <w:lang w:eastAsia="en-GB"/>
              </w:rPr>
              <w:t>0.39</w:t>
            </w:r>
          </w:p>
        </w:tc>
        <w:tc>
          <w:tcPr>
            <w:tcW w:w="1134" w:type="dxa"/>
            <w:tcBorders>
              <w:top w:val="single" w:sz="4" w:space="0" w:color="auto"/>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0.16-0.95</w:t>
            </w:r>
          </w:p>
        </w:tc>
        <w:tc>
          <w:tcPr>
            <w:tcW w:w="907" w:type="dxa"/>
            <w:tcBorders>
              <w:top w:val="single" w:sz="4" w:space="0" w:color="auto"/>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b/>
                <w:bCs/>
                <w:color w:val="000000"/>
                <w:sz w:val="20"/>
                <w:szCs w:val="20"/>
                <w:lang w:eastAsia="en-GB"/>
              </w:rPr>
            </w:pPr>
            <w:r w:rsidRPr="008521B7">
              <w:rPr>
                <w:rFonts w:ascii="Calibri" w:eastAsia="Times New Roman" w:hAnsi="Calibri" w:cs="Calibri"/>
                <w:b/>
                <w:bCs/>
                <w:color w:val="000000"/>
                <w:sz w:val="20"/>
                <w:szCs w:val="20"/>
                <w:lang w:eastAsia="en-GB"/>
              </w:rPr>
              <w:t>0.04</w:t>
            </w:r>
          </w:p>
        </w:tc>
      </w:tr>
      <w:tr w:rsidR="006A57B2" w:rsidRPr="008521B7" w:rsidTr="007C5745">
        <w:trPr>
          <w:trHeight w:val="300"/>
        </w:trPr>
        <w:tc>
          <w:tcPr>
            <w:tcW w:w="1155" w:type="dxa"/>
            <w:vMerge/>
            <w:tcBorders>
              <w:top w:val="single" w:sz="4" w:space="0" w:color="auto"/>
              <w:left w:val="single" w:sz="8" w:space="0" w:color="auto"/>
              <w:bottom w:val="single" w:sz="8" w:space="0" w:color="000000"/>
              <w:right w:val="nil"/>
            </w:tcBorders>
            <w:shd w:val="clear" w:color="auto" w:fill="DEEAF6" w:themeFill="accent1" w:themeFillTint="33"/>
            <w:vAlign w:val="center"/>
            <w:hideMark/>
          </w:tcPr>
          <w:p w:rsidR="006A57B2" w:rsidRPr="008521B7" w:rsidRDefault="006A57B2" w:rsidP="00B22173">
            <w:pPr>
              <w:spacing w:after="0" w:line="240" w:lineRule="auto"/>
              <w:rPr>
                <w:rFonts w:ascii="Calibri" w:eastAsia="Times New Roman" w:hAnsi="Calibri" w:cs="Calibri"/>
                <w:color w:val="000000"/>
                <w:sz w:val="20"/>
                <w:szCs w:val="20"/>
                <w:lang w:eastAsia="en-GB"/>
              </w:rPr>
            </w:pPr>
          </w:p>
        </w:tc>
        <w:tc>
          <w:tcPr>
            <w:tcW w:w="2404"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Deferred consent</w:t>
            </w:r>
          </w:p>
        </w:tc>
        <w:tc>
          <w:tcPr>
            <w:tcW w:w="541"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(30)</w:t>
            </w:r>
          </w:p>
        </w:tc>
        <w:tc>
          <w:tcPr>
            <w:tcW w:w="2152"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Prospective</w:t>
            </w:r>
          </w:p>
        </w:tc>
        <w:tc>
          <w:tcPr>
            <w:tcW w:w="733" w:type="dxa"/>
            <w:tcBorders>
              <w:top w:val="nil"/>
              <w:left w:val="nil"/>
              <w:bottom w:val="nil"/>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(12)</w:t>
            </w:r>
          </w:p>
        </w:tc>
        <w:tc>
          <w:tcPr>
            <w:tcW w:w="798" w:type="dxa"/>
            <w:tcBorders>
              <w:top w:val="nil"/>
              <w:left w:val="nil"/>
              <w:bottom w:val="nil"/>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0.85</w:t>
            </w:r>
          </w:p>
        </w:tc>
        <w:tc>
          <w:tcPr>
            <w:tcW w:w="1134" w:type="dxa"/>
            <w:tcBorders>
              <w:top w:val="nil"/>
              <w:left w:val="nil"/>
              <w:bottom w:val="nil"/>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0.30-2.45</w:t>
            </w:r>
          </w:p>
        </w:tc>
        <w:tc>
          <w:tcPr>
            <w:tcW w:w="907" w:type="dxa"/>
            <w:tcBorders>
              <w:top w:val="nil"/>
              <w:left w:val="nil"/>
              <w:bottom w:val="nil"/>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0.76</w:t>
            </w:r>
          </w:p>
        </w:tc>
      </w:tr>
      <w:tr w:rsidR="006A57B2" w:rsidRPr="008521B7" w:rsidTr="007C5745">
        <w:trPr>
          <w:trHeight w:val="345"/>
        </w:trPr>
        <w:tc>
          <w:tcPr>
            <w:tcW w:w="1155" w:type="dxa"/>
            <w:vMerge/>
            <w:tcBorders>
              <w:top w:val="single" w:sz="4" w:space="0" w:color="auto"/>
              <w:left w:val="single" w:sz="8" w:space="0" w:color="auto"/>
              <w:bottom w:val="single" w:sz="8" w:space="0" w:color="000000"/>
              <w:right w:val="nil"/>
            </w:tcBorders>
            <w:shd w:val="clear" w:color="auto" w:fill="DEEAF6" w:themeFill="accent1" w:themeFillTint="33"/>
            <w:vAlign w:val="center"/>
            <w:hideMark/>
          </w:tcPr>
          <w:p w:rsidR="006A57B2" w:rsidRPr="008521B7" w:rsidRDefault="006A57B2" w:rsidP="00B22173">
            <w:pPr>
              <w:spacing w:after="0" w:line="240" w:lineRule="auto"/>
              <w:rPr>
                <w:rFonts w:ascii="Calibri" w:eastAsia="Times New Roman" w:hAnsi="Calibri" w:cs="Calibri"/>
                <w:color w:val="000000"/>
                <w:sz w:val="20"/>
                <w:szCs w:val="20"/>
                <w:lang w:eastAsia="en-GB"/>
              </w:rPr>
            </w:pPr>
          </w:p>
        </w:tc>
        <w:tc>
          <w:tcPr>
            <w:tcW w:w="2404" w:type="dxa"/>
            <w:tcBorders>
              <w:top w:val="nil"/>
              <w:left w:val="nil"/>
              <w:bottom w:val="single" w:sz="8" w:space="0" w:color="auto"/>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 xml:space="preserve">Suspected infection </w:t>
            </w:r>
          </w:p>
        </w:tc>
        <w:tc>
          <w:tcPr>
            <w:tcW w:w="541" w:type="dxa"/>
            <w:tcBorders>
              <w:top w:val="nil"/>
              <w:left w:val="nil"/>
              <w:bottom w:val="single" w:sz="8" w:space="0" w:color="auto"/>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(18)</w:t>
            </w:r>
          </w:p>
        </w:tc>
        <w:tc>
          <w:tcPr>
            <w:tcW w:w="2152" w:type="dxa"/>
            <w:tcBorders>
              <w:top w:val="nil"/>
              <w:left w:val="nil"/>
              <w:bottom w:val="single" w:sz="8" w:space="0" w:color="auto"/>
              <w:right w:val="nil"/>
            </w:tcBorders>
            <w:shd w:val="clear" w:color="auto" w:fill="auto"/>
            <w:noWrap/>
            <w:vAlign w:val="center"/>
            <w:hideMark/>
          </w:tcPr>
          <w:p w:rsidR="006A57B2" w:rsidRPr="007826B8" w:rsidRDefault="006A57B2" w:rsidP="00B22173">
            <w:pPr>
              <w:spacing w:after="0" w:line="240" w:lineRule="auto"/>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 xml:space="preserve">No suspected infection </w:t>
            </w:r>
          </w:p>
        </w:tc>
        <w:tc>
          <w:tcPr>
            <w:tcW w:w="733" w:type="dxa"/>
            <w:tcBorders>
              <w:top w:val="nil"/>
              <w:left w:val="nil"/>
              <w:bottom w:val="single" w:sz="8" w:space="0" w:color="auto"/>
              <w:right w:val="nil"/>
            </w:tcBorders>
            <w:vAlign w:val="center"/>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(24)</w:t>
            </w:r>
          </w:p>
        </w:tc>
        <w:tc>
          <w:tcPr>
            <w:tcW w:w="798" w:type="dxa"/>
            <w:tcBorders>
              <w:top w:val="nil"/>
              <w:left w:val="nil"/>
              <w:bottom w:val="single" w:sz="8" w:space="0" w:color="auto"/>
              <w:right w:val="nil"/>
            </w:tcBorders>
            <w:shd w:val="clear" w:color="auto" w:fill="auto"/>
            <w:noWrap/>
            <w:vAlign w:val="center"/>
            <w:hideMark/>
          </w:tcPr>
          <w:p w:rsidR="006A57B2" w:rsidRPr="007826B8" w:rsidRDefault="006A57B2" w:rsidP="00B22173">
            <w:pPr>
              <w:spacing w:after="0" w:line="240" w:lineRule="auto"/>
              <w:jc w:val="center"/>
              <w:rPr>
                <w:rFonts w:ascii="Calibri" w:eastAsia="Times New Roman" w:hAnsi="Calibri" w:cs="Calibri"/>
                <w:color w:val="000000"/>
                <w:sz w:val="20"/>
                <w:szCs w:val="20"/>
                <w:lang w:eastAsia="en-GB"/>
              </w:rPr>
            </w:pPr>
            <w:r w:rsidRPr="007826B8">
              <w:rPr>
                <w:rFonts w:ascii="Calibri" w:eastAsia="Times New Roman" w:hAnsi="Calibri" w:cs="Calibri"/>
                <w:color w:val="000000"/>
                <w:sz w:val="20"/>
                <w:szCs w:val="20"/>
                <w:lang w:eastAsia="en-GB"/>
              </w:rPr>
              <w:t>0.99</w:t>
            </w:r>
          </w:p>
        </w:tc>
        <w:tc>
          <w:tcPr>
            <w:tcW w:w="1134" w:type="dxa"/>
            <w:tcBorders>
              <w:top w:val="nil"/>
              <w:left w:val="nil"/>
              <w:bottom w:val="single" w:sz="8" w:space="0" w:color="auto"/>
              <w:right w:val="nil"/>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0.40-2.43</w:t>
            </w:r>
          </w:p>
        </w:tc>
        <w:tc>
          <w:tcPr>
            <w:tcW w:w="907" w:type="dxa"/>
            <w:tcBorders>
              <w:top w:val="nil"/>
              <w:left w:val="nil"/>
              <w:bottom w:val="single" w:sz="8" w:space="0" w:color="auto"/>
              <w:right w:val="single" w:sz="8" w:space="0" w:color="auto"/>
            </w:tcBorders>
            <w:shd w:val="clear" w:color="auto" w:fill="auto"/>
            <w:noWrap/>
            <w:vAlign w:val="center"/>
            <w:hideMark/>
          </w:tcPr>
          <w:p w:rsidR="006A57B2" w:rsidRPr="008521B7" w:rsidRDefault="006A57B2" w:rsidP="00B22173">
            <w:pPr>
              <w:spacing w:after="0" w:line="240" w:lineRule="auto"/>
              <w:jc w:val="center"/>
              <w:rPr>
                <w:rFonts w:ascii="Calibri" w:eastAsia="Times New Roman" w:hAnsi="Calibri" w:cs="Calibri"/>
                <w:color w:val="000000"/>
                <w:sz w:val="20"/>
                <w:szCs w:val="20"/>
                <w:lang w:eastAsia="en-GB"/>
              </w:rPr>
            </w:pPr>
            <w:r w:rsidRPr="008521B7">
              <w:rPr>
                <w:rFonts w:ascii="Calibri" w:eastAsia="Times New Roman" w:hAnsi="Calibri" w:cs="Calibri"/>
                <w:color w:val="000000"/>
                <w:sz w:val="20"/>
                <w:szCs w:val="20"/>
                <w:lang w:eastAsia="en-GB"/>
              </w:rPr>
              <w:t>0.98</w:t>
            </w:r>
          </w:p>
        </w:tc>
      </w:tr>
    </w:tbl>
    <w:p w:rsidR="006A57B2" w:rsidRPr="00DE177E" w:rsidRDefault="006A57B2" w:rsidP="00B22173">
      <w:pPr>
        <w:rPr>
          <w:rFonts w:asciiTheme="majorHAnsi" w:hAnsiTheme="majorHAnsi" w:cstheme="majorHAnsi"/>
        </w:rPr>
      </w:pPr>
      <w:r w:rsidRPr="007C5745">
        <w:rPr>
          <w:rFonts w:asciiTheme="majorHAnsi" w:hAnsiTheme="majorHAnsi" w:cstheme="majorHAnsi"/>
        </w:rPr>
        <w:t>Hazard</w:t>
      </w:r>
      <w:r>
        <w:rPr>
          <w:rFonts w:asciiTheme="majorHAnsi" w:hAnsiTheme="majorHAnsi" w:cstheme="majorHAnsi"/>
        </w:rPr>
        <w:t xml:space="preserve"> ratios p&lt;0.05 are in bold; * participants with prospective consent were admitted electively and participants with deferred consent were admitted as an emergency.</w:t>
      </w:r>
    </w:p>
    <w:p w:rsidR="006A57B2" w:rsidRDefault="006A57B2" w:rsidP="00B22173">
      <w:pPr>
        <w:rPr>
          <w:color w:val="2E74B5" w:themeColor="accent1" w:themeShade="BF"/>
        </w:rPr>
      </w:pPr>
    </w:p>
    <w:p w:rsidR="006A57B2" w:rsidRPr="00BE078C" w:rsidRDefault="006A57B2" w:rsidP="00B22173">
      <w:pPr>
        <w:rPr>
          <w:color w:val="2E74B5" w:themeColor="accent1" w:themeShade="BF"/>
        </w:rPr>
      </w:pPr>
    </w:p>
    <w:p w:rsidR="006A57B2" w:rsidRPr="00BE078C" w:rsidRDefault="006A57B2" w:rsidP="00FF0134">
      <w:pPr>
        <w:pStyle w:val="Caption"/>
        <w:rPr>
          <w:rFonts w:asciiTheme="majorHAnsi" w:hAnsiTheme="majorHAnsi"/>
          <w:color w:val="2E74B5" w:themeColor="accent1" w:themeShade="BF"/>
          <w:sz w:val="22"/>
          <w:szCs w:val="22"/>
        </w:rPr>
      </w:pPr>
      <w:bookmarkStart w:id="83" w:name="_Toc428178962"/>
      <w:r w:rsidRPr="00BE078C">
        <w:rPr>
          <w:sz w:val="22"/>
          <w:szCs w:val="22"/>
        </w:rPr>
        <w:t xml:space="preserve">Table </w:t>
      </w:r>
      <w:r>
        <w:rPr>
          <w:noProof/>
          <w:sz w:val="22"/>
          <w:szCs w:val="22"/>
        </w:rPr>
        <w:t>7</w:t>
      </w:r>
      <w:r w:rsidRPr="00BE078C">
        <w:rPr>
          <w:sz w:val="22"/>
          <w:szCs w:val="22"/>
        </w:rPr>
        <w:t>: Competing risk analysis for primary outcome of time to first BSI</w:t>
      </w:r>
      <w:bookmarkEnd w:id="83"/>
      <w:r w:rsidRPr="00BE078C">
        <w:rPr>
          <w:rFonts w:asciiTheme="majorHAnsi" w:hAnsiTheme="majorHAnsi"/>
          <w:b w:val="0"/>
          <w:color w:val="2E74B5" w:themeColor="accent1" w:themeShade="BF"/>
          <w:sz w:val="22"/>
          <w:szCs w:val="22"/>
        </w:rPr>
        <w:t xml:space="preserve"> </w:t>
      </w:r>
    </w:p>
    <w:tbl>
      <w:tblPr>
        <w:tblStyle w:val="TableGrid1"/>
        <w:tblW w:w="0" w:type="auto"/>
        <w:tblLayout w:type="fixed"/>
        <w:tblLook w:val="04A0" w:firstRow="1" w:lastRow="0" w:firstColumn="1" w:lastColumn="0" w:noHBand="0" w:noVBand="1"/>
      </w:tblPr>
      <w:tblGrid>
        <w:gridCol w:w="2405"/>
        <w:gridCol w:w="2268"/>
        <w:gridCol w:w="4343"/>
      </w:tblGrid>
      <w:tr w:rsidR="006A57B2" w:rsidRPr="00A305AC" w:rsidTr="007C5745">
        <w:trPr>
          <w:trHeight w:val="567"/>
        </w:trPr>
        <w:tc>
          <w:tcPr>
            <w:tcW w:w="2405" w:type="dxa"/>
            <w:shd w:val="clear" w:color="auto" w:fill="BDD6EE" w:themeFill="accent1" w:themeFillTint="66"/>
            <w:vAlign w:val="center"/>
          </w:tcPr>
          <w:p w:rsidR="006A57B2" w:rsidRPr="00EC0AA8" w:rsidRDefault="006A57B2" w:rsidP="00B22173">
            <w:pPr>
              <w:pStyle w:val="Default"/>
              <w:jc w:val="center"/>
              <w:rPr>
                <w:rFonts w:asciiTheme="majorHAnsi" w:hAnsiTheme="majorHAnsi" w:cstheme="majorHAnsi"/>
                <w:b/>
                <w:color w:val="auto"/>
                <w:sz w:val="20"/>
                <w:szCs w:val="20"/>
              </w:rPr>
            </w:pPr>
            <w:r w:rsidRPr="00EC0AA8">
              <w:rPr>
                <w:rFonts w:asciiTheme="majorHAnsi" w:hAnsiTheme="majorHAnsi" w:cstheme="majorHAnsi"/>
                <w:b/>
                <w:color w:val="auto"/>
                <w:sz w:val="20"/>
                <w:szCs w:val="20"/>
              </w:rPr>
              <w:t>Outcome</w:t>
            </w:r>
          </w:p>
        </w:tc>
        <w:tc>
          <w:tcPr>
            <w:tcW w:w="2268" w:type="dxa"/>
            <w:shd w:val="clear" w:color="auto" w:fill="BDD6EE" w:themeFill="accent1" w:themeFillTint="66"/>
            <w:vAlign w:val="center"/>
          </w:tcPr>
          <w:p w:rsidR="006A57B2" w:rsidRPr="00EC0AA8" w:rsidRDefault="006A57B2" w:rsidP="00B22173">
            <w:pPr>
              <w:pStyle w:val="Default"/>
              <w:jc w:val="center"/>
              <w:rPr>
                <w:rFonts w:asciiTheme="majorHAnsi" w:hAnsiTheme="majorHAnsi" w:cstheme="majorHAnsi"/>
                <w:b/>
                <w:color w:val="auto"/>
                <w:sz w:val="20"/>
                <w:szCs w:val="20"/>
              </w:rPr>
            </w:pPr>
            <w:r w:rsidRPr="00EC0AA8">
              <w:rPr>
                <w:rFonts w:asciiTheme="majorHAnsi" w:hAnsiTheme="majorHAnsi" w:cstheme="majorHAnsi"/>
                <w:b/>
                <w:color w:val="auto"/>
                <w:sz w:val="20"/>
                <w:szCs w:val="20"/>
              </w:rPr>
              <w:t>Hazard ratio (95% CI)</w:t>
            </w:r>
          </w:p>
        </w:tc>
        <w:tc>
          <w:tcPr>
            <w:tcW w:w="4343" w:type="dxa"/>
            <w:shd w:val="clear" w:color="auto" w:fill="BDD6EE" w:themeFill="accent1" w:themeFillTint="66"/>
            <w:vAlign w:val="center"/>
          </w:tcPr>
          <w:p w:rsidR="006A57B2" w:rsidRPr="00EC0AA8" w:rsidRDefault="006A57B2" w:rsidP="00B22173">
            <w:pPr>
              <w:pStyle w:val="Default"/>
              <w:jc w:val="center"/>
              <w:rPr>
                <w:rFonts w:asciiTheme="majorHAnsi" w:hAnsiTheme="majorHAnsi" w:cstheme="majorHAnsi"/>
                <w:b/>
                <w:color w:val="auto"/>
                <w:sz w:val="20"/>
                <w:szCs w:val="20"/>
              </w:rPr>
            </w:pPr>
            <w:r w:rsidRPr="00EC0AA8">
              <w:rPr>
                <w:rFonts w:asciiTheme="majorHAnsi" w:hAnsiTheme="majorHAnsi" w:cstheme="majorHAnsi"/>
                <w:b/>
                <w:color w:val="auto"/>
                <w:sz w:val="20"/>
                <w:szCs w:val="20"/>
              </w:rPr>
              <w:t>Gray’s test</w:t>
            </w:r>
            <w:r w:rsidRPr="00EC0AA8">
              <w:rPr>
                <w:rFonts w:asciiTheme="majorHAnsi" w:hAnsiTheme="majorHAnsi" w:cstheme="majorHAnsi"/>
                <w:b/>
                <w:i/>
                <w:color w:val="auto"/>
                <w:sz w:val="20"/>
                <w:szCs w:val="20"/>
              </w:rPr>
              <w:t xml:space="preserve"> p</w:t>
            </w:r>
            <w:r w:rsidRPr="00EC0AA8">
              <w:rPr>
                <w:rFonts w:asciiTheme="majorHAnsi" w:hAnsiTheme="majorHAnsi" w:cstheme="majorHAnsi"/>
                <w:b/>
                <w:color w:val="auto"/>
                <w:sz w:val="20"/>
                <w:szCs w:val="20"/>
              </w:rPr>
              <w:t>-value</w:t>
            </w:r>
          </w:p>
        </w:tc>
      </w:tr>
      <w:tr w:rsidR="006A57B2" w:rsidRPr="00A305AC" w:rsidDel="00972B2F" w:rsidTr="007C5745">
        <w:trPr>
          <w:trHeight w:val="567"/>
        </w:trPr>
        <w:tc>
          <w:tcPr>
            <w:tcW w:w="2405" w:type="dxa"/>
            <w:vAlign w:val="center"/>
          </w:tcPr>
          <w:p w:rsidR="006A57B2" w:rsidRPr="00EC0AA8" w:rsidRDefault="006A57B2" w:rsidP="007C5745">
            <w:pPr>
              <w:spacing w:after="0" w:line="240" w:lineRule="auto"/>
              <w:rPr>
                <w:rFonts w:asciiTheme="majorHAnsi" w:hAnsiTheme="majorHAnsi" w:cstheme="majorHAnsi"/>
                <w:color w:val="000000" w:themeColor="text1"/>
                <w:sz w:val="20"/>
                <w:szCs w:val="20"/>
              </w:rPr>
            </w:pPr>
            <w:r w:rsidRPr="00EC0AA8">
              <w:rPr>
                <w:rFonts w:asciiTheme="majorHAnsi" w:hAnsiTheme="majorHAnsi" w:cstheme="majorHAnsi"/>
                <w:color w:val="000000" w:themeColor="text1"/>
                <w:sz w:val="20"/>
                <w:szCs w:val="20"/>
              </w:rPr>
              <w:t>Time to first BSI</w:t>
            </w:r>
            <w:r>
              <w:rPr>
                <w:rFonts w:asciiTheme="majorHAnsi" w:hAnsiTheme="majorHAnsi" w:cstheme="majorHAnsi"/>
                <w:color w:val="000000" w:themeColor="text1"/>
                <w:sz w:val="20"/>
                <w:szCs w:val="20"/>
              </w:rPr>
              <w:t xml:space="preserve"> </w:t>
            </w:r>
            <w:r w:rsidRPr="00EC0AA8">
              <w:rPr>
                <w:rFonts w:asciiTheme="majorHAnsi" w:hAnsiTheme="majorHAnsi" w:cstheme="majorHAnsi"/>
                <w:color w:val="000000" w:themeColor="text1"/>
                <w:sz w:val="20"/>
                <w:szCs w:val="20"/>
              </w:rPr>
              <w:t>(hours)</w:t>
            </w:r>
          </w:p>
        </w:tc>
        <w:tc>
          <w:tcPr>
            <w:tcW w:w="2268" w:type="dxa"/>
            <w:vAlign w:val="center"/>
          </w:tcPr>
          <w:p w:rsidR="006A57B2" w:rsidRPr="00EC0AA8" w:rsidRDefault="006A57B2" w:rsidP="00B22173">
            <w:pPr>
              <w:pStyle w:val="All"/>
              <w:spacing w:line="240" w:lineRule="auto"/>
              <w:jc w:val="center"/>
              <w:rPr>
                <w:rFonts w:asciiTheme="majorHAnsi" w:hAnsiTheme="majorHAnsi" w:cstheme="majorHAnsi"/>
                <w:sz w:val="20"/>
                <w:szCs w:val="20"/>
              </w:rPr>
            </w:pPr>
            <w:r w:rsidRPr="00EC0AA8">
              <w:rPr>
                <w:rFonts w:asciiTheme="majorHAnsi" w:hAnsiTheme="majorHAnsi" w:cstheme="majorHAnsi"/>
                <w:sz w:val="20"/>
                <w:szCs w:val="20"/>
              </w:rPr>
              <w:t>0.71 (0.39, 1.31)</w:t>
            </w:r>
          </w:p>
        </w:tc>
        <w:tc>
          <w:tcPr>
            <w:tcW w:w="4343" w:type="dxa"/>
            <w:vAlign w:val="center"/>
          </w:tcPr>
          <w:p w:rsidR="006A57B2" w:rsidRPr="00EC0AA8" w:rsidRDefault="006A57B2" w:rsidP="00B22173">
            <w:pPr>
              <w:pStyle w:val="All"/>
              <w:spacing w:line="240" w:lineRule="auto"/>
              <w:jc w:val="center"/>
              <w:rPr>
                <w:rFonts w:asciiTheme="majorHAnsi" w:hAnsiTheme="majorHAnsi" w:cstheme="majorHAnsi"/>
                <w:sz w:val="20"/>
                <w:szCs w:val="20"/>
              </w:rPr>
            </w:pPr>
            <w:r w:rsidRPr="00EC0AA8">
              <w:rPr>
                <w:rFonts w:asciiTheme="majorHAnsi" w:hAnsiTheme="majorHAnsi" w:cstheme="majorHAnsi"/>
                <w:sz w:val="20"/>
                <w:szCs w:val="20"/>
              </w:rPr>
              <w:t>0.29</w:t>
            </w:r>
          </w:p>
        </w:tc>
      </w:tr>
      <w:tr w:rsidR="006A57B2" w:rsidRPr="00A305AC" w:rsidDel="00972B2F" w:rsidTr="007C5745">
        <w:trPr>
          <w:trHeight w:val="567"/>
        </w:trPr>
        <w:tc>
          <w:tcPr>
            <w:tcW w:w="2405" w:type="dxa"/>
            <w:vAlign w:val="center"/>
          </w:tcPr>
          <w:p w:rsidR="006A57B2" w:rsidRPr="00EC0AA8" w:rsidRDefault="006A57B2" w:rsidP="007C5745">
            <w:pPr>
              <w:spacing w:after="0" w:line="240" w:lineRule="auto"/>
              <w:rPr>
                <w:rFonts w:asciiTheme="majorHAnsi" w:hAnsiTheme="majorHAnsi" w:cstheme="majorHAnsi"/>
                <w:color w:val="000000" w:themeColor="text1"/>
                <w:sz w:val="20"/>
                <w:szCs w:val="20"/>
              </w:rPr>
            </w:pPr>
            <w:r w:rsidRPr="00EC0AA8">
              <w:rPr>
                <w:rFonts w:asciiTheme="majorHAnsi" w:hAnsiTheme="majorHAnsi" w:cstheme="majorHAnsi"/>
                <w:color w:val="000000" w:themeColor="text1"/>
                <w:sz w:val="20"/>
                <w:szCs w:val="20"/>
              </w:rPr>
              <w:t>Time to death (hours)</w:t>
            </w:r>
          </w:p>
        </w:tc>
        <w:tc>
          <w:tcPr>
            <w:tcW w:w="2268" w:type="dxa"/>
            <w:vAlign w:val="center"/>
          </w:tcPr>
          <w:p w:rsidR="006A57B2" w:rsidRPr="00EC0AA8" w:rsidRDefault="006A57B2" w:rsidP="00B22173">
            <w:pPr>
              <w:pStyle w:val="All"/>
              <w:spacing w:line="240" w:lineRule="auto"/>
              <w:jc w:val="center"/>
              <w:rPr>
                <w:rFonts w:asciiTheme="majorHAnsi" w:hAnsiTheme="majorHAnsi" w:cstheme="majorHAnsi"/>
                <w:sz w:val="20"/>
                <w:szCs w:val="20"/>
              </w:rPr>
            </w:pPr>
            <w:r w:rsidRPr="00EC0AA8">
              <w:rPr>
                <w:rFonts w:asciiTheme="majorHAnsi" w:hAnsiTheme="majorHAnsi" w:cstheme="majorHAnsi"/>
                <w:sz w:val="20"/>
                <w:szCs w:val="20"/>
              </w:rPr>
              <w:t>1.08 (0.63, 1.85)</w:t>
            </w:r>
          </w:p>
        </w:tc>
        <w:tc>
          <w:tcPr>
            <w:tcW w:w="4343" w:type="dxa"/>
            <w:vAlign w:val="center"/>
          </w:tcPr>
          <w:p w:rsidR="006A57B2" w:rsidRPr="00EC0AA8" w:rsidRDefault="006A57B2" w:rsidP="00B22173">
            <w:pPr>
              <w:pStyle w:val="All"/>
              <w:spacing w:line="240" w:lineRule="auto"/>
              <w:jc w:val="center"/>
              <w:rPr>
                <w:rFonts w:asciiTheme="majorHAnsi" w:hAnsiTheme="majorHAnsi" w:cstheme="majorHAnsi"/>
                <w:sz w:val="20"/>
                <w:szCs w:val="20"/>
              </w:rPr>
            </w:pPr>
            <w:r w:rsidRPr="00EC0AA8">
              <w:rPr>
                <w:rFonts w:asciiTheme="majorHAnsi" w:hAnsiTheme="majorHAnsi" w:cstheme="majorHAnsi"/>
                <w:sz w:val="20"/>
                <w:szCs w:val="20"/>
              </w:rPr>
              <w:t>0.89</w:t>
            </w:r>
          </w:p>
        </w:tc>
      </w:tr>
    </w:tbl>
    <w:p w:rsidR="006A57B2" w:rsidRDefault="006A57B2" w:rsidP="00B22173"/>
    <w:p w:rsidR="006A57B2" w:rsidRDefault="006A57B2" w:rsidP="00B22173"/>
    <w:p w:rsidR="006A57B2" w:rsidRDefault="006A57B2" w:rsidP="00B22173"/>
    <w:p w:rsidR="006A57B2" w:rsidRDefault="006A57B2" w:rsidP="00B22173"/>
    <w:p w:rsidR="006A57B2" w:rsidRDefault="006A57B2" w:rsidP="00B22173"/>
    <w:p w:rsidR="006A57B2" w:rsidRDefault="006A57B2" w:rsidP="00B22173"/>
    <w:p w:rsidR="006A57B2" w:rsidRDefault="006A57B2">
      <w:pPr>
        <w:spacing w:after="0" w:line="240" w:lineRule="auto"/>
        <w:rPr>
          <w:b/>
          <w:bCs/>
          <w:color w:val="5B9BD5" w:themeColor="accent1"/>
          <w:sz w:val="18"/>
          <w:szCs w:val="18"/>
        </w:rPr>
      </w:pPr>
      <w:r>
        <w:br w:type="page"/>
      </w:r>
    </w:p>
    <w:p w:rsidR="006A57B2" w:rsidRPr="00BE078C" w:rsidRDefault="006A57B2" w:rsidP="00FF0134">
      <w:pPr>
        <w:pStyle w:val="Caption"/>
        <w:rPr>
          <w:rFonts w:asciiTheme="majorHAnsi" w:hAnsiTheme="majorHAnsi"/>
          <w:color w:val="2E74B5" w:themeColor="accent1" w:themeShade="BF"/>
          <w:sz w:val="22"/>
          <w:szCs w:val="22"/>
        </w:rPr>
      </w:pPr>
      <w:bookmarkStart w:id="84" w:name="_Toc428178963"/>
      <w:r w:rsidRPr="00BE078C">
        <w:rPr>
          <w:sz w:val="22"/>
          <w:szCs w:val="22"/>
        </w:rPr>
        <w:t xml:space="preserve">Table </w:t>
      </w:r>
      <w:r>
        <w:rPr>
          <w:noProof/>
          <w:sz w:val="22"/>
          <w:szCs w:val="22"/>
        </w:rPr>
        <w:t>8</w:t>
      </w:r>
      <w:r w:rsidRPr="00BE078C">
        <w:rPr>
          <w:sz w:val="22"/>
          <w:szCs w:val="22"/>
        </w:rPr>
        <w:t>: Secondary outcomes (absolute measures) by CVC allocation (n is number of participants by randomised CVC who experienced the outcome)</w:t>
      </w:r>
      <w:bookmarkEnd w:id="84"/>
      <w:r w:rsidRPr="00BE078C">
        <w:rPr>
          <w:rFonts w:asciiTheme="majorHAnsi" w:hAnsiTheme="majorHAnsi"/>
          <w:b w:val="0"/>
          <w:color w:val="2E74B5" w:themeColor="accent1" w:themeShade="BF"/>
          <w:sz w:val="22"/>
          <w:szCs w:val="22"/>
        </w:rPr>
        <w:t xml:space="preserve"> </w:t>
      </w:r>
    </w:p>
    <w:tbl>
      <w:tblPr>
        <w:tblW w:w="10205" w:type="dxa"/>
        <w:tblInd w:w="93" w:type="dxa"/>
        <w:tblLook w:val="04A0" w:firstRow="1" w:lastRow="0" w:firstColumn="1" w:lastColumn="0" w:noHBand="0" w:noVBand="1"/>
      </w:tblPr>
      <w:tblGrid>
        <w:gridCol w:w="4082"/>
        <w:gridCol w:w="964"/>
        <w:gridCol w:w="1077"/>
        <w:gridCol w:w="964"/>
        <w:gridCol w:w="1077"/>
        <w:gridCol w:w="964"/>
        <w:gridCol w:w="1077"/>
      </w:tblGrid>
      <w:tr w:rsidR="006A57B2" w:rsidRPr="00F97EA0" w:rsidTr="00B22173">
        <w:trPr>
          <w:trHeight w:val="454"/>
        </w:trPr>
        <w:tc>
          <w:tcPr>
            <w:tcW w:w="4082" w:type="dxa"/>
            <w:tcBorders>
              <w:bottom w:val="nil"/>
              <w:right w:val="nil"/>
            </w:tcBorders>
            <w:shd w:val="clear" w:color="auto" w:fill="auto"/>
            <w:noWrap/>
            <w:vAlign w:val="center"/>
          </w:tcPr>
          <w:p w:rsidR="006A57B2" w:rsidRPr="00F97EA0" w:rsidRDefault="006A57B2" w:rsidP="00B22173">
            <w:pPr>
              <w:spacing w:after="0" w:line="240" w:lineRule="auto"/>
              <w:rPr>
                <w:rFonts w:asciiTheme="majorHAnsi" w:eastAsia="Times New Roman" w:hAnsiTheme="majorHAnsi" w:cstheme="majorHAnsi"/>
                <w:b/>
                <w:bCs/>
                <w:sz w:val="20"/>
                <w:szCs w:val="20"/>
                <w:lang w:eastAsia="en-GB"/>
              </w:rPr>
            </w:pPr>
          </w:p>
        </w:tc>
        <w:tc>
          <w:tcPr>
            <w:tcW w:w="2041" w:type="dxa"/>
            <w:gridSpan w:val="2"/>
            <w:tcBorders>
              <w:top w:val="single" w:sz="8" w:space="0" w:color="auto"/>
              <w:left w:val="single" w:sz="4" w:space="0" w:color="auto"/>
              <w:bottom w:val="single" w:sz="4" w:space="0" w:color="auto"/>
              <w:right w:val="single" w:sz="4" w:space="0" w:color="000000"/>
            </w:tcBorders>
            <w:shd w:val="clear" w:color="auto" w:fill="BDD6EE" w:themeFill="accent1" w:themeFillTint="66"/>
            <w:noWrap/>
            <w:vAlign w:val="center"/>
            <w:hideMark/>
          </w:tcPr>
          <w:p w:rsidR="006A57B2" w:rsidRPr="00F97EA0" w:rsidRDefault="006A57B2" w:rsidP="00B22173">
            <w:pPr>
              <w:spacing w:after="0" w:line="240" w:lineRule="auto"/>
              <w:jc w:val="center"/>
              <w:rPr>
                <w:rFonts w:asciiTheme="majorHAnsi" w:eastAsia="Times New Roman" w:hAnsiTheme="majorHAnsi" w:cstheme="majorHAnsi"/>
                <w:b/>
                <w:bCs/>
                <w:sz w:val="20"/>
                <w:szCs w:val="20"/>
                <w:lang w:eastAsia="en-GB"/>
              </w:rPr>
            </w:pPr>
            <w:r w:rsidRPr="00F97EA0">
              <w:rPr>
                <w:rFonts w:asciiTheme="majorHAnsi" w:eastAsia="Times New Roman" w:hAnsiTheme="majorHAnsi" w:cstheme="majorHAnsi"/>
                <w:b/>
                <w:bCs/>
                <w:sz w:val="20"/>
                <w:szCs w:val="20"/>
                <w:lang w:eastAsia="en-GB"/>
              </w:rPr>
              <w:t>Standard (n=502)</w:t>
            </w:r>
          </w:p>
        </w:tc>
        <w:tc>
          <w:tcPr>
            <w:tcW w:w="2041" w:type="dxa"/>
            <w:gridSpan w:val="2"/>
            <w:tcBorders>
              <w:top w:val="single" w:sz="8" w:space="0" w:color="auto"/>
              <w:left w:val="nil"/>
              <w:bottom w:val="single" w:sz="4" w:space="0" w:color="auto"/>
              <w:right w:val="single" w:sz="4" w:space="0" w:color="000000"/>
            </w:tcBorders>
            <w:shd w:val="clear" w:color="auto" w:fill="BDD6EE" w:themeFill="accent1" w:themeFillTint="66"/>
            <w:noWrap/>
            <w:vAlign w:val="center"/>
            <w:hideMark/>
          </w:tcPr>
          <w:p w:rsidR="006A57B2" w:rsidRPr="00F97EA0" w:rsidRDefault="006A57B2" w:rsidP="00B22173">
            <w:pPr>
              <w:spacing w:after="0" w:line="240" w:lineRule="auto"/>
              <w:jc w:val="center"/>
              <w:rPr>
                <w:rFonts w:asciiTheme="majorHAnsi" w:eastAsia="Times New Roman" w:hAnsiTheme="majorHAnsi" w:cstheme="majorHAnsi"/>
                <w:b/>
                <w:bCs/>
                <w:sz w:val="20"/>
                <w:szCs w:val="20"/>
                <w:lang w:eastAsia="en-GB"/>
              </w:rPr>
            </w:pPr>
            <w:r w:rsidRPr="00F97EA0">
              <w:rPr>
                <w:rFonts w:asciiTheme="majorHAnsi" w:eastAsia="Times New Roman" w:hAnsiTheme="majorHAnsi" w:cstheme="majorHAnsi"/>
                <w:b/>
                <w:bCs/>
                <w:sz w:val="20"/>
                <w:szCs w:val="20"/>
                <w:lang w:eastAsia="en-GB"/>
              </w:rPr>
              <w:t>Antibiotic (n=486)</w:t>
            </w:r>
          </w:p>
        </w:tc>
        <w:tc>
          <w:tcPr>
            <w:tcW w:w="2041" w:type="dxa"/>
            <w:gridSpan w:val="2"/>
            <w:tcBorders>
              <w:top w:val="single" w:sz="8" w:space="0" w:color="auto"/>
              <w:left w:val="nil"/>
              <w:bottom w:val="single" w:sz="4" w:space="0" w:color="auto"/>
              <w:right w:val="single" w:sz="8" w:space="0" w:color="000000"/>
            </w:tcBorders>
            <w:shd w:val="clear" w:color="auto" w:fill="BDD6EE" w:themeFill="accent1" w:themeFillTint="66"/>
            <w:noWrap/>
            <w:vAlign w:val="center"/>
            <w:hideMark/>
          </w:tcPr>
          <w:p w:rsidR="006A57B2" w:rsidRPr="00F97EA0" w:rsidRDefault="006A57B2" w:rsidP="00B22173">
            <w:pPr>
              <w:spacing w:after="0" w:line="240" w:lineRule="auto"/>
              <w:jc w:val="center"/>
              <w:rPr>
                <w:rFonts w:asciiTheme="majorHAnsi" w:eastAsia="Times New Roman" w:hAnsiTheme="majorHAnsi" w:cstheme="majorHAnsi"/>
                <w:b/>
                <w:bCs/>
                <w:sz w:val="20"/>
                <w:szCs w:val="20"/>
                <w:lang w:eastAsia="en-GB"/>
              </w:rPr>
            </w:pPr>
            <w:r w:rsidRPr="00F97EA0">
              <w:rPr>
                <w:rFonts w:asciiTheme="majorHAnsi" w:eastAsia="Times New Roman" w:hAnsiTheme="majorHAnsi" w:cstheme="majorHAnsi"/>
                <w:b/>
                <w:bCs/>
                <w:sz w:val="20"/>
                <w:szCs w:val="20"/>
                <w:lang w:eastAsia="en-GB"/>
              </w:rPr>
              <w:t>Heparin (n=497)</w:t>
            </w:r>
          </w:p>
        </w:tc>
      </w:tr>
      <w:tr w:rsidR="006A57B2" w:rsidRPr="00F97EA0" w:rsidTr="00B22173">
        <w:trPr>
          <w:trHeight w:val="510"/>
        </w:trPr>
        <w:tc>
          <w:tcPr>
            <w:tcW w:w="4082" w:type="dxa"/>
            <w:tcBorders>
              <w:top w:val="single" w:sz="4" w:space="0" w:color="auto"/>
              <w:left w:val="single" w:sz="8" w:space="0" w:color="auto"/>
              <w:bottom w:val="single" w:sz="4" w:space="0" w:color="auto"/>
              <w:right w:val="nil"/>
            </w:tcBorders>
            <w:shd w:val="clear" w:color="auto" w:fill="BDD6EE" w:themeFill="accent1" w:themeFillTint="66"/>
            <w:noWrap/>
            <w:vAlign w:val="center"/>
            <w:hideMark/>
          </w:tcPr>
          <w:p w:rsidR="006A57B2" w:rsidRPr="00F97EA0" w:rsidRDefault="006A57B2" w:rsidP="00B22173">
            <w:pPr>
              <w:spacing w:after="0" w:line="240" w:lineRule="auto"/>
              <w:rPr>
                <w:rFonts w:asciiTheme="majorHAnsi" w:eastAsia="Times New Roman" w:hAnsiTheme="majorHAnsi" w:cstheme="majorHAnsi"/>
                <w:i/>
                <w:iCs/>
                <w:sz w:val="20"/>
                <w:szCs w:val="20"/>
                <w:lang w:eastAsia="en-GB"/>
              </w:rPr>
            </w:pPr>
            <w:r w:rsidRPr="00F97EA0">
              <w:rPr>
                <w:rFonts w:asciiTheme="majorHAnsi" w:eastAsia="Times New Roman" w:hAnsiTheme="majorHAnsi" w:cstheme="majorHAnsi"/>
                <w:i/>
                <w:iCs/>
                <w:sz w:val="20"/>
                <w:szCs w:val="20"/>
                <w:lang w:eastAsia="en-GB"/>
              </w:rPr>
              <w:t xml:space="preserve">Primary analyses </w:t>
            </w:r>
          </w:p>
        </w:tc>
        <w:tc>
          <w:tcPr>
            <w:tcW w:w="964" w:type="dxa"/>
            <w:tcBorders>
              <w:top w:val="nil"/>
              <w:left w:val="single" w:sz="4" w:space="0" w:color="auto"/>
              <w:bottom w:val="single" w:sz="4" w:space="0" w:color="auto"/>
              <w:right w:val="nil"/>
            </w:tcBorders>
            <w:shd w:val="clear" w:color="auto" w:fill="BDD6EE" w:themeFill="accent1" w:themeFillTint="66"/>
            <w:vAlign w:val="center"/>
            <w:hideMark/>
          </w:tcPr>
          <w:p w:rsidR="006A57B2" w:rsidRPr="00F97EA0" w:rsidRDefault="006A57B2" w:rsidP="00B22173">
            <w:pPr>
              <w:spacing w:after="0" w:line="240" w:lineRule="auto"/>
              <w:jc w:val="center"/>
              <w:rPr>
                <w:rFonts w:asciiTheme="majorHAnsi" w:eastAsia="Times New Roman" w:hAnsiTheme="majorHAnsi" w:cstheme="majorHAnsi"/>
                <w:i/>
                <w:iCs/>
                <w:sz w:val="20"/>
                <w:szCs w:val="20"/>
                <w:lang w:eastAsia="en-GB"/>
              </w:rPr>
            </w:pPr>
            <w:r w:rsidRPr="00F97EA0">
              <w:rPr>
                <w:rFonts w:asciiTheme="majorHAnsi" w:eastAsia="Times New Roman" w:hAnsiTheme="majorHAnsi" w:cstheme="majorHAnsi"/>
                <w:i/>
                <w:iCs/>
                <w:sz w:val="20"/>
                <w:szCs w:val="20"/>
                <w:lang w:eastAsia="en-GB"/>
              </w:rPr>
              <w:t>n</w:t>
            </w:r>
          </w:p>
        </w:tc>
        <w:tc>
          <w:tcPr>
            <w:tcW w:w="1077"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w:t>
            </w:r>
          </w:p>
        </w:tc>
        <w:tc>
          <w:tcPr>
            <w:tcW w:w="964" w:type="dxa"/>
            <w:tcBorders>
              <w:top w:val="nil"/>
              <w:left w:val="nil"/>
              <w:bottom w:val="single" w:sz="4" w:space="0" w:color="auto"/>
              <w:right w:val="nil"/>
            </w:tcBorders>
            <w:shd w:val="clear" w:color="auto" w:fill="BDD6EE" w:themeFill="accent1" w:themeFillTint="66"/>
            <w:noWrap/>
            <w:vAlign w:val="center"/>
            <w:hideMark/>
          </w:tcPr>
          <w:p w:rsidR="006A57B2" w:rsidRPr="00F97EA0" w:rsidRDefault="006A57B2" w:rsidP="00B22173">
            <w:pPr>
              <w:spacing w:after="0" w:line="240" w:lineRule="auto"/>
              <w:jc w:val="center"/>
              <w:rPr>
                <w:rFonts w:asciiTheme="majorHAnsi" w:eastAsia="Times New Roman" w:hAnsiTheme="majorHAnsi" w:cstheme="majorHAnsi"/>
                <w:i/>
                <w:iCs/>
                <w:sz w:val="20"/>
                <w:szCs w:val="20"/>
                <w:lang w:eastAsia="en-GB"/>
              </w:rPr>
            </w:pPr>
            <w:r w:rsidRPr="00F97EA0">
              <w:rPr>
                <w:rFonts w:asciiTheme="majorHAnsi" w:eastAsia="Times New Roman" w:hAnsiTheme="majorHAnsi" w:cstheme="majorHAnsi"/>
                <w:i/>
                <w:iCs/>
                <w:sz w:val="20"/>
                <w:szCs w:val="20"/>
                <w:lang w:eastAsia="en-GB"/>
              </w:rPr>
              <w:t>n</w:t>
            </w:r>
          </w:p>
        </w:tc>
        <w:tc>
          <w:tcPr>
            <w:tcW w:w="1077"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w:t>
            </w:r>
          </w:p>
        </w:tc>
        <w:tc>
          <w:tcPr>
            <w:tcW w:w="964" w:type="dxa"/>
            <w:tcBorders>
              <w:top w:val="nil"/>
              <w:left w:val="nil"/>
              <w:bottom w:val="single" w:sz="4" w:space="0" w:color="auto"/>
              <w:right w:val="nil"/>
            </w:tcBorders>
            <w:shd w:val="clear" w:color="auto" w:fill="BDD6EE" w:themeFill="accent1" w:themeFillTint="66"/>
            <w:vAlign w:val="center"/>
            <w:hideMark/>
          </w:tcPr>
          <w:p w:rsidR="006A57B2" w:rsidRPr="00F97EA0" w:rsidRDefault="006A57B2" w:rsidP="00B22173">
            <w:pPr>
              <w:spacing w:after="0" w:line="240" w:lineRule="auto"/>
              <w:jc w:val="center"/>
              <w:rPr>
                <w:rFonts w:asciiTheme="majorHAnsi" w:eastAsia="Times New Roman" w:hAnsiTheme="majorHAnsi" w:cstheme="majorHAnsi"/>
                <w:i/>
                <w:iCs/>
                <w:sz w:val="20"/>
                <w:szCs w:val="20"/>
                <w:lang w:eastAsia="en-GB"/>
              </w:rPr>
            </w:pPr>
            <w:r w:rsidRPr="00F97EA0">
              <w:rPr>
                <w:rFonts w:asciiTheme="majorHAnsi" w:eastAsia="Times New Roman" w:hAnsiTheme="majorHAnsi" w:cstheme="majorHAnsi"/>
                <w:i/>
                <w:iCs/>
                <w:sz w:val="20"/>
                <w:szCs w:val="20"/>
                <w:lang w:eastAsia="en-GB"/>
              </w:rPr>
              <w:t>n</w:t>
            </w:r>
          </w:p>
        </w:tc>
        <w:tc>
          <w:tcPr>
            <w:tcW w:w="1077" w:type="dxa"/>
            <w:tcBorders>
              <w:top w:val="nil"/>
              <w:left w:val="nil"/>
              <w:bottom w:val="single" w:sz="4" w:space="0" w:color="auto"/>
              <w:right w:val="single" w:sz="8" w:space="0" w:color="auto"/>
            </w:tcBorders>
            <w:shd w:val="clear" w:color="auto" w:fill="BDD6EE" w:themeFill="accent1" w:themeFillTint="66"/>
            <w:noWrap/>
            <w:vAlign w:val="center"/>
            <w:hideMark/>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w:t>
            </w:r>
          </w:p>
        </w:tc>
      </w:tr>
      <w:tr w:rsidR="006A57B2" w:rsidRPr="00F97EA0" w:rsidTr="00B22173">
        <w:trPr>
          <w:trHeight w:val="510"/>
        </w:trPr>
        <w:tc>
          <w:tcPr>
            <w:tcW w:w="4082" w:type="dxa"/>
            <w:tcBorders>
              <w:top w:val="single" w:sz="4" w:space="0" w:color="auto"/>
              <w:left w:val="single" w:sz="4" w:space="0" w:color="auto"/>
            </w:tcBorders>
            <w:shd w:val="clear" w:color="auto" w:fill="auto"/>
            <w:noWrap/>
            <w:vAlign w:val="center"/>
            <w:hideMark/>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Catheter-related BSI (CR-BSI)</w:t>
            </w:r>
          </w:p>
        </w:tc>
        <w:tc>
          <w:tcPr>
            <w:tcW w:w="964" w:type="dxa"/>
            <w:tcBorders>
              <w:top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12</w:t>
            </w:r>
          </w:p>
        </w:tc>
        <w:tc>
          <w:tcPr>
            <w:tcW w:w="1077" w:type="dxa"/>
            <w:tcBorders>
              <w:top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2.4</w:t>
            </w:r>
          </w:p>
        </w:tc>
        <w:tc>
          <w:tcPr>
            <w:tcW w:w="964" w:type="dxa"/>
            <w:tcBorders>
              <w:top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3</w:t>
            </w:r>
          </w:p>
        </w:tc>
        <w:tc>
          <w:tcPr>
            <w:tcW w:w="1077" w:type="dxa"/>
            <w:tcBorders>
              <w:top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0.6</w:t>
            </w:r>
          </w:p>
        </w:tc>
        <w:tc>
          <w:tcPr>
            <w:tcW w:w="964" w:type="dxa"/>
            <w:tcBorders>
              <w:top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10</w:t>
            </w:r>
          </w:p>
        </w:tc>
        <w:tc>
          <w:tcPr>
            <w:tcW w:w="1077" w:type="dxa"/>
            <w:tcBorders>
              <w:top w:val="single" w:sz="4" w:space="0" w:color="auto"/>
              <w:right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2.0</w:t>
            </w:r>
          </w:p>
        </w:tc>
      </w:tr>
      <w:tr w:rsidR="006A57B2" w:rsidRPr="00F97EA0" w:rsidTr="00B22173">
        <w:trPr>
          <w:trHeight w:val="510"/>
        </w:trPr>
        <w:tc>
          <w:tcPr>
            <w:tcW w:w="4082" w:type="dxa"/>
            <w:tcBorders>
              <w:left w:val="single" w:sz="4" w:space="0" w:color="auto"/>
            </w:tcBorders>
            <w:shd w:val="clear" w:color="auto" w:fill="auto"/>
            <w:noWrap/>
            <w:vAlign w:val="center"/>
            <w:hideMark/>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Rate of BSI per 1000 CVC days (95% CI)</w:t>
            </w:r>
          </w:p>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 xml:space="preserve">          BSI/1000 days</w:t>
            </w:r>
          </w:p>
        </w:tc>
        <w:tc>
          <w:tcPr>
            <w:tcW w:w="964"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8.24</w:t>
            </w:r>
          </w:p>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21/2.547</w:t>
            </w:r>
          </w:p>
        </w:tc>
        <w:tc>
          <w:tcPr>
            <w:tcW w:w="1077" w:type="dxa"/>
            <w:shd w:val="clear" w:color="auto" w:fill="auto"/>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(4.7, 11.8)</w:t>
            </w:r>
          </w:p>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p>
        </w:tc>
        <w:tc>
          <w:tcPr>
            <w:tcW w:w="964"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3.30</w:t>
            </w:r>
          </w:p>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8/2.418</w:t>
            </w:r>
          </w:p>
        </w:tc>
        <w:tc>
          <w:tcPr>
            <w:tcW w:w="1077" w:type="dxa"/>
            <w:shd w:val="clear" w:color="auto" w:fill="auto"/>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(1.0, 5.6)</w:t>
            </w:r>
          </w:p>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p>
        </w:tc>
        <w:tc>
          <w:tcPr>
            <w:tcW w:w="964"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8.78</w:t>
            </w:r>
          </w:p>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21/2.391</w:t>
            </w:r>
          </w:p>
        </w:tc>
        <w:tc>
          <w:tcPr>
            <w:tcW w:w="1077" w:type="dxa"/>
            <w:tcBorders>
              <w:right w:val="single" w:sz="4" w:space="0" w:color="auto"/>
            </w:tcBorders>
            <w:shd w:val="clear" w:color="auto" w:fill="auto"/>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(5.0, 12.6)</w:t>
            </w:r>
          </w:p>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p>
        </w:tc>
      </w:tr>
      <w:tr w:rsidR="006A57B2" w:rsidRPr="00F97EA0" w:rsidTr="00B22173">
        <w:trPr>
          <w:trHeight w:val="510"/>
        </w:trPr>
        <w:tc>
          <w:tcPr>
            <w:tcW w:w="4082" w:type="dxa"/>
            <w:tcBorders>
              <w:left w:val="single" w:sz="4" w:space="0" w:color="auto"/>
            </w:tcBorders>
            <w:shd w:val="clear" w:color="auto" w:fill="auto"/>
            <w:noWrap/>
            <w:vAlign w:val="center"/>
            <w:hideMark/>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Composite measure of BSI</w:t>
            </w:r>
          </w:p>
        </w:tc>
        <w:tc>
          <w:tcPr>
            <w:tcW w:w="964"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112</w:t>
            </w:r>
          </w:p>
        </w:tc>
        <w:tc>
          <w:tcPr>
            <w:tcW w:w="1077"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22.3</w:t>
            </w:r>
          </w:p>
        </w:tc>
        <w:tc>
          <w:tcPr>
            <w:tcW w:w="964"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103</w:t>
            </w:r>
          </w:p>
        </w:tc>
        <w:tc>
          <w:tcPr>
            <w:tcW w:w="1077"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21.2</w:t>
            </w:r>
          </w:p>
        </w:tc>
        <w:tc>
          <w:tcPr>
            <w:tcW w:w="964"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102</w:t>
            </w:r>
          </w:p>
        </w:tc>
        <w:tc>
          <w:tcPr>
            <w:tcW w:w="1077" w:type="dxa"/>
            <w:tcBorders>
              <w:bottom w:val="nil"/>
              <w:right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20.5</w:t>
            </w:r>
          </w:p>
        </w:tc>
      </w:tr>
      <w:tr w:rsidR="006A57B2" w:rsidRPr="00F97EA0" w:rsidTr="00B22173">
        <w:trPr>
          <w:trHeight w:val="510"/>
        </w:trPr>
        <w:tc>
          <w:tcPr>
            <w:tcW w:w="4082" w:type="dxa"/>
            <w:tcBorders>
              <w:left w:val="single" w:sz="4" w:space="0" w:color="auto"/>
            </w:tcBorders>
            <w:shd w:val="clear" w:color="auto" w:fill="auto"/>
            <w:noWrap/>
            <w:vAlign w:val="center"/>
            <w:hideMark/>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CVC thrombosis</w:t>
            </w:r>
          </w:p>
        </w:tc>
        <w:tc>
          <w:tcPr>
            <w:tcW w:w="964" w:type="dxa"/>
            <w:tcBorders>
              <w:top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125</w:t>
            </w:r>
          </w:p>
        </w:tc>
        <w:tc>
          <w:tcPr>
            <w:tcW w:w="1077" w:type="dxa"/>
            <w:tcBorders>
              <w:top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24.9</w:t>
            </w:r>
          </w:p>
        </w:tc>
        <w:tc>
          <w:tcPr>
            <w:tcW w:w="964" w:type="dxa"/>
            <w:tcBorders>
              <w:top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126</w:t>
            </w:r>
          </w:p>
        </w:tc>
        <w:tc>
          <w:tcPr>
            <w:tcW w:w="1077" w:type="dxa"/>
            <w:tcBorders>
              <w:top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25.9</w:t>
            </w:r>
          </w:p>
        </w:tc>
        <w:tc>
          <w:tcPr>
            <w:tcW w:w="964" w:type="dxa"/>
            <w:tcBorders>
              <w:top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105</w:t>
            </w:r>
          </w:p>
        </w:tc>
        <w:tc>
          <w:tcPr>
            <w:tcW w:w="1077" w:type="dxa"/>
            <w:tcBorders>
              <w:top w:val="nil"/>
              <w:right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21.1</w:t>
            </w:r>
          </w:p>
        </w:tc>
      </w:tr>
      <w:tr w:rsidR="006A57B2" w:rsidRPr="00F97EA0" w:rsidTr="00B22173">
        <w:trPr>
          <w:trHeight w:val="510"/>
        </w:trPr>
        <w:tc>
          <w:tcPr>
            <w:tcW w:w="4082" w:type="dxa"/>
            <w:tcBorders>
              <w:left w:val="single" w:sz="4" w:space="0" w:color="auto"/>
            </w:tcBorders>
            <w:shd w:val="clear" w:color="auto" w:fill="auto"/>
            <w:noWrap/>
            <w:vAlign w:val="center"/>
            <w:hideMark/>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Median time to CVC removal in days (IQR)</w:t>
            </w:r>
          </w:p>
        </w:tc>
        <w:tc>
          <w:tcPr>
            <w:tcW w:w="964"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hAnsiTheme="majorHAnsi" w:cstheme="majorHAnsi"/>
                <w:sz w:val="20"/>
                <w:szCs w:val="20"/>
              </w:rPr>
              <w:t>4.28</w:t>
            </w:r>
          </w:p>
        </w:tc>
        <w:tc>
          <w:tcPr>
            <w:tcW w:w="1077"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hAnsiTheme="majorHAnsi" w:cstheme="majorHAnsi"/>
                <w:sz w:val="20"/>
                <w:szCs w:val="20"/>
              </w:rPr>
              <w:t xml:space="preserve"> (2.3, 7.0)</w:t>
            </w:r>
          </w:p>
        </w:tc>
        <w:tc>
          <w:tcPr>
            <w:tcW w:w="964"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hAnsiTheme="majorHAnsi" w:cstheme="majorHAnsi"/>
                <w:sz w:val="20"/>
                <w:szCs w:val="20"/>
              </w:rPr>
              <w:t xml:space="preserve">4.3 </w:t>
            </w:r>
          </w:p>
        </w:tc>
        <w:tc>
          <w:tcPr>
            <w:tcW w:w="1077"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hAnsiTheme="majorHAnsi" w:cstheme="majorHAnsi"/>
                <w:sz w:val="20"/>
                <w:szCs w:val="20"/>
              </w:rPr>
              <w:t>(2.1, 7.0)</w:t>
            </w:r>
          </w:p>
        </w:tc>
        <w:tc>
          <w:tcPr>
            <w:tcW w:w="964" w:type="dxa"/>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hAnsiTheme="majorHAnsi" w:cstheme="majorHAnsi"/>
                <w:sz w:val="20"/>
                <w:szCs w:val="20"/>
              </w:rPr>
              <w:t>4.20</w:t>
            </w:r>
          </w:p>
        </w:tc>
        <w:tc>
          <w:tcPr>
            <w:tcW w:w="1077" w:type="dxa"/>
            <w:tcBorders>
              <w:right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hAnsiTheme="majorHAnsi" w:cstheme="majorHAnsi"/>
                <w:sz w:val="20"/>
                <w:szCs w:val="20"/>
              </w:rPr>
              <w:t>(2.2, 7.0)</w:t>
            </w:r>
            <w:r w:rsidRPr="00F97EA0">
              <w:rPr>
                <w:rFonts w:asciiTheme="majorHAnsi" w:eastAsia="Times New Roman" w:hAnsiTheme="majorHAnsi" w:cstheme="majorHAnsi"/>
                <w:sz w:val="20"/>
                <w:szCs w:val="20"/>
                <w:lang w:eastAsia="en-GB"/>
              </w:rPr>
              <w:t> </w:t>
            </w:r>
          </w:p>
        </w:tc>
      </w:tr>
      <w:tr w:rsidR="006A57B2" w:rsidRPr="00F97EA0" w:rsidTr="00B22173">
        <w:trPr>
          <w:trHeight w:val="510"/>
        </w:trPr>
        <w:tc>
          <w:tcPr>
            <w:tcW w:w="4082" w:type="dxa"/>
            <w:tcBorders>
              <w:left w:val="single" w:sz="4" w:space="0" w:color="auto"/>
            </w:tcBorders>
            <w:shd w:val="clear" w:color="auto" w:fill="auto"/>
            <w:noWrap/>
            <w:vAlign w:val="center"/>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Mortality by 30 days</w:t>
            </w:r>
          </w:p>
        </w:tc>
        <w:tc>
          <w:tcPr>
            <w:tcW w:w="964"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42</w:t>
            </w:r>
          </w:p>
        </w:tc>
        <w:tc>
          <w:tcPr>
            <w:tcW w:w="1077"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8.4</w:t>
            </w:r>
          </w:p>
        </w:tc>
        <w:tc>
          <w:tcPr>
            <w:tcW w:w="964"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39</w:t>
            </w:r>
          </w:p>
        </w:tc>
        <w:tc>
          <w:tcPr>
            <w:tcW w:w="1077"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8.0</w:t>
            </w:r>
          </w:p>
        </w:tc>
        <w:tc>
          <w:tcPr>
            <w:tcW w:w="964" w:type="dxa"/>
            <w:tcBorders>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28</w:t>
            </w:r>
          </w:p>
        </w:tc>
        <w:tc>
          <w:tcPr>
            <w:tcW w:w="1077" w:type="dxa"/>
            <w:tcBorders>
              <w:bottom w:val="nil"/>
              <w:right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5.6</w:t>
            </w:r>
          </w:p>
        </w:tc>
      </w:tr>
      <w:tr w:rsidR="006A57B2" w:rsidRPr="00F97EA0" w:rsidTr="00B22173">
        <w:trPr>
          <w:trHeight w:val="510"/>
        </w:trPr>
        <w:tc>
          <w:tcPr>
            <w:tcW w:w="4082" w:type="dxa"/>
            <w:tcBorders>
              <w:left w:val="single" w:sz="4" w:space="0" w:color="auto"/>
            </w:tcBorders>
            <w:shd w:val="clear" w:color="auto" w:fill="auto"/>
            <w:noWrap/>
            <w:vAlign w:val="center"/>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Median time to PICU discharge in days (IQR)</w:t>
            </w:r>
          </w:p>
        </w:tc>
        <w:tc>
          <w:tcPr>
            <w:tcW w:w="964" w:type="dxa"/>
            <w:tcBorders>
              <w:top w:val="nil"/>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5.1</w:t>
            </w:r>
          </w:p>
        </w:tc>
        <w:tc>
          <w:tcPr>
            <w:tcW w:w="1077" w:type="dxa"/>
            <w:tcBorders>
              <w:top w:val="nil"/>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(2.8, 10.0)</w:t>
            </w:r>
          </w:p>
        </w:tc>
        <w:tc>
          <w:tcPr>
            <w:tcW w:w="964" w:type="dxa"/>
            <w:tcBorders>
              <w:top w:val="nil"/>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4.4</w:t>
            </w:r>
          </w:p>
        </w:tc>
        <w:tc>
          <w:tcPr>
            <w:tcW w:w="1077" w:type="dxa"/>
            <w:tcBorders>
              <w:top w:val="nil"/>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(2.2, 9.3)</w:t>
            </w:r>
          </w:p>
        </w:tc>
        <w:tc>
          <w:tcPr>
            <w:tcW w:w="964" w:type="dxa"/>
            <w:tcBorders>
              <w:top w:val="nil"/>
              <w:bottom w:val="nil"/>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4.9</w:t>
            </w:r>
          </w:p>
        </w:tc>
        <w:tc>
          <w:tcPr>
            <w:tcW w:w="1077" w:type="dxa"/>
            <w:tcBorders>
              <w:top w:val="nil"/>
              <w:bottom w:val="nil"/>
              <w:right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(2.3, 8.9)</w:t>
            </w:r>
          </w:p>
        </w:tc>
      </w:tr>
      <w:tr w:rsidR="006A57B2" w:rsidRPr="00F97EA0" w:rsidTr="00B22173">
        <w:trPr>
          <w:trHeight w:val="510"/>
        </w:trPr>
        <w:tc>
          <w:tcPr>
            <w:tcW w:w="4082" w:type="dxa"/>
            <w:tcBorders>
              <w:left w:val="single" w:sz="4" w:space="0" w:color="auto"/>
              <w:bottom w:val="single" w:sz="4" w:space="0" w:color="auto"/>
            </w:tcBorders>
            <w:shd w:val="clear" w:color="auto" w:fill="auto"/>
            <w:noWrap/>
            <w:vAlign w:val="center"/>
          </w:tcPr>
          <w:p w:rsidR="006A57B2" w:rsidRPr="00F97EA0" w:rsidRDefault="006A57B2" w:rsidP="00B22173">
            <w:pPr>
              <w:spacing w:after="0" w:line="240" w:lineRule="auto"/>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Median time to hospital discharge in days (IQR)</w:t>
            </w:r>
          </w:p>
        </w:tc>
        <w:tc>
          <w:tcPr>
            <w:tcW w:w="964" w:type="dxa"/>
            <w:tcBorders>
              <w:top w:val="nil"/>
              <w:bottom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12.0</w:t>
            </w:r>
          </w:p>
        </w:tc>
        <w:tc>
          <w:tcPr>
            <w:tcW w:w="1077" w:type="dxa"/>
            <w:tcBorders>
              <w:top w:val="nil"/>
              <w:bottom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(6.4, 25.6)</w:t>
            </w:r>
          </w:p>
        </w:tc>
        <w:tc>
          <w:tcPr>
            <w:tcW w:w="964" w:type="dxa"/>
            <w:tcBorders>
              <w:top w:val="nil"/>
              <w:bottom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12.0</w:t>
            </w:r>
          </w:p>
        </w:tc>
        <w:tc>
          <w:tcPr>
            <w:tcW w:w="1077" w:type="dxa"/>
            <w:tcBorders>
              <w:top w:val="nil"/>
              <w:bottom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(6.7, 22.7)</w:t>
            </w:r>
          </w:p>
        </w:tc>
        <w:tc>
          <w:tcPr>
            <w:tcW w:w="964" w:type="dxa"/>
            <w:tcBorders>
              <w:top w:val="nil"/>
              <w:bottom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12.1</w:t>
            </w:r>
          </w:p>
        </w:tc>
        <w:tc>
          <w:tcPr>
            <w:tcW w:w="1077" w:type="dxa"/>
            <w:tcBorders>
              <w:top w:val="nil"/>
              <w:bottom w:val="single" w:sz="4" w:space="0" w:color="auto"/>
              <w:right w:val="single" w:sz="4" w:space="0" w:color="auto"/>
            </w:tcBorders>
            <w:shd w:val="clear" w:color="auto" w:fill="auto"/>
            <w:noWrap/>
            <w:vAlign w:val="center"/>
          </w:tcPr>
          <w:p w:rsidR="006A57B2" w:rsidRPr="00F97EA0" w:rsidRDefault="006A57B2" w:rsidP="00B22173">
            <w:pPr>
              <w:spacing w:after="0" w:line="240" w:lineRule="auto"/>
              <w:jc w:val="center"/>
              <w:rPr>
                <w:rFonts w:asciiTheme="majorHAnsi" w:eastAsia="Times New Roman" w:hAnsiTheme="majorHAnsi" w:cstheme="majorHAnsi"/>
                <w:sz w:val="20"/>
                <w:szCs w:val="20"/>
                <w:lang w:eastAsia="en-GB"/>
              </w:rPr>
            </w:pPr>
            <w:r w:rsidRPr="00F97EA0">
              <w:rPr>
                <w:rFonts w:asciiTheme="majorHAnsi" w:eastAsia="Times New Roman" w:hAnsiTheme="majorHAnsi" w:cstheme="majorHAnsi"/>
                <w:sz w:val="20"/>
                <w:szCs w:val="20"/>
                <w:lang w:eastAsia="en-GB"/>
              </w:rPr>
              <w:t>(6.4, 22.5)</w:t>
            </w:r>
          </w:p>
        </w:tc>
      </w:tr>
    </w:tbl>
    <w:p w:rsidR="006A57B2" w:rsidRDefault="006A57B2" w:rsidP="00B22173"/>
    <w:p w:rsidR="006A57B2" w:rsidRDefault="006A57B2" w:rsidP="00B22173">
      <w:pPr>
        <w:sectPr w:rsidR="006A57B2" w:rsidSect="00B22173">
          <w:pgSz w:w="11906" w:h="16838"/>
          <w:pgMar w:top="1440" w:right="1440" w:bottom="1440" w:left="1440" w:header="708" w:footer="708" w:gutter="0"/>
          <w:cols w:space="708"/>
          <w:docGrid w:linePitch="360"/>
        </w:sectPr>
      </w:pPr>
    </w:p>
    <w:p w:rsidR="006A57B2" w:rsidRPr="00BE078C" w:rsidRDefault="006A57B2" w:rsidP="00C07DDC">
      <w:pPr>
        <w:pStyle w:val="Caption"/>
        <w:rPr>
          <w:rFonts w:asciiTheme="majorHAnsi" w:hAnsiTheme="majorHAnsi"/>
          <w:color w:val="2E74B5" w:themeColor="accent1" w:themeShade="BF"/>
          <w:sz w:val="22"/>
          <w:szCs w:val="22"/>
        </w:rPr>
      </w:pPr>
      <w:bookmarkStart w:id="85" w:name="_Toc428178964"/>
      <w:r w:rsidRPr="00BE078C">
        <w:rPr>
          <w:sz w:val="22"/>
          <w:szCs w:val="22"/>
        </w:rPr>
        <w:t xml:space="preserve">Table </w:t>
      </w:r>
      <w:r>
        <w:rPr>
          <w:noProof/>
          <w:sz w:val="22"/>
          <w:szCs w:val="22"/>
        </w:rPr>
        <w:t>9</w:t>
      </w:r>
      <w:r w:rsidRPr="00BE078C">
        <w:rPr>
          <w:sz w:val="22"/>
          <w:szCs w:val="22"/>
        </w:rPr>
        <w:t>: Risk difference and/or hazard ratios for secondary outcomes according to CVC allocation (hazard ratios p&lt;0.05 are in bold)</w:t>
      </w:r>
      <w:bookmarkEnd w:id="85"/>
    </w:p>
    <w:tbl>
      <w:tblPr>
        <w:tblW w:w="15082" w:type="dxa"/>
        <w:jc w:val="center"/>
        <w:tblLayout w:type="fixed"/>
        <w:tblLook w:val="04A0" w:firstRow="1" w:lastRow="0" w:firstColumn="1" w:lastColumn="0" w:noHBand="0" w:noVBand="1"/>
      </w:tblPr>
      <w:tblGrid>
        <w:gridCol w:w="2041"/>
        <w:gridCol w:w="1276"/>
        <w:gridCol w:w="1275"/>
        <w:gridCol w:w="709"/>
        <w:gridCol w:w="1276"/>
        <w:gridCol w:w="1276"/>
        <w:gridCol w:w="708"/>
        <w:gridCol w:w="1276"/>
        <w:gridCol w:w="1276"/>
        <w:gridCol w:w="709"/>
        <w:gridCol w:w="1361"/>
        <w:gridCol w:w="1190"/>
        <w:gridCol w:w="709"/>
      </w:tblGrid>
      <w:tr w:rsidR="006A57B2" w:rsidRPr="00A305AC" w:rsidTr="00B22173">
        <w:trPr>
          <w:trHeight w:val="528"/>
          <w:jc w:val="center"/>
        </w:trPr>
        <w:tc>
          <w:tcPr>
            <w:tcW w:w="2041" w:type="dxa"/>
            <w:tcBorders>
              <w:top w:val="nil"/>
              <w:left w:val="nil"/>
              <w:bottom w:val="nil"/>
              <w:right w:val="nil"/>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b/>
                <w:bCs/>
                <w:color w:val="000000"/>
                <w:sz w:val="20"/>
                <w:szCs w:val="20"/>
                <w:lang w:eastAsia="en-GB"/>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57B2" w:rsidRPr="00EC0AA8" w:rsidRDefault="006A57B2" w:rsidP="00B22173">
            <w:pPr>
              <w:spacing w:after="0" w:line="240" w:lineRule="auto"/>
              <w:jc w:val="center"/>
              <w:rPr>
                <w:rFonts w:asciiTheme="majorHAnsi" w:eastAsia="Times New Roman" w:hAnsiTheme="majorHAnsi" w:cstheme="majorHAnsi"/>
                <w:b/>
                <w:bCs/>
                <w:color w:val="000000"/>
                <w:sz w:val="20"/>
                <w:szCs w:val="20"/>
                <w:lang w:eastAsia="en-GB"/>
              </w:rPr>
            </w:pPr>
            <w:r w:rsidRPr="00EC0AA8">
              <w:rPr>
                <w:rFonts w:asciiTheme="majorHAnsi" w:eastAsia="Times New Roman" w:hAnsiTheme="majorHAnsi" w:cstheme="majorHAnsi"/>
                <w:b/>
                <w:bCs/>
                <w:color w:val="000000"/>
                <w:sz w:val="20"/>
                <w:szCs w:val="20"/>
                <w:lang w:eastAsia="en-GB"/>
              </w:rPr>
              <w:t>Any impregnated vs standard (primary analysis)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57B2" w:rsidRPr="00EC0AA8" w:rsidRDefault="006A57B2" w:rsidP="00B22173">
            <w:pPr>
              <w:spacing w:after="0" w:line="240" w:lineRule="auto"/>
              <w:jc w:val="center"/>
              <w:rPr>
                <w:rFonts w:asciiTheme="majorHAnsi" w:eastAsia="Times New Roman" w:hAnsiTheme="majorHAnsi" w:cstheme="majorHAnsi"/>
                <w:b/>
                <w:bCs/>
                <w:color w:val="000000"/>
                <w:sz w:val="20"/>
                <w:szCs w:val="20"/>
                <w:lang w:eastAsia="en-GB"/>
              </w:rPr>
            </w:pPr>
            <w:r w:rsidRPr="00EC0AA8">
              <w:rPr>
                <w:rFonts w:asciiTheme="majorHAnsi" w:eastAsia="Times New Roman" w:hAnsiTheme="majorHAnsi" w:cstheme="majorHAnsi"/>
                <w:b/>
                <w:bCs/>
                <w:color w:val="000000"/>
                <w:sz w:val="20"/>
                <w:szCs w:val="20"/>
                <w:lang w:eastAsia="en-GB"/>
              </w:rPr>
              <w:t xml:space="preserve">Antibiotic vs standard </w:t>
            </w:r>
          </w:p>
          <w:p w:rsidR="006A57B2" w:rsidRPr="00EC0AA8" w:rsidRDefault="006A57B2" w:rsidP="00B22173">
            <w:pPr>
              <w:spacing w:after="0" w:line="240" w:lineRule="auto"/>
              <w:jc w:val="center"/>
              <w:rPr>
                <w:rFonts w:asciiTheme="majorHAnsi" w:eastAsia="Times New Roman" w:hAnsiTheme="majorHAnsi" w:cstheme="majorHAnsi"/>
                <w:b/>
                <w:bCs/>
                <w:color w:val="000000"/>
                <w:sz w:val="20"/>
                <w:szCs w:val="20"/>
                <w:lang w:eastAsia="en-GB"/>
              </w:rPr>
            </w:pPr>
            <w:r w:rsidRPr="00EC0AA8">
              <w:rPr>
                <w:rFonts w:asciiTheme="majorHAnsi" w:eastAsia="Times New Roman" w:hAnsiTheme="majorHAnsi" w:cstheme="majorHAnsi"/>
                <w:b/>
                <w:bCs/>
                <w:color w:val="000000"/>
                <w:sz w:val="20"/>
                <w:szCs w:val="20"/>
                <w:lang w:eastAsia="en-GB"/>
              </w:rPr>
              <w:t>(secondary analysis)</w:t>
            </w:r>
          </w:p>
        </w:tc>
        <w:tc>
          <w:tcPr>
            <w:tcW w:w="32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57B2" w:rsidRPr="00EC0AA8" w:rsidRDefault="006A57B2" w:rsidP="00B22173">
            <w:pPr>
              <w:spacing w:after="0" w:line="240" w:lineRule="auto"/>
              <w:jc w:val="center"/>
              <w:rPr>
                <w:rFonts w:asciiTheme="majorHAnsi" w:eastAsia="Times New Roman" w:hAnsiTheme="majorHAnsi" w:cstheme="majorHAnsi"/>
                <w:b/>
                <w:bCs/>
                <w:color w:val="000000"/>
                <w:sz w:val="20"/>
                <w:szCs w:val="20"/>
                <w:lang w:eastAsia="en-GB"/>
              </w:rPr>
            </w:pPr>
            <w:r w:rsidRPr="00EC0AA8">
              <w:rPr>
                <w:rFonts w:asciiTheme="majorHAnsi" w:eastAsia="Times New Roman" w:hAnsiTheme="majorHAnsi" w:cstheme="majorHAnsi"/>
                <w:b/>
                <w:bCs/>
                <w:color w:val="000000"/>
                <w:sz w:val="20"/>
                <w:szCs w:val="20"/>
                <w:lang w:eastAsia="en-GB"/>
              </w:rPr>
              <w:t>Heparin vs standard</w:t>
            </w:r>
          </w:p>
          <w:p w:rsidR="006A57B2" w:rsidRPr="00EC0AA8" w:rsidRDefault="006A57B2" w:rsidP="00B22173">
            <w:pPr>
              <w:spacing w:after="0" w:line="240" w:lineRule="auto"/>
              <w:jc w:val="center"/>
              <w:rPr>
                <w:rFonts w:asciiTheme="majorHAnsi" w:eastAsia="Times New Roman" w:hAnsiTheme="majorHAnsi" w:cstheme="majorHAnsi"/>
                <w:b/>
                <w:bCs/>
                <w:color w:val="000000"/>
                <w:sz w:val="20"/>
                <w:szCs w:val="20"/>
                <w:lang w:eastAsia="en-GB"/>
              </w:rPr>
            </w:pPr>
            <w:r w:rsidRPr="00EC0AA8">
              <w:rPr>
                <w:rFonts w:asciiTheme="majorHAnsi" w:eastAsia="Times New Roman" w:hAnsiTheme="majorHAnsi" w:cstheme="majorHAnsi"/>
                <w:b/>
                <w:bCs/>
                <w:color w:val="000000"/>
                <w:sz w:val="20"/>
                <w:szCs w:val="20"/>
                <w:lang w:eastAsia="en-GB"/>
              </w:rPr>
              <w:t>(secondary analysis)</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BDD6EE" w:themeFill="accent1" w:themeFillTint="66"/>
            <w:hideMark/>
          </w:tcPr>
          <w:p w:rsidR="006A57B2" w:rsidRPr="00EC0AA8" w:rsidRDefault="006A57B2" w:rsidP="00B22173">
            <w:pPr>
              <w:spacing w:after="0" w:line="240" w:lineRule="auto"/>
              <w:jc w:val="center"/>
              <w:rPr>
                <w:rFonts w:asciiTheme="majorHAnsi" w:eastAsia="Times New Roman" w:hAnsiTheme="majorHAnsi" w:cstheme="majorHAnsi"/>
                <w:b/>
                <w:bCs/>
                <w:color w:val="000000"/>
                <w:sz w:val="20"/>
                <w:szCs w:val="20"/>
                <w:lang w:eastAsia="en-GB"/>
              </w:rPr>
            </w:pPr>
            <w:r w:rsidRPr="00EC0AA8">
              <w:rPr>
                <w:rFonts w:asciiTheme="majorHAnsi" w:eastAsia="Times New Roman" w:hAnsiTheme="majorHAnsi" w:cstheme="majorHAnsi"/>
                <w:b/>
                <w:bCs/>
                <w:color w:val="000000"/>
                <w:sz w:val="20"/>
                <w:szCs w:val="20"/>
                <w:lang w:eastAsia="en-GB"/>
              </w:rPr>
              <w:t xml:space="preserve">Antibiotic vs heparin </w:t>
            </w:r>
          </w:p>
          <w:p w:rsidR="006A57B2" w:rsidRPr="00EC0AA8" w:rsidRDefault="006A57B2" w:rsidP="00B22173">
            <w:pPr>
              <w:spacing w:after="0" w:line="240" w:lineRule="auto"/>
              <w:jc w:val="center"/>
              <w:rPr>
                <w:rFonts w:asciiTheme="majorHAnsi" w:eastAsia="Times New Roman" w:hAnsiTheme="majorHAnsi" w:cstheme="majorHAnsi"/>
                <w:b/>
                <w:bCs/>
                <w:color w:val="000000"/>
                <w:sz w:val="20"/>
                <w:szCs w:val="20"/>
                <w:lang w:eastAsia="en-GB"/>
              </w:rPr>
            </w:pPr>
            <w:r w:rsidRPr="00EC0AA8">
              <w:rPr>
                <w:rFonts w:asciiTheme="majorHAnsi" w:eastAsia="Times New Roman" w:hAnsiTheme="majorHAnsi" w:cstheme="majorHAnsi"/>
                <w:b/>
                <w:bCs/>
                <w:color w:val="000000"/>
                <w:sz w:val="20"/>
                <w:szCs w:val="20"/>
                <w:lang w:eastAsia="en-GB"/>
              </w:rPr>
              <w:t>(secondary analysis)</w:t>
            </w:r>
          </w:p>
        </w:tc>
      </w:tr>
      <w:tr w:rsidR="006A57B2" w:rsidRPr="00A305AC" w:rsidTr="00B22173">
        <w:trPr>
          <w:trHeight w:val="890"/>
          <w:jc w:val="center"/>
        </w:trPr>
        <w:tc>
          <w:tcPr>
            <w:tcW w:w="2041" w:type="dxa"/>
            <w:tcBorders>
              <w:top w:val="nil"/>
              <w:left w:val="nil"/>
              <w:bottom w:val="single" w:sz="4" w:space="0" w:color="auto"/>
              <w:right w:val="nil"/>
            </w:tcBorders>
            <w:shd w:val="clear" w:color="auto" w:fill="auto"/>
            <w:noWrap/>
            <w:vAlign w:val="bottom"/>
            <w:hideMark/>
          </w:tcPr>
          <w:p w:rsidR="006A57B2" w:rsidRPr="00EC0AA8" w:rsidRDefault="006A57B2" w:rsidP="00B22173">
            <w:pPr>
              <w:spacing w:after="0" w:line="240" w:lineRule="auto"/>
              <w:rPr>
                <w:rFonts w:asciiTheme="majorHAnsi" w:eastAsia="Times New Roman" w:hAnsiTheme="majorHAnsi" w:cstheme="majorHAnsi"/>
                <w:i/>
                <w:iCs/>
                <w:color w:val="000000"/>
                <w:sz w:val="20"/>
                <w:szCs w:val="20"/>
                <w:lang w:eastAsia="en-GB"/>
              </w:rPr>
            </w:pPr>
          </w:p>
        </w:tc>
        <w:tc>
          <w:tcPr>
            <w:tcW w:w="1276" w:type="dxa"/>
            <w:tcBorders>
              <w:top w:val="nil"/>
              <w:left w:val="single" w:sz="4" w:space="0" w:color="auto"/>
              <w:bottom w:val="single" w:sz="4" w:space="0" w:color="auto"/>
              <w:right w:val="nil"/>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risk difference (95% CI)</w:t>
            </w:r>
          </w:p>
        </w:tc>
        <w:tc>
          <w:tcPr>
            <w:tcW w:w="1275" w:type="dxa"/>
            <w:tcBorders>
              <w:top w:val="nil"/>
              <w:left w:val="nil"/>
              <w:bottom w:val="single" w:sz="4" w:space="0" w:color="auto"/>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hazard ratio (95% CI)</w:t>
            </w:r>
          </w:p>
        </w:tc>
        <w:tc>
          <w:tcPr>
            <w:tcW w:w="709" w:type="dxa"/>
            <w:tcBorders>
              <w:top w:val="nil"/>
              <w:bottom w:val="single" w:sz="4" w:space="0" w:color="auto"/>
              <w:right w:val="single" w:sz="4" w:space="0" w:color="auto"/>
            </w:tcBorders>
            <w:shd w:val="clear" w:color="auto" w:fill="BDD6EE" w:themeFill="accent1" w:themeFillTint="66"/>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p</w:t>
            </w:r>
          </w:p>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value</w:t>
            </w:r>
          </w:p>
        </w:tc>
        <w:tc>
          <w:tcPr>
            <w:tcW w:w="1276" w:type="dxa"/>
            <w:tcBorders>
              <w:top w:val="nil"/>
              <w:left w:val="single" w:sz="4" w:space="0" w:color="auto"/>
              <w:bottom w:val="single" w:sz="4" w:space="0" w:color="auto"/>
              <w:right w:val="nil"/>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risk difference (95% CI)</w:t>
            </w:r>
          </w:p>
        </w:tc>
        <w:tc>
          <w:tcPr>
            <w:tcW w:w="1276" w:type="dxa"/>
            <w:tcBorders>
              <w:top w:val="nil"/>
              <w:left w:val="nil"/>
              <w:bottom w:val="single" w:sz="4" w:space="0" w:color="auto"/>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hazard ratio (95% CI)</w:t>
            </w:r>
          </w:p>
        </w:tc>
        <w:tc>
          <w:tcPr>
            <w:tcW w:w="708" w:type="dxa"/>
            <w:tcBorders>
              <w:top w:val="single" w:sz="4" w:space="0" w:color="auto"/>
              <w:bottom w:val="single" w:sz="4" w:space="0" w:color="auto"/>
              <w:right w:val="single" w:sz="4" w:space="0" w:color="auto"/>
            </w:tcBorders>
            <w:shd w:val="clear" w:color="auto" w:fill="BDD6EE" w:themeFill="accent1" w:themeFillTint="66"/>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p</w:t>
            </w:r>
          </w:p>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value</w:t>
            </w:r>
          </w:p>
        </w:tc>
        <w:tc>
          <w:tcPr>
            <w:tcW w:w="1276" w:type="dxa"/>
            <w:tcBorders>
              <w:top w:val="single" w:sz="4" w:space="0" w:color="auto"/>
              <w:left w:val="single" w:sz="4" w:space="0" w:color="auto"/>
              <w:bottom w:val="single" w:sz="4" w:space="0" w:color="auto"/>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risk difference (95% CI)</w:t>
            </w:r>
          </w:p>
        </w:tc>
        <w:tc>
          <w:tcPr>
            <w:tcW w:w="1276" w:type="dxa"/>
            <w:tcBorders>
              <w:top w:val="nil"/>
              <w:left w:val="nil"/>
              <w:bottom w:val="single" w:sz="4" w:space="0" w:color="auto"/>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hazard ratio (95% CI)</w:t>
            </w:r>
          </w:p>
        </w:tc>
        <w:tc>
          <w:tcPr>
            <w:tcW w:w="709" w:type="dxa"/>
            <w:tcBorders>
              <w:top w:val="nil"/>
              <w:left w:val="nil"/>
              <w:bottom w:val="single" w:sz="4" w:space="0" w:color="auto"/>
              <w:right w:val="single" w:sz="4" w:space="0" w:color="auto"/>
            </w:tcBorders>
            <w:shd w:val="clear" w:color="auto" w:fill="BDD6EE" w:themeFill="accent1" w:themeFillTint="66"/>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p</w:t>
            </w:r>
          </w:p>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value</w:t>
            </w:r>
          </w:p>
        </w:tc>
        <w:tc>
          <w:tcPr>
            <w:tcW w:w="1361" w:type="dxa"/>
            <w:tcBorders>
              <w:top w:val="nil"/>
              <w:left w:val="single" w:sz="4" w:space="0" w:color="auto"/>
              <w:bottom w:val="single" w:sz="4" w:space="0" w:color="auto"/>
              <w:right w:val="nil"/>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risk difference (95% CI)</w:t>
            </w:r>
          </w:p>
        </w:tc>
        <w:tc>
          <w:tcPr>
            <w:tcW w:w="1190" w:type="dxa"/>
            <w:tcBorders>
              <w:top w:val="nil"/>
              <w:left w:val="nil"/>
              <w:bottom w:val="single" w:sz="4" w:space="0" w:color="auto"/>
            </w:tcBorders>
            <w:shd w:val="clear" w:color="auto" w:fill="BDD6EE" w:themeFill="accent1" w:themeFillTint="66"/>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hazard ratio (95% CI)</w:t>
            </w:r>
          </w:p>
        </w:tc>
        <w:tc>
          <w:tcPr>
            <w:tcW w:w="709" w:type="dxa"/>
            <w:tcBorders>
              <w:top w:val="nil"/>
              <w:bottom w:val="single" w:sz="4" w:space="0" w:color="auto"/>
              <w:right w:val="single" w:sz="4" w:space="0" w:color="auto"/>
            </w:tcBorders>
            <w:shd w:val="clear" w:color="auto" w:fill="BDD6EE" w:themeFill="accent1" w:themeFillTint="66"/>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p</w:t>
            </w:r>
          </w:p>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value</w:t>
            </w:r>
          </w:p>
        </w:tc>
      </w:tr>
      <w:tr w:rsidR="006A57B2" w:rsidRPr="00A305AC" w:rsidTr="00B22173">
        <w:trPr>
          <w:trHeight w:val="302"/>
          <w:jc w:val="center"/>
        </w:trPr>
        <w:tc>
          <w:tcPr>
            <w:tcW w:w="2041" w:type="dxa"/>
            <w:vMerge w:val="restart"/>
            <w:tcBorders>
              <w:top w:val="single" w:sz="4" w:space="0" w:color="auto"/>
              <w:left w:val="single" w:sz="8" w:space="0" w:color="auto"/>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sz w:val="20"/>
                <w:szCs w:val="20"/>
                <w:lang w:eastAsia="en-GB"/>
              </w:rPr>
              <w:t>Catheter-related BSI (CR-BSI)</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-1.07</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0.55^</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0.13</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-1.77</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0.25^</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0.03</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-0.38</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0.84^</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0.68</w:t>
            </w: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-1.39</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0.30^</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0.09</w:t>
            </w:r>
          </w:p>
        </w:tc>
      </w:tr>
      <w:tr w:rsidR="006A57B2" w:rsidRPr="00A305AC" w:rsidTr="00B22173">
        <w:trPr>
          <w:trHeight w:val="302"/>
          <w:jc w:val="center"/>
        </w:trPr>
        <w:tc>
          <w:tcPr>
            <w:tcW w:w="2041" w:type="dxa"/>
            <w:vMerge/>
            <w:tcBorders>
              <w:left w:val="single" w:sz="8" w:space="0" w:color="auto"/>
              <w:bottom w:val="nil"/>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(-2.58, 0.45)</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(0.25, 1.21)</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(-3.28, -0.27)</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(0.07, 0.90)</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(-2.20, 1.44)</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(0.36, 1.96)</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(-2.81, 0.02)</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(0.08, 1.11)</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r>
      <w:tr w:rsidR="006A57B2" w:rsidRPr="00A305AC" w:rsidTr="00B22173">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Rate of BSI per 1000 CVC days</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-2.21</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0.73*</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0.31</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-4.94</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0.40*</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0.04</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0.55</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1.07*</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0.85</w:t>
            </w: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-5.49</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0.38*</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0.03</w:t>
            </w:r>
          </w:p>
        </w:tc>
      </w:tr>
      <w:tr w:rsidR="006A57B2" w:rsidRPr="00A305AC" w:rsidTr="00B22173">
        <w:trPr>
          <w:trHeight w:val="302"/>
          <w:jc w:val="center"/>
        </w:trPr>
        <w:tc>
          <w:tcPr>
            <w:tcW w:w="2041" w:type="dxa"/>
            <w:vMerge/>
            <w:tcBorders>
              <w:top w:val="nil"/>
              <w:left w:val="single" w:sz="8" w:space="0" w:color="auto"/>
              <w:bottom w:val="nil"/>
              <w:right w:val="single" w:sz="4" w:space="0" w:color="auto"/>
            </w:tcBorders>
            <w:shd w:val="clear" w:color="auto" w:fill="auto"/>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(-6.36, 1.94)</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(0.40, 1.34)</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(-9.14, -0.73)</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(0.17, 0.97)</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(-4.60, 5.70)</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(0.55, 2.06)</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(-9.89, -1.08)</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EC0AA8">
              <w:rPr>
                <w:rFonts w:asciiTheme="majorHAnsi" w:eastAsia="Times New Roman" w:hAnsiTheme="majorHAnsi" w:cstheme="majorHAnsi"/>
                <w:b/>
                <w:color w:val="000000"/>
                <w:sz w:val="20"/>
                <w:szCs w:val="20"/>
                <w:lang w:eastAsia="en-GB"/>
              </w:rPr>
              <w:t>(0.16, 0.89)</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b/>
                <w:color w:val="000000"/>
                <w:sz w:val="20"/>
                <w:szCs w:val="20"/>
                <w:lang w:eastAsia="en-GB"/>
              </w:rPr>
            </w:pPr>
          </w:p>
        </w:tc>
      </w:tr>
      <w:tr w:rsidR="006A57B2" w:rsidRPr="00A305AC" w:rsidTr="00B22173">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Composite measure of BSI</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-1.46</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0.95</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0.65</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-1.12</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0.94</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0.67</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-1.79</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0.95</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0.73</w:t>
            </w: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0.67</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0.99</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0.93</w:t>
            </w:r>
          </w:p>
        </w:tc>
      </w:tr>
      <w:tr w:rsidR="006A57B2" w:rsidRPr="00A305AC" w:rsidTr="00B22173">
        <w:trPr>
          <w:trHeight w:val="302"/>
          <w:jc w:val="center"/>
        </w:trPr>
        <w:tc>
          <w:tcPr>
            <w:tcW w:w="2041" w:type="dxa"/>
            <w:vMerge/>
            <w:tcBorders>
              <w:top w:val="nil"/>
              <w:left w:val="single" w:sz="8" w:space="0" w:color="auto"/>
              <w:bottom w:val="nil"/>
              <w:right w:val="single" w:sz="4" w:space="0" w:color="auto"/>
            </w:tcBorders>
            <w:shd w:val="clear" w:color="auto" w:fill="auto"/>
            <w:vAlign w:val="center"/>
            <w:hideMark/>
          </w:tcPr>
          <w:p w:rsidR="006A57B2" w:rsidRPr="00EC0AA8" w:rsidRDefault="006A57B2" w:rsidP="00B22173">
            <w:pPr>
              <w:spacing w:after="0" w:line="240" w:lineRule="auto"/>
              <w:rPr>
                <w:rFonts w:asciiTheme="majorHAnsi" w:eastAsia="Times New Roman" w:hAnsiTheme="majorHAnsi" w:cstheme="majorHAnsi"/>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(-5.90, 2.98)</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(0.75, 1.20)</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(-6.26, 4.03)</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(0.72, 1.23)</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(-6.87, 3.30)</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(0.73, 1.25)</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(-4.41, 5.75)</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eastAsia="Times New Roman" w:hAnsiTheme="majorHAnsi" w:cstheme="majorHAnsi"/>
                <w:sz w:val="20"/>
                <w:szCs w:val="20"/>
                <w:lang w:eastAsia="en-GB"/>
              </w:rPr>
              <w:t>(0.75, 1.30)</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r>
      <w:tr w:rsidR="006A57B2" w:rsidRPr="00A305AC" w:rsidTr="00B22173">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CVC thrombosis</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-1.40</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0.98</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0.88</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1.03</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1.09</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0.49</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-3.77</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0.88</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0.34</w:t>
            </w: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4.80</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1.24</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0.11</w:t>
            </w:r>
          </w:p>
        </w:tc>
      </w:tr>
      <w:tr w:rsidR="006A57B2" w:rsidRPr="00A305AC" w:rsidTr="00B22173">
        <w:trPr>
          <w:trHeight w:val="302"/>
          <w:jc w:val="center"/>
        </w:trPr>
        <w:tc>
          <w:tcPr>
            <w:tcW w:w="2041" w:type="dxa"/>
            <w:vMerge/>
            <w:tcBorders>
              <w:top w:val="nil"/>
              <w:left w:val="single" w:sz="8" w:space="0" w:color="auto"/>
              <w:bottom w:val="nil"/>
              <w:right w:val="single" w:sz="4" w:space="0" w:color="auto"/>
            </w:tcBorders>
            <w:shd w:val="clear" w:color="auto" w:fill="auto"/>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(-6.02, 3.22)</w:t>
            </w: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(0.79, 1.22)</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(-4.40, 6.46)</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(0.85, 1.40)</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(-8.99, 1.44)</w:t>
            </w: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(0.68, 1.14)</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(-0.50, 10.10)</w:t>
            </w: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(0.96, 1.60)</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r>
      <w:tr w:rsidR="006A57B2" w:rsidRPr="00A305AC" w:rsidTr="00B22173">
        <w:trPr>
          <w:trHeight w:val="302"/>
          <w:jc w:val="center"/>
        </w:trPr>
        <w:tc>
          <w:tcPr>
            <w:tcW w:w="20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 xml:space="preserve">CVC removal </w:t>
            </w:r>
          </w:p>
        </w:tc>
        <w:tc>
          <w:tcPr>
            <w:tcW w:w="1276" w:type="dxa"/>
            <w:tcBorders>
              <w:top w:val="nil"/>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1.04</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0.53</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1.02</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0.67</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1.05</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0.51</w:t>
            </w: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0.99</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0.87</w:t>
            </w:r>
          </w:p>
        </w:tc>
      </w:tr>
      <w:tr w:rsidR="006A57B2" w:rsidRPr="00A305AC" w:rsidTr="00B22173">
        <w:trPr>
          <w:trHeight w:val="302"/>
          <w:jc w:val="center"/>
        </w:trPr>
        <w:tc>
          <w:tcPr>
            <w:tcW w:w="2041" w:type="dxa"/>
            <w:vMerge/>
            <w:tcBorders>
              <w:top w:val="nil"/>
              <w:left w:val="single" w:sz="8" w:space="0" w:color="auto"/>
              <w:right w:val="single" w:sz="4" w:space="0" w:color="auto"/>
            </w:tcBorders>
            <w:shd w:val="clear" w:color="auto" w:fill="auto"/>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276" w:type="dxa"/>
            <w:tcBorders>
              <w:top w:val="nil"/>
              <w:left w:val="single" w:sz="4" w:space="0" w:color="auto"/>
              <w:right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5" w:type="dxa"/>
            <w:tcBorders>
              <w:top w:val="nil"/>
              <w:lef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(0.93, 1.16)</w:t>
            </w:r>
          </w:p>
        </w:tc>
        <w:tc>
          <w:tcPr>
            <w:tcW w:w="709" w:type="dxa"/>
            <w:tcBorders>
              <w:top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(0.90, 1.17)</w:t>
            </w:r>
          </w:p>
        </w:tc>
        <w:tc>
          <w:tcPr>
            <w:tcW w:w="708" w:type="dxa"/>
            <w:tcBorders>
              <w:top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(0.92, 1.19)</w:t>
            </w:r>
          </w:p>
        </w:tc>
        <w:tc>
          <w:tcPr>
            <w:tcW w:w="709" w:type="dxa"/>
            <w:tcBorders>
              <w:top w:val="nil"/>
              <w:left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361" w:type="dxa"/>
            <w:tcBorders>
              <w:top w:val="nil"/>
              <w:left w:val="single" w:sz="4" w:space="0" w:color="auto"/>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190" w:type="dxa"/>
            <w:tcBorders>
              <w:top w:val="nil"/>
              <w:lef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(0.87, 1.13)</w:t>
            </w:r>
          </w:p>
        </w:tc>
        <w:tc>
          <w:tcPr>
            <w:tcW w:w="709" w:type="dxa"/>
            <w:tcBorders>
              <w:top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r>
      <w:tr w:rsidR="006A57B2" w:rsidRPr="00A305AC" w:rsidTr="00B22173">
        <w:trPr>
          <w:trHeight w:val="302"/>
          <w:jc w:val="center"/>
        </w:trPr>
        <w:tc>
          <w:tcPr>
            <w:tcW w:w="2041" w:type="dxa"/>
            <w:vMerge w:val="restart"/>
            <w:tcBorders>
              <w:left w:val="single" w:sz="8" w:space="0" w:color="auto"/>
              <w:bottom w:val="nil"/>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Mortality by 30 days</w:t>
            </w:r>
          </w:p>
        </w:tc>
        <w:tc>
          <w:tcPr>
            <w:tcW w:w="1276" w:type="dxa"/>
            <w:tcBorders>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color w:val="FF0000"/>
                <w:sz w:val="20"/>
                <w:szCs w:val="20"/>
                <w:lang w:eastAsia="en-GB"/>
              </w:rPr>
            </w:pPr>
          </w:p>
        </w:tc>
        <w:tc>
          <w:tcPr>
            <w:tcW w:w="1275" w:type="dxa"/>
            <w:tcBorders>
              <w:left w:val="nil"/>
              <w:bottom w:val="nil"/>
            </w:tcBorders>
            <w:shd w:val="clear" w:color="auto" w:fill="auto"/>
            <w:noWrap/>
            <w:vAlign w:val="center"/>
          </w:tcPr>
          <w:p w:rsidR="006A57B2" w:rsidRPr="00EC0AA8" w:rsidRDefault="006A57B2" w:rsidP="00B22173">
            <w:pPr>
              <w:spacing w:after="0" w:line="240" w:lineRule="auto"/>
              <w:jc w:val="center"/>
              <w:rPr>
                <w:rFonts w:asciiTheme="majorHAnsi" w:hAnsiTheme="majorHAnsi" w:cstheme="majorHAnsi"/>
                <w:sz w:val="20"/>
                <w:szCs w:val="20"/>
              </w:rPr>
            </w:pPr>
          </w:p>
        </w:tc>
        <w:tc>
          <w:tcPr>
            <w:tcW w:w="709" w:type="dxa"/>
            <w:tcBorders>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left w:val="nil"/>
              <w:bottom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708" w:type="dxa"/>
            <w:tcBorders>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left w:val="nil"/>
              <w:bottom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709" w:type="dxa"/>
            <w:tcBorders>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361" w:type="dxa"/>
            <w:tcBorders>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190" w:type="dxa"/>
            <w:tcBorders>
              <w:left w:val="nil"/>
              <w:bottom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709" w:type="dxa"/>
            <w:tcBorders>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r>
      <w:tr w:rsidR="006A57B2" w:rsidRPr="00A305AC" w:rsidTr="00B22173">
        <w:trPr>
          <w:trHeight w:val="270"/>
          <w:jc w:val="center"/>
        </w:trPr>
        <w:tc>
          <w:tcPr>
            <w:tcW w:w="2041" w:type="dxa"/>
            <w:vMerge/>
            <w:tcBorders>
              <w:top w:val="nil"/>
              <w:left w:val="single" w:sz="8" w:space="0" w:color="auto"/>
              <w:bottom w:val="nil"/>
              <w:right w:val="single" w:sz="4" w:space="0" w:color="auto"/>
            </w:tcBorders>
            <w:shd w:val="clear" w:color="auto" w:fill="auto"/>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hAnsiTheme="majorHAnsi" w:cstheme="majorHAnsi"/>
                <w:sz w:val="20"/>
              </w:rPr>
            </w:pPr>
            <w:r w:rsidRPr="00EC0AA8">
              <w:rPr>
                <w:rFonts w:asciiTheme="majorHAnsi" w:hAnsiTheme="majorHAnsi" w:cstheme="majorHAnsi"/>
                <w:sz w:val="20"/>
              </w:rPr>
              <w:t xml:space="preserve">0.80 </w:t>
            </w:r>
          </w:p>
          <w:p w:rsidR="006A57B2" w:rsidRPr="00EC0AA8" w:rsidRDefault="006A57B2" w:rsidP="00B22173">
            <w:pPr>
              <w:spacing w:after="0" w:line="240" w:lineRule="auto"/>
              <w:jc w:val="center"/>
              <w:rPr>
                <w:rFonts w:asciiTheme="majorHAnsi" w:eastAsia="Times New Roman" w:hAnsiTheme="majorHAnsi" w:cstheme="majorHAnsi"/>
                <w:color w:val="FF0000"/>
                <w:sz w:val="20"/>
                <w:szCs w:val="20"/>
                <w:lang w:eastAsia="en-GB"/>
              </w:rPr>
            </w:pPr>
            <w:r w:rsidRPr="00EC0AA8">
              <w:rPr>
                <w:rFonts w:asciiTheme="majorHAnsi" w:hAnsiTheme="majorHAnsi" w:cstheme="majorHAnsi"/>
                <w:sz w:val="20"/>
              </w:rPr>
              <w:t xml:space="preserve">(0.54, 1.20) </w:t>
            </w:r>
          </w:p>
        </w:tc>
        <w:tc>
          <w:tcPr>
            <w:tcW w:w="1275" w:type="dxa"/>
            <w:tcBorders>
              <w:top w:val="nil"/>
              <w:left w:val="nil"/>
              <w:bottom w:val="nil"/>
            </w:tcBorders>
            <w:shd w:val="clear" w:color="auto" w:fill="auto"/>
            <w:noWrap/>
            <w:vAlign w:val="center"/>
          </w:tcPr>
          <w:p w:rsidR="006A57B2" w:rsidRPr="00EC0AA8" w:rsidRDefault="006A57B2" w:rsidP="00B22173">
            <w:pPr>
              <w:spacing w:after="0" w:line="240" w:lineRule="auto"/>
              <w:jc w:val="center"/>
              <w:rPr>
                <w:rFonts w:asciiTheme="majorHAnsi" w:hAnsiTheme="majorHAnsi" w:cstheme="majorHAnsi"/>
                <w:sz w:val="20"/>
                <w:szCs w:val="20"/>
              </w:rPr>
            </w:pP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top w:val="nil"/>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hAnsiTheme="majorHAnsi" w:cstheme="majorHAnsi"/>
                <w:sz w:val="20"/>
              </w:rPr>
            </w:pPr>
            <w:r w:rsidRPr="00EC0AA8">
              <w:rPr>
                <w:rFonts w:asciiTheme="majorHAnsi" w:hAnsiTheme="majorHAnsi" w:cstheme="majorHAnsi"/>
                <w:sz w:val="20"/>
              </w:rPr>
              <w:t>0.96</w:t>
            </w:r>
          </w:p>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hAnsiTheme="majorHAnsi" w:cstheme="majorHAnsi"/>
                <w:sz w:val="20"/>
              </w:rPr>
              <w:t>(0.61, 1.51)</w:t>
            </w:r>
          </w:p>
        </w:tc>
        <w:tc>
          <w:tcPr>
            <w:tcW w:w="1276" w:type="dxa"/>
            <w:tcBorders>
              <w:top w:val="nil"/>
              <w:left w:val="nil"/>
              <w:bottom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276" w:type="dxa"/>
            <w:tcBorders>
              <w:top w:val="nil"/>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hAnsiTheme="majorHAnsi" w:cstheme="majorHAnsi"/>
                <w:sz w:val="20"/>
              </w:rPr>
            </w:pPr>
            <w:r w:rsidRPr="00EC0AA8">
              <w:rPr>
                <w:rFonts w:asciiTheme="majorHAnsi" w:hAnsiTheme="majorHAnsi" w:cstheme="majorHAnsi"/>
                <w:sz w:val="20"/>
              </w:rPr>
              <w:t xml:space="preserve">0.65 </w:t>
            </w:r>
          </w:p>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hAnsiTheme="majorHAnsi" w:cstheme="majorHAnsi"/>
                <w:sz w:val="20"/>
              </w:rPr>
              <w:t>(0.40, 1.07)</w:t>
            </w:r>
          </w:p>
        </w:tc>
        <w:tc>
          <w:tcPr>
            <w:tcW w:w="1276" w:type="dxa"/>
            <w:tcBorders>
              <w:top w:val="nil"/>
              <w:left w:val="nil"/>
              <w:bottom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361" w:type="dxa"/>
            <w:tcBorders>
              <w:top w:val="nil"/>
              <w:left w:val="single" w:sz="4" w:space="0" w:color="auto"/>
              <w:bottom w:val="nil"/>
              <w:right w:val="nil"/>
            </w:tcBorders>
            <w:shd w:val="clear" w:color="auto" w:fill="auto"/>
            <w:noWrap/>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p>
        </w:tc>
        <w:tc>
          <w:tcPr>
            <w:tcW w:w="1190" w:type="dxa"/>
            <w:tcBorders>
              <w:top w:val="nil"/>
              <w:left w:val="nil"/>
              <w:bottom w:val="nil"/>
            </w:tcBorders>
            <w:shd w:val="clear" w:color="auto" w:fill="auto"/>
            <w:noWrap/>
            <w:vAlign w:val="center"/>
          </w:tcPr>
          <w:p w:rsidR="006A57B2" w:rsidRPr="00EC0AA8" w:rsidRDefault="006A57B2" w:rsidP="00B22173">
            <w:pPr>
              <w:spacing w:after="0" w:line="240" w:lineRule="auto"/>
              <w:jc w:val="center"/>
              <w:rPr>
                <w:rFonts w:asciiTheme="majorHAnsi" w:hAnsiTheme="majorHAnsi" w:cstheme="majorHAnsi"/>
                <w:sz w:val="20"/>
              </w:rPr>
            </w:pPr>
            <w:r w:rsidRPr="00EC0AA8">
              <w:rPr>
                <w:rFonts w:asciiTheme="majorHAnsi" w:hAnsiTheme="majorHAnsi" w:cstheme="majorHAnsi"/>
                <w:sz w:val="20"/>
              </w:rPr>
              <w:t xml:space="preserve">1.46 </w:t>
            </w:r>
          </w:p>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hAnsiTheme="majorHAnsi" w:cstheme="majorHAnsi"/>
                <w:sz w:val="20"/>
              </w:rPr>
              <w:t>(0.88, 2.42)</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sz w:val="20"/>
                <w:szCs w:val="20"/>
                <w:lang w:eastAsia="en-GB"/>
              </w:rPr>
            </w:pPr>
            <w:r w:rsidRPr="00EC0AA8">
              <w:rPr>
                <w:rFonts w:asciiTheme="majorHAnsi" w:hAnsiTheme="majorHAnsi" w:cstheme="majorHAnsi"/>
                <w:sz w:val="20"/>
              </w:rPr>
              <w:t>0.14</w:t>
            </w:r>
          </w:p>
        </w:tc>
      </w:tr>
      <w:tr w:rsidR="006A57B2" w:rsidRPr="00A305AC" w:rsidTr="00B22173">
        <w:trPr>
          <w:trHeight w:val="302"/>
          <w:jc w:val="center"/>
        </w:trPr>
        <w:tc>
          <w:tcPr>
            <w:tcW w:w="2041" w:type="dxa"/>
            <w:vMerge w:val="restart"/>
            <w:tcBorders>
              <w:top w:val="nil"/>
              <w:left w:val="single" w:sz="8" w:space="0" w:color="auto"/>
              <w:bottom w:val="nil"/>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Time to PICU discharge</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1.08</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0.17</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1.07</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0.27</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1.08</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0.21</w:t>
            </w: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0.98</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0.73</w:t>
            </w:r>
          </w:p>
        </w:tc>
      </w:tr>
      <w:tr w:rsidR="006A57B2" w:rsidRPr="00A305AC" w:rsidTr="00B22173">
        <w:trPr>
          <w:trHeight w:val="302"/>
          <w:jc w:val="center"/>
        </w:trPr>
        <w:tc>
          <w:tcPr>
            <w:tcW w:w="2041" w:type="dxa"/>
            <w:vMerge/>
            <w:tcBorders>
              <w:top w:val="nil"/>
              <w:left w:val="single" w:sz="8" w:space="0" w:color="auto"/>
              <w:bottom w:val="nil"/>
              <w:right w:val="single" w:sz="4" w:space="0" w:color="auto"/>
            </w:tcBorders>
            <w:shd w:val="clear" w:color="auto" w:fill="auto"/>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(0.97, 1.20)</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(0.95, 1.22)</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(0.96, 1.23)</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(0.86, 1.11)</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r>
      <w:tr w:rsidR="006A57B2" w:rsidRPr="00A305AC" w:rsidTr="00B22173">
        <w:trPr>
          <w:trHeight w:val="302"/>
          <w:jc w:val="center"/>
        </w:trPr>
        <w:tc>
          <w:tcPr>
            <w:tcW w:w="204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Time to hospital discharge</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5"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1.04</w:t>
            </w:r>
          </w:p>
        </w:tc>
        <w:tc>
          <w:tcPr>
            <w:tcW w:w="709"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0.47</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1.03</w:t>
            </w:r>
          </w:p>
        </w:tc>
        <w:tc>
          <w:tcPr>
            <w:tcW w:w="708" w:type="dxa"/>
            <w:tcBorders>
              <w:top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0.68</w:t>
            </w:r>
          </w:p>
        </w:tc>
        <w:tc>
          <w:tcPr>
            <w:tcW w:w="1276"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1.05</w:t>
            </w:r>
          </w:p>
        </w:tc>
        <w:tc>
          <w:tcPr>
            <w:tcW w:w="709" w:type="dxa"/>
            <w:tcBorders>
              <w:top w:val="nil"/>
              <w:left w:val="nil"/>
              <w:bottom w:val="nil"/>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0.42</w:t>
            </w:r>
          </w:p>
        </w:tc>
        <w:tc>
          <w:tcPr>
            <w:tcW w:w="1361" w:type="dxa"/>
            <w:tcBorders>
              <w:top w:val="nil"/>
              <w:left w:val="single" w:sz="4" w:space="0" w:color="auto"/>
              <w:bottom w:val="nil"/>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190" w:type="dxa"/>
            <w:tcBorders>
              <w:top w:val="nil"/>
              <w:left w:val="nil"/>
              <w:bottom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0.98</w:t>
            </w:r>
          </w:p>
        </w:tc>
        <w:tc>
          <w:tcPr>
            <w:tcW w:w="709" w:type="dxa"/>
            <w:tcBorders>
              <w:top w:val="nil"/>
              <w:bottom w:val="nil"/>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0.77</w:t>
            </w:r>
          </w:p>
        </w:tc>
      </w:tr>
      <w:tr w:rsidR="006A57B2" w:rsidRPr="00A305AC" w:rsidTr="00B22173">
        <w:trPr>
          <w:trHeight w:val="302"/>
          <w:jc w:val="center"/>
        </w:trPr>
        <w:tc>
          <w:tcPr>
            <w:tcW w:w="2041" w:type="dxa"/>
            <w:vMerge/>
            <w:tcBorders>
              <w:top w:val="nil"/>
              <w:left w:val="single" w:sz="8" w:space="0" w:color="auto"/>
              <w:bottom w:val="single" w:sz="4" w:space="0" w:color="000000"/>
              <w:right w:val="single" w:sz="4" w:space="0" w:color="auto"/>
            </w:tcBorders>
            <w:shd w:val="clear" w:color="auto" w:fill="auto"/>
            <w:vAlign w:val="center"/>
            <w:hideMark/>
          </w:tcPr>
          <w:p w:rsidR="006A57B2" w:rsidRPr="00EC0AA8"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5" w:type="dxa"/>
            <w:tcBorders>
              <w:top w:val="nil"/>
              <w:left w:val="nil"/>
              <w:bottom w:val="single" w:sz="4" w:space="0" w:color="auto"/>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(0.93, 1.16)</w:t>
            </w:r>
          </w:p>
        </w:tc>
        <w:tc>
          <w:tcPr>
            <w:tcW w:w="709" w:type="dxa"/>
            <w:tcBorders>
              <w:top w:val="nil"/>
              <w:bottom w:val="single" w:sz="4" w:space="0" w:color="auto"/>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single" w:sz="4" w:space="0" w:color="auto"/>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(0.91, 1.16)</w:t>
            </w:r>
          </w:p>
        </w:tc>
        <w:tc>
          <w:tcPr>
            <w:tcW w:w="708" w:type="dxa"/>
            <w:tcBorders>
              <w:top w:val="nil"/>
              <w:bottom w:val="single" w:sz="4" w:space="0" w:color="auto"/>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single" w:sz="4" w:space="0" w:color="auto"/>
              <w:bottom w:val="single" w:sz="4" w:space="0" w:color="auto"/>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276" w:type="dxa"/>
            <w:tcBorders>
              <w:top w:val="nil"/>
              <w:left w:val="nil"/>
              <w:bottom w:val="single" w:sz="4" w:space="0" w:color="auto"/>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(0.93, 1.19)</w:t>
            </w:r>
          </w:p>
        </w:tc>
        <w:tc>
          <w:tcPr>
            <w:tcW w:w="709" w:type="dxa"/>
            <w:tcBorders>
              <w:top w:val="nil"/>
              <w:left w:val="nil"/>
              <w:bottom w:val="single" w:sz="4" w:space="0" w:color="auto"/>
              <w:right w:val="single" w:sz="4"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361" w:type="dxa"/>
            <w:tcBorders>
              <w:top w:val="nil"/>
              <w:left w:val="single" w:sz="4" w:space="0" w:color="auto"/>
              <w:bottom w:val="single" w:sz="4" w:space="0" w:color="auto"/>
              <w:right w:val="nil"/>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c>
          <w:tcPr>
            <w:tcW w:w="1190" w:type="dxa"/>
            <w:tcBorders>
              <w:top w:val="nil"/>
              <w:left w:val="nil"/>
              <w:bottom w:val="single" w:sz="4" w:space="0" w:color="auto"/>
            </w:tcBorders>
            <w:shd w:val="clear" w:color="auto" w:fill="auto"/>
            <w:noWrap/>
            <w:vAlign w:val="center"/>
            <w:hideMark/>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EC0AA8">
              <w:rPr>
                <w:rFonts w:asciiTheme="majorHAnsi" w:eastAsia="Times New Roman" w:hAnsiTheme="majorHAnsi" w:cstheme="majorHAnsi"/>
                <w:color w:val="000000"/>
                <w:sz w:val="20"/>
                <w:szCs w:val="20"/>
                <w:lang w:eastAsia="en-GB"/>
              </w:rPr>
              <w:t>(0.87, 1.11)</w:t>
            </w:r>
          </w:p>
        </w:tc>
        <w:tc>
          <w:tcPr>
            <w:tcW w:w="709" w:type="dxa"/>
            <w:tcBorders>
              <w:top w:val="nil"/>
              <w:bottom w:val="single" w:sz="4" w:space="0" w:color="auto"/>
              <w:right w:val="single" w:sz="8" w:space="0" w:color="auto"/>
            </w:tcBorders>
            <w:shd w:val="clear" w:color="auto" w:fill="auto"/>
            <w:vAlign w:val="center"/>
          </w:tcPr>
          <w:p w:rsidR="006A57B2" w:rsidRPr="00EC0AA8" w:rsidRDefault="006A57B2" w:rsidP="00B22173">
            <w:pPr>
              <w:spacing w:after="0" w:line="240" w:lineRule="auto"/>
              <w:jc w:val="center"/>
              <w:rPr>
                <w:rFonts w:asciiTheme="majorHAnsi" w:eastAsia="Times New Roman" w:hAnsiTheme="majorHAnsi" w:cstheme="majorHAnsi"/>
                <w:color w:val="000000"/>
                <w:sz w:val="20"/>
                <w:szCs w:val="20"/>
                <w:lang w:eastAsia="en-GB"/>
              </w:rPr>
            </w:pPr>
          </w:p>
        </w:tc>
      </w:tr>
    </w:tbl>
    <w:p w:rsidR="006A57B2" w:rsidRPr="007C5745" w:rsidRDefault="006A57B2" w:rsidP="00B22173">
      <w:pPr>
        <w:spacing w:after="0" w:line="240" w:lineRule="auto"/>
        <w:rPr>
          <w:rFonts w:asciiTheme="majorHAnsi" w:hAnsiTheme="majorHAnsi" w:cstheme="majorHAnsi"/>
          <w:sz w:val="20"/>
        </w:rPr>
      </w:pPr>
      <w:r w:rsidRPr="007C5745">
        <w:rPr>
          <w:rFonts w:asciiTheme="majorHAnsi" w:hAnsiTheme="majorHAnsi" w:cstheme="majorHAnsi"/>
          <w:sz w:val="20"/>
        </w:rPr>
        <w:t>Primary analyses compared time to event for all secondary outcomes, except CR-BSI (^=risk ratio) and rate of BSI (*=rate ratio)</w:t>
      </w:r>
    </w:p>
    <w:p w:rsidR="006A57B2" w:rsidRDefault="006A57B2" w:rsidP="00B22173">
      <w:pPr>
        <w:spacing w:after="0" w:line="240" w:lineRule="auto"/>
        <w:rPr>
          <w:sz w:val="20"/>
        </w:rPr>
      </w:pPr>
    </w:p>
    <w:p w:rsidR="006A57B2" w:rsidRDefault="006A57B2" w:rsidP="00B22173">
      <w:pPr>
        <w:spacing w:after="0" w:line="240" w:lineRule="auto"/>
        <w:rPr>
          <w:sz w:val="20"/>
        </w:rPr>
        <w:sectPr w:rsidR="006A57B2" w:rsidSect="00B22173">
          <w:pgSz w:w="16838" w:h="11906" w:orient="landscape"/>
          <w:pgMar w:top="1440" w:right="1440" w:bottom="1440" w:left="1440" w:header="708" w:footer="708" w:gutter="0"/>
          <w:cols w:space="708"/>
          <w:docGrid w:linePitch="360"/>
        </w:sectPr>
      </w:pPr>
    </w:p>
    <w:p w:rsidR="006A57B2" w:rsidRPr="00BE078C" w:rsidRDefault="006A57B2" w:rsidP="00C07DDC">
      <w:pPr>
        <w:pStyle w:val="Caption"/>
        <w:rPr>
          <w:rFonts w:asciiTheme="majorHAnsi" w:hAnsiTheme="majorHAnsi"/>
          <w:color w:val="2E74B5" w:themeColor="accent1" w:themeShade="BF"/>
          <w:sz w:val="22"/>
          <w:szCs w:val="22"/>
        </w:rPr>
      </w:pPr>
      <w:bookmarkStart w:id="86" w:name="_Toc428178965"/>
      <w:r w:rsidRPr="00BE078C">
        <w:rPr>
          <w:sz w:val="22"/>
          <w:szCs w:val="22"/>
        </w:rPr>
        <w:t xml:space="preserve">Table </w:t>
      </w:r>
      <w:r>
        <w:rPr>
          <w:noProof/>
          <w:sz w:val="22"/>
          <w:szCs w:val="22"/>
        </w:rPr>
        <w:t>10</w:t>
      </w:r>
      <w:r w:rsidRPr="00BE078C">
        <w:rPr>
          <w:sz w:val="22"/>
          <w:szCs w:val="22"/>
        </w:rPr>
        <w:t>: Safety analyses of CVC-related adverse events and mortality (n is number by type of received or if not inserted, type attempted to be inserted)</w:t>
      </w:r>
      <w:bookmarkEnd w:id="86"/>
      <w:r w:rsidRPr="00BE078C">
        <w:rPr>
          <w:rFonts w:asciiTheme="majorHAnsi" w:hAnsiTheme="majorHAnsi"/>
          <w:b w:val="0"/>
          <w:color w:val="2E74B5" w:themeColor="accent1" w:themeShade="BF"/>
          <w:sz w:val="22"/>
          <w:szCs w:val="22"/>
        </w:rPr>
        <w:t xml:space="preserve"> </w:t>
      </w:r>
    </w:p>
    <w:p w:rsidR="006A57B2" w:rsidRPr="00AE2AA6" w:rsidRDefault="006A57B2" w:rsidP="00B22173">
      <w:pPr>
        <w:spacing w:after="0" w:line="240" w:lineRule="auto"/>
        <w:rPr>
          <w:b/>
          <w:sz w:val="20"/>
        </w:rPr>
      </w:pPr>
    </w:p>
    <w:tbl>
      <w:tblPr>
        <w:tblW w:w="9676" w:type="dxa"/>
        <w:tblInd w:w="93" w:type="dxa"/>
        <w:tblLook w:val="04A0" w:firstRow="1" w:lastRow="0" w:firstColumn="1" w:lastColumn="0" w:noHBand="0" w:noVBand="1"/>
      </w:tblPr>
      <w:tblGrid>
        <w:gridCol w:w="2567"/>
        <w:gridCol w:w="1209"/>
        <w:gridCol w:w="917"/>
        <w:gridCol w:w="754"/>
        <w:gridCol w:w="1155"/>
        <w:gridCol w:w="571"/>
        <w:gridCol w:w="996"/>
        <w:gridCol w:w="521"/>
        <w:gridCol w:w="986"/>
      </w:tblGrid>
      <w:tr w:rsidR="006A57B2" w:rsidRPr="004E37CA" w:rsidTr="005E10F3">
        <w:trPr>
          <w:trHeight w:val="300"/>
        </w:trPr>
        <w:tc>
          <w:tcPr>
            <w:tcW w:w="2567" w:type="dxa"/>
            <w:tcBorders>
              <w:top w:val="nil"/>
              <w:left w:val="nil"/>
              <w:bottom w:val="nil"/>
              <w:right w:val="single" w:sz="4" w:space="0" w:color="auto"/>
            </w:tcBorders>
            <w:shd w:val="clear" w:color="auto" w:fill="auto"/>
            <w:noWrap/>
            <w:vAlign w:val="bottom"/>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p>
        </w:tc>
        <w:tc>
          <w:tcPr>
            <w:tcW w:w="2126" w:type="dxa"/>
            <w:gridSpan w:val="2"/>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b/>
                <w:color w:val="000000"/>
                <w:sz w:val="20"/>
                <w:szCs w:val="20"/>
                <w:lang w:eastAsia="en-GB"/>
              </w:rPr>
            </w:pPr>
            <w:r w:rsidRPr="004E37CA">
              <w:rPr>
                <w:rFonts w:ascii="Calibri" w:eastAsia="Times New Roman" w:hAnsi="Calibri" w:cs="Calibri"/>
                <w:b/>
                <w:color w:val="000000"/>
                <w:sz w:val="20"/>
                <w:szCs w:val="20"/>
                <w:lang w:eastAsia="en-GB"/>
              </w:rPr>
              <w:t>Standard (n=533)</w:t>
            </w:r>
          </w:p>
        </w:tc>
        <w:tc>
          <w:tcPr>
            <w:tcW w:w="1909" w:type="dxa"/>
            <w:gridSpan w:val="2"/>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b/>
                <w:color w:val="000000"/>
                <w:sz w:val="20"/>
                <w:szCs w:val="20"/>
                <w:lang w:eastAsia="en-GB"/>
              </w:rPr>
            </w:pPr>
            <w:r w:rsidRPr="004E37CA">
              <w:rPr>
                <w:rFonts w:ascii="Calibri" w:eastAsia="Times New Roman" w:hAnsi="Calibri" w:cs="Calibri"/>
                <w:b/>
                <w:color w:val="000000"/>
                <w:sz w:val="20"/>
                <w:szCs w:val="20"/>
                <w:lang w:eastAsia="en-GB"/>
              </w:rPr>
              <w:t>Antibiotic (n=451)</w:t>
            </w:r>
          </w:p>
        </w:tc>
        <w:tc>
          <w:tcPr>
            <w:tcW w:w="1567" w:type="dxa"/>
            <w:gridSpan w:val="2"/>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b/>
                <w:color w:val="000000"/>
                <w:sz w:val="20"/>
                <w:szCs w:val="20"/>
                <w:lang w:eastAsia="en-GB"/>
              </w:rPr>
            </w:pPr>
            <w:r w:rsidRPr="004E37CA">
              <w:rPr>
                <w:rFonts w:ascii="Calibri" w:eastAsia="Times New Roman" w:hAnsi="Calibri" w:cs="Calibri"/>
                <w:b/>
                <w:color w:val="000000"/>
                <w:sz w:val="20"/>
                <w:szCs w:val="20"/>
                <w:lang w:eastAsia="en-GB"/>
              </w:rPr>
              <w:t>Heparin (n=479)</w:t>
            </w:r>
          </w:p>
        </w:tc>
        <w:tc>
          <w:tcPr>
            <w:tcW w:w="1507" w:type="dxa"/>
            <w:gridSpan w:val="2"/>
            <w:tcBorders>
              <w:top w:val="single" w:sz="4" w:space="0" w:color="auto"/>
              <w:left w:val="single" w:sz="4" w:space="0" w:color="auto"/>
              <w:bottom w:val="nil"/>
              <w:right w:val="single" w:sz="4" w:space="0" w:color="auto"/>
            </w:tcBorders>
            <w:shd w:val="clear" w:color="auto" w:fill="BDD6EE" w:themeFill="accent1" w:themeFillTint="66"/>
            <w:noWrap/>
            <w:vAlign w:val="center"/>
            <w:hideMark/>
          </w:tcPr>
          <w:p w:rsidR="006A57B2" w:rsidRDefault="006A57B2" w:rsidP="00B22173">
            <w:pPr>
              <w:spacing w:after="0" w:line="240" w:lineRule="auto"/>
              <w:jc w:val="center"/>
              <w:rPr>
                <w:rFonts w:ascii="Calibri" w:eastAsia="Times New Roman" w:hAnsi="Calibri" w:cs="Calibri"/>
                <w:b/>
                <w:color w:val="000000"/>
                <w:sz w:val="20"/>
                <w:szCs w:val="20"/>
                <w:lang w:eastAsia="en-GB"/>
              </w:rPr>
            </w:pPr>
            <w:r w:rsidRPr="004E37CA">
              <w:rPr>
                <w:rFonts w:ascii="Calibri" w:eastAsia="Times New Roman" w:hAnsi="Calibri" w:cs="Calibri"/>
                <w:b/>
                <w:color w:val="000000"/>
                <w:sz w:val="20"/>
                <w:szCs w:val="20"/>
                <w:lang w:eastAsia="en-GB"/>
              </w:rPr>
              <w:t>Total</w:t>
            </w:r>
          </w:p>
          <w:p w:rsidR="006A57B2" w:rsidRPr="004E37CA" w:rsidRDefault="006A57B2" w:rsidP="00B22173">
            <w:pPr>
              <w:spacing w:after="0" w:line="240" w:lineRule="auto"/>
              <w:jc w:val="center"/>
              <w:rPr>
                <w:rFonts w:ascii="Calibri" w:eastAsia="Times New Roman" w:hAnsi="Calibri" w:cs="Calibri"/>
                <w:b/>
                <w:color w:val="000000"/>
                <w:sz w:val="20"/>
                <w:szCs w:val="20"/>
                <w:lang w:eastAsia="en-GB"/>
              </w:rPr>
            </w:pPr>
            <w:r w:rsidRPr="004E37CA">
              <w:rPr>
                <w:rFonts w:ascii="Calibri" w:eastAsia="Times New Roman" w:hAnsi="Calibri" w:cs="Calibri"/>
                <w:b/>
                <w:color w:val="000000"/>
                <w:sz w:val="20"/>
                <w:szCs w:val="20"/>
                <w:lang w:eastAsia="en-GB"/>
              </w:rPr>
              <w:t>(n=1463)</w:t>
            </w:r>
          </w:p>
        </w:tc>
      </w:tr>
      <w:tr w:rsidR="006A57B2" w:rsidRPr="004E37CA" w:rsidTr="00123E73">
        <w:trPr>
          <w:trHeight w:val="300"/>
        </w:trPr>
        <w:tc>
          <w:tcPr>
            <w:tcW w:w="2567" w:type="dxa"/>
            <w:tcBorders>
              <w:top w:val="nil"/>
              <w:left w:val="nil"/>
              <w:bottom w:val="single" w:sz="4" w:space="0" w:color="auto"/>
              <w:right w:val="single" w:sz="4" w:space="0" w:color="auto"/>
            </w:tcBorders>
            <w:shd w:val="clear" w:color="auto" w:fill="auto"/>
            <w:noWrap/>
            <w:vAlign w:val="bottom"/>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p>
        </w:tc>
        <w:tc>
          <w:tcPr>
            <w:tcW w:w="1209" w:type="dxa"/>
            <w:tcBorders>
              <w:top w:val="nil"/>
              <w:left w:val="single" w:sz="4" w:space="0" w:color="auto"/>
              <w:bottom w:val="single" w:sz="4" w:space="0" w:color="auto"/>
              <w:right w:val="nil"/>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n</w:t>
            </w:r>
          </w:p>
        </w:tc>
        <w:tc>
          <w:tcPr>
            <w:tcW w:w="917"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w:t>
            </w:r>
          </w:p>
        </w:tc>
        <w:tc>
          <w:tcPr>
            <w:tcW w:w="754" w:type="dxa"/>
            <w:tcBorders>
              <w:top w:val="nil"/>
              <w:left w:val="single" w:sz="4" w:space="0" w:color="auto"/>
              <w:bottom w:val="single" w:sz="4" w:space="0" w:color="auto"/>
              <w:right w:val="nil"/>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n</w:t>
            </w:r>
          </w:p>
        </w:tc>
        <w:tc>
          <w:tcPr>
            <w:tcW w:w="1155"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w:t>
            </w:r>
          </w:p>
        </w:tc>
        <w:tc>
          <w:tcPr>
            <w:tcW w:w="571" w:type="dxa"/>
            <w:tcBorders>
              <w:top w:val="nil"/>
              <w:left w:val="single" w:sz="4" w:space="0" w:color="auto"/>
              <w:bottom w:val="single" w:sz="4" w:space="0" w:color="auto"/>
              <w:right w:val="nil"/>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n</w:t>
            </w:r>
          </w:p>
        </w:tc>
        <w:tc>
          <w:tcPr>
            <w:tcW w:w="996"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w:t>
            </w:r>
          </w:p>
        </w:tc>
        <w:tc>
          <w:tcPr>
            <w:tcW w:w="521" w:type="dxa"/>
            <w:tcBorders>
              <w:top w:val="nil"/>
              <w:left w:val="single" w:sz="4" w:space="0" w:color="auto"/>
              <w:bottom w:val="single" w:sz="4" w:space="0" w:color="auto"/>
              <w:right w:val="nil"/>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n</w:t>
            </w:r>
          </w:p>
        </w:tc>
        <w:tc>
          <w:tcPr>
            <w:tcW w:w="986" w:type="dxa"/>
            <w:tcBorders>
              <w:top w:val="nil"/>
              <w:left w:val="nil"/>
              <w:bottom w:val="single" w:sz="4" w:space="0" w:color="auto"/>
              <w:right w:val="single" w:sz="4" w:space="0" w:color="auto"/>
            </w:tcBorders>
            <w:shd w:val="clear" w:color="auto" w:fill="BDD6EE" w:themeFill="accent1" w:themeFillTint="66"/>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w:t>
            </w:r>
          </w:p>
        </w:tc>
      </w:tr>
      <w:tr w:rsidR="006A57B2" w:rsidRPr="004E37CA" w:rsidTr="00123E73">
        <w:trPr>
          <w:trHeight w:val="488"/>
        </w:trPr>
        <w:tc>
          <w:tcPr>
            <w:tcW w:w="2567" w:type="dxa"/>
            <w:tcBorders>
              <w:top w:val="single" w:sz="4" w:space="0" w:color="auto"/>
              <w:left w:val="single" w:sz="4" w:space="0" w:color="auto"/>
              <w:bottom w:val="nil"/>
              <w:right w:val="single" w:sz="4" w:space="0" w:color="auto"/>
            </w:tcBorders>
            <w:shd w:val="clear" w:color="auto" w:fill="BDD6EE" w:themeFill="accent1" w:themeFillTint="66"/>
            <w:noWrap/>
            <w:vAlign w:val="center"/>
          </w:tcPr>
          <w:p w:rsidR="006A57B2" w:rsidRPr="00021455" w:rsidRDefault="006A57B2" w:rsidP="00B22173">
            <w:pPr>
              <w:spacing w:after="0" w:line="240" w:lineRule="auto"/>
              <w:rPr>
                <w:rFonts w:ascii="Calibri" w:eastAsia="Times New Roman" w:hAnsi="Calibri" w:cs="Calibri"/>
                <w:b/>
                <w:color w:val="000000"/>
                <w:sz w:val="20"/>
                <w:szCs w:val="20"/>
                <w:lang w:eastAsia="en-GB"/>
              </w:rPr>
            </w:pPr>
            <w:r w:rsidRPr="00021455">
              <w:rPr>
                <w:rFonts w:ascii="Calibri" w:eastAsia="Times New Roman" w:hAnsi="Calibri" w:cs="Calibri"/>
                <w:b/>
                <w:color w:val="000000"/>
                <w:sz w:val="20"/>
                <w:szCs w:val="20"/>
                <w:lang w:eastAsia="en-GB"/>
              </w:rPr>
              <w:t>CVC-related adverse events</w:t>
            </w:r>
          </w:p>
        </w:tc>
        <w:tc>
          <w:tcPr>
            <w:tcW w:w="1209" w:type="dxa"/>
            <w:tcBorders>
              <w:top w:val="single" w:sz="4" w:space="0" w:color="auto"/>
              <w:left w:val="single" w:sz="4" w:space="0" w:color="auto"/>
              <w:bottom w:val="nil"/>
              <w:right w:val="nil"/>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c>
          <w:tcPr>
            <w:tcW w:w="917" w:type="dxa"/>
            <w:tcBorders>
              <w:top w:val="single" w:sz="4" w:space="0" w:color="auto"/>
              <w:left w:val="nil"/>
              <w:bottom w:val="nil"/>
              <w:right w:val="single" w:sz="4" w:space="0" w:color="auto"/>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c>
          <w:tcPr>
            <w:tcW w:w="754" w:type="dxa"/>
            <w:tcBorders>
              <w:top w:val="single" w:sz="4" w:space="0" w:color="auto"/>
              <w:left w:val="single" w:sz="4" w:space="0" w:color="auto"/>
              <w:bottom w:val="nil"/>
              <w:right w:val="nil"/>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c>
          <w:tcPr>
            <w:tcW w:w="1155" w:type="dxa"/>
            <w:tcBorders>
              <w:top w:val="single" w:sz="4" w:space="0" w:color="auto"/>
              <w:left w:val="nil"/>
              <w:bottom w:val="nil"/>
              <w:right w:val="single" w:sz="4" w:space="0" w:color="auto"/>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c>
          <w:tcPr>
            <w:tcW w:w="571" w:type="dxa"/>
            <w:tcBorders>
              <w:top w:val="single" w:sz="4" w:space="0" w:color="auto"/>
              <w:left w:val="single" w:sz="4" w:space="0" w:color="auto"/>
              <w:bottom w:val="nil"/>
              <w:right w:val="nil"/>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c>
          <w:tcPr>
            <w:tcW w:w="996" w:type="dxa"/>
            <w:tcBorders>
              <w:top w:val="single" w:sz="4" w:space="0" w:color="auto"/>
              <w:left w:val="nil"/>
              <w:bottom w:val="nil"/>
              <w:right w:val="single" w:sz="4" w:space="0" w:color="auto"/>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c>
          <w:tcPr>
            <w:tcW w:w="521" w:type="dxa"/>
            <w:tcBorders>
              <w:top w:val="single" w:sz="4" w:space="0" w:color="auto"/>
              <w:left w:val="single" w:sz="4" w:space="0" w:color="auto"/>
              <w:bottom w:val="nil"/>
              <w:right w:val="nil"/>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c>
          <w:tcPr>
            <w:tcW w:w="986" w:type="dxa"/>
            <w:tcBorders>
              <w:top w:val="single" w:sz="4" w:space="0" w:color="auto"/>
              <w:left w:val="nil"/>
              <w:bottom w:val="nil"/>
              <w:right w:val="single" w:sz="4" w:space="0" w:color="auto"/>
            </w:tcBorders>
            <w:shd w:val="clear" w:color="auto" w:fill="BDD6EE" w:themeFill="accent1" w:themeFillTint="66"/>
            <w:noWrap/>
            <w:vAlign w:val="center"/>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p>
        </w:tc>
      </w:tr>
      <w:tr w:rsidR="006A57B2" w:rsidRPr="004E37CA" w:rsidTr="005E10F3">
        <w:trPr>
          <w:trHeight w:val="488"/>
        </w:trPr>
        <w:tc>
          <w:tcPr>
            <w:tcW w:w="2567" w:type="dxa"/>
            <w:tcBorders>
              <w:top w:val="single" w:sz="4" w:space="0" w:color="auto"/>
              <w:left w:val="single" w:sz="4" w:space="0" w:color="auto"/>
              <w:bottom w:val="nil"/>
              <w:right w:val="single" w:sz="4" w:space="0" w:color="auto"/>
            </w:tcBorders>
            <w:shd w:val="clear" w:color="auto" w:fill="auto"/>
            <w:noWrap/>
            <w:vAlign w:val="center"/>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Unexplained thrombocytopenia</w:t>
            </w:r>
          </w:p>
        </w:tc>
        <w:tc>
          <w:tcPr>
            <w:tcW w:w="1209" w:type="dxa"/>
            <w:tcBorders>
              <w:top w:val="single" w:sz="4" w:space="0" w:color="auto"/>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917" w:type="dxa"/>
            <w:tcBorders>
              <w:top w:val="single" w:sz="4" w:space="0" w:color="auto"/>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754" w:type="dxa"/>
            <w:tcBorders>
              <w:top w:val="single" w:sz="4" w:space="0" w:color="auto"/>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w:t>
            </w:r>
          </w:p>
        </w:tc>
        <w:tc>
          <w:tcPr>
            <w:tcW w:w="1155" w:type="dxa"/>
            <w:tcBorders>
              <w:top w:val="single" w:sz="4" w:space="0" w:color="auto"/>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0.2</w:t>
            </w:r>
          </w:p>
        </w:tc>
        <w:tc>
          <w:tcPr>
            <w:tcW w:w="571" w:type="dxa"/>
            <w:tcBorders>
              <w:top w:val="single" w:sz="4" w:space="0" w:color="auto"/>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w:t>
            </w:r>
          </w:p>
        </w:tc>
        <w:tc>
          <w:tcPr>
            <w:tcW w:w="996" w:type="dxa"/>
            <w:tcBorders>
              <w:top w:val="single" w:sz="4" w:space="0" w:color="auto"/>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0.2</w:t>
            </w:r>
          </w:p>
        </w:tc>
        <w:tc>
          <w:tcPr>
            <w:tcW w:w="521" w:type="dxa"/>
            <w:tcBorders>
              <w:top w:val="single" w:sz="4" w:space="0" w:color="auto"/>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2</w:t>
            </w:r>
          </w:p>
        </w:tc>
        <w:tc>
          <w:tcPr>
            <w:tcW w:w="986" w:type="dxa"/>
            <w:tcBorders>
              <w:top w:val="single" w:sz="4" w:space="0" w:color="auto"/>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0.1</w:t>
            </w:r>
          </w:p>
        </w:tc>
      </w:tr>
      <w:tr w:rsidR="006A57B2" w:rsidRPr="004E37CA" w:rsidTr="005E10F3">
        <w:trPr>
          <w:trHeight w:val="488"/>
        </w:trPr>
        <w:tc>
          <w:tcPr>
            <w:tcW w:w="2567" w:type="dxa"/>
            <w:tcBorders>
              <w:top w:val="nil"/>
              <w:left w:val="single" w:sz="4" w:space="0" w:color="auto"/>
              <w:bottom w:val="nil"/>
              <w:right w:val="single" w:sz="4" w:space="0" w:color="auto"/>
            </w:tcBorders>
            <w:shd w:val="clear" w:color="auto" w:fill="auto"/>
            <w:noWrap/>
            <w:vAlign w:val="center"/>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Exit site infection</w:t>
            </w:r>
          </w:p>
        </w:tc>
        <w:tc>
          <w:tcPr>
            <w:tcW w:w="1209"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w:t>
            </w:r>
          </w:p>
        </w:tc>
        <w:tc>
          <w:tcPr>
            <w:tcW w:w="917"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0.2</w:t>
            </w:r>
          </w:p>
        </w:tc>
        <w:tc>
          <w:tcPr>
            <w:tcW w:w="754"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57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99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52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w:t>
            </w:r>
          </w:p>
        </w:tc>
        <w:tc>
          <w:tcPr>
            <w:tcW w:w="98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0.1</w:t>
            </w:r>
          </w:p>
        </w:tc>
      </w:tr>
      <w:tr w:rsidR="006A57B2" w:rsidRPr="004E37CA" w:rsidTr="005E10F3">
        <w:trPr>
          <w:trHeight w:val="488"/>
        </w:trPr>
        <w:tc>
          <w:tcPr>
            <w:tcW w:w="2567" w:type="dxa"/>
            <w:tcBorders>
              <w:top w:val="nil"/>
              <w:left w:val="single" w:sz="4" w:space="0" w:color="auto"/>
              <w:bottom w:val="nil"/>
              <w:right w:val="single" w:sz="4" w:space="0" w:color="auto"/>
            </w:tcBorders>
            <w:shd w:val="clear" w:color="auto" w:fill="auto"/>
            <w:noWrap/>
            <w:vAlign w:val="center"/>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Hypersensitivity</w:t>
            </w:r>
          </w:p>
        </w:tc>
        <w:tc>
          <w:tcPr>
            <w:tcW w:w="1209"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917"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754"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57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99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52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98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r>
      <w:tr w:rsidR="006A57B2" w:rsidRPr="004E37CA" w:rsidTr="005E10F3">
        <w:trPr>
          <w:trHeight w:val="488"/>
        </w:trPr>
        <w:tc>
          <w:tcPr>
            <w:tcW w:w="2567" w:type="dxa"/>
            <w:tcBorders>
              <w:top w:val="nil"/>
              <w:left w:val="single" w:sz="4" w:space="0" w:color="auto"/>
              <w:bottom w:val="nil"/>
              <w:right w:val="single" w:sz="4" w:space="0" w:color="auto"/>
            </w:tcBorders>
            <w:shd w:val="clear" w:color="auto" w:fill="auto"/>
            <w:noWrap/>
            <w:vAlign w:val="center"/>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Trauma from line insertion</w:t>
            </w:r>
          </w:p>
        </w:tc>
        <w:tc>
          <w:tcPr>
            <w:tcW w:w="1209"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2</w:t>
            </w:r>
          </w:p>
        </w:tc>
        <w:tc>
          <w:tcPr>
            <w:tcW w:w="917"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0.4</w:t>
            </w:r>
          </w:p>
        </w:tc>
        <w:tc>
          <w:tcPr>
            <w:tcW w:w="754"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2</w:t>
            </w:r>
          </w:p>
        </w:tc>
        <w:tc>
          <w:tcPr>
            <w:tcW w:w="1155"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0.4</w:t>
            </w:r>
          </w:p>
        </w:tc>
        <w:tc>
          <w:tcPr>
            <w:tcW w:w="57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3</w:t>
            </w:r>
          </w:p>
        </w:tc>
        <w:tc>
          <w:tcPr>
            <w:tcW w:w="99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0.6</w:t>
            </w:r>
          </w:p>
        </w:tc>
        <w:tc>
          <w:tcPr>
            <w:tcW w:w="52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7</w:t>
            </w:r>
          </w:p>
        </w:tc>
        <w:tc>
          <w:tcPr>
            <w:tcW w:w="98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0.5</w:t>
            </w:r>
          </w:p>
        </w:tc>
      </w:tr>
      <w:tr w:rsidR="006A57B2" w:rsidRPr="004E37CA" w:rsidTr="005E10F3">
        <w:trPr>
          <w:trHeight w:val="488"/>
        </w:trPr>
        <w:tc>
          <w:tcPr>
            <w:tcW w:w="2567" w:type="dxa"/>
            <w:tcBorders>
              <w:top w:val="nil"/>
              <w:left w:val="single" w:sz="4" w:space="0" w:color="auto"/>
              <w:bottom w:val="nil"/>
              <w:right w:val="single" w:sz="4" w:space="0" w:color="auto"/>
            </w:tcBorders>
            <w:shd w:val="clear" w:color="auto" w:fill="auto"/>
            <w:noWrap/>
            <w:vAlign w:val="center"/>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Line displacement</w:t>
            </w:r>
          </w:p>
        </w:tc>
        <w:tc>
          <w:tcPr>
            <w:tcW w:w="1209"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4</w:t>
            </w:r>
          </w:p>
        </w:tc>
        <w:tc>
          <w:tcPr>
            <w:tcW w:w="917"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0.8</w:t>
            </w:r>
          </w:p>
        </w:tc>
        <w:tc>
          <w:tcPr>
            <w:tcW w:w="754"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6</w:t>
            </w:r>
          </w:p>
        </w:tc>
        <w:tc>
          <w:tcPr>
            <w:tcW w:w="1155"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1.3</w:t>
            </w:r>
          </w:p>
        </w:tc>
        <w:tc>
          <w:tcPr>
            <w:tcW w:w="57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3</w:t>
            </w:r>
          </w:p>
        </w:tc>
        <w:tc>
          <w:tcPr>
            <w:tcW w:w="99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0.6</w:t>
            </w:r>
          </w:p>
        </w:tc>
        <w:tc>
          <w:tcPr>
            <w:tcW w:w="52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13</w:t>
            </w:r>
            <w:r>
              <w:rPr>
                <w:rFonts w:ascii="Calibri" w:eastAsia="Times New Roman" w:hAnsi="Calibri" w:cs="Calibri"/>
                <w:color w:val="000000"/>
                <w:sz w:val="20"/>
                <w:szCs w:val="20"/>
                <w:lang w:eastAsia="en-GB"/>
              </w:rPr>
              <w:t>*</w:t>
            </w:r>
          </w:p>
        </w:tc>
        <w:tc>
          <w:tcPr>
            <w:tcW w:w="98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0.9</w:t>
            </w:r>
          </w:p>
        </w:tc>
      </w:tr>
      <w:tr w:rsidR="006A57B2" w:rsidRPr="004E37CA" w:rsidTr="005E10F3">
        <w:trPr>
          <w:trHeight w:val="488"/>
        </w:trPr>
        <w:tc>
          <w:tcPr>
            <w:tcW w:w="2567" w:type="dxa"/>
            <w:tcBorders>
              <w:top w:val="nil"/>
              <w:left w:val="single" w:sz="4" w:space="0" w:color="auto"/>
              <w:bottom w:val="nil"/>
              <w:right w:val="single" w:sz="4" w:space="0" w:color="auto"/>
            </w:tcBorders>
            <w:shd w:val="clear" w:color="auto" w:fill="auto"/>
            <w:noWrap/>
            <w:vAlign w:val="center"/>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 xml:space="preserve">Line breakage / mechanical problem / manufacture complication </w:t>
            </w:r>
          </w:p>
        </w:tc>
        <w:tc>
          <w:tcPr>
            <w:tcW w:w="1209"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2</w:t>
            </w:r>
          </w:p>
        </w:tc>
        <w:tc>
          <w:tcPr>
            <w:tcW w:w="917"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0.4</w:t>
            </w:r>
          </w:p>
        </w:tc>
        <w:tc>
          <w:tcPr>
            <w:tcW w:w="754"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3</w:t>
            </w:r>
          </w:p>
        </w:tc>
        <w:tc>
          <w:tcPr>
            <w:tcW w:w="1155"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0.7</w:t>
            </w:r>
          </w:p>
        </w:tc>
        <w:tc>
          <w:tcPr>
            <w:tcW w:w="57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2</w:t>
            </w:r>
          </w:p>
        </w:tc>
        <w:tc>
          <w:tcPr>
            <w:tcW w:w="99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0.4</w:t>
            </w:r>
          </w:p>
        </w:tc>
        <w:tc>
          <w:tcPr>
            <w:tcW w:w="521" w:type="dxa"/>
            <w:tcBorders>
              <w:top w:val="nil"/>
              <w:left w:val="single" w:sz="4" w:space="0" w:color="auto"/>
              <w:bottom w:val="nil"/>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7</w:t>
            </w:r>
            <w:r>
              <w:rPr>
                <w:rFonts w:ascii="Calibri" w:eastAsia="Times New Roman" w:hAnsi="Calibri" w:cs="Calibri"/>
                <w:color w:val="000000"/>
                <w:sz w:val="20"/>
                <w:szCs w:val="20"/>
                <w:lang w:eastAsia="en-GB"/>
              </w:rPr>
              <w:t>*</w:t>
            </w:r>
          </w:p>
        </w:tc>
        <w:tc>
          <w:tcPr>
            <w:tcW w:w="986" w:type="dxa"/>
            <w:tcBorders>
              <w:top w:val="nil"/>
              <w:left w:val="nil"/>
              <w:bottom w:val="nil"/>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0.5</w:t>
            </w:r>
          </w:p>
        </w:tc>
      </w:tr>
      <w:tr w:rsidR="006A57B2" w:rsidRPr="004E37CA" w:rsidTr="005E10F3">
        <w:trPr>
          <w:trHeight w:val="48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A57B2" w:rsidRPr="004E37CA" w:rsidRDefault="006A57B2" w:rsidP="00B22173">
            <w:pPr>
              <w:spacing w:after="0" w:line="240" w:lineRule="auto"/>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Unclassifiable</w:t>
            </w:r>
          </w:p>
        </w:tc>
        <w:tc>
          <w:tcPr>
            <w:tcW w:w="1209" w:type="dxa"/>
            <w:tcBorders>
              <w:top w:val="nil"/>
              <w:left w:val="single" w:sz="4" w:space="0" w:color="auto"/>
              <w:bottom w:val="single" w:sz="4" w:space="0" w:color="auto"/>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917" w:type="dxa"/>
            <w:tcBorders>
              <w:top w:val="nil"/>
              <w:left w:val="nil"/>
              <w:bottom w:val="single" w:sz="4" w:space="0" w:color="auto"/>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754" w:type="dxa"/>
            <w:tcBorders>
              <w:top w:val="nil"/>
              <w:left w:val="single" w:sz="4" w:space="0" w:color="auto"/>
              <w:bottom w:val="single" w:sz="4" w:space="0" w:color="auto"/>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w:t>
            </w:r>
          </w:p>
        </w:tc>
        <w:tc>
          <w:tcPr>
            <w:tcW w:w="1155" w:type="dxa"/>
            <w:tcBorders>
              <w:top w:val="nil"/>
              <w:left w:val="nil"/>
              <w:bottom w:val="single" w:sz="4" w:space="0" w:color="auto"/>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0.2</w:t>
            </w:r>
          </w:p>
        </w:tc>
        <w:tc>
          <w:tcPr>
            <w:tcW w:w="571" w:type="dxa"/>
            <w:tcBorders>
              <w:top w:val="nil"/>
              <w:left w:val="single" w:sz="4" w:space="0" w:color="auto"/>
              <w:bottom w:val="single" w:sz="4" w:space="0" w:color="auto"/>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w:t>
            </w:r>
          </w:p>
        </w:tc>
        <w:tc>
          <w:tcPr>
            <w:tcW w:w="996" w:type="dxa"/>
            <w:tcBorders>
              <w:top w:val="nil"/>
              <w:left w:val="nil"/>
              <w:bottom w:val="single" w:sz="4" w:space="0" w:color="auto"/>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0.0</w:t>
            </w:r>
          </w:p>
        </w:tc>
        <w:tc>
          <w:tcPr>
            <w:tcW w:w="521" w:type="dxa"/>
            <w:tcBorders>
              <w:top w:val="nil"/>
              <w:left w:val="single" w:sz="4" w:space="0" w:color="auto"/>
              <w:bottom w:val="single" w:sz="4" w:space="0" w:color="auto"/>
              <w:right w:val="nil"/>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1</w:t>
            </w:r>
          </w:p>
        </w:tc>
        <w:tc>
          <w:tcPr>
            <w:tcW w:w="986" w:type="dxa"/>
            <w:tcBorders>
              <w:top w:val="nil"/>
              <w:left w:val="nil"/>
              <w:bottom w:val="single" w:sz="4" w:space="0" w:color="auto"/>
              <w:right w:val="single" w:sz="4" w:space="0" w:color="auto"/>
            </w:tcBorders>
            <w:shd w:val="clear" w:color="auto" w:fill="auto"/>
            <w:noWrap/>
            <w:vAlign w:val="center"/>
            <w:hideMark/>
          </w:tcPr>
          <w:p w:rsidR="006A57B2" w:rsidRPr="004E37CA" w:rsidRDefault="006A57B2" w:rsidP="00B22173">
            <w:pPr>
              <w:spacing w:after="0" w:line="240" w:lineRule="auto"/>
              <w:jc w:val="center"/>
              <w:rPr>
                <w:rFonts w:ascii="Calibri" w:eastAsia="Times New Roman" w:hAnsi="Calibri" w:cs="Calibri"/>
                <w:color w:val="000000"/>
                <w:sz w:val="20"/>
                <w:szCs w:val="20"/>
                <w:lang w:eastAsia="en-GB"/>
              </w:rPr>
            </w:pPr>
            <w:r w:rsidRPr="004E37CA">
              <w:rPr>
                <w:rFonts w:ascii="Calibri" w:eastAsia="Times New Roman" w:hAnsi="Calibri" w:cs="Calibri"/>
                <w:color w:val="000000"/>
                <w:sz w:val="20"/>
                <w:szCs w:val="20"/>
                <w:lang w:eastAsia="en-GB"/>
              </w:rPr>
              <w:t>0.1</w:t>
            </w:r>
          </w:p>
        </w:tc>
      </w:tr>
      <w:tr w:rsidR="006A57B2" w:rsidRPr="004A434F" w:rsidTr="005E10F3">
        <w:trPr>
          <w:trHeight w:val="48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B2" w:rsidRPr="004A434F" w:rsidRDefault="006A57B2" w:rsidP="00B22173">
            <w:pPr>
              <w:spacing w:after="0" w:line="240" w:lineRule="auto"/>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Total</w:t>
            </w:r>
          </w:p>
        </w:tc>
        <w:tc>
          <w:tcPr>
            <w:tcW w:w="1209" w:type="dxa"/>
            <w:tcBorders>
              <w:top w:val="single" w:sz="4" w:space="0" w:color="auto"/>
              <w:left w:val="single" w:sz="4" w:space="0" w:color="auto"/>
              <w:bottom w:val="single" w:sz="4" w:space="0" w:color="auto"/>
              <w:right w:val="nil"/>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9</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1.7</w:t>
            </w:r>
          </w:p>
        </w:tc>
        <w:tc>
          <w:tcPr>
            <w:tcW w:w="754" w:type="dxa"/>
            <w:tcBorders>
              <w:top w:val="single" w:sz="4" w:space="0" w:color="auto"/>
              <w:left w:val="single" w:sz="4" w:space="0" w:color="auto"/>
              <w:bottom w:val="single" w:sz="4" w:space="0" w:color="auto"/>
              <w:right w:val="nil"/>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13</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2.9</w:t>
            </w:r>
          </w:p>
        </w:tc>
        <w:tc>
          <w:tcPr>
            <w:tcW w:w="571" w:type="dxa"/>
            <w:tcBorders>
              <w:top w:val="single" w:sz="4" w:space="0" w:color="auto"/>
              <w:left w:val="single" w:sz="4" w:space="0" w:color="auto"/>
              <w:bottom w:val="single" w:sz="4" w:space="0" w:color="auto"/>
              <w:right w:val="nil"/>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1.9</w:t>
            </w:r>
          </w:p>
        </w:tc>
        <w:tc>
          <w:tcPr>
            <w:tcW w:w="521" w:type="dxa"/>
            <w:tcBorders>
              <w:top w:val="single" w:sz="4" w:space="0" w:color="auto"/>
              <w:left w:val="single" w:sz="4" w:space="0" w:color="auto"/>
              <w:bottom w:val="single" w:sz="4" w:space="0" w:color="auto"/>
              <w:right w:val="nil"/>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31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A57B2" w:rsidRPr="004A434F" w:rsidRDefault="006A57B2" w:rsidP="00B22173">
            <w:pPr>
              <w:spacing w:after="0" w:line="240" w:lineRule="auto"/>
              <w:jc w:val="center"/>
              <w:rPr>
                <w:rFonts w:ascii="Calibri" w:eastAsia="Times New Roman" w:hAnsi="Calibri" w:cs="Calibri"/>
                <w:i/>
                <w:color w:val="000000"/>
                <w:sz w:val="20"/>
                <w:szCs w:val="20"/>
                <w:lang w:eastAsia="en-GB"/>
              </w:rPr>
            </w:pPr>
            <w:r w:rsidRPr="004A434F">
              <w:rPr>
                <w:rFonts w:ascii="Calibri" w:eastAsia="Times New Roman" w:hAnsi="Calibri" w:cs="Calibri"/>
                <w:i/>
                <w:color w:val="000000"/>
                <w:sz w:val="20"/>
                <w:szCs w:val="20"/>
                <w:lang w:eastAsia="en-GB"/>
              </w:rPr>
              <w:t>2.1</w:t>
            </w:r>
          </w:p>
        </w:tc>
      </w:tr>
      <w:tr w:rsidR="006A57B2" w:rsidRPr="004A434F" w:rsidTr="00123E73">
        <w:trPr>
          <w:trHeight w:val="488"/>
        </w:trPr>
        <w:tc>
          <w:tcPr>
            <w:tcW w:w="256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rsidR="006A57B2" w:rsidRPr="00021455" w:rsidRDefault="006A57B2" w:rsidP="00B22173">
            <w:pPr>
              <w:spacing w:after="0" w:line="240" w:lineRule="auto"/>
              <w:rPr>
                <w:rFonts w:ascii="Calibri" w:eastAsia="Times New Roman" w:hAnsi="Calibri" w:cs="Calibri"/>
                <w:b/>
                <w:color w:val="000000"/>
                <w:sz w:val="20"/>
                <w:szCs w:val="20"/>
                <w:lang w:eastAsia="en-GB"/>
              </w:rPr>
            </w:pPr>
            <w:r w:rsidRPr="00021455">
              <w:rPr>
                <w:rFonts w:ascii="Calibri" w:eastAsia="Times New Roman" w:hAnsi="Calibri" w:cs="Calibri"/>
                <w:b/>
                <w:color w:val="000000"/>
                <w:sz w:val="20"/>
                <w:szCs w:val="20"/>
                <w:lang w:eastAsia="en-GB"/>
              </w:rPr>
              <w:t>Mortality</w:t>
            </w:r>
          </w:p>
        </w:tc>
        <w:tc>
          <w:tcPr>
            <w:tcW w:w="1209" w:type="dxa"/>
            <w:tcBorders>
              <w:top w:val="single" w:sz="4" w:space="0" w:color="auto"/>
              <w:left w:val="single" w:sz="4" w:space="0" w:color="auto"/>
              <w:bottom w:val="single" w:sz="4" w:space="0" w:color="auto"/>
              <w:right w:val="nil"/>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color w:val="000000"/>
                <w:sz w:val="20"/>
                <w:szCs w:val="20"/>
                <w:lang w:eastAsia="en-GB"/>
              </w:rPr>
            </w:pPr>
          </w:p>
        </w:tc>
        <w:tc>
          <w:tcPr>
            <w:tcW w:w="91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i/>
                <w:color w:val="000000"/>
                <w:sz w:val="20"/>
                <w:szCs w:val="20"/>
                <w:lang w:eastAsia="en-GB"/>
              </w:rPr>
            </w:pPr>
          </w:p>
        </w:tc>
        <w:tc>
          <w:tcPr>
            <w:tcW w:w="754" w:type="dxa"/>
            <w:tcBorders>
              <w:top w:val="single" w:sz="4" w:space="0" w:color="auto"/>
              <w:left w:val="single" w:sz="4" w:space="0" w:color="auto"/>
              <w:bottom w:val="single" w:sz="4" w:space="0" w:color="auto"/>
              <w:right w:val="nil"/>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i/>
                <w:color w:val="000000"/>
                <w:sz w:val="20"/>
                <w:szCs w:val="20"/>
                <w:lang w:eastAsia="en-GB"/>
              </w:rPr>
            </w:pPr>
          </w:p>
        </w:tc>
        <w:tc>
          <w:tcPr>
            <w:tcW w:w="1155"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i/>
                <w:color w:val="000000"/>
                <w:sz w:val="20"/>
                <w:szCs w:val="20"/>
                <w:lang w:eastAsia="en-GB"/>
              </w:rPr>
            </w:pPr>
          </w:p>
        </w:tc>
        <w:tc>
          <w:tcPr>
            <w:tcW w:w="571" w:type="dxa"/>
            <w:tcBorders>
              <w:top w:val="single" w:sz="4" w:space="0" w:color="auto"/>
              <w:left w:val="single" w:sz="4" w:space="0" w:color="auto"/>
              <w:bottom w:val="single" w:sz="4" w:space="0" w:color="auto"/>
              <w:right w:val="nil"/>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i/>
                <w:color w:val="000000"/>
                <w:sz w:val="20"/>
                <w:szCs w:val="20"/>
                <w:lang w:eastAsia="en-GB"/>
              </w:rPr>
            </w:pPr>
          </w:p>
        </w:tc>
        <w:tc>
          <w:tcPr>
            <w:tcW w:w="996"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i/>
                <w:color w:val="000000"/>
                <w:sz w:val="20"/>
                <w:szCs w:val="20"/>
                <w:lang w:eastAsia="en-GB"/>
              </w:rPr>
            </w:pPr>
          </w:p>
        </w:tc>
        <w:tc>
          <w:tcPr>
            <w:tcW w:w="521" w:type="dxa"/>
            <w:tcBorders>
              <w:top w:val="single" w:sz="4" w:space="0" w:color="auto"/>
              <w:left w:val="single" w:sz="4" w:space="0" w:color="auto"/>
              <w:bottom w:val="single" w:sz="4" w:space="0" w:color="auto"/>
              <w:right w:val="nil"/>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i/>
                <w:color w:val="000000"/>
                <w:sz w:val="20"/>
                <w:szCs w:val="20"/>
                <w:lang w:eastAsia="en-GB"/>
              </w:rPr>
            </w:pPr>
          </w:p>
        </w:tc>
        <w:tc>
          <w:tcPr>
            <w:tcW w:w="986"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rsidR="006A57B2" w:rsidRPr="00933E79" w:rsidRDefault="006A57B2" w:rsidP="00B22173">
            <w:pPr>
              <w:spacing w:after="0" w:line="240" w:lineRule="auto"/>
              <w:jc w:val="center"/>
              <w:rPr>
                <w:rFonts w:ascii="Calibri" w:eastAsia="Times New Roman" w:hAnsi="Calibri" w:cs="Calibri"/>
                <w:i/>
                <w:color w:val="000000"/>
                <w:sz w:val="20"/>
                <w:szCs w:val="20"/>
                <w:lang w:eastAsia="en-GB"/>
              </w:rPr>
            </w:pPr>
          </w:p>
        </w:tc>
      </w:tr>
      <w:tr w:rsidR="006A57B2" w:rsidRPr="0007185D" w:rsidTr="005E10F3">
        <w:trPr>
          <w:trHeight w:val="48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7B2" w:rsidRPr="005E10F3" w:rsidRDefault="006A57B2" w:rsidP="005A763C">
            <w:pPr>
              <w:spacing w:after="0" w:line="240" w:lineRule="auto"/>
              <w:rPr>
                <w:rFonts w:ascii="Calibri" w:eastAsia="Times New Roman" w:hAnsi="Calibri" w:cs="Calibri"/>
                <w:color w:val="000000"/>
                <w:sz w:val="20"/>
                <w:szCs w:val="20"/>
                <w:lang w:eastAsia="en-GB"/>
              </w:rPr>
            </w:pPr>
            <w:r w:rsidRPr="005E10F3">
              <w:rPr>
                <w:rFonts w:ascii="Calibri" w:eastAsia="Times New Roman" w:hAnsi="Calibri" w:cs="Calibri"/>
                <w:color w:val="000000"/>
                <w:sz w:val="20"/>
                <w:szCs w:val="20"/>
                <w:lang w:eastAsia="en-GB"/>
              </w:rPr>
              <w:t>Deaths **</w:t>
            </w:r>
          </w:p>
        </w:tc>
        <w:tc>
          <w:tcPr>
            <w:tcW w:w="1209" w:type="dxa"/>
            <w:tcBorders>
              <w:top w:val="single" w:sz="4" w:space="0" w:color="auto"/>
              <w:left w:val="single" w:sz="4" w:space="0" w:color="auto"/>
              <w:bottom w:val="single" w:sz="4" w:space="0" w:color="auto"/>
              <w:right w:val="nil"/>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 xml:space="preserve">66 </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12.4</w:t>
            </w:r>
          </w:p>
        </w:tc>
        <w:tc>
          <w:tcPr>
            <w:tcW w:w="754" w:type="dxa"/>
            <w:tcBorders>
              <w:top w:val="single" w:sz="4" w:space="0" w:color="auto"/>
              <w:left w:val="single" w:sz="4" w:space="0" w:color="auto"/>
              <w:bottom w:val="single" w:sz="4" w:space="0" w:color="auto"/>
              <w:right w:val="nil"/>
            </w:tcBorders>
            <w:shd w:val="clear" w:color="auto" w:fill="auto"/>
            <w:noWrap/>
            <w:vAlign w:val="center"/>
          </w:tcPr>
          <w:p w:rsidR="006A57B2" w:rsidRPr="00123E73" w:rsidRDefault="006A57B2" w:rsidP="00B22173">
            <w:pPr>
              <w:spacing w:after="0" w:line="240" w:lineRule="auto"/>
              <w:jc w:val="center"/>
              <w:rPr>
                <w:rFonts w:ascii="Calibri" w:eastAsia="Times New Roman" w:hAnsi="Calibri" w:cs="Calibri"/>
                <w:i/>
                <w:color w:val="000000"/>
                <w:sz w:val="20"/>
                <w:szCs w:val="20"/>
                <w:lang w:eastAsia="en-GB"/>
              </w:rPr>
            </w:pPr>
            <w:r w:rsidRPr="00123E73">
              <w:rPr>
                <w:rFonts w:ascii="Calibri" w:eastAsia="Times New Roman" w:hAnsi="Calibri" w:cs="Calibri"/>
                <w:i/>
                <w:color w:val="000000"/>
                <w:sz w:val="20"/>
                <w:szCs w:val="20"/>
                <w:lang w:eastAsia="en-GB"/>
              </w:rPr>
              <w:t xml:space="preserve">44 </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9.8</w:t>
            </w:r>
          </w:p>
        </w:tc>
        <w:tc>
          <w:tcPr>
            <w:tcW w:w="571" w:type="dxa"/>
            <w:tcBorders>
              <w:top w:val="single" w:sz="4" w:space="0" w:color="auto"/>
              <w:left w:val="single" w:sz="4" w:space="0" w:color="auto"/>
              <w:bottom w:val="single" w:sz="4" w:space="0" w:color="auto"/>
              <w:right w:val="nil"/>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 xml:space="preserve">38 </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7.9</w:t>
            </w:r>
          </w:p>
        </w:tc>
        <w:tc>
          <w:tcPr>
            <w:tcW w:w="521" w:type="dxa"/>
            <w:tcBorders>
              <w:top w:val="single" w:sz="4" w:space="0" w:color="auto"/>
              <w:left w:val="single" w:sz="4" w:space="0" w:color="auto"/>
              <w:bottom w:val="single" w:sz="4" w:space="0" w:color="auto"/>
              <w:right w:val="nil"/>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148</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10.1</w:t>
            </w:r>
          </w:p>
        </w:tc>
      </w:tr>
      <w:tr w:rsidR="006A57B2" w:rsidRPr="0007185D" w:rsidTr="005E10F3">
        <w:trPr>
          <w:trHeight w:val="48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7B2" w:rsidRPr="005E10F3" w:rsidRDefault="006A57B2" w:rsidP="00B22173">
            <w:pPr>
              <w:spacing w:after="0" w:line="240" w:lineRule="auto"/>
              <w:rPr>
                <w:rFonts w:ascii="Calibri" w:eastAsia="Times New Roman" w:hAnsi="Calibri" w:cs="Calibri"/>
                <w:color w:val="000000"/>
                <w:sz w:val="20"/>
                <w:szCs w:val="20"/>
                <w:lang w:eastAsia="en-GB"/>
              </w:rPr>
            </w:pPr>
            <w:r w:rsidRPr="0007185D">
              <w:rPr>
                <w:rFonts w:ascii="Calibri" w:eastAsia="Times New Roman" w:hAnsi="Calibri" w:cs="Calibri"/>
                <w:color w:val="000000"/>
                <w:sz w:val="20"/>
                <w:szCs w:val="20"/>
                <w:lang w:eastAsia="en-GB"/>
              </w:rPr>
              <w:t>Median time to death in days (IQR)</w:t>
            </w:r>
          </w:p>
        </w:tc>
        <w:tc>
          <w:tcPr>
            <w:tcW w:w="1209" w:type="dxa"/>
            <w:tcBorders>
              <w:top w:val="single" w:sz="4" w:space="0" w:color="auto"/>
              <w:left w:val="single" w:sz="4" w:space="0" w:color="auto"/>
              <w:bottom w:val="single" w:sz="4" w:space="0" w:color="auto"/>
              <w:right w:val="nil"/>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 xml:space="preserve">15.3 </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(6.0, 39.0)</w:t>
            </w:r>
          </w:p>
        </w:tc>
        <w:tc>
          <w:tcPr>
            <w:tcW w:w="754" w:type="dxa"/>
            <w:tcBorders>
              <w:top w:val="single" w:sz="4" w:space="0" w:color="auto"/>
              <w:left w:val="single" w:sz="4" w:space="0" w:color="auto"/>
              <w:bottom w:val="single" w:sz="4" w:space="0" w:color="auto"/>
              <w:right w:val="nil"/>
            </w:tcBorders>
            <w:shd w:val="clear" w:color="auto" w:fill="auto"/>
            <w:noWrap/>
            <w:vAlign w:val="center"/>
          </w:tcPr>
          <w:p w:rsidR="006A57B2" w:rsidRPr="00123E73" w:rsidRDefault="006A57B2" w:rsidP="00B22173">
            <w:pPr>
              <w:spacing w:after="0" w:line="240" w:lineRule="auto"/>
              <w:jc w:val="center"/>
              <w:rPr>
                <w:rFonts w:ascii="Calibri" w:eastAsia="Times New Roman" w:hAnsi="Calibri" w:cs="Calibri"/>
                <w:i/>
                <w:color w:val="000000"/>
                <w:sz w:val="20"/>
                <w:szCs w:val="20"/>
                <w:lang w:eastAsia="en-GB"/>
              </w:rPr>
            </w:pPr>
            <w:r w:rsidRPr="00123E73">
              <w:rPr>
                <w:rFonts w:ascii="Calibri" w:eastAsia="Times New Roman" w:hAnsi="Calibri" w:cs="Calibri"/>
                <w:i/>
                <w:color w:val="000000"/>
                <w:sz w:val="20"/>
                <w:szCs w:val="20"/>
                <w:lang w:eastAsia="en-GB"/>
              </w:rPr>
              <w:t>9.0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 xml:space="preserve"> (2.6, 25.6)</w:t>
            </w:r>
          </w:p>
        </w:tc>
        <w:tc>
          <w:tcPr>
            <w:tcW w:w="571" w:type="dxa"/>
            <w:tcBorders>
              <w:top w:val="single" w:sz="4" w:space="0" w:color="auto"/>
              <w:left w:val="single" w:sz="4" w:space="0" w:color="auto"/>
              <w:bottom w:val="single" w:sz="4" w:space="0" w:color="auto"/>
              <w:right w:val="nil"/>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 xml:space="preserve">14.8 </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6A57B2" w:rsidRPr="0007185D" w:rsidRDefault="006A57B2" w:rsidP="00B22173">
            <w:pPr>
              <w:spacing w:after="0" w:line="240" w:lineRule="auto"/>
              <w:jc w:val="center"/>
              <w:rPr>
                <w:rFonts w:ascii="Calibri" w:eastAsia="Times New Roman" w:hAnsi="Calibri" w:cs="Calibri"/>
                <w:i/>
                <w:color w:val="000000"/>
                <w:sz w:val="20"/>
                <w:szCs w:val="20"/>
                <w:lang w:eastAsia="en-GB"/>
              </w:rPr>
            </w:pPr>
            <w:r w:rsidRPr="0007185D">
              <w:rPr>
                <w:rFonts w:ascii="Calibri" w:eastAsia="Times New Roman" w:hAnsi="Calibri" w:cs="Calibri"/>
                <w:i/>
                <w:color w:val="000000"/>
                <w:sz w:val="20"/>
                <w:szCs w:val="20"/>
                <w:lang w:eastAsia="en-GB"/>
              </w:rPr>
              <w:t>(5.3,32.6)</w:t>
            </w:r>
          </w:p>
        </w:tc>
        <w:tc>
          <w:tcPr>
            <w:tcW w:w="521" w:type="dxa"/>
            <w:tcBorders>
              <w:top w:val="single" w:sz="4" w:space="0" w:color="auto"/>
              <w:left w:val="single" w:sz="4" w:space="0" w:color="auto"/>
              <w:bottom w:val="single" w:sz="4" w:space="0" w:color="auto"/>
              <w:right w:val="nil"/>
            </w:tcBorders>
            <w:shd w:val="clear" w:color="auto" w:fill="auto"/>
            <w:noWrap/>
            <w:vAlign w:val="center"/>
          </w:tcPr>
          <w:p w:rsidR="006A57B2" w:rsidRPr="005E10F3" w:rsidRDefault="006A57B2" w:rsidP="00B22173">
            <w:pPr>
              <w:spacing w:after="0" w:line="240" w:lineRule="auto"/>
              <w:jc w:val="center"/>
              <w:rPr>
                <w:rFonts w:ascii="Calibri" w:eastAsia="Times New Roman" w:hAnsi="Calibri" w:cs="Calibri"/>
                <w:i/>
                <w:color w:val="000000"/>
                <w:sz w:val="20"/>
                <w:szCs w:val="20"/>
                <w:lang w:eastAsia="en-GB"/>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6A57B2" w:rsidRPr="005E10F3" w:rsidRDefault="006A57B2" w:rsidP="00B22173">
            <w:pPr>
              <w:spacing w:after="0" w:line="240" w:lineRule="auto"/>
              <w:jc w:val="center"/>
              <w:rPr>
                <w:rFonts w:ascii="Calibri" w:eastAsia="Times New Roman" w:hAnsi="Calibri" w:cs="Calibri"/>
                <w:i/>
                <w:color w:val="000000"/>
                <w:sz w:val="20"/>
                <w:szCs w:val="20"/>
                <w:lang w:eastAsia="en-GB"/>
              </w:rPr>
            </w:pPr>
          </w:p>
        </w:tc>
      </w:tr>
    </w:tbl>
    <w:p w:rsidR="006A57B2" w:rsidRPr="007C5745" w:rsidRDefault="006A57B2" w:rsidP="00B22173">
      <w:pPr>
        <w:spacing w:after="0" w:line="240" w:lineRule="auto"/>
        <w:rPr>
          <w:rFonts w:asciiTheme="majorHAnsi" w:hAnsiTheme="majorHAnsi" w:cstheme="majorHAnsi"/>
          <w:sz w:val="20"/>
        </w:rPr>
      </w:pPr>
      <w:r w:rsidRPr="007C5745">
        <w:rPr>
          <w:rFonts w:asciiTheme="majorHAnsi" w:hAnsiTheme="majorHAnsi" w:cstheme="majorHAnsi"/>
          <w:sz w:val="20"/>
        </w:rPr>
        <w:t>*One event reported as severe; ** measured on case report forms as an adverse event before discharge</w:t>
      </w:r>
    </w:p>
    <w:p w:rsidR="006A57B2" w:rsidRDefault="006A57B2" w:rsidP="00B22173">
      <w:pPr>
        <w:spacing w:after="0" w:line="240" w:lineRule="auto"/>
        <w:rPr>
          <w:sz w:val="20"/>
        </w:rPr>
      </w:pPr>
    </w:p>
    <w:p w:rsidR="006A57B2" w:rsidRDefault="006A57B2" w:rsidP="00B22173">
      <w:pPr>
        <w:spacing w:after="0" w:line="240" w:lineRule="auto"/>
        <w:rPr>
          <w:sz w:val="20"/>
        </w:rPr>
      </w:pPr>
    </w:p>
    <w:p w:rsidR="006A57B2" w:rsidRDefault="006A57B2">
      <w:pPr>
        <w:spacing w:after="0" w:line="240" w:lineRule="auto"/>
        <w:rPr>
          <w:b/>
          <w:sz w:val="20"/>
        </w:rPr>
      </w:pPr>
    </w:p>
    <w:p w:rsidR="006A57B2" w:rsidRDefault="006A57B2">
      <w:pPr>
        <w:spacing w:after="0" w:line="240" w:lineRule="auto"/>
        <w:rPr>
          <w:b/>
          <w:sz w:val="20"/>
        </w:rPr>
      </w:pPr>
      <w:r>
        <w:rPr>
          <w:b/>
          <w:sz w:val="20"/>
        </w:rPr>
        <w:br w:type="page"/>
      </w:r>
    </w:p>
    <w:p w:rsidR="006A57B2" w:rsidRPr="00BE078C" w:rsidRDefault="006A57B2" w:rsidP="00C07DDC">
      <w:pPr>
        <w:pStyle w:val="Caption"/>
        <w:rPr>
          <w:rFonts w:asciiTheme="majorHAnsi" w:hAnsiTheme="majorHAnsi"/>
          <w:color w:val="2E74B5" w:themeColor="accent1" w:themeShade="BF"/>
          <w:sz w:val="22"/>
          <w:szCs w:val="22"/>
        </w:rPr>
      </w:pPr>
      <w:bookmarkStart w:id="87" w:name="_Toc428178966"/>
      <w:r w:rsidRPr="00BE078C">
        <w:rPr>
          <w:sz w:val="22"/>
          <w:szCs w:val="22"/>
        </w:rPr>
        <w:t xml:space="preserve">Table </w:t>
      </w:r>
      <w:r>
        <w:rPr>
          <w:noProof/>
          <w:sz w:val="22"/>
          <w:szCs w:val="22"/>
        </w:rPr>
        <w:t>11</w:t>
      </w:r>
      <w:r w:rsidRPr="00BE078C">
        <w:rPr>
          <w:sz w:val="22"/>
          <w:szCs w:val="22"/>
        </w:rPr>
        <w:t>: PCR results for bacteria in blood samples taken during the primary outcome time window by CVC type (N is number by randomised CVC)</w:t>
      </w:r>
      <w:bookmarkEnd w:id="87"/>
      <w:r w:rsidRPr="00BE078C">
        <w:rPr>
          <w:rFonts w:asciiTheme="majorHAnsi" w:hAnsiTheme="majorHAnsi"/>
          <w:b w:val="0"/>
          <w:color w:val="2E74B5" w:themeColor="accent1" w:themeShade="BF"/>
          <w:sz w:val="22"/>
          <w:szCs w:val="22"/>
        </w:rPr>
        <w:t xml:space="preserve"> </w:t>
      </w:r>
    </w:p>
    <w:tbl>
      <w:tblPr>
        <w:tblW w:w="9048" w:type="dxa"/>
        <w:tblInd w:w="93" w:type="dxa"/>
        <w:tblLayout w:type="fixed"/>
        <w:tblLook w:val="04A0" w:firstRow="1" w:lastRow="0" w:firstColumn="1" w:lastColumn="0" w:noHBand="0" w:noVBand="1"/>
      </w:tblPr>
      <w:tblGrid>
        <w:gridCol w:w="1111"/>
        <w:gridCol w:w="1928"/>
        <w:gridCol w:w="567"/>
        <w:gridCol w:w="1814"/>
        <w:gridCol w:w="907"/>
        <w:gridCol w:w="907"/>
        <w:gridCol w:w="907"/>
        <w:gridCol w:w="907"/>
      </w:tblGrid>
      <w:tr w:rsidR="006A57B2" w:rsidRPr="001575B6" w:rsidTr="00B22173">
        <w:trPr>
          <w:trHeight w:val="475"/>
        </w:trPr>
        <w:tc>
          <w:tcPr>
            <w:tcW w:w="1111"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p>
        </w:tc>
        <w:tc>
          <w:tcPr>
            <w:tcW w:w="1928"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p>
        </w:tc>
        <w:tc>
          <w:tcPr>
            <w:tcW w:w="56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p>
        </w:tc>
        <w:tc>
          <w:tcPr>
            <w:tcW w:w="1814" w:type="dxa"/>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6A57B2" w:rsidRPr="001575B6"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 xml:space="preserve">N </w:t>
            </w:r>
          </w:p>
          <w:p w:rsidR="006A57B2" w:rsidRPr="001575B6"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randomised</w:t>
            </w:r>
          </w:p>
        </w:tc>
        <w:tc>
          <w:tcPr>
            <w:tcW w:w="1814" w:type="dxa"/>
            <w:gridSpan w:val="2"/>
            <w:tcBorders>
              <w:top w:val="single" w:sz="4" w:space="0" w:color="auto"/>
              <w:left w:val="nil"/>
              <w:bottom w:val="single" w:sz="4" w:space="0" w:color="auto"/>
              <w:right w:val="nil"/>
            </w:tcBorders>
            <w:shd w:val="clear" w:color="auto" w:fill="BDD6EE" w:themeFill="accent1" w:themeFillTint="66"/>
            <w:noWrap/>
            <w:vAlign w:val="center"/>
            <w:hideMark/>
          </w:tcPr>
          <w:p w:rsidR="006A57B2" w:rsidRPr="001575B6"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 xml:space="preserve">N (%) </w:t>
            </w:r>
          </w:p>
          <w:p w:rsidR="006A57B2" w:rsidRPr="001575B6"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with PCR*</w:t>
            </w:r>
          </w:p>
        </w:tc>
        <w:tc>
          <w:tcPr>
            <w:tcW w:w="1814"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57B2" w:rsidRPr="001575B6"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 xml:space="preserve">N (%) </w:t>
            </w:r>
          </w:p>
          <w:p w:rsidR="006A57B2" w:rsidRPr="001575B6"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with PCR positive</w:t>
            </w:r>
          </w:p>
        </w:tc>
      </w:tr>
      <w:tr w:rsidR="006A57B2" w:rsidRPr="001575B6" w:rsidTr="00B22173">
        <w:trPr>
          <w:trHeight w:val="454"/>
        </w:trPr>
        <w:tc>
          <w:tcPr>
            <w:tcW w:w="1111" w:type="dxa"/>
            <w:vMerge w:val="restart"/>
            <w:tcBorders>
              <w:top w:val="single" w:sz="4" w:space="0" w:color="auto"/>
              <w:left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Standard</w:t>
            </w:r>
          </w:p>
        </w:tc>
        <w:tc>
          <w:tcPr>
            <w:tcW w:w="1928" w:type="dxa"/>
            <w:vMerge w:val="restart"/>
            <w:tcBorders>
              <w:top w:val="single" w:sz="4" w:space="0" w:color="auto"/>
              <w:left w:val="nil"/>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Primary outcome =</w:t>
            </w:r>
          </w:p>
        </w:tc>
        <w:tc>
          <w:tcPr>
            <w:tcW w:w="56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No</w:t>
            </w:r>
          </w:p>
        </w:tc>
        <w:tc>
          <w:tcPr>
            <w:tcW w:w="1814" w:type="dxa"/>
            <w:tcBorders>
              <w:top w:val="single" w:sz="4" w:space="0" w:color="auto"/>
              <w:left w:val="single" w:sz="4" w:space="0" w:color="auto"/>
              <w:bottom w:val="nil"/>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484</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239</w:t>
            </w:r>
          </w:p>
        </w:tc>
        <w:tc>
          <w:tcPr>
            <w:tcW w:w="907" w:type="dxa"/>
            <w:tcBorders>
              <w:top w:val="single" w:sz="4" w:space="0" w:color="auto"/>
              <w:left w:val="nil"/>
              <w:bottom w:val="nil"/>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(49.4)</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4</w:t>
            </w:r>
          </w:p>
        </w:tc>
        <w:tc>
          <w:tcPr>
            <w:tcW w:w="90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(1.7)</w:t>
            </w:r>
          </w:p>
        </w:tc>
      </w:tr>
      <w:tr w:rsidR="006A57B2" w:rsidRPr="001575B6" w:rsidTr="00B22173">
        <w:trPr>
          <w:trHeight w:val="454"/>
        </w:trPr>
        <w:tc>
          <w:tcPr>
            <w:tcW w:w="1111" w:type="dxa"/>
            <w:vMerge/>
            <w:tcBorders>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p>
        </w:tc>
        <w:tc>
          <w:tcPr>
            <w:tcW w:w="1928" w:type="dxa"/>
            <w:vMerge/>
            <w:tcBorders>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56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Yes</w:t>
            </w:r>
          </w:p>
        </w:tc>
        <w:tc>
          <w:tcPr>
            <w:tcW w:w="1814" w:type="dxa"/>
            <w:tcBorders>
              <w:top w:val="nil"/>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18</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12</w:t>
            </w:r>
          </w:p>
        </w:tc>
        <w:tc>
          <w:tcPr>
            <w:tcW w:w="907" w:type="dxa"/>
            <w:tcBorders>
              <w:top w:val="nil"/>
              <w:left w:val="nil"/>
              <w:bottom w:val="single" w:sz="4" w:space="0" w:color="auto"/>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(66.7)</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1</w:t>
            </w:r>
          </w:p>
        </w:tc>
        <w:tc>
          <w:tcPr>
            <w:tcW w:w="90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(8.3)</w:t>
            </w:r>
          </w:p>
        </w:tc>
      </w:tr>
      <w:tr w:rsidR="006A57B2" w:rsidRPr="001575B6" w:rsidTr="00B22173">
        <w:trPr>
          <w:trHeight w:val="454"/>
        </w:trPr>
        <w:tc>
          <w:tcPr>
            <w:tcW w:w="1111" w:type="dxa"/>
            <w:vMerge w:val="restart"/>
            <w:tcBorders>
              <w:top w:val="single" w:sz="4" w:space="0" w:color="auto"/>
              <w:left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Antibiotic</w:t>
            </w:r>
          </w:p>
        </w:tc>
        <w:tc>
          <w:tcPr>
            <w:tcW w:w="1928" w:type="dxa"/>
            <w:vMerge w:val="restart"/>
            <w:tcBorders>
              <w:top w:val="single" w:sz="4" w:space="0" w:color="auto"/>
              <w:left w:val="nil"/>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Primary outcome =</w:t>
            </w:r>
          </w:p>
        </w:tc>
        <w:tc>
          <w:tcPr>
            <w:tcW w:w="56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No</w:t>
            </w:r>
          </w:p>
        </w:tc>
        <w:tc>
          <w:tcPr>
            <w:tcW w:w="1814" w:type="dxa"/>
            <w:tcBorders>
              <w:top w:val="single" w:sz="4" w:space="0" w:color="auto"/>
              <w:left w:val="single" w:sz="4" w:space="0" w:color="auto"/>
              <w:bottom w:val="nil"/>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479</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221</w:t>
            </w:r>
          </w:p>
        </w:tc>
        <w:tc>
          <w:tcPr>
            <w:tcW w:w="907" w:type="dxa"/>
            <w:tcBorders>
              <w:top w:val="single" w:sz="4" w:space="0" w:color="auto"/>
              <w:left w:val="nil"/>
              <w:bottom w:val="nil"/>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(46.1)</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3</w:t>
            </w:r>
          </w:p>
        </w:tc>
        <w:tc>
          <w:tcPr>
            <w:tcW w:w="90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(1.4)</w:t>
            </w:r>
          </w:p>
        </w:tc>
      </w:tr>
      <w:tr w:rsidR="006A57B2" w:rsidRPr="001575B6" w:rsidTr="00B22173">
        <w:trPr>
          <w:trHeight w:val="454"/>
        </w:trPr>
        <w:tc>
          <w:tcPr>
            <w:tcW w:w="1111" w:type="dxa"/>
            <w:vMerge/>
            <w:tcBorders>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p>
        </w:tc>
        <w:tc>
          <w:tcPr>
            <w:tcW w:w="1928" w:type="dxa"/>
            <w:vMerge/>
            <w:tcBorders>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56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Yes</w:t>
            </w:r>
          </w:p>
        </w:tc>
        <w:tc>
          <w:tcPr>
            <w:tcW w:w="1814" w:type="dxa"/>
            <w:tcBorders>
              <w:top w:val="nil"/>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7</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5</w:t>
            </w:r>
          </w:p>
        </w:tc>
        <w:tc>
          <w:tcPr>
            <w:tcW w:w="907" w:type="dxa"/>
            <w:tcBorders>
              <w:top w:val="nil"/>
              <w:left w:val="nil"/>
              <w:bottom w:val="single" w:sz="4" w:space="0" w:color="auto"/>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(71.4)</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0</w:t>
            </w:r>
          </w:p>
        </w:tc>
        <w:tc>
          <w:tcPr>
            <w:tcW w:w="90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(0.0)</w:t>
            </w:r>
          </w:p>
        </w:tc>
      </w:tr>
      <w:tr w:rsidR="006A57B2" w:rsidRPr="001575B6" w:rsidTr="00B22173">
        <w:trPr>
          <w:trHeight w:val="454"/>
        </w:trPr>
        <w:tc>
          <w:tcPr>
            <w:tcW w:w="1111" w:type="dxa"/>
            <w:vMerge w:val="restart"/>
            <w:tcBorders>
              <w:top w:val="single" w:sz="4" w:space="0" w:color="auto"/>
              <w:left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Heparin</w:t>
            </w:r>
          </w:p>
        </w:tc>
        <w:tc>
          <w:tcPr>
            <w:tcW w:w="1928" w:type="dxa"/>
            <w:vMerge w:val="restart"/>
            <w:tcBorders>
              <w:top w:val="single" w:sz="4" w:space="0" w:color="auto"/>
              <w:left w:val="nil"/>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Primary outcome =</w:t>
            </w:r>
          </w:p>
        </w:tc>
        <w:tc>
          <w:tcPr>
            <w:tcW w:w="56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No</w:t>
            </w:r>
          </w:p>
        </w:tc>
        <w:tc>
          <w:tcPr>
            <w:tcW w:w="1814" w:type="dxa"/>
            <w:tcBorders>
              <w:top w:val="single" w:sz="4" w:space="0" w:color="auto"/>
              <w:left w:val="single" w:sz="4" w:space="0" w:color="auto"/>
              <w:bottom w:val="nil"/>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480</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231</w:t>
            </w:r>
          </w:p>
        </w:tc>
        <w:tc>
          <w:tcPr>
            <w:tcW w:w="907" w:type="dxa"/>
            <w:tcBorders>
              <w:top w:val="single" w:sz="4" w:space="0" w:color="auto"/>
              <w:left w:val="nil"/>
              <w:bottom w:val="nil"/>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(48.1)</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2</w:t>
            </w:r>
          </w:p>
        </w:tc>
        <w:tc>
          <w:tcPr>
            <w:tcW w:w="90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(0.9)</w:t>
            </w:r>
          </w:p>
        </w:tc>
      </w:tr>
      <w:tr w:rsidR="006A57B2" w:rsidRPr="001575B6" w:rsidTr="00B22173">
        <w:trPr>
          <w:trHeight w:val="454"/>
        </w:trPr>
        <w:tc>
          <w:tcPr>
            <w:tcW w:w="1111" w:type="dxa"/>
            <w:vMerge/>
            <w:tcBorders>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p>
        </w:tc>
        <w:tc>
          <w:tcPr>
            <w:tcW w:w="1928" w:type="dxa"/>
            <w:vMerge/>
            <w:tcBorders>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56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Yes</w:t>
            </w:r>
          </w:p>
        </w:tc>
        <w:tc>
          <w:tcPr>
            <w:tcW w:w="1814" w:type="dxa"/>
            <w:tcBorders>
              <w:top w:val="nil"/>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17</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7</w:t>
            </w:r>
          </w:p>
        </w:tc>
        <w:tc>
          <w:tcPr>
            <w:tcW w:w="907" w:type="dxa"/>
            <w:tcBorders>
              <w:top w:val="nil"/>
              <w:left w:val="nil"/>
              <w:bottom w:val="single" w:sz="4" w:space="0" w:color="auto"/>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(41.2)</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1</w:t>
            </w:r>
          </w:p>
        </w:tc>
        <w:tc>
          <w:tcPr>
            <w:tcW w:w="90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(14.3)</w:t>
            </w:r>
          </w:p>
        </w:tc>
      </w:tr>
      <w:tr w:rsidR="006A57B2" w:rsidRPr="001575B6" w:rsidTr="00B22173">
        <w:trPr>
          <w:trHeight w:val="454"/>
        </w:trPr>
        <w:tc>
          <w:tcPr>
            <w:tcW w:w="1111" w:type="dxa"/>
            <w:vMerge w:val="restart"/>
            <w:tcBorders>
              <w:top w:val="single" w:sz="4" w:space="0" w:color="auto"/>
              <w:left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 xml:space="preserve">Total </w:t>
            </w:r>
          </w:p>
        </w:tc>
        <w:tc>
          <w:tcPr>
            <w:tcW w:w="1928" w:type="dxa"/>
            <w:vMerge w:val="restart"/>
            <w:tcBorders>
              <w:top w:val="single" w:sz="4" w:space="0" w:color="auto"/>
              <w:left w:val="nil"/>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Primary outcome =</w:t>
            </w:r>
          </w:p>
        </w:tc>
        <w:tc>
          <w:tcPr>
            <w:tcW w:w="56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No</w:t>
            </w:r>
          </w:p>
        </w:tc>
        <w:tc>
          <w:tcPr>
            <w:tcW w:w="1814" w:type="dxa"/>
            <w:tcBorders>
              <w:top w:val="single" w:sz="4" w:space="0" w:color="auto"/>
              <w:left w:val="single" w:sz="4" w:space="0" w:color="auto"/>
              <w:bottom w:val="nil"/>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1443</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691</w:t>
            </w:r>
          </w:p>
        </w:tc>
        <w:tc>
          <w:tcPr>
            <w:tcW w:w="907" w:type="dxa"/>
            <w:tcBorders>
              <w:top w:val="single" w:sz="4" w:space="0" w:color="auto"/>
              <w:left w:val="nil"/>
              <w:bottom w:val="nil"/>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(47.9)</w:t>
            </w:r>
          </w:p>
        </w:tc>
        <w:tc>
          <w:tcPr>
            <w:tcW w:w="907"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9</w:t>
            </w:r>
          </w:p>
        </w:tc>
        <w:tc>
          <w:tcPr>
            <w:tcW w:w="90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(1.3)</w:t>
            </w:r>
          </w:p>
        </w:tc>
      </w:tr>
      <w:tr w:rsidR="006A57B2" w:rsidRPr="001575B6" w:rsidTr="00B22173">
        <w:trPr>
          <w:trHeight w:val="454"/>
        </w:trPr>
        <w:tc>
          <w:tcPr>
            <w:tcW w:w="1111" w:type="dxa"/>
            <w:vMerge/>
            <w:tcBorders>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928" w:type="dxa"/>
            <w:vMerge/>
            <w:tcBorders>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56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Yes</w:t>
            </w:r>
          </w:p>
        </w:tc>
        <w:tc>
          <w:tcPr>
            <w:tcW w:w="1814" w:type="dxa"/>
            <w:tcBorders>
              <w:top w:val="nil"/>
              <w:left w:val="single" w:sz="4" w:space="0" w:color="auto"/>
              <w:bottom w:val="single" w:sz="4" w:space="0" w:color="auto"/>
              <w:right w:val="nil"/>
            </w:tcBorders>
            <w:shd w:val="clear" w:color="auto" w:fill="auto"/>
            <w:noWrap/>
            <w:vAlign w:val="center"/>
            <w:hideMark/>
          </w:tcPr>
          <w:p w:rsidR="006A57B2" w:rsidRPr="001575B6"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42</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hAnsiTheme="majorHAnsi" w:cstheme="majorHAnsi"/>
                <w:color w:val="000000"/>
                <w:sz w:val="20"/>
                <w:szCs w:val="20"/>
              </w:rPr>
            </w:pPr>
            <w:r w:rsidRPr="001575B6">
              <w:rPr>
                <w:rFonts w:asciiTheme="majorHAnsi" w:hAnsiTheme="majorHAnsi" w:cstheme="majorHAnsi"/>
                <w:color w:val="000000"/>
                <w:sz w:val="20"/>
                <w:szCs w:val="20"/>
              </w:rPr>
              <w:t>24</w:t>
            </w:r>
          </w:p>
        </w:tc>
        <w:tc>
          <w:tcPr>
            <w:tcW w:w="907" w:type="dxa"/>
            <w:tcBorders>
              <w:top w:val="nil"/>
              <w:left w:val="nil"/>
              <w:bottom w:val="single" w:sz="4" w:space="0" w:color="auto"/>
              <w:right w:val="nil"/>
            </w:tcBorders>
            <w:shd w:val="clear" w:color="auto" w:fill="auto"/>
            <w:vAlign w:val="center"/>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(57.1)</w:t>
            </w:r>
          </w:p>
        </w:tc>
        <w:tc>
          <w:tcPr>
            <w:tcW w:w="907" w:type="dxa"/>
            <w:tcBorders>
              <w:top w:val="nil"/>
              <w:left w:val="nil"/>
              <w:bottom w:val="single" w:sz="4" w:space="0" w:color="auto"/>
              <w:right w:val="nil"/>
            </w:tcBorders>
            <w:shd w:val="clear" w:color="auto" w:fill="auto"/>
            <w:noWrap/>
            <w:vAlign w:val="center"/>
            <w:hideMark/>
          </w:tcPr>
          <w:p w:rsidR="006A57B2" w:rsidRPr="001575B6" w:rsidRDefault="006A57B2" w:rsidP="00B22173">
            <w:pPr>
              <w:spacing w:after="0" w:line="240" w:lineRule="auto"/>
              <w:jc w:val="right"/>
              <w:rPr>
                <w:rFonts w:asciiTheme="majorHAnsi" w:eastAsia="Times New Roman" w:hAnsiTheme="majorHAnsi" w:cstheme="majorHAnsi"/>
                <w:color w:val="000000"/>
                <w:sz w:val="20"/>
                <w:szCs w:val="20"/>
                <w:lang w:eastAsia="en-GB"/>
              </w:rPr>
            </w:pPr>
            <w:r w:rsidRPr="001575B6">
              <w:rPr>
                <w:rFonts w:asciiTheme="majorHAnsi" w:eastAsia="Times New Roman" w:hAnsiTheme="majorHAnsi" w:cstheme="majorHAnsi"/>
                <w:color w:val="000000"/>
                <w:sz w:val="20"/>
                <w:szCs w:val="20"/>
                <w:lang w:eastAsia="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hAnsiTheme="majorHAnsi" w:cstheme="majorHAnsi"/>
                <w:color w:val="000000"/>
                <w:sz w:val="20"/>
                <w:szCs w:val="20"/>
              </w:rPr>
            </w:pPr>
            <w:r w:rsidRPr="001575B6">
              <w:rPr>
                <w:rFonts w:asciiTheme="majorHAnsi" w:hAnsiTheme="majorHAnsi" w:cstheme="majorHAnsi"/>
                <w:color w:val="000000"/>
                <w:sz w:val="20"/>
                <w:szCs w:val="20"/>
              </w:rPr>
              <w:t>(8.3)</w:t>
            </w:r>
          </w:p>
        </w:tc>
      </w:tr>
      <w:tr w:rsidR="006A57B2" w:rsidRPr="001575B6" w:rsidTr="00B22173">
        <w:trPr>
          <w:trHeight w:val="454"/>
        </w:trPr>
        <w:tc>
          <w:tcPr>
            <w:tcW w:w="1111"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928" w:type="dxa"/>
            <w:tcBorders>
              <w:top w:val="single" w:sz="4" w:space="0" w:color="auto"/>
              <w:left w:val="nil"/>
              <w:bottom w:val="nil"/>
              <w:right w:val="nil"/>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567" w:type="dxa"/>
            <w:tcBorders>
              <w:top w:val="single" w:sz="4" w:space="0" w:color="auto"/>
              <w:left w:val="nil"/>
              <w:bottom w:val="nil"/>
              <w:right w:val="single" w:sz="4" w:space="0" w:color="auto"/>
            </w:tcBorders>
            <w:shd w:val="clear" w:color="auto" w:fill="auto"/>
            <w:noWrap/>
            <w:vAlign w:val="center"/>
            <w:hideMark/>
          </w:tcPr>
          <w:p w:rsidR="006A57B2" w:rsidRPr="001575B6" w:rsidRDefault="006A57B2" w:rsidP="00B22173">
            <w:pPr>
              <w:spacing w:after="0" w:line="240" w:lineRule="auto"/>
              <w:rPr>
                <w:rFonts w:asciiTheme="majorHAnsi" w:eastAsia="Times New Roman" w:hAnsiTheme="majorHAnsi" w:cstheme="majorHAnsi"/>
                <w:color w:val="000000"/>
                <w:sz w:val="20"/>
                <w:szCs w:val="20"/>
                <w:lang w:eastAsia="en-GB"/>
              </w:rPr>
            </w:pPr>
          </w:p>
        </w:tc>
        <w:tc>
          <w:tcPr>
            <w:tcW w:w="1814" w:type="dxa"/>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6A57B2" w:rsidRPr="001575B6" w:rsidRDefault="006A57B2" w:rsidP="00B22173">
            <w:pPr>
              <w:spacing w:after="0" w:line="240" w:lineRule="auto"/>
              <w:jc w:val="center"/>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1485</w:t>
            </w:r>
          </w:p>
        </w:tc>
        <w:tc>
          <w:tcPr>
            <w:tcW w:w="907" w:type="dxa"/>
            <w:tcBorders>
              <w:top w:val="single" w:sz="4" w:space="0" w:color="auto"/>
              <w:left w:val="nil"/>
              <w:bottom w:val="single" w:sz="4" w:space="0" w:color="auto"/>
              <w:right w:val="nil"/>
            </w:tcBorders>
            <w:shd w:val="clear" w:color="auto" w:fill="BDD6EE" w:themeFill="accent1" w:themeFillTint="66"/>
            <w:noWrap/>
            <w:vAlign w:val="center"/>
            <w:hideMark/>
          </w:tcPr>
          <w:p w:rsidR="006A57B2" w:rsidRPr="001575B6" w:rsidRDefault="006A57B2" w:rsidP="00B22173">
            <w:pPr>
              <w:spacing w:after="0" w:line="240" w:lineRule="auto"/>
              <w:jc w:val="right"/>
              <w:rPr>
                <w:rFonts w:asciiTheme="majorHAnsi" w:hAnsiTheme="majorHAnsi" w:cstheme="majorHAnsi"/>
                <w:b/>
                <w:color w:val="000000"/>
                <w:sz w:val="20"/>
                <w:szCs w:val="20"/>
              </w:rPr>
            </w:pPr>
            <w:r w:rsidRPr="001575B6">
              <w:rPr>
                <w:rFonts w:asciiTheme="majorHAnsi" w:hAnsiTheme="majorHAnsi" w:cstheme="majorHAnsi"/>
                <w:b/>
                <w:color w:val="000000"/>
                <w:sz w:val="20"/>
                <w:szCs w:val="20"/>
              </w:rPr>
              <w:t>715</w:t>
            </w:r>
          </w:p>
        </w:tc>
        <w:tc>
          <w:tcPr>
            <w:tcW w:w="907" w:type="dxa"/>
            <w:tcBorders>
              <w:top w:val="single" w:sz="4" w:space="0" w:color="auto"/>
              <w:left w:val="nil"/>
              <w:bottom w:val="single" w:sz="4" w:space="0" w:color="auto"/>
              <w:right w:val="nil"/>
            </w:tcBorders>
            <w:shd w:val="clear" w:color="auto" w:fill="BDD6EE" w:themeFill="accent1" w:themeFillTint="66"/>
            <w:vAlign w:val="center"/>
          </w:tcPr>
          <w:p w:rsidR="006A57B2" w:rsidRPr="001575B6" w:rsidRDefault="006A57B2" w:rsidP="00B22173">
            <w:pPr>
              <w:spacing w:after="0" w:line="240" w:lineRule="auto"/>
              <w:rPr>
                <w:rFonts w:asciiTheme="majorHAnsi" w:hAnsiTheme="majorHAnsi" w:cstheme="majorHAnsi"/>
                <w:b/>
                <w:color w:val="000000"/>
                <w:sz w:val="20"/>
                <w:szCs w:val="20"/>
              </w:rPr>
            </w:pPr>
            <w:r w:rsidRPr="001575B6">
              <w:rPr>
                <w:rFonts w:asciiTheme="majorHAnsi" w:hAnsiTheme="majorHAnsi" w:cstheme="majorHAnsi"/>
                <w:b/>
                <w:color w:val="000000"/>
                <w:sz w:val="20"/>
                <w:szCs w:val="20"/>
              </w:rPr>
              <w:t>(48.1)</w:t>
            </w:r>
          </w:p>
        </w:tc>
        <w:tc>
          <w:tcPr>
            <w:tcW w:w="907" w:type="dxa"/>
            <w:tcBorders>
              <w:top w:val="single" w:sz="4" w:space="0" w:color="auto"/>
              <w:left w:val="nil"/>
              <w:bottom w:val="single" w:sz="4" w:space="0" w:color="auto"/>
              <w:right w:val="nil"/>
            </w:tcBorders>
            <w:shd w:val="clear" w:color="auto" w:fill="BDD6EE" w:themeFill="accent1" w:themeFillTint="66"/>
            <w:noWrap/>
            <w:vAlign w:val="center"/>
            <w:hideMark/>
          </w:tcPr>
          <w:p w:rsidR="006A57B2" w:rsidRPr="001575B6" w:rsidRDefault="006A57B2" w:rsidP="00B22173">
            <w:pPr>
              <w:spacing w:after="0" w:line="240" w:lineRule="auto"/>
              <w:jc w:val="right"/>
              <w:rPr>
                <w:rFonts w:asciiTheme="majorHAnsi" w:eastAsia="Times New Roman" w:hAnsiTheme="majorHAnsi" w:cstheme="majorHAnsi"/>
                <w:b/>
                <w:color w:val="000000"/>
                <w:sz w:val="20"/>
                <w:szCs w:val="20"/>
                <w:lang w:eastAsia="en-GB"/>
              </w:rPr>
            </w:pPr>
            <w:r w:rsidRPr="001575B6">
              <w:rPr>
                <w:rFonts w:asciiTheme="majorHAnsi" w:eastAsia="Times New Roman" w:hAnsiTheme="majorHAnsi" w:cstheme="majorHAnsi"/>
                <w:b/>
                <w:color w:val="000000"/>
                <w:sz w:val="20"/>
                <w:szCs w:val="20"/>
                <w:lang w:eastAsia="en-GB"/>
              </w:rPr>
              <w:t>11</w:t>
            </w:r>
          </w:p>
        </w:tc>
        <w:tc>
          <w:tcPr>
            <w:tcW w:w="907"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6A57B2" w:rsidRPr="001575B6" w:rsidRDefault="006A57B2" w:rsidP="00B22173">
            <w:pPr>
              <w:spacing w:after="0" w:line="240" w:lineRule="auto"/>
              <w:rPr>
                <w:rFonts w:asciiTheme="majorHAnsi" w:hAnsiTheme="majorHAnsi" w:cstheme="majorHAnsi"/>
                <w:b/>
                <w:color w:val="000000"/>
                <w:sz w:val="20"/>
                <w:szCs w:val="20"/>
              </w:rPr>
            </w:pPr>
            <w:r w:rsidRPr="001575B6">
              <w:rPr>
                <w:rFonts w:asciiTheme="majorHAnsi" w:hAnsiTheme="majorHAnsi" w:cstheme="majorHAnsi"/>
                <w:b/>
                <w:color w:val="000000"/>
                <w:sz w:val="20"/>
                <w:szCs w:val="20"/>
              </w:rPr>
              <w:t>(1.5)</w:t>
            </w:r>
          </w:p>
        </w:tc>
      </w:tr>
    </w:tbl>
    <w:p w:rsidR="006A57B2" w:rsidRDefault="006A57B2" w:rsidP="007C5745"/>
    <w:p w:rsidR="006A57B2" w:rsidRDefault="006A57B2" w:rsidP="00355E7A">
      <w:pPr>
        <w:rPr>
          <w:rFonts w:asciiTheme="majorHAnsi" w:eastAsiaTheme="majorEastAsia" w:hAnsiTheme="majorHAnsi" w:cstheme="majorBidi"/>
          <w:color w:val="2E74B5" w:themeColor="accent1" w:themeShade="BF"/>
          <w:sz w:val="28"/>
          <w:szCs w:val="28"/>
        </w:rPr>
      </w:pPr>
      <w:r>
        <w:br w:type="page"/>
      </w:r>
    </w:p>
    <w:p w:rsidR="006A57B2" w:rsidRDefault="006A57B2" w:rsidP="00B22173">
      <w:pPr>
        <w:pStyle w:val="Heading1"/>
        <w:spacing w:line="360" w:lineRule="auto"/>
      </w:pPr>
      <w:bookmarkStart w:id="88" w:name="_Toc418857495"/>
      <w:bookmarkStart w:id="89" w:name="_Toc428195176"/>
      <w:r w:rsidRPr="00C444D6">
        <w:t>CHAPTER 4 COST-EFFECTIVENESS ANALYSIS</w:t>
      </w:r>
      <w:bookmarkEnd w:id="88"/>
      <w:bookmarkEnd w:id="89"/>
    </w:p>
    <w:p w:rsidR="006A57B2" w:rsidRDefault="006A57B2" w:rsidP="00B22173">
      <w:pPr>
        <w:spacing w:line="360" w:lineRule="auto"/>
        <w:rPr>
          <w:rFonts w:asciiTheme="majorHAnsi" w:hAnsiTheme="majorHAnsi"/>
          <w:b/>
          <w:color w:val="5B9BD5" w:themeColor="accent1"/>
          <w:sz w:val="26"/>
          <w:szCs w:val="26"/>
        </w:rPr>
      </w:pPr>
    </w:p>
    <w:p w:rsidR="006A57B2" w:rsidRPr="00986AA4" w:rsidRDefault="006A57B2" w:rsidP="00452F22">
      <w:pPr>
        <w:pStyle w:val="Heading2"/>
      </w:pPr>
      <w:bookmarkStart w:id="90" w:name="_Toc418857496"/>
      <w:bookmarkStart w:id="91" w:name="_Toc428195177"/>
      <w:r w:rsidRPr="00986AA4">
        <w:t>Introduction</w:t>
      </w:r>
      <w:bookmarkEnd w:id="90"/>
      <w:bookmarkEnd w:id="91"/>
    </w:p>
    <w:p w:rsidR="006A57B2" w:rsidRPr="00F641C3" w:rsidRDefault="006A57B2" w:rsidP="00B22173">
      <w:pPr>
        <w:spacing w:line="360" w:lineRule="auto"/>
      </w:pPr>
      <w:r w:rsidRPr="00F641C3">
        <w:t xml:space="preserve">Central venous catheter (CVC) infections are a substantial and preventable cause of iatrogenic morbidity, mortality, excess length of stay and healthcare costs. In the setting of the paediatric intensive care unit (PICU), bloodstream infections (BSI) related to CVCs have been reported to occur in 3% to 8% of all </w:t>
      </w:r>
      <w:r>
        <w:t>CVC insertions. As approximately two-thirds of the 16,000</w:t>
      </w:r>
      <w:r w:rsidRPr="00C444D6">
        <w:t xml:space="preserve"> admissions to </w:t>
      </w:r>
      <w:r>
        <w:t xml:space="preserve">English </w:t>
      </w:r>
      <w:r w:rsidRPr="00C444D6">
        <w:t>PICU</w:t>
      </w:r>
      <w:r>
        <w:t>s each year</w:t>
      </w:r>
      <w:r w:rsidRPr="00C444D6">
        <w:t xml:space="preserve"> </w:t>
      </w:r>
      <w:r w:rsidRPr="00607F48">
        <w:rPr>
          <w:noProof/>
          <w:vertAlign w:val="superscript"/>
        </w:rPr>
        <w:t>56</w:t>
      </w:r>
      <w:r>
        <w:rPr>
          <w:noProof/>
        </w:rPr>
        <w:t xml:space="preserve"> </w:t>
      </w:r>
      <w:r w:rsidRPr="00C444D6">
        <w:t>requir</w:t>
      </w:r>
      <w:r>
        <w:t>e</w:t>
      </w:r>
      <w:r w:rsidRPr="00F641C3">
        <w:t xml:space="preserve"> </w:t>
      </w:r>
      <w:r>
        <w:t>CVCs</w:t>
      </w:r>
      <w:r w:rsidRPr="00C444D6">
        <w:t>, the overall impact represents a major burden to patients and the NHS</w:t>
      </w:r>
      <w:r>
        <w:t>.</w:t>
      </w:r>
      <w:r w:rsidRPr="00C444D6">
        <w:t xml:space="preserve"> </w:t>
      </w:r>
      <w:r w:rsidRPr="00E075A0">
        <w:rPr>
          <w:noProof/>
          <w:vertAlign w:val="superscript"/>
        </w:rPr>
        <w:t>21, 22</w:t>
      </w:r>
    </w:p>
    <w:p w:rsidR="006A57B2" w:rsidRDefault="006A57B2" w:rsidP="00B22173">
      <w:pPr>
        <w:spacing w:line="360" w:lineRule="auto"/>
      </w:pPr>
      <w:r>
        <w:t>I</w:t>
      </w:r>
      <w:r w:rsidRPr="00F641C3">
        <w:t xml:space="preserve">mpregnated CVCs are nearly twice as expensive as </w:t>
      </w:r>
      <w:r w:rsidRPr="000E3106">
        <w:t>standard, requiring decisions on their use to be informed by evidence of their cost-effectiveness. However</w:t>
      </w:r>
      <w:r w:rsidRPr="00F641C3">
        <w:t xml:space="preserve">, current economic evaluations are limited </w:t>
      </w:r>
      <w:r w:rsidRPr="00470F2A">
        <w:t xml:space="preserve">in their transferability to the PICU setting in the UK as they all </w:t>
      </w:r>
      <w:r>
        <w:t>relate to adult populations and,</w:t>
      </w:r>
      <w:r w:rsidRPr="00470F2A">
        <w:t xml:space="preserve"> with one exception</w:t>
      </w:r>
      <w:r>
        <w:t>,</w:t>
      </w:r>
      <w:r w:rsidRPr="00607F48">
        <w:rPr>
          <w:noProof/>
          <w:vertAlign w:val="superscript"/>
        </w:rPr>
        <w:t>29</w:t>
      </w:r>
      <w:r>
        <w:rPr>
          <w:noProof/>
        </w:rPr>
        <w:t xml:space="preserve"> apply</w:t>
      </w:r>
      <w:r w:rsidRPr="00470F2A">
        <w:t xml:space="preserve"> to</w:t>
      </w:r>
      <w:r w:rsidRPr="00F641C3">
        <w:t xml:space="preserve"> different healthcare </w:t>
      </w:r>
      <w:r w:rsidRPr="00470F2A">
        <w:t>systems (Australia</w:t>
      </w:r>
      <w:r>
        <w:t>,</w:t>
      </w:r>
      <w:r w:rsidRPr="00607F48">
        <w:rPr>
          <w:noProof/>
          <w:vertAlign w:val="superscript"/>
        </w:rPr>
        <w:t>62</w:t>
      </w:r>
      <w:r w:rsidRPr="00470F2A">
        <w:t xml:space="preserve"> Germany </w:t>
      </w:r>
      <w:r w:rsidRPr="00607F48">
        <w:rPr>
          <w:noProof/>
          <w:vertAlign w:val="superscript"/>
        </w:rPr>
        <w:t>63</w:t>
      </w:r>
      <w:r>
        <w:rPr>
          <w:noProof/>
        </w:rPr>
        <w:t xml:space="preserve"> </w:t>
      </w:r>
      <w:r w:rsidRPr="00470F2A">
        <w:t xml:space="preserve">and the USA </w:t>
      </w:r>
      <w:r w:rsidRPr="00607F48">
        <w:rPr>
          <w:noProof/>
          <w:vertAlign w:val="superscript"/>
        </w:rPr>
        <w:t>64-66</w:t>
      </w:r>
      <w:r>
        <w:rPr>
          <w:noProof/>
        </w:rPr>
        <w:t>)</w:t>
      </w:r>
      <w:r>
        <w:t>.</w:t>
      </w:r>
      <w:r w:rsidRPr="00470F2A">
        <w:t xml:space="preserve"> While care pathways and costs may differ </w:t>
      </w:r>
      <w:r w:rsidRPr="00FF11BF">
        <w:t>in the UK setting</w:t>
      </w:r>
      <w:r w:rsidRPr="00470F2A">
        <w:t xml:space="preserve">, these studies consistently demonstrated </w:t>
      </w:r>
      <w:r>
        <w:t>antibiotic-impregnated</w:t>
      </w:r>
      <w:r w:rsidRPr="00470F2A">
        <w:t xml:space="preserve"> CVCs to be cost</w:t>
      </w:r>
      <w:r w:rsidRPr="00F641C3">
        <w:t xml:space="preserve"> saving, while yielding improved outcomes.</w:t>
      </w:r>
    </w:p>
    <w:p w:rsidR="006A57B2" w:rsidRDefault="006A57B2" w:rsidP="002650A7">
      <w:pPr>
        <w:spacing w:line="360" w:lineRule="auto"/>
      </w:pPr>
      <w:r>
        <w:t xml:space="preserve">Hockenhull et al. </w:t>
      </w:r>
      <w:r w:rsidRPr="00607F48">
        <w:rPr>
          <w:noProof/>
          <w:vertAlign w:val="superscript"/>
        </w:rPr>
        <w:t>29</w:t>
      </w:r>
      <w:r>
        <w:rPr>
          <w:noProof/>
        </w:rPr>
        <w:t xml:space="preserve"> modelled the cost-effectiveness of impregnated CVCs by comparison with standard CVCs in adult patients. The cost of managing CR-BSIs, estimated as £9,148, was taken </w:t>
      </w:r>
      <w:r w:rsidRPr="00FF11BF">
        <w:rPr>
          <w:noProof/>
        </w:rPr>
        <w:t>from a systematic review of economic studies. Based on a systematic review of RCTs, impregnated</w:t>
      </w:r>
      <w:r>
        <w:rPr>
          <w:noProof/>
        </w:rPr>
        <w:t xml:space="preserve"> CVCs were </w:t>
      </w:r>
      <w:r w:rsidRPr="00FF11BF">
        <w:rPr>
          <w:noProof/>
        </w:rPr>
        <w:t>estimated</w:t>
      </w:r>
      <w:r>
        <w:rPr>
          <w:noProof/>
        </w:rPr>
        <w:t xml:space="preserve"> to reduce the incidence of CR-BSI from 3% to 1.4%. </w:t>
      </w:r>
      <w:r w:rsidRPr="002650A7">
        <w:rPr>
          <w:noProof/>
        </w:rPr>
        <w:t>The ICER</w:t>
      </w:r>
      <w:r>
        <w:rPr>
          <w:noProof/>
        </w:rPr>
        <w:t xml:space="preserve"> of £8,530 saved for each CR-BSI averted,</w:t>
      </w:r>
      <w:r w:rsidRPr="002650A7">
        <w:rPr>
          <w:noProof/>
        </w:rPr>
        <w:t xml:space="preserve"> was calculated as the additional cost of the impregnated CVC less the expected cost per patient of managing excess CR-BSI, divided by the absolute risk reduction.</w:t>
      </w:r>
      <w:r>
        <w:rPr>
          <w:noProof/>
        </w:rPr>
        <w:t xml:space="preserve"> While intuitively simple, the model did not consider mortality effects or discriminate between different types of impregnated CVCs, and the authors recommended decision-makers to interpret the results with caution.</w:t>
      </w:r>
    </w:p>
    <w:p w:rsidR="006A57B2" w:rsidRDefault="006A57B2" w:rsidP="00B22173">
      <w:pPr>
        <w:spacing w:line="360" w:lineRule="auto"/>
      </w:pPr>
      <w:r>
        <w:t xml:space="preserve">Halton et al. </w:t>
      </w:r>
      <w:r w:rsidRPr="00607F48">
        <w:rPr>
          <w:noProof/>
          <w:vertAlign w:val="superscript"/>
        </w:rPr>
        <w:t>62</w:t>
      </w:r>
      <w:r>
        <w:t xml:space="preserve"> </w:t>
      </w:r>
      <w:r w:rsidRPr="00732199">
        <w:t>used a Markov decision model to com</w:t>
      </w:r>
      <w:r>
        <w:t>pare the cost-effectiveness of a range of antimicrobial-coated CVCs, including minocycline and rifampicin-coated catheters,</w:t>
      </w:r>
      <w:r w:rsidRPr="00732199">
        <w:t xml:space="preserve"> relative to uncoated catheters</w:t>
      </w:r>
      <w:r>
        <w:t xml:space="preserve"> </w:t>
      </w:r>
      <w:r w:rsidRPr="00732199">
        <w:t>in</w:t>
      </w:r>
      <w:r>
        <w:t xml:space="preserve"> adult intensive care unit</w:t>
      </w:r>
      <w:r w:rsidRPr="00732199">
        <w:t xml:space="preserve"> patients</w:t>
      </w:r>
      <w:r>
        <w:t xml:space="preserve">. Simulations suggested antibiotic CVCs prevented </w:t>
      </w:r>
      <w:r w:rsidRPr="00732199">
        <w:t xml:space="preserve">15 </w:t>
      </w:r>
      <w:r>
        <w:t>CR-BSIs</w:t>
      </w:r>
      <w:r w:rsidRPr="00732199">
        <w:t xml:space="preserve"> </w:t>
      </w:r>
      <w:r>
        <w:t xml:space="preserve">per 1000 CVCs placed, with a corresponding gain of 1.6 quality-adjusted life-years (QALYs). The model predicted </w:t>
      </w:r>
      <w:r w:rsidRPr="00F770CD">
        <w:t xml:space="preserve">32 ICU bed days and 95 general ward bed days </w:t>
      </w:r>
      <w:r>
        <w:t xml:space="preserve">would be released, with cost savings of AUD $130,289 </w:t>
      </w:r>
      <w:r w:rsidRPr="00F770CD">
        <w:t xml:space="preserve">per 1,000 </w:t>
      </w:r>
      <w:r>
        <w:t>CVCs.</w:t>
      </w:r>
    </w:p>
    <w:p w:rsidR="006A57B2" w:rsidRDefault="006A57B2" w:rsidP="00B22173">
      <w:pPr>
        <w:spacing w:line="360" w:lineRule="auto"/>
        <w:rPr>
          <w:noProof/>
        </w:rPr>
      </w:pPr>
      <w:r>
        <w:t xml:space="preserve">Frank et al. </w:t>
      </w:r>
      <w:r w:rsidRPr="00607F48">
        <w:rPr>
          <w:noProof/>
          <w:vertAlign w:val="superscript"/>
        </w:rPr>
        <w:t>63</w:t>
      </w:r>
      <w:r>
        <w:rPr>
          <w:noProof/>
        </w:rPr>
        <w:t xml:space="preserve"> performed a case-control analysis of resource use and costs among 30 adults who developed CR-BSIs and 108 controls, each in an ICU setting. The marginal cost per infectious episode was estimated as €231, but the calculation and meaning of the ICER presented for silver-impregnated CVCs was unclear. </w:t>
      </w:r>
    </w:p>
    <w:p w:rsidR="006A57B2" w:rsidRDefault="006A57B2" w:rsidP="00B22173">
      <w:pPr>
        <w:spacing w:line="360" w:lineRule="auto"/>
        <w:rPr>
          <w:noProof/>
        </w:rPr>
      </w:pPr>
      <w:r>
        <w:t xml:space="preserve">Marciante et al. </w:t>
      </w:r>
      <w:r w:rsidRPr="00607F48">
        <w:rPr>
          <w:noProof/>
          <w:vertAlign w:val="superscript"/>
        </w:rPr>
        <w:t>64-66</w:t>
      </w:r>
      <w:r>
        <w:rPr>
          <w:noProof/>
        </w:rPr>
        <w:t xml:space="preserve"> </w:t>
      </w:r>
      <w:r w:rsidRPr="006036B2">
        <w:rPr>
          <w:noProof/>
        </w:rPr>
        <w:t>developed a series of decision models with patient-level clinical trial data t</w:t>
      </w:r>
      <w:r>
        <w:rPr>
          <w:noProof/>
        </w:rPr>
        <w:t xml:space="preserve">o determine whether minocycline and </w:t>
      </w:r>
      <w:r w:rsidRPr="006036B2">
        <w:rPr>
          <w:noProof/>
        </w:rPr>
        <w:t xml:space="preserve">rifampin </w:t>
      </w:r>
      <w:r>
        <w:rPr>
          <w:noProof/>
        </w:rPr>
        <w:t>impregnated CVCs</w:t>
      </w:r>
      <w:r w:rsidRPr="006036B2">
        <w:rPr>
          <w:noProof/>
        </w:rPr>
        <w:t xml:space="preserve"> are cost-effective </w:t>
      </w:r>
      <w:r>
        <w:rPr>
          <w:noProof/>
        </w:rPr>
        <w:t>in</w:t>
      </w:r>
      <w:r w:rsidRPr="006036B2">
        <w:rPr>
          <w:noProof/>
        </w:rPr>
        <w:t xml:space="preserve"> </w:t>
      </w:r>
      <w:r>
        <w:rPr>
          <w:noProof/>
        </w:rPr>
        <w:t>adults. Cost-effectiveness was indeterminable for CVCs inserted for a week or less, as no infections had occurred during this time. Antibiotic CVCs were modelled to be cost-effective for longer periods of insertion, with expected savings of US $67 and gains of 0.009 QALYs per patient.</w:t>
      </w:r>
    </w:p>
    <w:p w:rsidR="006A57B2" w:rsidRDefault="006A57B2" w:rsidP="00B22173">
      <w:pPr>
        <w:spacing w:line="360" w:lineRule="auto"/>
        <w:rPr>
          <w:noProof/>
        </w:rPr>
      </w:pPr>
      <w:r>
        <w:rPr>
          <w:noProof/>
        </w:rPr>
        <w:t xml:space="preserve">Shorr et al. </w:t>
      </w:r>
      <w:r w:rsidRPr="00607F48">
        <w:rPr>
          <w:noProof/>
          <w:vertAlign w:val="superscript"/>
        </w:rPr>
        <w:t>64-66</w:t>
      </w:r>
      <w:r>
        <w:rPr>
          <w:noProof/>
        </w:rPr>
        <w:t xml:space="preserve"> presented another decision analytic model based on a h</w:t>
      </w:r>
      <w:r w:rsidRPr="006036B2">
        <w:rPr>
          <w:noProof/>
        </w:rPr>
        <w:t xml:space="preserve">ypothetical cohort of 1,000 </w:t>
      </w:r>
      <w:r>
        <w:rPr>
          <w:noProof/>
        </w:rPr>
        <w:t xml:space="preserve">adult </w:t>
      </w:r>
      <w:r w:rsidRPr="006036B2">
        <w:rPr>
          <w:noProof/>
        </w:rPr>
        <w:t>patients requiring a CVC</w:t>
      </w:r>
      <w:r>
        <w:rPr>
          <w:noProof/>
        </w:rPr>
        <w:t>. Incidence of CR-BSI, excess lengths of ICU and ward stays and associated costs were selected from published studies. Compared to standard</w:t>
      </w:r>
      <w:r w:rsidRPr="006036B2">
        <w:rPr>
          <w:noProof/>
        </w:rPr>
        <w:t xml:space="preserve"> CVC</w:t>
      </w:r>
      <w:r>
        <w:rPr>
          <w:noProof/>
        </w:rPr>
        <w:t xml:space="preserve">s, minocycline and </w:t>
      </w:r>
      <w:r w:rsidRPr="006036B2">
        <w:rPr>
          <w:noProof/>
        </w:rPr>
        <w:t>rifampin</w:t>
      </w:r>
      <w:r>
        <w:rPr>
          <w:noProof/>
        </w:rPr>
        <w:t xml:space="preserve"> impregnated CVCs were estimated to reduce the incidence of CR-BSI from 3.3% to 1.4%, resulting in a saving of US $9,605 for each CR-BSI averted.</w:t>
      </w:r>
    </w:p>
    <w:p w:rsidR="006A57B2" w:rsidRDefault="006A57B2" w:rsidP="00B22173">
      <w:pPr>
        <w:spacing w:line="360" w:lineRule="auto"/>
      </w:pPr>
      <w:r>
        <w:t xml:space="preserve">Veenstra et al. </w:t>
      </w:r>
      <w:r w:rsidRPr="00607F48">
        <w:rPr>
          <w:noProof/>
          <w:vertAlign w:val="superscript"/>
        </w:rPr>
        <w:t>64-66</w:t>
      </w:r>
      <w:r>
        <w:rPr>
          <w:noProof/>
        </w:rPr>
        <w:t xml:space="preserve"> </w:t>
      </w:r>
      <w:r w:rsidRPr="000C19A7">
        <w:rPr>
          <w:noProof/>
        </w:rPr>
        <w:t>us</w:t>
      </w:r>
      <w:r>
        <w:rPr>
          <w:noProof/>
        </w:rPr>
        <w:t>ed data from RCTs</w:t>
      </w:r>
      <w:r w:rsidRPr="000C19A7">
        <w:rPr>
          <w:noProof/>
        </w:rPr>
        <w:t>, meta-analyses, and case-control studies</w:t>
      </w:r>
      <w:r>
        <w:rPr>
          <w:noProof/>
        </w:rPr>
        <w:t xml:space="preserve"> within a d</w:t>
      </w:r>
      <w:r w:rsidRPr="000C19A7">
        <w:rPr>
          <w:noProof/>
        </w:rPr>
        <w:t>ecision analytic model</w:t>
      </w:r>
      <w:r>
        <w:rPr>
          <w:noProof/>
        </w:rPr>
        <w:t xml:space="preserve">ling framework to </w:t>
      </w:r>
      <w:r w:rsidRPr="000C19A7">
        <w:rPr>
          <w:noProof/>
        </w:rPr>
        <w:t xml:space="preserve">estimate the incremental </w:t>
      </w:r>
      <w:r>
        <w:rPr>
          <w:noProof/>
        </w:rPr>
        <w:t xml:space="preserve">cost-effectiveness of antiseptic-impregnated CVCs in a </w:t>
      </w:r>
      <w:r w:rsidRPr="000C19A7">
        <w:rPr>
          <w:noProof/>
        </w:rPr>
        <w:t>hypothetical cohort of hospitali</w:t>
      </w:r>
      <w:r>
        <w:rPr>
          <w:noProof/>
        </w:rPr>
        <w:t>s</w:t>
      </w:r>
      <w:r w:rsidRPr="000C19A7">
        <w:rPr>
          <w:noProof/>
        </w:rPr>
        <w:t>ed patients at high risk for catheter-related infections</w:t>
      </w:r>
      <w:r>
        <w:rPr>
          <w:noProof/>
        </w:rPr>
        <w:t>. Modelling the u</w:t>
      </w:r>
      <w:r w:rsidRPr="000C19A7">
        <w:rPr>
          <w:noProof/>
        </w:rPr>
        <w:t xml:space="preserve">se of chlorhexidine-silver sulfadiazine-impregnated </w:t>
      </w:r>
      <w:r w:rsidRPr="00FF11BF">
        <w:rPr>
          <w:noProof/>
        </w:rPr>
        <w:t>compared with standard</w:t>
      </w:r>
      <w:r>
        <w:rPr>
          <w:noProof/>
        </w:rPr>
        <w:t xml:space="preserve"> CVCs</w:t>
      </w:r>
      <w:r w:rsidRPr="000C19A7">
        <w:rPr>
          <w:noProof/>
        </w:rPr>
        <w:t xml:space="preserve"> </w:t>
      </w:r>
      <w:r>
        <w:rPr>
          <w:noProof/>
        </w:rPr>
        <w:t xml:space="preserve">and </w:t>
      </w:r>
      <w:r w:rsidRPr="000C19A7">
        <w:rPr>
          <w:noProof/>
        </w:rPr>
        <w:t>result</w:t>
      </w:r>
      <w:r>
        <w:rPr>
          <w:noProof/>
        </w:rPr>
        <w:t>ed</w:t>
      </w:r>
      <w:r w:rsidRPr="000C19A7">
        <w:rPr>
          <w:noProof/>
        </w:rPr>
        <w:t xml:space="preserve"> in a </w:t>
      </w:r>
      <w:r>
        <w:rPr>
          <w:noProof/>
        </w:rPr>
        <w:t xml:space="preserve">2.2% </w:t>
      </w:r>
      <w:r w:rsidRPr="000C19A7">
        <w:rPr>
          <w:noProof/>
        </w:rPr>
        <w:t>decrease in the incidence of CR-BSI</w:t>
      </w:r>
      <w:r>
        <w:rPr>
          <w:noProof/>
        </w:rPr>
        <w:t>,</w:t>
      </w:r>
      <w:r w:rsidRPr="000C19A7">
        <w:rPr>
          <w:noProof/>
        </w:rPr>
        <w:t xml:space="preserve"> a </w:t>
      </w:r>
      <w:r>
        <w:rPr>
          <w:noProof/>
        </w:rPr>
        <w:t xml:space="preserve">0.33% </w:t>
      </w:r>
      <w:r w:rsidRPr="000C19A7">
        <w:rPr>
          <w:noProof/>
        </w:rPr>
        <w:t xml:space="preserve">decrease in the incidence of death, and a </w:t>
      </w:r>
      <w:r>
        <w:rPr>
          <w:noProof/>
        </w:rPr>
        <w:t>saving</w:t>
      </w:r>
      <w:r w:rsidRPr="000C19A7">
        <w:rPr>
          <w:noProof/>
        </w:rPr>
        <w:t xml:space="preserve"> of </w:t>
      </w:r>
      <w:r>
        <w:rPr>
          <w:noProof/>
        </w:rPr>
        <w:t xml:space="preserve">US </w:t>
      </w:r>
      <w:r w:rsidRPr="000C19A7">
        <w:rPr>
          <w:noProof/>
        </w:rPr>
        <w:t xml:space="preserve">$196 per </w:t>
      </w:r>
      <w:r>
        <w:rPr>
          <w:noProof/>
        </w:rPr>
        <w:t>CVC</w:t>
      </w:r>
      <w:r w:rsidRPr="000C19A7">
        <w:rPr>
          <w:noProof/>
        </w:rPr>
        <w:t xml:space="preserve"> used.</w:t>
      </w:r>
    </w:p>
    <w:p w:rsidR="006A57B2" w:rsidRPr="00F641C3" w:rsidRDefault="006A57B2" w:rsidP="00B22173">
      <w:pPr>
        <w:spacing w:line="360" w:lineRule="auto"/>
      </w:pPr>
      <w:r>
        <w:t>An important limitation of these studies was that e</w:t>
      </w:r>
      <w:r w:rsidRPr="00F641C3">
        <w:t xml:space="preserve">ach analysis modelled the costs and consequences of BSI using data from disparate sources and as such relied heavily on assumptions relating to attribution of hospital lengths of stay (the main cost driver) and mortality to BSI. The only UK-based economic evaluation considered an adult population and assumed that a patient with a catheter-related BSI spends 6 additional days in ICU and 5 additional days in a general </w:t>
      </w:r>
      <w:r w:rsidRPr="00470F2A">
        <w:t>medical ward</w:t>
      </w:r>
      <w:r>
        <w:t>.</w:t>
      </w:r>
      <w:r w:rsidRPr="00607F48">
        <w:rPr>
          <w:noProof/>
          <w:vertAlign w:val="superscript"/>
        </w:rPr>
        <w:t>29</w:t>
      </w:r>
      <w:r w:rsidRPr="00470F2A">
        <w:t xml:space="preserve"> A recent</w:t>
      </w:r>
      <w:r w:rsidRPr="00F641C3">
        <w:t xml:space="preserve"> study of 1,339 cases of catheter-related BSI sampled from a US paediatric population and matched to controls by propensity-score, revealed a higher mean attributable length of stay of 19 </w:t>
      </w:r>
      <w:r w:rsidRPr="00470F2A">
        <w:t>days</w:t>
      </w:r>
      <w:r>
        <w:t>.</w:t>
      </w:r>
      <w:r w:rsidRPr="00607F48">
        <w:rPr>
          <w:noProof/>
          <w:vertAlign w:val="superscript"/>
        </w:rPr>
        <w:t>67</w:t>
      </w:r>
      <w:r w:rsidRPr="00F641C3">
        <w:t xml:space="preserve"> While this is comparable with the </w:t>
      </w:r>
      <w:r w:rsidRPr="00470F2A">
        <w:t xml:space="preserve">21 excess length of stay estimated for paediatric haematology/oncology patients </w:t>
      </w:r>
      <w:r w:rsidRPr="00607F48">
        <w:rPr>
          <w:noProof/>
          <w:vertAlign w:val="superscript"/>
        </w:rPr>
        <w:t>68</w:t>
      </w:r>
      <w:r>
        <w:rPr>
          <w:noProof/>
        </w:rPr>
        <w:t xml:space="preserve">, </w:t>
      </w:r>
      <w:r w:rsidRPr="00470F2A">
        <w:t>these estimates</w:t>
      </w:r>
      <w:r>
        <w:t xml:space="preserve"> </w:t>
      </w:r>
      <w:r w:rsidRPr="00470F2A">
        <w:t>are reliant on retrospective observational data and are susceptible to bias.</w:t>
      </w:r>
    </w:p>
    <w:p w:rsidR="006A57B2" w:rsidRPr="00F641C3" w:rsidRDefault="006A57B2" w:rsidP="00452F22">
      <w:pPr>
        <w:pStyle w:val="Heading4"/>
      </w:pPr>
      <w:r w:rsidRPr="00F641C3">
        <w:t>Aim</w:t>
      </w:r>
    </w:p>
    <w:p w:rsidR="006A57B2" w:rsidRPr="00F641C3" w:rsidRDefault="006A57B2" w:rsidP="00B22173">
      <w:pPr>
        <w:spacing w:line="360" w:lineRule="auto"/>
      </w:pPr>
      <w:r w:rsidRPr="00F641C3">
        <w:t xml:space="preserve">We aimed to assess the cost-effectiveness of antibiotic, heparin and standard </w:t>
      </w:r>
      <w:r w:rsidRPr="000E3106">
        <w:t>CVCs in a</w:t>
      </w:r>
      <w:r w:rsidRPr="00123E73">
        <w:t xml:space="preserve">n English </w:t>
      </w:r>
      <w:r w:rsidRPr="00233EE9">
        <w:t>PICU</w:t>
      </w:r>
      <w:r w:rsidRPr="00F641C3">
        <w:t xml:space="preserve"> setting using data</w:t>
      </w:r>
      <w:r>
        <w:t xml:space="preserve"> from the CATCH randomised controlled trial</w:t>
      </w:r>
      <w:r w:rsidRPr="00F641C3">
        <w:t xml:space="preserve">. Although the primary comparison </w:t>
      </w:r>
      <w:r>
        <w:t>showed no evidence that impregnated CVCs (</w:t>
      </w:r>
      <w:r w:rsidRPr="00F641C3">
        <w:t>antibiotic or heparin</w:t>
      </w:r>
      <w:r>
        <w:t xml:space="preserve">) were more effective than </w:t>
      </w:r>
      <w:r w:rsidRPr="00F641C3">
        <w:t>standard CVC</w:t>
      </w:r>
      <w:r>
        <w:t xml:space="preserve">s, </w:t>
      </w:r>
      <w:r w:rsidRPr="00F641C3">
        <w:t xml:space="preserve">important differences in secondary comparisons among the three CVCs warrants an economic evaluation to inform decisions on resource allocation. This is especially relevant if one </w:t>
      </w:r>
      <w:r>
        <w:t xml:space="preserve">type of </w:t>
      </w:r>
      <w:r w:rsidRPr="00F641C3">
        <w:t xml:space="preserve">CVC were to reduce total costs, be associated with shorter periods in PICU or </w:t>
      </w:r>
      <w:r>
        <w:t xml:space="preserve">reductions in </w:t>
      </w:r>
      <w:r w:rsidRPr="00F641C3">
        <w:t>the length of ward stays.</w:t>
      </w:r>
    </w:p>
    <w:p w:rsidR="006A57B2" w:rsidRPr="00F641C3" w:rsidRDefault="006A57B2" w:rsidP="00452F22">
      <w:pPr>
        <w:pStyle w:val="Heading2"/>
      </w:pPr>
      <w:bookmarkStart w:id="92" w:name="_Toc418857497"/>
      <w:bookmarkStart w:id="93" w:name="_Toc428195178"/>
      <w:r w:rsidRPr="00F641C3">
        <w:t>Methods</w:t>
      </w:r>
      <w:bookmarkEnd w:id="92"/>
      <w:bookmarkEnd w:id="93"/>
    </w:p>
    <w:p w:rsidR="006A57B2" w:rsidRPr="00F81F7C" w:rsidRDefault="006A57B2" w:rsidP="00B22173">
      <w:pPr>
        <w:spacing w:line="360" w:lineRule="auto"/>
      </w:pPr>
      <w:r w:rsidRPr="00F81F7C">
        <w:t>Although cost-utility analyses, based on the quality-adjusted life-year (QALY) are more appropriate for informing decisions concerning allocati</w:t>
      </w:r>
      <w:r w:rsidRPr="00AB54A0">
        <w:t xml:space="preserve">ve efficiency, there are practical and methodological challenges in estimating utility values in children, especially for very young children in the PICU setting. These include difficulty in responding </w:t>
      </w:r>
      <w:r w:rsidRPr="00FF11BF">
        <w:t>to</w:t>
      </w:r>
      <w:r>
        <w:t xml:space="preserve"> </w:t>
      </w:r>
      <w:r w:rsidRPr="00AB54A0">
        <w:t>or understanding questions on health-related quality o</w:t>
      </w:r>
      <w:r w:rsidRPr="00F81F7C">
        <w:t>f life – whether for reasons of age, illness or consciousness; limitations of using proxy utilities, low event rate in the primary endpoint and the inclusion of a wide range of clinical conditions.</w:t>
      </w:r>
      <w:r w:rsidRPr="00AB54A0">
        <w:t xml:space="preserve"> A cost-effectiveness analysis was therefore performed, whi</w:t>
      </w:r>
      <w:r w:rsidRPr="00F81F7C">
        <w:t>ch allowed for an assessment of technical efficiency (i.e. determination of the most efficient CVC for reducing the incidence of BSI).</w:t>
      </w:r>
      <w:r>
        <w:t xml:space="preserve"> The study methods were consistent with other economic evaluations of CVCs.</w:t>
      </w:r>
      <w:r w:rsidRPr="00607F48">
        <w:rPr>
          <w:noProof/>
          <w:vertAlign w:val="superscript"/>
        </w:rPr>
        <w:t>63</w:t>
      </w:r>
    </w:p>
    <w:p w:rsidR="006A57B2" w:rsidRPr="00F641C3" w:rsidRDefault="006A57B2" w:rsidP="00452F22">
      <w:pPr>
        <w:pStyle w:val="Heading4"/>
      </w:pPr>
      <w:r w:rsidRPr="00F641C3">
        <w:t>Resource use</w:t>
      </w:r>
    </w:p>
    <w:p w:rsidR="006A57B2" w:rsidRPr="00F641C3" w:rsidRDefault="006A57B2" w:rsidP="00B22173">
      <w:pPr>
        <w:spacing w:line="360" w:lineRule="auto"/>
      </w:pPr>
      <w:r w:rsidRPr="00F641C3">
        <w:t>The perspective of the analysis was that of the NHS in England, with the expectation that the main cost driver of inpatient hospital care would represent the greatest proportion of direct medical costs. The principal cost components were PICU, High Dependency Unit (HDU) and ward stays (including readmissions), outpatient clinic visits, Accident and Emergency (A&amp;E) admissions and the costs of the CVCs. The time horizon of the base-case analysis was selected to include the costs associated with managing bloodstream infections and any sequelae within the 6-month period from randomisation</w:t>
      </w:r>
      <w:r>
        <w:t xml:space="preserve">. </w:t>
      </w:r>
      <w:r w:rsidRPr="00FF11BF">
        <w:t xml:space="preserve">Shorter time horizons were examined </w:t>
      </w:r>
      <w:r w:rsidRPr="00F641C3">
        <w:t>in sensitivity analyses.</w:t>
      </w:r>
    </w:p>
    <w:p w:rsidR="006A57B2" w:rsidRPr="00F641C3" w:rsidRDefault="006A57B2" w:rsidP="00B22173">
      <w:pPr>
        <w:spacing w:line="360" w:lineRule="auto"/>
      </w:pPr>
      <w:r w:rsidRPr="00F641C3">
        <w:t>The measurement of resource use required complementary approaches using data collected as part of the trial and as part of routine care. Patients’ use of hospital services were obtained from</w:t>
      </w:r>
      <w:r>
        <w:t xml:space="preserve"> the following (see also Figure 4)</w:t>
      </w:r>
      <w:r w:rsidRPr="00F641C3">
        <w:t>:</w:t>
      </w:r>
    </w:p>
    <w:p w:rsidR="006A57B2" w:rsidRPr="00F641C3" w:rsidRDefault="006A57B2" w:rsidP="00B22173">
      <w:pPr>
        <w:spacing w:line="360" w:lineRule="auto"/>
      </w:pPr>
      <w:r w:rsidRPr="00F641C3">
        <w:t>(i)</w:t>
      </w:r>
      <w:r w:rsidRPr="00F641C3">
        <w:tab/>
        <w:t>The trial case report forms (CRF</w:t>
      </w:r>
      <w:r>
        <w:t>s</w:t>
      </w:r>
      <w:r w:rsidRPr="00F641C3">
        <w:t xml:space="preserve">). Research nurses completed the relevant sections of the CRF to record the dates during which patients were in neonatal or paediatric intensive care units, high dependency units and paediatric wards within the hospitals participating in the CATCH trial. </w:t>
      </w:r>
      <w:r>
        <w:t xml:space="preserve">Data recorded in </w:t>
      </w:r>
      <w:r w:rsidRPr="00F641C3">
        <w:t xml:space="preserve">CRFs </w:t>
      </w:r>
      <w:r>
        <w:t>were used for</w:t>
      </w:r>
      <w:r w:rsidRPr="00F641C3">
        <w:t xml:space="preserve"> the dates of hospital discharge, transfer to another hospital and date of CVC removal. </w:t>
      </w:r>
    </w:p>
    <w:p w:rsidR="006A57B2" w:rsidRPr="00F641C3" w:rsidRDefault="006A57B2" w:rsidP="00B22173">
      <w:pPr>
        <w:spacing w:line="360" w:lineRule="auto"/>
      </w:pPr>
      <w:r w:rsidRPr="00F641C3">
        <w:t>(ii)</w:t>
      </w:r>
      <w:r w:rsidRPr="00F641C3">
        <w:tab/>
        <w:t>Hospital Episode Statistics (HES) data from the Health and Social Care Information Centre (HSCIC)</w:t>
      </w:r>
      <w:r>
        <w:t>.</w:t>
      </w:r>
      <w:r w:rsidRPr="00607F48">
        <w:rPr>
          <w:noProof/>
          <w:vertAlign w:val="superscript"/>
        </w:rPr>
        <w:t>69</w:t>
      </w:r>
      <w:r>
        <w:t xml:space="preserve"> </w:t>
      </w:r>
      <w:r w:rsidRPr="00F641C3">
        <w:t>HES data contain details of all admissions to NHS hospitals in England and provide Healthcare Resource Groups (HRGs) on the type of care patients receive at a ward-level, outpatient visits and A&amp;E admissions, but do not provide details on ICU and HDU stays.</w:t>
      </w:r>
      <w:r>
        <w:t xml:space="preserve"> HES data were used for estimating HRGs for </w:t>
      </w:r>
      <w:r w:rsidRPr="00173E94">
        <w:t>ward</w:t>
      </w:r>
      <w:r>
        <w:t xml:space="preserve"> stays</w:t>
      </w:r>
      <w:r w:rsidRPr="00173E94">
        <w:t>, outpatient and A&amp;E</w:t>
      </w:r>
      <w:r>
        <w:t xml:space="preserve"> attendances.</w:t>
      </w:r>
    </w:p>
    <w:p w:rsidR="006A57B2" w:rsidRPr="00F641C3" w:rsidRDefault="006A57B2" w:rsidP="00B22173">
      <w:pPr>
        <w:spacing w:line="360" w:lineRule="auto"/>
      </w:pPr>
      <w:r w:rsidRPr="00F641C3">
        <w:t>(iii)</w:t>
      </w:r>
      <w:r w:rsidRPr="00F641C3">
        <w:tab/>
        <w:t xml:space="preserve">The Paediatric Intensive Care Audit Network (PICANet) dataset </w:t>
      </w:r>
      <w:r w:rsidRPr="00607F48">
        <w:rPr>
          <w:noProof/>
          <w:vertAlign w:val="superscript"/>
        </w:rPr>
        <w:t>56</w:t>
      </w:r>
      <w:r w:rsidRPr="00F641C3">
        <w:t xml:space="preserve"> records all ICU length of stays for paediatric patients in the UK</w:t>
      </w:r>
      <w:r>
        <w:t xml:space="preserve"> and</w:t>
      </w:r>
      <w:r w:rsidRPr="00F641C3">
        <w:t xml:space="preserve"> allows for the tracking </w:t>
      </w:r>
      <w:r w:rsidRPr="003E3B32">
        <w:t>over time of patients who have been transferred between different hospital ICUs.</w:t>
      </w:r>
      <w:r>
        <w:t xml:space="preserve"> PICANet was used for</w:t>
      </w:r>
      <w:r w:rsidRPr="003E3B32">
        <w:t xml:space="preserve"> the National Schedule Reference Cost HRGs for </w:t>
      </w:r>
      <w:r w:rsidRPr="00F641C3">
        <w:t>HDU and ICU stays</w:t>
      </w:r>
      <w:r>
        <w:t xml:space="preserve"> </w:t>
      </w:r>
      <w:r w:rsidRPr="00607F48">
        <w:rPr>
          <w:noProof/>
          <w:vertAlign w:val="superscript"/>
        </w:rPr>
        <w:t>70</w:t>
      </w:r>
      <w:r>
        <w:t>, and for checking hospital admission, transfer and discharge dates</w:t>
      </w:r>
      <w:r w:rsidRPr="00F641C3">
        <w:t>.</w:t>
      </w:r>
      <w:r w:rsidRPr="005417B3">
        <w:rPr>
          <w:noProof/>
          <w:vertAlign w:val="superscript"/>
        </w:rPr>
        <w:t>70</w:t>
      </w:r>
      <w:r>
        <w:t xml:space="preserve"> </w:t>
      </w:r>
    </w:p>
    <w:p w:rsidR="006A57B2" w:rsidRPr="00F641C3" w:rsidRDefault="006A57B2" w:rsidP="00B22173">
      <w:pPr>
        <w:spacing w:line="360" w:lineRule="auto"/>
      </w:pPr>
      <w:r w:rsidRPr="00F641C3">
        <w:t>(iv)</w:t>
      </w:r>
      <w:r w:rsidRPr="00F641C3">
        <w:tab/>
        <w:t>Hospital Patient Administration Systems (PAS) of CATCH-participating hospitals were accessed for patients’ lengths of stay in ICUs and wards, and for relevant HRGs.</w:t>
      </w:r>
      <w:r>
        <w:t xml:space="preserve"> These were used to supplement data that were missing from other sources. </w:t>
      </w:r>
    </w:p>
    <w:p w:rsidR="006A57B2" w:rsidRPr="00452F22" w:rsidRDefault="006A57B2" w:rsidP="00452F22">
      <w:pPr>
        <w:pStyle w:val="Heading4"/>
      </w:pPr>
      <w:r w:rsidRPr="00452F22">
        <w:t>Unit costs</w:t>
      </w:r>
    </w:p>
    <w:p w:rsidR="006A57B2" w:rsidRPr="00F641C3" w:rsidRDefault="006A57B2" w:rsidP="00B22173">
      <w:pPr>
        <w:spacing w:line="360" w:lineRule="auto"/>
      </w:pPr>
      <w:r w:rsidRPr="00F641C3">
        <w:t xml:space="preserve">HRGs were chosen as the </w:t>
      </w:r>
      <w:r w:rsidRPr="00DB4256">
        <w:t>main currency of the economic analysis as these most closely reflect payments relating to patient stays. Cost codes based on the 2012-13 National Tariff were applied to w</w:t>
      </w:r>
      <w:r>
        <w:t>ard, outpatient and A&amp;E codes.</w:t>
      </w:r>
      <w:r w:rsidRPr="00607F48">
        <w:rPr>
          <w:noProof/>
          <w:vertAlign w:val="superscript"/>
        </w:rPr>
        <w:t>71</w:t>
      </w:r>
      <w:r>
        <w:t xml:space="preserve"> T</w:t>
      </w:r>
      <w:r w:rsidRPr="00DB4256">
        <w:t xml:space="preserve">hese </w:t>
      </w:r>
      <w:r>
        <w:t>are</w:t>
      </w:r>
      <w:r w:rsidRPr="00DB4256">
        <w:t xml:space="preserve"> bundled care packages, </w:t>
      </w:r>
      <w:r>
        <w:t xml:space="preserve">that is, they are </w:t>
      </w:r>
      <w:r w:rsidRPr="00DB4256">
        <w:t xml:space="preserve">reimbursed at a national level according to the NHS Payment by Results Scheme </w:t>
      </w:r>
      <w:r w:rsidRPr="003130A9">
        <w:t xml:space="preserve">(see </w:t>
      </w:r>
      <w:r>
        <w:t>Appendix 2</w:t>
      </w:r>
      <w:r w:rsidRPr="003130A9">
        <w:t xml:space="preserve">.1). The 2012-13 National Schedule of Reference Costs </w:t>
      </w:r>
      <w:r w:rsidRPr="00411690">
        <w:rPr>
          <w:noProof/>
        </w:rPr>
        <w:t xml:space="preserve">were </w:t>
      </w:r>
      <w:r w:rsidRPr="00857473">
        <w:t>applied to PICU, Neonatal</w:t>
      </w:r>
      <w:r w:rsidRPr="00DB4256">
        <w:t xml:space="preserve"> Intensive</w:t>
      </w:r>
      <w:r>
        <w:t xml:space="preserve"> Care Unit (NICU) and HDU codes.</w:t>
      </w:r>
      <w:r w:rsidRPr="00607F48">
        <w:rPr>
          <w:noProof/>
          <w:vertAlign w:val="superscript"/>
        </w:rPr>
        <w:t>70</w:t>
      </w:r>
      <w:r>
        <w:t xml:space="preserve"> T</w:t>
      </w:r>
      <w:r w:rsidRPr="00DB4256">
        <w:t xml:space="preserve">hese </w:t>
      </w:r>
      <w:r>
        <w:t>are unbundled care packages as they are</w:t>
      </w:r>
      <w:r w:rsidRPr="00DB4256">
        <w:t xml:space="preserve"> locally-reimbursed services (Table 1</w:t>
      </w:r>
      <w:r>
        <w:t>2</w:t>
      </w:r>
      <w:r w:rsidRPr="00DB4256">
        <w:t>).</w:t>
      </w:r>
      <w:r>
        <w:t xml:space="preserve"> </w:t>
      </w:r>
      <w:r w:rsidRPr="00DB4256">
        <w:t>Obsolete National Tariff and Schedule codes and hospital bed day rates used between 2010-</w:t>
      </w:r>
      <w:r>
        <w:t>20</w:t>
      </w:r>
      <w:r w:rsidRPr="00DB4256">
        <w:t>12 were inflated using the Consumer Price Index (4.3% for</w:t>
      </w:r>
      <w:r w:rsidRPr="00F641C3">
        <w:t xml:space="preserve"> 2010-11 and 2.7% for 2011-12). The preferred Hospital Price Index was only available for 2010-11, but is similar to the Consumer Price Index, at 4.1%. The list prices of CVC devices were </w:t>
      </w:r>
      <w:r>
        <w:t>obtained</w:t>
      </w:r>
      <w:r w:rsidRPr="00F641C3">
        <w:t xml:space="preserve"> from the supplier (Cook Medical, Bloomington, IN, USA).</w:t>
      </w:r>
    </w:p>
    <w:p w:rsidR="006A57B2" w:rsidRPr="00452F22" w:rsidRDefault="006A57B2" w:rsidP="00452F22">
      <w:pPr>
        <w:pStyle w:val="Heading4"/>
      </w:pPr>
      <w:r w:rsidRPr="00F641C3">
        <w:t>Cost analysis</w:t>
      </w:r>
    </w:p>
    <w:p w:rsidR="006A57B2" w:rsidRPr="00AB54A0" w:rsidRDefault="006A57B2" w:rsidP="00B22173">
      <w:pPr>
        <w:spacing w:line="360" w:lineRule="auto"/>
      </w:pPr>
      <w:r w:rsidRPr="00F81F7C">
        <w:t>Bundled National Tariff costs were based on the hospital spell and incor</w:t>
      </w:r>
      <w:r w:rsidRPr="00AB54A0">
        <w:t>porated excess ward days, market forces factor, and whether the case was elective or emergency.</w:t>
      </w:r>
      <w:r w:rsidRPr="00F81F7C">
        <w:t xml:space="preserve"> Tariff codes were obtained primarily from HES </w:t>
      </w:r>
      <w:r w:rsidRPr="007C2169">
        <w:t xml:space="preserve">data (see </w:t>
      </w:r>
      <w:r>
        <w:t>Appendix 2</w:t>
      </w:r>
      <w:r w:rsidRPr="007C2169">
        <w:t xml:space="preserve">) but where unavailable, PAS data. If bundled HRGs were missing from both of these sources, </w:t>
      </w:r>
      <w:r w:rsidRPr="0011407A">
        <w:t>ward costs</w:t>
      </w:r>
      <w:r w:rsidRPr="00AB54A0">
        <w:t xml:space="preserve"> were assigned from the ward bed-day rate supplied by hospital finance departments (Table 13). Similarly, bed-day rates were applied to </w:t>
      </w:r>
      <w:r w:rsidRPr="00F81F7C">
        <w:t>days of stay with unassignable National Tariff HRG codes (such as UZ01C and WA14Z) appearing in the HES and PAS data. These bed-day rates were needed in &lt;1% of admissions.</w:t>
      </w:r>
    </w:p>
    <w:p w:rsidR="006A57B2" w:rsidRPr="00F81F7C" w:rsidRDefault="006A57B2" w:rsidP="00B22173">
      <w:pPr>
        <w:spacing w:line="360" w:lineRule="auto"/>
      </w:pPr>
      <w:r w:rsidRPr="00AB54A0">
        <w:t>Unbundled</w:t>
      </w:r>
      <w:r w:rsidRPr="00F81F7C">
        <w:t xml:space="preserve">, locally reimbursed costs were calculated from the National Schedule </w:t>
      </w:r>
      <w:r w:rsidRPr="00AB54A0">
        <w:t>‘per day’ codes taken from PICANet (Table 12) or assigned as XA01C in the cases where Neonat</w:t>
      </w:r>
      <w:r w:rsidRPr="00F81F7C">
        <w:t>al Critical Care was indicated in CRF data. In the 10% of cases where unbundled codes were missing, CRF data were consulted to determine whether the patient stay was in PICU or HDU. In addition, PICANet database entries (such as patient note summaries) were examined for any evidence for advanced and /or enhanced care. In the absence of any higher cost code indicators, a basic HDU code (XB07Z) or a basic ICU code (XB05Z) was applied from the National Schedule of Reference Costs</w:t>
      </w:r>
      <w:r>
        <w:t>.</w:t>
      </w:r>
      <w:r w:rsidRPr="00607F48">
        <w:rPr>
          <w:noProof/>
          <w:vertAlign w:val="superscript"/>
        </w:rPr>
        <w:t>70</w:t>
      </w:r>
    </w:p>
    <w:p w:rsidR="006A57B2" w:rsidRPr="00F81F7C" w:rsidRDefault="006A57B2" w:rsidP="00B22173">
      <w:pPr>
        <w:spacing w:line="360" w:lineRule="auto"/>
      </w:pPr>
      <w:r w:rsidRPr="00F81F7C">
        <w:t xml:space="preserve">Baseline costs, relating to the </w:t>
      </w:r>
      <w:r>
        <w:t>6 months</w:t>
      </w:r>
      <w:r w:rsidRPr="00F81F7C">
        <w:t xml:space="preserve"> preceding randomisation, were calculated from HES and PICANet data on ward, PICU and HDU costs.</w:t>
      </w:r>
    </w:p>
    <w:p w:rsidR="006A57B2" w:rsidRPr="00F81F7C" w:rsidRDefault="006A57B2" w:rsidP="00B22173">
      <w:pPr>
        <w:spacing w:line="360" w:lineRule="auto"/>
      </w:pPr>
      <w:r w:rsidRPr="00F81F7C">
        <w:t>For the 6 months subsequent to randomisation, an adjustment was necessary to apportion costs given that ward, PICU and HDU costs relate to episodes of care which could start prior to randomisation. Patients admitted to hospital n days before randomisation and spending N days in hospital after randomisation had their total costs calculated as:</w:t>
      </w:r>
    </w:p>
    <w:p w:rsidR="006A57B2" w:rsidRPr="00F81F7C" w:rsidRDefault="006A57B2" w:rsidP="009A30C2">
      <w:pPr>
        <w:spacing w:line="360" w:lineRule="auto"/>
        <w:ind w:firstLine="720"/>
        <w:jc w:val="center"/>
      </w:pPr>
      <w:r w:rsidRPr="00F81F7C">
        <w:t>Total cost = (N/n+N) x (ward cost + PICU cost + HDU cost)</w:t>
      </w:r>
    </w:p>
    <w:p w:rsidR="006A57B2" w:rsidRPr="00F81F7C" w:rsidRDefault="006A57B2" w:rsidP="009A30C2">
      <w:pPr>
        <w:spacing w:line="360" w:lineRule="auto"/>
        <w:ind w:left="720" w:firstLine="720"/>
        <w:jc w:val="center"/>
      </w:pPr>
      <w:r w:rsidRPr="00F81F7C">
        <w:t>+ (outpatient costs + A&amp;E costs + CVC costs)</w:t>
      </w:r>
    </w:p>
    <w:p w:rsidR="006A57B2" w:rsidRPr="00AB54A0" w:rsidRDefault="006A57B2" w:rsidP="00B22173">
      <w:pPr>
        <w:spacing w:line="360" w:lineRule="auto"/>
      </w:pPr>
      <w:r w:rsidRPr="00F81F7C">
        <w:t xml:space="preserve">Patients’ use of healthcare resources and total costs were calculated for the intention to treat population, with summary statistics generated by intervention group. </w:t>
      </w:r>
    </w:p>
    <w:p w:rsidR="006A57B2" w:rsidRPr="00F641C3" w:rsidRDefault="006A57B2" w:rsidP="00452F22">
      <w:pPr>
        <w:pStyle w:val="Heading4"/>
      </w:pPr>
      <w:r w:rsidRPr="00F641C3">
        <w:t xml:space="preserve">Outcomes </w:t>
      </w:r>
    </w:p>
    <w:p w:rsidR="006A57B2" w:rsidRPr="00F641C3" w:rsidRDefault="006A57B2" w:rsidP="00B22173">
      <w:pPr>
        <w:spacing w:line="360" w:lineRule="auto"/>
      </w:pPr>
      <w:r w:rsidRPr="00F641C3">
        <w:t>The clinical outcome for the cost-effectiveness analysis was the presence of a first bloodstream infection defined by a positive blood culture from a sample that was clinically indicated and taken more than 48 hours after CVC insertion and up to 48 hours after CVC removal.</w:t>
      </w:r>
      <w:r>
        <w:t xml:space="preserve"> </w:t>
      </w:r>
      <w:r w:rsidRPr="00F641C3">
        <w:t>The likelihood of a bloodstream infection was estimated using a logistic regression analysis with intervention group as the explanatory variable.</w:t>
      </w:r>
    </w:p>
    <w:p w:rsidR="006A57B2" w:rsidRPr="00F641C3" w:rsidRDefault="006A57B2" w:rsidP="00452F22">
      <w:pPr>
        <w:pStyle w:val="Heading4"/>
      </w:pPr>
      <w:r w:rsidRPr="00F641C3">
        <w:t>Incremental analysis</w:t>
      </w:r>
    </w:p>
    <w:p w:rsidR="006A57B2" w:rsidRPr="00F641C3" w:rsidRDefault="006A57B2" w:rsidP="00B22173">
      <w:pPr>
        <w:spacing w:line="360" w:lineRule="auto"/>
      </w:pPr>
      <w:r w:rsidRPr="00F641C3">
        <w:t xml:space="preserve">The cost-effectiveness of each CVC was evaluated by: i) ranking CVCs according to decreasing effectiveness, ii) eliminating dominated interventions (those which are less effective or ineffective) or any extendedly dominated interventions. The incremental </w:t>
      </w:r>
      <w:r>
        <w:t>cost-effectiveness</w:t>
      </w:r>
      <w:r w:rsidRPr="00F641C3">
        <w:t xml:space="preserve"> ratio (ICER) for remaining CVCs was consequently calculated according to:</w:t>
      </w:r>
    </w:p>
    <w:p w:rsidR="006A57B2" w:rsidRPr="00F641C3" w:rsidRDefault="006A57B2" w:rsidP="00B22173">
      <w:pPr>
        <w:spacing w:line="360" w:lineRule="auto"/>
      </w:pPr>
      <w:r w:rsidRPr="00F641C3">
        <w:t>Incremental cost-effectiveness ratio (ICER) = ΔCosts / ΔBSI</w:t>
      </w:r>
    </w:p>
    <w:p w:rsidR="006A57B2" w:rsidRPr="00F641C3" w:rsidRDefault="006A57B2" w:rsidP="00B22173">
      <w:pPr>
        <w:spacing w:line="360" w:lineRule="auto"/>
      </w:pPr>
      <w:r w:rsidRPr="00F641C3">
        <w:t xml:space="preserve">Where, ΔCosts is the difference in </w:t>
      </w:r>
      <w:r>
        <w:t xml:space="preserve">the means of </w:t>
      </w:r>
      <w:r w:rsidRPr="00F641C3">
        <w:t xml:space="preserve">total costs between interventions; and ΔBSI is the difference in proportion of </w:t>
      </w:r>
      <w:r>
        <w:t>bloodstream infections between intervention</w:t>
      </w:r>
      <w:r w:rsidRPr="00F641C3">
        <w:t>s.</w:t>
      </w:r>
    </w:p>
    <w:p w:rsidR="006A57B2" w:rsidRPr="00F641C3" w:rsidRDefault="006A57B2" w:rsidP="00452F22">
      <w:pPr>
        <w:pStyle w:val="Heading4"/>
      </w:pPr>
      <w:r w:rsidRPr="00F641C3">
        <w:t>Uncertainty analysis</w:t>
      </w:r>
    </w:p>
    <w:p w:rsidR="006A57B2" w:rsidRDefault="006A57B2" w:rsidP="00B22173">
      <w:pPr>
        <w:spacing w:line="360" w:lineRule="auto"/>
      </w:pPr>
      <w:r>
        <w:t xml:space="preserve">Nonparametric bootstrapping (10,000 replicates) was used to calculate bias-adjusted 95% central ranges for differences in costs and BSI, and their joint distributions. Uncertainty was </w:t>
      </w:r>
      <w:r w:rsidRPr="00F81F7C">
        <w:t>represented using a cost-effectiveness acceptability curve (CEAC) which presented the probability of CVCs being cost effective for given ceiling thresholds of costs per BSI averted.</w:t>
      </w:r>
      <w:r w:rsidRPr="00607F48">
        <w:rPr>
          <w:noProof/>
          <w:vertAlign w:val="superscript"/>
        </w:rPr>
        <w:t>72</w:t>
      </w:r>
    </w:p>
    <w:p w:rsidR="006A57B2" w:rsidRPr="00F81F7C" w:rsidRDefault="006A57B2" w:rsidP="00B22173">
      <w:pPr>
        <w:spacing w:line="360" w:lineRule="auto"/>
      </w:pPr>
      <w:r>
        <w:t>Uncertainty in</w:t>
      </w:r>
      <w:r w:rsidRPr="00F81F7C">
        <w:t xml:space="preserve"> </w:t>
      </w:r>
      <w:r>
        <w:t>total</w:t>
      </w:r>
      <w:r w:rsidRPr="00F81F7C">
        <w:t xml:space="preserve"> costs w</w:t>
      </w:r>
      <w:r>
        <w:t>as</w:t>
      </w:r>
      <w:r w:rsidRPr="00F81F7C">
        <w:t xml:space="preserve"> </w:t>
      </w:r>
      <w:r>
        <w:t xml:space="preserve">further explored </w:t>
      </w:r>
      <w:r w:rsidRPr="00F81F7C">
        <w:t>by adjusting for the contribution of independent baseline factors on overall variability.</w:t>
      </w:r>
      <w:r w:rsidRPr="00607F48">
        <w:rPr>
          <w:noProof/>
          <w:vertAlign w:val="superscript"/>
        </w:rPr>
        <w:t>73</w:t>
      </w:r>
    </w:p>
    <w:p w:rsidR="006A57B2" w:rsidRPr="00F81F7C" w:rsidRDefault="006A57B2" w:rsidP="00B22173">
      <w:pPr>
        <w:spacing w:line="360" w:lineRule="auto"/>
      </w:pPr>
      <w:r w:rsidRPr="00F81F7C">
        <w:t>The following pre-defined explanatory variab</w:t>
      </w:r>
      <w:r>
        <w:t>les were tested for independent associations with total costs</w:t>
      </w:r>
      <w:r w:rsidRPr="00F81F7C">
        <w:t>: age group, body weight, 6-month pre-randomisation costs (all log-transformed), gender, pre-existing CVC 72 hours prior to randomisation, health status before PICU admission, reason for admission (cardiovascular, endocrine or metabolic, infection, neurological, oncology, respiratory, trauma, other), suspected infection at randomisation, immune compromised, positive blood culture within 72 hours prior to randomisation, numbers of devices in situ, intervention group, and admission type (elective or emergency).</w:t>
      </w:r>
      <w:r>
        <w:t xml:space="preserve"> </w:t>
      </w:r>
      <w:r w:rsidRPr="00F81F7C">
        <w:t xml:space="preserve">Assumptions were necessary to account for missing data with respect to some variables; patients were assumed to be healthy (n=1), not immunocompromised (n=19) and no positive blood culture (n=5). </w:t>
      </w:r>
      <w:r w:rsidRPr="00AB54A0">
        <w:t>Missing data for weight (n=2) were imputed with the mean (11.95 kg). Missin</w:t>
      </w:r>
      <w:r w:rsidRPr="00F81F7C">
        <w:t>g reason for admission (n=20) were cross-checked against PICANe</w:t>
      </w:r>
      <w:r>
        <w:t>t</w:t>
      </w:r>
      <w:r w:rsidRPr="00F81F7C">
        <w:t xml:space="preserve">, PAS and available HES data. All were correctly assigned as cardiovascular patients. </w:t>
      </w:r>
    </w:p>
    <w:p w:rsidR="006A57B2" w:rsidRPr="00F81F7C" w:rsidRDefault="006A57B2" w:rsidP="00674437">
      <w:pPr>
        <w:spacing w:line="360" w:lineRule="auto"/>
      </w:pPr>
      <w:r w:rsidRPr="00F81F7C">
        <w:t xml:space="preserve">Independent variables were tested </w:t>
      </w:r>
      <w:r>
        <w:t xml:space="preserve">in </w:t>
      </w:r>
      <w:r w:rsidRPr="00F81F7C">
        <w:t>univariate</w:t>
      </w:r>
      <w:r>
        <w:t xml:space="preserve"> analyses</w:t>
      </w:r>
      <w:r w:rsidRPr="00F81F7C">
        <w:t xml:space="preserve"> for their association with total costs with risk factors that were significant at the 5% level selected for the multivariable regression using a stepwise approach. </w:t>
      </w:r>
      <w:r>
        <w:t xml:space="preserve">Given the non-normality of cost data, generalised linear models (GLMs) were specified using a range of families and links. Assessment of goodness of fit using Akaike Information Criterion (AIC) and the Modified Park’s test was inconclusive; but the best fitting link function, determined from the Pearson Correlation, Pregibon Link and the Modified Hosmer and Lemeshow tests, was the identity link. While the underlying true distributions of costs are not normal, the analysis depends only on sample means and variances. Based on the comparatively large sample size the Central Limit Theorem was assumed to guarantee near-normality of sample means, and </w:t>
      </w:r>
      <w:r w:rsidRPr="00F81F7C">
        <w:t xml:space="preserve">an OLS regression was </w:t>
      </w:r>
      <w:r>
        <w:t>considered</w:t>
      </w:r>
      <w:r w:rsidRPr="00F81F7C">
        <w:t xml:space="preserve"> appropriate </w:t>
      </w:r>
      <w:r w:rsidRPr="00607F48">
        <w:rPr>
          <w:noProof/>
          <w:vertAlign w:val="superscript"/>
        </w:rPr>
        <w:t>73</w:t>
      </w:r>
      <w:r w:rsidRPr="00F81F7C">
        <w:t xml:space="preserve">. </w:t>
      </w:r>
    </w:p>
    <w:p w:rsidR="006A57B2" w:rsidRPr="00F81F7C" w:rsidRDefault="006A57B2" w:rsidP="00B22173">
      <w:pPr>
        <w:spacing w:line="360" w:lineRule="auto"/>
      </w:pPr>
      <w:r w:rsidRPr="00F81F7C">
        <w:t>Bias-corrected confidence intervals for costs and BSI were estimated from bootstrapped data generated using the recycled predictions method.</w:t>
      </w:r>
      <w:r w:rsidRPr="00607F48">
        <w:rPr>
          <w:noProof/>
          <w:vertAlign w:val="superscript"/>
        </w:rPr>
        <w:t>74</w:t>
      </w:r>
      <w:r w:rsidRPr="00F81F7C">
        <w:t xml:space="preserve"> </w:t>
      </w:r>
    </w:p>
    <w:p w:rsidR="006A57B2" w:rsidRPr="00F641C3" w:rsidRDefault="006A57B2" w:rsidP="00B22173">
      <w:pPr>
        <w:spacing w:line="360" w:lineRule="auto"/>
        <w:rPr>
          <w:rFonts w:asciiTheme="majorHAnsi" w:hAnsiTheme="majorHAnsi"/>
          <w:b/>
          <w:color w:val="5B9BD5" w:themeColor="accent1"/>
          <w:sz w:val="26"/>
          <w:szCs w:val="26"/>
        </w:rPr>
      </w:pPr>
      <w:r w:rsidRPr="00F641C3">
        <w:rPr>
          <w:rFonts w:asciiTheme="majorHAnsi" w:hAnsiTheme="majorHAnsi"/>
          <w:b/>
          <w:color w:val="5B9BD5" w:themeColor="accent1"/>
          <w:sz w:val="26"/>
          <w:szCs w:val="26"/>
        </w:rPr>
        <w:t>Sensitivity analysis</w:t>
      </w:r>
    </w:p>
    <w:p w:rsidR="006A57B2" w:rsidRPr="00F641C3" w:rsidRDefault="006A57B2" w:rsidP="007314B7">
      <w:pPr>
        <w:spacing w:line="360" w:lineRule="auto"/>
      </w:pPr>
      <w:r>
        <w:t xml:space="preserve">The pre-specified time horizon for the base-case analysis, of 6 months, was selected to capture longer term costs </w:t>
      </w:r>
      <w:r w:rsidRPr="00FF11BF">
        <w:t>resulting from potential complications of</w:t>
      </w:r>
      <w:r>
        <w:t xml:space="preserve"> BSI but was somewhat arbitrary.. </w:t>
      </w:r>
      <w:r w:rsidRPr="00F641C3">
        <w:t xml:space="preserve">The sensitivity of total costs and the ICERs to the time horizon of analysis was </w:t>
      </w:r>
      <w:r>
        <w:t xml:space="preserve">therefore </w:t>
      </w:r>
      <w:r w:rsidRPr="00F641C3">
        <w:t>considered by limiting costs to those incurred during the index hospitalisation</w:t>
      </w:r>
      <w:r>
        <w:t xml:space="preserve"> (that is, excluding any subsequent re-admissions that may have occurred during the 6-months)</w:t>
      </w:r>
      <w:r w:rsidRPr="00F641C3">
        <w:t xml:space="preserve">, and by analysing their relationship with time, from 1 month (when all BSI had occurred) to 6 months. </w:t>
      </w:r>
    </w:p>
    <w:p w:rsidR="006A57B2" w:rsidRPr="00F641C3" w:rsidRDefault="006A57B2" w:rsidP="00452F22">
      <w:pPr>
        <w:pStyle w:val="Heading4"/>
      </w:pPr>
      <w:r w:rsidRPr="00F641C3">
        <w:t>Value of healthcare resources associated with BSI</w:t>
      </w:r>
    </w:p>
    <w:p w:rsidR="006A57B2" w:rsidRPr="00F641C3" w:rsidRDefault="006A57B2" w:rsidP="00B22173">
      <w:pPr>
        <w:spacing w:line="360" w:lineRule="auto"/>
      </w:pPr>
      <w:r w:rsidRPr="00F641C3">
        <w:t xml:space="preserve">In an exploratory analysis, a variable representing the presence of a BSI was included in the cost regression to estimate the value of the healthcare resources associated with managing a bloodstream infection. </w:t>
      </w:r>
      <w:r>
        <w:t xml:space="preserve">To avoid collinearity, the variable representing intervention group was omitted from this regression. </w:t>
      </w:r>
    </w:p>
    <w:p w:rsidR="006A57B2" w:rsidRDefault="006A57B2" w:rsidP="00B22173">
      <w:pPr>
        <w:spacing w:line="360" w:lineRule="auto"/>
      </w:pPr>
      <w:r w:rsidRPr="00F641C3">
        <w:t>All analyses were performed using STATA Version 10</w:t>
      </w:r>
      <w:r>
        <w:t xml:space="preserve">, and the economic evaluation reported according to the </w:t>
      </w:r>
      <w:r w:rsidRPr="00C10FC9">
        <w:t>Consolidated Health Economic Evaluation Reporting Standards (CHEERS) statement</w:t>
      </w:r>
      <w:r>
        <w:t>.</w:t>
      </w:r>
      <w:r w:rsidRPr="00607F48">
        <w:rPr>
          <w:noProof/>
          <w:vertAlign w:val="superscript"/>
        </w:rPr>
        <w:t>75</w:t>
      </w:r>
    </w:p>
    <w:p w:rsidR="006A57B2" w:rsidRPr="00F641C3" w:rsidRDefault="006A57B2" w:rsidP="00B22173">
      <w:pPr>
        <w:spacing w:line="360" w:lineRule="auto"/>
      </w:pPr>
    </w:p>
    <w:p w:rsidR="006A57B2" w:rsidRPr="00F641C3" w:rsidRDefault="006A57B2" w:rsidP="00BC3722">
      <w:pPr>
        <w:pStyle w:val="Heading2"/>
      </w:pPr>
      <w:bookmarkStart w:id="94" w:name="_Toc428195179"/>
      <w:r w:rsidRPr="00F641C3">
        <w:t>Results</w:t>
      </w:r>
      <w:bookmarkEnd w:id="94"/>
    </w:p>
    <w:p w:rsidR="006A57B2" w:rsidRPr="00F641C3" w:rsidRDefault="006A57B2" w:rsidP="00B22173">
      <w:pPr>
        <w:spacing w:line="360" w:lineRule="auto"/>
        <w:rPr>
          <w:rFonts w:asciiTheme="majorHAnsi" w:hAnsiTheme="majorHAnsi"/>
          <w:b/>
          <w:i/>
          <w:color w:val="5B9BD5" w:themeColor="accent1"/>
        </w:rPr>
      </w:pPr>
      <w:r w:rsidRPr="00F641C3">
        <w:rPr>
          <w:rFonts w:asciiTheme="majorHAnsi" w:hAnsiTheme="majorHAnsi"/>
          <w:b/>
          <w:i/>
          <w:color w:val="5B9BD5" w:themeColor="accent1"/>
        </w:rPr>
        <w:t>Resource use and total costs</w:t>
      </w:r>
    </w:p>
    <w:p w:rsidR="006A57B2" w:rsidRPr="00F641C3" w:rsidRDefault="006A57B2" w:rsidP="00B22173">
      <w:pPr>
        <w:spacing w:line="360" w:lineRule="auto"/>
      </w:pPr>
      <w:r>
        <w:t xml:space="preserve">Complete cost data were available for all patients. </w:t>
      </w:r>
      <w:r w:rsidRPr="00F641C3">
        <w:t>In the 6</w:t>
      </w:r>
      <w:r>
        <w:t xml:space="preserve"> </w:t>
      </w:r>
      <w:r w:rsidRPr="00F641C3">
        <w:t xml:space="preserve">months preceding randomisation, the total costs (length of stay) of ICU/HDU admission were £6,026 (3.19 days) for </w:t>
      </w:r>
      <w:r>
        <w:t xml:space="preserve">the </w:t>
      </w:r>
      <w:r w:rsidRPr="00F641C3">
        <w:t xml:space="preserve">standard CVC </w:t>
      </w:r>
      <w:r>
        <w:t xml:space="preserve">group, </w:t>
      </w:r>
      <w:r w:rsidRPr="00F641C3">
        <w:t>£5,188 (2.76 days) for the antibiotic CVC group</w:t>
      </w:r>
      <w:r>
        <w:t xml:space="preserve"> and</w:t>
      </w:r>
      <w:r w:rsidRPr="00F641C3">
        <w:t xml:space="preserve"> £6,616 (3.47 days) for </w:t>
      </w:r>
      <w:r>
        <w:t xml:space="preserve">the </w:t>
      </w:r>
      <w:r w:rsidRPr="00F641C3">
        <w:t xml:space="preserve">heparin CVC </w:t>
      </w:r>
      <w:r>
        <w:t xml:space="preserve">group. </w:t>
      </w:r>
      <w:r w:rsidRPr="00F641C3">
        <w:t xml:space="preserve">. Mean, total costs were £15,588, £16,933 and £16,722, respectively, and did not differ </w:t>
      </w:r>
      <w:r>
        <w:t xml:space="preserve">with respect to </w:t>
      </w:r>
      <w:r w:rsidRPr="00F641C3">
        <w:t>ICU/HDU (p=0.46) or total cost (p=0.71).</w:t>
      </w:r>
    </w:p>
    <w:p w:rsidR="006A57B2" w:rsidRPr="00F641C3" w:rsidRDefault="006A57B2" w:rsidP="00B22173">
      <w:pPr>
        <w:spacing w:line="360" w:lineRule="auto"/>
      </w:pPr>
      <w:r w:rsidRPr="00F641C3">
        <w:t>Patients randomised to antibiotic-impregnated CVC spent 10.</w:t>
      </w:r>
      <w:r>
        <w:t>8</w:t>
      </w:r>
      <w:r w:rsidRPr="00F641C3">
        <w:t xml:space="preserve"> days (95% CI</w:t>
      </w:r>
      <w:r>
        <w:t>,</w:t>
      </w:r>
      <w:r w:rsidRPr="00F641C3">
        <w:t xml:space="preserve"> 9.</w:t>
      </w:r>
      <w:r>
        <w:t xml:space="preserve">3, </w:t>
      </w:r>
      <w:r w:rsidRPr="00F641C3">
        <w:t>12.</w:t>
      </w:r>
      <w:r>
        <w:t>4</w:t>
      </w:r>
      <w:r w:rsidRPr="00F641C3">
        <w:t>) in PICU in the 6 months following randomisation, compared with 9.9 days (95% CI 8.</w:t>
      </w:r>
      <w:r>
        <w:t xml:space="preserve">6, </w:t>
      </w:r>
      <w:r w:rsidRPr="00F641C3">
        <w:t>11.</w:t>
      </w:r>
      <w:r>
        <w:t>4</w:t>
      </w:r>
      <w:r w:rsidRPr="00F641C3">
        <w:t>) for those in the heparin-bonded CVC group and 10.5 days (95% CI 9.</w:t>
      </w:r>
      <w:r>
        <w:t xml:space="preserve">2, </w:t>
      </w:r>
      <w:r w:rsidRPr="00F641C3">
        <w:t xml:space="preserve">11.9) for standard CVC (Table </w:t>
      </w:r>
      <w:r>
        <w:t>14</w:t>
      </w:r>
      <w:r w:rsidRPr="00F641C3">
        <w:t xml:space="preserve">). There were no significant differences in lengths of stay between groups, either in PICU (p=0.70), HDU (p=0.43), or ward (p=0.52). </w:t>
      </w:r>
      <w:r>
        <w:t>The t</w:t>
      </w:r>
      <w:r w:rsidRPr="00F641C3">
        <w:t xml:space="preserve">otal </w:t>
      </w:r>
      <w:r>
        <w:t xml:space="preserve">days </w:t>
      </w:r>
      <w:r w:rsidRPr="00F641C3">
        <w:t xml:space="preserve">of </w:t>
      </w:r>
      <w:r>
        <w:t xml:space="preserve">hospital </w:t>
      </w:r>
      <w:r w:rsidRPr="00F641C3">
        <w:t xml:space="preserve">stay </w:t>
      </w:r>
      <w:r>
        <w:t xml:space="preserve">in the 6 months after randomisation </w:t>
      </w:r>
      <w:r w:rsidRPr="00F641C3">
        <w:t>were 34.8 days (95% CI</w:t>
      </w:r>
      <w:r>
        <w:t xml:space="preserve"> </w:t>
      </w:r>
      <w:r w:rsidRPr="00F641C3">
        <w:t>31.</w:t>
      </w:r>
      <w:r>
        <w:t>2,</w:t>
      </w:r>
      <w:r w:rsidRPr="00F641C3">
        <w:t xml:space="preserve"> 38.</w:t>
      </w:r>
      <w:r>
        <w:t>5</w:t>
      </w:r>
      <w:r w:rsidRPr="00F641C3">
        <w:t>) for antibiotic CVC, 31.</w:t>
      </w:r>
      <w:r>
        <w:t>4</w:t>
      </w:r>
      <w:r w:rsidRPr="00F641C3">
        <w:t xml:space="preserve"> days (95%CI 28.</w:t>
      </w:r>
      <w:r>
        <w:t>2,</w:t>
      </w:r>
      <w:r w:rsidRPr="00F641C3">
        <w:t xml:space="preserve"> 34.</w:t>
      </w:r>
      <w:r>
        <w:t>7</w:t>
      </w:r>
      <w:r w:rsidRPr="00F641C3">
        <w:t>) for heparin-bonded CVC and 31.7 (95% CI 28.</w:t>
      </w:r>
      <w:r>
        <w:t>8,</w:t>
      </w:r>
      <w:r w:rsidRPr="00F641C3">
        <w:t xml:space="preserve"> 34.</w:t>
      </w:r>
      <w:r>
        <w:t>8</w:t>
      </w:r>
      <w:r w:rsidRPr="00F641C3">
        <w:t>) for the standard CVCs group.</w:t>
      </w:r>
      <w:r>
        <w:t xml:space="preserve"> The 6 most significant HRGs (of 349 in total) accounted for 50% of ward costs. These related to congenital or other cardiac surgery and lower respiratory tract disorders.</w:t>
      </w:r>
    </w:p>
    <w:p w:rsidR="006A57B2" w:rsidRPr="00F641C3" w:rsidRDefault="006A57B2" w:rsidP="00C32DB6">
      <w:pPr>
        <w:spacing w:line="360" w:lineRule="auto"/>
      </w:pPr>
      <w:r w:rsidRPr="00F641C3">
        <w:t xml:space="preserve">Total and disaggregated costs are presented in Table </w:t>
      </w:r>
      <w:r>
        <w:t>15</w:t>
      </w:r>
      <w:r w:rsidRPr="00F641C3">
        <w:t>.</w:t>
      </w:r>
      <w:r>
        <w:t xml:space="preserve"> The mean</w:t>
      </w:r>
      <w:r w:rsidRPr="00F641C3">
        <w:t xml:space="preserve"> </w:t>
      </w:r>
      <w:r>
        <w:t xml:space="preserve">6-month </w:t>
      </w:r>
      <w:r w:rsidRPr="00F641C3">
        <w:t xml:space="preserve">costs </w:t>
      </w:r>
      <w:r>
        <w:t xml:space="preserve">were </w:t>
      </w:r>
      <w:r w:rsidRPr="00F641C3">
        <w:t>£44,503 (</w:t>
      </w:r>
      <w:r>
        <w:t xml:space="preserve">median £28,952; range £1,786, £360,983; </w:t>
      </w:r>
      <w:r w:rsidRPr="00F641C3">
        <w:t>95% CI £40,</w:t>
      </w:r>
      <w:r>
        <w:t xml:space="preserve">619, </w:t>
      </w:r>
      <w:r w:rsidRPr="00F641C3">
        <w:t>£48,6</w:t>
      </w:r>
      <w:r>
        <w:t>66</w:t>
      </w:r>
      <w:r w:rsidRPr="00F641C3">
        <w:t>)</w:t>
      </w:r>
      <w:r>
        <w:t xml:space="preserve"> for standard CVCs, </w:t>
      </w:r>
      <w:r w:rsidRPr="00F641C3">
        <w:t>£45,663 (</w:t>
      </w:r>
      <w:r>
        <w:t xml:space="preserve">median £29,793; range £2,189, £442,365; </w:t>
      </w:r>
      <w:r w:rsidRPr="00F641C3">
        <w:t>95% CI £41,</w:t>
      </w:r>
      <w:r>
        <w:t>647,</w:t>
      </w:r>
      <w:r w:rsidRPr="00F641C3">
        <w:t xml:space="preserve"> £</w:t>
      </w:r>
      <w:r>
        <w:t>50,009</w:t>
      </w:r>
      <w:r w:rsidRPr="00F641C3">
        <w:t>)</w:t>
      </w:r>
      <w:r>
        <w:t xml:space="preserve"> for </w:t>
      </w:r>
      <w:r w:rsidRPr="00F641C3">
        <w:t>antibiotic-impregnated CVC</w:t>
      </w:r>
      <w:r>
        <w:t>s</w:t>
      </w:r>
      <w:r w:rsidRPr="00F641C3">
        <w:t xml:space="preserve"> </w:t>
      </w:r>
      <w:r>
        <w:t>and £</w:t>
      </w:r>
      <w:r w:rsidRPr="00F641C3">
        <w:t>42,065 (</w:t>
      </w:r>
      <w:r>
        <w:t xml:space="preserve">median £27,621; range £2,638, £382,431; </w:t>
      </w:r>
      <w:r w:rsidRPr="00F641C3">
        <w:t>95% CI £38,</w:t>
      </w:r>
      <w:r>
        <w:t>322,</w:t>
      </w:r>
      <w:r w:rsidRPr="00F641C3">
        <w:t xml:space="preserve"> £</w:t>
      </w:r>
      <w:r>
        <w:t>46,110) for heparin CVCs (Figure 5)</w:t>
      </w:r>
      <w:r w:rsidRPr="00F641C3">
        <w:t xml:space="preserve">. These </w:t>
      </w:r>
      <w:r>
        <w:t xml:space="preserve">costs </w:t>
      </w:r>
      <w:r w:rsidRPr="00F641C3">
        <w:t>were not statistically significantly different among intervention groups (p=0.46); or when disaggregated according to bundled costs (p=0.43) and unbundled costs (p=0.73).</w:t>
      </w:r>
    </w:p>
    <w:p w:rsidR="006A57B2" w:rsidRPr="00F641C3" w:rsidRDefault="006A57B2" w:rsidP="00C32DB6">
      <w:pPr>
        <w:spacing w:line="360" w:lineRule="auto"/>
        <w:rPr>
          <w:rFonts w:asciiTheme="majorHAnsi" w:hAnsiTheme="majorHAnsi"/>
          <w:b/>
          <w:i/>
          <w:color w:val="5B9BD5" w:themeColor="accent1"/>
        </w:rPr>
      </w:pPr>
      <w:r w:rsidRPr="00F641C3">
        <w:rPr>
          <w:rFonts w:asciiTheme="majorHAnsi" w:hAnsiTheme="majorHAnsi"/>
          <w:b/>
          <w:i/>
          <w:color w:val="5B9BD5" w:themeColor="accent1"/>
        </w:rPr>
        <w:t>Incremental costs</w:t>
      </w:r>
    </w:p>
    <w:p w:rsidR="006A57B2" w:rsidRPr="00F81F7C" w:rsidRDefault="006A57B2" w:rsidP="00C32DB6">
      <w:pPr>
        <w:spacing w:line="360" w:lineRule="auto"/>
      </w:pPr>
      <w:r w:rsidRPr="00F81F7C">
        <w:t xml:space="preserve">Mean, unadjusted costs over the </w:t>
      </w:r>
      <w:r>
        <w:t>6</w:t>
      </w:r>
      <w:r w:rsidRPr="00F81F7C">
        <w:t xml:space="preserve">-month timeframe were </w:t>
      </w:r>
      <w:r>
        <w:t xml:space="preserve">not significantly different by CVC, but tended to be higher (by </w:t>
      </w:r>
      <w:r w:rsidRPr="00F81F7C">
        <w:t>£1,160</w:t>
      </w:r>
      <w:r>
        <w:t>;</w:t>
      </w:r>
      <w:r w:rsidRPr="00F81F7C">
        <w:t xml:space="preserve"> 95% CI -£4,7</w:t>
      </w:r>
      <w:r>
        <w:t>43</w:t>
      </w:r>
      <w:r w:rsidRPr="00F81F7C">
        <w:t>, £</w:t>
      </w:r>
      <w:r>
        <w:t>6,962</w:t>
      </w:r>
      <w:r w:rsidRPr="00F81F7C">
        <w:t xml:space="preserve">) </w:t>
      </w:r>
      <w:r>
        <w:t xml:space="preserve">for antibiotic compared with standard CVCs, and tended to be lower (-£2,439; </w:t>
      </w:r>
      <w:r w:rsidRPr="00AB54A0">
        <w:t>95% CI -£8,1</w:t>
      </w:r>
      <w:r>
        <w:t>6</w:t>
      </w:r>
      <w:r w:rsidRPr="00AB54A0">
        <w:t xml:space="preserve">4, </w:t>
      </w:r>
      <w:r w:rsidRPr="00F81F7C">
        <w:t>£3,</w:t>
      </w:r>
      <w:r>
        <w:t>359</w:t>
      </w:r>
      <w:r w:rsidRPr="00F81F7C">
        <w:t>)</w:t>
      </w:r>
      <w:r>
        <w:t xml:space="preserve"> for heparin </w:t>
      </w:r>
      <w:r w:rsidRPr="00F81F7C">
        <w:t xml:space="preserve">compared </w:t>
      </w:r>
      <w:r>
        <w:t>with</w:t>
      </w:r>
      <w:r w:rsidRPr="00F81F7C">
        <w:t xml:space="preserve"> standard CVCs.</w:t>
      </w:r>
    </w:p>
    <w:p w:rsidR="006A57B2" w:rsidRPr="00F81F7C" w:rsidRDefault="006A57B2" w:rsidP="00B22173">
      <w:pPr>
        <w:spacing w:line="360" w:lineRule="auto"/>
      </w:pPr>
      <w:r w:rsidRPr="00F81F7C">
        <w:t>Randomisation ensured that all variables tested for the cost regression were well balanced between intervention groups.</w:t>
      </w:r>
      <w:r>
        <w:t xml:space="preserve"> Only</w:t>
      </w:r>
      <w:r w:rsidRPr="00613C31">
        <w:t xml:space="preserve"> </w:t>
      </w:r>
      <w:r>
        <w:t xml:space="preserve">a small proportion (&lt;10%) of the </w:t>
      </w:r>
      <w:r w:rsidRPr="00613C31">
        <w:t>residual variability in total cost could be explained by the significant independent predictor variables:</w:t>
      </w:r>
      <w:r>
        <w:t xml:space="preserve"> </w:t>
      </w:r>
      <w:r w:rsidRPr="00613C31">
        <w:t>natural logarithm (ln) of age (in days),</w:t>
      </w:r>
      <w:r>
        <w:t xml:space="preserve"> </w:t>
      </w:r>
      <w:r w:rsidRPr="00613C31">
        <w:t xml:space="preserve">natural logarithm of 6-month pre-randomisation costs, health status before PICU admission, reason for admission, whether </w:t>
      </w:r>
      <w:r w:rsidRPr="00AB54A0">
        <w:t>immune compromised, and admission type (elective or emergency</w:t>
      </w:r>
      <w:r w:rsidRPr="00F81F7C">
        <w:t xml:space="preserve">; Table 16). The adjusted incremental costs associated with the antibiotic and heparin CVC groups, in relation to standard CVCs, were £1,220 (95% CI -£4,332, £6,773) and -£2,399 (95% CI -£7,914, £3,120), respectively, resulting in small improvements in precision. </w:t>
      </w:r>
    </w:p>
    <w:p w:rsidR="006A57B2" w:rsidRPr="00F641C3" w:rsidRDefault="006A57B2" w:rsidP="00C32DB6">
      <w:pPr>
        <w:pStyle w:val="Heading4"/>
      </w:pPr>
      <w:r w:rsidRPr="00F641C3">
        <w:t>Value of healthcare resources associated with BSI</w:t>
      </w:r>
    </w:p>
    <w:p w:rsidR="006A57B2" w:rsidRPr="00F81F7C" w:rsidRDefault="006A57B2" w:rsidP="00B22173">
      <w:pPr>
        <w:spacing w:line="360" w:lineRule="auto"/>
      </w:pPr>
      <w:r>
        <w:t xml:space="preserve">Over 6 </w:t>
      </w:r>
      <w:r w:rsidRPr="00F81F7C">
        <w:t>months, patients who had experienced a BSI (n=42) experienced 6.5 more days (95% CI 1.4 to 11.6) in PICU than those with no BSI (n=1</w:t>
      </w:r>
      <w:r>
        <w:t>,</w:t>
      </w:r>
      <w:r w:rsidRPr="00F81F7C">
        <w:t>443), and 15.1 additional total days (95% CI 4.0 to 26.2) of hospitalisation. Unadjusted mean 6-month cost for patients with a BSI was £60,481 (n=42, 95% CI £47,873, £73,809) and without was £43,578 (n=1</w:t>
      </w:r>
      <w:r>
        <w:t>,</w:t>
      </w:r>
      <w:r w:rsidRPr="00F81F7C">
        <w:t>443, 95% CI £41,185, £45,970)</w:t>
      </w:r>
      <w:r>
        <w:t>,</w:t>
      </w:r>
      <w:r w:rsidRPr="00F81F7C">
        <w:t xml:space="preserve"> a difference of £17,263 (95% CI -£3,076, £31,450). The regression-derived adjusted difference in cost, representing the value of the resources used to manage BSI, was £10,975 (95% CI -£2,801, £24,751) (Table 1</w:t>
      </w:r>
      <w:r>
        <w:t>7</w:t>
      </w:r>
      <w:r w:rsidRPr="00F81F7C">
        <w:t xml:space="preserve">). </w:t>
      </w:r>
    </w:p>
    <w:p w:rsidR="006A57B2" w:rsidRPr="00F641C3" w:rsidRDefault="006A57B2" w:rsidP="00B22173">
      <w:pPr>
        <w:spacing w:line="360" w:lineRule="auto"/>
        <w:rPr>
          <w:rFonts w:asciiTheme="majorHAnsi" w:hAnsiTheme="majorHAnsi"/>
          <w:b/>
          <w:i/>
          <w:color w:val="5B9BD5" w:themeColor="accent1"/>
        </w:rPr>
      </w:pPr>
      <w:r w:rsidRPr="00F641C3">
        <w:rPr>
          <w:rFonts w:asciiTheme="majorHAnsi" w:hAnsiTheme="majorHAnsi"/>
          <w:b/>
          <w:i/>
          <w:color w:val="5B9BD5" w:themeColor="accent1"/>
        </w:rPr>
        <w:t>Outcomes</w:t>
      </w:r>
    </w:p>
    <w:p w:rsidR="006A57B2" w:rsidRPr="00F81F7C" w:rsidRDefault="006A57B2" w:rsidP="00B22173">
      <w:pPr>
        <w:spacing w:line="360" w:lineRule="auto"/>
      </w:pPr>
      <w:r>
        <w:t>Seven of</w:t>
      </w:r>
      <w:r w:rsidRPr="00F81F7C">
        <w:t xml:space="preserve"> 486 </w:t>
      </w:r>
      <w:r>
        <w:t xml:space="preserve">children </w:t>
      </w:r>
      <w:r w:rsidRPr="00F81F7C">
        <w:t>randomised to antibiotic CVCs expe</w:t>
      </w:r>
      <w:r>
        <w:t>rienced a BSI, compared with 17/</w:t>
      </w:r>
      <w:r w:rsidRPr="00F81F7C">
        <w:t>497 in the heparin CVC group and 18</w:t>
      </w:r>
      <w:r>
        <w:t xml:space="preserve">/502 in the standard CVC group. </w:t>
      </w:r>
      <w:r w:rsidRPr="00AB54A0">
        <w:t>A statistically significant absolute risk difference was found only for antibiotic versus standard CVCs (-2.15%; 95% CI -4.09, -0.20). Compared with standard CVC</w:t>
      </w:r>
      <w:r>
        <w:t>s</w:t>
      </w:r>
      <w:r w:rsidRPr="00AB54A0">
        <w:t>, the unadjusted odds of acquiring a BSI with an antibiotic CVC was 0.39</w:t>
      </w:r>
      <w:r w:rsidRPr="00F81F7C">
        <w:t xml:space="preserve"> (95% CI 0.16, 0.95, p=0.04) and 0.95 (95% CI 0.49, 1.87, p=0.89) for heparin CVCs. </w:t>
      </w:r>
    </w:p>
    <w:p w:rsidR="006A57B2" w:rsidRPr="00F641C3" w:rsidRDefault="006A57B2" w:rsidP="00B22173">
      <w:pPr>
        <w:spacing w:line="360" w:lineRule="auto"/>
        <w:rPr>
          <w:rFonts w:asciiTheme="majorHAnsi" w:hAnsiTheme="majorHAnsi"/>
          <w:b/>
          <w:i/>
          <w:color w:val="5B9BD5" w:themeColor="accent1"/>
        </w:rPr>
      </w:pPr>
      <w:r w:rsidRPr="00F641C3">
        <w:rPr>
          <w:rFonts w:asciiTheme="majorHAnsi" w:hAnsiTheme="majorHAnsi"/>
          <w:b/>
          <w:i/>
          <w:color w:val="5B9BD5" w:themeColor="accent1"/>
        </w:rPr>
        <w:t>Incremental and uncertainty analysis</w:t>
      </w:r>
    </w:p>
    <w:p w:rsidR="006A57B2" w:rsidRPr="000C0E86" w:rsidRDefault="006A57B2" w:rsidP="00B22173">
      <w:pPr>
        <w:spacing w:line="360" w:lineRule="auto"/>
      </w:pPr>
      <w:r w:rsidRPr="00F641C3">
        <w:t>As heparin CVCs were shown not to be clinically effective when compared to standard CVC</w:t>
      </w:r>
      <w:r>
        <w:t>s</w:t>
      </w:r>
      <w:r w:rsidRPr="002650A7">
        <w:t xml:space="preserve"> </w:t>
      </w:r>
      <w:r>
        <w:t>there is no case for an incremental analysis:</w:t>
      </w:r>
      <w:r w:rsidRPr="002650A7">
        <w:t xml:space="preserve"> a clinically ineffective intervention cannot be cost-effective</w:t>
      </w:r>
      <w:r>
        <w:t xml:space="preserve"> by the same measure of BSI.</w:t>
      </w:r>
      <w:r w:rsidRPr="00F641C3">
        <w:t xml:space="preserve"> </w:t>
      </w:r>
      <w:r>
        <w:t>T</w:t>
      </w:r>
      <w:r w:rsidRPr="00F641C3">
        <w:t xml:space="preserve">he calculation of the incremental cost-effectiveness ratio was </w:t>
      </w:r>
      <w:r>
        <w:t xml:space="preserve">therefore </w:t>
      </w:r>
      <w:r w:rsidRPr="00F641C3">
        <w:t xml:space="preserve">limited </w:t>
      </w:r>
      <w:r w:rsidRPr="00A132D0">
        <w:t xml:space="preserve">to the comparison of </w:t>
      </w:r>
      <w:r w:rsidRPr="000C0E86">
        <w:t>antibiotic and standard CVCs</w:t>
      </w:r>
      <w:r>
        <w:t xml:space="preserve"> which</w:t>
      </w:r>
      <w:r w:rsidRPr="000C0E86">
        <w:t xml:space="preserve"> result</w:t>
      </w:r>
      <w:r>
        <w:t>ed in an</w:t>
      </w:r>
      <w:r w:rsidRPr="000C0E86">
        <w:t xml:space="preserve"> ICER </w:t>
      </w:r>
      <w:r>
        <w:t xml:space="preserve">of </w:t>
      </w:r>
      <w:r w:rsidRPr="000C0E86">
        <w:t xml:space="preserve"> £54,057 per BSI averted (Table 1</w:t>
      </w:r>
      <w:r>
        <w:t>8</w:t>
      </w:r>
      <w:r w:rsidRPr="000C0E86">
        <w:t>).</w:t>
      </w:r>
    </w:p>
    <w:p w:rsidR="006A57B2" w:rsidRDefault="006A57B2" w:rsidP="00B22173">
      <w:pPr>
        <w:spacing w:line="360" w:lineRule="auto"/>
      </w:pPr>
      <w:r w:rsidRPr="000C0E86">
        <w:t xml:space="preserve">The cost-effectiveness acceptability curve yielded the probabilities of antibiotic CVCs being cost-effective at </w:t>
      </w:r>
      <w:r>
        <w:t xml:space="preserve">(arbitrary) </w:t>
      </w:r>
      <w:r w:rsidRPr="000C0E86">
        <w:t>thresholds of £10,000, £50,000 and £100,000 per BSI averted, as 0.38, 0.</w:t>
      </w:r>
      <w:r>
        <w:t>49</w:t>
      </w:r>
      <w:r w:rsidRPr="000C0E86">
        <w:t xml:space="preserve"> and 0.6</w:t>
      </w:r>
      <w:r>
        <w:t>2</w:t>
      </w:r>
      <w:r w:rsidRPr="000C0E86">
        <w:t xml:space="preserve">, respectively (Figure </w:t>
      </w:r>
      <w:r>
        <w:t>6</w:t>
      </w:r>
      <w:r w:rsidRPr="000C0E86">
        <w:t>).</w:t>
      </w:r>
      <w:r w:rsidRPr="00F641C3">
        <w:t xml:space="preserve"> </w:t>
      </w:r>
      <w:r>
        <w:t>The</w:t>
      </w:r>
      <w:r w:rsidRPr="00F641C3">
        <w:t xml:space="preserve"> probability of antibiotic CVCs dominating standard CVCs</w:t>
      </w:r>
      <w:r>
        <w:t xml:space="preserve"> was estimated as 0.35.</w:t>
      </w:r>
    </w:p>
    <w:p w:rsidR="006A57B2" w:rsidRPr="00F641C3" w:rsidRDefault="006A57B2" w:rsidP="00B22173">
      <w:pPr>
        <w:spacing w:line="360" w:lineRule="auto"/>
        <w:rPr>
          <w:rFonts w:asciiTheme="majorHAnsi" w:hAnsiTheme="majorHAnsi"/>
          <w:b/>
          <w:i/>
          <w:color w:val="5B9BD5" w:themeColor="accent1"/>
        </w:rPr>
      </w:pPr>
      <w:r w:rsidRPr="00F641C3">
        <w:rPr>
          <w:rFonts w:asciiTheme="majorHAnsi" w:hAnsiTheme="majorHAnsi"/>
          <w:b/>
          <w:i/>
          <w:color w:val="5B9BD5" w:themeColor="accent1"/>
        </w:rPr>
        <w:t>Sensitivity analysis</w:t>
      </w:r>
    </w:p>
    <w:p w:rsidR="006A57B2" w:rsidRPr="000C0E86" w:rsidRDefault="006A57B2" w:rsidP="008B693A">
      <w:pPr>
        <w:spacing w:line="360" w:lineRule="auto"/>
      </w:pPr>
      <w:r>
        <w:t>The</w:t>
      </w:r>
      <w:r w:rsidRPr="00F641C3">
        <w:t xml:space="preserve"> mean number of days in hospital </w:t>
      </w:r>
      <w:r>
        <w:t xml:space="preserve">during the index hospitalisation </w:t>
      </w:r>
      <w:r w:rsidRPr="00F641C3">
        <w:t xml:space="preserve">was </w:t>
      </w:r>
      <w:r>
        <w:t xml:space="preserve">substantially shorter </w:t>
      </w:r>
      <w:r w:rsidRPr="00FF11BF">
        <w:t>(</w:t>
      </w:r>
      <w:r>
        <w:t xml:space="preserve">e.g. </w:t>
      </w:r>
      <w:r w:rsidRPr="00FF11BF">
        <w:t>22.1 days for antibiotic CVCs) than during the 6 months from randomisation (</w:t>
      </w:r>
      <w:r>
        <w:t xml:space="preserve">e.g. </w:t>
      </w:r>
      <w:r w:rsidRPr="00FF11BF">
        <w:t>34.8 days for antibiotic CVCs; see Tables 19 and 14</w:t>
      </w:r>
      <w:r w:rsidRPr="000C0E86">
        <w:t xml:space="preserve">). </w:t>
      </w:r>
      <w:r>
        <w:t xml:space="preserve">Considering only the index hospitalisation, total costs tended to be lower </w:t>
      </w:r>
      <w:r w:rsidRPr="000C0E86">
        <w:t xml:space="preserve">in the </w:t>
      </w:r>
      <w:r>
        <w:t>antibiotic CVC group (£33,073; 95% CI £30,047, £36,337</w:t>
      </w:r>
      <w:r w:rsidRPr="000C0E86">
        <w:t xml:space="preserve">) and </w:t>
      </w:r>
      <w:r>
        <w:t xml:space="preserve">in the </w:t>
      </w:r>
      <w:r w:rsidRPr="000C0E86">
        <w:t>heparin CVC group</w:t>
      </w:r>
      <w:r>
        <w:t xml:space="preserve"> (</w:t>
      </w:r>
      <w:r w:rsidRPr="000C0E86">
        <w:t>£32,245</w:t>
      </w:r>
      <w:r>
        <w:t>;</w:t>
      </w:r>
      <w:r w:rsidRPr="000C0E86">
        <w:t xml:space="preserve"> 95% CI </w:t>
      </w:r>
      <w:r>
        <w:t>£29,013, £35,823</w:t>
      </w:r>
      <w:r w:rsidRPr="000C0E86">
        <w:t>)</w:t>
      </w:r>
      <w:r>
        <w:t xml:space="preserve"> compared with the </w:t>
      </w:r>
      <w:r w:rsidRPr="000C0E86">
        <w:t>standar</w:t>
      </w:r>
      <w:r>
        <w:t xml:space="preserve">d CVC group (£35,165; 95% CI </w:t>
      </w:r>
      <w:r w:rsidRPr="000C0E86">
        <w:t>£31,</w:t>
      </w:r>
      <w:r>
        <w:t>864,</w:t>
      </w:r>
      <w:r w:rsidRPr="000C0E86">
        <w:t xml:space="preserve"> £38,6</w:t>
      </w:r>
      <w:r>
        <w:t>70</w:t>
      </w:r>
      <w:r w:rsidRPr="000C0E86">
        <w:t>). The</w:t>
      </w:r>
      <w:r>
        <w:t xml:space="preserve"> unadjusted</w:t>
      </w:r>
      <w:r w:rsidRPr="000C0E86">
        <w:t xml:space="preserve"> incremental </w:t>
      </w:r>
      <w:r>
        <w:t xml:space="preserve">cost </w:t>
      </w:r>
      <w:r w:rsidRPr="000C0E86">
        <w:t xml:space="preserve">saving </w:t>
      </w:r>
      <w:r>
        <w:t xml:space="preserve">for </w:t>
      </w:r>
      <w:r w:rsidRPr="000C0E86">
        <w:t xml:space="preserve">antibiotic </w:t>
      </w:r>
      <w:r>
        <w:t xml:space="preserve">versus </w:t>
      </w:r>
      <w:r w:rsidRPr="000C0E86">
        <w:t>standard CVC</w:t>
      </w:r>
      <w:r>
        <w:t>s</w:t>
      </w:r>
      <w:r w:rsidRPr="000C0E86">
        <w:t xml:space="preserve"> was -£2,093 (95% CI -£6,</w:t>
      </w:r>
      <w:r>
        <w:t xml:space="preserve">919, </w:t>
      </w:r>
      <w:r w:rsidRPr="000C0E86">
        <w:t>£2,</w:t>
      </w:r>
      <w:r>
        <w:t>583</w:t>
      </w:r>
      <w:r w:rsidRPr="000C0E86">
        <w:t>); and between heparin and standard CVC</w:t>
      </w:r>
      <w:r>
        <w:t>s</w:t>
      </w:r>
      <w:r w:rsidRPr="000C0E86">
        <w:t xml:space="preserve"> </w:t>
      </w:r>
      <w:r>
        <w:t xml:space="preserve">-£2,920 (95% CI -£7,833, </w:t>
      </w:r>
      <w:r w:rsidRPr="000C0E86">
        <w:t>£2,</w:t>
      </w:r>
      <w:r>
        <w:t>180</w:t>
      </w:r>
      <w:r w:rsidRPr="000C0E86">
        <w:t>).</w:t>
      </w:r>
    </w:p>
    <w:p w:rsidR="006A57B2" w:rsidRPr="000C0E86" w:rsidRDefault="006A57B2" w:rsidP="00B22173">
      <w:pPr>
        <w:spacing w:line="360" w:lineRule="auto"/>
      </w:pPr>
      <w:r>
        <w:t>Based</w:t>
      </w:r>
      <w:r w:rsidRPr="000C0E86">
        <w:t xml:space="preserve"> only on the costs of the index stay,  antibiotic CVC</w:t>
      </w:r>
      <w:r>
        <w:t>s</w:t>
      </w:r>
      <w:r w:rsidRPr="000C0E86">
        <w:t xml:space="preserve"> dominated standard CVC</w:t>
      </w:r>
      <w:r>
        <w:t>s</w:t>
      </w:r>
      <w:r w:rsidRPr="000C0E86">
        <w:t xml:space="preserve"> with a saving of £97,543 per BSI averted</w:t>
      </w:r>
      <w:r>
        <w:t xml:space="preserve"> (Table 18)</w:t>
      </w:r>
      <w:r w:rsidRPr="000C0E86">
        <w:t>.</w:t>
      </w:r>
    </w:p>
    <w:p w:rsidR="006A57B2" w:rsidRPr="000C0E86" w:rsidRDefault="006A57B2" w:rsidP="00B22173">
      <w:pPr>
        <w:spacing w:line="360" w:lineRule="auto"/>
      </w:pPr>
      <w:r w:rsidRPr="000C0E86">
        <w:t>An analysis of the cumulative mean costs over the course of the 6</w:t>
      </w:r>
      <w:r>
        <w:t xml:space="preserve"> </w:t>
      </w:r>
      <w:r w:rsidRPr="000C0E86">
        <w:t xml:space="preserve">month (Figure </w:t>
      </w:r>
      <w:r>
        <w:t>7</w:t>
      </w:r>
      <w:r w:rsidRPr="000C0E86">
        <w:t>),</w:t>
      </w:r>
      <w:r>
        <w:t xml:space="preserve"> shows</w:t>
      </w:r>
      <w:r w:rsidRPr="000C0E86">
        <w:t xml:space="preserve"> that costs in the heparin CVC group were lower overall, while costs in the antibiotic CVC group were variably cost-incurring and cost-saving in comparison to the standard CVC group.</w:t>
      </w:r>
    </w:p>
    <w:p w:rsidR="006A57B2" w:rsidRDefault="006A57B2" w:rsidP="00221CC3">
      <w:pPr>
        <w:spacing w:line="360" w:lineRule="auto"/>
      </w:pPr>
      <w:r w:rsidRPr="000C0E86">
        <w:t xml:space="preserve">The resulting ICER for antibiotic </w:t>
      </w:r>
      <w:r w:rsidRPr="00FF11BF">
        <w:t>compared with standard</w:t>
      </w:r>
      <w:r>
        <w:t xml:space="preserve"> </w:t>
      </w:r>
      <w:r w:rsidRPr="000C0E86">
        <w:t>CVCs</w:t>
      </w:r>
      <w:r>
        <w:t xml:space="preserve"> </w:t>
      </w:r>
      <w:r w:rsidRPr="000C0E86">
        <w:t xml:space="preserve">fluctuated considerably (Figure </w:t>
      </w:r>
      <w:r>
        <w:t>8</w:t>
      </w:r>
      <w:r w:rsidRPr="000C0E86">
        <w:t>), ranging</w:t>
      </w:r>
      <w:r w:rsidRPr="00F641C3">
        <w:t xml:space="preserve"> from a minimum of £82,204 saved per BSI averted by day 50 post-randomisation, being cost-neutral by day 122 and to the base-case cost of £54,057 per BSI averted by </w:t>
      </w:r>
      <w:r>
        <w:t>6 months</w:t>
      </w:r>
      <w:r w:rsidRPr="00F641C3">
        <w:t>.</w:t>
      </w:r>
    </w:p>
    <w:p w:rsidR="006A57B2" w:rsidRDefault="006A57B2">
      <w:pPr>
        <w:spacing w:after="0" w:line="240" w:lineRule="auto"/>
        <w:rPr>
          <w:b/>
        </w:rPr>
      </w:pPr>
      <w:r>
        <w:rPr>
          <w:b/>
        </w:rPr>
        <w:br w:type="page"/>
      </w:r>
    </w:p>
    <w:p w:rsidR="006A57B2" w:rsidRPr="00BE078C" w:rsidRDefault="006A57B2" w:rsidP="00E7253D">
      <w:pPr>
        <w:pStyle w:val="Caption"/>
        <w:rPr>
          <w:color w:val="2E74B5" w:themeColor="accent1" w:themeShade="BF"/>
          <w:sz w:val="22"/>
          <w:szCs w:val="22"/>
        </w:rPr>
      </w:pPr>
      <w:bookmarkStart w:id="95" w:name="_Toc428178967"/>
      <w:r w:rsidRPr="00BE078C">
        <w:rPr>
          <w:sz w:val="22"/>
          <w:szCs w:val="22"/>
        </w:rPr>
        <w:t xml:space="preserve">Table </w:t>
      </w:r>
      <w:r>
        <w:rPr>
          <w:noProof/>
          <w:sz w:val="22"/>
          <w:szCs w:val="22"/>
        </w:rPr>
        <w:t>12</w:t>
      </w:r>
      <w:r w:rsidRPr="00BE078C">
        <w:rPr>
          <w:sz w:val="22"/>
          <w:szCs w:val="22"/>
        </w:rPr>
        <w:t xml:space="preserve">: </w:t>
      </w:r>
      <w:r>
        <w:rPr>
          <w:sz w:val="22"/>
          <w:szCs w:val="22"/>
        </w:rPr>
        <w:t xml:space="preserve">Unit cost for intensive care and high dependency care, based on </w:t>
      </w:r>
      <w:r w:rsidRPr="00BE078C">
        <w:rPr>
          <w:sz w:val="22"/>
          <w:szCs w:val="22"/>
        </w:rPr>
        <w:t xml:space="preserve">HRGs </w:t>
      </w:r>
      <w:r>
        <w:rPr>
          <w:sz w:val="22"/>
          <w:szCs w:val="22"/>
        </w:rPr>
        <w:t>from the</w:t>
      </w:r>
      <w:r w:rsidRPr="00BE078C">
        <w:rPr>
          <w:sz w:val="22"/>
          <w:szCs w:val="22"/>
        </w:rPr>
        <w:t xml:space="preserve"> National Schedule tariff</w:t>
      </w:r>
      <w:r>
        <w:rPr>
          <w:sz w:val="22"/>
          <w:szCs w:val="22"/>
        </w:rPr>
        <w:t xml:space="preserve"> (2012-13</w:t>
      </w:r>
      <w:r w:rsidRPr="00BE078C">
        <w:rPr>
          <w:sz w:val="22"/>
          <w:szCs w:val="22"/>
        </w:rPr>
        <w:t>)</w:t>
      </w:r>
      <w:bookmarkEnd w:id="95"/>
      <w:r w:rsidRPr="00BE078C">
        <w:rPr>
          <w:rFonts w:asciiTheme="majorHAnsi" w:hAnsiTheme="majorHAnsi"/>
          <w:b w:val="0"/>
          <w:color w:val="2E74B5" w:themeColor="accent1" w:themeShade="BF"/>
          <w:sz w:val="22"/>
          <w:szCs w:val="22"/>
        </w:rPr>
        <w:t xml:space="preserve"> </w:t>
      </w:r>
    </w:p>
    <w:tbl>
      <w:tblPr>
        <w:tblStyle w:val="TableGrid3"/>
        <w:tblW w:w="0" w:type="auto"/>
        <w:tblLook w:val="04A0" w:firstRow="1" w:lastRow="0" w:firstColumn="1" w:lastColumn="0" w:noHBand="0" w:noVBand="1"/>
      </w:tblPr>
      <w:tblGrid>
        <w:gridCol w:w="859"/>
        <w:gridCol w:w="2084"/>
        <w:gridCol w:w="2354"/>
        <w:gridCol w:w="2807"/>
        <w:gridCol w:w="912"/>
      </w:tblGrid>
      <w:tr w:rsidR="006A57B2" w:rsidRPr="00A305AC" w:rsidTr="000A6618">
        <w:trPr>
          <w:trHeight w:val="480"/>
        </w:trPr>
        <w:tc>
          <w:tcPr>
            <w:tcW w:w="859" w:type="dxa"/>
            <w:tcBorders>
              <w:bottom w:val="single" w:sz="4" w:space="0" w:color="auto"/>
            </w:tcBorders>
            <w:shd w:val="clear" w:color="auto" w:fill="9CC2E5" w:themeFill="accent1" w:themeFillTint="99"/>
            <w:hideMark/>
          </w:tcPr>
          <w:p w:rsidR="006A57B2" w:rsidRPr="00A305AC" w:rsidRDefault="006A57B2" w:rsidP="00B22173">
            <w:pPr>
              <w:rPr>
                <w:rFonts w:asciiTheme="majorHAnsi" w:hAnsiTheme="majorHAnsi" w:cstheme="majorHAnsi"/>
                <w:b/>
                <w:bCs/>
                <w:sz w:val="20"/>
                <w:szCs w:val="20"/>
              </w:rPr>
            </w:pPr>
            <w:r w:rsidRPr="00A305AC">
              <w:rPr>
                <w:rFonts w:asciiTheme="majorHAnsi" w:hAnsiTheme="majorHAnsi" w:cstheme="majorHAnsi"/>
                <w:b/>
                <w:bCs/>
                <w:sz w:val="20"/>
                <w:szCs w:val="20"/>
              </w:rPr>
              <w:t>HRG code</w:t>
            </w:r>
          </w:p>
        </w:tc>
        <w:tc>
          <w:tcPr>
            <w:tcW w:w="2084" w:type="dxa"/>
            <w:tcBorders>
              <w:bottom w:val="single" w:sz="4" w:space="0" w:color="auto"/>
            </w:tcBorders>
            <w:shd w:val="clear" w:color="auto" w:fill="9CC2E5" w:themeFill="accent1" w:themeFillTint="99"/>
            <w:hideMark/>
          </w:tcPr>
          <w:p w:rsidR="006A57B2" w:rsidRPr="00A305AC" w:rsidRDefault="006A57B2" w:rsidP="00B22173">
            <w:pPr>
              <w:rPr>
                <w:rFonts w:asciiTheme="majorHAnsi" w:hAnsiTheme="majorHAnsi" w:cstheme="majorHAnsi"/>
                <w:b/>
                <w:bCs/>
                <w:sz w:val="20"/>
                <w:szCs w:val="20"/>
              </w:rPr>
            </w:pPr>
            <w:r w:rsidRPr="00A305AC">
              <w:rPr>
                <w:rFonts w:asciiTheme="majorHAnsi" w:hAnsiTheme="majorHAnsi" w:cstheme="majorHAnsi"/>
                <w:b/>
                <w:bCs/>
                <w:sz w:val="20"/>
                <w:szCs w:val="20"/>
              </w:rPr>
              <w:t xml:space="preserve">HRG name </w:t>
            </w:r>
          </w:p>
        </w:tc>
        <w:tc>
          <w:tcPr>
            <w:tcW w:w="2354" w:type="dxa"/>
            <w:tcBorders>
              <w:bottom w:val="single" w:sz="4" w:space="0" w:color="auto"/>
            </w:tcBorders>
            <w:shd w:val="clear" w:color="auto" w:fill="9CC2E5" w:themeFill="accent1" w:themeFillTint="99"/>
          </w:tcPr>
          <w:p w:rsidR="006A57B2" w:rsidRPr="00A305AC" w:rsidRDefault="006A57B2" w:rsidP="00B22173">
            <w:pPr>
              <w:rPr>
                <w:rFonts w:asciiTheme="majorHAnsi" w:hAnsiTheme="majorHAnsi" w:cstheme="majorHAnsi"/>
                <w:b/>
                <w:bCs/>
                <w:sz w:val="20"/>
                <w:szCs w:val="20"/>
              </w:rPr>
            </w:pPr>
            <w:r>
              <w:rPr>
                <w:rFonts w:asciiTheme="majorHAnsi" w:hAnsiTheme="majorHAnsi" w:cstheme="majorHAnsi"/>
                <w:b/>
                <w:bCs/>
                <w:sz w:val="20"/>
                <w:szCs w:val="20"/>
              </w:rPr>
              <w:t>Primary d</w:t>
            </w:r>
            <w:r w:rsidRPr="00A305AC">
              <w:rPr>
                <w:rFonts w:asciiTheme="majorHAnsi" w:hAnsiTheme="majorHAnsi" w:cstheme="majorHAnsi"/>
                <w:b/>
                <w:bCs/>
                <w:sz w:val="20"/>
                <w:szCs w:val="20"/>
              </w:rPr>
              <w:t>escription</w:t>
            </w:r>
          </w:p>
        </w:tc>
        <w:tc>
          <w:tcPr>
            <w:tcW w:w="2807" w:type="dxa"/>
            <w:tcBorders>
              <w:bottom w:val="single" w:sz="4" w:space="0" w:color="auto"/>
            </w:tcBorders>
            <w:shd w:val="clear" w:color="auto" w:fill="9CC2E5" w:themeFill="accent1" w:themeFillTint="99"/>
          </w:tcPr>
          <w:p w:rsidR="006A57B2" w:rsidRPr="00A305AC" w:rsidRDefault="006A57B2" w:rsidP="00B22173">
            <w:pPr>
              <w:rPr>
                <w:rFonts w:asciiTheme="majorHAnsi" w:hAnsiTheme="majorHAnsi" w:cstheme="majorHAnsi"/>
                <w:b/>
                <w:bCs/>
                <w:sz w:val="20"/>
                <w:szCs w:val="20"/>
              </w:rPr>
            </w:pPr>
            <w:r>
              <w:rPr>
                <w:rFonts w:asciiTheme="majorHAnsi" w:hAnsiTheme="majorHAnsi" w:cstheme="majorHAnsi"/>
                <w:b/>
                <w:bCs/>
                <w:sz w:val="20"/>
                <w:szCs w:val="20"/>
              </w:rPr>
              <w:t>Secondary description</w:t>
            </w:r>
          </w:p>
        </w:tc>
        <w:tc>
          <w:tcPr>
            <w:tcW w:w="912" w:type="dxa"/>
            <w:tcBorders>
              <w:bottom w:val="single" w:sz="4" w:space="0" w:color="auto"/>
            </w:tcBorders>
            <w:shd w:val="clear" w:color="auto" w:fill="9CC2E5" w:themeFill="accent1" w:themeFillTint="99"/>
            <w:hideMark/>
          </w:tcPr>
          <w:p w:rsidR="006A57B2" w:rsidRPr="00A305AC" w:rsidRDefault="006A57B2" w:rsidP="00B22173">
            <w:pPr>
              <w:rPr>
                <w:rFonts w:asciiTheme="majorHAnsi" w:hAnsiTheme="majorHAnsi" w:cstheme="majorHAnsi"/>
                <w:b/>
                <w:bCs/>
                <w:sz w:val="20"/>
                <w:szCs w:val="20"/>
              </w:rPr>
            </w:pPr>
            <w:r w:rsidRPr="00A305AC">
              <w:rPr>
                <w:rFonts w:asciiTheme="majorHAnsi" w:hAnsiTheme="majorHAnsi" w:cstheme="majorHAnsi"/>
                <w:b/>
                <w:bCs/>
                <w:sz w:val="20"/>
                <w:szCs w:val="20"/>
              </w:rPr>
              <w:t>Cost per day</w:t>
            </w:r>
          </w:p>
        </w:tc>
      </w:tr>
      <w:tr w:rsidR="006A57B2" w:rsidRPr="00A305AC" w:rsidTr="000A6618">
        <w:trPr>
          <w:trHeight w:val="300"/>
        </w:trPr>
        <w:tc>
          <w:tcPr>
            <w:tcW w:w="859" w:type="dxa"/>
            <w:tcBorders>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XB01Z</w:t>
            </w:r>
          </w:p>
        </w:tc>
        <w:tc>
          <w:tcPr>
            <w:tcW w:w="2084" w:type="dxa"/>
            <w:tcBorders>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Intensive Care, ECMO/ECLS</w:t>
            </w:r>
          </w:p>
        </w:tc>
        <w:tc>
          <w:tcPr>
            <w:tcW w:w="2354" w:type="dxa"/>
            <w:vMerge w:val="restart"/>
            <w:tcBorders>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Highly specialised intensive care treatment e.g. by extra-corporeal membrane oxygenation (ECMO)</w:t>
            </w:r>
          </w:p>
        </w:tc>
        <w:tc>
          <w:tcPr>
            <w:tcW w:w="2807" w:type="dxa"/>
            <w:tcBorders>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ECMO, VAD and other highly complex procedures</w:t>
            </w:r>
          </w:p>
        </w:tc>
        <w:tc>
          <w:tcPr>
            <w:tcW w:w="912" w:type="dxa"/>
            <w:tcBorders>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£4,391</w:t>
            </w:r>
          </w:p>
        </w:tc>
      </w:tr>
      <w:tr w:rsidR="006A57B2" w:rsidRPr="00A305AC" w:rsidTr="000A6618">
        <w:trPr>
          <w:trHeight w:val="300"/>
        </w:trPr>
        <w:tc>
          <w:tcPr>
            <w:tcW w:w="859" w:type="dxa"/>
            <w:tcBorders>
              <w:top w:val="single" w:sz="4" w:space="0" w:color="auto"/>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XB02Z</w:t>
            </w:r>
          </w:p>
        </w:tc>
        <w:tc>
          <w:tcPr>
            <w:tcW w:w="2084" w:type="dxa"/>
            <w:tcBorders>
              <w:top w:val="single" w:sz="4" w:space="0" w:color="auto"/>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Intensive Care, Advanced Enhanced</w:t>
            </w:r>
          </w:p>
        </w:tc>
        <w:tc>
          <w:tcPr>
            <w:tcW w:w="2354" w:type="dxa"/>
            <w:vMerge/>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Unstable multi-system failure with other complications</w:t>
            </w:r>
          </w:p>
        </w:tc>
        <w:tc>
          <w:tcPr>
            <w:tcW w:w="912" w:type="dxa"/>
            <w:tcBorders>
              <w:top w:val="single" w:sz="4" w:space="0" w:color="auto"/>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£2,409</w:t>
            </w:r>
          </w:p>
        </w:tc>
      </w:tr>
      <w:tr w:rsidR="006A57B2" w:rsidRPr="00A305AC" w:rsidTr="000A6618">
        <w:trPr>
          <w:trHeight w:val="300"/>
        </w:trPr>
        <w:tc>
          <w:tcPr>
            <w:tcW w:w="859" w:type="dxa"/>
            <w:tcBorders>
              <w:top w:val="single" w:sz="4" w:space="0" w:color="auto"/>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XB03Z</w:t>
            </w:r>
          </w:p>
        </w:tc>
        <w:tc>
          <w:tcPr>
            <w:tcW w:w="2084" w:type="dxa"/>
            <w:tcBorders>
              <w:top w:val="single" w:sz="4" w:space="0" w:color="auto"/>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Intensive Care, Advanced</w:t>
            </w:r>
          </w:p>
        </w:tc>
        <w:tc>
          <w:tcPr>
            <w:tcW w:w="2354" w:type="dxa"/>
            <w:vMerge w:val="restart"/>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Intensive nursing supervision at all times, undergoing complex monitoring and/or therapeutic procedures, including advanced respiratory support</w:t>
            </w:r>
          </w:p>
        </w:tc>
        <w:tc>
          <w:tcPr>
            <w:tcW w:w="2807" w:type="dxa"/>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Invasive ventilation with multi-system failure</w:t>
            </w:r>
          </w:p>
        </w:tc>
        <w:tc>
          <w:tcPr>
            <w:tcW w:w="912" w:type="dxa"/>
            <w:tcBorders>
              <w:top w:val="single" w:sz="4" w:space="0" w:color="auto"/>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£2,017</w:t>
            </w:r>
          </w:p>
        </w:tc>
      </w:tr>
      <w:tr w:rsidR="006A57B2" w:rsidRPr="00A305AC" w:rsidTr="000A6618">
        <w:trPr>
          <w:trHeight w:val="300"/>
        </w:trPr>
        <w:tc>
          <w:tcPr>
            <w:tcW w:w="859" w:type="dxa"/>
            <w:tcBorders>
              <w:top w:val="single" w:sz="4" w:space="0" w:color="auto"/>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XB04Z</w:t>
            </w:r>
          </w:p>
        </w:tc>
        <w:tc>
          <w:tcPr>
            <w:tcW w:w="2084" w:type="dxa"/>
            <w:tcBorders>
              <w:top w:val="single" w:sz="4" w:space="0" w:color="auto"/>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Intensive Care, Basic Enhanced</w:t>
            </w:r>
          </w:p>
        </w:tc>
        <w:tc>
          <w:tcPr>
            <w:tcW w:w="2354" w:type="dxa"/>
            <w:vMerge/>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Intensive ventilation with more than one system failure</w:t>
            </w:r>
          </w:p>
        </w:tc>
        <w:tc>
          <w:tcPr>
            <w:tcW w:w="912" w:type="dxa"/>
            <w:tcBorders>
              <w:top w:val="single" w:sz="4" w:space="0" w:color="auto"/>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£2,110</w:t>
            </w:r>
          </w:p>
        </w:tc>
      </w:tr>
      <w:tr w:rsidR="006A57B2" w:rsidRPr="00A305AC" w:rsidTr="000A6618">
        <w:trPr>
          <w:trHeight w:val="300"/>
        </w:trPr>
        <w:tc>
          <w:tcPr>
            <w:tcW w:w="859" w:type="dxa"/>
            <w:tcBorders>
              <w:top w:val="single" w:sz="4" w:space="0" w:color="auto"/>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XB05Z</w:t>
            </w:r>
          </w:p>
        </w:tc>
        <w:tc>
          <w:tcPr>
            <w:tcW w:w="2084" w:type="dxa"/>
            <w:tcBorders>
              <w:top w:val="single" w:sz="4" w:space="0" w:color="auto"/>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Intensive Care, Basic</w:t>
            </w:r>
          </w:p>
        </w:tc>
        <w:tc>
          <w:tcPr>
            <w:tcW w:w="2354" w:type="dxa"/>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Continuous nursing supervision</w:t>
            </w:r>
          </w:p>
        </w:tc>
        <w:tc>
          <w:tcPr>
            <w:tcW w:w="2807" w:type="dxa"/>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 xml:space="preserve">Invasive ventilation with single system failure </w:t>
            </w:r>
            <w:r w:rsidRPr="00A305AC">
              <w:rPr>
                <w:rFonts w:asciiTheme="majorHAnsi" w:hAnsiTheme="majorHAnsi" w:cstheme="majorHAnsi"/>
                <w:i/>
                <w:sz w:val="20"/>
                <w:szCs w:val="20"/>
              </w:rPr>
              <w:t>or</w:t>
            </w:r>
            <w:r w:rsidRPr="00A305AC">
              <w:rPr>
                <w:rFonts w:asciiTheme="majorHAnsi" w:hAnsiTheme="majorHAnsi" w:cstheme="majorHAnsi"/>
                <w:sz w:val="20"/>
                <w:szCs w:val="20"/>
              </w:rPr>
              <w:t xml:space="preserve"> non-invasive ventilation with more than one system failure</w:t>
            </w:r>
          </w:p>
        </w:tc>
        <w:tc>
          <w:tcPr>
            <w:tcW w:w="912" w:type="dxa"/>
            <w:tcBorders>
              <w:top w:val="single" w:sz="4" w:space="0" w:color="auto"/>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£1,743</w:t>
            </w:r>
          </w:p>
        </w:tc>
      </w:tr>
      <w:tr w:rsidR="006A57B2" w:rsidRPr="00A305AC" w:rsidTr="000A6618">
        <w:trPr>
          <w:trHeight w:val="300"/>
        </w:trPr>
        <w:tc>
          <w:tcPr>
            <w:tcW w:w="859" w:type="dxa"/>
            <w:tcBorders>
              <w:top w:val="single" w:sz="4" w:space="0" w:color="auto"/>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XB06Z</w:t>
            </w:r>
          </w:p>
        </w:tc>
        <w:tc>
          <w:tcPr>
            <w:tcW w:w="2084" w:type="dxa"/>
            <w:tcBorders>
              <w:top w:val="single" w:sz="4" w:space="0" w:color="auto"/>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High Dependency, Advanced</w:t>
            </w:r>
          </w:p>
        </w:tc>
        <w:tc>
          <w:tcPr>
            <w:tcW w:w="2354" w:type="dxa"/>
            <w:vMerge w:val="restart"/>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Require closer observation and monitoring than is usually available on an ordinary children’s ward, with higher than usual staffing levels</w:t>
            </w:r>
          </w:p>
        </w:tc>
        <w:tc>
          <w:tcPr>
            <w:tcW w:w="2807" w:type="dxa"/>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Non-invasive ventilation (e.g. CPAP and BIPAP by mask with IV drugs)</w:t>
            </w:r>
          </w:p>
        </w:tc>
        <w:tc>
          <w:tcPr>
            <w:tcW w:w="912" w:type="dxa"/>
            <w:tcBorders>
              <w:top w:val="single" w:sz="4" w:space="0" w:color="auto"/>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£1,335</w:t>
            </w:r>
          </w:p>
        </w:tc>
      </w:tr>
      <w:tr w:rsidR="006A57B2" w:rsidRPr="00A305AC" w:rsidTr="000A6618">
        <w:trPr>
          <w:trHeight w:val="300"/>
        </w:trPr>
        <w:tc>
          <w:tcPr>
            <w:tcW w:w="859" w:type="dxa"/>
            <w:tcBorders>
              <w:top w:val="single" w:sz="4" w:space="0" w:color="auto"/>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XB07Z</w:t>
            </w:r>
          </w:p>
        </w:tc>
        <w:tc>
          <w:tcPr>
            <w:tcW w:w="2084" w:type="dxa"/>
            <w:tcBorders>
              <w:top w:val="single" w:sz="4" w:space="0" w:color="auto"/>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High Dependency</w:t>
            </w:r>
          </w:p>
        </w:tc>
        <w:tc>
          <w:tcPr>
            <w:tcW w:w="2354" w:type="dxa"/>
            <w:vMerge/>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p>
        </w:tc>
        <w:tc>
          <w:tcPr>
            <w:tcW w:w="2807" w:type="dxa"/>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Close monitoring, oxygen by mask, no invasive ventilation</w:t>
            </w:r>
          </w:p>
        </w:tc>
        <w:tc>
          <w:tcPr>
            <w:tcW w:w="912" w:type="dxa"/>
            <w:tcBorders>
              <w:top w:val="single" w:sz="4" w:space="0" w:color="auto"/>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£886</w:t>
            </w:r>
          </w:p>
        </w:tc>
      </w:tr>
      <w:tr w:rsidR="006A57B2" w:rsidRPr="00A305AC" w:rsidTr="000A6618">
        <w:trPr>
          <w:trHeight w:val="300"/>
        </w:trPr>
        <w:tc>
          <w:tcPr>
            <w:tcW w:w="859" w:type="dxa"/>
            <w:tcBorders>
              <w:top w:val="single" w:sz="4" w:space="0" w:color="auto"/>
              <w:bottom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XB08Z</w:t>
            </w:r>
          </w:p>
        </w:tc>
        <w:tc>
          <w:tcPr>
            <w:tcW w:w="2084" w:type="dxa"/>
            <w:tcBorders>
              <w:top w:val="single" w:sz="4" w:space="0" w:color="auto"/>
              <w:left w:val="single" w:sz="4" w:space="0" w:color="auto"/>
              <w:bottom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Paediatric Critical Care, Transportation</w:t>
            </w:r>
          </w:p>
        </w:tc>
        <w:tc>
          <w:tcPr>
            <w:tcW w:w="5161" w:type="dxa"/>
            <w:gridSpan w:val="2"/>
            <w:tcBorders>
              <w:top w:val="single" w:sz="4" w:space="0" w:color="auto"/>
              <w:left w:val="single" w:sz="4" w:space="0" w:color="auto"/>
              <w:bottom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Since paediatric critical care facilities are centralised in a small number of hospitals providing expert specialist care, specialist transport teams are required to deliver</w:t>
            </w:r>
            <w:r>
              <w:rPr>
                <w:rFonts w:asciiTheme="majorHAnsi" w:hAnsiTheme="majorHAnsi" w:cstheme="majorHAnsi"/>
                <w:sz w:val="20"/>
                <w:szCs w:val="20"/>
              </w:rPr>
              <w:t xml:space="preserve"> </w:t>
            </w:r>
            <w:r w:rsidRPr="00A305AC">
              <w:rPr>
                <w:rFonts w:asciiTheme="majorHAnsi" w:hAnsiTheme="majorHAnsi" w:cstheme="majorHAnsi"/>
                <w:sz w:val="20"/>
                <w:szCs w:val="20"/>
              </w:rPr>
              <w:t>clinical management during transfer of patients</w:t>
            </w:r>
          </w:p>
        </w:tc>
        <w:tc>
          <w:tcPr>
            <w:tcW w:w="912" w:type="dxa"/>
            <w:tcBorders>
              <w:top w:val="single" w:sz="4" w:space="0" w:color="auto"/>
              <w:left w:val="single" w:sz="4" w:space="0" w:color="auto"/>
              <w:bottom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£2,799</w:t>
            </w:r>
          </w:p>
        </w:tc>
      </w:tr>
      <w:tr w:rsidR="006A57B2" w:rsidRPr="00A305AC" w:rsidTr="000A6618">
        <w:trPr>
          <w:trHeight w:val="300"/>
        </w:trPr>
        <w:tc>
          <w:tcPr>
            <w:tcW w:w="859" w:type="dxa"/>
            <w:tcBorders>
              <w:top w:val="single" w:sz="4" w:space="0" w:color="auto"/>
              <w:righ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XA01Z</w:t>
            </w:r>
          </w:p>
        </w:tc>
        <w:tc>
          <w:tcPr>
            <w:tcW w:w="2084" w:type="dxa"/>
            <w:tcBorders>
              <w:top w:val="single" w:sz="4" w:space="0" w:color="auto"/>
              <w:left w:val="single" w:sz="4" w:space="0" w:color="auto"/>
              <w:right w:val="single" w:sz="4" w:space="0" w:color="auto"/>
            </w:tcBorders>
            <w:noWrap/>
            <w:vAlign w:val="center"/>
            <w:hideMark/>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Neonatal Critical Care, Intensive Care</w:t>
            </w:r>
          </w:p>
        </w:tc>
        <w:tc>
          <w:tcPr>
            <w:tcW w:w="2354" w:type="dxa"/>
            <w:tcBorders>
              <w:top w:val="single" w:sz="4" w:space="0" w:color="auto"/>
              <w:left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Care provided for babies who are the most unwell or unstable and have</w:t>
            </w:r>
            <w:r>
              <w:rPr>
                <w:rFonts w:asciiTheme="majorHAnsi" w:hAnsiTheme="majorHAnsi" w:cstheme="majorHAnsi"/>
                <w:sz w:val="20"/>
                <w:szCs w:val="20"/>
              </w:rPr>
              <w:t xml:space="preserve"> </w:t>
            </w:r>
            <w:r w:rsidRPr="00A305AC">
              <w:rPr>
                <w:rFonts w:asciiTheme="majorHAnsi" w:hAnsiTheme="majorHAnsi" w:cstheme="majorHAnsi"/>
                <w:sz w:val="20"/>
                <w:szCs w:val="20"/>
              </w:rPr>
              <w:t>the greatest needs in relation to staff skills and staff to patient ratios</w:t>
            </w:r>
          </w:p>
        </w:tc>
        <w:tc>
          <w:tcPr>
            <w:tcW w:w="2807" w:type="dxa"/>
            <w:tcBorders>
              <w:top w:val="single" w:sz="4" w:space="0" w:color="auto"/>
              <w:left w:val="single" w:sz="4" w:space="0" w:color="auto"/>
              <w:right w:val="single" w:sz="4" w:space="0" w:color="auto"/>
            </w:tcBorders>
            <w:vAlign w:val="center"/>
          </w:tcPr>
          <w:p w:rsidR="006A57B2" w:rsidRPr="00A305AC" w:rsidRDefault="006A57B2" w:rsidP="00FF11BF">
            <w:pPr>
              <w:rPr>
                <w:rFonts w:asciiTheme="majorHAnsi" w:hAnsiTheme="majorHAnsi" w:cstheme="majorHAnsi"/>
                <w:sz w:val="20"/>
                <w:szCs w:val="20"/>
              </w:rPr>
            </w:pPr>
            <w:r w:rsidRPr="00A305AC">
              <w:rPr>
                <w:rFonts w:asciiTheme="majorHAnsi" w:hAnsiTheme="majorHAnsi" w:cstheme="majorHAnsi"/>
                <w:sz w:val="20"/>
                <w:szCs w:val="20"/>
              </w:rPr>
              <w:t>Baby receives any form of mechanical respiratory support via a tracheal</w:t>
            </w:r>
            <w:r>
              <w:rPr>
                <w:rFonts w:asciiTheme="majorHAnsi" w:hAnsiTheme="majorHAnsi" w:cstheme="majorHAnsi"/>
                <w:sz w:val="20"/>
                <w:szCs w:val="20"/>
              </w:rPr>
              <w:t xml:space="preserve"> </w:t>
            </w:r>
            <w:r w:rsidRPr="00A305AC">
              <w:rPr>
                <w:rFonts w:asciiTheme="majorHAnsi" w:hAnsiTheme="majorHAnsi" w:cstheme="majorHAnsi"/>
                <w:sz w:val="20"/>
                <w:szCs w:val="20"/>
              </w:rPr>
              <w:t>tube and/or parenteral nutrition.</w:t>
            </w:r>
          </w:p>
        </w:tc>
        <w:tc>
          <w:tcPr>
            <w:tcW w:w="912" w:type="dxa"/>
            <w:tcBorders>
              <w:top w:val="single" w:sz="4" w:space="0" w:color="auto"/>
              <w:left w:val="single" w:sz="4" w:space="0" w:color="auto"/>
            </w:tcBorders>
            <w:noWrap/>
            <w:hideMark/>
          </w:tcPr>
          <w:p w:rsidR="006A57B2" w:rsidRPr="00A305AC" w:rsidRDefault="006A57B2" w:rsidP="00B22173">
            <w:pPr>
              <w:rPr>
                <w:rFonts w:asciiTheme="majorHAnsi" w:hAnsiTheme="majorHAnsi" w:cstheme="majorHAnsi"/>
                <w:sz w:val="20"/>
                <w:szCs w:val="20"/>
              </w:rPr>
            </w:pPr>
            <w:r w:rsidRPr="00A305AC">
              <w:rPr>
                <w:rFonts w:asciiTheme="majorHAnsi" w:hAnsiTheme="majorHAnsi" w:cstheme="majorHAnsi"/>
                <w:sz w:val="20"/>
                <w:szCs w:val="20"/>
              </w:rPr>
              <w:t>£1,118</w:t>
            </w:r>
          </w:p>
        </w:tc>
      </w:tr>
    </w:tbl>
    <w:p w:rsidR="006A57B2" w:rsidRPr="005B6ACD" w:rsidRDefault="006A57B2" w:rsidP="00B22173">
      <w:pPr>
        <w:rPr>
          <w:b/>
        </w:rPr>
      </w:pPr>
      <w:r w:rsidRPr="005B6ACD">
        <w:rPr>
          <w:b/>
        </w:rPr>
        <w:br w:type="page"/>
      </w:r>
    </w:p>
    <w:p w:rsidR="006A57B2" w:rsidRPr="00BE078C" w:rsidRDefault="006A57B2" w:rsidP="00E7253D">
      <w:pPr>
        <w:pStyle w:val="Caption"/>
        <w:rPr>
          <w:rFonts w:asciiTheme="majorHAnsi" w:hAnsiTheme="majorHAnsi"/>
          <w:color w:val="2E74B5" w:themeColor="accent1" w:themeShade="BF"/>
          <w:sz w:val="22"/>
          <w:szCs w:val="22"/>
        </w:rPr>
      </w:pPr>
      <w:bookmarkStart w:id="96" w:name="_Toc428178968"/>
      <w:r w:rsidRPr="00BE078C">
        <w:rPr>
          <w:sz w:val="22"/>
          <w:szCs w:val="22"/>
        </w:rPr>
        <w:t xml:space="preserve">Table </w:t>
      </w:r>
      <w:r>
        <w:rPr>
          <w:noProof/>
          <w:sz w:val="22"/>
          <w:szCs w:val="22"/>
        </w:rPr>
        <w:t>13</w:t>
      </w:r>
      <w:r w:rsidRPr="00BE078C">
        <w:rPr>
          <w:sz w:val="22"/>
          <w:szCs w:val="22"/>
        </w:rPr>
        <w:t>: Hospital ward bed-day rates as provided by hospital finance departments and adjusted for inflation (£ sterling, 2013)</w:t>
      </w:r>
      <w:bookmarkEnd w:id="96"/>
    </w:p>
    <w:tbl>
      <w:tblPr>
        <w:tblStyle w:val="TableGrid3"/>
        <w:tblW w:w="0" w:type="auto"/>
        <w:tblLayout w:type="fixed"/>
        <w:tblLook w:val="04A0" w:firstRow="1" w:lastRow="0" w:firstColumn="1" w:lastColumn="0" w:noHBand="0" w:noVBand="1"/>
      </w:tblPr>
      <w:tblGrid>
        <w:gridCol w:w="3256"/>
        <w:gridCol w:w="1644"/>
        <w:gridCol w:w="1644"/>
        <w:gridCol w:w="1644"/>
      </w:tblGrid>
      <w:tr w:rsidR="006A57B2" w:rsidRPr="001575B6" w:rsidTr="00E7253D">
        <w:trPr>
          <w:trHeight w:val="540"/>
        </w:trPr>
        <w:tc>
          <w:tcPr>
            <w:tcW w:w="3256" w:type="dxa"/>
            <w:tcBorders>
              <w:bottom w:val="single" w:sz="4" w:space="0" w:color="auto"/>
            </w:tcBorders>
            <w:shd w:val="clear" w:color="auto" w:fill="9CC2E5" w:themeFill="accent1" w:themeFillTint="99"/>
            <w:noWrap/>
            <w:hideMark/>
          </w:tcPr>
          <w:p w:rsidR="006A57B2" w:rsidRPr="001575B6" w:rsidRDefault="006A57B2" w:rsidP="00B22173">
            <w:pPr>
              <w:rPr>
                <w:rFonts w:asciiTheme="majorHAnsi" w:hAnsiTheme="majorHAnsi" w:cstheme="majorHAnsi"/>
                <w:b/>
                <w:bCs/>
                <w:sz w:val="20"/>
                <w:szCs w:val="20"/>
              </w:rPr>
            </w:pPr>
            <w:r w:rsidRPr="001575B6">
              <w:rPr>
                <w:rFonts w:asciiTheme="majorHAnsi" w:hAnsiTheme="majorHAnsi" w:cstheme="majorHAnsi"/>
                <w:b/>
                <w:bCs/>
                <w:sz w:val="20"/>
                <w:szCs w:val="20"/>
              </w:rPr>
              <w:t>Hospital</w:t>
            </w:r>
          </w:p>
        </w:tc>
        <w:tc>
          <w:tcPr>
            <w:tcW w:w="1644" w:type="dxa"/>
            <w:tcBorders>
              <w:bottom w:val="single" w:sz="4" w:space="0" w:color="auto"/>
            </w:tcBorders>
            <w:shd w:val="clear" w:color="auto" w:fill="9CC2E5" w:themeFill="accent1" w:themeFillTint="99"/>
            <w:noWrap/>
            <w:hideMark/>
          </w:tcPr>
          <w:p w:rsidR="006A57B2" w:rsidRPr="001575B6" w:rsidRDefault="006A57B2" w:rsidP="00B22173">
            <w:pPr>
              <w:rPr>
                <w:rFonts w:asciiTheme="majorHAnsi" w:hAnsiTheme="majorHAnsi" w:cstheme="majorHAnsi"/>
                <w:b/>
                <w:bCs/>
                <w:sz w:val="20"/>
                <w:szCs w:val="20"/>
              </w:rPr>
            </w:pPr>
            <w:r w:rsidRPr="001575B6">
              <w:rPr>
                <w:rFonts w:asciiTheme="majorHAnsi" w:hAnsiTheme="majorHAnsi" w:cstheme="majorHAnsi"/>
                <w:b/>
                <w:bCs/>
                <w:sz w:val="20"/>
                <w:szCs w:val="20"/>
              </w:rPr>
              <w:t>HES hospital ID</w:t>
            </w:r>
          </w:p>
        </w:tc>
        <w:tc>
          <w:tcPr>
            <w:tcW w:w="1644" w:type="dxa"/>
            <w:tcBorders>
              <w:bottom w:val="single" w:sz="4" w:space="0" w:color="auto"/>
            </w:tcBorders>
            <w:shd w:val="clear" w:color="auto" w:fill="9CC2E5" w:themeFill="accent1" w:themeFillTint="99"/>
            <w:hideMark/>
          </w:tcPr>
          <w:p w:rsidR="006A57B2" w:rsidRPr="001575B6" w:rsidRDefault="006A57B2" w:rsidP="00B22173">
            <w:pPr>
              <w:rPr>
                <w:rFonts w:asciiTheme="majorHAnsi" w:hAnsiTheme="majorHAnsi" w:cstheme="majorHAnsi"/>
                <w:b/>
                <w:bCs/>
                <w:sz w:val="20"/>
                <w:szCs w:val="20"/>
              </w:rPr>
            </w:pPr>
            <w:r w:rsidRPr="001575B6">
              <w:rPr>
                <w:rFonts w:asciiTheme="majorHAnsi" w:hAnsiTheme="majorHAnsi" w:cstheme="majorHAnsi"/>
                <w:b/>
                <w:bCs/>
                <w:sz w:val="20"/>
                <w:szCs w:val="20"/>
              </w:rPr>
              <w:t>Market Forces Factor</w:t>
            </w:r>
            <w:r w:rsidRPr="001575B6">
              <w:rPr>
                <w:rFonts w:asciiTheme="majorHAnsi" w:hAnsiTheme="majorHAnsi" w:cstheme="majorHAnsi"/>
                <w:b/>
                <w:bCs/>
                <w:sz w:val="20"/>
                <w:szCs w:val="20"/>
                <w:vertAlign w:val="superscript"/>
              </w:rPr>
              <w:t>a</w:t>
            </w:r>
          </w:p>
        </w:tc>
        <w:tc>
          <w:tcPr>
            <w:tcW w:w="1644" w:type="dxa"/>
            <w:tcBorders>
              <w:bottom w:val="single" w:sz="4" w:space="0" w:color="auto"/>
            </w:tcBorders>
            <w:shd w:val="clear" w:color="auto" w:fill="9CC2E5" w:themeFill="accent1" w:themeFillTint="99"/>
            <w:noWrap/>
            <w:hideMark/>
          </w:tcPr>
          <w:p w:rsidR="006A57B2" w:rsidRPr="001575B6" w:rsidRDefault="006A57B2" w:rsidP="00B22173">
            <w:pPr>
              <w:rPr>
                <w:rFonts w:asciiTheme="majorHAnsi" w:hAnsiTheme="majorHAnsi" w:cstheme="majorHAnsi"/>
                <w:b/>
                <w:bCs/>
                <w:sz w:val="20"/>
                <w:szCs w:val="20"/>
              </w:rPr>
            </w:pPr>
            <w:r w:rsidRPr="001575B6">
              <w:rPr>
                <w:rFonts w:asciiTheme="majorHAnsi" w:hAnsiTheme="majorHAnsi" w:cstheme="majorHAnsi"/>
                <w:b/>
                <w:bCs/>
                <w:sz w:val="20"/>
                <w:szCs w:val="20"/>
              </w:rPr>
              <w:t>Ward Rate</w:t>
            </w:r>
            <w:r w:rsidRPr="00A45AE1">
              <w:rPr>
                <w:rFonts w:asciiTheme="majorHAnsi" w:hAnsiTheme="majorHAnsi" w:cstheme="majorHAnsi"/>
                <w:b/>
                <w:bCs/>
                <w:sz w:val="20"/>
                <w:szCs w:val="20"/>
                <w:vertAlign w:val="superscript"/>
              </w:rPr>
              <w:t>b</w:t>
            </w:r>
          </w:p>
        </w:tc>
      </w:tr>
      <w:tr w:rsidR="006A57B2" w:rsidRPr="001575B6" w:rsidTr="00E7253D">
        <w:trPr>
          <w:trHeight w:val="300"/>
        </w:trPr>
        <w:tc>
          <w:tcPr>
            <w:tcW w:w="3256" w:type="dxa"/>
            <w:tcBorders>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Birmingham Children's Hospital</w:t>
            </w:r>
          </w:p>
        </w:tc>
        <w:tc>
          <w:tcPr>
            <w:tcW w:w="1644" w:type="dxa"/>
            <w:tcBorders>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RQ3</w:t>
            </w:r>
          </w:p>
        </w:tc>
        <w:tc>
          <w:tcPr>
            <w:tcW w:w="1644" w:type="dxa"/>
            <w:tcBorders>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1.05</w:t>
            </w:r>
          </w:p>
        </w:tc>
        <w:tc>
          <w:tcPr>
            <w:tcW w:w="1644" w:type="dxa"/>
            <w:tcBorders>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£2</w:t>
            </w:r>
            <w:r>
              <w:rPr>
                <w:rFonts w:asciiTheme="majorHAnsi" w:hAnsiTheme="majorHAnsi" w:cstheme="majorHAnsi"/>
                <w:sz w:val="20"/>
                <w:szCs w:val="20"/>
              </w:rPr>
              <w:t>90</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Bristol Hospital for Sick Children</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RA7</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1.08</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£366</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Evelina Children's Hospital</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RJ1</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1.28</w:t>
            </w:r>
          </w:p>
        </w:tc>
        <w:tc>
          <w:tcPr>
            <w:tcW w:w="1644" w:type="dxa"/>
            <w:tcBorders>
              <w:top w:val="nil"/>
              <w:bottom w:val="nil"/>
            </w:tcBorders>
            <w:noWrap/>
            <w:hideMark/>
          </w:tcPr>
          <w:p w:rsidR="006A57B2" w:rsidRPr="001575B6" w:rsidRDefault="006A57B2" w:rsidP="00A45AE1">
            <w:pPr>
              <w:rPr>
                <w:rFonts w:asciiTheme="majorHAnsi" w:hAnsiTheme="majorHAnsi" w:cstheme="majorHAnsi"/>
                <w:sz w:val="20"/>
                <w:szCs w:val="20"/>
              </w:rPr>
            </w:pPr>
            <w:r w:rsidRPr="001575B6">
              <w:rPr>
                <w:rFonts w:asciiTheme="majorHAnsi" w:hAnsiTheme="majorHAnsi" w:cstheme="majorHAnsi"/>
                <w:sz w:val="20"/>
                <w:szCs w:val="20"/>
              </w:rPr>
              <w:t>£595</w:t>
            </w:r>
            <w:r>
              <w:rPr>
                <w:rFonts w:asciiTheme="majorHAnsi" w:hAnsiTheme="majorHAnsi" w:cstheme="majorHAnsi"/>
                <w:sz w:val="20"/>
                <w:szCs w:val="20"/>
                <w:vertAlign w:val="superscript"/>
              </w:rPr>
              <w:t>c</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Freeman Hospital</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RTD</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1.04</w:t>
            </w:r>
          </w:p>
        </w:tc>
        <w:tc>
          <w:tcPr>
            <w:tcW w:w="1644" w:type="dxa"/>
            <w:tcBorders>
              <w:top w:val="nil"/>
              <w:bottom w:val="nil"/>
            </w:tcBorders>
            <w:noWrap/>
            <w:hideMark/>
          </w:tcPr>
          <w:p w:rsidR="006A57B2" w:rsidRPr="001575B6" w:rsidRDefault="006A57B2" w:rsidP="00A45AE1">
            <w:pPr>
              <w:rPr>
                <w:rFonts w:asciiTheme="majorHAnsi" w:hAnsiTheme="majorHAnsi" w:cstheme="majorHAnsi"/>
                <w:sz w:val="20"/>
                <w:szCs w:val="20"/>
              </w:rPr>
            </w:pPr>
            <w:r w:rsidRPr="001575B6">
              <w:rPr>
                <w:rFonts w:asciiTheme="majorHAnsi" w:hAnsiTheme="majorHAnsi" w:cstheme="majorHAnsi"/>
                <w:sz w:val="20"/>
                <w:szCs w:val="20"/>
              </w:rPr>
              <w:t>£595</w:t>
            </w:r>
            <w:r>
              <w:rPr>
                <w:rFonts w:asciiTheme="majorHAnsi" w:hAnsiTheme="majorHAnsi" w:cstheme="majorHAnsi"/>
                <w:sz w:val="20"/>
                <w:szCs w:val="20"/>
                <w:vertAlign w:val="superscript"/>
              </w:rPr>
              <w:t>c</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Alder Hey</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RBS</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1.04</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£364</w:t>
            </w:r>
            <w:r>
              <w:rPr>
                <w:rFonts w:asciiTheme="majorHAnsi" w:hAnsiTheme="majorHAnsi" w:cstheme="majorHAnsi"/>
                <w:sz w:val="20"/>
                <w:szCs w:val="20"/>
                <w:vertAlign w:val="superscript"/>
              </w:rPr>
              <w:t>d</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Glenfield Hospital</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RWE</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1.04</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£751</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Great Ormond Street Hospital</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RP4</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1.29</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£2,15</w:t>
            </w:r>
            <w:r>
              <w:rPr>
                <w:rFonts w:asciiTheme="majorHAnsi" w:hAnsiTheme="majorHAnsi" w:cstheme="majorHAnsi"/>
                <w:sz w:val="20"/>
                <w:szCs w:val="20"/>
              </w:rPr>
              <w:t>7</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Leeds General Infirmary</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RR8</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1.05</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£542</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Leicester Royal Infirmary</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RWE</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1.04</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£751</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Queens Medical Centre</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RX1</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1.04</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£374</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Royal Brompton Hospital</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RT3</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1.25</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£3</w:t>
            </w:r>
            <w:r>
              <w:rPr>
                <w:rFonts w:asciiTheme="majorHAnsi" w:hAnsiTheme="majorHAnsi" w:cstheme="majorHAnsi"/>
                <w:sz w:val="20"/>
                <w:szCs w:val="20"/>
              </w:rPr>
              <w:t>70</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Royal Victoria Infirmary</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RTD</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1.25</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£342</w:t>
            </w:r>
          </w:p>
        </w:tc>
      </w:tr>
      <w:tr w:rsidR="006A57B2" w:rsidRPr="001575B6" w:rsidTr="00E7253D">
        <w:trPr>
          <w:trHeight w:val="300"/>
        </w:trPr>
        <w:tc>
          <w:tcPr>
            <w:tcW w:w="3256"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Southampton General Hospital</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RHM</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1.09</w:t>
            </w:r>
          </w:p>
        </w:tc>
        <w:tc>
          <w:tcPr>
            <w:tcW w:w="1644" w:type="dxa"/>
            <w:tcBorders>
              <w:top w:val="nil"/>
              <w:bottom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£212</w:t>
            </w:r>
          </w:p>
        </w:tc>
      </w:tr>
      <w:tr w:rsidR="006A57B2" w:rsidRPr="001575B6" w:rsidTr="00E7253D">
        <w:trPr>
          <w:trHeight w:val="300"/>
        </w:trPr>
        <w:tc>
          <w:tcPr>
            <w:tcW w:w="3256" w:type="dxa"/>
            <w:tcBorders>
              <w:top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St Mary's</w:t>
            </w:r>
          </w:p>
        </w:tc>
        <w:tc>
          <w:tcPr>
            <w:tcW w:w="1644" w:type="dxa"/>
            <w:tcBorders>
              <w:top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RYJ</w:t>
            </w:r>
          </w:p>
        </w:tc>
        <w:tc>
          <w:tcPr>
            <w:tcW w:w="1644" w:type="dxa"/>
            <w:tcBorders>
              <w:top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1.24</w:t>
            </w:r>
          </w:p>
        </w:tc>
        <w:tc>
          <w:tcPr>
            <w:tcW w:w="1644" w:type="dxa"/>
            <w:tcBorders>
              <w:top w:val="nil"/>
            </w:tcBorders>
            <w:noWrap/>
            <w:hideMark/>
          </w:tcPr>
          <w:p w:rsidR="006A57B2" w:rsidRPr="001575B6" w:rsidRDefault="006A57B2" w:rsidP="00B22173">
            <w:pPr>
              <w:rPr>
                <w:rFonts w:asciiTheme="majorHAnsi" w:hAnsiTheme="majorHAnsi" w:cstheme="majorHAnsi"/>
                <w:sz w:val="20"/>
                <w:szCs w:val="20"/>
              </w:rPr>
            </w:pPr>
            <w:r w:rsidRPr="001575B6">
              <w:rPr>
                <w:rFonts w:asciiTheme="majorHAnsi" w:hAnsiTheme="majorHAnsi" w:cstheme="majorHAnsi"/>
                <w:sz w:val="20"/>
                <w:szCs w:val="20"/>
              </w:rPr>
              <w:t>£394</w:t>
            </w:r>
          </w:p>
        </w:tc>
      </w:tr>
    </w:tbl>
    <w:p w:rsidR="006A57B2" w:rsidRPr="005B6ACD" w:rsidRDefault="006A57B2" w:rsidP="00B22173">
      <w:pPr>
        <w:spacing w:after="0"/>
      </w:pPr>
    </w:p>
    <w:p w:rsidR="006A57B2" w:rsidRPr="009A30C2" w:rsidRDefault="006A57B2" w:rsidP="00CF3A7A">
      <w:pPr>
        <w:spacing w:after="0"/>
        <w:rPr>
          <w:rFonts w:asciiTheme="majorHAnsi" w:hAnsiTheme="majorHAnsi" w:cstheme="majorHAnsi"/>
          <w:b/>
          <w:sz w:val="20"/>
        </w:rPr>
        <w:sectPr w:rsidR="006A57B2" w:rsidRPr="009A30C2" w:rsidSect="00B22173">
          <w:pgSz w:w="11906" w:h="16838"/>
          <w:pgMar w:top="1440" w:right="1440" w:bottom="1440" w:left="1440" w:header="708" w:footer="708" w:gutter="0"/>
          <w:cols w:space="708"/>
          <w:docGrid w:linePitch="360"/>
        </w:sectPr>
      </w:pPr>
      <w:r w:rsidRPr="009A30C2">
        <w:rPr>
          <w:rFonts w:asciiTheme="majorHAnsi" w:hAnsiTheme="majorHAnsi" w:cstheme="majorHAnsi"/>
          <w:sz w:val="20"/>
          <w:vertAlign w:val="superscript"/>
        </w:rPr>
        <w:t>a</w:t>
      </w:r>
      <w:r w:rsidRPr="009A30C2">
        <w:rPr>
          <w:rFonts w:asciiTheme="majorHAnsi" w:hAnsiTheme="majorHAnsi" w:cstheme="majorHAnsi"/>
          <w:sz w:val="20"/>
        </w:rPr>
        <w:t xml:space="preserve">used with HRGs only; </w:t>
      </w:r>
      <w:r w:rsidRPr="009A30C2">
        <w:rPr>
          <w:rFonts w:asciiTheme="majorHAnsi" w:hAnsiTheme="majorHAnsi" w:cstheme="majorHAnsi"/>
          <w:sz w:val="20"/>
          <w:vertAlign w:val="superscript"/>
        </w:rPr>
        <w:t xml:space="preserve">b </w:t>
      </w:r>
      <w:r w:rsidRPr="009A30C2">
        <w:rPr>
          <w:rFonts w:asciiTheme="majorHAnsi" w:hAnsiTheme="majorHAnsi" w:cstheme="majorHAnsi"/>
          <w:sz w:val="20"/>
        </w:rPr>
        <w:t xml:space="preserve">ward rate excludes ICU or HDU costs; </w:t>
      </w:r>
      <w:r w:rsidRPr="009A30C2">
        <w:rPr>
          <w:rFonts w:asciiTheme="majorHAnsi" w:hAnsiTheme="majorHAnsi" w:cstheme="majorHAnsi"/>
          <w:sz w:val="20"/>
          <w:vertAlign w:val="superscript"/>
        </w:rPr>
        <w:t xml:space="preserve">c </w:t>
      </w:r>
      <w:r w:rsidRPr="009A30C2">
        <w:rPr>
          <w:rFonts w:asciiTheme="majorHAnsi" w:hAnsiTheme="majorHAnsi" w:cstheme="majorHAnsi"/>
          <w:sz w:val="20"/>
        </w:rPr>
        <w:t>mean of series of wards provided by all hospitals except Alder Hey</w:t>
      </w:r>
      <w:r w:rsidRPr="009A30C2">
        <w:rPr>
          <w:rFonts w:asciiTheme="majorHAnsi" w:hAnsiTheme="majorHAnsi" w:cstheme="majorHAnsi"/>
          <w:b/>
          <w:sz w:val="20"/>
        </w:rPr>
        <w:t xml:space="preserve"> </w:t>
      </w:r>
      <w:r w:rsidRPr="009A30C2">
        <w:rPr>
          <w:rFonts w:asciiTheme="majorHAnsi" w:hAnsiTheme="majorHAnsi" w:cstheme="majorHAnsi"/>
          <w:sz w:val="20"/>
          <w:vertAlign w:val="superscript"/>
        </w:rPr>
        <w:t>d</w:t>
      </w:r>
      <w:r w:rsidRPr="009A30C2">
        <w:rPr>
          <w:rFonts w:asciiTheme="majorHAnsi" w:hAnsiTheme="majorHAnsi" w:cstheme="majorHAnsi"/>
          <w:sz w:val="20"/>
        </w:rPr>
        <w:t xml:space="preserve"> mean of series wards provided by hospital</w:t>
      </w:r>
    </w:p>
    <w:p w:rsidR="006A57B2" w:rsidRPr="00BE078C" w:rsidRDefault="006A57B2" w:rsidP="00E7253D">
      <w:pPr>
        <w:pStyle w:val="Caption"/>
        <w:rPr>
          <w:rFonts w:asciiTheme="majorHAnsi" w:hAnsiTheme="majorHAnsi"/>
          <w:color w:val="2E74B5" w:themeColor="accent1" w:themeShade="BF"/>
          <w:sz w:val="22"/>
          <w:szCs w:val="22"/>
        </w:rPr>
      </w:pPr>
      <w:bookmarkStart w:id="97" w:name="_Toc428178969"/>
      <w:r w:rsidRPr="00BE078C">
        <w:rPr>
          <w:sz w:val="22"/>
          <w:szCs w:val="22"/>
        </w:rPr>
        <w:t xml:space="preserve">Table </w:t>
      </w:r>
      <w:r>
        <w:rPr>
          <w:noProof/>
          <w:sz w:val="22"/>
          <w:szCs w:val="22"/>
        </w:rPr>
        <w:t>14</w:t>
      </w:r>
      <w:r w:rsidRPr="00BE078C">
        <w:rPr>
          <w:sz w:val="22"/>
          <w:szCs w:val="22"/>
        </w:rPr>
        <w:t xml:space="preserve">: Patients' lengths of stay </w:t>
      </w:r>
      <w:r>
        <w:rPr>
          <w:sz w:val="22"/>
          <w:szCs w:val="22"/>
        </w:rPr>
        <w:t xml:space="preserve">and count of dominant HRGs relating to inpatient stays, </w:t>
      </w:r>
      <w:r w:rsidRPr="00BE078C">
        <w:rPr>
          <w:sz w:val="22"/>
          <w:szCs w:val="22"/>
        </w:rPr>
        <w:t xml:space="preserve">from randomisation to </w:t>
      </w:r>
      <w:r>
        <w:rPr>
          <w:sz w:val="22"/>
          <w:szCs w:val="22"/>
        </w:rPr>
        <w:t>6 months</w:t>
      </w:r>
      <w:r w:rsidRPr="00BE078C">
        <w:rPr>
          <w:sz w:val="22"/>
          <w:szCs w:val="22"/>
        </w:rPr>
        <w:t xml:space="preserve"> (including readmissions), according to place and intensity of care and by intervention group</w:t>
      </w:r>
      <w:bookmarkEnd w:id="97"/>
      <w:r w:rsidRPr="00BE078C">
        <w:rPr>
          <w:rFonts w:asciiTheme="majorHAnsi" w:hAnsiTheme="majorHAnsi"/>
          <w:b w:val="0"/>
          <w:color w:val="2E74B5" w:themeColor="accent1" w:themeShade="BF"/>
          <w:sz w:val="22"/>
          <w:szCs w:val="22"/>
        </w:rPr>
        <w:t xml:space="preserve">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559"/>
        <w:gridCol w:w="1276"/>
        <w:gridCol w:w="1417"/>
        <w:gridCol w:w="1276"/>
        <w:gridCol w:w="1418"/>
        <w:gridCol w:w="1279"/>
      </w:tblGrid>
      <w:tr w:rsidR="006A57B2" w:rsidRPr="00173E94" w:rsidTr="009F7A8B">
        <w:trPr>
          <w:trHeight w:val="553"/>
        </w:trPr>
        <w:tc>
          <w:tcPr>
            <w:tcW w:w="5949" w:type="dxa"/>
            <w:tcBorders>
              <w:top w:val="nil"/>
              <w:left w:val="nil"/>
            </w:tcBorders>
            <w:shd w:val="clear" w:color="auto" w:fill="auto"/>
            <w:noWrap/>
            <w:vAlign w:val="bottom"/>
          </w:tcPr>
          <w:p w:rsidR="006A57B2" w:rsidRPr="00173E94" w:rsidRDefault="006A57B2" w:rsidP="00B22173">
            <w:pPr>
              <w:spacing w:after="0" w:line="240" w:lineRule="auto"/>
              <w:rPr>
                <w:rFonts w:asciiTheme="majorHAnsi" w:eastAsia="Times New Roman" w:hAnsiTheme="majorHAnsi" w:cstheme="majorHAnsi"/>
                <w:b/>
                <w:color w:val="000000"/>
                <w:sz w:val="20"/>
                <w:szCs w:val="20"/>
                <w:lang w:eastAsia="en-GB"/>
              </w:rPr>
            </w:pPr>
          </w:p>
        </w:tc>
        <w:tc>
          <w:tcPr>
            <w:tcW w:w="2835" w:type="dxa"/>
            <w:gridSpan w:val="2"/>
            <w:tcBorders>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An</w:t>
            </w:r>
            <w:r>
              <w:rPr>
                <w:rFonts w:asciiTheme="majorHAnsi" w:eastAsia="Times New Roman" w:hAnsiTheme="majorHAnsi" w:cstheme="majorHAnsi"/>
                <w:b/>
                <w:color w:val="000000"/>
                <w:sz w:val="20"/>
                <w:szCs w:val="20"/>
                <w:lang w:eastAsia="en-GB"/>
              </w:rPr>
              <w:t>tibiotic</w:t>
            </w:r>
          </w:p>
        </w:tc>
        <w:tc>
          <w:tcPr>
            <w:tcW w:w="2693" w:type="dxa"/>
            <w:gridSpan w:val="2"/>
            <w:tcBorders>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Pr>
                <w:rFonts w:asciiTheme="majorHAnsi" w:eastAsia="Times New Roman" w:hAnsiTheme="majorHAnsi" w:cstheme="majorHAnsi"/>
                <w:b/>
                <w:color w:val="000000"/>
                <w:sz w:val="20"/>
                <w:szCs w:val="20"/>
                <w:lang w:eastAsia="en-GB"/>
              </w:rPr>
              <w:t>Heparin</w:t>
            </w:r>
          </w:p>
        </w:tc>
        <w:tc>
          <w:tcPr>
            <w:tcW w:w="2697" w:type="dxa"/>
            <w:gridSpan w:val="2"/>
            <w:tcBorders>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Pr>
                <w:rFonts w:asciiTheme="majorHAnsi" w:eastAsia="Times New Roman" w:hAnsiTheme="majorHAnsi" w:cstheme="majorHAnsi"/>
                <w:b/>
                <w:color w:val="000000"/>
                <w:sz w:val="20"/>
                <w:szCs w:val="20"/>
                <w:lang w:eastAsia="en-GB"/>
              </w:rPr>
              <w:t>Standard</w:t>
            </w:r>
          </w:p>
        </w:tc>
      </w:tr>
      <w:tr w:rsidR="006A57B2" w:rsidRPr="00173E94" w:rsidTr="009F7A8B">
        <w:trPr>
          <w:trHeight w:val="288"/>
        </w:trPr>
        <w:tc>
          <w:tcPr>
            <w:tcW w:w="5949" w:type="dxa"/>
            <w:tcBorders>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Unit</w:t>
            </w:r>
          </w:p>
        </w:tc>
        <w:tc>
          <w:tcPr>
            <w:tcW w:w="1559" w:type="dxa"/>
            <w:tcBorders>
              <w:bottom w:val="single" w:sz="4" w:space="0" w:color="auto"/>
              <w:right w:val="nil"/>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Mean</w:t>
            </w:r>
            <w:r>
              <w:rPr>
                <w:rFonts w:asciiTheme="majorHAnsi" w:eastAsia="Times New Roman" w:hAnsiTheme="majorHAnsi" w:cstheme="majorHAnsi"/>
                <w:b/>
                <w:color w:val="000000"/>
                <w:sz w:val="20"/>
                <w:szCs w:val="20"/>
                <w:lang w:eastAsia="en-GB"/>
              </w:rPr>
              <w:t xml:space="preserve"> (median)</w:t>
            </w:r>
          </w:p>
        </w:tc>
        <w:tc>
          <w:tcPr>
            <w:tcW w:w="1276" w:type="dxa"/>
            <w:tcBorders>
              <w:left w:val="nil"/>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95% CI</w:t>
            </w:r>
          </w:p>
        </w:tc>
        <w:tc>
          <w:tcPr>
            <w:tcW w:w="1417" w:type="dxa"/>
            <w:tcBorders>
              <w:bottom w:val="single" w:sz="4" w:space="0" w:color="auto"/>
              <w:right w:val="nil"/>
            </w:tcBorders>
            <w:shd w:val="clear" w:color="auto" w:fill="9CC2E5" w:themeFill="accent1" w:themeFillTint="99"/>
            <w:noWrap/>
            <w:vAlign w:val="center"/>
          </w:tcPr>
          <w:p w:rsidR="006A57B2" w:rsidRPr="00F71347"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F71347">
              <w:rPr>
                <w:rFonts w:asciiTheme="majorHAnsi" w:eastAsia="Times New Roman" w:hAnsiTheme="majorHAnsi" w:cstheme="majorHAnsi"/>
                <w:b/>
                <w:color w:val="000000"/>
                <w:sz w:val="20"/>
                <w:szCs w:val="20"/>
                <w:lang w:eastAsia="en-GB"/>
              </w:rPr>
              <w:t>Mean</w:t>
            </w:r>
            <w:r>
              <w:rPr>
                <w:rFonts w:asciiTheme="majorHAnsi" w:eastAsia="Times New Roman" w:hAnsiTheme="majorHAnsi" w:cstheme="majorHAnsi"/>
                <w:b/>
                <w:color w:val="000000"/>
                <w:sz w:val="20"/>
                <w:szCs w:val="20"/>
                <w:lang w:eastAsia="en-GB"/>
              </w:rPr>
              <w:t xml:space="preserve"> (median)</w:t>
            </w:r>
          </w:p>
        </w:tc>
        <w:tc>
          <w:tcPr>
            <w:tcW w:w="1276" w:type="dxa"/>
            <w:tcBorders>
              <w:left w:val="nil"/>
              <w:bottom w:val="single" w:sz="4" w:space="0" w:color="auto"/>
            </w:tcBorders>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95% CI</w:t>
            </w:r>
          </w:p>
        </w:tc>
        <w:tc>
          <w:tcPr>
            <w:tcW w:w="1418" w:type="dxa"/>
            <w:tcBorders>
              <w:bottom w:val="single" w:sz="4" w:space="0" w:color="auto"/>
              <w:right w:val="nil"/>
            </w:tcBorders>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Mean</w:t>
            </w:r>
            <w:r>
              <w:rPr>
                <w:rFonts w:asciiTheme="majorHAnsi" w:eastAsia="Times New Roman" w:hAnsiTheme="majorHAnsi" w:cstheme="majorHAnsi"/>
                <w:b/>
                <w:color w:val="000000"/>
                <w:sz w:val="20"/>
                <w:szCs w:val="20"/>
                <w:lang w:eastAsia="en-GB"/>
              </w:rPr>
              <w:t xml:space="preserve"> (median)</w:t>
            </w:r>
          </w:p>
        </w:tc>
        <w:tc>
          <w:tcPr>
            <w:tcW w:w="1279" w:type="dxa"/>
            <w:tcBorders>
              <w:left w:val="nil"/>
              <w:bottom w:val="single" w:sz="4" w:space="0" w:color="auto"/>
            </w:tcBorders>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95% CI</w:t>
            </w:r>
          </w:p>
        </w:tc>
      </w:tr>
      <w:tr w:rsidR="006A57B2" w:rsidRPr="00173E94" w:rsidTr="009F7A8B">
        <w:trPr>
          <w:trHeight w:val="288"/>
        </w:trPr>
        <w:tc>
          <w:tcPr>
            <w:tcW w:w="5949" w:type="dxa"/>
            <w:tcBorders>
              <w:bottom w:val="nil"/>
              <w:right w:val="single" w:sz="4" w:space="0" w:color="auto"/>
            </w:tcBorders>
            <w:shd w:val="clear" w:color="auto" w:fill="auto"/>
            <w:noWrap/>
            <w:vAlign w:val="bottom"/>
            <w:hideMark/>
          </w:tcPr>
          <w:p w:rsidR="006A57B2" w:rsidRPr="001A3F11" w:rsidRDefault="006A57B2" w:rsidP="00B22173">
            <w:pPr>
              <w:spacing w:after="0" w:line="240" w:lineRule="auto"/>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Days on ICU</w:t>
            </w:r>
          </w:p>
        </w:tc>
        <w:tc>
          <w:tcPr>
            <w:tcW w:w="1559" w:type="dxa"/>
            <w:tcBorders>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10.79</w:t>
            </w:r>
            <w:r>
              <w:rPr>
                <w:rFonts w:asciiTheme="majorHAnsi" w:hAnsiTheme="majorHAnsi"/>
                <w:color w:val="000000"/>
                <w:sz w:val="20"/>
                <w:szCs w:val="20"/>
              </w:rPr>
              <w:t xml:space="preserve"> (5.00)</w:t>
            </w:r>
          </w:p>
        </w:tc>
        <w:tc>
          <w:tcPr>
            <w:tcW w:w="1276" w:type="dxa"/>
            <w:tcBorders>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9.28, 12.48</w:t>
            </w:r>
          </w:p>
        </w:tc>
        <w:tc>
          <w:tcPr>
            <w:tcW w:w="1417" w:type="dxa"/>
            <w:tcBorders>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9.91</w:t>
            </w:r>
            <w:r>
              <w:rPr>
                <w:rFonts w:asciiTheme="majorHAnsi" w:hAnsiTheme="majorHAnsi"/>
                <w:color w:val="000000"/>
                <w:sz w:val="20"/>
                <w:szCs w:val="20"/>
              </w:rPr>
              <w:t xml:space="preserve"> (5.00)</w:t>
            </w:r>
          </w:p>
        </w:tc>
        <w:tc>
          <w:tcPr>
            <w:tcW w:w="1276" w:type="dxa"/>
            <w:tcBorders>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8.57, 11.44</w:t>
            </w:r>
          </w:p>
        </w:tc>
        <w:tc>
          <w:tcPr>
            <w:tcW w:w="1418" w:type="dxa"/>
            <w:tcBorders>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10.50</w:t>
            </w:r>
            <w:r>
              <w:rPr>
                <w:rFonts w:asciiTheme="majorHAnsi" w:hAnsiTheme="majorHAnsi"/>
                <w:color w:val="000000"/>
                <w:sz w:val="20"/>
                <w:szCs w:val="20"/>
              </w:rPr>
              <w:t xml:space="preserve"> (5.00)</w:t>
            </w:r>
          </w:p>
        </w:tc>
        <w:tc>
          <w:tcPr>
            <w:tcW w:w="1279" w:type="dxa"/>
            <w:tcBorders>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9.17, 11.93</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 xml:space="preserve">Paediatric Critical Care, Intensive </w:t>
            </w:r>
            <w:r w:rsidRPr="001A3F11">
              <w:rPr>
                <w:rFonts w:asciiTheme="majorHAnsi" w:eastAsia="Times New Roman" w:hAnsiTheme="majorHAnsi" w:cstheme="majorHAnsi"/>
                <w:color w:val="000000"/>
                <w:sz w:val="20"/>
                <w:szCs w:val="20"/>
                <w:lang w:eastAsia="en-GB"/>
              </w:rPr>
              <w:t>Care, ECMO/ECLS (XB01Z)</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0.31</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0.07, 0.72</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0.39</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0.09, 0.80</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0.41</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0.17, 0.72</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Paediatric Critical Care, Intensive Care, Advanced Enhanced (XB02Z)</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0.16</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0.09, 0.26</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0.12</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0.09, 0.15</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0.16</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0.10, 0.26</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Paediatric Critical Care, Intensive Care, Advanced (XB03Z)</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0.77</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0.51, 1.05</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0.62</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0.43, 0.83</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0.65</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0.46, 0.87</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Paediatric Critical Care, Intensive Care, Basic Enhanced (XB04Z)</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2.30</w:t>
            </w:r>
            <w:r>
              <w:rPr>
                <w:rFonts w:asciiTheme="majorHAnsi" w:hAnsiTheme="majorHAnsi"/>
                <w:color w:val="000000"/>
                <w:sz w:val="20"/>
                <w:szCs w:val="20"/>
              </w:rPr>
              <w:t xml:space="preserve"> (0.49)</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1.92, 2.72</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2.69</w:t>
            </w:r>
            <w:r>
              <w:rPr>
                <w:rFonts w:asciiTheme="majorHAnsi" w:hAnsiTheme="majorHAnsi"/>
                <w:color w:val="000000"/>
                <w:sz w:val="20"/>
                <w:szCs w:val="20"/>
              </w:rPr>
              <w:t xml:space="preserve"> (0.78)</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2.09, 3.44</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2.76</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2.14, 3.54</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Paediatric Critical Care, Intensive Care, Basic (XB05Z)</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6.96</w:t>
            </w:r>
            <w:r>
              <w:rPr>
                <w:rFonts w:asciiTheme="majorHAnsi" w:hAnsiTheme="majorHAnsi"/>
                <w:color w:val="000000"/>
                <w:sz w:val="20"/>
                <w:szCs w:val="20"/>
              </w:rPr>
              <w:t xml:space="preserve"> (2.00)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5.65, 8.45</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5.63</w:t>
            </w:r>
            <w:r>
              <w:rPr>
                <w:rFonts w:asciiTheme="majorHAnsi" w:hAnsiTheme="majorHAnsi"/>
                <w:color w:val="000000"/>
                <w:sz w:val="20"/>
                <w:szCs w:val="20"/>
              </w:rPr>
              <w:t xml:space="preserve"> (2.00)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4.75, 6.59</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6.40</w:t>
            </w:r>
            <w:r>
              <w:rPr>
                <w:rFonts w:asciiTheme="majorHAnsi" w:hAnsiTheme="majorHAnsi"/>
                <w:color w:val="000000"/>
                <w:sz w:val="20"/>
                <w:szCs w:val="20"/>
              </w:rPr>
              <w:t xml:space="preserve"> (2.95)</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5.42, 7.47</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Neonatal Critical Care, Intensive Care (XA01C)</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0.29</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0.10, 0.55</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0.46</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0.13. 1.03</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0.11</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0.04, 0.20</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Days on HDU</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2.00</w:t>
            </w:r>
            <w:r>
              <w:rPr>
                <w:rFonts w:asciiTheme="majorHAnsi" w:hAnsiTheme="majorHAnsi"/>
                <w:color w:val="000000"/>
                <w:sz w:val="20"/>
                <w:szCs w:val="20"/>
              </w:rPr>
              <w:t xml:space="preserve"> (0.59)</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1.48, 2.62</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1.60</w:t>
            </w:r>
            <w:r>
              <w:rPr>
                <w:rFonts w:asciiTheme="majorHAnsi" w:hAnsiTheme="majorHAnsi"/>
                <w:color w:val="000000"/>
                <w:sz w:val="20"/>
                <w:szCs w:val="20"/>
              </w:rPr>
              <w:t xml:space="preserve"> (0.59)</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1.28, 1.99</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1.73</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1.44, 2.05</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Paediatric Critical Care, High Dependency, Advanced (XB06Z)</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1.28</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0.94, 1.70</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1.09</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0.80, 1.45</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1.22</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0.98, 1.49</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Paediatric Critical Care, High Dependency (XB07Z)</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0.72</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0.42, 1.16</w:t>
            </w: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0.51</w:t>
            </w:r>
            <w:r>
              <w:rPr>
                <w:rFonts w:asciiTheme="majorHAnsi" w:hAnsiTheme="majorHAnsi"/>
                <w:color w:val="000000"/>
                <w:sz w:val="20"/>
                <w:szCs w:val="20"/>
              </w:rPr>
              <w:t xml:space="preserve"> (0.00)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0.40, 0.64</w:t>
            </w: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0.51</w:t>
            </w:r>
            <w:r>
              <w:rPr>
                <w:rFonts w:asciiTheme="majorHAnsi" w:hAnsiTheme="majorHAnsi"/>
                <w:color w:val="000000"/>
                <w:sz w:val="20"/>
                <w:szCs w:val="20"/>
              </w:rPr>
              <w:t xml:space="preserve"> (0.00)</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0.40, 0.64</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hideMark/>
          </w:tcPr>
          <w:p w:rsidR="006A57B2" w:rsidRPr="001A3F11" w:rsidRDefault="006A57B2" w:rsidP="00B22173">
            <w:pPr>
              <w:spacing w:after="0" w:line="240" w:lineRule="auto"/>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Days on ward</w:t>
            </w:r>
          </w:p>
        </w:tc>
        <w:tc>
          <w:tcPr>
            <w:tcW w:w="1559"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22.01</w:t>
            </w:r>
            <w:r>
              <w:rPr>
                <w:rFonts w:asciiTheme="majorHAnsi" w:hAnsiTheme="majorHAnsi"/>
                <w:color w:val="000000"/>
                <w:sz w:val="20"/>
                <w:szCs w:val="20"/>
              </w:rPr>
              <w:t xml:space="preserve"> (9.13)</w:t>
            </w:r>
          </w:p>
        </w:tc>
        <w:tc>
          <w:tcPr>
            <w:tcW w:w="1276" w:type="dxa"/>
            <w:tcBorders>
              <w:top w:val="nil"/>
              <w:left w:val="nil"/>
              <w:bottom w:val="nil"/>
              <w:right w:val="single" w:sz="4" w:space="0" w:color="auto"/>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19.26, 24.80</w:t>
            </w:r>
          </w:p>
        </w:tc>
        <w:tc>
          <w:tcPr>
            <w:tcW w:w="1417"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19.85</w:t>
            </w:r>
            <w:r>
              <w:rPr>
                <w:rFonts w:asciiTheme="majorHAnsi" w:hAnsiTheme="majorHAnsi"/>
                <w:color w:val="000000"/>
                <w:sz w:val="20"/>
                <w:szCs w:val="20"/>
              </w:rPr>
              <w:t xml:space="preserve"> (9.00)</w:t>
            </w:r>
          </w:p>
        </w:tc>
        <w:tc>
          <w:tcPr>
            <w:tcW w:w="1276" w:type="dxa"/>
            <w:tcBorders>
              <w:top w:val="nil"/>
              <w:left w:val="nil"/>
              <w:bottom w:val="nil"/>
              <w:right w:val="single" w:sz="4" w:space="0" w:color="auto"/>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17.40, 22.40</w:t>
            </w:r>
          </w:p>
        </w:tc>
        <w:tc>
          <w:tcPr>
            <w:tcW w:w="1418" w:type="dxa"/>
            <w:tcBorders>
              <w:top w:val="nil"/>
              <w:left w:val="single" w:sz="4" w:space="0" w:color="auto"/>
              <w:bottom w:val="nil"/>
              <w:right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19.48</w:t>
            </w:r>
            <w:r>
              <w:rPr>
                <w:rFonts w:asciiTheme="majorHAnsi" w:hAnsiTheme="majorHAnsi"/>
                <w:color w:val="000000"/>
                <w:sz w:val="20"/>
                <w:szCs w:val="20"/>
              </w:rPr>
              <w:t xml:space="preserve"> (8.57)</w:t>
            </w:r>
          </w:p>
        </w:tc>
        <w:tc>
          <w:tcPr>
            <w:tcW w:w="1279" w:type="dxa"/>
            <w:tcBorders>
              <w:top w:val="nil"/>
              <w:left w:val="nil"/>
              <w:bottom w:val="nil"/>
            </w:tcBorders>
            <w:shd w:val="clear" w:color="auto" w:fill="auto"/>
            <w:noWrap/>
            <w:vAlign w:val="bottom"/>
            <w:hideMark/>
          </w:tcPr>
          <w:p w:rsidR="006A57B2" w:rsidRPr="001A3F11" w:rsidRDefault="006A57B2" w:rsidP="00B22173">
            <w:pPr>
              <w:spacing w:after="0" w:line="240" w:lineRule="auto"/>
              <w:jc w:val="center"/>
              <w:rPr>
                <w:rFonts w:asciiTheme="majorHAnsi" w:eastAsia="Times New Roman" w:hAnsiTheme="majorHAnsi" w:cstheme="majorHAnsi"/>
                <w:color w:val="000000"/>
                <w:sz w:val="20"/>
                <w:szCs w:val="20"/>
                <w:lang w:eastAsia="en-GB"/>
              </w:rPr>
            </w:pPr>
            <w:r w:rsidRPr="00F760EA">
              <w:rPr>
                <w:rFonts w:asciiTheme="majorHAnsi" w:hAnsiTheme="majorHAnsi"/>
                <w:color w:val="000000"/>
                <w:sz w:val="20"/>
                <w:szCs w:val="20"/>
              </w:rPr>
              <w:t>17.12, 21.94</w:t>
            </w:r>
          </w:p>
        </w:tc>
      </w:tr>
      <w:tr w:rsidR="006A57B2" w:rsidRPr="00E65D0E" w:rsidTr="009F7A8B">
        <w:trPr>
          <w:trHeight w:val="288"/>
        </w:trPr>
        <w:tc>
          <w:tcPr>
            <w:tcW w:w="5949" w:type="dxa"/>
            <w:tcBorders>
              <w:top w:val="nil"/>
              <w:right w:val="single" w:sz="4" w:space="0" w:color="auto"/>
            </w:tcBorders>
            <w:shd w:val="clear" w:color="auto" w:fill="auto"/>
            <w:noWrap/>
            <w:vAlign w:val="bottom"/>
            <w:hideMark/>
          </w:tcPr>
          <w:p w:rsidR="006A57B2" w:rsidRPr="001A3F11" w:rsidRDefault="006A57B2" w:rsidP="00306E0C">
            <w:pPr>
              <w:spacing w:after="0" w:line="240" w:lineRule="auto"/>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Total days in hospital</w:t>
            </w:r>
          </w:p>
        </w:tc>
        <w:tc>
          <w:tcPr>
            <w:tcW w:w="1559" w:type="dxa"/>
            <w:tcBorders>
              <w:top w:val="nil"/>
              <w:left w:val="single" w:sz="4" w:space="0" w:color="auto"/>
              <w:right w:val="nil"/>
            </w:tcBorders>
            <w:shd w:val="clear" w:color="auto" w:fill="auto"/>
            <w:noWrap/>
            <w:vAlign w:val="bottom"/>
            <w:hideMark/>
          </w:tcPr>
          <w:p w:rsidR="006A57B2" w:rsidRPr="001A3F11" w:rsidRDefault="006A57B2" w:rsidP="00306E0C">
            <w:pPr>
              <w:spacing w:after="0" w:line="240" w:lineRule="auto"/>
              <w:jc w:val="center"/>
              <w:rPr>
                <w:rFonts w:asciiTheme="majorHAnsi" w:eastAsia="Times New Roman" w:hAnsiTheme="majorHAnsi" w:cstheme="majorHAnsi"/>
                <w:color w:val="000000"/>
                <w:sz w:val="20"/>
                <w:szCs w:val="20"/>
                <w:lang w:eastAsia="en-GB"/>
              </w:rPr>
            </w:pPr>
            <w:r w:rsidRPr="00E65D0E">
              <w:rPr>
                <w:rFonts w:asciiTheme="majorHAnsi" w:hAnsiTheme="majorHAnsi"/>
                <w:color w:val="000000"/>
                <w:sz w:val="20"/>
                <w:szCs w:val="20"/>
              </w:rPr>
              <w:t>34.80</w:t>
            </w:r>
            <w:r>
              <w:rPr>
                <w:rFonts w:asciiTheme="majorHAnsi" w:hAnsiTheme="majorHAnsi"/>
                <w:color w:val="000000"/>
                <w:sz w:val="20"/>
                <w:szCs w:val="20"/>
              </w:rPr>
              <w:t xml:space="preserve"> (20.00)</w:t>
            </w:r>
          </w:p>
        </w:tc>
        <w:tc>
          <w:tcPr>
            <w:tcW w:w="1276" w:type="dxa"/>
            <w:tcBorders>
              <w:top w:val="nil"/>
              <w:left w:val="nil"/>
              <w:right w:val="single" w:sz="4" w:space="0" w:color="auto"/>
            </w:tcBorders>
            <w:shd w:val="clear" w:color="auto" w:fill="auto"/>
            <w:noWrap/>
            <w:vAlign w:val="bottom"/>
            <w:hideMark/>
          </w:tcPr>
          <w:p w:rsidR="006A57B2" w:rsidRPr="001A3F11" w:rsidRDefault="006A57B2" w:rsidP="00306E0C">
            <w:pPr>
              <w:spacing w:after="0" w:line="240" w:lineRule="auto"/>
              <w:jc w:val="center"/>
              <w:rPr>
                <w:rFonts w:asciiTheme="majorHAnsi" w:eastAsia="Times New Roman" w:hAnsiTheme="majorHAnsi" w:cstheme="majorHAnsi"/>
                <w:color w:val="000000"/>
                <w:sz w:val="20"/>
                <w:szCs w:val="20"/>
                <w:lang w:eastAsia="en-GB"/>
              </w:rPr>
            </w:pPr>
            <w:r w:rsidRPr="00E65D0E">
              <w:rPr>
                <w:rFonts w:asciiTheme="majorHAnsi" w:hAnsiTheme="majorHAnsi"/>
                <w:color w:val="000000"/>
                <w:sz w:val="20"/>
                <w:szCs w:val="20"/>
              </w:rPr>
              <w:t>31.21, 38.48</w:t>
            </w:r>
          </w:p>
        </w:tc>
        <w:tc>
          <w:tcPr>
            <w:tcW w:w="1417" w:type="dxa"/>
            <w:tcBorders>
              <w:top w:val="nil"/>
              <w:left w:val="single" w:sz="4" w:space="0" w:color="auto"/>
              <w:right w:val="nil"/>
            </w:tcBorders>
            <w:shd w:val="clear" w:color="auto" w:fill="auto"/>
            <w:noWrap/>
            <w:vAlign w:val="bottom"/>
            <w:hideMark/>
          </w:tcPr>
          <w:p w:rsidR="006A57B2" w:rsidRPr="001A3F11" w:rsidRDefault="006A57B2" w:rsidP="00306E0C">
            <w:pPr>
              <w:spacing w:after="0" w:line="240" w:lineRule="auto"/>
              <w:jc w:val="center"/>
              <w:rPr>
                <w:rFonts w:asciiTheme="majorHAnsi" w:eastAsia="Times New Roman" w:hAnsiTheme="majorHAnsi" w:cstheme="majorHAnsi"/>
                <w:color w:val="000000"/>
                <w:sz w:val="20"/>
                <w:szCs w:val="20"/>
                <w:lang w:eastAsia="en-GB"/>
              </w:rPr>
            </w:pPr>
            <w:r w:rsidRPr="00E65D0E">
              <w:rPr>
                <w:rFonts w:asciiTheme="majorHAnsi" w:hAnsiTheme="majorHAnsi"/>
                <w:color w:val="000000"/>
                <w:sz w:val="20"/>
                <w:szCs w:val="20"/>
              </w:rPr>
              <w:t>31.36</w:t>
            </w:r>
            <w:r>
              <w:rPr>
                <w:rFonts w:asciiTheme="majorHAnsi" w:hAnsiTheme="majorHAnsi"/>
                <w:color w:val="000000"/>
                <w:sz w:val="20"/>
                <w:szCs w:val="20"/>
              </w:rPr>
              <w:t xml:space="preserve"> (17.00)</w:t>
            </w:r>
          </w:p>
        </w:tc>
        <w:tc>
          <w:tcPr>
            <w:tcW w:w="1276" w:type="dxa"/>
            <w:tcBorders>
              <w:top w:val="nil"/>
              <w:left w:val="nil"/>
              <w:right w:val="single" w:sz="4" w:space="0" w:color="auto"/>
            </w:tcBorders>
            <w:shd w:val="clear" w:color="auto" w:fill="auto"/>
            <w:noWrap/>
            <w:vAlign w:val="bottom"/>
            <w:hideMark/>
          </w:tcPr>
          <w:p w:rsidR="006A57B2" w:rsidRPr="001A3F11" w:rsidRDefault="006A57B2" w:rsidP="00306E0C">
            <w:pPr>
              <w:spacing w:after="0" w:line="240" w:lineRule="auto"/>
              <w:jc w:val="center"/>
              <w:rPr>
                <w:rFonts w:asciiTheme="majorHAnsi" w:eastAsia="Times New Roman" w:hAnsiTheme="majorHAnsi" w:cstheme="majorHAnsi"/>
                <w:color w:val="000000"/>
                <w:sz w:val="20"/>
                <w:szCs w:val="20"/>
                <w:lang w:eastAsia="en-GB"/>
              </w:rPr>
            </w:pPr>
            <w:r w:rsidRPr="00E65D0E">
              <w:rPr>
                <w:rFonts w:asciiTheme="majorHAnsi" w:hAnsiTheme="majorHAnsi"/>
                <w:color w:val="000000"/>
                <w:sz w:val="20"/>
                <w:szCs w:val="20"/>
              </w:rPr>
              <w:t>28.18, 34.65</w:t>
            </w:r>
          </w:p>
        </w:tc>
        <w:tc>
          <w:tcPr>
            <w:tcW w:w="1418" w:type="dxa"/>
            <w:tcBorders>
              <w:top w:val="nil"/>
              <w:left w:val="single" w:sz="4" w:space="0" w:color="auto"/>
              <w:right w:val="nil"/>
            </w:tcBorders>
            <w:shd w:val="clear" w:color="auto" w:fill="auto"/>
            <w:noWrap/>
            <w:vAlign w:val="bottom"/>
            <w:hideMark/>
          </w:tcPr>
          <w:p w:rsidR="006A57B2" w:rsidRPr="001A3F11" w:rsidRDefault="006A57B2">
            <w:pPr>
              <w:spacing w:after="0" w:line="240" w:lineRule="auto"/>
              <w:jc w:val="center"/>
              <w:rPr>
                <w:rFonts w:asciiTheme="majorHAnsi" w:eastAsia="Times New Roman" w:hAnsiTheme="majorHAnsi" w:cstheme="majorHAnsi"/>
                <w:color w:val="000000"/>
                <w:sz w:val="20"/>
                <w:szCs w:val="20"/>
                <w:lang w:eastAsia="en-GB"/>
              </w:rPr>
            </w:pPr>
            <w:r w:rsidRPr="00E65D0E">
              <w:rPr>
                <w:rFonts w:asciiTheme="majorHAnsi" w:hAnsiTheme="majorHAnsi"/>
                <w:color w:val="000000"/>
                <w:sz w:val="20"/>
                <w:szCs w:val="20"/>
              </w:rPr>
              <w:t>31.72</w:t>
            </w:r>
            <w:r>
              <w:rPr>
                <w:rFonts w:asciiTheme="majorHAnsi" w:hAnsiTheme="majorHAnsi"/>
                <w:color w:val="000000"/>
                <w:sz w:val="20"/>
                <w:szCs w:val="20"/>
              </w:rPr>
              <w:t xml:space="preserve"> (17.97)</w:t>
            </w:r>
          </w:p>
        </w:tc>
        <w:tc>
          <w:tcPr>
            <w:tcW w:w="1279" w:type="dxa"/>
            <w:tcBorders>
              <w:top w:val="nil"/>
              <w:left w:val="nil"/>
            </w:tcBorders>
            <w:shd w:val="clear" w:color="auto" w:fill="auto"/>
            <w:noWrap/>
            <w:vAlign w:val="bottom"/>
            <w:hideMark/>
          </w:tcPr>
          <w:p w:rsidR="006A57B2" w:rsidRPr="001A3F11" w:rsidRDefault="006A57B2" w:rsidP="00306E0C">
            <w:pPr>
              <w:spacing w:after="0" w:line="240" w:lineRule="auto"/>
              <w:jc w:val="center"/>
              <w:rPr>
                <w:rFonts w:asciiTheme="majorHAnsi" w:eastAsia="Times New Roman" w:hAnsiTheme="majorHAnsi" w:cstheme="majorHAnsi"/>
                <w:color w:val="000000"/>
                <w:sz w:val="20"/>
                <w:szCs w:val="20"/>
                <w:lang w:eastAsia="en-GB"/>
              </w:rPr>
            </w:pPr>
            <w:r w:rsidRPr="00E65D0E">
              <w:rPr>
                <w:rFonts w:asciiTheme="majorHAnsi" w:hAnsiTheme="majorHAnsi"/>
                <w:color w:val="000000"/>
                <w:sz w:val="20"/>
                <w:szCs w:val="20"/>
              </w:rPr>
              <w:t>28.75, 34.81</w:t>
            </w: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tcPr>
          <w:p w:rsidR="006A57B2" w:rsidRPr="00173E94" w:rsidRDefault="006A57B2" w:rsidP="00F760EA">
            <w:pPr>
              <w:spacing w:after="0" w:line="240" w:lineRule="auto"/>
              <w:rPr>
                <w:rFonts w:asciiTheme="majorHAnsi" w:eastAsia="Times New Roman" w:hAnsiTheme="majorHAnsi" w:cstheme="majorHAnsi"/>
                <w:color w:val="000000"/>
                <w:sz w:val="20"/>
                <w:szCs w:val="20"/>
                <w:lang w:eastAsia="en-GB"/>
              </w:rPr>
            </w:pPr>
            <w:r>
              <w:rPr>
                <w:rFonts w:asciiTheme="majorHAnsi" w:eastAsia="Times New Roman" w:hAnsiTheme="majorHAnsi" w:cstheme="majorHAnsi"/>
                <w:color w:val="000000"/>
                <w:sz w:val="20"/>
                <w:szCs w:val="20"/>
                <w:lang w:eastAsia="en-GB"/>
              </w:rPr>
              <w:t>Count of non-PICU/HDU inpatient HRGs</w:t>
            </w:r>
          </w:p>
        </w:tc>
        <w:tc>
          <w:tcPr>
            <w:tcW w:w="1559"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tcPr>
          <w:p w:rsidR="006A57B2" w:rsidRPr="00173E94" w:rsidRDefault="006A57B2" w:rsidP="00F760EA">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Complex Congenital Surgery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EA24Z</w:t>
            </w:r>
            <w:r>
              <w:rPr>
                <w:rFonts w:asciiTheme="majorHAnsi" w:eastAsia="Times New Roman" w:hAnsiTheme="majorHAnsi" w:cstheme="majorHAnsi"/>
                <w:color w:val="000000"/>
                <w:sz w:val="20"/>
                <w:szCs w:val="20"/>
                <w:lang w:eastAsia="en-GB"/>
              </w:rPr>
              <w:t>)</w:t>
            </w:r>
          </w:p>
        </w:tc>
        <w:tc>
          <w:tcPr>
            <w:tcW w:w="1559"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100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103</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109</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tcPr>
          <w:p w:rsidR="006A57B2" w:rsidRPr="00173E94" w:rsidRDefault="006A57B2" w:rsidP="00F760EA">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Intermediate Congenital Surgery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EA25Z</w:t>
            </w:r>
            <w:r>
              <w:rPr>
                <w:rFonts w:asciiTheme="majorHAnsi" w:eastAsia="Times New Roman" w:hAnsiTheme="majorHAnsi" w:cstheme="majorHAnsi"/>
                <w:color w:val="000000"/>
                <w:sz w:val="20"/>
                <w:szCs w:val="20"/>
                <w:lang w:eastAsia="en-GB"/>
              </w:rPr>
              <w:t>)</w:t>
            </w:r>
          </w:p>
        </w:tc>
        <w:tc>
          <w:tcPr>
            <w:tcW w:w="1559"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68</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70</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72</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tcPr>
          <w:p w:rsidR="006A57B2" w:rsidRPr="00173E94" w:rsidRDefault="006A57B2" w:rsidP="00F760EA">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Major Complex Congenital Surgery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EA23Z</w:t>
            </w:r>
            <w:r>
              <w:rPr>
                <w:rFonts w:asciiTheme="majorHAnsi" w:eastAsia="Times New Roman" w:hAnsiTheme="majorHAnsi" w:cstheme="majorHAnsi"/>
                <w:color w:val="000000"/>
                <w:sz w:val="20"/>
                <w:szCs w:val="20"/>
                <w:lang w:eastAsia="en-GB"/>
              </w:rPr>
              <w:t>)</w:t>
            </w:r>
          </w:p>
        </w:tc>
        <w:tc>
          <w:tcPr>
            <w:tcW w:w="1559"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45</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39</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37</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tcPr>
          <w:p w:rsidR="006A57B2" w:rsidRPr="00173E94" w:rsidRDefault="006A57B2" w:rsidP="00F760EA">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 xml:space="preserve">Cardiac Conditions with </w:t>
            </w:r>
            <w:r>
              <w:rPr>
                <w:rFonts w:asciiTheme="majorHAnsi" w:eastAsia="Times New Roman" w:hAnsiTheme="majorHAnsi" w:cstheme="majorHAnsi"/>
                <w:color w:val="000000"/>
                <w:sz w:val="20"/>
                <w:szCs w:val="20"/>
                <w:lang w:eastAsia="en-GB"/>
              </w:rPr>
              <w:t>c</w:t>
            </w:r>
            <w:r w:rsidRPr="001A3F11">
              <w:rPr>
                <w:rFonts w:asciiTheme="majorHAnsi" w:eastAsia="Times New Roman" w:hAnsiTheme="majorHAnsi" w:cstheme="majorHAnsi"/>
                <w:color w:val="000000"/>
                <w:sz w:val="20"/>
                <w:szCs w:val="20"/>
                <w:lang w:eastAsia="en-GB"/>
              </w:rPr>
              <w:t xml:space="preserve">omplication and </w:t>
            </w:r>
            <w:r>
              <w:rPr>
                <w:rFonts w:asciiTheme="majorHAnsi" w:eastAsia="Times New Roman" w:hAnsiTheme="majorHAnsi" w:cstheme="majorHAnsi"/>
                <w:color w:val="000000"/>
                <w:sz w:val="20"/>
                <w:szCs w:val="20"/>
                <w:lang w:eastAsia="en-GB"/>
              </w:rPr>
              <w:t>c</w:t>
            </w:r>
            <w:r w:rsidRPr="001A3F11">
              <w:rPr>
                <w:rFonts w:asciiTheme="majorHAnsi" w:eastAsia="Times New Roman" w:hAnsiTheme="majorHAnsi" w:cstheme="majorHAnsi"/>
                <w:color w:val="000000"/>
                <w:sz w:val="20"/>
                <w:szCs w:val="20"/>
                <w:lang w:eastAsia="en-GB"/>
              </w:rPr>
              <w:t>omorbidity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PA23A</w:t>
            </w:r>
            <w:r>
              <w:rPr>
                <w:rFonts w:asciiTheme="majorHAnsi" w:eastAsia="Times New Roman" w:hAnsiTheme="majorHAnsi" w:cstheme="majorHAnsi"/>
                <w:color w:val="000000"/>
                <w:sz w:val="20"/>
                <w:szCs w:val="20"/>
                <w:lang w:eastAsia="en-GB"/>
              </w:rPr>
              <w:t>)</w:t>
            </w:r>
          </w:p>
        </w:tc>
        <w:tc>
          <w:tcPr>
            <w:tcW w:w="1559"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109</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102</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74</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tcPr>
          <w:p w:rsidR="006A57B2" w:rsidRPr="00173E94" w:rsidRDefault="006A57B2" w:rsidP="00F760EA">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Lower Respiratory Tract Disorders</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 xml:space="preserve">without </w:t>
            </w:r>
            <w:r>
              <w:rPr>
                <w:rFonts w:asciiTheme="majorHAnsi" w:eastAsia="Times New Roman" w:hAnsiTheme="majorHAnsi" w:cstheme="majorHAnsi"/>
                <w:color w:val="000000"/>
                <w:sz w:val="20"/>
                <w:szCs w:val="20"/>
                <w:lang w:eastAsia="en-GB"/>
              </w:rPr>
              <w:t>a</w:t>
            </w:r>
            <w:r w:rsidRPr="00173E94">
              <w:rPr>
                <w:rFonts w:asciiTheme="majorHAnsi" w:eastAsia="Times New Roman" w:hAnsiTheme="majorHAnsi" w:cstheme="majorHAnsi"/>
                <w:color w:val="000000"/>
                <w:sz w:val="20"/>
                <w:szCs w:val="20"/>
                <w:lang w:eastAsia="en-GB"/>
              </w:rPr>
              <w:t xml:space="preserve">cute </w:t>
            </w:r>
            <w:r>
              <w:rPr>
                <w:rFonts w:asciiTheme="majorHAnsi" w:eastAsia="Times New Roman" w:hAnsiTheme="majorHAnsi" w:cstheme="majorHAnsi"/>
                <w:color w:val="000000"/>
                <w:sz w:val="20"/>
                <w:szCs w:val="20"/>
                <w:lang w:eastAsia="en-GB"/>
              </w:rPr>
              <w:t>b</w:t>
            </w:r>
            <w:r w:rsidRPr="00173E94">
              <w:rPr>
                <w:rFonts w:asciiTheme="majorHAnsi" w:eastAsia="Times New Roman" w:hAnsiTheme="majorHAnsi" w:cstheme="majorHAnsi"/>
                <w:color w:val="000000"/>
                <w:sz w:val="20"/>
                <w:szCs w:val="20"/>
                <w:lang w:eastAsia="en-GB"/>
              </w:rPr>
              <w:t>r</w:t>
            </w:r>
            <w:r>
              <w:rPr>
                <w:rFonts w:asciiTheme="majorHAnsi" w:eastAsia="Times New Roman" w:hAnsiTheme="majorHAnsi" w:cstheme="majorHAnsi"/>
                <w:color w:val="000000"/>
                <w:sz w:val="20"/>
                <w:szCs w:val="20"/>
                <w:lang w:eastAsia="en-GB"/>
              </w:rPr>
              <w:t>onchiolitis with length of stay ≥</w:t>
            </w:r>
            <w:r w:rsidRPr="00173E94">
              <w:rPr>
                <w:rFonts w:asciiTheme="majorHAnsi" w:eastAsia="Times New Roman" w:hAnsiTheme="majorHAnsi" w:cstheme="majorHAnsi"/>
                <w:color w:val="000000"/>
                <w:sz w:val="20"/>
                <w:szCs w:val="20"/>
                <w:lang w:eastAsia="en-GB"/>
              </w:rPr>
              <w:t xml:space="preserve">1 day with </w:t>
            </w:r>
            <w:r>
              <w:rPr>
                <w:rFonts w:asciiTheme="majorHAnsi" w:eastAsia="Times New Roman" w:hAnsiTheme="majorHAnsi" w:cstheme="majorHAnsi"/>
                <w:color w:val="000000"/>
                <w:sz w:val="20"/>
                <w:szCs w:val="20"/>
                <w:lang w:eastAsia="en-GB"/>
              </w:rPr>
              <w:t>complication and c</w:t>
            </w:r>
            <w:r w:rsidRPr="001A3F11">
              <w:rPr>
                <w:rFonts w:asciiTheme="majorHAnsi" w:eastAsia="Times New Roman" w:hAnsiTheme="majorHAnsi" w:cstheme="majorHAnsi"/>
                <w:color w:val="000000"/>
                <w:sz w:val="20"/>
                <w:szCs w:val="20"/>
                <w:lang w:eastAsia="en-GB"/>
              </w:rPr>
              <w:t>omorbidity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PA14C</w:t>
            </w:r>
            <w:r>
              <w:rPr>
                <w:rFonts w:asciiTheme="majorHAnsi" w:eastAsia="Times New Roman" w:hAnsiTheme="majorHAnsi" w:cstheme="majorHAnsi"/>
                <w:color w:val="000000"/>
                <w:sz w:val="20"/>
                <w:szCs w:val="20"/>
                <w:lang w:eastAsia="en-GB"/>
              </w:rPr>
              <w:t>)</w:t>
            </w:r>
          </w:p>
        </w:tc>
        <w:tc>
          <w:tcPr>
            <w:tcW w:w="1559"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95</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78</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105</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r w:rsidR="006A57B2" w:rsidRPr="00173E94" w:rsidTr="009F7A8B">
        <w:trPr>
          <w:trHeight w:val="288"/>
        </w:trPr>
        <w:tc>
          <w:tcPr>
            <w:tcW w:w="5949" w:type="dxa"/>
            <w:tcBorders>
              <w:top w:val="nil"/>
              <w:bottom w:val="nil"/>
              <w:right w:val="single" w:sz="4" w:space="0" w:color="auto"/>
            </w:tcBorders>
            <w:shd w:val="clear" w:color="auto" w:fill="auto"/>
            <w:noWrap/>
            <w:vAlign w:val="bottom"/>
          </w:tcPr>
          <w:p w:rsidR="006A57B2" w:rsidRPr="00173E94" w:rsidRDefault="006A57B2" w:rsidP="00F760EA">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Implantation of Prosthetic Heart or Ventricular Assist Device</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EA43Z</w:t>
            </w:r>
            <w:r>
              <w:rPr>
                <w:rFonts w:asciiTheme="majorHAnsi" w:eastAsia="Times New Roman" w:hAnsiTheme="majorHAnsi" w:cstheme="majorHAnsi"/>
                <w:color w:val="000000"/>
                <w:sz w:val="20"/>
                <w:szCs w:val="20"/>
                <w:lang w:eastAsia="en-GB"/>
              </w:rPr>
              <w:t>)</w:t>
            </w:r>
          </w:p>
        </w:tc>
        <w:tc>
          <w:tcPr>
            <w:tcW w:w="1559"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2</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Pr>
                <w:rFonts w:asciiTheme="majorHAnsi" w:hAnsiTheme="majorHAnsi"/>
                <w:color w:val="000000"/>
                <w:sz w:val="20"/>
                <w:szCs w:val="20"/>
              </w:rPr>
              <w:t>2</w:t>
            </w:r>
          </w:p>
        </w:tc>
        <w:tc>
          <w:tcPr>
            <w:tcW w:w="1276" w:type="dxa"/>
            <w:tcBorders>
              <w:top w:val="nil"/>
              <w:left w:val="nil"/>
              <w:bottom w:val="nil"/>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nil"/>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Pr>
                <w:rFonts w:asciiTheme="majorHAnsi" w:hAnsiTheme="majorHAnsi"/>
                <w:color w:val="000000"/>
                <w:sz w:val="20"/>
                <w:szCs w:val="20"/>
              </w:rPr>
              <w:t>4</w:t>
            </w:r>
          </w:p>
        </w:tc>
        <w:tc>
          <w:tcPr>
            <w:tcW w:w="1279" w:type="dxa"/>
            <w:tcBorders>
              <w:top w:val="nil"/>
              <w:left w:val="nil"/>
              <w:bottom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r w:rsidR="006A57B2" w:rsidRPr="00173E94" w:rsidTr="009F7A8B">
        <w:trPr>
          <w:trHeight w:val="288"/>
        </w:trPr>
        <w:tc>
          <w:tcPr>
            <w:tcW w:w="5949" w:type="dxa"/>
            <w:tcBorders>
              <w:top w:val="nil"/>
              <w:bottom w:val="single" w:sz="4" w:space="0" w:color="auto"/>
              <w:right w:val="single" w:sz="4" w:space="0" w:color="auto"/>
            </w:tcBorders>
            <w:shd w:val="clear" w:color="auto" w:fill="auto"/>
            <w:noWrap/>
            <w:vAlign w:val="bottom"/>
          </w:tcPr>
          <w:p w:rsidR="006A57B2" w:rsidRPr="00173E94" w:rsidRDefault="006A57B2" w:rsidP="00F760EA">
            <w:pPr>
              <w:spacing w:after="0" w:line="240" w:lineRule="auto"/>
              <w:ind w:left="142"/>
              <w:rPr>
                <w:rFonts w:asciiTheme="majorHAnsi" w:eastAsia="Times New Roman" w:hAnsiTheme="majorHAnsi" w:cstheme="majorHAnsi"/>
                <w:color w:val="000000"/>
                <w:sz w:val="20"/>
                <w:szCs w:val="20"/>
                <w:lang w:eastAsia="en-GB"/>
              </w:rPr>
            </w:pPr>
            <w:r>
              <w:rPr>
                <w:rFonts w:asciiTheme="majorHAnsi" w:eastAsia="Times New Roman" w:hAnsiTheme="majorHAnsi" w:cstheme="majorHAnsi"/>
                <w:color w:val="000000"/>
                <w:sz w:val="20"/>
                <w:szCs w:val="20"/>
                <w:lang w:eastAsia="en-GB"/>
              </w:rPr>
              <w:t>Other i</w:t>
            </w:r>
            <w:r w:rsidRPr="00173E94">
              <w:rPr>
                <w:rFonts w:asciiTheme="majorHAnsi" w:eastAsia="Times New Roman" w:hAnsiTheme="majorHAnsi" w:cstheme="majorHAnsi"/>
                <w:color w:val="000000"/>
                <w:sz w:val="20"/>
                <w:szCs w:val="20"/>
                <w:lang w:eastAsia="en-GB"/>
              </w:rPr>
              <w:t xml:space="preserve">npatient </w:t>
            </w:r>
            <w:r>
              <w:rPr>
                <w:rFonts w:asciiTheme="majorHAnsi" w:eastAsia="Times New Roman" w:hAnsiTheme="majorHAnsi" w:cstheme="majorHAnsi"/>
                <w:color w:val="000000"/>
                <w:sz w:val="20"/>
                <w:szCs w:val="20"/>
                <w:lang w:eastAsia="en-GB"/>
              </w:rPr>
              <w:t>HRGs</w:t>
            </w:r>
          </w:p>
        </w:tc>
        <w:tc>
          <w:tcPr>
            <w:tcW w:w="1559" w:type="dxa"/>
            <w:tcBorders>
              <w:top w:val="nil"/>
              <w:left w:val="single" w:sz="4" w:space="0" w:color="auto"/>
              <w:bottom w:val="single" w:sz="4" w:space="0" w:color="auto"/>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1103</w:t>
            </w:r>
          </w:p>
        </w:tc>
        <w:tc>
          <w:tcPr>
            <w:tcW w:w="1276" w:type="dxa"/>
            <w:tcBorders>
              <w:top w:val="nil"/>
              <w:left w:val="nil"/>
              <w:bottom w:val="single" w:sz="4" w:space="0" w:color="auto"/>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7" w:type="dxa"/>
            <w:tcBorders>
              <w:top w:val="nil"/>
              <w:left w:val="single" w:sz="4" w:space="0" w:color="auto"/>
              <w:bottom w:val="single" w:sz="4" w:space="0" w:color="auto"/>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c>
          <w:tcPr>
            <w:tcW w:w="1418" w:type="dxa"/>
            <w:tcBorders>
              <w:top w:val="nil"/>
              <w:left w:val="single" w:sz="4" w:space="0" w:color="auto"/>
              <w:bottom w:val="single" w:sz="4" w:space="0" w:color="auto"/>
              <w:right w:val="nil"/>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r w:rsidRPr="001A3F11">
              <w:rPr>
                <w:rFonts w:asciiTheme="majorHAnsi" w:hAnsiTheme="majorHAnsi"/>
                <w:color w:val="000000"/>
                <w:sz w:val="20"/>
                <w:szCs w:val="20"/>
              </w:rPr>
              <w:t>964</w:t>
            </w:r>
          </w:p>
        </w:tc>
        <w:tc>
          <w:tcPr>
            <w:tcW w:w="1279" w:type="dxa"/>
            <w:tcBorders>
              <w:top w:val="nil"/>
              <w:left w:val="nil"/>
              <w:bottom w:val="single" w:sz="4" w:space="0" w:color="auto"/>
            </w:tcBorders>
            <w:shd w:val="clear" w:color="auto" w:fill="auto"/>
            <w:noWrap/>
            <w:vAlign w:val="bottom"/>
          </w:tcPr>
          <w:p w:rsidR="006A57B2" w:rsidRPr="001A3F11" w:rsidRDefault="006A57B2" w:rsidP="00B22173">
            <w:pPr>
              <w:spacing w:after="0" w:line="240" w:lineRule="auto"/>
              <w:jc w:val="center"/>
              <w:rPr>
                <w:rFonts w:asciiTheme="majorHAnsi" w:hAnsiTheme="majorHAnsi"/>
                <w:color w:val="000000"/>
                <w:sz w:val="20"/>
                <w:szCs w:val="20"/>
              </w:rPr>
            </w:pPr>
          </w:p>
        </w:tc>
      </w:tr>
    </w:tbl>
    <w:p w:rsidR="006A57B2" w:rsidRPr="005B6ACD" w:rsidRDefault="006A57B2" w:rsidP="00B22173">
      <w:r w:rsidRPr="005B6ACD">
        <w:br w:type="page"/>
      </w:r>
    </w:p>
    <w:p w:rsidR="006A57B2" w:rsidRPr="00BE078C" w:rsidRDefault="006A57B2" w:rsidP="00E7253D">
      <w:pPr>
        <w:pStyle w:val="Caption"/>
        <w:rPr>
          <w:rFonts w:asciiTheme="majorHAnsi" w:hAnsiTheme="majorHAnsi"/>
          <w:color w:val="2E74B5" w:themeColor="accent1" w:themeShade="BF"/>
          <w:sz w:val="22"/>
          <w:szCs w:val="22"/>
        </w:rPr>
      </w:pPr>
      <w:bookmarkStart w:id="98" w:name="_Toc428178970"/>
      <w:r w:rsidRPr="00BE078C">
        <w:rPr>
          <w:sz w:val="22"/>
          <w:szCs w:val="22"/>
        </w:rPr>
        <w:t xml:space="preserve">Table </w:t>
      </w:r>
      <w:r>
        <w:rPr>
          <w:noProof/>
          <w:sz w:val="22"/>
          <w:szCs w:val="22"/>
        </w:rPr>
        <w:t>15</w:t>
      </w:r>
      <w:r w:rsidRPr="00BE078C">
        <w:rPr>
          <w:sz w:val="22"/>
          <w:szCs w:val="22"/>
        </w:rPr>
        <w:t>: Disaggregated and total costs (£) by intervention group from randomisation to end of the six-month timeframe</w:t>
      </w:r>
      <w:bookmarkEnd w:id="98"/>
      <w:r w:rsidRPr="00BE078C">
        <w:rPr>
          <w:rFonts w:asciiTheme="majorHAnsi" w:hAnsiTheme="majorHAnsi"/>
          <w:b w:val="0"/>
          <w:color w:val="2E74B5" w:themeColor="accent1" w:themeShade="BF"/>
          <w:sz w:val="22"/>
          <w:szCs w:val="22"/>
        </w:rPr>
        <w:t xml:space="preserve"> </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1495"/>
        <w:gridCol w:w="1495"/>
        <w:gridCol w:w="1588"/>
        <w:gridCol w:w="1588"/>
        <w:gridCol w:w="1582"/>
        <w:gridCol w:w="1585"/>
      </w:tblGrid>
      <w:tr w:rsidR="006A57B2" w:rsidRPr="001575B6" w:rsidTr="000D2FFB">
        <w:trPr>
          <w:trHeight w:val="522"/>
        </w:trPr>
        <w:tc>
          <w:tcPr>
            <w:tcW w:w="1791" w:type="pct"/>
            <w:tcBorders>
              <w:top w:val="nil"/>
              <w:left w:val="nil"/>
            </w:tcBorders>
            <w:shd w:val="clear" w:color="auto" w:fill="auto"/>
            <w:noWrap/>
            <w:vAlign w:val="bottom"/>
          </w:tcPr>
          <w:p w:rsidR="006A57B2" w:rsidRPr="001A3F11" w:rsidRDefault="006A57B2" w:rsidP="001A3F11">
            <w:pPr>
              <w:spacing w:after="0" w:line="240" w:lineRule="auto"/>
              <w:rPr>
                <w:rFonts w:asciiTheme="majorHAnsi" w:eastAsia="Times New Roman" w:hAnsiTheme="majorHAnsi" w:cstheme="majorHAnsi"/>
                <w:b/>
                <w:color w:val="000000"/>
                <w:sz w:val="20"/>
                <w:szCs w:val="20"/>
                <w:lang w:eastAsia="en-GB"/>
              </w:rPr>
            </w:pPr>
          </w:p>
        </w:tc>
        <w:tc>
          <w:tcPr>
            <w:tcW w:w="1028" w:type="pct"/>
            <w:gridSpan w:val="2"/>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Antibiotic CVC</w:t>
            </w:r>
          </w:p>
        </w:tc>
        <w:tc>
          <w:tcPr>
            <w:tcW w:w="1092" w:type="pct"/>
            <w:gridSpan w:val="2"/>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Heparin CVC</w:t>
            </w:r>
          </w:p>
        </w:tc>
        <w:tc>
          <w:tcPr>
            <w:tcW w:w="1089" w:type="pct"/>
            <w:gridSpan w:val="2"/>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Standard CVC</w:t>
            </w:r>
          </w:p>
        </w:tc>
      </w:tr>
      <w:tr w:rsidR="006A57B2" w:rsidRPr="001575B6" w:rsidTr="000D2FFB">
        <w:trPr>
          <w:trHeight w:val="288"/>
        </w:trPr>
        <w:tc>
          <w:tcPr>
            <w:tcW w:w="1791" w:type="pct"/>
            <w:tcBorders>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Unit</w:t>
            </w:r>
          </w:p>
        </w:tc>
        <w:tc>
          <w:tcPr>
            <w:tcW w:w="514" w:type="pct"/>
            <w:tcBorders>
              <w:bottom w:val="single" w:sz="4" w:space="0" w:color="auto"/>
              <w:right w:val="nil"/>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Mean</w:t>
            </w:r>
            <w:r>
              <w:rPr>
                <w:rFonts w:asciiTheme="majorHAnsi" w:eastAsia="Times New Roman" w:hAnsiTheme="majorHAnsi" w:cstheme="majorHAnsi"/>
                <w:b/>
                <w:color w:val="000000"/>
                <w:sz w:val="20"/>
                <w:szCs w:val="20"/>
                <w:lang w:eastAsia="en-GB"/>
              </w:rPr>
              <w:t xml:space="preserve"> (median)</w:t>
            </w:r>
          </w:p>
        </w:tc>
        <w:tc>
          <w:tcPr>
            <w:tcW w:w="514" w:type="pct"/>
            <w:tcBorders>
              <w:left w:val="nil"/>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95% CI</w:t>
            </w:r>
          </w:p>
        </w:tc>
        <w:tc>
          <w:tcPr>
            <w:tcW w:w="546" w:type="pct"/>
            <w:tcBorders>
              <w:bottom w:val="single" w:sz="4" w:space="0" w:color="auto"/>
              <w:right w:val="nil"/>
            </w:tcBorders>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Mean</w:t>
            </w:r>
            <w:r>
              <w:rPr>
                <w:rFonts w:asciiTheme="majorHAnsi" w:eastAsia="Times New Roman" w:hAnsiTheme="majorHAnsi" w:cstheme="majorHAnsi"/>
                <w:b/>
                <w:color w:val="000000"/>
                <w:sz w:val="20"/>
                <w:szCs w:val="20"/>
                <w:lang w:eastAsia="en-GB"/>
              </w:rPr>
              <w:t xml:space="preserve"> (median)</w:t>
            </w:r>
          </w:p>
        </w:tc>
        <w:tc>
          <w:tcPr>
            <w:tcW w:w="546" w:type="pct"/>
            <w:tcBorders>
              <w:left w:val="nil"/>
              <w:bottom w:val="single" w:sz="4" w:space="0" w:color="auto"/>
            </w:tcBorders>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95% CI</w:t>
            </w:r>
          </w:p>
        </w:tc>
        <w:tc>
          <w:tcPr>
            <w:tcW w:w="544" w:type="pct"/>
            <w:tcBorders>
              <w:bottom w:val="single" w:sz="4" w:space="0" w:color="auto"/>
              <w:right w:val="nil"/>
            </w:tcBorders>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Mean</w:t>
            </w:r>
            <w:r>
              <w:rPr>
                <w:rFonts w:asciiTheme="majorHAnsi" w:eastAsia="Times New Roman" w:hAnsiTheme="majorHAnsi" w:cstheme="majorHAnsi"/>
                <w:b/>
                <w:color w:val="000000"/>
                <w:sz w:val="20"/>
                <w:szCs w:val="20"/>
                <w:lang w:eastAsia="en-GB"/>
              </w:rPr>
              <w:t xml:space="preserve"> (median)</w:t>
            </w:r>
          </w:p>
        </w:tc>
        <w:tc>
          <w:tcPr>
            <w:tcW w:w="544" w:type="pct"/>
            <w:tcBorders>
              <w:left w:val="nil"/>
              <w:bottom w:val="single" w:sz="4" w:space="0" w:color="auto"/>
            </w:tcBorders>
            <w:shd w:val="clear" w:color="auto" w:fill="9CC2E5" w:themeFill="accent1" w:themeFillTint="99"/>
            <w:noWrap/>
            <w:vAlign w:val="center"/>
          </w:tcPr>
          <w:p w:rsidR="006A57B2" w:rsidRPr="00173E94"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73E94">
              <w:rPr>
                <w:rFonts w:asciiTheme="majorHAnsi" w:eastAsia="Times New Roman" w:hAnsiTheme="majorHAnsi" w:cstheme="majorHAnsi"/>
                <w:b/>
                <w:color w:val="000000"/>
                <w:sz w:val="20"/>
                <w:szCs w:val="20"/>
                <w:lang w:eastAsia="en-GB"/>
              </w:rPr>
              <w:t>95% CI</w:t>
            </w:r>
          </w:p>
        </w:tc>
      </w:tr>
      <w:tr w:rsidR="006A57B2" w:rsidRPr="001575B6" w:rsidTr="00BB6D52">
        <w:trPr>
          <w:trHeight w:val="288"/>
        </w:trPr>
        <w:tc>
          <w:tcPr>
            <w:tcW w:w="5000" w:type="pct"/>
            <w:gridSpan w:val="7"/>
            <w:tcBorders>
              <w:bottom w:val="single" w:sz="4" w:space="0" w:color="auto"/>
            </w:tcBorders>
            <w:shd w:val="clear" w:color="auto" w:fill="9CC2E5" w:themeFill="accent1" w:themeFillTint="99"/>
            <w:noWrap/>
            <w:vAlign w:val="bottom"/>
          </w:tcPr>
          <w:p w:rsidR="006A57B2" w:rsidRPr="001A3F11" w:rsidRDefault="006A57B2" w:rsidP="001A3F11">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Paediatric Critical Care, Intensive Care</w:t>
            </w:r>
          </w:p>
        </w:tc>
      </w:tr>
      <w:tr w:rsidR="006A57B2" w:rsidRPr="001575B6" w:rsidTr="000D2FFB">
        <w:trPr>
          <w:trHeight w:val="288"/>
        </w:trPr>
        <w:tc>
          <w:tcPr>
            <w:tcW w:w="1791" w:type="pct"/>
            <w:tcBorders>
              <w:top w:val="single" w:sz="4" w:space="0" w:color="auto"/>
              <w:bottom w:val="nil"/>
            </w:tcBorders>
            <w:shd w:val="clear" w:color="auto" w:fill="auto"/>
            <w:noWrap/>
            <w:hideMark/>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ECMO/ECLS (XB01Z)</w:t>
            </w:r>
          </w:p>
        </w:tc>
        <w:tc>
          <w:tcPr>
            <w:tcW w:w="514" w:type="pct"/>
            <w:tcBorders>
              <w:top w:val="single" w:sz="4" w:space="0" w:color="auto"/>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1358</w:t>
            </w:r>
            <w:r>
              <w:rPr>
                <w:rFonts w:asciiTheme="majorHAnsi" w:hAnsiTheme="majorHAnsi" w:cstheme="majorHAnsi"/>
                <w:sz w:val="20"/>
                <w:szCs w:val="20"/>
              </w:rPr>
              <w:t xml:space="preserve"> (0)</w:t>
            </w:r>
          </w:p>
        </w:tc>
        <w:tc>
          <w:tcPr>
            <w:tcW w:w="514" w:type="pct"/>
            <w:tcBorders>
              <w:top w:val="single" w:sz="4" w:space="0" w:color="auto"/>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310, 3159</w:t>
            </w:r>
          </w:p>
        </w:tc>
        <w:tc>
          <w:tcPr>
            <w:tcW w:w="546" w:type="pct"/>
            <w:tcBorders>
              <w:top w:val="single" w:sz="4" w:space="0" w:color="auto"/>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1703</w:t>
            </w:r>
            <w:r>
              <w:rPr>
                <w:rFonts w:asciiTheme="majorHAnsi" w:hAnsiTheme="majorHAnsi" w:cstheme="majorHAnsi"/>
                <w:sz w:val="20"/>
                <w:szCs w:val="20"/>
              </w:rPr>
              <w:t xml:space="preserve"> (0)</w:t>
            </w:r>
          </w:p>
        </w:tc>
        <w:tc>
          <w:tcPr>
            <w:tcW w:w="546" w:type="pct"/>
            <w:tcBorders>
              <w:top w:val="single" w:sz="4" w:space="0" w:color="auto"/>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386, 3509</w:t>
            </w:r>
          </w:p>
        </w:tc>
        <w:tc>
          <w:tcPr>
            <w:tcW w:w="544" w:type="pct"/>
            <w:tcBorders>
              <w:top w:val="single" w:sz="4" w:space="0" w:color="auto"/>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1796</w:t>
            </w:r>
            <w:r>
              <w:rPr>
                <w:rFonts w:asciiTheme="majorHAnsi" w:hAnsiTheme="majorHAnsi" w:cstheme="majorHAnsi"/>
                <w:sz w:val="20"/>
                <w:szCs w:val="20"/>
              </w:rPr>
              <w:t xml:space="preserve"> (0)</w:t>
            </w:r>
          </w:p>
        </w:tc>
        <w:tc>
          <w:tcPr>
            <w:tcW w:w="544" w:type="pct"/>
            <w:tcBorders>
              <w:top w:val="single" w:sz="4" w:space="0" w:color="auto"/>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723, 3156</w:t>
            </w:r>
          </w:p>
        </w:tc>
      </w:tr>
      <w:tr w:rsidR="006A57B2" w:rsidRPr="001575B6" w:rsidTr="000D2FFB">
        <w:trPr>
          <w:trHeight w:val="288"/>
        </w:trPr>
        <w:tc>
          <w:tcPr>
            <w:tcW w:w="1791" w:type="pct"/>
            <w:tcBorders>
              <w:top w:val="nil"/>
              <w:bottom w:val="nil"/>
            </w:tcBorders>
            <w:shd w:val="clear" w:color="auto" w:fill="auto"/>
            <w:noWrap/>
            <w:hideMark/>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Advanced Enhanced (XB02Z)</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388</w:t>
            </w:r>
            <w:r>
              <w:rPr>
                <w:rFonts w:asciiTheme="majorHAnsi" w:hAnsiTheme="majorHAnsi" w:cstheme="majorHAnsi"/>
                <w:sz w:val="20"/>
                <w:szCs w:val="20"/>
              </w:rPr>
              <w:t xml:space="preserve"> (0)</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207, 636</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289</w:t>
            </w:r>
            <w:r>
              <w:rPr>
                <w:rFonts w:asciiTheme="majorHAnsi" w:hAnsiTheme="majorHAnsi" w:cstheme="majorHAnsi"/>
                <w:sz w:val="20"/>
                <w:szCs w:val="20"/>
              </w:rPr>
              <w:t xml:space="preserve"> (0)</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216, 371</w:t>
            </w:r>
          </w:p>
        </w:tc>
        <w:tc>
          <w:tcPr>
            <w:tcW w:w="54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395</w:t>
            </w:r>
            <w:r>
              <w:rPr>
                <w:rFonts w:asciiTheme="majorHAnsi" w:hAnsiTheme="majorHAnsi" w:cstheme="majorHAnsi"/>
                <w:sz w:val="20"/>
                <w:szCs w:val="20"/>
              </w:rPr>
              <w:t xml:space="preserve"> (0)</w:t>
            </w:r>
          </w:p>
        </w:tc>
        <w:tc>
          <w:tcPr>
            <w:tcW w:w="544" w:type="pct"/>
            <w:tcBorders>
              <w:top w:val="nil"/>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228, 620</w:t>
            </w:r>
          </w:p>
        </w:tc>
      </w:tr>
      <w:tr w:rsidR="006A57B2" w:rsidRPr="001575B6" w:rsidTr="000D2FFB">
        <w:trPr>
          <w:trHeight w:val="288"/>
        </w:trPr>
        <w:tc>
          <w:tcPr>
            <w:tcW w:w="1791" w:type="pct"/>
            <w:tcBorders>
              <w:top w:val="nil"/>
              <w:bottom w:val="nil"/>
            </w:tcBorders>
            <w:shd w:val="clear" w:color="auto" w:fill="auto"/>
            <w:noWrap/>
            <w:hideMark/>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Advanced (XB03Z)</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1545</w:t>
            </w:r>
            <w:r>
              <w:rPr>
                <w:rFonts w:asciiTheme="majorHAnsi" w:hAnsiTheme="majorHAnsi" w:cstheme="majorHAnsi"/>
                <w:sz w:val="20"/>
                <w:szCs w:val="20"/>
              </w:rPr>
              <w:t xml:space="preserve"> (0)</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1031, 2124</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1250</w:t>
            </w:r>
            <w:r>
              <w:rPr>
                <w:rFonts w:asciiTheme="majorHAnsi" w:hAnsiTheme="majorHAnsi" w:cstheme="majorHAnsi"/>
                <w:sz w:val="20"/>
                <w:szCs w:val="20"/>
              </w:rPr>
              <w:t xml:space="preserve"> (0)</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872, 1674</w:t>
            </w:r>
          </w:p>
        </w:tc>
        <w:tc>
          <w:tcPr>
            <w:tcW w:w="54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1318</w:t>
            </w:r>
            <w:r>
              <w:rPr>
                <w:rFonts w:asciiTheme="majorHAnsi" w:hAnsiTheme="majorHAnsi" w:cstheme="majorHAnsi"/>
                <w:sz w:val="20"/>
                <w:szCs w:val="20"/>
              </w:rPr>
              <w:t xml:space="preserve"> (0)</w:t>
            </w:r>
          </w:p>
        </w:tc>
        <w:tc>
          <w:tcPr>
            <w:tcW w:w="544" w:type="pct"/>
            <w:tcBorders>
              <w:top w:val="nil"/>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933, 1752</w:t>
            </w:r>
          </w:p>
        </w:tc>
      </w:tr>
      <w:tr w:rsidR="006A57B2" w:rsidRPr="001575B6" w:rsidTr="000D2FFB">
        <w:trPr>
          <w:trHeight w:val="288"/>
        </w:trPr>
        <w:tc>
          <w:tcPr>
            <w:tcW w:w="1791" w:type="pct"/>
            <w:tcBorders>
              <w:top w:val="nil"/>
              <w:bottom w:val="nil"/>
            </w:tcBorders>
            <w:shd w:val="clear" w:color="auto" w:fill="auto"/>
            <w:noWrap/>
            <w:hideMark/>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Basic Enhanced (XB04Z)</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4861</w:t>
            </w:r>
            <w:r>
              <w:rPr>
                <w:rFonts w:asciiTheme="majorHAnsi" w:hAnsiTheme="majorHAnsi" w:cstheme="majorHAnsi"/>
                <w:sz w:val="20"/>
                <w:szCs w:val="20"/>
              </w:rPr>
              <w:t xml:space="preserve"> (1023)</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4060, 5738</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5675</w:t>
            </w:r>
            <w:r>
              <w:rPr>
                <w:rFonts w:asciiTheme="majorHAnsi" w:hAnsiTheme="majorHAnsi" w:cstheme="majorHAnsi"/>
                <w:sz w:val="20"/>
                <w:szCs w:val="20"/>
              </w:rPr>
              <w:t xml:space="preserve"> (1646)</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4418, 7260</w:t>
            </w:r>
          </w:p>
        </w:tc>
        <w:tc>
          <w:tcPr>
            <w:tcW w:w="54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5822</w:t>
            </w:r>
            <w:r>
              <w:rPr>
                <w:rFonts w:asciiTheme="majorHAnsi" w:hAnsiTheme="majorHAnsi" w:cstheme="majorHAnsi"/>
                <w:sz w:val="20"/>
                <w:szCs w:val="20"/>
              </w:rPr>
              <w:t xml:space="preserve"> (0)</w:t>
            </w:r>
          </w:p>
        </w:tc>
        <w:tc>
          <w:tcPr>
            <w:tcW w:w="544" w:type="pct"/>
            <w:tcBorders>
              <w:top w:val="nil"/>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4512, 7460</w:t>
            </w:r>
          </w:p>
        </w:tc>
      </w:tr>
      <w:tr w:rsidR="006A57B2" w:rsidRPr="001575B6" w:rsidTr="000D2FFB">
        <w:trPr>
          <w:trHeight w:val="288"/>
        </w:trPr>
        <w:tc>
          <w:tcPr>
            <w:tcW w:w="1791" w:type="pct"/>
            <w:tcBorders>
              <w:top w:val="nil"/>
              <w:bottom w:val="nil"/>
            </w:tcBorders>
            <w:shd w:val="clear" w:color="auto" w:fill="auto"/>
            <w:noWrap/>
            <w:hideMark/>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Basic (XB05Z)</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12</w:t>
            </w:r>
            <w:r>
              <w:rPr>
                <w:rFonts w:asciiTheme="majorHAnsi" w:hAnsiTheme="majorHAnsi" w:cstheme="majorHAnsi"/>
                <w:sz w:val="20"/>
                <w:szCs w:val="20"/>
              </w:rPr>
              <w:t>,</w:t>
            </w:r>
            <w:r w:rsidRPr="001A3F11">
              <w:rPr>
                <w:rFonts w:asciiTheme="majorHAnsi" w:hAnsiTheme="majorHAnsi" w:cstheme="majorHAnsi"/>
                <w:sz w:val="20"/>
                <w:szCs w:val="20"/>
              </w:rPr>
              <w:t>137</w:t>
            </w:r>
            <w:r>
              <w:rPr>
                <w:rFonts w:asciiTheme="majorHAnsi" w:hAnsiTheme="majorHAnsi" w:cstheme="majorHAnsi"/>
                <w:sz w:val="20"/>
                <w:szCs w:val="20"/>
              </w:rPr>
              <w:t xml:space="preserve"> (3486)</w:t>
            </w:r>
          </w:p>
        </w:tc>
        <w:tc>
          <w:tcPr>
            <w:tcW w:w="51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9855, 14</w:t>
            </w:r>
            <w:r>
              <w:rPr>
                <w:rFonts w:asciiTheme="majorHAnsi" w:hAnsiTheme="majorHAnsi"/>
                <w:color w:val="000000"/>
                <w:sz w:val="20"/>
                <w:szCs w:val="20"/>
              </w:rPr>
              <w:t>,</w:t>
            </w:r>
            <w:r w:rsidRPr="0020245E">
              <w:rPr>
                <w:rFonts w:asciiTheme="majorHAnsi" w:hAnsiTheme="majorHAnsi"/>
                <w:color w:val="000000"/>
                <w:sz w:val="20"/>
                <w:szCs w:val="20"/>
              </w:rPr>
              <w:t>730</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9822</w:t>
            </w:r>
            <w:r>
              <w:rPr>
                <w:rFonts w:asciiTheme="majorHAnsi" w:hAnsiTheme="majorHAnsi" w:cstheme="majorHAnsi"/>
                <w:sz w:val="20"/>
                <w:szCs w:val="20"/>
              </w:rPr>
              <w:t xml:space="preserve"> (3486)</w:t>
            </w:r>
          </w:p>
        </w:tc>
        <w:tc>
          <w:tcPr>
            <w:tcW w:w="546"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8274, 11</w:t>
            </w:r>
            <w:r>
              <w:rPr>
                <w:rFonts w:asciiTheme="majorHAnsi" w:hAnsiTheme="majorHAnsi"/>
                <w:color w:val="000000"/>
                <w:sz w:val="20"/>
                <w:szCs w:val="20"/>
              </w:rPr>
              <w:t>,</w:t>
            </w:r>
            <w:r w:rsidRPr="0020245E">
              <w:rPr>
                <w:rFonts w:asciiTheme="majorHAnsi" w:hAnsiTheme="majorHAnsi"/>
                <w:color w:val="000000"/>
                <w:sz w:val="20"/>
                <w:szCs w:val="20"/>
              </w:rPr>
              <w:t>489</w:t>
            </w:r>
          </w:p>
        </w:tc>
        <w:tc>
          <w:tcPr>
            <w:tcW w:w="544" w:type="pct"/>
            <w:tcBorders>
              <w:top w:val="nil"/>
              <w:bottom w:val="nil"/>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11</w:t>
            </w:r>
            <w:r>
              <w:rPr>
                <w:rFonts w:asciiTheme="majorHAnsi" w:hAnsiTheme="majorHAnsi" w:cstheme="majorHAnsi"/>
                <w:sz w:val="20"/>
                <w:szCs w:val="20"/>
              </w:rPr>
              <w:t>,</w:t>
            </w:r>
            <w:r w:rsidRPr="001A3F11">
              <w:rPr>
                <w:rFonts w:asciiTheme="majorHAnsi" w:hAnsiTheme="majorHAnsi" w:cstheme="majorHAnsi"/>
                <w:sz w:val="20"/>
                <w:szCs w:val="20"/>
              </w:rPr>
              <w:t>159</w:t>
            </w:r>
            <w:r>
              <w:rPr>
                <w:rFonts w:asciiTheme="majorHAnsi" w:hAnsiTheme="majorHAnsi" w:cstheme="majorHAnsi"/>
                <w:sz w:val="20"/>
                <w:szCs w:val="20"/>
              </w:rPr>
              <w:t xml:space="preserve"> (5133)</w:t>
            </w:r>
          </w:p>
        </w:tc>
        <w:tc>
          <w:tcPr>
            <w:tcW w:w="544" w:type="pct"/>
            <w:tcBorders>
              <w:top w:val="nil"/>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9440, 13</w:t>
            </w:r>
            <w:r>
              <w:rPr>
                <w:rFonts w:asciiTheme="majorHAnsi" w:hAnsiTheme="majorHAnsi"/>
                <w:color w:val="000000"/>
                <w:sz w:val="20"/>
                <w:szCs w:val="20"/>
              </w:rPr>
              <w:t>,</w:t>
            </w:r>
            <w:r w:rsidRPr="0020245E">
              <w:rPr>
                <w:rFonts w:asciiTheme="majorHAnsi" w:hAnsiTheme="majorHAnsi"/>
                <w:color w:val="000000"/>
                <w:sz w:val="20"/>
                <w:szCs w:val="20"/>
              </w:rPr>
              <w:t>025</w:t>
            </w:r>
          </w:p>
        </w:tc>
      </w:tr>
      <w:tr w:rsidR="006A57B2" w:rsidRPr="001575B6" w:rsidTr="000D2FFB">
        <w:trPr>
          <w:trHeight w:val="288"/>
        </w:trPr>
        <w:tc>
          <w:tcPr>
            <w:tcW w:w="1791" w:type="pct"/>
            <w:tcBorders>
              <w:top w:val="nil"/>
              <w:bottom w:val="single" w:sz="4" w:space="0" w:color="auto"/>
            </w:tcBorders>
            <w:shd w:val="clear" w:color="auto" w:fill="auto"/>
            <w:noWrap/>
            <w:hideMark/>
          </w:tcPr>
          <w:p w:rsidR="006A57B2" w:rsidRPr="001A3F11" w:rsidRDefault="006A57B2" w:rsidP="001A3F11">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Neonatal Critical Care, Intensive Care (XA01C)</w:t>
            </w:r>
          </w:p>
        </w:tc>
        <w:tc>
          <w:tcPr>
            <w:tcW w:w="514" w:type="pct"/>
            <w:tcBorders>
              <w:top w:val="nil"/>
              <w:bottom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325</w:t>
            </w:r>
            <w:r>
              <w:rPr>
                <w:rFonts w:asciiTheme="majorHAnsi" w:hAnsiTheme="majorHAnsi" w:cstheme="majorHAnsi"/>
                <w:sz w:val="20"/>
                <w:szCs w:val="20"/>
              </w:rPr>
              <w:t xml:space="preserve"> (0)</w:t>
            </w:r>
          </w:p>
        </w:tc>
        <w:tc>
          <w:tcPr>
            <w:tcW w:w="514" w:type="pct"/>
            <w:tcBorders>
              <w:top w:val="nil"/>
              <w:bottom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113, 613</w:t>
            </w:r>
          </w:p>
        </w:tc>
        <w:tc>
          <w:tcPr>
            <w:tcW w:w="546" w:type="pct"/>
            <w:tcBorders>
              <w:top w:val="nil"/>
              <w:bottom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517</w:t>
            </w:r>
            <w:r>
              <w:rPr>
                <w:rFonts w:asciiTheme="majorHAnsi" w:hAnsiTheme="majorHAnsi" w:cstheme="majorHAnsi"/>
                <w:sz w:val="20"/>
                <w:szCs w:val="20"/>
              </w:rPr>
              <w:t xml:space="preserve"> (0)</w:t>
            </w:r>
          </w:p>
        </w:tc>
        <w:tc>
          <w:tcPr>
            <w:tcW w:w="546" w:type="pct"/>
            <w:tcBorders>
              <w:top w:val="nil"/>
              <w:bottom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142, 1150</w:t>
            </w:r>
          </w:p>
        </w:tc>
        <w:tc>
          <w:tcPr>
            <w:tcW w:w="544" w:type="pct"/>
            <w:tcBorders>
              <w:top w:val="nil"/>
              <w:bottom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125</w:t>
            </w:r>
            <w:r>
              <w:rPr>
                <w:rFonts w:asciiTheme="majorHAnsi" w:hAnsiTheme="majorHAnsi" w:cstheme="majorHAnsi"/>
                <w:sz w:val="20"/>
                <w:szCs w:val="20"/>
              </w:rPr>
              <w:t xml:space="preserve"> (0)</w:t>
            </w:r>
          </w:p>
        </w:tc>
        <w:tc>
          <w:tcPr>
            <w:tcW w:w="544" w:type="pct"/>
            <w:tcBorders>
              <w:top w:val="nil"/>
              <w:bottom w:val="single" w:sz="4" w:space="0" w:color="auto"/>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42, 225</w:t>
            </w:r>
          </w:p>
        </w:tc>
      </w:tr>
      <w:tr w:rsidR="006A57B2" w:rsidRPr="001575B6" w:rsidTr="00BB6D52">
        <w:trPr>
          <w:trHeight w:val="288"/>
        </w:trPr>
        <w:tc>
          <w:tcPr>
            <w:tcW w:w="5000" w:type="pct"/>
            <w:gridSpan w:val="7"/>
            <w:tcBorders>
              <w:top w:val="single" w:sz="4" w:space="0" w:color="auto"/>
              <w:bottom w:val="single" w:sz="4" w:space="0" w:color="auto"/>
            </w:tcBorders>
            <w:shd w:val="clear" w:color="auto" w:fill="9CC2E5" w:themeFill="accent1" w:themeFillTint="99"/>
            <w:noWrap/>
            <w:vAlign w:val="bottom"/>
          </w:tcPr>
          <w:p w:rsidR="006A57B2" w:rsidRPr="001A3F11" w:rsidRDefault="006A57B2" w:rsidP="001A3F11">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Paediatric Critical Care, HDU</w:t>
            </w:r>
          </w:p>
        </w:tc>
      </w:tr>
      <w:tr w:rsidR="006A57B2" w:rsidRPr="001575B6" w:rsidTr="000D2FFB">
        <w:trPr>
          <w:trHeight w:val="288"/>
        </w:trPr>
        <w:tc>
          <w:tcPr>
            <w:tcW w:w="1791" w:type="pct"/>
            <w:tcBorders>
              <w:bottom w:val="nil"/>
              <w:right w:val="single" w:sz="4" w:space="0" w:color="auto"/>
            </w:tcBorders>
            <w:shd w:val="clear" w:color="auto" w:fill="auto"/>
            <w:noWrap/>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High Dependency, Advanced (XB06Z)</w:t>
            </w:r>
          </w:p>
        </w:tc>
        <w:tc>
          <w:tcPr>
            <w:tcW w:w="514"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1709</w:t>
            </w:r>
            <w:r>
              <w:rPr>
                <w:rFonts w:asciiTheme="majorHAnsi" w:hAnsiTheme="majorHAnsi" w:cstheme="majorHAnsi"/>
                <w:sz w:val="20"/>
                <w:szCs w:val="20"/>
              </w:rPr>
              <w:t xml:space="preserve"> (0)</w:t>
            </w:r>
          </w:p>
        </w:tc>
        <w:tc>
          <w:tcPr>
            <w:tcW w:w="514"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1254, 2271</w:t>
            </w:r>
          </w:p>
        </w:tc>
        <w:tc>
          <w:tcPr>
            <w:tcW w:w="546"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1450</w:t>
            </w:r>
            <w:r>
              <w:rPr>
                <w:rFonts w:asciiTheme="majorHAnsi" w:hAnsiTheme="majorHAnsi" w:cstheme="majorHAnsi"/>
                <w:sz w:val="20"/>
                <w:szCs w:val="20"/>
              </w:rPr>
              <w:t xml:space="preserve"> (0)</w:t>
            </w:r>
          </w:p>
        </w:tc>
        <w:tc>
          <w:tcPr>
            <w:tcW w:w="546"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1972, 1940</w:t>
            </w:r>
          </w:p>
        </w:tc>
        <w:tc>
          <w:tcPr>
            <w:tcW w:w="544"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1629</w:t>
            </w:r>
            <w:r>
              <w:rPr>
                <w:rFonts w:asciiTheme="majorHAnsi" w:hAnsiTheme="majorHAnsi" w:cstheme="majorHAnsi"/>
                <w:sz w:val="20"/>
                <w:szCs w:val="20"/>
              </w:rPr>
              <w:t xml:space="preserve"> (0)</w:t>
            </w:r>
          </w:p>
        </w:tc>
        <w:tc>
          <w:tcPr>
            <w:tcW w:w="544" w:type="pct"/>
            <w:tcBorders>
              <w:left w:val="single" w:sz="4" w:space="0" w:color="auto"/>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1301, 1992</w:t>
            </w:r>
          </w:p>
        </w:tc>
      </w:tr>
      <w:tr w:rsidR="006A57B2" w:rsidRPr="001575B6" w:rsidTr="000D2FFB">
        <w:trPr>
          <w:trHeight w:val="288"/>
        </w:trPr>
        <w:tc>
          <w:tcPr>
            <w:tcW w:w="1791" w:type="pct"/>
            <w:tcBorders>
              <w:top w:val="nil"/>
              <w:bottom w:val="nil"/>
              <w:right w:val="single" w:sz="4" w:space="0" w:color="auto"/>
            </w:tcBorders>
            <w:shd w:val="clear" w:color="auto" w:fill="auto"/>
            <w:noWrap/>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High Dependency (XB07Z)</w:t>
            </w:r>
          </w:p>
        </w:tc>
        <w:tc>
          <w:tcPr>
            <w:tcW w:w="51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635</w:t>
            </w:r>
            <w:r>
              <w:rPr>
                <w:rFonts w:asciiTheme="majorHAnsi" w:hAnsiTheme="majorHAnsi" w:cstheme="majorHAnsi"/>
                <w:sz w:val="20"/>
                <w:szCs w:val="20"/>
              </w:rPr>
              <w:t xml:space="preserve"> (0)</w:t>
            </w:r>
          </w:p>
        </w:tc>
        <w:tc>
          <w:tcPr>
            <w:tcW w:w="51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372, 1025</w:t>
            </w:r>
          </w:p>
        </w:tc>
        <w:tc>
          <w:tcPr>
            <w:tcW w:w="546"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454</w:t>
            </w:r>
            <w:r>
              <w:rPr>
                <w:rFonts w:asciiTheme="majorHAnsi" w:hAnsiTheme="majorHAnsi" w:cstheme="majorHAnsi"/>
                <w:sz w:val="20"/>
                <w:szCs w:val="20"/>
              </w:rPr>
              <w:t xml:space="preserve"> (0)</w:t>
            </w:r>
          </w:p>
        </w:tc>
        <w:tc>
          <w:tcPr>
            <w:tcW w:w="546"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354, 567</w:t>
            </w:r>
          </w:p>
        </w:tc>
        <w:tc>
          <w:tcPr>
            <w:tcW w:w="54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456</w:t>
            </w:r>
            <w:r>
              <w:rPr>
                <w:rFonts w:asciiTheme="majorHAnsi" w:hAnsiTheme="majorHAnsi" w:cstheme="majorHAnsi"/>
                <w:sz w:val="20"/>
                <w:szCs w:val="20"/>
              </w:rPr>
              <w:t xml:space="preserve"> (0)</w:t>
            </w:r>
          </w:p>
        </w:tc>
        <w:tc>
          <w:tcPr>
            <w:tcW w:w="544" w:type="pct"/>
            <w:tcBorders>
              <w:top w:val="nil"/>
              <w:left w:val="single" w:sz="4" w:space="0" w:color="auto"/>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356, 566</w:t>
            </w:r>
          </w:p>
        </w:tc>
      </w:tr>
      <w:tr w:rsidR="006A57B2" w:rsidRPr="001575B6" w:rsidTr="000D2FFB">
        <w:trPr>
          <w:trHeight w:val="288"/>
        </w:trPr>
        <w:tc>
          <w:tcPr>
            <w:tcW w:w="1791" w:type="pct"/>
            <w:tcBorders>
              <w:top w:val="nil"/>
              <w:bottom w:val="nil"/>
              <w:right w:val="single" w:sz="4" w:space="0" w:color="auto"/>
            </w:tcBorders>
            <w:shd w:val="clear" w:color="auto" w:fill="auto"/>
            <w:noWrap/>
          </w:tcPr>
          <w:p w:rsidR="006A57B2" w:rsidRPr="001A3F11" w:rsidRDefault="006A57B2" w:rsidP="001A3F11">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Transportation (XB08Z)</w:t>
            </w:r>
          </w:p>
        </w:tc>
        <w:tc>
          <w:tcPr>
            <w:tcW w:w="51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1158</w:t>
            </w:r>
            <w:r>
              <w:rPr>
                <w:rFonts w:asciiTheme="majorHAnsi" w:hAnsiTheme="majorHAnsi" w:cstheme="majorHAnsi"/>
                <w:sz w:val="20"/>
                <w:szCs w:val="20"/>
              </w:rPr>
              <w:t xml:space="preserve"> (0)</w:t>
            </w:r>
          </w:p>
        </w:tc>
        <w:tc>
          <w:tcPr>
            <w:tcW w:w="51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1022, 1293</w:t>
            </w:r>
          </w:p>
        </w:tc>
        <w:tc>
          <w:tcPr>
            <w:tcW w:w="546"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1258</w:t>
            </w:r>
            <w:r>
              <w:rPr>
                <w:rFonts w:asciiTheme="majorHAnsi" w:hAnsiTheme="majorHAnsi" w:cstheme="majorHAnsi"/>
                <w:sz w:val="20"/>
                <w:szCs w:val="20"/>
              </w:rPr>
              <w:t xml:space="preserve"> (0)</w:t>
            </w:r>
          </w:p>
        </w:tc>
        <w:tc>
          <w:tcPr>
            <w:tcW w:w="546"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1109, 1413</w:t>
            </w:r>
          </w:p>
        </w:tc>
        <w:tc>
          <w:tcPr>
            <w:tcW w:w="54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1208</w:t>
            </w:r>
            <w:r>
              <w:rPr>
                <w:rFonts w:asciiTheme="majorHAnsi" w:hAnsiTheme="majorHAnsi" w:cstheme="majorHAnsi"/>
                <w:sz w:val="20"/>
                <w:szCs w:val="20"/>
              </w:rPr>
              <w:t xml:space="preserve"> (0)</w:t>
            </w:r>
          </w:p>
        </w:tc>
        <w:tc>
          <w:tcPr>
            <w:tcW w:w="544" w:type="pct"/>
            <w:tcBorders>
              <w:top w:val="nil"/>
              <w:left w:val="single" w:sz="4" w:space="0" w:color="auto"/>
              <w:bottom w:val="nil"/>
            </w:tcBorders>
            <w:shd w:val="clear" w:color="auto" w:fill="auto"/>
            <w:noWrap/>
          </w:tcPr>
          <w:p w:rsidR="006A57B2" w:rsidRPr="001A3F11" w:rsidRDefault="006A57B2" w:rsidP="00F71347">
            <w:pPr>
              <w:spacing w:after="0" w:line="240" w:lineRule="auto"/>
              <w:jc w:val="center"/>
              <w:rPr>
                <w:rFonts w:asciiTheme="majorHAnsi" w:eastAsia="Times New Roman" w:hAnsiTheme="majorHAnsi" w:cstheme="majorHAnsi"/>
                <w:color w:val="000000"/>
                <w:sz w:val="20"/>
                <w:szCs w:val="20"/>
                <w:lang w:eastAsia="en-GB"/>
              </w:rPr>
            </w:pPr>
            <w:r w:rsidRPr="0020245E">
              <w:rPr>
                <w:rFonts w:asciiTheme="majorHAnsi" w:hAnsiTheme="majorHAnsi"/>
                <w:color w:val="000000"/>
                <w:sz w:val="20"/>
                <w:szCs w:val="20"/>
              </w:rPr>
              <w:t>1068, 1353</w:t>
            </w:r>
          </w:p>
        </w:tc>
      </w:tr>
      <w:tr w:rsidR="006A57B2" w:rsidRPr="001575B6" w:rsidTr="000D2FFB">
        <w:trPr>
          <w:trHeight w:val="345"/>
        </w:trPr>
        <w:tc>
          <w:tcPr>
            <w:tcW w:w="1791" w:type="pct"/>
            <w:tcBorders>
              <w:top w:val="nil"/>
              <w:bottom w:val="single" w:sz="4" w:space="0" w:color="auto"/>
              <w:right w:val="single" w:sz="4" w:space="0" w:color="auto"/>
            </w:tcBorders>
            <w:shd w:val="clear" w:color="auto" w:fill="auto"/>
            <w:noWrap/>
          </w:tcPr>
          <w:p w:rsidR="006A57B2" w:rsidRPr="001A3F11" w:rsidRDefault="006A57B2" w:rsidP="001A3F11">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Sub-total (PICU/HDU/NICU)</w:t>
            </w:r>
            <w:r w:rsidRPr="001A3F11">
              <w:rPr>
                <w:rFonts w:asciiTheme="majorHAnsi" w:eastAsia="Times New Roman" w:hAnsiTheme="majorHAnsi" w:cstheme="majorHAnsi"/>
                <w:color w:val="000000"/>
                <w:sz w:val="20"/>
                <w:szCs w:val="20"/>
                <w:vertAlign w:val="superscript"/>
                <w:lang w:eastAsia="en-GB"/>
              </w:rPr>
              <w:t>a</w:t>
            </w:r>
          </w:p>
        </w:tc>
        <w:tc>
          <w:tcPr>
            <w:tcW w:w="514" w:type="pct"/>
            <w:tcBorders>
              <w:top w:val="nil"/>
              <w:left w:val="single" w:sz="4" w:space="0" w:color="auto"/>
              <w:bottom w:val="single" w:sz="4" w:space="0" w:color="auto"/>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24</w:t>
            </w:r>
            <w:r>
              <w:rPr>
                <w:rFonts w:asciiTheme="majorHAnsi" w:hAnsiTheme="majorHAnsi" w:cstheme="majorHAnsi"/>
                <w:sz w:val="20"/>
                <w:szCs w:val="20"/>
              </w:rPr>
              <w:t>,</w:t>
            </w:r>
            <w:r w:rsidRPr="001A3F11">
              <w:rPr>
                <w:rFonts w:asciiTheme="majorHAnsi" w:hAnsiTheme="majorHAnsi" w:cstheme="majorHAnsi"/>
                <w:sz w:val="20"/>
                <w:szCs w:val="20"/>
              </w:rPr>
              <w:t>115</w:t>
            </w:r>
            <w:r>
              <w:rPr>
                <w:rFonts w:asciiTheme="majorHAnsi" w:hAnsiTheme="majorHAnsi" w:cstheme="majorHAnsi"/>
                <w:sz w:val="20"/>
                <w:szCs w:val="20"/>
              </w:rPr>
              <w:t xml:space="preserve"> (12,201)</w:t>
            </w:r>
          </w:p>
        </w:tc>
        <w:tc>
          <w:tcPr>
            <w:tcW w:w="514" w:type="pct"/>
            <w:tcBorders>
              <w:top w:val="nil"/>
              <w:left w:val="single" w:sz="4" w:space="0" w:color="auto"/>
              <w:bottom w:val="single" w:sz="4" w:space="0" w:color="auto"/>
              <w:right w:val="single" w:sz="4" w:space="0" w:color="auto"/>
            </w:tcBorders>
            <w:shd w:val="clear" w:color="auto" w:fill="auto"/>
            <w:noWrap/>
          </w:tcPr>
          <w:p w:rsidR="006A57B2" w:rsidRPr="0020245E" w:rsidRDefault="006A57B2" w:rsidP="001A3F11">
            <w:pPr>
              <w:spacing w:after="0" w:line="240" w:lineRule="auto"/>
              <w:jc w:val="center"/>
              <w:rPr>
                <w:rFonts w:asciiTheme="majorHAnsi" w:hAnsiTheme="majorHAnsi"/>
                <w:color w:val="000000"/>
                <w:sz w:val="20"/>
                <w:szCs w:val="20"/>
              </w:rPr>
            </w:pPr>
            <w:r w:rsidRPr="0020245E">
              <w:rPr>
                <w:rFonts w:asciiTheme="majorHAnsi" w:hAnsiTheme="majorHAnsi"/>
                <w:color w:val="000000"/>
                <w:sz w:val="20"/>
                <w:szCs w:val="20"/>
              </w:rPr>
              <w:t>20</w:t>
            </w:r>
            <w:r>
              <w:rPr>
                <w:rFonts w:asciiTheme="majorHAnsi" w:hAnsiTheme="majorHAnsi"/>
                <w:color w:val="000000"/>
                <w:sz w:val="20"/>
                <w:szCs w:val="20"/>
              </w:rPr>
              <w:t>,</w:t>
            </w:r>
            <w:r w:rsidRPr="0020245E">
              <w:rPr>
                <w:rFonts w:asciiTheme="majorHAnsi" w:hAnsiTheme="majorHAnsi"/>
                <w:color w:val="000000"/>
                <w:sz w:val="20"/>
                <w:szCs w:val="20"/>
              </w:rPr>
              <w:t>824, 27</w:t>
            </w:r>
            <w:r>
              <w:rPr>
                <w:rFonts w:asciiTheme="majorHAnsi" w:hAnsiTheme="majorHAnsi"/>
                <w:color w:val="000000"/>
                <w:sz w:val="20"/>
                <w:szCs w:val="20"/>
              </w:rPr>
              <w:t>,</w:t>
            </w:r>
            <w:r w:rsidRPr="0020245E">
              <w:rPr>
                <w:rFonts w:asciiTheme="majorHAnsi" w:hAnsiTheme="majorHAnsi"/>
                <w:color w:val="000000"/>
                <w:sz w:val="20"/>
                <w:szCs w:val="20"/>
              </w:rPr>
              <w:t>764</w:t>
            </w:r>
          </w:p>
        </w:tc>
        <w:tc>
          <w:tcPr>
            <w:tcW w:w="546" w:type="pct"/>
            <w:tcBorders>
              <w:top w:val="nil"/>
              <w:left w:val="single" w:sz="4" w:space="0" w:color="auto"/>
              <w:bottom w:val="single" w:sz="4" w:space="0" w:color="auto"/>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22</w:t>
            </w:r>
            <w:r>
              <w:rPr>
                <w:rFonts w:asciiTheme="majorHAnsi" w:hAnsiTheme="majorHAnsi" w:cstheme="majorHAnsi"/>
                <w:sz w:val="20"/>
                <w:szCs w:val="20"/>
              </w:rPr>
              <w:t>,</w:t>
            </w:r>
            <w:r w:rsidRPr="001A3F11">
              <w:rPr>
                <w:rFonts w:asciiTheme="majorHAnsi" w:hAnsiTheme="majorHAnsi" w:cstheme="majorHAnsi"/>
                <w:sz w:val="20"/>
                <w:szCs w:val="20"/>
              </w:rPr>
              <w:t>417</w:t>
            </w:r>
            <w:r>
              <w:rPr>
                <w:rFonts w:asciiTheme="majorHAnsi" w:hAnsiTheme="majorHAnsi" w:cstheme="majorHAnsi"/>
                <w:sz w:val="20"/>
                <w:szCs w:val="20"/>
              </w:rPr>
              <w:t xml:space="preserve"> (11,903)</w:t>
            </w:r>
          </w:p>
        </w:tc>
        <w:tc>
          <w:tcPr>
            <w:tcW w:w="546" w:type="pct"/>
            <w:tcBorders>
              <w:top w:val="nil"/>
              <w:left w:val="single" w:sz="4" w:space="0" w:color="auto"/>
              <w:bottom w:val="single" w:sz="4" w:space="0" w:color="auto"/>
              <w:right w:val="single" w:sz="4" w:space="0" w:color="auto"/>
            </w:tcBorders>
            <w:shd w:val="clear" w:color="auto" w:fill="auto"/>
            <w:noWrap/>
          </w:tcPr>
          <w:p w:rsidR="006A57B2" w:rsidRPr="0020245E" w:rsidRDefault="006A57B2" w:rsidP="001A3F11">
            <w:pPr>
              <w:spacing w:after="0" w:line="240" w:lineRule="auto"/>
              <w:jc w:val="center"/>
              <w:rPr>
                <w:rFonts w:asciiTheme="majorHAnsi" w:hAnsiTheme="majorHAnsi"/>
                <w:color w:val="000000"/>
                <w:sz w:val="20"/>
                <w:szCs w:val="20"/>
              </w:rPr>
            </w:pPr>
            <w:r w:rsidRPr="0020245E">
              <w:rPr>
                <w:rFonts w:asciiTheme="majorHAnsi" w:hAnsiTheme="majorHAnsi"/>
                <w:color w:val="000000"/>
                <w:sz w:val="20"/>
                <w:szCs w:val="20"/>
              </w:rPr>
              <w:t>19</w:t>
            </w:r>
            <w:r>
              <w:rPr>
                <w:rFonts w:asciiTheme="majorHAnsi" w:hAnsiTheme="majorHAnsi"/>
                <w:color w:val="000000"/>
                <w:sz w:val="20"/>
                <w:szCs w:val="20"/>
              </w:rPr>
              <w:t>,</w:t>
            </w:r>
            <w:r w:rsidRPr="0020245E">
              <w:rPr>
                <w:rFonts w:asciiTheme="majorHAnsi" w:hAnsiTheme="majorHAnsi"/>
                <w:color w:val="000000"/>
                <w:sz w:val="20"/>
                <w:szCs w:val="20"/>
              </w:rPr>
              <w:t>429, 25</w:t>
            </w:r>
            <w:r>
              <w:rPr>
                <w:rFonts w:asciiTheme="majorHAnsi" w:hAnsiTheme="majorHAnsi"/>
                <w:color w:val="000000"/>
                <w:sz w:val="20"/>
                <w:szCs w:val="20"/>
              </w:rPr>
              <w:t>,</w:t>
            </w:r>
            <w:r w:rsidRPr="0020245E">
              <w:rPr>
                <w:rFonts w:asciiTheme="majorHAnsi" w:hAnsiTheme="majorHAnsi"/>
                <w:color w:val="000000"/>
                <w:sz w:val="20"/>
                <w:szCs w:val="20"/>
              </w:rPr>
              <w:t>771</w:t>
            </w:r>
          </w:p>
        </w:tc>
        <w:tc>
          <w:tcPr>
            <w:tcW w:w="544" w:type="pct"/>
            <w:tcBorders>
              <w:top w:val="nil"/>
              <w:left w:val="single" w:sz="4" w:space="0" w:color="auto"/>
              <w:bottom w:val="single" w:sz="4" w:space="0" w:color="auto"/>
              <w:right w:val="single" w:sz="4" w:space="0" w:color="auto"/>
            </w:tcBorders>
            <w:shd w:val="clear" w:color="auto" w:fill="auto"/>
            <w:noWrap/>
          </w:tcPr>
          <w:p w:rsidR="006A57B2" w:rsidRPr="001A3F11" w:rsidRDefault="006A57B2">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23</w:t>
            </w:r>
            <w:r>
              <w:rPr>
                <w:rFonts w:asciiTheme="majorHAnsi" w:hAnsiTheme="majorHAnsi" w:cstheme="majorHAnsi"/>
                <w:sz w:val="20"/>
                <w:szCs w:val="20"/>
              </w:rPr>
              <w:t>,</w:t>
            </w:r>
            <w:r w:rsidRPr="001A3F11">
              <w:rPr>
                <w:rFonts w:asciiTheme="majorHAnsi" w:hAnsiTheme="majorHAnsi" w:cstheme="majorHAnsi"/>
                <w:sz w:val="20"/>
                <w:szCs w:val="20"/>
              </w:rPr>
              <w:t>907</w:t>
            </w:r>
            <w:r>
              <w:rPr>
                <w:rFonts w:asciiTheme="majorHAnsi" w:hAnsiTheme="majorHAnsi" w:cstheme="majorHAnsi"/>
                <w:sz w:val="20"/>
                <w:szCs w:val="20"/>
              </w:rPr>
              <w:t xml:space="preserve"> (12,495)</w:t>
            </w:r>
          </w:p>
        </w:tc>
        <w:tc>
          <w:tcPr>
            <w:tcW w:w="544" w:type="pct"/>
            <w:tcBorders>
              <w:top w:val="nil"/>
              <w:left w:val="single" w:sz="4" w:space="0" w:color="auto"/>
              <w:bottom w:val="single" w:sz="4" w:space="0" w:color="auto"/>
            </w:tcBorders>
            <w:shd w:val="clear" w:color="auto" w:fill="auto"/>
            <w:noWrap/>
          </w:tcPr>
          <w:p w:rsidR="006A57B2" w:rsidRPr="0020245E" w:rsidRDefault="006A57B2">
            <w:pPr>
              <w:spacing w:after="0" w:line="240" w:lineRule="auto"/>
              <w:jc w:val="center"/>
              <w:rPr>
                <w:rFonts w:asciiTheme="majorHAnsi" w:hAnsiTheme="majorHAnsi"/>
                <w:color w:val="000000"/>
                <w:sz w:val="20"/>
                <w:szCs w:val="20"/>
              </w:rPr>
            </w:pPr>
            <w:r w:rsidRPr="0020245E">
              <w:rPr>
                <w:rFonts w:asciiTheme="majorHAnsi" w:hAnsiTheme="majorHAnsi"/>
                <w:color w:val="000000"/>
                <w:sz w:val="20"/>
                <w:szCs w:val="20"/>
              </w:rPr>
              <w:t>20</w:t>
            </w:r>
            <w:r>
              <w:rPr>
                <w:rFonts w:asciiTheme="majorHAnsi" w:hAnsiTheme="majorHAnsi"/>
                <w:color w:val="000000"/>
                <w:sz w:val="20"/>
                <w:szCs w:val="20"/>
              </w:rPr>
              <w:t>,</w:t>
            </w:r>
            <w:r w:rsidRPr="0020245E">
              <w:rPr>
                <w:rFonts w:asciiTheme="majorHAnsi" w:hAnsiTheme="majorHAnsi"/>
                <w:color w:val="000000"/>
                <w:sz w:val="20"/>
                <w:szCs w:val="20"/>
              </w:rPr>
              <w:t>989, 27</w:t>
            </w:r>
            <w:r>
              <w:rPr>
                <w:rFonts w:asciiTheme="majorHAnsi" w:hAnsiTheme="majorHAnsi"/>
                <w:color w:val="000000"/>
                <w:sz w:val="20"/>
                <w:szCs w:val="20"/>
              </w:rPr>
              <w:t>,</w:t>
            </w:r>
            <w:r w:rsidRPr="0020245E">
              <w:rPr>
                <w:rFonts w:asciiTheme="majorHAnsi" w:hAnsiTheme="majorHAnsi"/>
                <w:color w:val="000000"/>
                <w:sz w:val="20"/>
                <w:szCs w:val="20"/>
              </w:rPr>
              <w:t>049</w:t>
            </w:r>
          </w:p>
        </w:tc>
      </w:tr>
      <w:tr w:rsidR="006A57B2" w:rsidRPr="003F1FF4" w:rsidTr="00BB6D52">
        <w:trPr>
          <w:trHeight w:val="288"/>
        </w:trPr>
        <w:tc>
          <w:tcPr>
            <w:tcW w:w="5000" w:type="pct"/>
            <w:gridSpan w:val="7"/>
            <w:tcBorders>
              <w:bottom w:val="single" w:sz="4" w:space="0" w:color="auto"/>
            </w:tcBorders>
            <w:shd w:val="clear" w:color="auto" w:fill="9CC2E5" w:themeFill="accent1" w:themeFillTint="99"/>
            <w:noWrap/>
            <w:vAlign w:val="bottom"/>
          </w:tcPr>
          <w:p w:rsidR="006A57B2" w:rsidRPr="0020245E" w:rsidRDefault="006A57B2" w:rsidP="001A3F11">
            <w:pPr>
              <w:spacing w:after="0" w:line="240" w:lineRule="auto"/>
              <w:rPr>
                <w:rFonts w:asciiTheme="majorHAnsi" w:eastAsia="Times New Roman" w:hAnsiTheme="majorHAnsi" w:cstheme="majorHAnsi"/>
                <w:color w:val="000000"/>
                <w:sz w:val="20"/>
                <w:szCs w:val="20"/>
                <w:vertAlign w:val="superscript"/>
                <w:lang w:eastAsia="en-GB"/>
              </w:rPr>
            </w:pPr>
            <w:r w:rsidRPr="00841C27">
              <w:rPr>
                <w:rFonts w:asciiTheme="majorHAnsi" w:eastAsia="Times New Roman" w:hAnsiTheme="majorHAnsi" w:cstheme="majorHAnsi"/>
                <w:color w:val="000000"/>
                <w:sz w:val="20"/>
                <w:szCs w:val="20"/>
                <w:lang w:eastAsia="en-GB"/>
              </w:rPr>
              <w:t xml:space="preserve">Inpatient </w:t>
            </w:r>
            <w:r>
              <w:rPr>
                <w:rFonts w:asciiTheme="majorHAnsi" w:eastAsia="Times New Roman" w:hAnsiTheme="majorHAnsi" w:cstheme="majorHAnsi"/>
                <w:color w:val="000000"/>
                <w:sz w:val="20"/>
                <w:szCs w:val="20"/>
                <w:lang w:eastAsia="en-GB"/>
              </w:rPr>
              <w:t>stay</w:t>
            </w:r>
            <w:r>
              <w:rPr>
                <w:rFonts w:asciiTheme="majorHAnsi" w:eastAsia="Times New Roman" w:hAnsiTheme="majorHAnsi" w:cstheme="majorHAnsi"/>
                <w:color w:val="000000"/>
                <w:sz w:val="20"/>
                <w:szCs w:val="20"/>
                <w:vertAlign w:val="superscript"/>
                <w:lang w:eastAsia="en-GB"/>
              </w:rPr>
              <w:t>b</w:t>
            </w:r>
          </w:p>
        </w:tc>
      </w:tr>
      <w:tr w:rsidR="006A57B2" w:rsidRPr="003F1FF4" w:rsidTr="000D2FFB">
        <w:trPr>
          <w:trHeight w:val="288"/>
        </w:trPr>
        <w:tc>
          <w:tcPr>
            <w:tcW w:w="1791" w:type="pct"/>
            <w:tcBorders>
              <w:bottom w:val="nil"/>
            </w:tcBorders>
            <w:shd w:val="clear" w:color="auto" w:fill="auto"/>
            <w:noWrap/>
            <w:vAlign w:val="bottom"/>
          </w:tcPr>
          <w:p w:rsidR="006A57B2" w:rsidRPr="001A3F11" w:rsidRDefault="006A57B2" w:rsidP="0020245E">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Complex Congenital Surgery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EA24Z</w:t>
            </w:r>
            <w:r>
              <w:rPr>
                <w:rFonts w:asciiTheme="majorHAnsi" w:eastAsia="Times New Roman" w:hAnsiTheme="majorHAnsi" w:cstheme="majorHAnsi"/>
                <w:color w:val="000000"/>
                <w:sz w:val="20"/>
                <w:szCs w:val="20"/>
                <w:lang w:eastAsia="en-GB"/>
              </w:rPr>
              <w:t>)</w:t>
            </w:r>
          </w:p>
        </w:tc>
        <w:tc>
          <w:tcPr>
            <w:tcW w:w="514" w:type="pct"/>
            <w:tcBorders>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3011</w:t>
            </w:r>
            <w:r>
              <w:rPr>
                <w:rFonts w:asciiTheme="majorHAnsi" w:hAnsiTheme="majorHAnsi" w:cstheme="majorHAnsi"/>
                <w:sz w:val="20"/>
                <w:szCs w:val="20"/>
              </w:rPr>
              <w:t xml:space="preserve"> (0)</w:t>
            </w:r>
          </w:p>
        </w:tc>
        <w:tc>
          <w:tcPr>
            <w:tcW w:w="514" w:type="pct"/>
            <w:tcBorders>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2445, 3593</w:t>
            </w:r>
          </w:p>
        </w:tc>
        <w:tc>
          <w:tcPr>
            <w:tcW w:w="546" w:type="pct"/>
            <w:tcBorders>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2908</w:t>
            </w:r>
            <w:r>
              <w:rPr>
                <w:rFonts w:asciiTheme="majorHAnsi" w:hAnsiTheme="majorHAnsi" w:cstheme="majorHAnsi"/>
                <w:sz w:val="20"/>
                <w:szCs w:val="20"/>
              </w:rPr>
              <w:t xml:space="preserve"> (0)</w:t>
            </w:r>
          </w:p>
        </w:tc>
        <w:tc>
          <w:tcPr>
            <w:tcW w:w="546" w:type="pct"/>
            <w:tcBorders>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2363, 3481</w:t>
            </w:r>
          </w:p>
        </w:tc>
        <w:tc>
          <w:tcPr>
            <w:tcW w:w="544" w:type="pct"/>
            <w:tcBorders>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3144</w:t>
            </w:r>
            <w:r>
              <w:rPr>
                <w:rFonts w:asciiTheme="majorHAnsi" w:hAnsiTheme="majorHAnsi" w:cstheme="majorHAnsi"/>
                <w:sz w:val="20"/>
                <w:szCs w:val="20"/>
              </w:rPr>
              <w:t xml:space="preserve"> (0)</w:t>
            </w:r>
          </w:p>
        </w:tc>
        <w:tc>
          <w:tcPr>
            <w:tcW w:w="544" w:type="pct"/>
            <w:tcBorders>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2565, 3753</w:t>
            </w:r>
          </w:p>
        </w:tc>
      </w:tr>
      <w:tr w:rsidR="006A57B2" w:rsidRPr="003F1FF4" w:rsidTr="000D2FFB">
        <w:trPr>
          <w:trHeight w:val="288"/>
        </w:trPr>
        <w:tc>
          <w:tcPr>
            <w:tcW w:w="1791" w:type="pct"/>
            <w:tcBorders>
              <w:top w:val="nil"/>
              <w:bottom w:val="nil"/>
            </w:tcBorders>
            <w:shd w:val="clear" w:color="auto" w:fill="auto"/>
            <w:noWrap/>
            <w:vAlign w:val="bottom"/>
          </w:tcPr>
          <w:p w:rsidR="006A57B2" w:rsidRPr="001A3F11" w:rsidRDefault="006A57B2" w:rsidP="0020245E">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Intermediate Congenital Surgery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EA25Z</w:t>
            </w:r>
            <w:r>
              <w:rPr>
                <w:rFonts w:asciiTheme="majorHAnsi" w:eastAsia="Times New Roman" w:hAnsiTheme="majorHAnsi" w:cstheme="majorHAnsi"/>
                <w:color w:val="000000"/>
                <w:sz w:val="20"/>
                <w:szCs w:val="20"/>
                <w:lang w:eastAsia="en-GB"/>
              </w:rPr>
              <w:t>)</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2166</w:t>
            </w:r>
            <w:r>
              <w:rPr>
                <w:rFonts w:asciiTheme="majorHAnsi" w:hAnsiTheme="majorHAnsi" w:cstheme="majorHAnsi"/>
                <w:sz w:val="20"/>
                <w:szCs w:val="20"/>
              </w:rPr>
              <w:t xml:space="preserve"> (0)</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1670, 2699</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193</w:t>
            </w:r>
            <w:r>
              <w:rPr>
                <w:rFonts w:asciiTheme="majorHAnsi" w:eastAsia="Times New Roman" w:hAnsiTheme="majorHAnsi" w:cstheme="majorHAnsi"/>
                <w:color w:val="000000"/>
                <w:sz w:val="20"/>
                <w:szCs w:val="20"/>
                <w:lang w:eastAsia="en-GB"/>
              </w:rPr>
              <w:t>4</w:t>
            </w:r>
            <w:r>
              <w:rPr>
                <w:rFonts w:asciiTheme="majorHAnsi" w:hAnsiTheme="majorHAnsi" w:cstheme="majorHAnsi"/>
                <w:sz w:val="20"/>
                <w:szCs w:val="20"/>
              </w:rPr>
              <w:t xml:space="preserve"> (0)</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1470, 2440</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2044</w:t>
            </w:r>
            <w:r>
              <w:rPr>
                <w:rFonts w:asciiTheme="majorHAnsi" w:hAnsiTheme="majorHAnsi" w:cstheme="majorHAnsi"/>
                <w:sz w:val="20"/>
                <w:szCs w:val="20"/>
              </w:rPr>
              <w:t xml:space="preserve"> (0)</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1583, 2545</w:t>
            </w:r>
          </w:p>
        </w:tc>
      </w:tr>
      <w:tr w:rsidR="006A57B2" w:rsidRPr="003F1FF4" w:rsidTr="000D2FFB">
        <w:trPr>
          <w:trHeight w:val="288"/>
        </w:trPr>
        <w:tc>
          <w:tcPr>
            <w:tcW w:w="1791" w:type="pct"/>
            <w:tcBorders>
              <w:top w:val="nil"/>
              <w:bottom w:val="nil"/>
            </w:tcBorders>
            <w:shd w:val="clear" w:color="auto" w:fill="auto"/>
            <w:noWrap/>
            <w:vAlign w:val="bottom"/>
          </w:tcPr>
          <w:p w:rsidR="006A57B2" w:rsidRPr="001A3F11" w:rsidRDefault="006A57B2" w:rsidP="0020245E">
            <w:pPr>
              <w:spacing w:after="0" w:line="240" w:lineRule="auto"/>
              <w:ind w:left="142"/>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Major Complex Congenital Surgery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EA23Z</w:t>
            </w:r>
            <w:r>
              <w:rPr>
                <w:rFonts w:asciiTheme="majorHAnsi" w:eastAsia="Times New Roman" w:hAnsiTheme="majorHAnsi" w:cstheme="majorHAnsi"/>
                <w:color w:val="000000"/>
                <w:sz w:val="20"/>
                <w:szCs w:val="20"/>
                <w:lang w:eastAsia="en-GB"/>
              </w:rPr>
              <w:t>)</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1865</w:t>
            </w:r>
            <w:r>
              <w:rPr>
                <w:rFonts w:asciiTheme="majorHAnsi" w:hAnsiTheme="majorHAnsi" w:cstheme="majorHAnsi"/>
                <w:sz w:val="20"/>
                <w:szCs w:val="20"/>
              </w:rPr>
              <w:t xml:space="preserve"> (0)</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1315, 2481</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1915</w:t>
            </w:r>
            <w:r>
              <w:rPr>
                <w:rFonts w:asciiTheme="majorHAnsi" w:hAnsiTheme="majorHAnsi" w:cstheme="majorHAnsi"/>
                <w:sz w:val="20"/>
                <w:szCs w:val="20"/>
              </w:rPr>
              <w:t xml:space="preserve"> (0)</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1310, 2603</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1466</w:t>
            </w:r>
            <w:r>
              <w:rPr>
                <w:rFonts w:asciiTheme="majorHAnsi" w:hAnsiTheme="majorHAnsi" w:cstheme="majorHAnsi"/>
                <w:sz w:val="20"/>
                <w:szCs w:val="20"/>
              </w:rPr>
              <w:t xml:space="preserve"> (0)</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1013, 1960</w:t>
            </w:r>
          </w:p>
        </w:tc>
      </w:tr>
      <w:tr w:rsidR="006A57B2" w:rsidRPr="003F1FF4" w:rsidTr="000D2FFB">
        <w:trPr>
          <w:trHeight w:val="288"/>
        </w:trPr>
        <w:tc>
          <w:tcPr>
            <w:tcW w:w="1791" w:type="pct"/>
            <w:tcBorders>
              <w:top w:val="nil"/>
              <w:bottom w:val="nil"/>
            </w:tcBorders>
            <w:shd w:val="clear" w:color="auto" w:fill="auto"/>
            <w:noWrap/>
            <w:vAlign w:val="bottom"/>
          </w:tcPr>
          <w:p w:rsidR="006A57B2" w:rsidRPr="001A3F11" w:rsidRDefault="006A57B2" w:rsidP="0020245E">
            <w:pPr>
              <w:spacing w:after="0" w:line="240" w:lineRule="auto"/>
              <w:ind w:left="426" w:hanging="284"/>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 xml:space="preserve">Cardiac Conditions with </w:t>
            </w:r>
            <w:r>
              <w:rPr>
                <w:rFonts w:asciiTheme="majorHAnsi" w:eastAsia="Times New Roman" w:hAnsiTheme="majorHAnsi" w:cstheme="majorHAnsi"/>
                <w:color w:val="000000"/>
                <w:sz w:val="20"/>
                <w:szCs w:val="20"/>
                <w:lang w:eastAsia="en-GB"/>
              </w:rPr>
              <w:t>c</w:t>
            </w:r>
            <w:r w:rsidRPr="001A3F11">
              <w:rPr>
                <w:rFonts w:asciiTheme="majorHAnsi" w:eastAsia="Times New Roman" w:hAnsiTheme="majorHAnsi" w:cstheme="majorHAnsi"/>
                <w:color w:val="000000"/>
                <w:sz w:val="20"/>
                <w:szCs w:val="20"/>
                <w:lang w:eastAsia="en-GB"/>
              </w:rPr>
              <w:t xml:space="preserve">omplication and </w:t>
            </w:r>
            <w:r>
              <w:rPr>
                <w:rFonts w:asciiTheme="majorHAnsi" w:eastAsia="Times New Roman" w:hAnsiTheme="majorHAnsi" w:cstheme="majorHAnsi"/>
                <w:color w:val="000000"/>
                <w:sz w:val="20"/>
                <w:szCs w:val="20"/>
                <w:lang w:eastAsia="en-GB"/>
              </w:rPr>
              <w:t>c</w:t>
            </w:r>
            <w:r w:rsidRPr="001A3F11">
              <w:rPr>
                <w:rFonts w:asciiTheme="majorHAnsi" w:eastAsia="Times New Roman" w:hAnsiTheme="majorHAnsi" w:cstheme="majorHAnsi"/>
                <w:color w:val="000000"/>
                <w:sz w:val="20"/>
                <w:szCs w:val="20"/>
                <w:lang w:eastAsia="en-GB"/>
              </w:rPr>
              <w:t>omorbidity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PA23A</w:t>
            </w:r>
            <w:r>
              <w:rPr>
                <w:rFonts w:asciiTheme="majorHAnsi" w:eastAsia="Times New Roman" w:hAnsiTheme="majorHAnsi" w:cstheme="majorHAnsi"/>
                <w:color w:val="000000"/>
                <w:sz w:val="20"/>
                <w:szCs w:val="20"/>
                <w:lang w:eastAsia="en-GB"/>
              </w:rPr>
              <w:t>)</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1277</w:t>
            </w:r>
            <w:r>
              <w:rPr>
                <w:rFonts w:asciiTheme="majorHAnsi" w:hAnsiTheme="majorHAnsi" w:cstheme="majorHAnsi"/>
                <w:sz w:val="20"/>
                <w:szCs w:val="20"/>
              </w:rPr>
              <w:t xml:space="preserve"> (0)</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818, 1845</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117</w:t>
            </w:r>
            <w:r>
              <w:rPr>
                <w:rFonts w:asciiTheme="majorHAnsi" w:eastAsia="Times New Roman" w:hAnsiTheme="majorHAnsi" w:cstheme="majorHAnsi"/>
                <w:color w:val="000000"/>
                <w:sz w:val="20"/>
                <w:szCs w:val="20"/>
                <w:lang w:eastAsia="en-GB"/>
              </w:rPr>
              <w:t>3</w:t>
            </w:r>
            <w:r>
              <w:rPr>
                <w:rFonts w:asciiTheme="majorHAnsi" w:hAnsiTheme="majorHAnsi" w:cstheme="majorHAnsi"/>
                <w:sz w:val="20"/>
                <w:szCs w:val="20"/>
              </w:rPr>
              <w:t xml:space="preserve"> (0)</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831, 1558</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73</w:t>
            </w:r>
            <w:r>
              <w:rPr>
                <w:rFonts w:asciiTheme="majorHAnsi" w:eastAsia="Times New Roman" w:hAnsiTheme="majorHAnsi" w:cstheme="majorHAnsi"/>
                <w:color w:val="000000"/>
                <w:sz w:val="20"/>
                <w:szCs w:val="20"/>
                <w:lang w:eastAsia="en-GB"/>
              </w:rPr>
              <w:t>9</w:t>
            </w:r>
            <w:r>
              <w:rPr>
                <w:rFonts w:asciiTheme="majorHAnsi" w:hAnsiTheme="majorHAnsi" w:cstheme="majorHAnsi"/>
                <w:sz w:val="20"/>
                <w:szCs w:val="20"/>
              </w:rPr>
              <w:t xml:space="preserve"> (0)</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495, 1025</w:t>
            </w:r>
          </w:p>
        </w:tc>
      </w:tr>
      <w:tr w:rsidR="006A57B2" w:rsidRPr="003F1FF4" w:rsidTr="000D2FFB">
        <w:trPr>
          <w:trHeight w:val="288"/>
        </w:trPr>
        <w:tc>
          <w:tcPr>
            <w:tcW w:w="1791" w:type="pct"/>
            <w:tcBorders>
              <w:top w:val="nil"/>
              <w:bottom w:val="nil"/>
            </w:tcBorders>
            <w:shd w:val="clear" w:color="auto" w:fill="auto"/>
            <w:noWrap/>
            <w:vAlign w:val="bottom"/>
          </w:tcPr>
          <w:p w:rsidR="006A57B2" w:rsidRPr="001A3F11" w:rsidRDefault="006A57B2" w:rsidP="0020245E">
            <w:pPr>
              <w:spacing w:after="0" w:line="240" w:lineRule="auto"/>
              <w:ind w:left="426" w:hanging="284"/>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Lower Respiratory Tract Disorders</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 xml:space="preserve">without </w:t>
            </w:r>
            <w:r>
              <w:rPr>
                <w:rFonts w:asciiTheme="majorHAnsi" w:eastAsia="Times New Roman" w:hAnsiTheme="majorHAnsi" w:cstheme="majorHAnsi"/>
                <w:color w:val="000000"/>
                <w:sz w:val="20"/>
                <w:szCs w:val="20"/>
                <w:lang w:eastAsia="en-GB"/>
              </w:rPr>
              <w:t>a</w:t>
            </w:r>
            <w:r w:rsidRPr="00173E94">
              <w:rPr>
                <w:rFonts w:asciiTheme="majorHAnsi" w:eastAsia="Times New Roman" w:hAnsiTheme="majorHAnsi" w:cstheme="majorHAnsi"/>
                <w:color w:val="000000"/>
                <w:sz w:val="20"/>
                <w:szCs w:val="20"/>
                <w:lang w:eastAsia="en-GB"/>
              </w:rPr>
              <w:t xml:space="preserve">cute </w:t>
            </w:r>
            <w:r>
              <w:rPr>
                <w:rFonts w:asciiTheme="majorHAnsi" w:eastAsia="Times New Roman" w:hAnsiTheme="majorHAnsi" w:cstheme="majorHAnsi"/>
                <w:color w:val="000000"/>
                <w:sz w:val="20"/>
                <w:szCs w:val="20"/>
                <w:lang w:eastAsia="en-GB"/>
              </w:rPr>
              <w:t>b</w:t>
            </w:r>
            <w:r w:rsidRPr="00173E94">
              <w:rPr>
                <w:rFonts w:asciiTheme="majorHAnsi" w:eastAsia="Times New Roman" w:hAnsiTheme="majorHAnsi" w:cstheme="majorHAnsi"/>
                <w:color w:val="000000"/>
                <w:sz w:val="20"/>
                <w:szCs w:val="20"/>
                <w:lang w:eastAsia="en-GB"/>
              </w:rPr>
              <w:t>r</w:t>
            </w:r>
            <w:r>
              <w:rPr>
                <w:rFonts w:asciiTheme="majorHAnsi" w:eastAsia="Times New Roman" w:hAnsiTheme="majorHAnsi" w:cstheme="majorHAnsi"/>
                <w:color w:val="000000"/>
                <w:sz w:val="20"/>
                <w:szCs w:val="20"/>
                <w:lang w:eastAsia="en-GB"/>
              </w:rPr>
              <w:t>onchiolitis with length of stay ≥</w:t>
            </w:r>
            <w:r w:rsidRPr="00173E94">
              <w:rPr>
                <w:rFonts w:asciiTheme="majorHAnsi" w:eastAsia="Times New Roman" w:hAnsiTheme="majorHAnsi" w:cstheme="majorHAnsi"/>
                <w:color w:val="000000"/>
                <w:sz w:val="20"/>
                <w:szCs w:val="20"/>
                <w:lang w:eastAsia="en-GB"/>
              </w:rPr>
              <w:t xml:space="preserve">1 day with </w:t>
            </w:r>
            <w:r>
              <w:rPr>
                <w:rFonts w:asciiTheme="majorHAnsi" w:eastAsia="Times New Roman" w:hAnsiTheme="majorHAnsi" w:cstheme="majorHAnsi"/>
                <w:color w:val="000000"/>
                <w:sz w:val="20"/>
                <w:szCs w:val="20"/>
                <w:lang w:eastAsia="en-GB"/>
              </w:rPr>
              <w:t>complication and c</w:t>
            </w:r>
            <w:r w:rsidRPr="001A3F11">
              <w:rPr>
                <w:rFonts w:asciiTheme="majorHAnsi" w:eastAsia="Times New Roman" w:hAnsiTheme="majorHAnsi" w:cstheme="majorHAnsi"/>
                <w:color w:val="000000"/>
                <w:sz w:val="20"/>
                <w:szCs w:val="20"/>
                <w:lang w:eastAsia="en-GB"/>
              </w:rPr>
              <w:t>omorbidity</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PA14C</w:t>
            </w:r>
            <w:r>
              <w:rPr>
                <w:rFonts w:asciiTheme="majorHAnsi" w:eastAsia="Times New Roman" w:hAnsiTheme="majorHAnsi" w:cstheme="majorHAnsi"/>
                <w:color w:val="000000"/>
                <w:sz w:val="20"/>
                <w:szCs w:val="20"/>
                <w:lang w:eastAsia="en-GB"/>
              </w:rPr>
              <w:t>)</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858</w:t>
            </w:r>
            <w:r>
              <w:rPr>
                <w:rFonts w:asciiTheme="majorHAnsi" w:hAnsiTheme="majorHAnsi" w:cstheme="majorHAnsi"/>
                <w:sz w:val="20"/>
                <w:szCs w:val="20"/>
              </w:rPr>
              <w:t xml:space="preserve"> (0)</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593, 1157</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668</w:t>
            </w:r>
            <w:r>
              <w:rPr>
                <w:rFonts w:asciiTheme="majorHAnsi" w:hAnsiTheme="majorHAnsi" w:cstheme="majorHAnsi"/>
                <w:sz w:val="20"/>
                <w:szCs w:val="20"/>
              </w:rPr>
              <w:t xml:space="preserve"> (0)</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454, 913</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943</w:t>
            </w:r>
            <w:r>
              <w:rPr>
                <w:rFonts w:asciiTheme="majorHAnsi" w:hAnsiTheme="majorHAnsi" w:cstheme="majorHAnsi"/>
                <w:sz w:val="20"/>
                <w:szCs w:val="20"/>
              </w:rPr>
              <w:t xml:space="preserve"> (0)</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657, 1268</w:t>
            </w:r>
          </w:p>
        </w:tc>
      </w:tr>
      <w:tr w:rsidR="006A57B2" w:rsidRPr="003F1FF4" w:rsidTr="000D2FFB">
        <w:trPr>
          <w:trHeight w:val="288"/>
        </w:trPr>
        <w:tc>
          <w:tcPr>
            <w:tcW w:w="1791" w:type="pct"/>
            <w:tcBorders>
              <w:top w:val="nil"/>
              <w:bottom w:val="nil"/>
            </w:tcBorders>
            <w:shd w:val="clear" w:color="auto" w:fill="auto"/>
            <w:noWrap/>
            <w:vAlign w:val="bottom"/>
          </w:tcPr>
          <w:p w:rsidR="006A57B2" w:rsidRPr="001A3F11" w:rsidRDefault="006A57B2" w:rsidP="0020245E">
            <w:pPr>
              <w:spacing w:after="0" w:line="240" w:lineRule="auto"/>
              <w:ind w:left="426" w:hanging="284"/>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Implantation of Prosthetic Heart or Ventricular Assist Device</w:t>
            </w:r>
            <w:r>
              <w:rPr>
                <w:rFonts w:asciiTheme="majorHAnsi" w:eastAsia="Times New Roman" w:hAnsiTheme="majorHAnsi" w:cstheme="majorHAnsi"/>
                <w:color w:val="000000"/>
                <w:sz w:val="20"/>
                <w:szCs w:val="20"/>
                <w:lang w:eastAsia="en-GB"/>
              </w:rPr>
              <w:t xml:space="preserve"> (</w:t>
            </w:r>
            <w:r w:rsidRPr="00173E94">
              <w:rPr>
                <w:rFonts w:asciiTheme="majorHAnsi" w:eastAsia="Times New Roman" w:hAnsiTheme="majorHAnsi" w:cstheme="majorHAnsi"/>
                <w:color w:val="000000"/>
                <w:sz w:val="20"/>
                <w:szCs w:val="20"/>
                <w:lang w:eastAsia="en-GB"/>
              </w:rPr>
              <w:t>EA43Z</w:t>
            </w:r>
            <w:r>
              <w:rPr>
                <w:rFonts w:asciiTheme="majorHAnsi" w:eastAsia="Times New Roman" w:hAnsiTheme="majorHAnsi" w:cstheme="majorHAnsi"/>
                <w:color w:val="000000"/>
                <w:sz w:val="20"/>
                <w:szCs w:val="20"/>
                <w:lang w:eastAsia="en-GB"/>
              </w:rPr>
              <w:t>)</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273</w:t>
            </w:r>
            <w:r>
              <w:rPr>
                <w:rFonts w:asciiTheme="majorHAnsi" w:hAnsiTheme="majorHAnsi" w:cstheme="majorHAnsi"/>
                <w:sz w:val="20"/>
                <w:szCs w:val="20"/>
              </w:rPr>
              <w:t xml:space="preserve"> (0)</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0, 684</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298</w:t>
            </w:r>
            <w:r>
              <w:rPr>
                <w:rFonts w:asciiTheme="majorHAnsi" w:hAnsiTheme="majorHAnsi" w:cstheme="majorHAnsi"/>
                <w:sz w:val="20"/>
                <w:szCs w:val="20"/>
              </w:rPr>
              <w:t xml:space="preserve"> (0)</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0, 762</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54</w:t>
            </w:r>
            <w:r>
              <w:rPr>
                <w:rFonts w:asciiTheme="majorHAnsi" w:eastAsia="Times New Roman" w:hAnsiTheme="majorHAnsi" w:cstheme="majorHAnsi"/>
                <w:color w:val="000000"/>
                <w:sz w:val="20"/>
                <w:szCs w:val="20"/>
                <w:lang w:eastAsia="en-GB"/>
              </w:rPr>
              <w:t>8</w:t>
            </w:r>
            <w:r>
              <w:rPr>
                <w:rFonts w:asciiTheme="majorHAnsi" w:hAnsiTheme="majorHAnsi" w:cstheme="majorHAnsi"/>
                <w:sz w:val="20"/>
                <w:szCs w:val="20"/>
              </w:rPr>
              <w:t xml:space="preserve"> (0)</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103, 1155</w:t>
            </w:r>
          </w:p>
        </w:tc>
      </w:tr>
      <w:tr w:rsidR="006A57B2" w:rsidRPr="003F1FF4" w:rsidTr="000D2FFB">
        <w:trPr>
          <w:trHeight w:val="288"/>
        </w:trPr>
        <w:tc>
          <w:tcPr>
            <w:tcW w:w="1791" w:type="pct"/>
            <w:tcBorders>
              <w:top w:val="nil"/>
              <w:bottom w:val="nil"/>
            </w:tcBorders>
            <w:shd w:val="clear" w:color="auto" w:fill="auto"/>
            <w:noWrap/>
            <w:vAlign w:val="bottom"/>
          </w:tcPr>
          <w:p w:rsidR="006A57B2" w:rsidRPr="001A3F11" w:rsidRDefault="006A57B2" w:rsidP="0020245E">
            <w:pPr>
              <w:spacing w:after="0" w:line="240" w:lineRule="auto"/>
              <w:ind w:left="426" w:hanging="284"/>
              <w:rPr>
                <w:rFonts w:asciiTheme="majorHAnsi" w:eastAsia="Times New Roman" w:hAnsiTheme="majorHAnsi" w:cstheme="majorHAnsi"/>
                <w:color w:val="000000"/>
                <w:sz w:val="20"/>
                <w:szCs w:val="20"/>
                <w:lang w:eastAsia="en-GB"/>
              </w:rPr>
            </w:pPr>
            <w:r>
              <w:rPr>
                <w:rFonts w:asciiTheme="majorHAnsi" w:eastAsia="Times New Roman" w:hAnsiTheme="majorHAnsi" w:cstheme="majorHAnsi"/>
                <w:color w:val="000000"/>
                <w:sz w:val="20"/>
                <w:szCs w:val="20"/>
                <w:lang w:eastAsia="en-GB"/>
              </w:rPr>
              <w:t>Other i</w:t>
            </w:r>
            <w:r w:rsidRPr="00173E94">
              <w:rPr>
                <w:rFonts w:asciiTheme="majorHAnsi" w:eastAsia="Times New Roman" w:hAnsiTheme="majorHAnsi" w:cstheme="majorHAnsi"/>
                <w:color w:val="000000"/>
                <w:sz w:val="20"/>
                <w:szCs w:val="20"/>
                <w:lang w:eastAsia="en-GB"/>
              </w:rPr>
              <w:t xml:space="preserve">npatient </w:t>
            </w:r>
            <w:r>
              <w:rPr>
                <w:rFonts w:asciiTheme="majorHAnsi" w:eastAsia="Times New Roman" w:hAnsiTheme="majorHAnsi" w:cstheme="majorHAnsi"/>
                <w:color w:val="000000"/>
                <w:sz w:val="20"/>
                <w:szCs w:val="20"/>
                <w:lang w:eastAsia="en-GB"/>
              </w:rPr>
              <w:t>HRG cost</w:t>
            </w:r>
            <w:r w:rsidRPr="00173E94">
              <w:rPr>
                <w:rFonts w:asciiTheme="majorHAnsi" w:eastAsia="Times New Roman" w:hAnsiTheme="majorHAnsi" w:cstheme="majorHAnsi"/>
                <w:color w:val="000000"/>
                <w:sz w:val="20"/>
                <w:szCs w:val="20"/>
                <w:lang w:eastAsia="en-GB"/>
              </w:rPr>
              <w:t>s</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10</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316</w:t>
            </w:r>
            <w:r>
              <w:rPr>
                <w:rFonts w:asciiTheme="majorHAnsi" w:eastAsia="Times New Roman" w:hAnsiTheme="majorHAnsi" w:cstheme="majorHAnsi"/>
                <w:color w:val="000000"/>
                <w:sz w:val="20"/>
                <w:szCs w:val="20"/>
                <w:lang w:eastAsia="en-GB"/>
              </w:rPr>
              <w:t xml:space="preserve"> (4017)</w:t>
            </w:r>
          </w:p>
        </w:tc>
        <w:tc>
          <w:tcPr>
            <w:tcW w:w="51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8616, 12</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231</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880</w:t>
            </w:r>
            <w:r>
              <w:rPr>
                <w:rFonts w:asciiTheme="majorHAnsi" w:eastAsia="Times New Roman" w:hAnsiTheme="majorHAnsi" w:cstheme="majorHAnsi"/>
                <w:color w:val="000000"/>
                <w:sz w:val="20"/>
                <w:szCs w:val="20"/>
                <w:lang w:eastAsia="en-GB"/>
              </w:rPr>
              <w:t>3 (3058)</w:t>
            </w:r>
          </w:p>
        </w:tc>
        <w:tc>
          <w:tcPr>
            <w:tcW w:w="546"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7524, 10</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106</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99</w:t>
            </w:r>
            <w:r>
              <w:rPr>
                <w:rFonts w:asciiTheme="majorHAnsi" w:eastAsia="Times New Roman" w:hAnsiTheme="majorHAnsi" w:cstheme="majorHAnsi"/>
                <w:color w:val="000000"/>
                <w:sz w:val="20"/>
                <w:szCs w:val="20"/>
                <w:lang w:eastAsia="en-GB"/>
              </w:rPr>
              <w:t>30 (3259)</w:t>
            </w:r>
          </w:p>
        </w:tc>
        <w:tc>
          <w:tcPr>
            <w:tcW w:w="544" w:type="pct"/>
            <w:tcBorders>
              <w:top w:val="nil"/>
              <w:bottom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7860, 12</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409</w:t>
            </w:r>
          </w:p>
        </w:tc>
      </w:tr>
      <w:tr w:rsidR="006A57B2" w:rsidRPr="003F1FF4" w:rsidTr="000D2FFB">
        <w:trPr>
          <w:trHeight w:val="288"/>
        </w:trPr>
        <w:tc>
          <w:tcPr>
            <w:tcW w:w="1791" w:type="pct"/>
            <w:tcBorders>
              <w:top w:val="nil"/>
            </w:tcBorders>
            <w:shd w:val="clear" w:color="auto" w:fill="auto"/>
            <w:noWrap/>
            <w:vAlign w:val="bottom"/>
          </w:tcPr>
          <w:p w:rsidR="006A57B2" w:rsidRPr="0020245E" w:rsidRDefault="006A57B2" w:rsidP="001A3F11">
            <w:pPr>
              <w:spacing w:after="0" w:line="240" w:lineRule="auto"/>
              <w:rPr>
                <w:rFonts w:asciiTheme="majorHAnsi" w:eastAsia="Times New Roman" w:hAnsiTheme="majorHAnsi" w:cstheme="majorHAnsi"/>
                <w:color w:val="000000"/>
                <w:sz w:val="20"/>
                <w:szCs w:val="20"/>
                <w:vertAlign w:val="superscript"/>
                <w:lang w:eastAsia="en-GB"/>
              </w:rPr>
            </w:pPr>
            <w:r>
              <w:rPr>
                <w:rFonts w:asciiTheme="majorHAnsi" w:eastAsia="Times New Roman" w:hAnsiTheme="majorHAnsi" w:cstheme="majorHAnsi"/>
                <w:color w:val="000000"/>
                <w:sz w:val="20"/>
                <w:szCs w:val="20"/>
                <w:lang w:eastAsia="en-GB"/>
              </w:rPr>
              <w:t>Sub-total (inpatient)</w:t>
            </w:r>
          </w:p>
        </w:tc>
        <w:tc>
          <w:tcPr>
            <w:tcW w:w="514" w:type="pct"/>
            <w:tcBorders>
              <w:top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19</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766</w:t>
            </w:r>
            <w:r>
              <w:rPr>
                <w:rFonts w:asciiTheme="majorHAnsi" w:eastAsia="Times New Roman" w:hAnsiTheme="majorHAnsi" w:cstheme="majorHAnsi"/>
                <w:color w:val="000000"/>
                <w:sz w:val="20"/>
                <w:szCs w:val="20"/>
                <w:lang w:eastAsia="en-GB"/>
              </w:rPr>
              <w:t xml:space="preserve"> (14122)</w:t>
            </w:r>
          </w:p>
        </w:tc>
        <w:tc>
          <w:tcPr>
            <w:tcW w:w="514" w:type="pct"/>
            <w:tcBorders>
              <w:top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17</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934, 21</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755</w:t>
            </w:r>
          </w:p>
        </w:tc>
        <w:tc>
          <w:tcPr>
            <w:tcW w:w="546" w:type="pct"/>
            <w:tcBorders>
              <w:top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17</w:t>
            </w:r>
            <w:r>
              <w:rPr>
                <w:rFonts w:asciiTheme="majorHAnsi" w:eastAsia="Times New Roman" w:hAnsiTheme="majorHAnsi" w:cstheme="majorHAnsi"/>
                <w:color w:val="000000"/>
                <w:sz w:val="20"/>
                <w:szCs w:val="20"/>
                <w:lang w:eastAsia="en-GB"/>
              </w:rPr>
              <w:t>,700 (13,716)</w:t>
            </w:r>
          </w:p>
        </w:tc>
        <w:tc>
          <w:tcPr>
            <w:tcW w:w="546" w:type="pct"/>
            <w:tcBorders>
              <w:top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16</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308, 19</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182</w:t>
            </w:r>
          </w:p>
        </w:tc>
        <w:tc>
          <w:tcPr>
            <w:tcW w:w="544" w:type="pct"/>
            <w:tcBorders>
              <w:top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18</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814</w:t>
            </w:r>
            <w:r>
              <w:rPr>
                <w:rFonts w:asciiTheme="majorHAnsi" w:eastAsia="Times New Roman" w:hAnsiTheme="majorHAnsi" w:cstheme="majorHAnsi"/>
                <w:color w:val="000000"/>
                <w:sz w:val="20"/>
                <w:szCs w:val="20"/>
                <w:lang w:eastAsia="en-GB"/>
              </w:rPr>
              <w:t xml:space="preserve"> (13,748)</w:t>
            </w:r>
          </w:p>
        </w:tc>
        <w:tc>
          <w:tcPr>
            <w:tcW w:w="544" w:type="pct"/>
            <w:tcBorders>
              <w:top w:val="nil"/>
            </w:tcBorders>
            <w:shd w:val="clear" w:color="auto" w:fill="auto"/>
            <w:vAlign w:val="bottom"/>
          </w:tcPr>
          <w:p w:rsidR="006A57B2" w:rsidRPr="001A3F11" w:rsidRDefault="006A57B2" w:rsidP="0020245E">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eastAsia="Times New Roman" w:hAnsiTheme="majorHAnsi" w:cstheme="majorHAnsi"/>
                <w:color w:val="000000"/>
                <w:sz w:val="20"/>
                <w:szCs w:val="20"/>
                <w:lang w:eastAsia="en-GB"/>
              </w:rPr>
              <w:t>16</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649, 21</w:t>
            </w:r>
            <w:r>
              <w:rPr>
                <w:rFonts w:asciiTheme="majorHAnsi" w:eastAsia="Times New Roman" w:hAnsiTheme="majorHAnsi" w:cstheme="majorHAnsi"/>
                <w:color w:val="000000"/>
                <w:sz w:val="20"/>
                <w:szCs w:val="20"/>
                <w:lang w:eastAsia="en-GB"/>
              </w:rPr>
              <w:t>,</w:t>
            </w:r>
            <w:r w:rsidRPr="00173E94">
              <w:rPr>
                <w:rFonts w:asciiTheme="majorHAnsi" w:eastAsia="Times New Roman" w:hAnsiTheme="majorHAnsi" w:cstheme="majorHAnsi"/>
                <w:color w:val="000000"/>
                <w:sz w:val="20"/>
                <w:szCs w:val="20"/>
                <w:lang w:eastAsia="en-GB"/>
              </w:rPr>
              <w:t>327</w:t>
            </w:r>
          </w:p>
        </w:tc>
      </w:tr>
      <w:tr w:rsidR="006A57B2" w:rsidRPr="003F1FF4" w:rsidTr="00BB6D52">
        <w:trPr>
          <w:trHeight w:val="288"/>
        </w:trPr>
        <w:tc>
          <w:tcPr>
            <w:tcW w:w="5000" w:type="pct"/>
            <w:gridSpan w:val="7"/>
            <w:shd w:val="clear" w:color="auto" w:fill="9CC2E5" w:themeFill="accent1" w:themeFillTint="99"/>
            <w:noWrap/>
            <w:vAlign w:val="bottom"/>
          </w:tcPr>
          <w:p w:rsidR="006A57B2" w:rsidRPr="001A3F11" w:rsidRDefault="006A57B2" w:rsidP="001A3F11">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Other</w:t>
            </w:r>
          </w:p>
        </w:tc>
      </w:tr>
      <w:tr w:rsidR="006A57B2" w:rsidRPr="001575B6" w:rsidTr="000D2FFB">
        <w:trPr>
          <w:trHeight w:val="288"/>
        </w:trPr>
        <w:tc>
          <w:tcPr>
            <w:tcW w:w="1791" w:type="pct"/>
            <w:tcBorders>
              <w:bottom w:val="nil"/>
            </w:tcBorders>
            <w:shd w:val="clear" w:color="auto" w:fill="auto"/>
            <w:noWrap/>
          </w:tcPr>
          <w:p w:rsidR="006A57B2" w:rsidRPr="001A3F11" w:rsidRDefault="006A57B2" w:rsidP="0020245E">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A&amp;E cost</w:t>
            </w:r>
            <w:r>
              <w:rPr>
                <w:rFonts w:asciiTheme="majorHAnsi" w:eastAsia="Times New Roman" w:hAnsiTheme="majorHAnsi" w:cstheme="majorHAnsi"/>
                <w:color w:val="000000"/>
                <w:sz w:val="20"/>
                <w:szCs w:val="20"/>
                <w:vertAlign w:val="superscript"/>
                <w:lang w:eastAsia="en-GB"/>
              </w:rPr>
              <w:t>c</w:t>
            </w:r>
          </w:p>
        </w:tc>
        <w:tc>
          <w:tcPr>
            <w:tcW w:w="514" w:type="pct"/>
            <w:tcBorders>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89</w:t>
            </w:r>
            <w:r>
              <w:rPr>
                <w:rFonts w:asciiTheme="majorHAnsi" w:hAnsiTheme="majorHAnsi" w:cstheme="majorHAnsi"/>
                <w:sz w:val="20"/>
                <w:szCs w:val="20"/>
              </w:rPr>
              <w:t xml:space="preserve"> (0)</w:t>
            </w:r>
          </w:p>
        </w:tc>
        <w:tc>
          <w:tcPr>
            <w:tcW w:w="514"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20245E">
              <w:rPr>
                <w:rFonts w:asciiTheme="majorHAnsi" w:hAnsiTheme="majorHAnsi"/>
                <w:color w:val="000000"/>
                <w:sz w:val="20"/>
                <w:szCs w:val="20"/>
              </w:rPr>
              <w:t>76, 104</w:t>
            </w:r>
          </w:p>
        </w:tc>
        <w:tc>
          <w:tcPr>
            <w:tcW w:w="546"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85</w:t>
            </w:r>
            <w:r>
              <w:rPr>
                <w:rFonts w:asciiTheme="majorHAnsi" w:hAnsiTheme="majorHAnsi" w:cstheme="majorHAnsi"/>
                <w:sz w:val="20"/>
                <w:szCs w:val="20"/>
              </w:rPr>
              <w:t xml:space="preserve"> (0)</w:t>
            </w:r>
          </w:p>
        </w:tc>
        <w:tc>
          <w:tcPr>
            <w:tcW w:w="546"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20245E">
              <w:rPr>
                <w:rFonts w:asciiTheme="majorHAnsi" w:hAnsiTheme="majorHAnsi"/>
                <w:color w:val="000000"/>
                <w:sz w:val="20"/>
                <w:szCs w:val="20"/>
              </w:rPr>
              <w:t>73, 99</w:t>
            </w:r>
          </w:p>
        </w:tc>
        <w:tc>
          <w:tcPr>
            <w:tcW w:w="544" w:type="pct"/>
            <w:tcBorders>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91</w:t>
            </w:r>
            <w:r>
              <w:rPr>
                <w:rFonts w:asciiTheme="majorHAnsi" w:hAnsiTheme="majorHAnsi" w:cstheme="majorHAnsi"/>
                <w:sz w:val="20"/>
                <w:szCs w:val="20"/>
              </w:rPr>
              <w:t xml:space="preserve"> (0)</w:t>
            </w:r>
          </w:p>
        </w:tc>
        <w:tc>
          <w:tcPr>
            <w:tcW w:w="544" w:type="pct"/>
            <w:tcBorders>
              <w:left w:val="single" w:sz="4" w:space="0" w:color="auto"/>
              <w:bottom w:val="nil"/>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20245E">
              <w:rPr>
                <w:rFonts w:asciiTheme="majorHAnsi" w:hAnsiTheme="majorHAnsi"/>
                <w:color w:val="000000"/>
                <w:sz w:val="20"/>
                <w:szCs w:val="20"/>
              </w:rPr>
              <w:t>78, 104</w:t>
            </w:r>
          </w:p>
        </w:tc>
      </w:tr>
      <w:tr w:rsidR="006A57B2" w:rsidRPr="001575B6" w:rsidTr="000D2FFB">
        <w:trPr>
          <w:trHeight w:val="288"/>
        </w:trPr>
        <w:tc>
          <w:tcPr>
            <w:tcW w:w="1791" w:type="pct"/>
            <w:tcBorders>
              <w:top w:val="nil"/>
              <w:bottom w:val="nil"/>
            </w:tcBorders>
            <w:shd w:val="clear" w:color="auto" w:fill="auto"/>
            <w:noWrap/>
          </w:tcPr>
          <w:p w:rsidR="006A57B2" w:rsidRPr="001A3F11" w:rsidRDefault="006A57B2" w:rsidP="0020245E">
            <w:pPr>
              <w:spacing w:after="0" w:line="240" w:lineRule="auto"/>
              <w:ind w:left="142"/>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Outpatient cost</w:t>
            </w:r>
            <w:r>
              <w:rPr>
                <w:rFonts w:asciiTheme="majorHAnsi" w:eastAsia="Times New Roman" w:hAnsiTheme="majorHAnsi" w:cstheme="majorHAnsi"/>
                <w:color w:val="000000"/>
                <w:sz w:val="20"/>
                <w:szCs w:val="20"/>
                <w:vertAlign w:val="superscript"/>
                <w:lang w:eastAsia="en-GB"/>
              </w:rPr>
              <w:t>c</w:t>
            </w:r>
          </w:p>
        </w:tc>
        <w:tc>
          <w:tcPr>
            <w:tcW w:w="514" w:type="pct"/>
            <w:tcBorders>
              <w:top w:val="nil"/>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1615</w:t>
            </w:r>
            <w:r>
              <w:rPr>
                <w:rFonts w:asciiTheme="majorHAnsi" w:hAnsiTheme="majorHAnsi" w:cstheme="majorHAnsi"/>
                <w:sz w:val="20"/>
                <w:szCs w:val="20"/>
              </w:rPr>
              <w:t xml:space="preserve"> (883)</w:t>
            </w:r>
          </w:p>
        </w:tc>
        <w:tc>
          <w:tcPr>
            <w:tcW w:w="51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20245E">
              <w:rPr>
                <w:rFonts w:asciiTheme="majorHAnsi" w:hAnsiTheme="majorHAnsi"/>
                <w:color w:val="000000"/>
                <w:sz w:val="20"/>
                <w:szCs w:val="20"/>
              </w:rPr>
              <w:t>1412, 1838</w:t>
            </w:r>
          </w:p>
        </w:tc>
        <w:tc>
          <w:tcPr>
            <w:tcW w:w="546"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1784</w:t>
            </w:r>
            <w:r>
              <w:rPr>
                <w:rFonts w:asciiTheme="majorHAnsi" w:hAnsiTheme="majorHAnsi" w:cstheme="majorHAnsi"/>
                <w:sz w:val="20"/>
                <w:szCs w:val="20"/>
              </w:rPr>
              <w:t xml:space="preserve"> (837)</w:t>
            </w:r>
          </w:p>
        </w:tc>
        <w:tc>
          <w:tcPr>
            <w:tcW w:w="546"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20245E">
              <w:rPr>
                <w:rFonts w:asciiTheme="majorHAnsi" w:hAnsiTheme="majorHAnsi"/>
                <w:color w:val="000000"/>
                <w:sz w:val="20"/>
                <w:szCs w:val="20"/>
              </w:rPr>
              <w:t>1496, 2109</w:t>
            </w:r>
          </w:p>
        </w:tc>
        <w:tc>
          <w:tcPr>
            <w:tcW w:w="544" w:type="pct"/>
            <w:tcBorders>
              <w:top w:val="nil"/>
              <w:left w:val="single" w:sz="4" w:space="0" w:color="auto"/>
              <w:bottom w:val="nil"/>
              <w:right w:val="single" w:sz="4" w:space="0" w:color="auto"/>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1A3F11">
              <w:rPr>
                <w:rFonts w:asciiTheme="majorHAnsi" w:hAnsiTheme="majorHAnsi" w:cstheme="majorHAnsi"/>
                <w:sz w:val="20"/>
                <w:szCs w:val="20"/>
              </w:rPr>
              <w:t>1648</w:t>
            </w:r>
            <w:r>
              <w:rPr>
                <w:rFonts w:asciiTheme="majorHAnsi" w:hAnsiTheme="majorHAnsi" w:cstheme="majorHAnsi"/>
                <w:sz w:val="20"/>
                <w:szCs w:val="20"/>
              </w:rPr>
              <w:t xml:space="preserve"> (881)</w:t>
            </w:r>
          </w:p>
        </w:tc>
        <w:tc>
          <w:tcPr>
            <w:tcW w:w="544" w:type="pct"/>
            <w:tcBorders>
              <w:top w:val="nil"/>
              <w:left w:val="single" w:sz="4" w:space="0" w:color="auto"/>
              <w:bottom w:val="nil"/>
            </w:tcBorders>
            <w:shd w:val="clear" w:color="auto" w:fill="auto"/>
            <w:noWrap/>
          </w:tcPr>
          <w:p w:rsidR="006A57B2" w:rsidRPr="001A3F11" w:rsidRDefault="006A57B2" w:rsidP="001A3F11">
            <w:pPr>
              <w:spacing w:after="0" w:line="240" w:lineRule="auto"/>
              <w:jc w:val="center"/>
              <w:rPr>
                <w:rFonts w:asciiTheme="majorHAnsi" w:hAnsiTheme="majorHAnsi" w:cstheme="majorHAnsi"/>
                <w:sz w:val="20"/>
                <w:szCs w:val="20"/>
              </w:rPr>
            </w:pPr>
            <w:r w:rsidRPr="0020245E">
              <w:rPr>
                <w:rFonts w:asciiTheme="majorHAnsi" w:hAnsiTheme="majorHAnsi"/>
                <w:color w:val="000000"/>
                <w:sz w:val="20"/>
                <w:szCs w:val="20"/>
              </w:rPr>
              <w:t>1453, 1871</w:t>
            </w:r>
          </w:p>
        </w:tc>
      </w:tr>
      <w:tr w:rsidR="006A57B2" w:rsidRPr="001575B6" w:rsidTr="000D2FFB">
        <w:trPr>
          <w:trHeight w:val="288"/>
        </w:trPr>
        <w:tc>
          <w:tcPr>
            <w:tcW w:w="1791" w:type="pct"/>
            <w:tcBorders>
              <w:top w:val="nil"/>
              <w:bottom w:val="single" w:sz="4" w:space="0" w:color="auto"/>
            </w:tcBorders>
            <w:shd w:val="clear" w:color="auto" w:fill="auto"/>
            <w:noWrap/>
          </w:tcPr>
          <w:p w:rsidR="006A57B2" w:rsidRPr="001A3F11" w:rsidRDefault="006A57B2" w:rsidP="0020245E">
            <w:pPr>
              <w:spacing w:after="0" w:line="240" w:lineRule="auto"/>
              <w:ind w:left="142"/>
              <w:rPr>
                <w:rFonts w:asciiTheme="majorHAnsi" w:eastAsia="Times New Roman" w:hAnsiTheme="majorHAnsi" w:cstheme="majorHAnsi"/>
                <w:color w:val="000000"/>
                <w:sz w:val="20"/>
                <w:szCs w:val="20"/>
                <w:vertAlign w:val="superscript"/>
                <w:lang w:eastAsia="en-GB"/>
              </w:rPr>
            </w:pPr>
            <w:r w:rsidRPr="001A3F11">
              <w:rPr>
                <w:rFonts w:asciiTheme="majorHAnsi" w:eastAsia="Times New Roman" w:hAnsiTheme="majorHAnsi" w:cstheme="majorHAnsi"/>
                <w:color w:val="000000"/>
                <w:sz w:val="20"/>
                <w:szCs w:val="20"/>
                <w:lang w:eastAsia="en-GB"/>
              </w:rPr>
              <w:t>CVC cost</w:t>
            </w:r>
            <w:r w:rsidRPr="001A3F11">
              <w:rPr>
                <w:rFonts w:asciiTheme="majorHAnsi" w:eastAsia="Times New Roman" w:hAnsiTheme="majorHAnsi" w:cstheme="majorHAnsi"/>
                <w:color w:val="000000"/>
                <w:sz w:val="20"/>
                <w:szCs w:val="20"/>
                <w:vertAlign w:val="superscript"/>
                <w:lang w:eastAsia="en-GB"/>
              </w:rPr>
              <w:t>d</w:t>
            </w:r>
          </w:p>
        </w:tc>
        <w:tc>
          <w:tcPr>
            <w:tcW w:w="514" w:type="pct"/>
            <w:tcBorders>
              <w:top w:val="nil"/>
              <w:bottom w:val="single" w:sz="4" w:space="0" w:color="auto"/>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78.28</w:t>
            </w:r>
          </w:p>
        </w:tc>
        <w:tc>
          <w:tcPr>
            <w:tcW w:w="514" w:type="pct"/>
            <w:tcBorders>
              <w:top w:val="nil"/>
              <w:left w:val="single" w:sz="4" w:space="0" w:color="auto"/>
              <w:bottom w:val="single" w:sz="4" w:space="0" w:color="auto"/>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78, 78</w:t>
            </w:r>
          </w:p>
        </w:tc>
        <w:tc>
          <w:tcPr>
            <w:tcW w:w="546" w:type="pct"/>
            <w:tcBorders>
              <w:top w:val="nil"/>
              <w:left w:val="single" w:sz="4" w:space="0" w:color="auto"/>
              <w:bottom w:val="single" w:sz="4" w:space="0" w:color="auto"/>
              <w:right w:val="single" w:sz="4" w:space="0" w:color="auto"/>
            </w:tcBorders>
            <w:shd w:val="clear" w:color="auto" w:fill="auto"/>
            <w:noWrap/>
          </w:tcPr>
          <w:p w:rsidR="006A57B2" w:rsidRPr="001A3F11"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78.25</w:t>
            </w:r>
          </w:p>
        </w:tc>
        <w:tc>
          <w:tcPr>
            <w:tcW w:w="546" w:type="pct"/>
            <w:tcBorders>
              <w:top w:val="nil"/>
              <w:left w:val="single" w:sz="4" w:space="0" w:color="auto"/>
              <w:bottom w:val="single" w:sz="4" w:space="0" w:color="auto"/>
              <w:right w:val="single" w:sz="4" w:space="0" w:color="auto"/>
            </w:tcBorders>
            <w:shd w:val="clear" w:color="auto" w:fill="auto"/>
            <w:noWrap/>
          </w:tcPr>
          <w:p w:rsidR="006A57B2" w:rsidRPr="00173E94" w:rsidRDefault="006A57B2" w:rsidP="001A3F11">
            <w:pPr>
              <w:spacing w:after="0" w:line="240" w:lineRule="auto"/>
              <w:jc w:val="center"/>
              <w:rPr>
                <w:rFonts w:asciiTheme="majorHAnsi" w:eastAsia="Times New Roman" w:hAnsiTheme="majorHAnsi" w:cstheme="majorHAnsi"/>
                <w:color w:val="000000"/>
                <w:sz w:val="20"/>
                <w:szCs w:val="20"/>
                <w:lang w:eastAsia="en-GB"/>
              </w:rPr>
            </w:pPr>
            <w:r w:rsidRPr="00F71347">
              <w:rPr>
                <w:rFonts w:asciiTheme="majorHAnsi" w:hAnsiTheme="majorHAnsi" w:cstheme="majorHAnsi"/>
                <w:sz w:val="20"/>
                <w:szCs w:val="20"/>
              </w:rPr>
              <w:t>78, 78</w:t>
            </w:r>
          </w:p>
        </w:tc>
        <w:tc>
          <w:tcPr>
            <w:tcW w:w="544" w:type="pct"/>
            <w:tcBorders>
              <w:top w:val="nil"/>
              <w:left w:val="single" w:sz="4" w:space="0" w:color="auto"/>
              <w:bottom w:val="single" w:sz="4" w:space="0" w:color="auto"/>
              <w:right w:val="single" w:sz="4" w:space="0" w:color="auto"/>
            </w:tcBorders>
            <w:shd w:val="clear" w:color="auto" w:fill="auto"/>
            <w:noWrap/>
          </w:tcPr>
          <w:p w:rsidR="006A57B2" w:rsidRPr="00173E94" w:rsidRDefault="006A57B2">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hAnsiTheme="majorHAnsi" w:cstheme="majorHAnsi"/>
                <w:sz w:val="20"/>
                <w:szCs w:val="20"/>
              </w:rPr>
              <w:t>42.91</w:t>
            </w:r>
          </w:p>
        </w:tc>
        <w:tc>
          <w:tcPr>
            <w:tcW w:w="544" w:type="pct"/>
            <w:tcBorders>
              <w:top w:val="nil"/>
              <w:left w:val="single" w:sz="4" w:space="0" w:color="auto"/>
              <w:bottom w:val="single" w:sz="4" w:space="0" w:color="auto"/>
            </w:tcBorders>
            <w:shd w:val="clear" w:color="auto" w:fill="auto"/>
            <w:noWrap/>
          </w:tcPr>
          <w:p w:rsidR="006A57B2" w:rsidRPr="00173E94" w:rsidRDefault="006A57B2">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hAnsiTheme="majorHAnsi" w:cstheme="majorHAnsi"/>
                <w:sz w:val="20"/>
                <w:szCs w:val="20"/>
              </w:rPr>
              <w:t>43, 43</w:t>
            </w:r>
          </w:p>
        </w:tc>
      </w:tr>
      <w:tr w:rsidR="006A57B2" w:rsidRPr="001575B6" w:rsidTr="000D2FFB">
        <w:trPr>
          <w:trHeight w:val="288"/>
        </w:trPr>
        <w:tc>
          <w:tcPr>
            <w:tcW w:w="1791" w:type="pct"/>
            <w:shd w:val="clear" w:color="auto" w:fill="9CC2E5" w:themeFill="accent1" w:themeFillTint="99"/>
            <w:noWrap/>
          </w:tcPr>
          <w:p w:rsidR="006A57B2" w:rsidRPr="001A3F11" w:rsidRDefault="006A57B2" w:rsidP="000D2FFB">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Total cost (full 6 months)</w:t>
            </w:r>
          </w:p>
        </w:tc>
        <w:tc>
          <w:tcPr>
            <w:tcW w:w="514" w:type="pct"/>
            <w:shd w:val="clear" w:color="auto" w:fill="9CC2E5" w:themeFill="accent1" w:themeFillTint="99"/>
            <w:noWrap/>
          </w:tcPr>
          <w:p w:rsidR="006A57B2" w:rsidRPr="001A3F11" w:rsidRDefault="006A57B2" w:rsidP="000D2FFB">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45</w:t>
            </w:r>
            <w:r>
              <w:rPr>
                <w:rFonts w:asciiTheme="majorHAnsi" w:hAnsiTheme="majorHAnsi" w:cstheme="majorHAnsi"/>
                <w:sz w:val="20"/>
                <w:szCs w:val="20"/>
              </w:rPr>
              <w:t>,</w:t>
            </w:r>
            <w:r w:rsidRPr="001A3F11">
              <w:rPr>
                <w:rFonts w:asciiTheme="majorHAnsi" w:hAnsiTheme="majorHAnsi" w:cstheme="majorHAnsi"/>
                <w:sz w:val="20"/>
                <w:szCs w:val="20"/>
              </w:rPr>
              <w:t>663</w:t>
            </w:r>
            <w:r>
              <w:rPr>
                <w:rFonts w:asciiTheme="majorHAnsi" w:hAnsiTheme="majorHAnsi" w:cstheme="majorHAnsi"/>
                <w:sz w:val="20"/>
                <w:szCs w:val="20"/>
              </w:rPr>
              <w:t xml:space="preserve"> (29793)</w:t>
            </w:r>
          </w:p>
        </w:tc>
        <w:tc>
          <w:tcPr>
            <w:tcW w:w="514" w:type="pct"/>
            <w:shd w:val="clear" w:color="auto" w:fill="9CC2E5" w:themeFill="accent1" w:themeFillTint="99"/>
            <w:noWrap/>
          </w:tcPr>
          <w:p w:rsidR="006A57B2" w:rsidRPr="0020245E" w:rsidRDefault="006A57B2" w:rsidP="000D2FFB">
            <w:pPr>
              <w:spacing w:after="0" w:line="240" w:lineRule="auto"/>
              <w:jc w:val="center"/>
              <w:rPr>
                <w:rFonts w:asciiTheme="majorHAnsi" w:hAnsiTheme="majorHAnsi"/>
                <w:color w:val="000000"/>
                <w:sz w:val="20"/>
                <w:szCs w:val="20"/>
              </w:rPr>
            </w:pPr>
            <w:r w:rsidRPr="0020245E">
              <w:rPr>
                <w:rFonts w:asciiTheme="majorHAnsi" w:hAnsiTheme="majorHAnsi"/>
                <w:color w:val="000000"/>
                <w:sz w:val="20"/>
                <w:szCs w:val="20"/>
              </w:rPr>
              <w:t>41</w:t>
            </w:r>
            <w:r>
              <w:rPr>
                <w:rFonts w:asciiTheme="majorHAnsi" w:hAnsiTheme="majorHAnsi"/>
                <w:color w:val="000000"/>
                <w:sz w:val="20"/>
                <w:szCs w:val="20"/>
              </w:rPr>
              <w:t>,</w:t>
            </w:r>
            <w:r w:rsidRPr="0020245E">
              <w:rPr>
                <w:rFonts w:asciiTheme="majorHAnsi" w:hAnsiTheme="majorHAnsi"/>
                <w:color w:val="000000"/>
                <w:sz w:val="20"/>
                <w:szCs w:val="20"/>
              </w:rPr>
              <w:t>647, 50</w:t>
            </w:r>
            <w:r>
              <w:rPr>
                <w:rFonts w:asciiTheme="majorHAnsi" w:hAnsiTheme="majorHAnsi"/>
                <w:color w:val="000000"/>
                <w:sz w:val="20"/>
                <w:szCs w:val="20"/>
              </w:rPr>
              <w:t>,</w:t>
            </w:r>
            <w:r w:rsidRPr="0020245E">
              <w:rPr>
                <w:rFonts w:asciiTheme="majorHAnsi" w:hAnsiTheme="majorHAnsi"/>
                <w:color w:val="000000"/>
                <w:sz w:val="20"/>
                <w:szCs w:val="20"/>
              </w:rPr>
              <w:t>009</w:t>
            </w:r>
          </w:p>
        </w:tc>
        <w:tc>
          <w:tcPr>
            <w:tcW w:w="546" w:type="pct"/>
            <w:shd w:val="clear" w:color="auto" w:fill="9CC2E5" w:themeFill="accent1" w:themeFillTint="99"/>
            <w:noWrap/>
          </w:tcPr>
          <w:p w:rsidR="006A57B2" w:rsidRPr="00173E94" w:rsidRDefault="006A57B2" w:rsidP="000D2FFB">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hAnsiTheme="majorHAnsi" w:cstheme="majorHAnsi"/>
                <w:sz w:val="20"/>
                <w:szCs w:val="20"/>
              </w:rPr>
              <w:t>42</w:t>
            </w:r>
            <w:r>
              <w:rPr>
                <w:rFonts w:asciiTheme="majorHAnsi" w:hAnsiTheme="majorHAnsi" w:cstheme="majorHAnsi"/>
                <w:sz w:val="20"/>
                <w:szCs w:val="20"/>
              </w:rPr>
              <w:t>,</w:t>
            </w:r>
            <w:r w:rsidRPr="00173E94">
              <w:rPr>
                <w:rFonts w:asciiTheme="majorHAnsi" w:hAnsiTheme="majorHAnsi" w:cstheme="majorHAnsi"/>
                <w:sz w:val="20"/>
                <w:szCs w:val="20"/>
              </w:rPr>
              <w:t>065</w:t>
            </w:r>
            <w:r>
              <w:rPr>
                <w:rFonts w:asciiTheme="majorHAnsi" w:hAnsiTheme="majorHAnsi" w:cstheme="majorHAnsi"/>
                <w:sz w:val="20"/>
                <w:szCs w:val="20"/>
              </w:rPr>
              <w:t xml:space="preserve"> (27,621)</w:t>
            </w:r>
          </w:p>
        </w:tc>
        <w:tc>
          <w:tcPr>
            <w:tcW w:w="546" w:type="pct"/>
            <w:shd w:val="clear" w:color="auto" w:fill="9CC2E5" w:themeFill="accent1" w:themeFillTint="99"/>
            <w:noWrap/>
          </w:tcPr>
          <w:p w:rsidR="006A57B2" w:rsidRPr="0020245E" w:rsidRDefault="006A57B2" w:rsidP="000D2FFB">
            <w:pPr>
              <w:spacing w:after="0" w:line="240" w:lineRule="auto"/>
              <w:jc w:val="center"/>
              <w:rPr>
                <w:rFonts w:asciiTheme="majorHAnsi" w:hAnsiTheme="majorHAnsi"/>
                <w:color w:val="000000"/>
                <w:sz w:val="20"/>
                <w:szCs w:val="20"/>
              </w:rPr>
            </w:pPr>
            <w:r w:rsidRPr="0020245E">
              <w:rPr>
                <w:rFonts w:asciiTheme="majorHAnsi" w:hAnsiTheme="majorHAnsi"/>
                <w:color w:val="000000"/>
                <w:sz w:val="20"/>
                <w:szCs w:val="20"/>
              </w:rPr>
              <w:t>38</w:t>
            </w:r>
            <w:r>
              <w:rPr>
                <w:rFonts w:asciiTheme="majorHAnsi" w:hAnsiTheme="majorHAnsi"/>
                <w:color w:val="000000"/>
                <w:sz w:val="20"/>
                <w:szCs w:val="20"/>
              </w:rPr>
              <w:t>,</w:t>
            </w:r>
            <w:r w:rsidRPr="0020245E">
              <w:rPr>
                <w:rFonts w:asciiTheme="majorHAnsi" w:hAnsiTheme="majorHAnsi"/>
                <w:color w:val="000000"/>
                <w:sz w:val="20"/>
                <w:szCs w:val="20"/>
              </w:rPr>
              <w:t>322, 46</w:t>
            </w:r>
            <w:r>
              <w:rPr>
                <w:rFonts w:asciiTheme="majorHAnsi" w:hAnsiTheme="majorHAnsi"/>
                <w:color w:val="000000"/>
                <w:sz w:val="20"/>
                <w:szCs w:val="20"/>
              </w:rPr>
              <w:t>,</w:t>
            </w:r>
            <w:r w:rsidRPr="0020245E">
              <w:rPr>
                <w:rFonts w:asciiTheme="majorHAnsi" w:hAnsiTheme="majorHAnsi"/>
                <w:color w:val="000000"/>
                <w:sz w:val="20"/>
                <w:szCs w:val="20"/>
              </w:rPr>
              <w:t>110</w:t>
            </w:r>
          </w:p>
        </w:tc>
        <w:tc>
          <w:tcPr>
            <w:tcW w:w="544" w:type="pct"/>
            <w:shd w:val="clear" w:color="auto" w:fill="9CC2E5" w:themeFill="accent1" w:themeFillTint="99"/>
            <w:noWrap/>
          </w:tcPr>
          <w:p w:rsidR="006A57B2" w:rsidRPr="00173E94" w:rsidRDefault="006A57B2" w:rsidP="000D2FFB">
            <w:pPr>
              <w:spacing w:after="0" w:line="240" w:lineRule="auto"/>
              <w:jc w:val="center"/>
              <w:rPr>
                <w:rFonts w:asciiTheme="majorHAnsi" w:eastAsia="Times New Roman" w:hAnsiTheme="majorHAnsi" w:cstheme="majorHAnsi"/>
                <w:color w:val="000000"/>
                <w:sz w:val="20"/>
                <w:szCs w:val="20"/>
                <w:lang w:eastAsia="en-GB"/>
              </w:rPr>
            </w:pPr>
            <w:r w:rsidRPr="00173E94">
              <w:rPr>
                <w:rFonts w:asciiTheme="majorHAnsi" w:hAnsiTheme="majorHAnsi" w:cstheme="majorHAnsi"/>
                <w:sz w:val="20"/>
                <w:szCs w:val="20"/>
              </w:rPr>
              <w:t>44</w:t>
            </w:r>
            <w:r>
              <w:rPr>
                <w:rFonts w:asciiTheme="majorHAnsi" w:hAnsiTheme="majorHAnsi" w:cstheme="majorHAnsi"/>
                <w:sz w:val="20"/>
                <w:szCs w:val="20"/>
              </w:rPr>
              <w:t>,</w:t>
            </w:r>
            <w:r w:rsidRPr="00173E94">
              <w:rPr>
                <w:rFonts w:asciiTheme="majorHAnsi" w:hAnsiTheme="majorHAnsi" w:cstheme="majorHAnsi"/>
                <w:sz w:val="20"/>
                <w:szCs w:val="20"/>
              </w:rPr>
              <w:t>503</w:t>
            </w:r>
            <w:r>
              <w:rPr>
                <w:rFonts w:asciiTheme="majorHAnsi" w:hAnsiTheme="majorHAnsi" w:cstheme="majorHAnsi"/>
                <w:sz w:val="20"/>
                <w:szCs w:val="20"/>
              </w:rPr>
              <w:t xml:space="preserve"> (28,952)</w:t>
            </w:r>
          </w:p>
        </w:tc>
        <w:tc>
          <w:tcPr>
            <w:tcW w:w="544" w:type="pct"/>
            <w:shd w:val="clear" w:color="auto" w:fill="9CC2E5" w:themeFill="accent1" w:themeFillTint="99"/>
            <w:noWrap/>
          </w:tcPr>
          <w:p w:rsidR="006A57B2" w:rsidRPr="0020245E" w:rsidRDefault="006A57B2" w:rsidP="000D2FFB">
            <w:pPr>
              <w:spacing w:after="0" w:line="240" w:lineRule="auto"/>
              <w:jc w:val="center"/>
              <w:rPr>
                <w:rFonts w:asciiTheme="majorHAnsi" w:hAnsiTheme="majorHAnsi"/>
                <w:color w:val="000000"/>
                <w:sz w:val="20"/>
                <w:szCs w:val="20"/>
              </w:rPr>
            </w:pPr>
            <w:r w:rsidRPr="0020245E">
              <w:rPr>
                <w:rFonts w:asciiTheme="majorHAnsi" w:hAnsiTheme="majorHAnsi"/>
                <w:color w:val="000000"/>
                <w:sz w:val="20"/>
                <w:szCs w:val="20"/>
              </w:rPr>
              <w:t>40</w:t>
            </w:r>
            <w:r>
              <w:rPr>
                <w:rFonts w:asciiTheme="majorHAnsi" w:hAnsiTheme="majorHAnsi"/>
                <w:color w:val="000000"/>
                <w:sz w:val="20"/>
                <w:szCs w:val="20"/>
              </w:rPr>
              <w:t>,</w:t>
            </w:r>
            <w:r w:rsidRPr="0020245E">
              <w:rPr>
                <w:rFonts w:asciiTheme="majorHAnsi" w:hAnsiTheme="majorHAnsi"/>
                <w:color w:val="000000"/>
                <w:sz w:val="20"/>
                <w:szCs w:val="20"/>
              </w:rPr>
              <w:t>619, 48</w:t>
            </w:r>
            <w:r>
              <w:rPr>
                <w:rFonts w:asciiTheme="majorHAnsi" w:hAnsiTheme="majorHAnsi"/>
                <w:color w:val="000000"/>
                <w:sz w:val="20"/>
                <w:szCs w:val="20"/>
              </w:rPr>
              <w:t>,</w:t>
            </w:r>
            <w:r w:rsidRPr="0020245E">
              <w:rPr>
                <w:rFonts w:asciiTheme="majorHAnsi" w:hAnsiTheme="majorHAnsi"/>
                <w:color w:val="000000"/>
                <w:sz w:val="20"/>
                <w:szCs w:val="20"/>
              </w:rPr>
              <w:t>666</w:t>
            </w:r>
          </w:p>
        </w:tc>
      </w:tr>
    </w:tbl>
    <w:p w:rsidR="006A57B2" w:rsidRPr="005B6ACD" w:rsidRDefault="006A57B2" w:rsidP="00B22173">
      <w:pPr>
        <w:spacing w:after="0"/>
      </w:pPr>
    </w:p>
    <w:p w:rsidR="006A57B2" w:rsidRPr="009A30C2" w:rsidRDefault="006A57B2" w:rsidP="00B22173">
      <w:pPr>
        <w:spacing w:after="0"/>
        <w:rPr>
          <w:rFonts w:asciiTheme="majorHAnsi" w:hAnsiTheme="majorHAnsi" w:cstheme="majorHAnsi"/>
          <w:sz w:val="20"/>
        </w:rPr>
      </w:pPr>
      <w:r w:rsidRPr="009A30C2">
        <w:rPr>
          <w:rFonts w:asciiTheme="majorHAnsi" w:hAnsiTheme="majorHAnsi" w:cstheme="majorHAnsi"/>
          <w:sz w:val="20"/>
          <w:vertAlign w:val="superscript"/>
        </w:rPr>
        <w:t>a</w:t>
      </w:r>
      <w:r w:rsidRPr="009A30C2">
        <w:rPr>
          <w:rFonts w:asciiTheme="majorHAnsi" w:hAnsiTheme="majorHAnsi" w:cstheme="majorHAnsi"/>
          <w:sz w:val="20"/>
        </w:rPr>
        <w:t xml:space="preserve"> National Schedule of Reference Costs 2012-2013; </w:t>
      </w:r>
      <w:r>
        <w:rPr>
          <w:rFonts w:asciiTheme="majorHAnsi" w:hAnsiTheme="majorHAnsi" w:cstheme="majorHAnsi"/>
          <w:sz w:val="20"/>
          <w:vertAlign w:val="superscript"/>
        </w:rPr>
        <w:t>b</w:t>
      </w:r>
      <w:r>
        <w:rPr>
          <w:rFonts w:asciiTheme="majorHAnsi" w:hAnsiTheme="majorHAnsi" w:cstheme="majorHAnsi"/>
          <w:sz w:val="20"/>
        </w:rPr>
        <w:t>Top 6 (of 349) HRGs ranked by cost, together contributing 50% of overall inpatient cost</w:t>
      </w:r>
      <w:r w:rsidRPr="009A30C2">
        <w:rPr>
          <w:rFonts w:asciiTheme="majorHAnsi" w:hAnsiTheme="majorHAnsi" w:cstheme="majorHAnsi"/>
          <w:sz w:val="20"/>
        </w:rPr>
        <w:t xml:space="preserve">, </w:t>
      </w:r>
      <w:r w:rsidRPr="009A30C2">
        <w:rPr>
          <w:rFonts w:asciiTheme="majorHAnsi" w:hAnsiTheme="majorHAnsi" w:cstheme="majorHAnsi"/>
          <w:sz w:val="20"/>
          <w:vertAlign w:val="superscript"/>
        </w:rPr>
        <w:t>c</w:t>
      </w:r>
      <w:r w:rsidRPr="009A30C2">
        <w:rPr>
          <w:rFonts w:asciiTheme="majorHAnsi" w:hAnsiTheme="majorHAnsi" w:cstheme="majorHAnsi"/>
          <w:sz w:val="20"/>
        </w:rPr>
        <w:t xml:space="preserve">2012-2013 National Tariff HRGs &lt;1% taken from bed day rates; </w:t>
      </w:r>
      <w:r w:rsidRPr="009A30C2">
        <w:rPr>
          <w:rFonts w:asciiTheme="majorHAnsi" w:hAnsiTheme="majorHAnsi" w:cstheme="majorHAnsi"/>
          <w:sz w:val="20"/>
          <w:vertAlign w:val="superscript"/>
        </w:rPr>
        <w:t>d</w:t>
      </w:r>
      <w:r w:rsidRPr="009A30C2">
        <w:rPr>
          <w:rFonts w:asciiTheme="majorHAnsi" w:hAnsiTheme="majorHAnsi" w:cstheme="majorHAnsi"/>
          <w:sz w:val="20"/>
        </w:rPr>
        <w:t>Costs supplied by CVC provider (Cook Medical).</w:t>
      </w:r>
    </w:p>
    <w:p w:rsidR="006A57B2" w:rsidRPr="005B6ACD" w:rsidRDefault="006A57B2" w:rsidP="00B22173">
      <w:pPr>
        <w:sectPr w:rsidR="006A57B2" w:rsidRPr="005B6ACD" w:rsidSect="00B22173">
          <w:pgSz w:w="16838" w:h="11906" w:orient="landscape"/>
          <w:pgMar w:top="1440" w:right="1440" w:bottom="1440" w:left="1440" w:header="708" w:footer="708" w:gutter="0"/>
          <w:cols w:space="708"/>
          <w:docGrid w:linePitch="360"/>
        </w:sectPr>
      </w:pPr>
    </w:p>
    <w:p w:rsidR="006A57B2" w:rsidRPr="00BE078C" w:rsidRDefault="006A57B2" w:rsidP="00E7253D">
      <w:pPr>
        <w:pStyle w:val="Caption"/>
        <w:rPr>
          <w:rFonts w:asciiTheme="majorHAnsi" w:hAnsiTheme="majorHAnsi"/>
          <w:color w:val="2E74B5" w:themeColor="accent1" w:themeShade="BF"/>
          <w:sz w:val="22"/>
          <w:szCs w:val="22"/>
        </w:rPr>
      </w:pPr>
      <w:bookmarkStart w:id="99" w:name="_Toc428178971"/>
      <w:r w:rsidRPr="00BE078C">
        <w:rPr>
          <w:sz w:val="22"/>
          <w:szCs w:val="22"/>
        </w:rPr>
        <w:t xml:space="preserve">Table </w:t>
      </w:r>
      <w:r>
        <w:rPr>
          <w:noProof/>
          <w:sz w:val="22"/>
          <w:szCs w:val="22"/>
        </w:rPr>
        <w:t>16</w:t>
      </w:r>
      <w:r w:rsidRPr="00BE078C">
        <w:rPr>
          <w:sz w:val="22"/>
          <w:szCs w:val="22"/>
        </w:rPr>
        <w:t xml:space="preserve">: </w:t>
      </w:r>
      <w:r>
        <w:rPr>
          <w:sz w:val="22"/>
          <w:szCs w:val="22"/>
        </w:rPr>
        <w:t>Adjusted, total (6-month) costs: r</w:t>
      </w:r>
      <w:r w:rsidRPr="00BE078C">
        <w:rPr>
          <w:sz w:val="22"/>
          <w:szCs w:val="22"/>
        </w:rPr>
        <w:t>esults of Ordinary Least Squares regression of total costs based on significant baseline variables</w:t>
      </w:r>
      <w:bookmarkEnd w:id="99"/>
      <w:r w:rsidRPr="00BE078C">
        <w:rPr>
          <w:rFonts w:asciiTheme="majorHAnsi" w:hAnsiTheme="majorHAnsi"/>
          <w:b w:val="0"/>
          <w:color w:val="2E74B5" w:themeColor="accent1" w:themeShade="BF"/>
          <w:sz w:val="22"/>
          <w:szCs w:val="22"/>
        </w:rPr>
        <w:t xml:space="preserve"> </w:t>
      </w:r>
    </w:p>
    <w:tbl>
      <w:tblPr>
        <w:tblW w:w="8934" w:type="dxa"/>
        <w:tblInd w:w="-298" w:type="dxa"/>
        <w:tblLook w:val="04A0" w:firstRow="1" w:lastRow="0" w:firstColumn="1" w:lastColumn="0" w:noHBand="0" w:noVBand="1"/>
      </w:tblPr>
      <w:tblGrid>
        <w:gridCol w:w="4354"/>
        <w:gridCol w:w="1468"/>
        <w:gridCol w:w="1069"/>
        <w:gridCol w:w="1078"/>
        <w:gridCol w:w="965"/>
      </w:tblGrid>
      <w:tr w:rsidR="006A57B2" w:rsidRPr="00A305AC" w:rsidTr="000A6618">
        <w:trPr>
          <w:trHeight w:val="625"/>
        </w:trPr>
        <w:tc>
          <w:tcPr>
            <w:tcW w:w="435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6A57B2" w:rsidRPr="00A305AC" w:rsidRDefault="006A57B2" w:rsidP="000A6618">
            <w:pPr>
              <w:spacing w:after="0" w:line="240" w:lineRule="auto"/>
              <w:jc w:val="center"/>
              <w:rPr>
                <w:rFonts w:asciiTheme="majorHAnsi" w:eastAsia="Times New Roman" w:hAnsiTheme="majorHAnsi" w:cstheme="majorHAnsi"/>
                <w:b/>
                <w:bCs/>
                <w:color w:val="000000"/>
                <w:sz w:val="20"/>
                <w:szCs w:val="20"/>
                <w:lang w:eastAsia="en-GB"/>
              </w:rPr>
            </w:pPr>
            <w:r w:rsidRPr="00A305AC">
              <w:rPr>
                <w:rFonts w:asciiTheme="majorHAnsi" w:eastAsia="Times New Roman" w:hAnsiTheme="majorHAnsi" w:cstheme="majorHAnsi"/>
                <w:b/>
                <w:bCs/>
                <w:color w:val="000000"/>
                <w:sz w:val="20"/>
                <w:szCs w:val="20"/>
                <w:lang w:eastAsia="en-GB"/>
              </w:rPr>
              <w:t>Variable</w:t>
            </w:r>
          </w:p>
        </w:tc>
        <w:tc>
          <w:tcPr>
            <w:tcW w:w="146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A57B2" w:rsidRPr="00A305AC" w:rsidRDefault="006A57B2" w:rsidP="000A6618">
            <w:pPr>
              <w:spacing w:after="0" w:line="240" w:lineRule="auto"/>
              <w:jc w:val="center"/>
              <w:rPr>
                <w:rFonts w:asciiTheme="majorHAnsi" w:eastAsia="Times New Roman" w:hAnsiTheme="majorHAnsi" w:cstheme="majorHAnsi"/>
                <w:b/>
                <w:bCs/>
                <w:color w:val="000000"/>
                <w:sz w:val="20"/>
                <w:szCs w:val="20"/>
                <w:lang w:eastAsia="en-GB"/>
              </w:rPr>
            </w:pPr>
            <w:r w:rsidRPr="00A305AC">
              <w:rPr>
                <w:rFonts w:asciiTheme="majorHAnsi" w:eastAsia="Times New Roman" w:hAnsiTheme="majorHAnsi" w:cstheme="majorHAnsi"/>
                <w:b/>
                <w:bCs/>
                <w:color w:val="000000"/>
                <w:sz w:val="20"/>
                <w:szCs w:val="20"/>
                <w:lang w:eastAsia="en-GB"/>
              </w:rPr>
              <w:t>Coefficient</w:t>
            </w:r>
            <w:r>
              <w:rPr>
                <w:rFonts w:asciiTheme="majorHAnsi" w:eastAsia="Times New Roman" w:hAnsiTheme="majorHAnsi" w:cstheme="majorHAnsi"/>
                <w:b/>
                <w:bCs/>
                <w:color w:val="000000"/>
                <w:sz w:val="20"/>
                <w:szCs w:val="20"/>
                <w:lang w:eastAsia="en-GB"/>
              </w:rPr>
              <w:t xml:space="preserve"> (£)</w:t>
            </w:r>
          </w:p>
        </w:tc>
        <w:tc>
          <w:tcPr>
            <w:tcW w:w="2147"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rsidR="006A57B2" w:rsidRPr="00A305AC" w:rsidRDefault="006A57B2" w:rsidP="000A6618">
            <w:pPr>
              <w:spacing w:after="0" w:line="240" w:lineRule="auto"/>
              <w:jc w:val="center"/>
              <w:rPr>
                <w:rFonts w:asciiTheme="majorHAnsi" w:eastAsia="Times New Roman" w:hAnsiTheme="majorHAnsi" w:cstheme="majorHAnsi"/>
                <w:b/>
                <w:bCs/>
                <w:color w:val="000000"/>
                <w:sz w:val="20"/>
                <w:szCs w:val="20"/>
                <w:lang w:eastAsia="en-GB"/>
              </w:rPr>
            </w:pPr>
            <w:r w:rsidRPr="00A305AC">
              <w:rPr>
                <w:rFonts w:asciiTheme="majorHAnsi" w:eastAsia="Times New Roman" w:hAnsiTheme="majorHAnsi" w:cstheme="majorHAnsi"/>
                <w:b/>
                <w:bCs/>
                <w:color w:val="000000"/>
                <w:sz w:val="20"/>
                <w:szCs w:val="20"/>
                <w:lang w:eastAsia="en-GB"/>
              </w:rPr>
              <w:t>95%CI</w:t>
            </w:r>
            <w:r>
              <w:rPr>
                <w:rFonts w:asciiTheme="majorHAnsi" w:eastAsia="Times New Roman" w:hAnsiTheme="majorHAnsi" w:cstheme="majorHAnsi"/>
                <w:b/>
                <w:bCs/>
                <w:color w:val="000000"/>
                <w:sz w:val="20"/>
                <w:szCs w:val="20"/>
                <w:lang w:eastAsia="en-GB"/>
              </w:rPr>
              <w:t xml:space="preserve"> (£)</w:t>
            </w:r>
          </w:p>
        </w:tc>
        <w:tc>
          <w:tcPr>
            <w:tcW w:w="96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A57B2" w:rsidRPr="00A305AC" w:rsidRDefault="006A57B2" w:rsidP="000A6618">
            <w:pPr>
              <w:spacing w:after="0" w:line="240" w:lineRule="auto"/>
              <w:jc w:val="center"/>
              <w:rPr>
                <w:rFonts w:asciiTheme="majorHAnsi" w:eastAsia="Times New Roman" w:hAnsiTheme="majorHAnsi" w:cstheme="majorHAnsi"/>
                <w:b/>
                <w:bCs/>
                <w:color w:val="000000"/>
                <w:sz w:val="20"/>
                <w:szCs w:val="20"/>
                <w:lang w:eastAsia="en-GB"/>
              </w:rPr>
            </w:pPr>
            <w:r w:rsidRPr="00A305AC">
              <w:rPr>
                <w:rFonts w:asciiTheme="majorHAnsi" w:eastAsia="Times New Roman" w:hAnsiTheme="majorHAnsi" w:cstheme="majorHAnsi"/>
                <w:b/>
                <w:bCs/>
                <w:color w:val="000000"/>
                <w:sz w:val="20"/>
                <w:szCs w:val="20"/>
                <w:lang w:eastAsia="en-GB"/>
              </w:rPr>
              <w:t>p-value</w:t>
            </w:r>
          </w:p>
        </w:tc>
      </w:tr>
      <w:tr w:rsidR="006A57B2" w:rsidRPr="00A305AC" w:rsidTr="000A6618">
        <w:trPr>
          <w:trHeight w:val="300"/>
        </w:trPr>
        <w:tc>
          <w:tcPr>
            <w:tcW w:w="4354" w:type="dxa"/>
            <w:tcBorders>
              <w:top w:val="single" w:sz="4" w:space="0" w:color="auto"/>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 xml:space="preserve">Natural logarithm of </w:t>
            </w:r>
            <w:r w:rsidRPr="00A305AC">
              <w:rPr>
                <w:rFonts w:asciiTheme="majorHAnsi" w:hAnsiTheme="majorHAnsi" w:cstheme="majorHAnsi"/>
                <w:sz w:val="20"/>
                <w:szCs w:val="20"/>
              </w:rPr>
              <w:t>pre-randomisation cost</w:t>
            </w:r>
          </w:p>
        </w:tc>
        <w:tc>
          <w:tcPr>
            <w:tcW w:w="1468" w:type="dxa"/>
            <w:tcBorders>
              <w:top w:val="single" w:sz="4" w:space="0" w:color="auto"/>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1444</w:t>
            </w:r>
          </w:p>
        </w:tc>
        <w:tc>
          <w:tcPr>
            <w:tcW w:w="1069" w:type="dxa"/>
            <w:tcBorders>
              <w:top w:val="single" w:sz="4" w:space="0" w:color="auto"/>
              <w:left w:val="nil"/>
              <w:right w:val="nil"/>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602</w:t>
            </w:r>
          </w:p>
        </w:tc>
        <w:tc>
          <w:tcPr>
            <w:tcW w:w="1078" w:type="dxa"/>
            <w:tcBorders>
              <w:top w:val="single" w:sz="4" w:space="0" w:color="auto"/>
              <w:left w:val="nil"/>
              <w:right w:val="single" w:sz="4" w:space="0" w:color="auto"/>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228</w:t>
            </w:r>
            <w:r>
              <w:rPr>
                <w:rFonts w:asciiTheme="majorHAnsi" w:hAnsiTheme="majorHAnsi" w:cstheme="majorHAnsi"/>
                <w:sz w:val="20"/>
                <w:szCs w:val="20"/>
              </w:rPr>
              <w:t>7</w:t>
            </w:r>
          </w:p>
        </w:tc>
        <w:tc>
          <w:tcPr>
            <w:tcW w:w="965" w:type="dxa"/>
            <w:tcBorders>
              <w:top w:val="single" w:sz="4" w:space="0" w:color="auto"/>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&lt;</w:t>
            </w:r>
            <w:r w:rsidRPr="00A305AC">
              <w:rPr>
                <w:rFonts w:asciiTheme="majorHAnsi" w:hAnsiTheme="majorHAnsi" w:cstheme="majorHAnsi"/>
                <w:sz w:val="20"/>
                <w:szCs w:val="20"/>
              </w:rPr>
              <w:t>0</w:t>
            </w:r>
            <w:r>
              <w:rPr>
                <w:rFonts w:asciiTheme="majorHAnsi" w:hAnsiTheme="majorHAnsi" w:cstheme="majorHAnsi"/>
                <w:sz w:val="20"/>
                <w:szCs w:val="20"/>
              </w:rPr>
              <w:t>.001</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Admission type</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27</w:t>
            </w:r>
            <w:r>
              <w:rPr>
                <w:rFonts w:asciiTheme="majorHAnsi" w:hAnsiTheme="majorHAnsi" w:cstheme="majorHAnsi"/>
                <w:sz w:val="20"/>
                <w:szCs w:val="20"/>
              </w:rPr>
              <w:t>,</w:t>
            </w:r>
            <w:r w:rsidRPr="00A305AC">
              <w:rPr>
                <w:rFonts w:asciiTheme="majorHAnsi" w:hAnsiTheme="majorHAnsi" w:cstheme="majorHAnsi"/>
                <w:sz w:val="20"/>
                <w:szCs w:val="20"/>
              </w:rPr>
              <w:t>42</w:t>
            </w:r>
            <w:r>
              <w:rPr>
                <w:rFonts w:asciiTheme="majorHAnsi" w:hAnsiTheme="majorHAnsi" w:cstheme="majorHAnsi"/>
                <w:sz w:val="20"/>
                <w:szCs w:val="20"/>
              </w:rPr>
              <w:t>3</w:t>
            </w:r>
          </w:p>
        </w:tc>
        <w:tc>
          <w:tcPr>
            <w:tcW w:w="1069" w:type="dxa"/>
            <w:tcBorders>
              <w:top w:val="nil"/>
              <w:left w:val="nil"/>
              <w:right w:val="nil"/>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20</w:t>
            </w:r>
            <w:r>
              <w:rPr>
                <w:rFonts w:asciiTheme="majorHAnsi" w:hAnsiTheme="majorHAnsi" w:cstheme="majorHAnsi"/>
                <w:sz w:val="20"/>
                <w:szCs w:val="20"/>
              </w:rPr>
              <w:t>,</w:t>
            </w:r>
            <w:r w:rsidRPr="00A305AC">
              <w:rPr>
                <w:rFonts w:asciiTheme="majorHAnsi" w:hAnsiTheme="majorHAnsi" w:cstheme="majorHAnsi"/>
                <w:sz w:val="20"/>
                <w:szCs w:val="20"/>
              </w:rPr>
              <w:t>99</w:t>
            </w:r>
            <w:r>
              <w:rPr>
                <w:rFonts w:asciiTheme="majorHAnsi" w:hAnsiTheme="majorHAnsi" w:cstheme="majorHAnsi"/>
                <w:sz w:val="20"/>
                <w:szCs w:val="20"/>
              </w:rPr>
              <w:t>3</w:t>
            </w:r>
          </w:p>
        </w:tc>
        <w:tc>
          <w:tcPr>
            <w:tcW w:w="1078" w:type="dxa"/>
            <w:tcBorders>
              <w:top w:val="nil"/>
              <w:left w:val="nil"/>
              <w:right w:val="single" w:sz="4" w:space="0" w:color="auto"/>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33</w:t>
            </w:r>
            <w:r>
              <w:rPr>
                <w:rFonts w:asciiTheme="majorHAnsi" w:hAnsiTheme="majorHAnsi" w:cstheme="majorHAnsi"/>
                <w:sz w:val="20"/>
                <w:szCs w:val="20"/>
              </w:rPr>
              <w:t>,</w:t>
            </w:r>
            <w:r w:rsidRPr="00A305AC">
              <w:rPr>
                <w:rFonts w:asciiTheme="majorHAnsi" w:hAnsiTheme="majorHAnsi" w:cstheme="majorHAnsi"/>
                <w:sz w:val="20"/>
                <w:szCs w:val="20"/>
              </w:rPr>
              <w:t>85</w:t>
            </w:r>
            <w:r>
              <w:rPr>
                <w:rFonts w:asciiTheme="majorHAnsi" w:hAnsiTheme="majorHAnsi" w:cstheme="majorHAnsi"/>
                <w:sz w:val="20"/>
                <w:szCs w:val="20"/>
              </w:rPr>
              <w:t>3</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&lt;</w:t>
            </w:r>
            <w:r w:rsidRPr="00A305AC">
              <w:rPr>
                <w:rFonts w:asciiTheme="majorHAnsi" w:hAnsiTheme="majorHAnsi" w:cstheme="majorHAnsi"/>
                <w:sz w:val="20"/>
                <w:szCs w:val="20"/>
              </w:rPr>
              <w:t>0</w:t>
            </w:r>
            <w:r>
              <w:rPr>
                <w:rFonts w:asciiTheme="majorHAnsi" w:hAnsiTheme="majorHAnsi" w:cstheme="majorHAnsi"/>
                <w:sz w:val="20"/>
                <w:szCs w:val="20"/>
              </w:rPr>
              <w:t>.001</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Intervention group (antibiotic)</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122</w:t>
            </w:r>
            <w:r>
              <w:rPr>
                <w:rFonts w:asciiTheme="majorHAnsi" w:hAnsiTheme="majorHAnsi" w:cstheme="majorHAnsi"/>
                <w:sz w:val="20"/>
                <w:szCs w:val="20"/>
              </w:rPr>
              <w:t>1</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-433</w:t>
            </w:r>
            <w:r>
              <w:rPr>
                <w:rFonts w:asciiTheme="majorHAnsi" w:hAnsiTheme="majorHAnsi" w:cstheme="majorHAnsi"/>
                <w:sz w:val="20"/>
                <w:szCs w:val="20"/>
              </w:rPr>
              <w:t>2</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677</w:t>
            </w:r>
            <w:r>
              <w:rPr>
                <w:rFonts w:asciiTheme="majorHAnsi" w:hAnsiTheme="majorHAnsi" w:cstheme="majorHAnsi"/>
                <w:sz w:val="20"/>
                <w:szCs w:val="20"/>
              </w:rPr>
              <w:t>3</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0.67</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Intervention group (heparin)</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-239</w:t>
            </w:r>
            <w:r>
              <w:rPr>
                <w:rFonts w:asciiTheme="majorHAnsi" w:hAnsiTheme="majorHAnsi" w:cstheme="majorHAnsi"/>
                <w:sz w:val="20"/>
                <w:szCs w:val="20"/>
              </w:rPr>
              <w:t>9</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-7917</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31</w:t>
            </w:r>
            <w:r>
              <w:rPr>
                <w:rFonts w:asciiTheme="majorHAnsi" w:hAnsiTheme="majorHAnsi" w:cstheme="majorHAnsi"/>
                <w:sz w:val="20"/>
                <w:szCs w:val="20"/>
              </w:rPr>
              <w:t>20</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0.39</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Prior health status</w:t>
            </w:r>
            <w:r>
              <w:rPr>
                <w:rFonts w:asciiTheme="majorHAnsi" w:hAnsiTheme="majorHAnsi" w:cstheme="majorHAnsi"/>
                <w:sz w:val="20"/>
                <w:szCs w:val="20"/>
              </w:rPr>
              <w:t xml:space="preserve"> </w:t>
            </w:r>
            <w:r w:rsidRPr="00A305AC">
              <w:rPr>
                <w:rFonts w:asciiTheme="majorHAnsi" w:hAnsiTheme="majorHAnsi" w:cstheme="majorHAnsi"/>
                <w:sz w:val="20"/>
                <w:szCs w:val="20"/>
              </w:rPr>
              <w:t>(0=not healthy; 1=healthy)</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-997</w:t>
            </w:r>
            <w:r>
              <w:rPr>
                <w:rFonts w:asciiTheme="majorHAnsi" w:hAnsiTheme="majorHAnsi" w:cstheme="majorHAnsi"/>
                <w:sz w:val="20"/>
                <w:szCs w:val="20"/>
              </w:rPr>
              <w:t>4</w:t>
            </w:r>
          </w:p>
        </w:tc>
        <w:tc>
          <w:tcPr>
            <w:tcW w:w="1069" w:type="dxa"/>
            <w:tcBorders>
              <w:top w:val="nil"/>
              <w:left w:val="nil"/>
              <w:right w:val="nil"/>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-15</w:t>
            </w:r>
            <w:r>
              <w:rPr>
                <w:rFonts w:asciiTheme="majorHAnsi" w:hAnsiTheme="majorHAnsi" w:cstheme="majorHAnsi"/>
                <w:sz w:val="20"/>
                <w:szCs w:val="20"/>
              </w:rPr>
              <w:t>,</w:t>
            </w:r>
            <w:r w:rsidRPr="00A305AC">
              <w:rPr>
                <w:rFonts w:asciiTheme="majorHAnsi" w:hAnsiTheme="majorHAnsi" w:cstheme="majorHAnsi"/>
                <w:sz w:val="20"/>
                <w:szCs w:val="20"/>
              </w:rPr>
              <w:t>807</w:t>
            </w:r>
          </w:p>
        </w:tc>
        <w:tc>
          <w:tcPr>
            <w:tcW w:w="1078" w:type="dxa"/>
            <w:tcBorders>
              <w:top w:val="nil"/>
              <w:left w:val="nil"/>
              <w:right w:val="single" w:sz="4" w:space="0" w:color="auto"/>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-4140</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&lt;</w:t>
            </w:r>
            <w:r w:rsidRPr="00A305AC">
              <w:rPr>
                <w:rFonts w:asciiTheme="majorHAnsi" w:hAnsiTheme="majorHAnsi" w:cstheme="majorHAnsi"/>
                <w:sz w:val="20"/>
                <w:szCs w:val="20"/>
              </w:rPr>
              <w:t>0</w:t>
            </w:r>
            <w:r>
              <w:rPr>
                <w:rFonts w:asciiTheme="majorHAnsi" w:hAnsiTheme="majorHAnsi" w:cstheme="majorHAnsi"/>
                <w:sz w:val="20"/>
                <w:szCs w:val="20"/>
              </w:rPr>
              <w:t>.001</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Reason for admission (endocrine/metabolic)</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-192</w:t>
            </w:r>
            <w:r>
              <w:rPr>
                <w:rFonts w:asciiTheme="majorHAnsi" w:hAnsiTheme="majorHAnsi" w:cstheme="majorHAnsi"/>
                <w:sz w:val="20"/>
                <w:szCs w:val="20"/>
              </w:rPr>
              <w:t>1</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-11</w:t>
            </w:r>
            <w:r>
              <w:rPr>
                <w:rFonts w:asciiTheme="majorHAnsi" w:hAnsiTheme="majorHAnsi" w:cstheme="majorHAnsi"/>
                <w:sz w:val="20"/>
                <w:szCs w:val="20"/>
              </w:rPr>
              <w:t>,</w:t>
            </w:r>
            <w:r w:rsidRPr="00A305AC">
              <w:rPr>
                <w:rFonts w:asciiTheme="majorHAnsi" w:hAnsiTheme="majorHAnsi" w:cstheme="majorHAnsi"/>
                <w:sz w:val="20"/>
                <w:szCs w:val="20"/>
              </w:rPr>
              <w:t>889</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804</w:t>
            </w:r>
            <w:r>
              <w:rPr>
                <w:rFonts w:asciiTheme="majorHAnsi" w:hAnsiTheme="majorHAnsi" w:cstheme="majorHAnsi"/>
                <w:sz w:val="20"/>
                <w:szCs w:val="20"/>
              </w:rPr>
              <w:t>8</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0.71</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Reason for admission (infection)</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-22</w:t>
            </w:r>
            <w:r>
              <w:rPr>
                <w:rFonts w:asciiTheme="majorHAnsi" w:hAnsiTheme="majorHAnsi" w:cstheme="majorHAnsi"/>
                <w:sz w:val="20"/>
                <w:szCs w:val="20"/>
              </w:rPr>
              <w:t>,</w:t>
            </w:r>
            <w:r w:rsidRPr="00A305AC">
              <w:rPr>
                <w:rFonts w:asciiTheme="majorHAnsi" w:hAnsiTheme="majorHAnsi" w:cstheme="majorHAnsi"/>
                <w:sz w:val="20"/>
                <w:szCs w:val="20"/>
              </w:rPr>
              <w:t>300</w:t>
            </w:r>
          </w:p>
        </w:tc>
        <w:tc>
          <w:tcPr>
            <w:tcW w:w="1069" w:type="dxa"/>
            <w:tcBorders>
              <w:top w:val="nil"/>
              <w:left w:val="nil"/>
              <w:right w:val="nil"/>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-32</w:t>
            </w:r>
            <w:r>
              <w:rPr>
                <w:rFonts w:asciiTheme="majorHAnsi" w:hAnsiTheme="majorHAnsi" w:cstheme="majorHAnsi"/>
                <w:sz w:val="20"/>
                <w:szCs w:val="20"/>
              </w:rPr>
              <w:t>,</w:t>
            </w:r>
            <w:r w:rsidRPr="00A305AC">
              <w:rPr>
                <w:rFonts w:asciiTheme="majorHAnsi" w:hAnsiTheme="majorHAnsi" w:cstheme="majorHAnsi"/>
                <w:sz w:val="20"/>
                <w:szCs w:val="20"/>
              </w:rPr>
              <w:t>609</w:t>
            </w:r>
          </w:p>
        </w:tc>
        <w:tc>
          <w:tcPr>
            <w:tcW w:w="1078" w:type="dxa"/>
            <w:tcBorders>
              <w:top w:val="nil"/>
              <w:left w:val="nil"/>
              <w:right w:val="single" w:sz="4" w:space="0" w:color="auto"/>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-11</w:t>
            </w:r>
            <w:r>
              <w:rPr>
                <w:rFonts w:asciiTheme="majorHAnsi" w:hAnsiTheme="majorHAnsi" w:cstheme="majorHAnsi"/>
                <w:sz w:val="20"/>
                <w:szCs w:val="20"/>
              </w:rPr>
              <w:t>,</w:t>
            </w:r>
            <w:r w:rsidRPr="00A305AC">
              <w:rPr>
                <w:rFonts w:asciiTheme="majorHAnsi" w:hAnsiTheme="majorHAnsi" w:cstheme="majorHAnsi"/>
                <w:sz w:val="20"/>
                <w:szCs w:val="20"/>
              </w:rPr>
              <w:t>99</w:t>
            </w:r>
            <w:r>
              <w:rPr>
                <w:rFonts w:asciiTheme="majorHAnsi" w:hAnsiTheme="majorHAnsi" w:cstheme="majorHAnsi"/>
                <w:sz w:val="20"/>
                <w:szCs w:val="20"/>
              </w:rPr>
              <w:t>2</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&lt;</w:t>
            </w:r>
            <w:r w:rsidRPr="00A305AC">
              <w:rPr>
                <w:rFonts w:asciiTheme="majorHAnsi" w:hAnsiTheme="majorHAnsi" w:cstheme="majorHAnsi"/>
                <w:sz w:val="20"/>
                <w:szCs w:val="20"/>
              </w:rPr>
              <w:t>0</w:t>
            </w:r>
            <w:r>
              <w:rPr>
                <w:rFonts w:asciiTheme="majorHAnsi" w:hAnsiTheme="majorHAnsi" w:cstheme="majorHAnsi"/>
                <w:sz w:val="20"/>
                <w:szCs w:val="20"/>
              </w:rPr>
              <w:t>.001</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Reason for admission (neurological)</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-21</w:t>
            </w:r>
            <w:r>
              <w:rPr>
                <w:rFonts w:asciiTheme="majorHAnsi" w:hAnsiTheme="majorHAnsi" w:cstheme="majorHAnsi"/>
                <w:sz w:val="20"/>
                <w:szCs w:val="20"/>
              </w:rPr>
              <w:t>,</w:t>
            </w:r>
            <w:r w:rsidRPr="00A305AC">
              <w:rPr>
                <w:rFonts w:asciiTheme="majorHAnsi" w:hAnsiTheme="majorHAnsi" w:cstheme="majorHAnsi"/>
                <w:sz w:val="20"/>
                <w:szCs w:val="20"/>
              </w:rPr>
              <w:t>85</w:t>
            </w:r>
            <w:r>
              <w:rPr>
                <w:rFonts w:asciiTheme="majorHAnsi" w:hAnsiTheme="majorHAnsi" w:cstheme="majorHAnsi"/>
                <w:sz w:val="20"/>
                <w:szCs w:val="20"/>
              </w:rPr>
              <w:t>4</w:t>
            </w:r>
          </w:p>
        </w:tc>
        <w:tc>
          <w:tcPr>
            <w:tcW w:w="1069" w:type="dxa"/>
            <w:tcBorders>
              <w:top w:val="nil"/>
              <w:left w:val="nil"/>
              <w:right w:val="nil"/>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-32</w:t>
            </w:r>
            <w:r>
              <w:rPr>
                <w:rFonts w:asciiTheme="majorHAnsi" w:hAnsiTheme="majorHAnsi" w:cstheme="majorHAnsi"/>
                <w:sz w:val="20"/>
                <w:szCs w:val="20"/>
              </w:rPr>
              <w:t>,</w:t>
            </w:r>
            <w:r w:rsidRPr="00A305AC">
              <w:rPr>
                <w:rFonts w:asciiTheme="majorHAnsi" w:hAnsiTheme="majorHAnsi" w:cstheme="majorHAnsi"/>
                <w:sz w:val="20"/>
                <w:szCs w:val="20"/>
              </w:rPr>
              <w:t>780</w:t>
            </w:r>
          </w:p>
        </w:tc>
        <w:tc>
          <w:tcPr>
            <w:tcW w:w="1078" w:type="dxa"/>
            <w:tcBorders>
              <w:top w:val="nil"/>
              <w:left w:val="nil"/>
              <w:right w:val="single" w:sz="4" w:space="0" w:color="auto"/>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-10</w:t>
            </w:r>
            <w:r>
              <w:rPr>
                <w:rFonts w:asciiTheme="majorHAnsi" w:hAnsiTheme="majorHAnsi" w:cstheme="majorHAnsi"/>
                <w:sz w:val="20"/>
                <w:szCs w:val="20"/>
              </w:rPr>
              <w:t>,</w:t>
            </w:r>
            <w:r w:rsidRPr="00A305AC">
              <w:rPr>
                <w:rFonts w:asciiTheme="majorHAnsi" w:hAnsiTheme="majorHAnsi" w:cstheme="majorHAnsi"/>
                <w:sz w:val="20"/>
                <w:szCs w:val="20"/>
              </w:rPr>
              <w:t>927</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&lt;</w:t>
            </w:r>
            <w:r w:rsidRPr="00A305AC">
              <w:rPr>
                <w:rFonts w:asciiTheme="majorHAnsi" w:hAnsiTheme="majorHAnsi" w:cstheme="majorHAnsi"/>
                <w:sz w:val="20"/>
                <w:szCs w:val="20"/>
              </w:rPr>
              <w:t>0</w:t>
            </w:r>
            <w:r>
              <w:rPr>
                <w:rFonts w:asciiTheme="majorHAnsi" w:hAnsiTheme="majorHAnsi" w:cstheme="majorHAnsi"/>
                <w:sz w:val="20"/>
                <w:szCs w:val="20"/>
              </w:rPr>
              <w:t>.001</w:t>
            </w:r>
          </w:p>
        </w:tc>
      </w:tr>
      <w:tr w:rsidR="006A57B2" w:rsidRPr="00A305AC" w:rsidTr="000A6618">
        <w:trPr>
          <w:trHeight w:val="300"/>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Reason for admission (oncology)</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264</w:t>
            </w:r>
            <w:r>
              <w:rPr>
                <w:rFonts w:asciiTheme="majorHAnsi" w:hAnsiTheme="majorHAnsi" w:cstheme="majorHAnsi"/>
                <w:sz w:val="20"/>
                <w:szCs w:val="20"/>
              </w:rPr>
              <w:t>1</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-16</w:t>
            </w:r>
            <w:r>
              <w:rPr>
                <w:rFonts w:asciiTheme="majorHAnsi" w:hAnsiTheme="majorHAnsi" w:cstheme="majorHAnsi"/>
                <w:sz w:val="20"/>
                <w:szCs w:val="20"/>
              </w:rPr>
              <w:t>,</w:t>
            </w:r>
            <w:r w:rsidRPr="00A305AC">
              <w:rPr>
                <w:rFonts w:asciiTheme="majorHAnsi" w:hAnsiTheme="majorHAnsi" w:cstheme="majorHAnsi"/>
                <w:sz w:val="20"/>
                <w:szCs w:val="20"/>
              </w:rPr>
              <w:t>05</w:t>
            </w:r>
            <w:r>
              <w:rPr>
                <w:rFonts w:asciiTheme="majorHAnsi" w:hAnsiTheme="majorHAnsi" w:cstheme="majorHAnsi"/>
                <w:sz w:val="20"/>
                <w:szCs w:val="20"/>
              </w:rPr>
              <w:t>2</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21</w:t>
            </w:r>
            <w:r>
              <w:rPr>
                <w:rFonts w:asciiTheme="majorHAnsi" w:hAnsiTheme="majorHAnsi" w:cstheme="majorHAnsi"/>
                <w:sz w:val="20"/>
                <w:szCs w:val="20"/>
              </w:rPr>
              <w:t>,</w:t>
            </w:r>
            <w:r w:rsidRPr="00A305AC">
              <w:rPr>
                <w:rFonts w:asciiTheme="majorHAnsi" w:hAnsiTheme="majorHAnsi" w:cstheme="majorHAnsi"/>
                <w:sz w:val="20"/>
                <w:szCs w:val="20"/>
              </w:rPr>
              <w:t>333</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0.78</w:t>
            </w:r>
          </w:p>
        </w:tc>
      </w:tr>
      <w:tr w:rsidR="006A57B2" w:rsidRPr="00A305AC" w:rsidTr="000A6618">
        <w:trPr>
          <w:trHeight w:val="288"/>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Reason for admission (other)</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-35</w:t>
            </w:r>
            <w:r>
              <w:rPr>
                <w:rFonts w:asciiTheme="majorHAnsi" w:hAnsiTheme="majorHAnsi" w:cstheme="majorHAnsi"/>
                <w:sz w:val="20"/>
                <w:szCs w:val="20"/>
              </w:rPr>
              <w:t>10</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-14</w:t>
            </w:r>
            <w:r>
              <w:rPr>
                <w:rFonts w:asciiTheme="majorHAnsi" w:hAnsiTheme="majorHAnsi" w:cstheme="majorHAnsi"/>
                <w:sz w:val="20"/>
                <w:szCs w:val="20"/>
              </w:rPr>
              <w:t>,</w:t>
            </w:r>
            <w:r w:rsidRPr="00A305AC">
              <w:rPr>
                <w:rFonts w:asciiTheme="majorHAnsi" w:hAnsiTheme="majorHAnsi" w:cstheme="majorHAnsi"/>
                <w:sz w:val="20"/>
                <w:szCs w:val="20"/>
              </w:rPr>
              <w:t>35</w:t>
            </w:r>
            <w:r>
              <w:rPr>
                <w:rFonts w:asciiTheme="majorHAnsi" w:hAnsiTheme="majorHAnsi" w:cstheme="majorHAnsi"/>
                <w:sz w:val="20"/>
                <w:szCs w:val="20"/>
              </w:rPr>
              <w:t>5</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7335</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0.53</w:t>
            </w:r>
          </w:p>
        </w:tc>
      </w:tr>
      <w:tr w:rsidR="006A57B2" w:rsidRPr="00A305AC" w:rsidTr="000A6618">
        <w:trPr>
          <w:trHeight w:val="288"/>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Reason for admission (respiratory)</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-828</w:t>
            </w:r>
            <w:r>
              <w:rPr>
                <w:rFonts w:asciiTheme="majorHAnsi" w:hAnsiTheme="majorHAnsi" w:cstheme="majorHAnsi"/>
                <w:sz w:val="20"/>
                <w:szCs w:val="20"/>
              </w:rPr>
              <w:t>9</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-15</w:t>
            </w:r>
            <w:r>
              <w:rPr>
                <w:rFonts w:asciiTheme="majorHAnsi" w:hAnsiTheme="majorHAnsi" w:cstheme="majorHAnsi"/>
                <w:sz w:val="20"/>
                <w:szCs w:val="20"/>
              </w:rPr>
              <w:t>,</w:t>
            </w:r>
            <w:r w:rsidRPr="00A305AC">
              <w:rPr>
                <w:rFonts w:asciiTheme="majorHAnsi" w:hAnsiTheme="majorHAnsi" w:cstheme="majorHAnsi"/>
                <w:sz w:val="20"/>
                <w:szCs w:val="20"/>
              </w:rPr>
              <w:t>60</w:t>
            </w:r>
            <w:r>
              <w:rPr>
                <w:rFonts w:asciiTheme="majorHAnsi" w:hAnsiTheme="majorHAnsi" w:cstheme="majorHAnsi"/>
                <w:sz w:val="20"/>
                <w:szCs w:val="20"/>
              </w:rPr>
              <w:t>9</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-968</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0.03</w:t>
            </w:r>
          </w:p>
        </w:tc>
      </w:tr>
      <w:tr w:rsidR="006A57B2" w:rsidRPr="00A305AC" w:rsidTr="000A6618">
        <w:trPr>
          <w:trHeight w:val="288"/>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Reason for admission (trauma)</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-12</w:t>
            </w:r>
            <w:r>
              <w:rPr>
                <w:rFonts w:asciiTheme="majorHAnsi" w:hAnsiTheme="majorHAnsi" w:cstheme="majorHAnsi"/>
                <w:sz w:val="20"/>
                <w:szCs w:val="20"/>
              </w:rPr>
              <w:t>,</w:t>
            </w:r>
            <w:r w:rsidRPr="00A305AC">
              <w:rPr>
                <w:rFonts w:asciiTheme="majorHAnsi" w:hAnsiTheme="majorHAnsi" w:cstheme="majorHAnsi"/>
                <w:sz w:val="20"/>
                <w:szCs w:val="20"/>
              </w:rPr>
              <w:t>14</w:t>
            </w:r>
            <w:r>
              <w:rPr>
                <w:rFonts w:asciiTheme="majorHAnsi" w:hAnsiTheme="majorHAnsi" w:cstheme="majorHAnsi"/>
                <w:sz w:val="20"/>
                <w:szCs w:val="20"/>
              </w:rPr>
              <w:t>4</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-26</w:t>
            </w:r>
            <w:r>
              <w:rPr>
                <w:rFonts w:asciiTheme="majorHAnsi" w:hAnsiTheme="majorHAnsi" w:cstheme="majorHAnsi"/>
                <w:sz w:val="20"/>
                <w:szCs w:val="20"/>
              </w:rPr>
              <w:t>,</w:t>
            </w:r>
            <w:r w:rsidRPr="00A305AC">
              <w:rPr>
                <w:rFonts w:asciiTheme="majorHAnsi" w:hAnsiTheme="majorHAnsi" w:cstheme="majorHAnsi"/>
                <w:sz w:val="20"/>
                <w:szCs w:val="20"/>
              </w:rPr>
              <w:t>76</w:t>
            </w:r>
            <w:r>
              <w:rPr>
                <w:rFonts w:asciiTheme="majorHAnsi" w:hAnsiTheme="majorHAnsi" w:cstheme="majorHAnsi"/>
                <w:sz w:val="20"/>
                <w:szCs w:val="20"/>
              </w:rPr>
              <w:t>4</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247</w:t>
            </w:r>
            <w:r>
              <w:rPr>
                <w:rFonts w:asciiTheme="majorHAnsi" w:hAnsiTheme="majorHAnsi" w:cstheme="majorHAnsi"/>
                <w:sz w:val="20"/>
                <w:szCs w:val="20"/>
              </w:rPr>
              <w:t>7</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0.1</w:t>
            </w:r>
          </w:p>
        </w:tc>
      </w:tr>
      <w:tr w:rsidR="006A57B2" w:rsidRPr="00A305AC" w:rsidTr="000A6618">
        <w:trPr>
          <w:trHeight w:val="288"/>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Compromised immunity (yes/no)</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8476</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-124</w:t>
            </w:r>
            <w:r>
              <w:rPr>
                <w:rFonts w:asciiTheme="majorHAnsi" w:hAnsiTheme="majorHAnsi" w:cstheme="majorHAnsi"/>
                <w:sz w:val="20"/>
                <w:szCs w:val="20"/>
              </w:rPr>
              <w:t>6</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18</w:t>
            </w:r>
            <w:r>
              <w:rPr>
                <w:rFonts w:asciiTheme="majorHAnsi" w:hAnsiTheme="majorHAnsi" w:cstheme="majorHAnsi"/>
                <w:sz w:val="20"/>
                <w:szCs w:val="20"/>
              </w:rPr>
              <w:t>,</w:t>
            </w:r>
            <w:r w:rsidRPr="00A305AC">
              <w:rPr>
                <w:rFonts w:asciiTheme="majorHAnsi" w:hAnsiTheme="majorHAnsi" w:cstheme="majorHAnsi"/>
                <w:sz w:val="20"/>
                <w:szCs w:val="20"/>
              </w:rPr>
              <w:t>198</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0.09</w:t>
            </w:r>
          </w:p>
        </w:tc>
      </w:tr>
      <w:tr w:rsidR="006A57B2" w:rsidRPr="00A305AC" w:rsidTr="000A6618">
        <w:trPr>
          <w:trHeight w:val="288"/>
        </w:trPr>
        <w:tc>
          <w:tcPr>
            <w:tcW w:w="4354" w:type="dxa"/>
            <w:tcBorders>
              <w:top w:val="nil"/>
              <w:left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Natural logarithm of a</w:t>
            </w:r>
            <w:r w:rsidRPr="00A305AC">
              <w:rPr>
                <w:rFonts w:asciiTheme="majorHAnsi" w:hAnsiTheme="majorHAnsi" w:cstheme="majorHAnsi"/>
                <w:sz w:val="20"/>
                <w:szCs w:val="20"/>
              </w:rPr>
              <w:t>ge in days</w:t>
            </w:r>
          </w:p>
        </w:tc>
        <w:tc>
          <w:tcPr>
            <w:tcW w:w="1468"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-23</w:t>
            </w:r>
            <w:r>
              <w:rPr>
                <w:rFonts w:asciiTheme="majorHAnsi" w:hAnsiTheme="majorHAnsi" w:cstheme="majorHAnsi"/>
                <w:sz w:val="20"/>
                <w:szCs w:val="20"/>
              </w:rPr>
              <w:t>6</w:t>
            </w:r>
          </w:p>
        </w:tc>
        <w:tc>
          <w:tcPr>
            <w:tcW w:w="1069" w:type="dxa"/>
            <w:tcBorders>
              <w:top w:val="nil"/>
              <w:left w:val="nil"/>
              <w:right w:val="nil"/>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w:t>
            </w:r>
            <w:r>
              <w:rPr>
                <w:rFonts w:asciiTheme="majorHAnsi" w:hAnsiTheme="majorHAnsi" w:cstheme="majorHAnsi"/>
                <w:sz w:val="20"/>
                <w:szCs w:val="20"/>
              </w:rPr>
              <w:t>300</w:t>
            </w:r>
          </w:p>
        </w:tc>
        <w:tc>
          <w:tcPr>
            <w:tcW w:w="1078" w:type="dxa"/>
            <w:tcBorders>
              <w:top w:val="nil"/>
              <w:left w:val="nil"/>
              <w:right w:val="single" w:sz="4" w:space="0" w:color="auto"/>
            </w:tcBorders>
          </w:tcPr>
          <w:p w:rsidR="006A57B2" w:rsidRPr="00A305AC"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828</w:t>
            </w:r>
          </w:p>
        </w:tc>
        <w:tc>
          <w:tcPr>
            <w:tcW w:w="965" w:type="dxa"/>
            <w:tcBorders>
              <w:top w:val="nil"/>
              <w:left w:val="nil"/>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0.66</w:t>
            </w:r>
          </w:p>
        </w:tc>
      </w:tr>
      <w:tr w:rsidR="006A57B2" w:rsidRPr="00A305AC" w:rsidTr="000A6618">
        <w:trPr>
          <w:trHeight w:val="288"/>
        </w:trPr>
        <w:tc>
          <w:tcPr>
            <w:tcW w:w="4354" w:type="dxa"/>
            <w:tcBorders>
              <w:top w:val="nil"/>
              <w:left w:val="single" w:sz="4" w:space="0" w:color="auto"/>
              <w:bottom w:val="single" w:sz="4" w:space="0" w:color="auto"/>
              <w:right w:val="single" w:sz="4" w:space="0" w:color="auto"/>
            </w:tcBorders>
            <w:shd w:val="clear" w:color="auto" w:fill="auto"/>
            <w:noWrap/>
            <w:hideMark/>
          </w:tcPr>
          <w:p w:rsidR="006A57B2" w:rsidRPr="00A305AC" w:rsidRDefault="006A57B2" w:rsidP="000A6618">
            <w:pPr>
              <w:spacing w:after="0" w:line="240" w:lineRule="auto"/>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Constant</w:t>
            </w:r>
          </w:p>
        </w:tc>
        <w:tc>
          <w:tcPr>
            <w:tcW w:w="1468" w:type="dxa"/>
            <w:tcBorders>
              <w:top w:val="nil"/>
              <w:left w:val="nil"/>
              <w:bottom w:val="single" w:sz="4" w:space="0" w:color="auto"/>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sidRPr="00A305AC">
              <w:rPr>
                <w:rFonts w:asciiTheme="majorHAnsi" w:hAnsiTheme="majorHAnsi" w:cstheme="majorHAnsi"/>
                <w:sz w:val="20"/>
                <w:szCs w:val="20"/>
              </w:rPr>
              <w:t>24</w:t>
            </w:r>
            <w:r>
              <w:rPr>
                <w:rFonts w:asciiTheme="majorHAnsi" w:hAnsiTheme="majorHAnsi" w:cstheme="majorHAnsi"/>
                <w:sz w:val="20"/>
                <w:szCs w:val="20"/>
              </w:rPr>
              <w:t>,</w:t>
            </w:r>
            <w:r w:rsidRPr="00A305AC">
              <w:rPr>
                <w:rFonts w:asciiTheme="majorHAnsi" w:hAnsiTheme="majorHAnsi" w:cstheme="majorHAnsi"/>
                <w:sz w:val="20"/>
                <w:szCs w:val="20"/>
              </w:rPr>
              <w:t>08</w:t>
            </w:r>
            <w:r>
              <w:rPr>
                <w:rFonts w:asciiTheme="majorHAnsi" w:hAnsiTheme="majorHAnsi" w:cstheme="majorHAnsi"/>
                <w:sz w:val="20"/>
                <w:szCs w:val="20"/>
              </w:rPr>
              <w:t>6</w:t>
            </w:r>
          </w:p>
        </w:tc>
        <w:tc>
          <w:tcPr>
            <w:tcW w:w="1069" w:type="dxa"/>
            <w:tcBorders>
              <w:top w:val="nil"/>
              <w:left w:val="nil"/>
              <w:bottom w:val="single" w:sz="4" w:space="0" w:color="auto"/>
              <w:right w:val="nil"/>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13</w:t>
            </w:r>
            <w:r>
              <w:rPr>
                <w:rFonts w:asciiTheme="majorHAnsi" w:hAnsiTheme="majorHAnsi" w:cstheme="majorHAnsi"/>
                <w:sz w:val="20"/>
                <w:szCs w:val="20"/>
              </w:rPr>
              <w:t>,</w:t>
            </w:r>
            <w:r w:rsidRPr="00A305AC">
              <w:rPr>
                <w:rFonts w:asciiTheme="majorHAnsi" w:hAnsiTheme="majorHAnsi" w:cstheme="majorHAnsi"/>
                <w:sz w:val="20"/>
                <w:szCs w:val="20"/>
              </w:rPr>
              <w:t>255</w:t>
            </w:r>
          </w:p>
        </w:tc>
        <w:tc>
          <w:tcPr>
            <w:tcW w:w="1078" w:type="dxa"/>
            <w:tcBorders>
              <w:top w:val="nil"/>
              <w:left w:val="nil"/>
              <w:bottom w:val="single" w:sz="4" w:space="0" w:color="auto"/>
              <w:right w:val="single" w:sz="4" w:space="0" w:color="auto"/>
            </w:tcBorders>
          </w:tcPr>
          <w:p w:rsidR="006A57B2" w:rsidRDefault="006A57B2" w:rsidP="000A6618">
            <w:pPr>
              <w:spacing w:after="0" w:line="240" w:lineRule="auto"/>
              <w:jc w:val="center"/>
              <w:rPr>
                <w:rFonts w:asciiTheme="majorHAnsi" w:hAnsiTheme="majorHAnsi" w:cstheme="majorHAnsi"/>
                <w:sz w:val="20"/>
                <w:szCs w:val="20"/>
              </w:rPr>
            </w:pPr>
            <w:r w:rsidRPr="00A305AC">
              <w:rPr>
                <w:rFonts w:asciiTheme="majorHAnsi" w:hAnsiTheme="majorHAnsi" w:cstheme="majorHAnsi"/>
                <w:sz w:val="20"/>
                <w:szCs w:val="20"/>
              </w:rPr>
              <w:t>34</w:t>
            </w:r>
            <w:r>
              <w:rPr>
                <w:rFonts w:asciiTheme="majorHAnsi" w:hAnsiTheme="majorHAnsi" w:cstheme="majorHAnsi"/>
                <w:sz w:val="20"/>
                <w:szCs w:val="20"/>
              </w:rPr>
              <w:t>,</w:t>
            </w:r>
            <w:r w:rsidRPr="00A305AC">
              <w:rPr>
                <w:rFonts w:asciiTheme="majorHAnsi" w:hAnsiTheme="majorHAnsi" w:cstheme="majorHAnsi"/>
                <w:sz w:val="20"/>
                <w:szCs w:val="20"/>
              </w:rPr>
              <w:t>916</w:t>
            </w:r>
          </w:p>
        </w:tc>
        <w:tc>
          <w:tcPr>
            <w:tcW w:w="965" w:type="dxa"/>
            <w:tcBorders>
              <w:top w:val="nil"/>
              <w:left w:val="nil"/>
              <w:bottom w:val="single" w:sz="4" w:space="0" w:color="auto"/>
              <w:right w:val="single" w:sz="4" w:space="0" w:color="auto"/>
            </w:tcBorders>
            <w:shd w:val="clear" w:color="auto" w:fill="auto"/>
            <w:noWrap/>
            <w:hideMark/>
          </w:tcPr>
          <w:p w:rsidR="006A57B2" w:rsidRPr="00A305AC" w:rsidRDefault="006A57B2" w:rsidP="000A6618">
            <w:pPr>
              <w:spacing w:after="0" w:line="240" w:lineRule="auto"/>
              <w:jc w:val="center"/>
              <w:rPr>
                <w:rFonts w:asciiTheme="majorHAnsi" w:eastAsia="Times New Roman" w:hAnsiTheme="majorHAnsi" w:cstheme="majorHAnsi"/>
                <w:color w:val="000000"/>
                <w:sz w:val="20"/>
                <w:szCs w:val="20"/>
                <w:lang w:eastAsia="en-GB"/>
              </w:rPr>
            </w:pPr>
            <w:r>
              <w:rPr>
                <w:rFonts w:asciiTheme="majorHAnsi" w:hAnsiTheme="majorHAnsi" w:cstheme="majorHAnsi"/>
                <w:sz w:val="20"/>
                <w:szCs w:val="20"/>
              </w:rPr>
              <w:t>&lt;</w:t>
            </w:r>
            <w:r w:rsidRPr="00A305AC">
              <w:rPr>
                <w:rFonts w:asciiTheme="majorHAnsi" w:hAnsiTheme="majorHAnsi" w:cstheme="majorHAnsi"/>
                <w:sz w:val="20"/>
                <w:szCs w:val="20"/>
              </w:rPr>
              <w:t>0</w:t>
            </w:r>
            <w:r>
              <w:rPr>
                <w:rFonts w:asciiTheme="majorHAnsi" w:hAnsiTheme="majorHAnsi" w:cstheme="majorHAnsi"/>
                <w:sz w:val="20"/>
                <w:szCs w:val="20"/>
              </w:rPr>
              <w:t>.001</w:t>
            </w:r>
          </w:p>
        </w:tc>
      </w:tr>
    </w:tbl>
    <w:p w:rsidR="006A57B2" w:rsidRDefault="006A57B2" w:rsidP="00B22173">
      <w:pPr>
        <w:rPr>
          <w:rFonts w:ascii="Calibri" w:eastAsia="Times New Roman" w:hAnsi="Calibri" w:cs="Times New Roman"/>
          <w:color w:val="000000"/>
          <w:lang w:eastAsia="en-GB"/>
        </w:rPr>
      </w:pPr>
      <w:r w:rsidRPr="000C0E86">
        <w:rPr>
          <w:rFonts w:ascii="Calibri" w:eastAsia="Times New Roman" w:hAnsi="Calibri" w:cs="Times New Roman"/>
          <w:color w:val="000000"/>
          <w:lang w:eastAsia="en-GB"/>
        </w:rPr>
        <w:t>AIC = 24.25; BIC = 2.89x10</w:t>
      </w:r>
      <w:r w:rsidRPr="000C0E86">
        <w:rPr>
          <w:rFonts w:ascii="Calibri" w:eastAsia="Times New Roman" w:hAnsi="Calibri" w:cs="Times New Roman"/>
          <w:color w:val="000000"/>
          <w:vertAlign w:val="superscript"/>
          <w:lang w:eastAsia="en-GB"/>
        </w:rPr>
        <w:t>12</w:t>
      </w:r>
      <w:r w:rsidRPr="000C0E86">
        <w:rPr>
          <w:rFonts w:ascii="Calibri" w:eastAsia="Times New Roman" w:hAnsi="Calibri" w:cs="Times New Roman"/>
          <w:color w:val="000000"/>
          <w:lang w:eastAsia="en-GB"/>
        </w:rPr>
        <w:t>; R</w:t>
      </w:r>
      <w:r w:rsidRPr="000C0E86">
        <w:rPr>
          <w:rFonts w:ascii="Calibri" w:eastAsia="Times New Roman" w:hAnsi="Calibri" w:cs="Times New Roman"/>
          <w:color w:val="000000"/>
          <w:vertAlign w:val="superscript"/>
          <w:lang w:eastAsia="en-GB"/>
        </w:rPr>
        <w:t>2</w:t>
      </w:r>
      <w:r w:rsidRPr="000C0E86">
        <w:rPr>
          <w:rFonts w:ascii="Calibri" w:eastAsia="Times New Roman" w:hAnsi="Calibri" w:cs="Times New Roman"/>
          <w:color w:val="000000"/>
          <w:lang w:eastAsia="en-GB"/>
        </w:rPr>
        <w:t xml:space="preserve"> = 0.092</w:t>
      </w:r>
    </w:p>
    <w:p w:rsidR="006A57B2" w:rsidRDefault="006A57B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br w:type="page"/>
      </w:r>
    </w:p>
    <w:p w:rsidR="006A57B2" w:rsidRPr="00BE078C" w:rsidRDefault="006A57B2" w:rsidP="00CB642F">
      <w:pPr>
        <w:pStyle w:val="Caption"/>
        <w:rPr>
          <w:sz w:val="22"/>
          <w:szCs w:val="22"/>
        </w:rPr>
      </w:pPr>
      <w:bookmarkStart w:id="100" w:name="_Toc428178972"/>
      <w:r w:rsidRPr="00BE078C">
        <w:rPr>
          <w:sz w:val="22"/>
          <w:szCs w:val="22"/>
        </w:rPr>
        <w:t xml:space="preserve">Table </w:t>
      </w:r>
      <w:r>
        <w:rPr>
          <w:noProof/>
          <w:sz w:val="22"/>
          <w:szCs w:val="22"/>
        </w:rPr>
        <w:t>17</w:t>
      </w:r>
      <w:r w:rsidRPr="00BE078C">
        <w:rPr>
          <w:sz w:val="22"/>
          <w:szCs w:val="22"/>
        </w:rPr>
        <w:t xml:space="preserve">: </w:t>
      </w:r>
      <w:r w:rsidRPr="00FF11BF">
        <w:rPr>
          <w:sz w:val="22"/>
          <w:szCs w:val="22"/>
        </w:rPr>
        <w:t>Value of healthcare resource associated with managing a BSI</w:t>
      </w:r>
      <w:r>
        <w:rPr>
          <w:sz w:val="22"/>
          <w:szCs w:val="22"/>
        </w:rPr>
        <w:t>: r</w:t>
      </w:r>
      <w:r w:rsidRPr="00BE078C">
        <w:rPr>
          <w:sz w:val="22"/>
          <w:szCs w:val="22"/>
        </w:rPr>
        <w:t>esults of Ordinary Least Squares regression for estimating the cost of BSI, with total costs as the dependent variable</w:t>
      </w:r>
      <w:r>
        <w:rPr>
          <w:sz w:val="22"/>
          <w:szCs w:val="22"/>
        </w:rPr>
        <w:t xml:space="preserve"> and</w:t>
      </w:r>
      <w:r w:rsidRPr="00BE078C">
        <w:rPr>
          <w:sz w:val="22"/>
          <w:szCs w:val="22"/>
        </w:rPr>
        <w:t xml:space="preserve"> univariately significant baseline</w:t>
      </w:r>
      <w:r>
        <w:rPr>
          <w:sz w:val="22"/>
          <w:szCs w:val="22"/>
        </w:rPr>
        <w:t xml:space="preserve"> explanatory</w:t>
      </w:r>
      <w:r w:rsidRPr="00BE078C">
        <w:rPr>
          <w:sz w:val="22"/>
          <w:szCs w:val="22"/>
        </w:rPr>
        <w:t xml:space="preserve"> variables</w:t>
      </w:r>
      <w:bookmarkEnd w:id="100"/>
      <w:r w:rsidRPr="00BE078C">
        <w:rPr>
          <w:b w:val="0"/>
          <w:sz w:val="22"/>
          <w:szCs w:val="22"/>
        </w:rPr>
        <w:t xml:space="preserve"> </w:t>
      </w:r>
    </w:p>
    <w:tbl>
      <w:tblPr>
        <w:tblStyle w:val="TableGrid"/>
        <w:tblW w:w="9208" w:type="dxa"/>
        <w:shd w:val="clear" w:color="auto" w:fill="FFFFFF" w:themeFill="background1"/>
        <w:tblLayout w:type="fixed"/>
        <w:tblLook w:val="04A0" w:firstRow="1" w:lastRow="0" w:firstColumn="1" w:lastColumn="0" w:noHBand="0" w:noVBand="1"/>
      </w:tblPr>
      <w:tblGrid>
        <w:gridCol w:w="4106"/>
        <w:gridCol w:w="1418"/>
        <w:gridCol w:w="1134"/>
        <w:gridCol w:w="1133"/>
        <w:gridCol w:w="1417"/>
      </w:tblGrid>
      <w:tr w:rsidR="006A57B2" w:rsidRPr="00E74C0A" w:rsidTr="000A6618">
        <w:trPr>
          <w:trHeight w:val="658"/>
        </w:trPr>
        <w:tc>
          <w:tcPr>
            <w:tcW w:w="4106" w:type="dxa"/>
            <w:tcBorders>
              <w:bottom w:val="nil"/>
            </w:tcBorders>
            <w:shd w:val="clear" w:color="auto" w:fill="ACB9CA" w:themeFill="text2" w:themeFillTint="66"/>
            <w:vAlign w:val="center"/>
          </w:tcPr>
          <w:p w:rsidR="006A57B2" w:rsidRPr="00E74C0A" w:rsidRDefault="006A57B2" w:rsidP="000A6618">
            <w:pPr>
              <w:spacing w:after="0"/>
              <w:jc w:val="center"/>
              <w:rPr>
                <w:rFonts w:asciiTheme="majorHAnsi" w:hAnsiTheme="majorHAnsi" w:cstheme="majorHAnsi"/>
                <w:b/>
              </w:rPr>
            </w:pPr>
            <w:r w:rsidRPr="00E74C0A">
              <w:rPr>
                <w:rFonts w:asciiTheme="majorHAnsi" w:hAnsiTheme="majorHAnsi" w:cstheme="majorHAnsi"/>
                <w:b/>
              </w:rPr>
              <w:t>Variable</w:t>
            </w:r>
          </w:p>
        </w:tc>
        <w:tc>
          <w:tcPr>
            <w:tcW w:w="1418" w:type="dxa"/>
            <w:tcBorders>
              <w:bottom w:val="nil"/>
            </w:tcBorders>
            <w:shd w:val="clear" w:color="auto" w:fill="ACB9CA" w:themeFill="text2" w:themeFillTint="66"/>
            <w:vAlign w:val="center"/>
          </w:tcPr>
          <w:p w:rsidR="006A57B2" w:rsidRPr="00E74C0A" w:rsidRDefault="006A57B2" w:rsidP="000A6618">
            <w:pPr>
              <w:spacing w:after="0"/>
              <w:jc w:val="center"/>
              <w:rPr>
                <w:rFonts w:asciiTheme="majorHAnsi" w:hAnsiTheme="majorHAnsi" w:cstheme="majorHAnsi"/>
                <w:b/>
              </w:rPr>
            </w:pPr>
            <w:r w:rsidRPr="00E74C0A">
              <w:rPr>
                <w:rFonts w:asciiTheme="majorHAnsi" w:hAnsiTheme="majorHAnsi" w:cstheme="majorHAnsi"/>
                <w:b/>
              </w:rPr>
              <w:t>Coefficient</w:t>
            </w:r>
            <w:r>
              <w:rPr>
                <w:rFonts w:asciiTheme="majorHAnsi" w:hAnsiTheme="majorHAnsi" w:cstheme="majorHAnsi"/>
                <w:b/>
              </w:rPr>
              <w:t xml:space="preserve"> (£)</w:t>
            </w:r>
          </w:p>
        </w:tc>
        <w:tc>
          <w:tcPr>
            <w:tcW w:w="2267" w:type="dxa"/>
            <w:gridSpan w:val="2"/>
            <w:tcBorders>
              <w:bottom w:val="nil"/>
            </w:tcBorders>
            <w:shd w:val="clear" w:color="auto" w:fill="ACB9CA" w:themeFill="text2" w:themeFillTint="66"/>
            <w:vAlign w:val="center"/>
          </w:tcPr>
          <w:p w:rsidR="006A57B2" w:rsidRPr="00E74C0A" w:rsidRDefault="006A57B2" w:rsidP="000A6618">
            <w:pPr>
              <w:spacing w:after="0"/>
              <w:jc w:val="center"/>
              <w:rPr>
                <w:rFonts w:asciiTheme="majorHAnsi" w:hAnsiTheme="majorHAnsi" w:cstheme="majorHAnsi"/>
                <w:b/>
              </w:rPr>
            </w:pPr>
            <w:r w:rsidRPr="00E74C0A">
              <w:rPr>
                <w:rFonts w:asciiTheme="majorHAnsi" w:hAnsiTheme="majorHAnsi" w:cstheme="majorHAnsi"/>
                <w:b/>
              </w:rPr>
              <w:t>95%</w:t>
            </w:r>
            <w:r>
              <w:rPr>
                <w:rFonts w:asciiTheme="majorHAnsi" w:hAnsiTheme="majorHAnsi" w:cstheme="majorHAnsi"/>
                <w:b/>
              </w:rPr>
              <w:t xml:space="preserve"> </w:t>
            </w:r>
            <w:r w:rsidRPr="00E74C0A">
              <w:rPr>
                <w:rFonts w:asciiTheme="majorHAnsi" w:hAnsiTheme="majorHAnsi" w:cstheme="majorHAnsi"/>
                <w:b/>
              </w:rPr>
              <w:t>CI</w:t>
            </w:r>
            <w:r>
              <w:rPr>
                <w:rFonts w:asciiTheme="majorHAnsi" w:hAnsiTheme="majorHAnsi" w:cstheme="majorHAnsi"/>
                <w:b/>
              </w:rPr>
              <w:t xml:space="preserve"> (£)</w:t>
            </w:r>
          </w:p>
        </w:tc>
        <w:tc>
          <w:tcPr>
            <w:tcW w:w="1417" w:type="dxa"/>
            <w:tcBorders>
              <w:bottom w:val="nil"/>
            </w:tcBorders>
            <w:shd w:val="clear" w:color="auto" w:fill="ACB9CA" w:themeFill="text2" w:themeFillTint="66"/>
            <w:vAlign w:val="center"/>
          </w:tcPr>
          <w:p w:rsidR="006A57B2" w:rsidRPr="00E74C0A" w:rsidRDefault="006A57B2" w:rsidP="000A6618">
            <w:pPr>
              <w:spacing w:after="0"/>
              <w:jc w:val="center"/>
              <w:rPr>
                <w:rFonts w:asciiTheme="majorHAnsi" w:hAnsiTheme="majorHAnsi" w:cstheme="majorHAnsi"/>
                <w:b/>
              </w:rPr>
            </w:pPr>
            <w:r w:rsidRPr="00E74C0A">
              <w:rPr>
                <w:rFonts w:asciiTheme="majorHAnsi" w:hAnsiTheme="majorHAnsi" w:cstheme="majorHAnsi"/>
                <w:b/>
              </w:rPr>
              <w:t>p-value</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rPr>
            </w:pPr>
            <w:r w:rsidRPr="00E74C0A">
              <w:rPr>
                <w:rFonts w:asciiTheme="majorHAnsi" w:hAnsiTheme="majorHAnsi" w:cstheme="majorHAnsi"/>
              </w:rPr>
              <w:t>Natural logarithm of pre-randomisation cost</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1439</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59</w:t>
            </w:r>
            <w:r>
              <w:rPr>
                <w:rFonts w:asciiTheme="majorHAnsi" w:hAnsiTheme="majorHAnsi" w:cstheme="majorHAnsi"/>
              </w:rPr>
              <w:t>8</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2281</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0.001</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Admission type</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27</w:t>
            </w:r>
            <w:r>
              <w:rPr>
                <w:rFonts w:asciiTheme="majorHAnsi" w:hAnsiTheme="majorHAnsi" w:cstheme="majorHAnsi"/>
              </w:rPr>
              <w:t>,</w:t>
            </w:r>
            <w:r w:rsidRPr="00E74C0A">
              <w:rPr>
                <w:rFonts w:asciiTheme="majorHAnsi" w:hAnsiTheme="majorHAnsi" w:cstheme="majorHAnsi"/>
              </w:rPr>
              <w:t>341</w:t>
            </w:r>
          </w:p>
        </w:tc>
        <w:tc>
          <w:tcPr>
            <w:tcW w:w="1134" w:type="dxa"/>
            <w:tcBorders>
              <w:top w:val="nil"/>
              <w:bottom w:val="nil"/>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20</w:t>
            </w:r>
            <w:r>
              <w:rPr>
                <w:rFonts w:asciiTheme="majorHAnsi" w:hAnsiTheme="majorHAnsi" w:cstheme="majorHAnsi"/>
              </w:rPr>
              <w:t>,</w:t>
            </w:r>
            <w:r w:rsidRPr="00E74C0A">
              <w:rPr>
                <w:rFonts w:asciiTheme="majorHAnsi" w:hAnsiTheme="majorHAnsi" w:cstheme="majorHAnsi"/>
              </w:rPr>
              <w:t>91</w:t>
            </w:r>
            <w:r>
              <w:rPr>
                <w:rFonts w:asciiTheme="majorHAnsi" w:hAnsiTheme="majorHAnsi" w:cstheme="majorHAnsi"/>
              </w:rPr>
              <w:t>6</w:t>
            </w:r>
          </w:p>
        </w:tc>
        <w:tc>
          <w:tcPr>
            <w:tcW w:w="1133" w:type="dxa"/>
            <w:tcBorders>
              <w:top w:val="nil"/>
              <w:bottom w:val="nil"/>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33</w:t>
            </w:r>
            <w:r>
              <w:rPr>
                <w:rFonts w:asciiTheme="majorHAnsi" w:hAnsiTheme="majorHAnsi" w:cstheme="majorHAnsi"/>
              </w:rPr>
              <w:t>,</w:t>
            </w:r>
            <w:r w:rsidRPr="00E74C0A">
              <w:rPr>
                <w:rFonts w:asciiTheme="majorHAnsi" w:hAnsiTheme="majorHAnsi" w:cstheme="majorHAnsi"/>
              </w:rPr>
              <w:t>76</w:t>
            </w:r>
            <w:r>
              <w:rPr>
                <w:rFonts w:asciiTheme="majorHAnsi" w:hAnsiTheme="majorHAnsi" w:cstheme="majorHAnsi"/>
              </w:rPr>
              <w:t>7</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Pr>
                <w:rFonts w:asciiTheme="majorHAnsi" w:hAnsiTheme="majorHAnsi" w:cstheme="majorHAnsi"/>
              </w:rPr>
              <w:t>&lt;</w:t>
            </w:r>
            <w:r w:rsidRPr="00E74C0A">
              <w:rPr>
                <w:rFonts w:asciiTheme="majorHAnsi" w:hAnsiTheme="majorHAnsi" w:cstheme="majorHAnsi"/>
              </w:rPr>
              <w:t>0.00</w:t>
            </w:r>
            <w:r>
              <w:rPr>
                <w:rFonts w:asciiTheme="majorHAnsi" w:hAnsiTheme="majorHAnsi" w:cstheme="majorHAnsi"/>
              </w:rPr>
              <w:t>1</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Prior health status</w:t>
            </w:r>
            <w:r>
              <w:rPr>
                <w:rFonts w:asciiTheme="majorHAnsi" w:hAnsiTheme="majorHAnsi" w:cstheme="majorHAnsi"/>
              </w:rPr>
              <w:t xml:space="preserve"> </w:t>
            </w:r>
            <w:r w:rsidRPr="00E74C0A">
              <w:rPr>
                <w:rFonts w:asciiTheme="majorHAnsi" w:hAnsiTheme="majorHAnsi" w:cstheme="majorHAnsi"/>
              </w:rPr>
              <w:t>(0=not healthy; 1=healthy)</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-959</w:t>
            </w:r>
            <w:r>
              <w:rPr>
                <w:rFonts w:asciiTheme="majorHAnsi" w:hAnsiTheme="majorHAnsi" w:cstheme="majorHAnsi"/>
              </w:rPr>
              <w:t>3</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-15</w:t>
            </w:r>
            <w:r>
              <w:rPr>
                <w:rFonts w:asciiTheme="majorHAnsi" w:hAnsiTheme="majorHAnsi" w:cstheme="majorHAnsi"/>
              </w:rPr>
              <w:t>,</w:t>
            </w:r>
            <w:r w:rsidRPr="00E74C0A">
              <w:rPr>
                <w:rFonts w:asciiTheme="majorHAnsi" w:hAnsiTheme="majorHAnsi" w:cstheme="majorHAnsi"/>
              </w:rPr>
              <w:t>4</w:t>
            </w:r>
            <w:r>
              <w:rPr>
                <w:rFonts w:asciiTheme="majorHAnsi" w:hAnsiTheme="majorHAnsi" w:cstheme="majorHAnsi"/>
              </w:rPr>
              <w:t>40</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-3745</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0.001</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Reason for admission (endocrine/metabolic)</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-200</w:t>
            </w:r>
            <w:r>
              <w:rPr>
                <w:rFonts w:asciiTheme="majorHAnsi" w:hAnsiTheme="majorHAnsi" w:cstheme="majorHAnsi"/>
              </w:rPr>
              <w:t>5</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-11</w:t>
            </w:r>
            <w:r>
              <w:rPr>
                <w:rFonts w:asciiTheme="majorHAnsi" w:hAnsiTheme="majorHAnsi" w:cstheme="majorHAnsi"/>
              </w:rPr>
              <w:t>,</w:t>
            </w:r>
            <w:r w:rsidRPr="00E74C0A">
              <w:rPr>
                <w:rFonts w:asciiTheme="majorHAnsi" w:hAnsiTheme="majorHAnsi" w:cstheme="majorHAnsi"/>
              </w:rPr>
              <w:t>968</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7959</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0.693</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Reason for admission (infection)</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-22</w:t>
            </w:r>
            <w:r>
              <w:rPr>
                <w:rFonts w:asciiTheme="majorHAnsi" w:hAnsiTheme="majorHAnsi" w:cstheme="majorHAnsi"/>
              </w:rPr>
              <w:t>,</w:t>
            </w:r>
            <w:r w:rsidRPr="00E74C0A">
              <w:rPr>
                <w:rFonts w:asciiTheme="majorHAnsi" w:hAnsiTheme="majorHAnsi" w:cstheme="majorHAnsi"/>
              </w:rPr>
              <w:t>58</w:t>
            </w:r>
            <w:r>
              <w:rPr>
                <w:rFonts w:asciiTheme="majorHAnsi" w:hAnsiTheme="majorHAnsi" w:cstheme="majorHAnsi"/>
              </w:rPr>
              <w:t>5</w:t>
            </w:r>
          </w:p>
        </w:tc>
        <w:tc>
          <w:tcPr>
            <w:tcW w:w="1134" w:type="dxa"/>
            <w:tcBorders>
              <w:top w:val="nil"/>
              <w:bottom w:val="nil"/>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-32</w:t>
            </w:r>
            <w:r>
              <w:rPr>
                <w:rFonts w:asciiTheme="majorHAnsi" w:hAnsiTheme="majorHAnsi" w:cstheme="majorHAnsi"/>
              </w:rPr>
              <w:t>,</w:t>
            </w:r>
            <w:r w:rsidRPr="00E74C0A">
              <w:rPr>
                <w:rFonts w:asciiTheme="majorHAnsi" w:hAnsiTheme="majorHAnsi" w:cstheme="majorHAnsi"/>
              </w:rPr>
              <w:t>89</w:t>
            </w:r>
            <w:r>
              <w:rPr>
                <w:rFonts w:asciiTheme="majorHAnsi" w:hAnsiTheme="majorHAnsi" w:cstheme="majorHAnsi"/>
              </w:rPr>
              <w:t>6</w:t>
            </w:r>
          </w:p>
        </w:tc>
        <w:tc>
          <w:tcPr>
            <w:tcW w:w="1133" w:type="dxa"/>
            <w:tcBorders>
              <w:top w:val="nil"/>
              <w:bottom w:val="nil"/>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-12</w:t>
            </w:r>
            <w:r>
              <w:rPr>
                <w:rFonts w:asciiTheme="majorHAnsi" w:hAnsiTheme="majorHAnsi" w:cstheme="majorHAnsi"/>
              </w:rPr>
              <w:t>,</w:t>
            </w:r>
            <w:r w:rsidRPr="00E74C0A">
              <w:rPr>
                <w:rFonts w:asciiTheme="majorHAnsi" w:hAnsiTheme="majorHAnsi" w:cstheme="majorHAnsi"/>
              </w:rPr>
              <w:t>27</w:t>
            </w:r>
            <w:r>
              <w:rPr>
                <w:rFonts w:asciiTheme="majorHAnsi" w:hAnsiTheme="majorHAnsi" w:cstheme="majorHAnsi"/>
              </w:rPr>
              <w:t>4</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Pr>
                <w:rFonts w:asciiTheme="majorHAnsi" w:hAnsiTheme="majorHAnsi" w:cstheme="majorHAnsi"/>
              </w:rPr>
              <w:t>&lt;</w:t>
            </w:r>
            <w:r w:rsidRPr="00E74C0A">
              <w:rPr>
                <w:rFonts w:asciiTheme="majorHAnsi" w:hAnsiTheme="majorHAnsi" w:cstheme="majorHAnsi"/>
              </w:rPr>
              <w:t>0.00</w:t>
            </w:r>
            <w:r>
              <w:rPr>
                <w:rFonts w:asciiTheme="majorHAnsi" w:hAnsiTheme="majorHAnsi" w:cstheme="majorHAnsi"/>
              </w:rPr>
              <w:t>1</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Reason for admission (neurological)</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-21</w:t>
            </w:r>
            <w:r>
              <w:rPr>
                <w:rFonts w:asciiTheme="majorHAnsi" w:hAnsiTheme="majorHAnsi" w:cstheme="majorHAnsi"/>
              </w:rPr>
              <w:t>,</w:t>
            </w:r>
            <w:r w:rsidRPr="00E74C0A">
              <w:rPr>
                <w:rFonts w:asciiTheme="majorHAnsi" w:hAnsiTheme="majorHAnsi" w:cstheme="majorHAnsi"/>
              </w:rPr>
              <w:t>64</w:t>
            </w:r>
            <w:r>
              <w:rPr>
                <w:rFonts w:asciiTheme="majorHAnsi" w:hAnsiTheme="majorHAnsi" w:cstheme="majorHAnsi"/>
              </w:rPr>
              <w:t>8</w:t>
            </w:r>
          </w:p>
        </w:tc>
        <w:tc>
          <w:tcPr>
            <w:tcW w:w="1134" w:type="dxa"/>
            <w:tcBorders>
              <w:top w:val="nil"/>
              <w:bottom w:val="nil"/>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-32</w:t>
            </w:r>
            <w:r>
              <w:rPr>
                <w:rFonts w:asciiTheme="majorHAnsi" w:hAnsiTheme="majorHAnsi" w:cstheme="majorHAnsi"/>
              </w:rPr>
              <w:t>,</w:t>
            </w:r>
            <w:r w:rsidRPr="00E74C0A">
              <w:rPr>
                <w:rFonts w:asciiTheme="majorHAnsi" w:hAnsiTheme="majorHAnsi" w:cstheme="majorHAnsi"/>
              </w:rPr>
              <w:t>559</w:t>
            </w:r>
          </w:p>
        </w:tc>
        <w:tc>
          <w:tcPr>
            <w:tcW w:w="1133" w:type="dxa"/>
            <w:tcBorders>
              <w:top w:val="nil"/>
              <w:bottom w:val="nil"/>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-10</w:t>
            </w:r>
            <w:r>
              <w:rPr>
                <w:rFonts w:asciiTheme="majorHAnsi" w:hAnsiTheme="majorHAnsi" w:cstheme="majorHAnsi"/>
              </w:rPr>
              <w:t>,</w:t>
            </w:r>
            <w:r w:rsidRPr="00E74C0A">
              <w:rPr>
                <w:rFonts w:asciiTheme="majorHAnsi" w:hAnsiTheme="majorHAnsi" w:cstheme="majorHAnsi"/>
              </w:rPr>
              <w:t>73</w:t>
            </w:r>
            <w:r>
              <w:rPr>
                <w:rFonts w:asciiTheme="majorHAnsi" w:hAnsiTheme="majorHAnsi" w:cstheme="majorHAnsi"/>
              </w:rPr>
              <w:t>6</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Pr>
                <w:rFonts w:asciiTheme="majorHAnsi" w:hAnsiTheme="majorHAnsi" w:cstheme="majorHAnsi"/>
              </w:rPr>
              <w:t>&lt;</w:t>
            </w:r>
            <w:r w:rsidRPr="00E74C0A">
              <w:rPr>
                <w:rFonts w:asciiTheme="majorHAnsi" w:hAnsiTheme="majorHAnsi" w:cstheme="majorHAnsi"/>
              </w:rPr>
              <w:t>0.00</w:t>
            </w:r>
            <w:r>
              <w:rPr>
                <w:rFonts w:asciiTheme="majorHAnsi" w:hAnsiTheme="majorHAnsi" w:cstheme="majorHAnsi"/>
              </w:rPr>
              <w:t>1</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Reason for admission (oncology)</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2335</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-16</w:t>
            </w:r>
            <w:r>
              <w:rPr>
                <w:rFonts w:asciiTheme="majorHAnsi" w:hAnsiTheme="majorHAnsi" w:cstheme="majorHAnsi"/>
              </w:rPr>
              <w:t>,</w:t>
            </w:r>
            <w:r w:rsidRPr="00E74C0A">
              <w:rPr>
                <w:rFonts w:asciiTheme="majorHAnsi" w:hAnsiTheme="majorHAnsi" w:cstheme="majorHAnsi"/>
              </w:rPr>
              <w:t>34</w:t>
            </w:r>
            <w:r>
              <w:rPr>
                <w:rFonts w:asciiTheme="majorHAnsi" w:hAnsiTheme="majorHAnsi" w:cstheme="majorHAnsi"/>
              </w:rPr>
              <w:t>7</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21</w:t>
            </w:r>
            <w:r>
              <w:rPr>
                <w:rFonts w:asciiTheme="majorHAnsi" w:hAnsiTheme="majorHAnsi" w:cstheme="majorHAnsi"/>
              </w:rPr>
              <w:t>,</w:t>
            </w:r>
            <w:r w:rsidRPr="00E74C0A">
              <w:rPr>
                <w:rFonts w:asciiTheme="majorHAnsi" w:hAnsiTheme="majorHAnsi" w:cstheme="majorHAnsi"/>
              </w:rPr>
              <w:t>017</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0.806</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Reason for admission (other)</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-294</w:t>
            </w:r>
            <w:r>
              <w:rPr>
                <w:rFonts w:asciiTheme="majorHAnsi" w:hAnsiTheme="majorHAnsi" w:cstheme="majorHAnsi"/>
              </w:rPr>
              <w:t>8</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-13</w:t>
            </w:r>
            <w:r>
              <w:rPr>
                <w:rFonts w:asciiTheme="majorHAnsi" w:hAnsiTheme="majorHAnsi" w:cstheme="majorHAnsi"/>
              </w:rPr>
              <w:t>,</w:t>
            </w:r>
            <w:r w:rsidRPr="00E74C0A">
              <w:rPr>
                <w:rFonts w:asciiTheme="majorHAnsi" w:hAnsiTheme="majorHAnsi" w:cstheme="majorHAnsi"/>
              </w:rPr>
              <w:t>789</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789</w:t>
            </w:r>
            <w:r>
              <w:rPr>
                <w:rFonts w:asciiTheme="majorHAnsi" w:hAnsiTheme="majorHAnsi" w:cstheme="majorHAnsi"/>
              </w:rPr>
              <w:t>4</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0.594</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Reason for admission (respiratory)</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-81</w:t>
            </w:r>
            <w:r>
              <w:rPr>
                <w:rFonts w:asciiTheme="majorHAnsi" w:hAnsiTheme="majorHAnsi" w:cstheme="majorHAnsi"/>
              </w:rPr>
              <w:t>70</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-15</w:t>
            </w:r>
            <w:r>
              <w:rPr>
                <w:rFonts w:asciiTheme="majorHAnsi" w:hAnsiTheme="majorHAnsi" w:cstheme="majorHAnsi"/>
              </w:rPr>
              <w:t>,</w:t>
            </w:r>
            <w:r w:rsidRPr="00E74C0A">
              <w:rPr>
                <w:rFonts w:asciiTheme="majorHAnsi" w:hAnsiTheme="majorHAnsi" w:cstheme="majorHAnsi"/>
              </w:rPr>
              <w:t>48</w:t>
            </w:r>
            <w:r>
              <w:rPr>
                <w:rFonts w:asciiTheme="majorHAnsi" w:hAnsiTheme="majorHAnsi" w:cstheme="majorHAnsi"/>
              </w:rPr>
              <w:t>4</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-856</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0.029</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Reason for admission (trauma)</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-12</w:t>
            </w:r>
            <w:r>
              <w:rPr>
                <w:rFonts w:asciiTheme="majorHAnsi" w:hAnsiTheme="majorHAnsi" w:cstheme="majorHAnsi"/>
              </w:rPr>
              <w:t>,</w:t>
            </w:r>
            <w:r w:rsidRPr="00E74C0A">
              <w:rPr>
                <w:rFonts w:asciiTheme="majorHAnsi" w:hAnsiTheme="majorHAnsi" w:cstheme="majorHAnsi"/>
              </w:rPr>
              <w:t>41</w:t>
            </w:r>
            <w:r>
              <w:rPr>
                <w:rFonts w:asciiTheme="majorHAnsi" w:hAnsiTheme="majorHAnsi" w:cstheme="majorHAnsi"/>
              </w:rPr>
              <w:t>2</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-27</w:t>
            </w:r>
            <w:r>
              <w:rPr>
                <w:rFonts w:asciiTheme="majorHAnsi" w:hAnsiTheme="majorHAnsi" w:cstheme="majorHAnsi"/>
              </w:rPr>
              <w:t>,</w:t>
            </w:r>
            <w:r w:rsidRPr="00E74C0A">
              <w:rPr>
                <w:rFonts w:asciiTheme="majorHAnsi" w:hAnsiTheme="majorHAnsi" w:cstheme="majorHAnsi"/>
              </w:rPr>
              <w:t>01</w:t>
            </w:r>
            <w:r>
              <w:rPr>
                <w:rFonts w:asciiTheme="majorHAnsi" w:hAnsiTheme="majorHAnsi" w:cstheme="majorHAnsi"/>
              </w:rPr>
              <w:t>6</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219</w:t>
            </w:r>
            <w:r>
              <w:rPr>
                <w:rFonts w:asciiTheme="majorHAnsi" w:hAnsiTheme="majorHAnsi" w:cstheme="majorHAnsi"/>
              </w:rPr>
              <w:t>2</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0.096</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Compromised immunity (yes/no)</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7965</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-17</w:t>
            </w:r>
            <w:r>
              <w:rPr>
                <w:rFonts w:asciiTheme="majorHAnsi" w:hAnsiTheme="majorHAnsi" w:cstheme="majorHAnsi"/>
              </w:rPr>
              <w:t>70</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17</w:t>
            </w:r>
            <w:r>
              <w:rPr>
                <w:rFonts w:asciiTheme="majorHAnsi" w:hAnsiTheme="majorHAnsi" w:cstheme="majorHAnsi"/>
              </w:rPr>
              <w:t>,700</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0.109</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Natural logarithm of age (in days)</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-17</w:t>
            </w:r>
            <w:r>
              <w:rPr>
                <w:rFonts w:asciiTheme="majorHAnsi" w:hAnsiTheme="majorHAnsi" w:cstheme="majorHAnsi"/>
              </w:rPr>
              <w:t>8</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-124</w:t>
            </w:r>
            <w:r>
              <w:rPr>
                <w:rFonts w:asciiTheme="majorHAnsi" w:hAnsiTheme="majorHAnsi" w:cstheme="majorHAnsi"/>
              </w:rPr>
              <w:t>3</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885</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0.742</w:t>
            </w:r>
          </w:p>
        </w:tc>
      </w:tr>
      <w:tr w:rsidR="006A57B2" w:rsidRPr="00E74C0A" w:rsidTr="000A6618">
        <w:tc>
          <w:tcPr>
            <w:tcW w:w="4106" w:type="dxa"/>
            <w:tcBorders>
              <w:top w:val="nil"/>
              <w:bottom w:val="nil"/>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Bloodstream infection (0=no; 1=yes)</w:t>
            </w:r>
          </w:p>
        </w:tc>
        <w:tc>
          <w:tcPr>
            <w:tcW w:w="1418"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10</w:t>
            </w:r>
            <w:r>
              <w:rPr>
                <w:rFonts w:asciiTheme="majorHAnsi" w:hAnsiTheme="majorHAnsi" w:cstheme="majorHAnsi"/>
              </w:rPr>
              <w:t>,</w:t>
            </w:r>
            <w:r w:rsidRPr="00E74C0A">
              <w:rPr>
                <w:rFonts w:asciiTheme="majorHAnsi" w:hAnsiTheme="majorHAnsi" w:cstheme="majorHAnsi"/>
              </w:rPr>
              <w:t>975</w:t>
            </w:r>
          </w:p>
        </w:tc>
        <w:tc>
          <w:tcPr>
            <w:tcW w:w="1134"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-280</w:t>
            </w:r>
            <w:r>
              <w:rPr>
                <w:rFonts w:asciiTheme="majorHAnsi" w:hAnsiTheme="majorHAnsi" w:cstheme="majorHAnsi"/>
              </w:rPr>
              <w:t>1</w:t>
            </w:r>
          </w:p>
        </w:tc>
        <w:tc>
          <w:tcPr>
            <w:tcW w:w="1133"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rPr>
            </w:pPr>
            <w:r w:rsidRPr="00E74C0A">
              <w:rPr>
                <w:rFonts w:asciiTheme="majorHAnsi" w:hAnsiTheme="majorHAnsi" w:cstheme="majorHAnsi"/>
              </w:rPr>
              <w:t>24</w:t>
            </w:r>
            <w:r>
              <w:rPr>
                <w:rFonts w:asciiTheme="majorHAnsi" w:hAnsiTheme="majorHAnsi" w:cstheme="majorHAnsi"/>
              </w:rPr>
              <w:t>,</w:t>
            </w:r>
            <w:r w:rsidRPr="00E74C0A">
              <w:rPr>
                <w:rFonts w:asciiTheme="majorHAnsi" w:hAnsiTheme="majorHAnsi" w:cstheme="majorHAnsi"/>
              </w:rPr>
              <w:t>75</w:t>
            </w:r>
            <w:r>
              <w:rPr>
                <w:rFonts w:asciiTheme="majorHAnsi" w:hAnsiTheme="majorHAnsi" w:cstheme="majorHAnsi"/>
              </w:rPr>
              <w:t>1</w:t>
            </w:r>
          </w:p>
        </w:tc>
        <w:tc>
          <w:tcPr>
            <w:tcW w:w="1417" w:type="dxa"/>
            <w:tcBorders>
              <w:top w:val="nil"/>
              <w:bottom w:val="nil"/>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0.118</w:t>
            </w:r>
          </w:p>
        </w:tc>
      </w:tr>
      <w:tr w:rsidR="006A57B2" w:rsidRPr="00E74C0A" w:rsidTr="000A6618">
        <w:tc>
          <w:tcPr>
            <w:tcW w:w="4106" w:type="dxa"/>
            <w:tcBorders>
              <w:top w:val="nil"/>
              <w:bottom w:val="single" w:sz="4" w:space="0" w:color="auto"/>
            </w:tcBorders>
            <w:shd w:val="clear" w:color="auto" w:fill="FFFFFF" w:themeFill="background1"/>
          </w:tcPr>
          <w:p w:rsidR="006A57B2" w:rsidRPr="00E74C0A" w:rsidRDefault="006A57B2" w:rsidP="000A6618">
            <w:pPr>
              <w:rPr>
                <w:rFonts w:asciiTheme="majorHAnsi" w:hAnsiTheme="majorHAnsi" w:cstheme="majorHAnsi"/>
                <w:b/>
              </w:rPr>
            </w:pPr>
            <w:r w:rsidRPr="00E74C0A">
              <w:rPr>
                <w:rFonts w:asciiTheme="majorHAnsi" w:hAnsiTheme="majorHAnsi" w:cstheme="majorHAnsi"/>
              </w:rPr>
              <w:t>Constant</w:t>
            </w:r>
          </w:p>
        </w:tc>
        <w:tc>
          <w:tcPr>
            <w:tcW w:w="1418" w:type="dxa"/>
            <w:tcBorders>
              <w:top w:val="nil"/>
              <w:bottom w:val="single" w:sz="4" w:space="0" w:color="auto"/>
            </w:tcBorders>
            <w:shd w:val="clear" w:color="auto" w:fill="FFFFFF" w:themeFill="background1"/>
          </w:tcPr>
          <w:p w:rsidR="006A57B2" w:rsidRPr="00E74C0A" w:rsidRDefault="006A57B2" w:rsidP="000A6618">
            <w:pPr>
              <w:jc w:val="center"/>
              <w:rPr>
                <w:rFonts w:asciiTheme="majorHAnsi" w:hAnsiTheme="majorHAnsi" w:cstheme="majorHAnsi"/>
                <w:b/>
              </w:rPr>
            </w:pPr>
            <w:r w:rsidRPr="00E74C0A">
              <w:rPr>
                <w:rFonts w:asciiTheme="majorHAnsi" w:hAnsiTheme="majorHAnsi" w:cstheme="majorHAnsi"/>
              </w:rPr>
              <w:t>23</w:t>
            </w:r>
            <w:r>
              <w:rPr>
                <w:rFonts w:asciiTheme="majorHAnsi" w:hAnsiTheme="majorHAnsi" w:cstheme="majorHAnsi"/>
              </w:rPr>
              <w:t>,</w:t>
            </w:r>
            <w:r w:rsidRPr="00E74C0A">
              <w:rPr>
                <w:rFonts w:asciiTheme="majorHAnsi" w:hAnsiTheme="majorHAnsi" w:cstheme="majorHAnsi"/>
              </w:rPr>
              <w:t>064</w:t>
            </w:r>
          </w:p>
        </w:tc>
        <w:tc>
          <w:tcPr>
            <w:tcW w:w="1134" w:type="dxa"/>
            <w:tcBorders>
              <w:top w:val="nil"/>
              <w:bottom w:val="single" w:sz="4" w:space="0" w:color="auto"/>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12</w:t>
            </w:r>
            <w:r>
              <w:rPr>
                <w:rFonts w:asciiTheme="majorHAnsi" w:hAnsiTheme="majorHAnsi" w:cstheme="majorHAnsi"/>
              </w:rPr>
              <w:t>,</w:t>
            </w:r>
            <w:r w:rsidRPr="00E74C0A">
              <w:rPr>
                <w:rFonts w:asciiTheme="majorHAnsi" w:hAnsiTheme="majorHAnsi" w:cstheme="majorHAnsi"/>
              </w:rPr>
              <w:t>759</w:t>
            </w:r>
          </w:p>
        </w:tc>
        <w:tc>
          <w:tcPr>
            <w:tcW w:w="1133" w:type="dxa"/>
            <w:tcBorders>
              <w:top w:val="nil"/>
              <w:bottom w:val="single" w:sz="4" w:space="0" w:color="auto"/>
            </w:tcBorders>
            <w:shd w:val="clear" w:color="auto" w:fill="FFFFFF" w:themeFill="background1"/>
          </w:tcPr>
          <w:p w:rsidR="006A57B2" w:rsidRDefault="006A57B2" w:rsidP="000A6618">
            <w:pPr>
              <w:jc w:val="center"/>
              <w:rPr>
                <w:rFonts w:asciiTheme="majorHAnsi" w:hAnsiTheme="majorHAnsi" w:cstheme="majorHAnsi"/>
              </w:rPr>
            </w:pPr>
            <w:r w:rsidRPr="00E74C0A">
              <w:rPr>
                <w:rFonts w:asciiTheme="majorHAnsi" w:hAnsiTheme="majorHAnsi" w:cstheme="majorHAnsi"/>
              </w:rPr>
              <w:t>33</w:t>
            </w:r>
            <w:r>
              <w:rPr>
                <w:rFonts w:asciiTheme="majorHAnsi" w:hAnsiTheme="majorHAnsi" w:cstheme="majorHAnsi"/>
              </w:rPr>
              <w:t>,</w:t>
            </w:r>
            <w:r w:rsidRPr="00E74C0A">
              <w:rPr>
                <w:rFonts w:asciiTheme="majorHAnsi" w:hAnsiTheme="majorHAnsi" w:cstheme="majorHAnsi"/>
              </w:rPr>
              <w:t>369</w:t>
            </w:r>
          </w:p>
        </w:tc>
        <w:tc>
          <w:tcPr>
            <w:tcW w:w="1417" w:type="dxa"/>
            <w:tcBorders>
              <w:top w:val="nil"/>
              <w:bottom w:val="single" w:sz="4" w:space="0" w:color="auto"/>
            </w:tcBorders>
            <w:shd w:val="clear" w:color="auto" w:fill="FFFFFF" w:themeFill="background1"/>
          </w:tcPr>
          <w:p w:rsidR="006A57B2" w:rsidRPr="00E74C0A" w:rsidRDefault="006A57B2" w:rsidP="000A6618">
            <w:pPr>
              <w:jc w:val="center"/>
              <w:rPr>
                <w:rFonts w:asciiTheme="majorHAnsi" w:hAnsiTheme="majorHAnsi" w:cstheme="majorHAnsi"/>
                <w:b/>
              </w:rPr>
            </w:pPr>
            <w:r>
              <w:rPr>
                <w:rFonts w:asciiTheme="majorHAnsi" w:hAnsiTheme="majorHAnsi" w:cstheme="majorHAnsi"/>
              </w:rPr>
              <w:t>&lt;</w:t>
            </w:r>
            <w:r w:rsidRPr="00E74C0A">
              <w:rPr>
                <w:rFonts w:asciiTheme="majorHAnsi" w:hAnsiTheme="majorHAnsi" w:cstheme="majorHAnsi"/>
              </w:rPr>
              <w:t>0.00</w:t>
            </w:r>
            <w:r>
              <w:rPr>
                <w:rFonts w:asciiTheme="majorHAnsi" w:hAnsiTheme="majorHAnsi" w:cstheme="majorHAnsi"/>
              </w:rPr>
              <w:t>1</w:t>
            </w:r>
          </w:p>
        </w:tc>
      </w:tr>
    </w:tbl>
    <w:p w:rsidR="006A57B2" w:rsidRPr="005B6ACD" w:rsidRDefault="006A57B2" w:rsidP="00B22173">
      <w:pPr>
        <w:rPr>
          <w:rFonts w:ascii="Calibri" w:eastAsia="Times New Roman" w:hAnsi="Calibri" w:cs="Times New Roman"/>
          <w:color w:val="000000"/>
          <w:lang w:eastAsia="en-GB"/>
        </w:rPr>
      </w:pPr>
      <w:r w:rsidRPr="00CB642F">
        <w:rPr>
          <w:rFonts w:ascii="Calibri" w:eastAsia="Times New Roman" w:hAnsi="Calibri" w:cs="Times New Roman"/>
          <w:color w:val="000000"/>
          <w:lang w:eastAsia="en-GB"/>
        </w:rPr>
        <w:t>R</w:t>
      </w:r>
      <w:r w:rsidRPr="0020245E">
        <w:rPr>
          <w:rFonts w:ascii="Calibri" w:eastAsia="Times New Roman" w:hAnsi="Calibri" w:cs="Times New Roman"/>
          <w:color w:val="000000"/>
          <w:vertAlign w:val="superscript"/>
          <w:lang w:eastAsia="en-GB"/>
        </w:rPr>
        <w:t>2</w:t>
      </w:r>
      <w:r w:rsidRPr="00CB642F">
        <w:rPr>
          <w:rFonts w:ascii="Calibri" w:eastAsia="Times New Roman" w:hAnsi="Calibri" w:cs="Times New Roman"/>
          <w:color w:val="000000"/>
          <w:lang w:eastAsia="en-GB"/>
        </w:rPr>
        <w:t xml:space="preserve"> = 0.092</w:t>
      </w:r>
    </w:p>
    <w:p w:rsidR="006A57B2" w:rsidRPr="005B6ACD" w:rsidRDefault="006A57B2" w:rsidP="00B22173">
      <w:pPr>
        <w:rPr>
          <w:rFonts w:ascii="Calibri" w:eastAsia="Times New Roman" w:hAnsi="Calibri" w:cs="Times New Roman"/>
          <w:color w:val="000000"/>
          <w:lang w:eastAsia="en-GB"/>
        </w:rPr>
      </w:pPr>
      <w:r w:rsidRPr="005B6ACD">
        <w:rPr>
          <w:rFonts w:ascii="Calibri" w:eastAsia="Times New Roman" w:hAnsi="Calibri" w:cs="Times New Roman"/>
          <w:color w:val="000000"/>
          <w:lang w:eastAsia="en-GB"/>
        </w:rPr>
        <w:br w:type="page"/>
      </w:r>
    </w:p>
    <w:p w:rsidR="006A57B2" w:rsidRPr="00BE078C" w:rsidRDefault="006A57B2" w:rsidP="00E7253D">
      <w:pPr>
        <w:pStyle w:val="Caption"/>
        <w:rPr>
          <w:rFonts w:asciiTheme="majorHAnsi" w:eastAsia="Times New Roman" w:hAnsiTheme="majorHAnsi" w:cs="Times New Roman"/>
          <w:color w:val="2E74B5" w:themeColor="accent1" w:themeShade="BF"/>
          <w:sz w:val="22"/>
          <w:szCs w:val="22"/>
          <w:lang w:eastAsia="en-GB"/>
        </w:rPr>
      </w:pPr>
      <w:bookmarkStart w:id="101" w:name="_Toc428178973"/>
      <w:r w:rsidRPr="00BE078C">
        <w:rPr>
          <w:sz w:val="22"/>
          <w:szCs w:val="22"/>
        </w:rPr>
        <w:t xml:space="preserve">Table </w:t>
      </w:r>
      <w:r>
        <w:rPr>
          <w:noProof/>
          <w:sz w:val="22"/>
          <w:szCs w:val="22"/>
        </w:rPr>
        <w:t>18</w:t>
      </w:r>
      <w:r w:rsidRPr="00BE078C">
        <w:rPr>
          <w:sz w:val="22"/>
          <w:szCs w:val="22"/>
        </w:rPr>
        <w:t>: Incremental Analysis</w:t>
      </w:r>
      <w:r>
        <w:rPr>
          <w:sz w:val="22"/>
          <w:szCs w:val="22"/>
        </w:rPr>
        <w:t xml:space="preserve"> of unadjusted costs </w:t>
      </w:r>
      <w:bookmarkEnd w:id="101"/>
      <w:r>
        <w:rPr>
          <w:sz w:val="22"/>
          <w:szCs w:val="22"/>
        </w:rPr>
        <w:t>(mean values with 95% central range)</w:t>
      </w:r>
    </w:p>
    <w:tbl>
      <w:tblPr>
        <w:tblStyle w:val="TableGrid3"/>
        <w:tblW w:w="9021" w:type="dxa"/>
        <w:tblLayout w:type="fixed"/>
        <w:tblLook w:val="04A0" w:firstRow="1" w:lastRow="0" w:firstColumn="1" w:lastColumn="0" w:noHBand="0" w:noVBand="1"/>
      </w:tblPr>
      <w:tblGrid>
        <w:gridCol w:w="3402"/>
        <w:gridCol w:w="1985"/>
        <w:gridCol w:w="1843"/>
        <w:gridCol w:w="1791"/>
      </w:tblGrid>
      <w:tr w:rsidR="006A57B2" w:rsidRPr="00A305AC" w:rsidTr="009F7A8B">
        <w:tc>
          <w:tcPr>
            <w:tcW w:w="3402" w:type="dxa"/>
            <w:tcBorders>
              <w:top w:val="nil"/>
              <w:left w:val="nil"/>
              <w:bottom w:val="single" w:sz="4" w:space="0" w:color="auto"/>
            </w:tcBorders>
          </w:tcPr>
          <w:p w:rsidR="006A57B2" w:rsidRPr="00A305AC" w:rsidRDefault="006A57B2" w:rsidP="00B22173">
            <w:pPr>
              <w:rPr>
                <w:rFonts w:ascii="Calibri" w:eastAsia="Times New Roman" w:hAnsi="Calibri" w:cs="Times New Roman"/>
                <w:b/>
                <w:color w:val="000000"/>
                <w:sz w:val="20"/>
                <w:szCs w:val="20"/>
                <w:lang w:eastAsia="en-GB"/>
              </w:rPr>
            </w:pPr>
          </w:p>
        </w:tc>
        <w:tc>
          <w:tcPr>
            <w:tcW w:w="1985" w:type="dxa"/>
            <w:tcBorders>
              <w:bottom w:val="single" w:sz="4" w:space="0" w:color="auto"/>
            </w:tcBorders>
            <w:shd w:val="clear" w:color="auto" w:fill="9CC2E5" w:themeFill="accent1" w:themeFillTint="99"/>
            <w:vAlign w:val="center"/>
          </w:tcPr>
          <w:p w:rsidR="006A57B2" w:rsidRPr="00A305AC" w:rsidRDefault="006A57B2" w:rsidP="009F7A8B">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Antibiotic</w:t>
            </w:r>
          </w:p>
        </w:tc>
        <w:tc>
          <w:tcPr>
            <w:tcW w:w="1843" w:type="dxa"/>
            <w:tcBorders>
              <w:bottom w:val="single" w:sz="4" w:space="0" w:color="auto"/>
            </w:tcBorders>
            <w:shd w:val="clear" w:color="auto" w:fill="9CC2E5" w:themeFill="accent1" w:themeFillTint="99"/>
            <w:vAlign w:val="center"/>
          </w:tcPr>
          <w:p w:rsidR="006A57B2" w:rsidRPr="00A305AC" w:rsidRDefault="006A57B2" w:rsidP="009F7A8B">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Heparin</w:t>
            </w:r>
          </w:p>
        </w:tc>
        <w:tc>
          <w:tcPr>
            <w:tcW w:w="1791" w:type="dxa"/>
            <w:tcBorders>
              <w:bottom w:val="single" w:sz="4" w:space="0" w:color="auto"/>
            </w:tcBorders>
            <w:shd w:val="clear" w:color="auto" w:fill="9CC2E5" w:themeFill="accent1" w:themeFillTint="99"/>
            <w:vAlign w:val="center"/>
          </w:tcPr>
          <w:p w:rsidR="006A57B2" w:rsidRPr="00A305AC" w:rsidRDefault="006A57B2" w:rsidP="009F7A8B">
            <w:pPr>
              <w:spacing w:after="0" w:line="240" w:lineRule="auto"/>
              <w:jc w:val="center"/>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Standard</w:t>
            </w:r>
          </w:p>
        </w:tc>
      </w:tr>
      <w:tr w:rsidR="006A57B2" w:rsidRPr="00A305AC" w:rsidTr="009F7A8B">
        <w:trPr>
          <w:trHeight w:val="624"/>
        </w:trPr>
        <w:tc>
          <w:tcPr>
            <w:tcW w:w="3402" w:type="dxa"/>
            <w:tcBorders>
              <w:bottom w:val="nil"/>
              <w:right w:val="single" w:sz="4" w:space="0" w:color="auto"/>
            </w:tcBorders>
            <w:vAlign w:val="center"/>
          </w:tcPr>
          <w:p w:rsidR="006A57B2" w:rsidRDefault="006A57B2" w:rsidP="009F7A8B">
            <w:pPr>
              <w:spacing w:after="0" w:line="240" w:lineRule="auto"/>
              <w:rPr>
                <w:rFonts w:ascii="Calibri" w:eastAsia="Times New Roman" w:hAnsi="Calibri" w:cs="Times New Roman"/>
                <w:b/>
                <w:color w:val="000000"/>
                <w:sz w:val="20"/>
                <w:szCs w:val="20"/>
                <w:lang w:eastAsia="en-GB"/>
              </w:rPr>
            </w:pPr>
            <w:r w:rsidRPr="00BB6D52">
              <w:rPr>
                <w:rFonts w:ascii="Calibri" w:eastAsia="Times New Roman" w:hAnsi="Calibri" w:cs="Times New Roman"/>
                <w:b/>
                <w:color w:val="000000"/>
                <w:sz w:val="20"/>
                <w:szCs w:val="20"/>
                <w:lang w:eastAsia="en-GB"/>
              </w:rPr>
              <w:t>Base-case analysis</w:t>
            </w:r>
            <w:r>
              <w:rPr>
                <w:rFonts w:ascii="Calibri" w:eastAsia="Times New Roman" w:hAnsi="Calibri" w:cs="Times New Roman"/>
                <w:b/>
                <w:color w:val="000000"/>
                <w:sz w:val="20"/>
                <w:szCs w:val="20"/>
                <w:lang w:eastAsia="en-GB"/>
              </w:rPr>
              <w:t xml:space="preserve"> </w:t>
            </w:r>
          </w:p>
          <w:p w:rsidR="006A57B2" w:rsidRPr="00BB6D52" w:rsidRDefault="006A57B2" w:rsidP="009F7A8B">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(6-month time horizon)</w:t>
            </w:r>
          </w:p>
        </w:tc>
        <w:tc>
          <w:tcPr>
            <w:tcW w:w="1985" w:type="dxa"/>
            <w:tcBorders>
              <w:left w:val="single" w:sz="4" w:space="0" w:color="auto"/>
              <w:bottom w:val="nil"/>
              <w:right w:val="single" w:sz="4" w:space="0" w:color="auto"/>
            </w:tcBorders>
          </w:tcPr>
          <w:p w:rsidR="006A57B2" w:rsidRPr="00A305AC" w:rsidRDefault="006A57B2" w:rsidP="0020245E">
            <w:pPr>
              <w:spacing w:after="0"/>
              <w:jc w:val="center"/>
              <w:rPr>
                <w:rFonts w:ascii="Calibri" w:eastAsia="Times New Roman" w:hAnsi="Calibri" w:cs="Times New Roman"/>
                <w:color w:val="000000"/>
                <w:sz w:val="20"/>
                <w:szCs w:val="20"/>
                <w:lang w:eastAsia="en-GB"/>
              </w:rPr>
            </w:pPr>
          </w:p>
        </w:tc>
        <w:tc>
          <w:tcPr>
            <w:tcW w:w="1843" w:type="dxa"/>
            <w:tcBorders>
              <w:left w:val="single" w:sz="4" w:space="0" w:color="auto"/>
              <w:bottom w:val="nil"/>
              <w:right w:val="single" w:sz="4" w:space="0" w:color="auto"/>
            </w:tcBorders>
          </w:tcPr>
          <w:p w:rsidR="006A57B2" w:rsidRPr="00A305AC" w:rsidRDefault="006A57B2" w:rsidP="0020245E">
            <w:pPr>
              <w:spacing w:after="0"/>
              <w:jc w:val="center"/>
              <w:rPr>
                <w:rFonts w:ascii="Calibri" w:eastAsia="Times New Roman" w:hAnsi="Calibri" w:cs="Times New Roman"/>
                <w:color w:val="000000"/>
                <w:sz w:val="20"/>
                <w:szCs w:val="20"/>
                <w:lang w:eastAsia="en-GB"/>
              </w:rPr>
            </w:pPr>
          </w:p>
        </w:tc>
        <w:tc>
          <w:tcPr>
            <w:tcW w:w="1791" w:type="dxa"/>
            <w:tcBorders>
              <w:left w:val="single" w:sz="4" w:space="0" w:color="auto"/>
              <w:bottom w:val="nil"/>
            </w:tcBorders>
          </w:tcPr>
          <w:p w:rsidR="006A57B2" w:rsidRPr="00A305AC" w:rsidRDefault="006A57B2" w:rsidP="0020245E">
            <w:pPr>
              <w:spacing w:after="0"/>
              <w:jc w:val="center"/>
              <w:rPr>
                <w:rFonts w:ascii="Calibri" w:eastAsia="Times New Roman" w:hAnsi="Calibri" w:cs="Times New Roman"/>
                <w:color w:val="000000"/>
                <w:sz w:val="20"/>
                <w:szCs w:val="20"/>
                <w:lang w:eastAsia="en-GB"/>
              </w:rPr>
            </w:pP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Total costs</w:t>
            </w:r>
            <w:r>
              <w:rPr>
                <w:rFonts w:ascii="Calibri" w:eastAsia="Times New Roman" w:hAnsi="Calibri" w:cs="Times New Roman"/>
                <w:color w:val="000000"/>
                <w:sz w:val="20"/>
                <w:szCs w:val="20"/>
                <w:lang w:eastAsia="en-GB"/>
              </w:rPr>
              <w:t xml:space="preserve"> </w:t>
            </w:r>
          </w:p>
        </w:tc>
        <w:tc>
          <w:tcPr>
            <w:tcW w:w="1985"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£45,66</w:t>
            </w:r>
            <w:r>
              <w:rPr>
                <w:rFonts w:ascii="Calibri" w:eastAsia="Times New Roman" w:hAnsi="Calibri" w:cs="Times New Roman"/>
                <w:color w:val="000000"/>
                <w:sz w:val="20"/>
                <w:szCs w:val="20"/>
                <w:lang w:eastAsia="en-GB"/>
              </w:rPr>
              <w:t>3</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Pr="002650A7">
              <w:rPr>
                <w:rFonts w:ascii="Calibri" w:eastAsia="Times New Roman" w:hAnsi="Calibri" w:cs="Times New Roman"/>
                <w:color w:val="000000"/>
                <w:sz w:val="20"/>
                <w:szCs w:val="20"/>
                <w:lang w:eastAsia="en-GB"/>
              </w:rPr>
              <w:t>£41,</w:t>
            </w:r>
            <w:r>
              <w:rPr>
                <w:rFonts w:ascii="Calibri" w:eastAsia="Times New Roman" w:hAnsi="Calibri" w:cs="Times New Roman"/>
                <w:color w:val="000000"/>
                <w:sz w:val="20"/>
                <w:szCs w:val="20"/>
                <w:lang w:eastAsia="en-GB"/>
              </w:rPr>
              <w:t>647</w:t>
            </w:r>
            <w:r w:rsidRPr="002650A7">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50,009)</w:t>
            </w:r>
          </w:p>
        </w:tc>
        <w:tc>
          <w:tcPr>
            <w:tcW w:w="1843"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£42,064</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Pr="002650A7">
              <w:rPr>
                <w:rFonts w:ascii="Calibri" w:eastAsia="Times New Roman" w:hAnsi="Calibri" w:cs="Times New Roman"/>
                <w:color w:val="000000"/>
                <w:sz w:val="20"/>
                <w:szCs w:val="20"/>
                <w:lang w:eastAsia="en-GB"/>
              </w:rPr>
              <w:t>£38,</w:t>
            </w:r>
            <w:r>
              <w:rPr>
                <w:rFonts w:ascii="Calibri" w:eastAsia="Times New Roman" w:hAnsi="Calibri" w:cs="Times New Roman"/>
                <w:color w:val="000000"/>
                <w:sz w:val="20"/>
                <w:szCs w:val="20"/>
                <w:lang w:eastAsia="en-GB"/>
              </w:rPr>
              <w:t>322</w:t>
            </w:r>
            <w:r w:rsidRPr="002650A7">
              <w:rPr>
                <w:rFonts w:ascii="Calibri" w:eastAsia="Times New Roman" w:hAnsi="Calibri" w:cs="Times New Roman"/>
                <w:color w:val="000000"/>
                <w:sz w:val="20"/>
                <w:szCs w:val="20"/>
                <w:lang w:eastAsia="en-GB"/>
              </w:rPr>
              <w:t>, £4</w:t>
            </w:r>
            <w:r>
              <w:rPr>
                <w:rFonts w:ascii="Calibri" w:eastAsia="Times New Roman" w:hAnsi="Calibri" w:cs="Times New Roman"/>
                <w:color w:val="000000"/>
                <w:sz w:val="20"/>
                <w:szCs w:val="20"/>
                <w:lang w:eastAsia="en-GB"/>
              </w:rPr>
              <w:t>6,110)</w:t>
            </w:r>
          </w:p>
        </w:tc>
        <w:tc>
          <w:tcPr>
            <w:tcW w:w="1791" w:type="dxa"/>
            <w:tcBorders>
              <w:top w:val="nil"/>
              <w:left w:val="single" w:sz="4" w:space="0" w:color="auto"/>
              <w:bottom w:val="nil"/>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£44,503</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Pr="002650A7">
              <w:rPr>
                <w:rFonts w:ascii="Calibri" w:eastAsia="Times New Roman" w:hAnsi="Calibri" w:cs="Times New Roman"/>
                <w:color w:val="000000"/>
                <w:sz w:val="20"/>
                <w:szCs w:val="20"/>
                <w:lang w:eastAsia="en-GB"/>
              </w:rPr>
              <w:t>£40,</w:t>
            </w:r>
            <w:r>
              <w:rPr>
                <w:rFonts w:ascii="Calibri" w:eastAsia="Times New Roman" w:hAnsi="Calibri" w:cs="Times New Roman"/>
                <w:color w:val="000000"/>
                <w:sz w:val="20"/>
                <w:szCs w:val="20"/>
                <w:lang w:eastAsia="en-GB"/>
              </w:rPr>
              <w:t>619</w:t>
            </w:r>
            <w:r w:rsidRPr="002650A7">
              <w:rPr>
                <w:rFonts w:ascii="Calibri" w:eastAsia="Times New Roman" w:hAnsi="Calibri" w:cs="Times New Roman"/>
                <w:color w:val="000000"/>
                <w:sz w:val="20"/>
                <w:szCs w:val="20"/>
                <w:lang w:eastAsia="en-GB"/>
              </w:rPr>
              <w:t>, £48,6</w:t>
            </w:r>
            <w:r>
              <w:rPr>
                <w:rFonts w:ascii="Calibri" w:eastAsia="Times New Roman" w:hAnsi="Calibri" w:cs="Times New Roman"/>
                <w:color w:val="000000"/>
                <w:sz w:val="20"/>
                <w:szCs w:val="20"/>
                <w:lang w:eastAsia="en-GB"/>
              </w:rPr>
              <w:t>66)</w:t>
            </w: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Incremental cost (v</w:t>
            </w:r>
            <w:r>
              <w:rPr>
                <w:rFonts w:ascii="Calibri" w:eastAsia="Times New Roman" w:hAnsi="Calibri" w:cs="Times New Roman"/>
                <w:color w:val="000000"/>
                <w:sz w:val="20"/>
                <w:szCs w:val="20"/>
                <w:lang w:eastAsia="en-GB"/>
              </w:rPr>
              <w:t>ersu</w:t>
            </w:r>
            <w:r w:rsidRPr="00A305AC">
              <w:rPr>
                <w:rFonts w:ascii="Calibri" w:eastAsia="Times New Roman" w:hAnsi="Calibri" w:cs="Times New Roman"/>
                <w:color w:val="000000"/>
                <w:sz w:val="20"/>
                <w:szCs w:val="20"/>
                <w:lang w:eastAsia="en-GB"/>
              </w:rPr>
              <w:t>s standard)</w:t>
            </w:r>
          </w:p>
        </w:tc>
        <w:tc>
          <w:tcPr>
            <w:tcW w:w="1985"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£1,1</w:t>
            </w:r>
            <w:r>
              <w:rPr>
                <w:rFonts w:ascii="Calibri" w:eastAsia="Times New Roman" w:hAnsi="Calibri" w:cs="Times New Roman"/>
                <w:color w:val="000000"/>
                <w:sz w:val="20"/>
                <w:szCs w:val="20"/>
                <w:lang w:eastAsia="en-GB"/>
              </w:rPr>
              <w:t>60</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Pr="002650A7">
              <w:rPr>
                <w:rFonts w:ascii="Calibri" w:eastAsia="Times New Roman" w:hAnsi="Calibri" w:cs="Times New Roman"/>
                <w:color w:val="000000"/>
                <w:sz w:val="20"/>
                <w:szCs w:val="20"/>
                <w:lang w:eastAsia="en-GB"/>
              </w:rPr>
              <w:t>-£4,7</w:t>
            </w:r>
            <w:r>
              <w:rPr>
                <w:rFonts w:ascii="Calibri" w:eastAsia="Times New Roman" w:hAnsi="Calibri" w:cs="Times New Roman"/>
                <w:color w:val="000000"/>
                <w:sz w:val="20"/>
                <w:szCs w:val="20"/>
                <w:lang w:eastAsia="en-GB"/>
              </w:rPr>
              <w:t>43, £6</w:t>
            </w:r>
            <w:r w:rsidRPr="002650A7">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lang w:eastAsia="en-GB"/>
              </w:rPr>
              <w:t>692)</w:t>
            </w:r>
          </w:p>
        </w:tc>
        <w:tc>
          <w:tcPr>
            <w:tcW w:w="1843"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-£2,438</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r w:rsidRPr="002650A7">
              <w:rPr>
                <w:rFonts w:ascii="Calibri" w:eastAsia="Times New Roman" w:hAnsi="Calibri" w:cs="Times New Roman"/>
                <w:color w:val="000000"/>
                <w:sz w:val="20"/>
                <w:szCs w:val="20"/>
                <w:lang w:eastAsia="en-GB"/>
              </w:rPr>
              <w:t>-£8,1</w:t>
            </w:r>
            <w:r>
              <w:rPr>
                <w:rFonts w:ascii="Calibri" w:eastAsia="Times New Roman" w:hAnsi="Calibri" w:cs="Times New Roman"/>
                <w:color w:val="000000"/>
                <w:sz w:val="20"/>
                <w:szCs w:val="20"/>
                <w:lang w:eastAsia="en-GB"/>
              </w:rPr>
              <w:t>64</w:t>
            </w:r>
            <w:r w:rsidRPr="002650A7">
              <w:rPr>
                <w:rFonts w:ascii="Calibri" w:eastAsia="Times New Roman" w:hAnsi="Calibri" w:cs="Times New Roman"/>
                <w:color w:val="000000"/>
                <w:sz w:val="20"/>
                <w:szCs w:val="20"/>
                <w:lang w:eastAsia="en-GB"/>
              </w:rPr>
              <w:t>, £3,</w:t>
            </w:r>
            <w:r>
              <w:rPr>
                <w:rFonts w:ascii="Calibri" w:eastAsia="Times New Roman" w:hAnsi="Calibri" w:cs="Times New Roman"/>
                <w:color w:val="000000"/>
                <w:sz w:val="20"/>
                <w:szCs w:val="20"/>
                <w:lang w:eastAsia="en-GB"/>
              </w:rPr>
              <w:t>359)</w:t>
            </w:r>
          </w:p>
        </w:tc>
        <w:tc>
          <w:tcPr>
            <w:tcW w:w="1791" w:type="dxa"/>
            <w:tcBorders>
              <w:top w:val="nil"/>
              <w:left w:val="single" w:sz="4" w:space="0" w:color="auto"/>
              <w:bottom w:val="nil"/>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w:t>
            </w: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BSI</w:t>
            </w:r>
          </w:p>
        </w:tc>
        <w:tc>
          <w:tcPr>
            <w:tcW w:w="1985"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1.44%</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(0.4, 2.5)</w:t>
            </w:r>
          </w:p>
        </w:tc>
        <w:tc>
          <w:tcPr>
            <w:tcW w:w="1843"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3.42%</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(1.8, 5.0)</w:t>
            </w:r>
          </w:p>
        </w:tc>
        <w:tc>
          <w:tcPr>
            <w:tcW w:w="1791" w:type="dxa"/>
            <w:tcBorders>
              <w:top w:val="nil"/>
              <w:left w:val="single" w:sz="4" w:space="0" w:color="auto"/>
              <w:bottom w:val="nil"/>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3.59%</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(2.0, 5.2)</w:t>
            </w: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Incremental BSI (v</w:t>
            </w:r>
            <w:r>
              <w:rPr>
                <w:rFonts w:ascii="Calibri" w:eastAsia="Times New Roman" w:hAnsi="Calibri" w:cs="Times New Roman"/>
                <w:color w:val="000000"/>
                <w:sz w:val="20"/>
                <w:szCs w:val="20"/>
                <w:lang w:eastAsia="en-GB"/>
              </w:rPr>
              <w:t>ersu</w:t>
            </w:r>
            <w:r w:rsidRPr="00A305AC">
              <w:rPr>
                <w:rFonts w:ascii="Calibri" w:eastAsia="Times New Roman" w:hAnsi="Calibri" w:cs="Times New Roman"/>
                <w:color w:val="000000"/>
                <w:sz w:val="20"/>
                <w:szCs w:val="20"/>
                <w:lang w:eastAsia="en-GB"/>
              </w:rPr>
              <w:t>s standard)</w:t>
            </w:r>
            <w:r>
              <w:rPr>
                <w:rFonts w:ascii="Calibri" w:eastAsia="Times New Roman" w:hAnsi="Calibri" w:cs="Times New Roman"/>
                <w:color w:val="000000"/>
                <w:sz w:val="20"/>
                <w:szCs w:val="20"/>
                <w:lang w:eastAsia="en-GB"/>
              </w:rPr>
              <w:t xml:space="preserve"> </w:t>
            </w:r>
          </w:p>
        </w:tc>
        <w:tc>
          <w:tcPr>
            <w:tcW w:w="1985"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-2.15%</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(-4.1, -0.2)</w:t>
            </w:r>
          </w:p>
        </w:tc>
        <w:tc>
          <w:tcPr>
            <w:tcW w:w="1843"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-0.17%</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(-2.5, 2.1)</w:t>
            </w:r>
          </w:p>
        </w:tc>
        <w:tc>
          <w:tcPr>
            <w:tcW w:w="1791" w:type="dxa"/>
            <w:tcBorders>
              <w:top w:val="nil"/>
              <w:left w:val="single" w:sz="4" w:space="0" w:color="auto"/>
              <w:bottom w:val="nil"/>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w:t>
            </w:r>
          </w:p>
        </w:tc>
      </w:tr>
      <w:tr w:rsidR="006A57B2" w:rsidRPr="00A305AC" w:rsidTr="009F7A8B">
        <w:trPr>
          <w:trHeight w:val="624"/>
        </w:trPr>
        <w:tc>
          <w:tcPr>
            <w:tcW w:w="3402" w:type="dxa"/>
            <w:tcBorders>
              <w:top w:val="nil"/>
              <w:bottom w:val="single" w:sz="4" w:space="0" w:color="auto"/>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ICER (v</w:t>
            </w:r>
            <w:r>
              <w:rPr>
                <w:rFonts w:ascii="Calibri" w:eastAsia="Times New Roman" w:hAnsi="Calibri" w:cs="Times New Roman"/>
                <w:color w:val="000000"/>
                <w:sz w:val="20"/>
                <w:szCs w:val="20"/>
                <w:lang w:eastAsia="en-GB"/>
              </w:rPr>
              <w:t>ersu</w:t>
            </w:r>
            <w:r w:rsidRPr="00A305AC">
              <w:rPr>
                <w:rFonts w:ascii="Calibri" w:eastAsia="Times New Roman" w:hAnsi="Calibri" w:cs="Times New Roman"/>
                <w:color w:val="000000"/>
                <w:sz w:val="20"/>
                <w:szCs w:val="20"/>
                <w:lang w:eastAsia="en-GB"/>
              </w:rPr>
              <w:t>s standard)</w:t>
            </w:r>
            <w:r>
              <w:rPr>
                <w:rFonts w:ascii="Calibri" w:eastAsia="Times New Roman" w:hAnsi="Calibri" w:cs="Times New Roman"/>
                <w:color w:val="000000"/>
                <w:sz w:val="20"/>
                <w:szCs w:val="20"/>
                <w:lang w:eastAsia="en-GB"/>
              </w:rPr>
              <w:t xml:space="preserve"> </w:t>
            </w:r>
          </w:p>
        </w:tc>
        <w:tc>
          <w:tcPr>
            <w:tcW w:w="1985" w:type="dxa"/>
            <w:tcBorders>
              <w:top w:val="nil"/>
              <w:left w:val="single" w:sz="4" w:space="0" w:color="auto"/>
              <w:bottom w:val="single" w:sz="4" w:space="0" w:color="auto"/>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 xml:space="preserve">£54,057 </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per BSI averted</w:t>
            </w:r>
          </w:p>
        </w:tc>
        <w:tc>
          <w:tcPr>
            <w:tcW w:w="1843" w:type="dxa"/>
            <w:tcBorders>
              <w:top w:val="nil"/>
              <w:left w:val="single" w:sz="4" w:space="0" w:color="auto"/>
              <w:bottom w:val="single" w:sz="4" w:space="0" w:color="auto"/>
              <w:right w:val="single" w:sz="4" w:space="0" w:color="auto"/>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w:t>
            </w:r>
            <w:r>
              <w:rPr>
                <w:rFonts w:ascii="Calibri" w:eastAsia="Times New Roman" w:hAnsi="Calibri" w:cs="Times New Roman"/>
                <w:color w:val="000000"/>
                <w:sz w:val="20"/>
                <w:szCs w:val="20"/>
                <w:vertAlign w:val="superscript"/>
                <w:lang w:eastAsia="en-GB"/>
              </w:rPr>
              <w:t>a</w:t>
            </w:r>
          </w:p>
        </w:tc>
        <w:tc>
          <w:tcPr>
            <w:tcW w:w="1791" w:type="dxa"/>
            <w:tcBorders>
              <w:top w:val="nil"/>
              <w:left w:val="single" w:sz="4" w:space="0" w:color="auto"/>
              <w:bottom w:val="single" w:sz="4" w:space="0" w:color="auto"/>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A305AC">
              <w:rPr>
                <w:rFonts w:ascii="Calibri" w:eastAsia="Times New Roman" w:hAnsi="Calibri" w:cs="Times New Roman"/>
                <w:color w:val="000000"/>
                <w:sz w:val="20"/>
                <w:szCs w:val="20"/>
                <w:lang w:eastAsia="en-GB"/>
              </w:rPr>
              <w:t>-</w:t>
            </w:r>
          </w:p>
        </w:tc>
      </w:tr>
      <w:tr w:rsidR="006A57B2" w:rsidRPr="00A305AC" w:rsidTr="009F7A8B">
        <w:trPr>
          <w:trHeight w:val="624"/>
        </w:trPr>
        <w:tc>
          <w:tcPr>
            <w:tcW w:w="3402" w:type="dxa"/>
            <w:tcBorders>
              <w:top w:val="single" w:sz="4" w:space="0" w:color="auto"/>
              <w:bottom w:val="nil"/>
              <w:right w:val="single" w:sz="4" w:space="0" w:color="auto"/>
            </w:tcBorders>
            <w:vAlign w:val="center"/>
          </w:tcPr>
          <w:p w:rsidR="006A57B2" w:rsidRDefault="006A57B2" w:rsidP="009F7A8B">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 xml:space="preserve">Sensitivity analysis </w:t>
            </w:r>
          </w:p>
          <w:p w:rsidR="006A57B2" w:rsidRPr="00BB77B7" w:rsidRDefault="006A57B2" w:rsidP="009F7A8B">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(index hospitalisation)</w:t>
            </w:r>
          </w:p>
        </w:tc>
        <w:tc>
          <w:tcPr>
            <w:tcW w:w="1985" w:type="dxa"/>
            <w:tcBorders>
              <w:top w:val="single" w:sz="4" w:space="0" w:color="auto"/>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p>
        </w:tc>
        <w:tc>
          <w:tcPr>
            <w:tcW w:w="1843" w:type="dxa"/>
            <w:tcBorders>
              <w:top w:val="single" w:sz="4" w:space="0" w:color="auto"/>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p>
        </w:tc>
        <w:tc>
          <w:tcPr>
            <w:tcW w:w="1791" w:type="dxa"/>
            <w:tcBorders>
              <w:top w:val="single" w:sz="4" w:space="0" w:color="auto"/>
              <w:left w:val="single" w:sz="4" w:space="0" w:color="auto"/>
              <w:bottom w:val="nil"/>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Total costs </w:t>
            </w:r>
          </w:p>
        </w:tc>
        <w:tc>
          <w:tcPr>
            <w:tcW w:w="1985"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£33,073</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(£30,047, £36,337)</w:t>
            </w:r>
          </w:p>
        </w:tc>
        <w:tc>
          <w:tcPr>
            <w:tcW w:w="1843"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£32,245</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(£29,013, £35,823)</w:t>
            </w:r>
          </w:p>
        </w:tc>
        <w:tc>
          <w:tcPr>
            <w:tcW w:w="1791" w:type="dxa"/>
            <w:tcBorders>
              <w:top w:val="nil"/>
              <w:left w:val="single" w:sz="4" w:space="0" w:color="auto"/>
              <w:bottom w:val="nil"/>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£35,165</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(£31,864, £38,670)</w:t>
            </w: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2A74CF">
              <w:rPr>
                <w:rFonts w:ascii="Calibri" w:eastAsia="Times New Roman" w:hAnsi="Calibri" w:cs="Times New Roman"/>
                <w:color w:val="000000"/>
                <w:sz w:val="20"/>
                <w:szCs w:val="20"/>
                <w:lang w:eastAsia="en-GB"/>
              </w:rPr>
              <w:t>Incremental cost (v</w:t>
            </w:r>
            <w:r>
              <w:rPr>
                <w:rFonts w:ascii="Calibri" w:eastAsia="Times New Roman" w:hAnsi="Calibri" w:cs="Times New Roman"/>
                <w:color w:val="000000"/>
                <w:sz w:val="20"/>
                <w:szCs w:val="20"/>
                <w:lang w:eastAsia="en-GB"/>
              </w:rPr>
              <w:t>ersu</w:t>
            </w:r>
            <w:r w:rsidRPr="002A74CF">
              <w:rPr>
                <w:rFonts w:ascii="Calibri" w:eastAsia="Times New Roman" w:hAnsi="Calibri" w:cs="Times New Roman"/>
                <w:color w:val="000000"/>
                <w:sz w:val="20"/>
                <w:szCs w:val="20"/>
                <w:lang w:eastAsia="en-GB"/>
              </w:rPr>
              <w:t>s standard)</w:t>
            </w:r>
          </w:p>
        </w:tc>
        <w:tc>
          <w:tcPr>
            <w:tcW w:w="1985"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-£2,093</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(-£6,919, £2,583)</w:t>
            </w:r>
          </w:p>
        </w:tc>
        <w:tc>
          <w:tcPr>
            <w:tcW w:w="1843" w:type="dxa"/>
            <w:tcBorders>
              <w:top w:val="nil"/>
              <w:left w:val="single" w:sz="4" w:space="0" w:color="auto"/>
              <w:bottom w:val="nil"/>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-£2,920</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(-£7,833, £2,180)</w:t>
            </w:r>
          </w:p>
        </w:tc>
        <w:tc>
          <w:tcPr>
            <w:tcW w:w="1791" w:type="dxa"/>
            <w:tcBorders>
              <w:top w:val="nil"/>
              <w:left w:val="single" w:sz="4" w:space="0" w:color="auto"/>
              <w:bottom w:val="nil"/>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2A74CF">
              <w:rPr>
                <w:rFonts w:ascii="Calibri" w:eastAsia="Times New Roman" w:hAnsi="Calibri" w:cs="Times New Roman"/>
                <w:color w:val="000000"/>
                <w:sz w:val="20"/>
                <w:szCs w:val="20"/>
                <w:lang w:eastAsia="en-GB"/>
              </w:rPr>
              <w:t>BSI</w:t>
            </w:r>
          </w:p>
        </w:tc>
        <w:tc>
          <w:tcPr>
            <w:tcW w:w="1985" w:type="dxa"/>
            <w:tcBorders>
              <w:top w:val="nil"/>
              <w:left w:val="single" w:sz="4" w:space="0" w:color="auto"/>
              <w:bottom w:val="nil"/>
              <w:right w:val="single" w:sz="4" w:space="0" w:color="auto"/>
            </w:tcBorders>
            <w:vAlign w:val="center"/>
          </w:tcPr>
          <w:p w:rsidR="006A57B2" w:rsidRPr="00106C79"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1.44%</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(0.4, 2.5)</w:t>
            </w:r>
          </w:p>
        </w:tc>
        <w:tc>
          <w:tcPr>
            <w:tcW w:w="1843" w:type="dxa"/>
            <w:tcBorders>
              <w:top w:val="nil"/>
              <w:left w:val="single" w:sz="4" w:space="0" w:color="auto"/>
              <w:bottom w:val="nil"/>
              <w:right w:val="single" w:sz="4" w:space="0" w:color="auto"/>
            </w:tcBorders>
            <w:vAlign w:val="center"/>
          </w:tcPr>
          <w:p w:rsidR="006A57B2" w:rsidRPr="00106C79"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3.42%</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(1.8, 5.0)</w:t>
            </w:r>
          </w:p>
        </w:tc>
        <w:tc>
          <w:tcPr>
            <w:tcW w:w="1791" w:type="dxa"/>
            <w:tcBorders>
              <w:top w:val="nil"/>
              <w:left w:val="single" w:sz="4" w:space="0" w:color="auto"/>
              <w:bottom w:val="nil"/>
            </w:tcBorders>
            <w:vAlign w:val="center"/>
          </w:tcPr>
          <w:p w:rsidR="006A57B2" w:rsidRPr="00106C79"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3.59%</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(2.0, 5.2)</w:t>
            </w:r>
          </w:p>
        </w:tc>
      </w:tr>
      <w:tr w:rsidR="006A57B2" w:rsidRPr="00A305AC" w:rsidTr="009F7A8B">
        <w:trPr>
          <w:trHeight w:val="624"/>
        </w:trPr>
        <w:tc>
          <w:tcPr>
            <w:tcW w:w="3402" w:type="dxa"/>
            <w:tcBorders>
              <w:top w:val="nil"/>
              <w:bottom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2A74CF">
              <w:rPr>
                <w:rFonts w:ascii="Calibri" w:eastAsia="Times New Roman" w:hAnsi="Calibri" w:cs="Times New Roman"/>
                <w:color w:val="000000"/>
                <w:sz w:val="20"/>
                <w:szCs w:val="20"/>
                <w:lang w:eastAsia="en-GB"/>
              </w:rPr>
              <w:t>Incremental BSI (v</w:t>
            </w:r>
            <w:r>
              <w:rPr>
                <w:rFonts w:ascii="Calibri" w:eastAsia="Times New Roman" w:hAnsi="Calibri" w:cs="Times New Roman"/>
                <w:color w:val="000000"/>
                <w:sz w:val="20"/>
                <w:szCs w:val="20"/>
                <w:lang w:eastAsia="en-GB"/>
              </w:rPr>
              <w:t>ersu</w:t>
            </w:r>
            <w:r w:rsidRPr="002A74CF">
              <w:rPr>
                <w:rFonts w:ascii="Calibri" w:eastAsia="Times New Roman" w:hAnsi="Calibri" w:cs="Times New Roman"/>
                <w:color w:val="000000"/>
                <w:sz w:val="20"/>
                <w:szCs w:val="20"/>
                <w:lang w:eastAsia="en-GB"/>
              </w:rPr>
              <w:t>s standard</w:t>
            </w:r>
            <w:r>
              <w:rPr>
                <w:rFonts w:ascii="Calibri" w:eastAsia="Times New Roman" w:hAnsi="Calibri" w:cs="Times New Roman"/>
                <w:color w:val="000000"/>
                <w:sz w:val="20"/>
                <w:szCs w:val="20"/>
                <w:lang w:eastAsia="en-GB"/>
              </w:rPr>
              <w:t>)</w:t>
            </w:r>
          </w:p>
        </w:tc>
        <w:tc>
          <w:tcPr>
            <w:tcW w:w="1985" w:type="dxa"/>
            <w:tcBorders>
              <w:top w:val="nil"/>
              <w:left w:val="single" w:sz="4" w:space="0" w:color="auto"/>
              <w:bottom w:val="nil"/>
              <w:right w:val="single" w:sz="4" w:space="0" w:color="auto"/>
            </w:tcBorders>
            <w:vAlign w:val="center"/>
          </w:tcPr>
          <w:p w:rsidR="006A57B2" w:rsidRPr="00106C79"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-2.15%</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(-4.1, -0.2)</w:t>
            </w:r>
          </w:p>
        </w:tc>
        <w:tc>
          <w:tcPr>
            <w:tcW w:w="1843" w:type="dxa"/>
            <w:tcBorders>
              <w:top w:val="nil"/>
              <w:left w:val="single" w:sz="4" w:space="0" w:color="auto"/>
              <w:bottom w:val="nil"/>
              <w:right w:val="single" w:sz="4" w:space="0" w:color="auto"/>
            </w:tcBorders>
            <w:vAlign w:val="center"/>
          </w:tcPr>
          <w:p w:rsidR="006A57B2" w:rsidRPr="00106C79"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-0.17%</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106C79">
              <w:rPr>
                <w:rFonts w:ascii="Calibri" w:eastAsia="Times New Roman" w:hAnsi="Calibri" w:cs="Times New Roman"/>
                <w:color w:val="000000"/>
                <w:sz w:val="20"/>
                <w:szCs w:val="20"/>
                <w:lang w:eastAsia="en-GB"/>
              </w:rPr>
              <w:t>(-2.5, 2.1)</w:t>
            </w:r>
          </w:p>
        </w:tc>
        <w:tc>
          <w:tcPr>
            <w:tcW w:w="1791" w:type="dxa"/>
            <w:tcBorders>
              <w:top w:val="nil"/>
              <w:left w:val="single" w:sz="4" w:space="0" w:color="auto"/>
              <w:bottom w:val="nil"/>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r w:rsidR="006A57B2" w:rsidRPr="00A305AC" w:rsidTr="009F7A8B">
        <w:trPr>
          <w:trHeight w:val="624"/>
        </w:trPr>
        <w:tc>
          <w:tcPr>
            <w:tcW w:w="3402" w:type="dxa"/>
            <w:tcBorders>
              <w:top w:val="nil"/>
              <w:right w:val="single" w:sz="4" w:space="0" w:color="auto"/>
            </w:tcBorders>
            <w:vAlign w:val="center"/>
          </w:tcPr>
          <w:p w:rsidR="006A57B2" w:rsidRPr="00A305AC" w:rsidRDefault="006A57B2" w:rsidP="009F7A8B">
            <w:pPr>
              <w:spacing w:after="0" w:line="240" w:lineRule="auto"/>
              <w:rPr>
                <w:rFonts w:ascii="Calibri" w:eastAsia="Times New Roman" w:hAnsi="Calibri" w:cs="Times New Roman"/>
                <w:color w:val="000000"/>
                <w:sz w:val="20"/>
                <w:szCs w:val="20"/>
                <w:lang w:eastAsia="en-GB"/>
              </w:rPr>
            </w:pPr>
            <w:r w:rsidRPr="002A74CF">
              <w:rPr>
                <w:rFonts w:ascii="Calibri" w:eastAsia="Times New Roman" w:hAnsi="Calibri" w:cs="Times New Roman"/>
                <w:color w:val="000000"/>
                <w:sz w:val="20"/>
                <w:szCs w:val="20"/>
                <w:lang w:eastAsia="en-GB"/>
              </w:rPr>
              <w:t>ICER (v</w:t>
            </w:r>
            <w:r>
              <w:rPr>
                <w:rFonts w:ascii="Calibri" w:eastAsia="Times New Roman" w:hAnsi="Calibri" w:cs="Times New Roman"/>
                <w:color w:val="000000"/>
                <w:sz w:val="20"/>
                <w:szCs w:val="20"/>
                <w:lang w:eastAsia="en-GB"/>
              </w:rPr>
              <w:t>ersu</w:t>
            </w:r>
            <w:r w:rsidRPr="002A74CF">
              <w:rPr>
                <w:rFonts w:ascii="Calibri" w:eastAsia="Times New Roman" w:hAnsi="Calibri" w:cs="Times New Roman"/>
                <w:color w:val="000000"/>
                <w:sz w:val="20"/>
                <w:szCs w:val="20"/>
                <w:lang w:eastAsia="en-GB"/>
              </w:rPr>
              <w:t>s standard)</w:t>
            </w:r>
            <w:r>
              <w:rPr>
                <w:rFonts w:ascii="Calibri" w:eastAsia="Times New Roman" w:hAnsi="Calibri" w:cs="Times New Roman"/>
                <w:color w:val="000000"/>
                <w:sz w:val="20"/>
                <w:szCs w:val="20"/>
                <w:lang w:eastAsia="en-GB"/>
              </w:rPr>
              <w:t xml:space="preserve"> </w:t>
            </w:r>
          </w:p>
        </w:tc>
        <w:tc>
          <w:tcPr>
            <w:tcW w:w="1985" w:type="dxa"/>
            <w:tcBorders>
              <w:top w:val="nil"/>
              <w:left w:val="single" w:sz="4" w:space="0" w:color="auto"/>
              <w:right w:val="single" w:sz="4" w:space="0" w:color="auto"/>
            </w:tcBorders>
            <w:vAlign w:val="center"/>
          </w:tcPr>
          <w:p w:rsidR="006A57B2"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-£95,473 </w:t>
            </w:r>
          </w:p>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per BSI averted </w:t>
            </w:r>
            <w:r w:rsidRPr="009F7A8B">
              <w:rPr>
                <w:rFonts w:ascii="Calibri" w:eastAsia="Times New Roman" w:hAnsi="Calibri" w:cs="Times New Roman"/>
                <w:color w:val="000000"/>
                <w:sz w:val="20"/>
                <w:szCs w:val="20"/>
                <w:vertAlign w:val="superscript"/>
                <w:lang w:eastAsia="en-GB"/>
              </w:rPr>
              <w:t>b</w:t>
            </w:r>
          </w:p>
        </w:tc>
        <w:tc>
          <w:tcPr>
            <w:tcW w:w="1843" w:type="dxa"/>
            <w:tcBorders>
              <w:top w:val="nil"/>
              <w:left w:val="single" w:sz="4" w:space="0" w:color="auto"/>
              <w:right w:val="single" w:sz="4" w:space="0" w:color="auto"/>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sidRPr="006D6F4F">
              <w:rPr>
                <w:rFonts w:ascii="Calibri" w:eastAsia="Times New Roman" w:hAnsi="Calibri" w:cs="Times New Roman"/>
                <w:color w:val="000000"/>
                <w:sz w:val="20"/>
                <w:szCs w:val="20"/>
                <w:lang w:eastAsia="en-GB"/>
              </w:rPr>
              <w:t>-</w:t>
            </w:r>
            <w:r w:rsidRPr="00BB77B7">
              <w:rPr>
                <w:rFonts w:ascii="Calibri" w:eastAsia="Times New Roman" w:hAnsi="Calibri" w:cs="Times New Roman"/>
                <w:color w:val="000000"/>
                <w:sz w:val="20"/>
                <w:szCs w:val="20"/>
                <w:vertAlign w:val="superscript"/>
                <w:lang w:eastAsia="en-GB"/>
              </w:rPr>
              <w:t>a</w:t>
            </w:r>
          </w:p>
        </w:tc>
        <w:tc>
          <w:tcPr>
            <w:tcW w:w="1791" w:type="dxa"/>
            <w:tcBorders>
              <w:top w:val="nil"/>
              <w:left w:val="single" w:sz="4" w:space="0" w:color="auto"/>
            </w:tcBorders>
            <w:vAlign w:val="center"/>
          </w:tcPr>
          <w:p w:rsidR="006A57B2" w:rsidRPr="00A305AC" w:rsidRDefault="006A57B2" w:rsidP="009F7A8B">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t>
            </w:r>
          </w:p>
        </w:tc>
      </w:tr>
    </w:tbl>
    <w:p w:rsidR="006A57B2" w:rsidRPr="009F7A8B" w:rsidRDefault="006A57B2" w:rsidP="009F7A8B">
      <w:pPr>
        <w:spacing w:after="0" w:line="240" w:lineRule="auto"/>
        <w:rPr>
          <w:rFonts w:ascii="Calibri" w:eastAsia="Times New Roman" w:hAnsi="Calibri" w:cs="Times New Roman"/>
          <w:b/>
          <w:color w:val="000000"/>
          <w:sz w:val="20"/>
          <w:lang w:eastAsia="en-GB"/>
        </w:rPr>
      </w:pPr>
      <w:r w:rsidRPr="009F7A8B">
        <w:rPr>
          <w:rFonts w:ascii="Calibri" w:eastAsia="Times New Roman" w:hAnsi="Calibri" w:cs="Times New Roman"/>
          <w:b/>
          <w:color w:val="000000"/>
          <w:sz w:val="20"/>
          <w:vertAlign w:val="superscript"/>
          <w:lang w:eastAsia="en-GB"/>
        </w:rPr>
        <w:t>a</w:t>
      </w:r>
      <w:r w:rsidRPr="009F7A8B">
        <w:rPr>
          <w:rFonts w:ascii="Calibri" w:eastAsia="Times New Roman" w:hAnsi="Calibri" w:cs="Times New Roman"/>
          <w:b/>
          <w:color w:val="000000"/>
          <w:sz w:val="20"/>
          <w:lang w:eastAsia="en-GB"/>
        </w:rPr>
        <w:t>As heparin CVC was not deemed to be clinically effective in reducing BSI rates, it cannot be cost-effective by the same outcome measure</w:t>
      </w:r>
    </w:p>
    <w:p w:rsidR="006A57B2" w:rsidRPr="009F7A8B" w:rsidRDefault="006A57B2" w:rsidP="009F7A8B">
      <w:pPr>
        <w:spacing w:after="0" w:line="240" w:lineRule="auto"/>
        <w:rPr>
          <w:rFonts w:ascii="Calibri" w:eastAsia="Times New Roman" w:hAnsi="Calibri" w:cs="Times New Roman"/>
          <w:b/>
          <w:color w:val="000000"/>
          <w:sz w:val="20"/>
          <w:lang w:eastAsia="en-GB"/>
        </w:rPr>
      </w:pPr>
      <w:r w:rsidRPr="009F7A8B">
        <w:rPr>
          <w:rFonts w:ascii="Calibri" w:eastAsia="Times New Roman" w:hAnsi="Calibri" w:cs="Times New Roman"/>
          <w:b/>
          <w:color w:val="000000"/>
          <w:sz w:val="20"/>
          <w:vertAlign w:val="superscript"/>
          <w:lang w:eastAsia="en-GB"/>
        </w:rPr>
        <w:t xml:space="preserve">b </w:t>
      </w:r>
      <w:r>
        <w:rPr>
          <w:rFonts w:ascii="Calibri" w:eastAsia="Times New Roman" w:hAnsi="Calibri" w:cs="Times New Roman"/>
          <w:b/>
          <w:color w:val="000000"/>
          <w:sz w:val="20"/>
          <w:lang w:eastAsia="en-GB"/>
        </w:rPr>
        <w:t>C</w:t>
      </w:r>
      <w:r w:rsidRPr="009F7A8B">
        <w:rPr>
          <w:rFonts w:ascii="Calibri" w:eastAsia="Times New Roman" w:hAnsi="Calibri" w:cs="Times New Roman"/>
          <w:b/>
          <w:color w:val="000000"/>
          <w:sz w:val="20"/>
          <w:lang w:eastAsia="en-GB"/>
        </w:rPr>
        <w:t>ost-saving</w:t>
      </w:r>
    </w:p>
    <w:p w:rsidR="006A57B2" w:rsidRDefault="006A57B2" w:rsidP="00E7253D">
      <w:pPr>
        <w:pStyle w:val="Caption"/>
        <w:rPr>
          <w:sz w:val="22"/>
          <w:szCs w:val="22"/>
        </w:rPr>
      </w:pPr>
      <w:bookmarkStart w:id="102" w:name="_Toc428178974"/>
    </w:p>
    <w:p w:rsidR="006A57B2" w:rsidRPr="00BE078C" w:rsidRDefault="006A57B2" w:rsidP="00E7253D">
      <w:pPr>
        <w:pStyle w:val="Caption"/>
        <w:rPr>
          <w:rFonts w:asciiTheme="majorHAnsi" w:hAnsiTheme="majorHAnsi"/>
          <w:color w:val="2E74B5" w:themeColor="accent1" w:themeShade="BF"/>
          <w:sz w:val="22"/>
          <w:szCs w:val="22"/>
        </w:rPr>
      </w:pPr>
      <w:r w:rsidRPr="00BE078C">
        <w:rPr>
          <w:sz w:val="22"/>
          <w:szCs w:val="22"/>
        </w:rPr>
        <w:t xml:space="preserve">Table </w:t>
      </w:r>
      <w:r>
        <w:rPr>
          <w:noProof/>
          <w:sz w:val="22"/>
          <w:szCs w:val="22"/>
        </w:rPr>
        <w:t>19</w:t>
      </w:r>
      <w:r w:rsidRPr="00BE078C">
        <w:rPr>
          <w:sz w:val="22"/>
          <w:szCs w:val="22"/>
        </w:rPr>
        <w:t>: Patients' length of stay for hospitalisation episode</w:t>
      </w:r>
      <w:r>
        <w:rPr>
          <w:sz w:val="22"/>
          <w:szCs w:val="22"/>
        </w:rPr>
        <w:t xml:space="preserve"> from randomisation </w:t>
      </w:r>
      <w:r w:rsidRPr="00BE078C">
        <w:rPr>
          <w:sz w:val="22"/>
          <w:szCs w:val="22"/>
        </w:rPr>
        <w:t>by intervention group</w:t>
      </w:r>
      <w:bookmarkEnd w:id="102"/>
      <w:r w:rsidRPr="00BE078C">
        <w:rPr>
          <w:rFonts w:asciiTheme="majorHAnsi" w:hAnsiTheme="majorHAnsi"/>
          <w:b w:val="0"/>
          <w:color w:val="2E74B5" w:themeColor="accent1" w:themeShade="B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1134"/>
        <w:gridCol w:w="1275"/>
        <w:gridCol w:w="993"/>
        <w:gridCol w:w="1224"/>
      </w:tblGrid>
      <w:tr w:rsidR="006A57B2" w:rsidRPr="001A3F11" w:rsidTr="009F7A8B">
        <w:trPr>
          <w:trHeight w:val="497"/>
        </w:trPr>
        <w:tc>
          <w:tcPr>
            <w:tcW w:w="1985" w:type="dxa"/>
            <w:tcBorders>
              <w:top w:val="nil"/>
              <w:left w:val="nil"/>
              <w:bottom w:val="single" w:sz="4" w:space="0" w:color="auto"/>
            </w:tcBorders>
            <w:shd w:val="clear" w:color="auto" w:fill="auto"/>
            <w:noWrap/>
            <w:vAlign w:val="center"/>
          </w:tcPr>
          <w:p w:rsidR="006A57B2" w:rsidRPr="001A3F11" w:rsidRDefault="006A57B2" w:rsidP="009F7A8B">
            <w:pPr>
              <w:spacing w:after="0" w:line="240" w:lineRule="auto"/>
              <w:rPr>
                <w:rFonts w:asciiTheme="majorHAnsi" w:eastAsia="Times New Roman" w:hAnsiTheme="majorHAnsi" w:cstheme="majorHAnsi"/>
                <w:b/>
                <w:color w:val="000000"/>
                <w:sz w:val="20"/>
                <w:szCs w:val="20"/>
                <w:lang w:eastAsia="en-GB"/>
              </w:rPr>
            </w:pPr>
          </w:p>
        </w:tc>
        <w:tc>
          <w:tcPr>
            <w:tcW w:w="2410" w:type="dxa"/>
            <w:gridSpan w:val="2"/>
            <w:tcBorders>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Pr>
                <w:rFonts w:asciiTheme="majorHAnsi" w:eastAsia="Times New Roman" w:hAnsiTheme="majorHAnsi" w:cstheme="majorHAnsi"/>
                <w:b/>
                <w:color w:val="000000"/>
                <w:sz w:val="20"/>
                <w:szCs w:val="20"/>
                <w:lang w:eastAsia="en-GB"/>
              </w:rPr>
              <w:t xml:space="preserve">Antibiotic </w:t>
            </w:r>
          </w:p>
        </w:tc>
        <w:tc>
          <w:tcPr>
            <w:tcW w:w="2409" w:type="dxa"/>
            <w:gridSpan w:val="2"/>
            <w:tcBorders>
              <w:bottom w:val="single" w:sz="4" w:space="0" w:color="auto"/>
            </w:tcBorders>
            <w:shd w:val="clear" w:color="auto" w:fill="9CC2E5" w:themeFill="accent1" w:themeFillTint="99"/>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Pr>
                <w:rFonts w:asciiTheme="majorHAnsi" w:eastAsia="Times New Roman" w:hAnsiTheme="majorHAnsi" w:cstheme="majorHAnsi"/>
                <w:b/>
                <w:color w:val="000000"/>
                <w:sz w:val="20"/>
                <w:szCs w:val="20"/>
                <w:lang w:eastAsia="en-GB"/>
              </w:rPr>
              <w:t xml:space="preserve">Heparin </w:t>
            </w:r>
          </w:p>
        </w:tc>
        <w:tc>
          <w:tcPr>
            <w:tcW w:w="2217" w:type="dxa"/>
            <w:gridSpan w:val="2"/>
            <w:tcBorders>
              <w:bottom w:val="single" w:sz="4" w:space="0" w:color="auto"/>
            </w:tcBorders>
            <w:shd w:val="clear" w:color="auto" w:fill="9CC2E5" w:themeFill="accent1" w:themeFillTint="99"/>
            <w:noWrap/>
            <w:vAlign w:val="center"/>
          </w:tcPr>
          <w:p w:rsidR="006A57B2" w:rsidRPr="00306E0C" w:rsidRDefault="006A57B2" w:rsidP="009F7A8B">
            <w:pPr>
              <w:spacing w:after="0" w:line="240" w:lineRule="auto"/>
              <w:jc w:val="center"/>
              <w:rPr>
                <w:rFonts w:asciiTheme="majorHAnsi" w:eastAsia="Times New Roman" w:hAnsiTheme="majorHAnsi" w:cstheme="majorHAnsi"/>
                <w:b/>
                <w:color w:val="000000"/>
                <w:sz w:val="20"/>
                <w:szCs w:val="20"/>
                <w:lang w:eastAsia="en-GB"/>
              </w:rPr>
            </w:pPr>
            <w:r>
              <w:rPr>
                <w:rFonts w:asciiTheme="majorHAnsi" w:eastAsia="Times New Roman" w:hAnsiTheme="majorHAnsi" w:cstheme="majorHAnsi"/>
                <w:b/>
                <w:color w:val="000000"/>
                <w:sz w:val="20"/>
                <w:szCs w:val="20"/>
                <w:lang w:eastAsia="en-GB"/>
              </w:rPr>
              <w:t xml:space="preserve">Standard </w:t>
            </w:r>
          </w:p>
        </w:tc>
      </w:tr>
      <w:tr w:rsidR="006A57B2" w:rsidRPr="001A3F11" w:rsidTr="009F7A8B">
        <w:trPr>
          <w:trHeight w:val="340"/>
        </w:trPr>
        <w:tc>
          <w:tcPr>
            <w:tcW w:w="1985" w:type="dxa"/>
            <w:tcBorders>
              <w:bottom w:val="single" w:sz="4" w:space="0" w:color="auto"/>
            </w:tcBorders>
            <w:shd w:val="clear" w:color="auto" w:fill="auto"/>
            <w:noWrap/>
            <w:vAlign w:val="center"/>
          </w:tcPr>
          <w:p w:rsidR="006A57B2" w:rsidRPr="001A3F11" w:rsidRDefault="006A57B2" w:rsidP="009F7A8B">
            <w:pPr>
              <w:spacing w:after="0" w:line="240" w:lineRule="auto"/>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Unit</w:t>
            </w:r>
          </w:p>
        </w:tc>
        <w:tc>
          <w:tcPr>
            <w:tcW w:w="992" w:type="dxa"/>
            <w:tcBorders>
              <w:top w:val="single" w:sz="4" w:space="0" w:color="auto"/>
              <w:bottom w:val="single" w:sz="4" w:space="0" w:color="auto"/>
              <w:right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Mean</w:t>
            </w:r>
          </w:p>
        </w:tc>
        <w:tc>
          <w:tcPr>
            <w:tcW w:w="1418" w:type="dxa"/>
            <w:tcBorders>
              <w:top w:val="single" w:sz="4" w:space="0" w:color="auto"/>
              <w:left w:val="nil"/>
              <w:bottom w:val="single" w:sz="4" w:space="0" w:color="auto"/>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1A3F11">
              <w:rPr>
                <w:rFonts w:asciiTheme="majorHAnsi" w:eastAsia="Times New Roman" w:hAnsiTheme="majorHAnsi" w:cstheme="majorHAnsi"/>
                <w:b/>
                <w:color w:val="000000"/>
                <w:sz w:val="20"/>
                <w:szCs w:val="20"/>
                <w:lang w:eastAsia="en-GB"/>
              </w:rPr>
              <w:t>95% CI</w:t>
            </w:r>
          </w:p>
        </w:tc>
        <w:tc>
          <w:tcPr>
            <w:tcW w:w="1134" w:type="dxa"/>
            <w:tcBorders>
              <w:top w:val="single" w:sz="4" w:space="0" w:color="auto"/>
              <w:bottom w:val="single" w:sz="4" w:space="0" w:color="auto"/>
              <w:right w:val="nil"/>
            </w:tcBorders>
            <w:shd w:val="clear" w:color="auto" w:fill="auto"/>
            <w:noWrap/>
            <w:vAlign w:val="center"/>
          </w:tcPr>
          <w:p w:rsidR="006A57B2" w:rsidRPr="00306E0C"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AA382A">
              <w:rPr>
                <w:rFonts w:asciiTheme="majorHAnsi" w:eastAsia="Times New Roman" w:hAnsiTheme="majorHAnsi" w:cstheme="majorHAnsi"/>
                <w:b/>
                <w:color w:val="000000"/>
                <w:sz w:val="20"/>
                <w:szCs w:val="20"/>
                <w:lang w:eastAsia="en-GB"/>
              </w:rPr>
              <w:t>Mean</w:t>
            </w:r>
          </w:p>
        </w:tc>
        <w:tc>
          <w:tcPr>
            <w:tcW w:w="1275" w:type="dxa"/>
            <w:tcBorders>
              <w:top w:val="single" w:sz="4" w:space="0" w:color="auto"/>
              <w:left w:val="nil"/>
              <w:bottom w:val="single" w:sz="4" w:space="0" w:color="auto"/>
            </w:tcBorders>
            <w:shd w:val="clear" w:color="auto" w:fill="auto"/>
            <w:noWrap/>
            <w:vAlign w:val="center"/>
          </w:tcPr>
          <w:p w:rsidR="006A57B2" w:rsidRPr="00306E0C"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306E0C">
              <w:rPr>
                <w:rFonts w:asciiTheme="majorHAnsi" w:eastAsia="Times New Roman" w:hAnsiTheme="majorHAnsi" w:cstheme="majorHAnsi"/>
                <w:b/>
                <w:color w:val="000000"/>
                <w:sz w:val="20"/>
                <w:szCs w:val="20"/>
                <w:lang w:eastAsia="en-GB"/>
              </w:rPr>
              <w:t>95% CI</w:t>
            </w:r>
          </w:p>
        </w:tc>
        <w:tc>
          <w:tcPr>
            <w:tcW w:w="993" w:type="dxa"/>
            <w:tcBorders>
              <w:top w:val="single" w:sz="4" w:space="0" w:color="auto"/>
              <w:bottom w:val="single" w:sz="4" w:space="0" w:color="auto"/>
              <w:right w:val="nil"/>
            </w:tcBorders>
            <w:shd w:val="clear" w:color="auto" w:fill="auto"/>
            <w:noWrap/>
            <w:vAlign w:val="center"/>
          </w:tcPr>
          <w:p w:rsidR="006A57B2" w:rsidRPr="00A14A40"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A14A40">
              <w:rPr>
                <w:rFonts w:asciiTheme="majorHAnsi" w:eastAsia="Times New Roman" w:hAnsiTheme="majorHAnsi" w:cstheme="majorHAnsi"/>
                <w:b/>
                <w:color w:val="000000"/>
                <w:sz w:val="20"/>
                <w:szCs w:val="20"/>
                <w:lang w:eastAsia="en-GB"/>
              </w:rPr>
              <w:t>Mean</w:t>
            </w:r>
          </w:p>
        </w:tc>
        <w:tc>
          <w:tcPr>
            <w:tcW w:w="1224" w:type="dxa"/>
            <w:tcBorders>
              <w:top w:val="single" w:sz="4" w:space="0" w:color="auto"/>
              <w:left w:val="nil"/>
              <w:bottom w:val="single" w:sz="4" w:space="0" w:color="auto"/>
            </w:tcBorders>
            <w:shd w:val="clear" w:color="auto" w:fill="auto"/>
            <w:noWrap/>
            <w:vAlign w:val="center"/>
          </w:tcPr>
          <w:p w:rsidR="006A57B2" w:rsidRPr="00284AC2" w:rsidRDefault="006A57B2" w:rsidP="009F7A8B">
            <w:pPr>
              <w:spacing w:after="0" w:line="240" w:lineRule="auto"/>
              <w:jc w:val="center"/>
              <w:rPr>
                <w:rFonts w:asciiTheme="majorHAnsi" w:eastAsia="Times New Roman" w:hAnsiTheme="majorHAnsi" w:cstheme="majorHAnsi"/>
                <w:b/>
                <w:color w:val="000000"/>
                <w:sz w:val="20"/>
                <w:szCs w:val="20"/>
                <w:lang w:eastAsia="en-GB"/>
              </w:rPr>
            </w:pPr>
            <w:r w:rsidRPr="00284AC2">
              <w:rPr>
                <w:rFonts w:asciiTheme="majorHAnsi" w:eastAsia="Times New Roman" w:hAnsiTheme="majorHAnsi" w:cstheme="majorHAnsi"/>
                <w:b/>
                <w:color w:val="000000"/>
                <w:sz w:val="20"/>
                <w:szCs w:val="20"/>
                <w:lang w:eastAsia="en-GB"/>
              </w:rPr>
              <w:t>95% CI</w:t>
            </w:r>
          </w:p>
        </w:tc>
      </w:tr>
      <w:tr w:rsidR="006A57B2" w:rsidRPr="001A3F11" w:rsidTr="009F7A8B">
        <w:trPr>
          <w:trHeight w:val="340"/>
        </w:trPr>
        <w:tc>
          <w:tcPr>
            <w:tcW w:w="1985" w:type="dxa"/>
            <w:tcBorders>
              <w:top w:val="single" w:sz="4" w:space="0" w:color="auto"/>
              <w:bottom w:val="nil"/>
            </w:tcBorders>
            <w:shd w:val="clear" w:color="auto" w:fill="auto"/>
            <w:noWrap/>
            <w:vAlign w:val="center"/>
            <w:hideMark/>
          </w:tcPr>
          <w:p w:rsidR="006A57B2" w:rsidRPr="001A3F11" w:rsidRDefault="006A57B2" w:rsidP="009F7A8B">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Days on ICU</w:t>
            </w:r>
          </w:p>
        </w:tc>
        <w:tc>
          <w:tcPr>
            <w:tcW w:w="992" w:type="dxa"/>
            <w:tcBorders>
              <w:top w:val="single" w:sz="4" w:space="0" w:color="auto"/>
              <w:bottom w:val="nil"/>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9.31</w:t>
            </w:r>
          </w:p>
        </w:tc>
        <w:tc>
          <w:tcPr>
            <w:tcW w:w="1418" w:type="dxa"/>
            <w:tcBorders>
              <w:top w:val="single" w:sz="4" w:space="0" w:color="auto"/>
              <w:left w:val="nil"/>
              <w:bottom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8.09, 10.70</w:t>
            </w:r>
          </w:p>
        </w:tc>
        <w:tc>
          <w:tcPr>
            <w:tcW w:w="1134" w:type="dxa"/>
            <w:tcBorders>
              <w:top w:val="single" w:sz="4" w:space="0" w:color="auto"/>
              <w:bottom w:val="nil"/>
              <w:right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8.93</w:t>
            </w:r>
          </w:p>
        </w:tc>
        <w:tc>
          <w:tcPr>
            <w:tcW w:w="1275" w:type="dxa"/>
            <w:tcBorders>
              <w:top w:val="single" w:sz="4" w:space="0" w:color="auto"/>
              <w:left w:val="nil"/>
              <w:bottom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7.71, 10.32</w:t>
            </w:r>
          </w:p>
        </w:tc>
        <w:tc>
          <w:tcPr>
            <w:tcW w:w="993" w:type="dxa"/>
            <w:tcBorders>
              <w:top w:val="single" w:sz="4" w:space="0" w:color="auto"/>
              <w:bottom w:val="nil"/>
              <w:right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9.79</w:t>
            </w:r>
          </w:p>
        </w:tc>
        <w:tc>
          <w:tcPr>
            <w:tcW w:w="1224" w:type="dxa"/>
            <w:tcBorders>
              <w:top w:val="single" w:sz="4" w:space="0" w:color="auto"/>
              <w:left w:val="nil"/>
              <w:bottom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8.60, 11.03</w:t>
            </w:r>
          </w:p>
        </w:tc>
      </w:tr>
      <w:tr w:rsidR="006A57B2" w:rsidRPr="001A3F11" w:rsidTr="009F7A8B">
        <w:trPr>
          <w:trHeight w:val="340"/>
        </w:trPr>
        <w:tc>
          <w:tcPr>
            <w:tcW w:w="1985" w:type="dxa"/>
            <w:tcBorders>
              <w:top w:val="nil"/>
              <w:bottom w:val="nil"/>
            </w:tcBorders>
            <w:shd w:val="clear" w:color="auto" w:fill="auto"/>
            <w:noWrap/>
            <w:vAlign w:val="center"/>
            <w:hideMark/>
          </w:tcPr>
          <w:p w:rsidR="006A57B2" w:rsidRPr="001A3F11" w:rsidRDefault="006A57B2" w:rsidP="009F7A8B">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Days on HDU</w:t>
            </w:r>
          </w:p>
        </w:tc>
        <w:tc>
          <w:tcPr>
            <w:tcW w:w="992" w:type="dxa"/>
            <w:tcBorders>
              <w:top w:val="nil"/>
              <w:bottom w:val="nil"/>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1.70</w:t>
            </w:r>
          </w:p>
        </w:tc>
        <w:tc>
          <w:tcPr>
            <w:tcW w:w="1418" w:type="dxa"/>
            <w:tcBorders>
              <w:top w:val="nil"/>
              <w:left w:val="nil"/>
              <w:bottom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1.25, 2.25</w:t>
            </w:r>
          </w:p>
        </w:tc>
        <w:tc>
          <w:tcPr>
            <w:tcW w:w="1134" w:type="dxa"/>
            <w:tcBorders>
              <w:top w:val="nil"/>
              <w:bottom w:val="nil"/>
              <w:right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1.39</w:t>
            </w:r>
          </w:p>
        </w:tc>
        <w:tc>
          <w:tcPr>
            <w:tcW w:w="1275" w:type="dxa"/>
            <w:tcBorders>
              <w:top w:val="nil"/>
              <w:left w:val="nil"/>
              <w:bottom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1.09, 1.76</w:t>
            </w:r>
          </w:p>
        </w:tc>
        <w:tc>
          <w:tcPr>
            <w:tcW w:w="993" w:type="dxa"/>
            <w:tcBorders>
              <w:top w:val="nil"/>
              <w:bottom w:val="nil"/>
              <w:right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1.51</w:t>
            </w:r>
          </w:p>
        </w:tc>
        <w:tc>
          <w:tcPr>
            <w:tcW w:w="1224" w:type="dxa"/>
            <w:tcBorders>
              <w:top w:val="nil"/>
              <w:left w:val="nil"/>
              <w:bottom w:val="nil"/>
            </w:tcBorders>
            <w:shd w:val="clear" w:color="auto" w:fill="auto"/>
            <w:noWrap/>
            <w:vAlign w:val="center"/>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1.24, 1.80</w:t>
            </w:r>
          </w:p>
        </w:tc>
      </w:tr>
      <w:tr w:rsidR="006A57B2" w:rsidRPr="001A3F11" w:rsidTr="009F7A8B">
        <w:trPr>
          <w:trHeight w:val="340"/>
        </w:trPr>
        <w:tc>
          <w:tcPr>
            <w:tcW w:w="1985" w:type="dxa"/>
            <w:tcBorders>
              <w:top w:val="nil"/>
              <w:bottom w:val="single" w:sz="4" w:space="0" w:color="auto"/>
            </w:tcBorders>
            <w:shd w:val="clear" w:color="auto" w:fill="auto"/>
            <w:noWrap/>
            <w:vAlign w:val="center"/>
            <w:hideMark/>
          </w:tcPr>
          <w:p w:rsidR="006A57B2" w:rsidRPr="001A3F11" w:rsidRDefault="006A57B2" w:rsidP="009F7A8B">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Days on ward</w:t>
            </w:r>
          </w:p>
        </w:tc>
        <w:tc>
          <w:tcPr>
            <w:tcW w:w="992" w:type="dxa"/>
            <w:tcBorders>
              <w:top w:val="nil"/>
              <w:bottom w:val="single" w:sz="4" w:space="0" w:color="auto"/>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11.13</w:t>
            </w:r>
          </w:p>
        </w:tc>
        <w:tc>
          <w:tcPr>
            <w:tcW w:w="1418" w:type="dxa"/>
            <w:tcBorders>
              <w:top w:val="nil"/>
              <w:left w:val="nil"/>
              <w:bottom w:val="single" w:sz="4" w:space="0" w:color="auto"/>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9.19, 13.18</w:t>
            </w:r>
          </w:p>
        </w:tc>
        <w:tc>
          <w:tcPr>
            <w:tcW w:w="1134" w:type="dxa"/>
            <w:tcBorders>
              <w:top w:val="nil"/>
              <w:bottom w:val="single" w:sz="4" w:space="0" w:color="auto"/>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10.32</w:t>
            </w:r>
          </w:p>
        </w:tc>
        <w:tc>
          <w:tcPr>
            <w:tcW w:w="1275" w:type="dxa"/>
            <w:tcBorders>
              <w:top w:val="nil"/>
              <w:left w:val="nil"/>
              <w:bottom w:val="single" w:sz="4" w:space="0" w:color="auto"/>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8.59, 12.18</w:t>
            </w:r>
          </w:p>
        </w:tc>
        <w:tc>
          <w:tcPr>
            <w:tcW w:w="993" w:type="dxa"/>
            <w:tcBorders>
              <w:top w:val="nil"/>
              <w:bottom w:val="single" w:sz="4" w:space="0" w:color="auto"/>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10.79</w:t>
            </w:r>
          </w:p>
        </w:tc>
        <w:tc>
          <w:tcPr>
            <w:tcW w:w="1224" w:type="dxa"/>
            <w:tcBorders>
              <w:top w:val="nil"/>
              <w:left w:val="nil"/>
              <w:bottom w:val="single" w:sz="4" w:space="0" w:color="auto"/>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20245E">
              <w:rPr>
                <w:rFonts w:ascii="Calibri" w:hAnsi="Calibri"/>
                <w:color w:val="000000"/>
                <w:sz w:val="20"/>
                <w:szCs w:val="20"/>
              </w:rPr>
              <w:t>9.03, 12.70</w:t>
            </w:r>
          </w:p>
        </w:tc>
      </w:tr>
      <w:tr w:rsidR="006A57B2" w:rsidRPr="001A3F11" w:rsidTr="009F7A8B">
        <w:trPr>
          <w:trHeight w:val="340"/>
        </w:trPr>
        <w:tc>
          <w:tcPr>
            <w:tcW w:w="1985" w:type="dxa"/>
            <w:tcBorders>
              <w:top w:val="single" w:sz="4" w:space="0" w:color="auto"/>
              <w:bottom w:val="single" w:sz="4" w:space="0" w:color="auto"/>
            </w:tcBorders>
            <w:shd w:val="clear" w:color="auto" w:fill="auto"/>
            <w:noWrap/>
            <w:vAlign w:val="center"/>
            <w:hideMark/>
          </w:tcPr>
          <w:p w:rsidR="006A57B2" w:rsidRPr="001A3F11" w:rsidRDefault="006A57B2" w:rsidP="009F7A8B">
            <w:pPr>
              <w:spacing w:after="0" w:line="240" w:lineRule="auto"/>
              <w:rPr>
                <w:rFonts w:asciiTheme="majorHAnsi" w:eastAsia="Times New Roman" w:hAnsiTheme="majorHAnsi" w:cstheme="majorHAnsi"/>
                <w:color w:val="000000"/>
                <w:sz w:val="20"/>
                <w:szCs w:val="20"/>
                <w:lang w:eastAsia="en-GB"/>
              </w:rPr>
            </w:pPr>
            <w:r w:rsidRPr="001A3F11">
              <w:rPr>
                <w:rFonts w:asciiTheme="majorHAnsi" w:eastAsia="Times New Roman" w:hAnsiTheme="majorHAnsi" w:cstheme="majorHAnsi"/>
                <w:color w:val="000000"/>
                <w:sz w:val="20"/>
                <w:szCs w:val="20"/>
                <w:lang w:eastAsia="en-GB"/>
              </w:rPr>
              <w:t>Total days in hospital</w:t>
            </w:r>
          </w:p>
        </w:tc>
        <w:tc>
          <w:tcPr>
            <w:tcW w:w="992" w:type="dxa"/>
            <w:tcBorders>
              <w:top w:val="single" w:sz="4" w:space="0" w:color="auto"/>
              <w:bottom w:val="single" w:sz="4" w:space="0" w:color="auto"/>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22.14</w:t>
            </w:r>
          </w:p>
        </w:tc>
        <w:tc>
          <w:tcPr>
            <w:tcW w:w="1418" w:type="dxa"/>
            <w:tcBorders>
              <w:top w:val="single" w:sz="4" w:space="0" w:color="auto"/>
              <w:left w:val="nil"/>
              <w:bottom w:val="single" w:sz="4" w:space="0" w:color="auto"/>
            </w:tcBorders>
            <w:shd w:val="clear" w:color="auto" w:fill="auto"/>
            <w:noWrap/>
            <w:vAlign w:val="center"/>
            <w:hideMark/>
          </w:tcPr>
          <w:p w:rsidR="006A57B2" w:rsidRPr="0020245E" w:rsidRDefault="006A57B2" w:rsidP="009F7A8B">
            <w:pPr>
              <w:spacing w:after="0" w:line="240" w:lineRule="auto"/>
              <w:jc w:val="center"/>
              <w:rPr>
                <w:rFonts w:ascii="Calibri" w:hAnsi="Calibri"/>
                <w:color w:val="000000"/>
                <w:sz w:val="20"/>
                <w:szCs w:val="20"/>
              </w:rPr>
            </w:pPr>
            <w:r w:rsidRPr="0020245E">
              <w:rPr>
                <w:rFonts w:ascii="Calibri" w:hAnsi="Calibri"/>
                <w:color w:val="000000"/>
                <w:sz w:val="20"/>
                <w:szCs w:val="20"/>
              </w:rPr>
              <w:t>19.48, 24.89</w:t>
            </w:r>
          </w:p>
        </w:tc>
        <w:tc>
          <w:tcPr>
            <w:tcW w:w="1134" w:type="dxa"/>
            <w:tcBorders>
              <w:top w:val="single" w:sz="4" w:space="0" w:color="auto"/>
              <w:bottom w:val="single" w:sz="4" w:space="0" w:color="auto"/>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20.65</w:t>
            </w:r>
          </w:p>
        </w:tc>
        <w:tc>
          <w:tcPr>
            <w:tcW w:w="1275" w:type="dxa"/>
            <w:tcBorders>
              <w:top w:val="single" w:sz="4" w:space="0" w:color="auto"/>
              <w:left w:val="nil"/>
              <w:bottom w:val="single" w:sz="4" w:space="0" w:color="auto"/>
            </w:tcBorders>
            <w:shd w:val="clear" w:color="auto" w:fill="auto"/>
            <w:noWrap/>
            <w:vAlign w:val="center"/>
            <w:hideMark/>
          </w:tcPr>
          <w:p w:rsidR="006A57B2" w:rsidRPr="0020245E" w:rsidRDefault="006A57B2" w:rsidP="009F7A8B">
            <w:pPr>
              <w:spacing w:after="0" w:line="240" w:lineRule="auto"/>
              <w:jc w:val="center"/>
              <w:rPr>
                <w:rFonts w:ascii="Calibri" w:hAnsi="Calibri"/>
                <w:color w:val="000000"/>
                <w:sz w:val="20"/>
                <w:szCs w:val="20"/>
              </w:rPr>
            </w:pPr>
            <w:r w:rsidRPr="0020245E">
              <w:rPr>
                <w:rFonts w:ascii="Calibri" w:hAnsi="Calibri"/>
                <w:color w:val="000000"/>
                <w:sz w:val="20"/>
                <w:szCs w:val="20"/>
              </w:rPr>
              <w:t>18.27, 23.16</w:t>
            </w:r>
          </w:p>
        </w:tc>
        <w:tc>
          <w:tcPr>
            <w:tcW w:w="993" w:type="dxa"/>
            <w:tcBorders>
              <w:top w:val="single" w:sz="4" w:space="0" w:color="auto"/>
              <w:bottom w:val="single" w:sz="4" w:space="0" w:color="auto"/>
              <w:right w:val="nil"/>
            </w:tcBorders>
            <w:shd w:val="clear" w:color="auto" w:fill="auto"/>
            <w:noWrap/>
            <w:vAlign w:val="center"/>
            <w:hideMark/>
          </w:tcPr>
          <w:p w:rsidR="006A57B2" w:rsidRPr="001A3F11" w:rsidRDefault="006A57B2" w:rsidP="009F7A8B">
            <w:pPr>
              <w:spacing w:after="0" w:line="240" w:lineRule="auto"/>
              <w:jc w:val="center"/>
              <w:rPr>
                <w:rFonts w:asciiTheme="majorHAnsi" w:eastAsia="Times New Roman" w:hAnsiTheme="majorHAnsi" w:cstheme="majorHAnsi"/>
                <w:color w:val="000000"/>
                <w:sz w:val="20"/>
                <w:szCs w:val="20"/>
                <w:lang w:eastAsia="en-GB"/>
              </w:rPr>
            </w:pPr>
            <w:r w:rsidRPr="001A3F11">
              <w:rPr>
                <w:rFonts w:asciiTheme="majorHAnsi" w:hAnsiTheme="majorHAnsi" w:cstheme="majorHAnsi"/>
                <w:sz w:val="20"/>
                <w:szCs w:val="20"/>
              </w:rPr>
              <w:t>22.09</w:t>
            </w:r>
          </w:p>
        </w:tc>
        <w:tc>
          <w:tcPr>
            <w:tcW w:w="1224" w:type="dxa"/>
            <w:tcBorders>
              <w:top w:val="single" w:sz="4" w:space="0" w:color="auto"/>
              <w:left w:val="nil"/>
              <w:bottom w:val="single" w:sz="4" w:space="0" w:color="auto"/>
            </w:tcBorders>
            <w:shd w:val="clear" w:color="auto" w:fill="auto"/>
            <w:noWrap/>
            <w:vAlign w:val="center"/>
            <w:hideMark/>
          </w:tcPr>
          <w:p w:rsidR="006A57B2" w:rsidRPr="0020245E" w:rsidRDefault="006A57B2" w:rsidP="009F7A8B">
            <w:pPr>
              <w:spacing w:after="0" w:line="240" w:lineRule="auto"/>
              <w:jc w:val="center"/>
              <w:rPr>
                <w:rFonts w:ascii="Calibri" w:hAnsi="Calibri"/>
                <w:color w:val="000000"/>
                <w:sz w:val="20"/>
                <w:szCs w:val="20"/>
              </w:rPr>
            </w:pPr>
            <w:r w:rsidRPr="0020245E">
              <w:rPr>
                <w:rFonts w:ascii="Calibri" w:hAnsi="Calibri"/>
                <w:color w:val="000000"/>
                <w:sz w:val="20"/>
                <w:szCs w:val="20"/>
              </w:rPr>
              <w:t>19.76, 24.51</w:t>
            </w:r>
          </w:p>
        </w:tc>
      </w:tr>
    </w:tbl>
    <w:p w:rsidR="006A57B2" w:rsidRPr="005B6ACD" w:rsidRDefault="006A57B2" w:rsidP="00B22173">
      <w:pPr>
        <w:spacing w:before="240"/>
        <w:rPr>
          <w:rFonts w:ascii="Calibri" w:eastAsia="Times New Roman" w:hAnsi="Calibri" w:cs="Times New Roman"/>
          <w:color w:val="000000"/>
          <w:lang w:eastAsia="en-GB"/>
        </w:rPr>
      </w:pPr>
    </w:p>
    <w:p w:rsidR="006A57B2" w:rsidRPr="005B6ACD" w:rsidRDefault="006A57B2" w:rsidP="00B22173">
      <w:pPr>
        <w:rPr>
          <w:rFonts w:ascii="Calibri" w:eastAsia="Times New Roman" w:hAnsi="Calibri" w:cs="Times New Roman"/>
          <w:color w:val="000000"/>
          <w:lang w:eastAsia="en-GB"/>
        </w:rPr>
      </w:pPr>
      <w:r w:rsidRPr="005B6ACD">
        <w:rPr>
          <w:rFonts w:ascii="Calibri" w:eastAsia="Times New Roman" w:hAnsi="Calibri" w:cs="Times New Roman"/>
          <w:color w:val="000000"/>
          <w:lang w:eastAsia="en-GB"/>
        </w:rPr>
        <w:br w:type="page"/>
      </w:r>
    </w:p>
    <w:p w:rsidR="006A57B2" w:rsidRPr="00BE078C" w:rsidRDefault="006A57B2" w:rsidP="003F1FF4">
      <w:pPr>
        <w:pStyle w:val="Caption"/>
        <w:rPr>
          <w:rFonts w:asciiTheme="majorHAnsi" w:eastAsia="Calibri" w:hAnsiTheme="majorHAnsi" w:cs="Times New Roman"/>
          <w:color w:val="2E74B5" w:themeColor="accent1" w:themeShade="BF"/>
          <w:sz w:val="22"/>
          <w:szCs w:val="22"/>
        </w:rPr>
      </w:pPr>
      <w:bookmarkStart w:id="103" w:name="_Toc428178948"/>
      <w:bookmarkStart w:id="104" w:name="_Toc418150501"/>
      <w:r w:rsidRPr="00BE078C">
        <w:rPr>
          <w:sz w:val="22"/>
          <w:szCs w:val="22"/>
        </w:rPr>
        <w:t xml:space="preserve">Figure </w:t>
      </w:r>
      <w:r>
        <w:rPr>
          <w:noProof/>
          <w:sz w:val="22"/>
          <w:szCs w:val="22"/>
        </w:rPr>
        <w:t>4</w:t>
      </w:r>
      <w:r w:rsidRPr="00BE078C">
        <w:rPr>
          <w:sz w:val="22"/>
          <w:szCs w:val="22"/>
        </w:rPr>
        <w:t xml:space="preserve">: </w:t>
      </w:r>
      <w:r>
        <w:rPr>
          <w:sz w:val="22"/>
          <w:szCs w:val="22"/>
        </w:rPr>
        <w:t>Flow diagram of the methods employed for the economic evaluation</w:t>
      </w:r>
      <w:r w:rsidRPr="00BE078C">
        <w:rPr>
          <w:rFonts w:asciiTheme="majorHAnsi" w:eastAsia="Calibri" w:hAnsiTheme="majorHAnsi" w:cs="Times New Roman"/>
          <w:color w:val="2E74B5" w:themeColor="accent1" w:themeShade="BF"/>
          <w:sz w:val="22"/>
          <w:szCs w:val="22"/>
        </w:rPr>
        <w:t>.</w:t>
      </w:r>
      <w:bookmarkEnd w:id="103"/>
    </w:p>
    <w:p w:rsidR="006A57B2" w:rsidRDefault="006A57B2">
      <w:pPr>
        <w:spacing w:after="0" w:line="240" w:lineRule="auto"/>
      </w:pPr>
    </w:p>
    <w:p w:rsidR="006A57B2" w:rsidRDefault="006A57B2">
      <w:pPr>
        <w:spacing w:after="0" w:line="240" w:lineRule="auto"/>
      </w:pPr>
      <w:r>
        <w:rPr>
          <w:noProof/>
          <w:lang w:eastAsia="en-GB"/>
        </w:rPr>
        <w:drawing>
          <wp:inline distT="0" distB="0" distL="0" distR="0" wp14:anchorId="019FDEC9" wp14:editId="6D3277AB">
            <wp:extent cx="5924422" cy="5311140"/>
            <wp:effectExtent l="0" t="0" r="635"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2008" cy="5308976"/>
                    </a:xfrm>
                    <a:prstGeom prst="rect">
                      <a:avLst/>
                    </a:prstGeom>
                    <a:noFill/>
                  </pic:spPr>
                </pic:pic>
              </a:graphicData>
            </a:graphic>
          </wp:inline>
        </w:drawing>
      </w:r>
    </w:p>
    <w:p w:rsidR="006A57B2" w:rsidRDefault="006A57B2">
      <w:pPr>
        <w:spacing w:after="0" w:line="240" w:lineRule="auto"/>
        <w:rPr>
          <w:b/>
          <w:bCs/>
          <w:color w:val="5B9BD5" w:themeColor="accent1"/>
        </w:rPr>
      </w:pPr>
      <w:r>
        <w:br w:type="page"/>
      </w:r>
    </w:p>
    <w:p w:rsidR="006A57B2" w:rsidRDefault="006A57B2" w:rsidP="006A4675">
      <w:pPr>
        <w:pStyle w:val="Caption"/>
        <w:rPr>
          <w:rFonts w:ascii="Calibri" w:eastAsia="Times New Roman" w:hAnsi="Calibri" w:cs="Times New Roman"/>
          <w:color w:val="000000"/>
          <w:sz w:val="24"/>
          <w:lang w:eastAsia="en-GB"/>
        </w:rPr>
      </w:pPr>
      <w:bookmarkStart w:id="105" w:name="_Toc428178949"/>
      <w:r w:rsidRPr="00BE078C">
        <w:rPr>
          <w:sz w:val="22"/>
          <w:szCs w:val="22"/>
        </w:rPr>
        <w:t xml:space="preserve">Figure </w:t>
      </w:r>
      <w:r>
        <w:rPr>
          <w:noProof/>
          <w:sz w:val="22"/>
          <w:szCs w:val="22"/>
        </w:rPr>
        <w:t>5</w:t>
      </w:r>
      <w:r w:rsidRPr="00BE078C">
        <w:rPr>
          <w:sz w:val="22"/>
          <w:szCs w:val="22"/>
        </w:rPr>
        <w:t xml:space="preserve">: </w:t>
      </w:r>
      <w:r>
        <w:rPr>
          <w:sz w:val="22"/>
          <w:szCs w:val="22"/>
        </w:rPr>
        <w:t>Ranking</w:t>
      </w:r>
      <w:r w:rsidRPr="00BE078C">
        <w:rPr>
          <w:sz w:val="22"/>
          <w:szCs w:val="22"/>
        </w:rPr>
        <w:t xml:space="preserve"> of total, 6-month costs by intervention group, indicating patients who experienced a bloodstream infection</w:t>
      </w:r>
      <w:r w:rsidRPr="00BE078C">
        <w:rPr>
          <w:rFonts w:asciiTheme="majorHAnsi" w:eastAsia="Calibri" w:hAnsiTheme="majorHAnsi" w:cs="Times New Roman"/>
          <w:color w:val="2E74B5" w:themeColor="accent1" w:themeShade="BF"/>
          <w:sz w:val="22"/>
          <w:szCs w:val="22"/>
        </w:rPr>
        <w:t>.</w:t>
      </w:r>
      <w:bookmarkEnd w:id="104"/>
      <w:bookmarkEnd w:id="105"/>
    </w:p>
    <w:p w:rsidR="006A57B2" w:rsidRDefault="006A57B2" w:rsidP="00737EE0">
      <w:pPr>
        <w:spacing w:after="0" w:line="240" w:lineRule="auto"/>
        <w:jc w:val="center"/>
        <w:rPr>
          <w:rFonts w:ascii="Calibri" w:eastAsia="Times New Roman" w:hAnsi="Calibri" w:cs="Times New Roman"/>
          <w:color w:val="000000"/>
          <w:sz w:val="24"/>
          <w:lang w:eastAsia="en-GB"/>
        </w:rPr>
      </w:pPr>
      <w:r>
        <w:rPr>
          <w:rFonts w:ascii="Calibri" w:eastAsia="Calibri" w:hAnsi="Calibri" w:cs="Times New Roman"/>
          <w:noProof/>
          <w:lang w:eastAsia="en-GB"/>
        </w:rPr>
        <w:drawing>
          <wp:inline distT="0" distB="0" distL="0" distR="0" wp14:anchorId="1501552C" wp14:editId="6F2D2C75">
            <wp:extent cx="5904000" cy="2755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4000" cy="2755200"/>
                    </a:xfrm>
                    <a:prstGeom prst="rect">
                      <a:avLst/>
                    </a:prstGeom>
                    <a:noFill/>
                  </pic:spPr>
                </pic:pic>
              </a:graphicData>
            </a:graphic>
          </wp:inline>
        </w:drawing>
      </w:r>
      <w:r>
        <w:rPr>
          <w:rFonts w:ascii="Calibri" w:eastAsia="Calibri" w:hAnsi="Calibri" w:cs="Times New Roman"/>
          <w:noProof/>
          <w:lang w:eastAsia="en-GB"/>
        </w:rPr>
        <w:drawing>
          <wp:inline distT="0" distB="0" distL="0" distR="0" wp14:anchorId="330F7C8A" wp14:editId="742993AB">
            <wp:extent cx="5904000" cy="276072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0" cy="2760726"/>
                    </a:xfrm>
                    <a:prstGeom prst="rect">
                      <a:avLst/>
                    </a:prstGeom>
                    <a:noFill/>
                  </pic:spPr>
                </pic:pic>
              </a:graphicData>
            </a:graphic>
          </wp:inline>
        </w:drawing>
      </w:r>
      <w:r>
        <w:rPr>
          <w:rFonts w:ascii="Calibri" w:eastAsia="Calibri" w:hAnsi="Calibri" w:cs="Times New Roman"/>
          <w:noProof/>
          <w:lang w:eastAsia="en-GB"/>
        </w:rPr>
        <w:drawing>
          <wp:inline distT="0" distB="0" distL="0" distR="0" wp14:anchorId="7A1309A5" wp14:editId="4765E8F7">
            <wp:extent cx="5904000" cy="276072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4000" cy="2760726"/>
                    </a:xfrm>
                    <a:prstGeom prst="rect">
                      <a:avLst/>
                    </a:prstGeom>
                    <a:noFill/>
                  </pic:spPr>
                </pic:pic>
              </a:graphicData>
            </a:graphic>
          </wp:inline>
        </w:drawing>
      </w:r>
    </w:p>
    <w:p w:rsidR="006A57B2" w:rsidRPr="00BE078C" w:rsidRDefault="006A57B2" w:rsidP="00752523">
      <w:pPr>
        <w:pStyle w:val="Caption"/>
        <w:rPr>
          <w:rFonts w:asciiTheme="majorHAnsi" w:hAnsiTheme="majorHAnsi"/>
          <w:color w:val="2E74B5" w:themeColor="accent1" w:themeShade="BF"/>
          <w:sz w:val="22"/>
          <w:szCs w:val="22"/>
        </w:rPr>
      </w:pPr>
      <w:bookmarkStart w:id="106" w:name="_Toc418150502"/>
      <w:bookmarkStart w:id="107" w:name="_Toc428178950"/>
      <w:r w:rsidRPr="00BE078C">
        <w:rPr>
          <w:sz w:val="22"/>
          <w:szCs w:val="22"/>
        </w:rPr>
        <w:t xml:space="preserve">Figure </w:t>
      </w:r>
      <w:r>
        <w:rPr>
          <w:noProof/>
          <w:sz w:val="22"/>
          <w:szCs w:val="22"/>
        </w:rPr>
        <w:t>6</w:t>
      </w:r>
      <w:r w:rsidRPr="00BE078C">
        <w:rPr>
          <w:sz w:val="22"/>
          <w:szCs w:val="22"/>
        </w:rPr>
        <w:t>: Cost-effectiveness acceptability curve</w:t>
      </w:r>
      <w:r>
        <w:rPr>
          <w:sz w:val="22"/>
          <w:szCs w:val="22"/>
        </w:rPr>
        <w:t xml:space="preserve"> </w:t>
      </w:r>
      <w:r w:rsidRPr="00FF11BF">
        <w:rPr>
          <w:sz w:val="22"/>
          <w:szCs w:val="22"/>
        </w:rPr>
        <w:t>based on a 6 month time horizon</w:t>
      </w:r>
      <w:r w:rsidRPr="00BE078C">
        <w:rPr>
          <w:sz w:val="22"/>
          <w:szCs w:val="22"/>
        </w:rPr>
        <w:t xml:space="preserve"> presenting the probability of antibiotic and standard CVCs being cost-effective for given values of ceiling ratio expressed as cost per bloodstream infection (BSI) averted</w:t>
      </w:r>
      <w:bookmarkEnd w:id="106"/>
      <w:bookmarkEnd w:id="107"/>
      <w:r w:rsidRPr="00BE078C">
        <w:rPr>
          <w:rFonts w:asciiTheme="majorHAnsi" w:hAnsiTheme="majorHAnsi"/>
          <w:b w:val="0"/>
          <w:color w:val="2E74B5" w:themeColor="accent1" w:themeShade="BF"/>
          <w:sz w:val="22"/>
          <w:szCs w:val="22"/>
        </w:rPr>
        <w:t xml:space="preserve"> </w:t>
      </w:r>
    </w:p>
    <w:p w:rsidR="006A57B2" w:rsidRPr="00A132D0" w:rsidRDefault="006A57B2" w:rsidP="00B22173">
      <w:pPr>
        <w:rPr>
          <w:rFonts w:ascii="Calibri" w:eastAsia="Times New Roman" w:hAnsi="Calibri" w:cs="Times New Roman"/>
          <w:color w:val="000000"/>
          <w:sz w:val="24"/>
          <w:lang w:eastAsia="en-GB"/>
        </w:rPr>
      </w:pPr>
      <w:r>
        <w:rPr>
          <w:noProof/>
          <w:lang w:eastAsia="en-GB"/>
        </w:rPr>
        <w:drawing>
          <wp:inline distT="0" distB="0" distL="0" distR="0" wp14:anchorId="2BA72678" wp14:editId="467BA229">
            <wp:extent cx="5661660" cy="3816669"/>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57B2" w:rsidRPr="00BE078C" w:rsidRDefault="006A57B2" w:rsidP="00E7253D">
      <w:pPr>
        <w:pStyle w:val="Caption"/>
        <w:rPr>
          <w:sz w:val="22"/>
          <w:szCs w:val="22"/>
        </w:rPr>
      </w:pPr>
      <w:bookmarkStart w:id="108" w:name="_Toc418150503"/>
      <w:bookmarkStart w:id="109" w:name="_Toc428178951"/>
      <w:r w:rsidRPr="00BE078C">
        <w:rPr>
          <w:sz w:val="22"/>
          <w:szCs w:val="22"/>
        </w:rPr>
        <w:t xml:space="preserve">Figure </w:t>
      </w:r>
      <w:r>
        <w:rPr>
          <w:noProof/>
          <w:sz w:val="22"/>
          <w:szCs w:val="22"/>
        </w:rPr>
        <w:t>7</w:t>
      </w:r>
      <w:r w:rsidRPr="00BE078C">
        <w:rPr>
          <w:sz w:val="22"/>
          <w:szCs w:val="22"/>
        </w:rPr>
        <w:t>: Relation between total costs (cumulative) and time since randomisation, according to intervention group</w:t>
      </w:r>
      <w:bookmarkEnd w:id="108"/>
      <w:bookmarkEnd w:id="109"/>
      <w:r>
        <w:rPr>
          <w:sz w:val="22"/>
          <w:szCs w:val="22"/>
        </w:rPr>
        <w:t xml:space="preserve"> </w:t>
      </w:r>
    </w:p>
    <w:p w:rsidR="006A57B2" w:rsidRDefault="006A57B2" w:rsidP="009F7A8B">
      <w:pPr>
        <w:pStyle w:val="Caption"/>
      </w:pPr>
      <w:r>
        <w:rPr>
          <w:rFonts w:asciiTheme="majorHAnsi" w:hAnsiTheme="majorHAnsi"/>
          <w:b w:val="0"/>
          <w:color w:val="2E74B5" w:themeColor="accent1" w:themeShade="BF"/>
          <w:sz w:val="20"/>
          <w:szCs w:val="20"/>
        </w:rPr>
        <w:t xml:space="preserve"> </w:t>
      </w:r>
      <w:r>
        <w:rPr>
          <w:noProof/>
          <w:lang w:eastAsia="en-GB"/>
        </w:rPr>
        <w:drawing>
          <wp:inline distT="0" distB="0" distL="0" distR="0" wp14:anchorId="1008CD33" wp14:editId="3CB4C9E3">
            <wp:extent cx="5730875" cy="3352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3352800"/>
                    </a:xfrm>
                    <a:prstGeom prst="rect">
                      <a:avLst/>
                    </a:prstGeom>
                    <a:noFill/>
                  </pic:spPr>
                </pic:pic>
              </a:graphicData>
            </a:graphic>
          </wp:inline>
        </w:drawing>
      </w:r>
    </w:p>
    <w:p w:rsidR="006A57B2" w:rsidRPr="00BE078C" w:rsidRDefault="006A57B2" w:rsidP="00E7253D">
      <w:pPr>
        <w:pStyle w:val="Caption"/>
        <w:rPr>
          <w:rFonts w:asciiTheme="majorHAnsi" w:hAnsiTheme="majorHAnsi"/>
          <w:color w:val="2E74B5" w:themeColor="accent1" w:themeShade="BF"/>
          <w:sz w:val="22"/>
          <w:szCs w:val="22"/>
        </w:rPr>
      </w:pPr>
      <w:bookmarkStart w:id="110" w:name="_Toc418150504"/>
      <w:bookmarkStart w:id="111" w:name="_Toc428178952"/>
      <w:r w:rsidRPr="00BE078C">
        <w:rPr>
          <w:sz w:val="22"/>
          <w:szCs w:val="22"/>
        </w:rPr>
        <w:t xml:space="preserve">Figure </w:t>
      </w:r>
      <w:r>
        <w:rPr>
          <w:noProof/>
          <w:sz w:val="22"/>
          <w:szCs w:val="22"/>
        </w:rPr>
        <w:t>8</w:t>
      </w:r>
      <w:r w:rsidRPr="00BE078C">
        <w:rPr>
          <w:sz w:val="22"/>
          <w:szCs w:val="22"/>
        </w:rPr>
        <w:t>: Relation between the ICER for antibiotic CVC versus standard CVC, and time since randomisation. Positive ICERs are cost-incurring, negative values represent incremental savings per BSI averted</w:t>
      </w:r>
      <w:bookmarkEnd w:id="110"/>
      <w:bookmarkEnd w:id="111"/>
      <w:r w:rsidRPr="00BE078C">
        <w:rPr>
          <w:rFonts w:asciiTheme="majorHAnsi" w:hAnsiTheme="majorHAnsi"/>
          <w:b w:val="0"/>
          <w:color w:val="2E74B5" w:themeColor="accent1" w:themeShade="BF"/>
          <w:sz w:val="22"/>
          <w:szCs w:val="22"/>
        </w:rPr>
        <w:t xml:space="preserve"> </w:t>
      </w:r>
    </w:p>
    <w:p w:rsidR="006A57B2" w:rsidRPr="005B6ACD" w:rsidRDefault="006A57B2" w:rsidP="00B22173">
      <w:r w:rsidRPr="005B6ACD">
        <w:rPr>
          <w:noProof/>
          <w:lang w:eastAsia="en-GB"/>
        </w:rPr>
        <w:drawing>
          <wp:inline distT="0" distB="0" distL="0" distR="0" wp14:anchorId="7EB1D151" wp14:editId="06B8180D">
            <wp:extent cx="5731510" cy="3418533"/>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418533"/>
                    </a:xfrm>
                    <a:prstGeom prst="rect">
                      <a:avLst/>
                    </a:prstGeom>
                    <a:noFill/>
                    <a:ln>
                      <a:noFill/>
                    </a:ln>
                  </pic:spPr>
                </pic:pic>
              </a:graphicData>
            </a:graphic>
          </wp:inline>
        </w:drawing>
      </w:r>
    </w:p>
    <w:p w:rsidR="006A57B2" w:rsidRDefault="006A57B2" w:rsidP="009F7A8B">
      <w:bookmarkStart w:id="112" w:name="_Toc418857498"/>
    </w:p>
    <w:p w:rsidR="006A57B2" w:rsidRDefault="006A57B2" w:rsidP="009F7A8B"/>
    <w:p w:rsidR="006A57B2" w:rsidRDefault="006A57B2" w:rsidP="009F7A8B"/>
    <w:p w:rsidR="006A57B2" w:rsidRDefault="006A57B2" w:rsidP="009F7A8B"/>
    <w:p w:rsidR="006A57B2" w:rsidRDefault="006A57B2" w:rsidP="009F7A8B"/>
    <w:p w:rsidR="006A57B2" w:rsidRDefault="006A57B2" w:rsidP="009F7A8B"/>
    <w:p w:rsidR="006A57B2" w:rsidRDefault="006A57B2" w:rsidP="00B22173">
      <w:pPr>
        <w:pStyle w:val="Heading1"/>
        <w:spacing w:line="360" w:lineRule="auto"/>
      </w:pPr>
    </w:p>
    <w:p w:rsidR="006A57B2" w:rsidRDefault="006A57B2" w:rsidP="009F7A8B"/>
    <w:p w:rsidR="006A57B2" w:rsidRDefault="006A57B2" w:rsidP="009F7A8B"/>
    <w:p w:rsidR="006A57B2" w:rsidRPr="009F7A8B" w:rsidRDefault="006A57B2" w:rsidP="009F7A8B"/>
    <w:p w:rsidR="006A57B2" w:rsidRDefault="006A57B2" w:rsidP="00B22173">
      <w:pPr>
        <w:pStyle w:val="Heading1"/>
        <w:spacing w:line="360" w:lineRule="auto"/>
      </w:pPr>
      <w:bookmarkStart w:id="113" w:name="_Toc428195180"/>
      <w:r>
        <w:t>CHAPTER 5 GENERALISABILITY STUDY</w:t>
      </w:r>
      <w:bookmarkEnd w:id="112"/>
      <w:bookmarkEnd w:id="113"/>
    </w:p>
    <w:p w:rsidR="006A57B2" w:rsidRDefault="006A57B2" w:rsidP="00B22173">
      <w:pPr>
        <w:pStyle w:val="Heading2"/>
        <w:spacing w:line="360" w:lineRule="auto"/>
      </w:pPr>
      <w:bookmarkStart w:id="114" w:name="_Toc418857499"/>
      <w:bookmarkStart w:id="115" w:name="_Toc428195181"/>
      <w:r>
        <w:t>Introduction</w:t>
      </w:r>
      <w:bookmarkEnd w:id="114"/>
      <w:bookmarkEnd w:id="115"/>
    </w:p>
    <w:p w:rsidR="006A57B2" w:rsidRPr="00F81F7C" w:rsidRDefault="006A57B2" w:rsidP="00B22173">
      <w:pPr>
        <w:spacing w:line="360" w:lineRule="auto"/>
        <w:rPr>
          <w:rFonts w:cstheme="minorHAnsi"/>
        </w:rPr>
      </w:pPr>
      <w:r w:rsidRPr="00F81F7C">
        <w:rPr>
          <w:rFonts w:cstheme="minorHAnsi"/>
        </w:rPr>
        <w:t>CATCH was the largest trial in PICU to date, recruiting 1485 children within 14 PICUs in 12 NHS Trusts in England, corresponding to 5% of children admitted to all PICUs</w:t>
      </w:r>
      <w:r w:rsidRPr="00AB54A0">
        <w:rPr>
          <w:rFonts w:cstheme="minorHAnsi"/>
        </w:rPr>
        <w:t xml:space="preserve"> in England</w:t>
      </w:r>
      <w:r w:rsidRPr="00F81F7C">
        <w:rPr>
          <w:rFonts w:cstheme="minorHAnsi"/>
        </w:rPr>
        <w:t xml:space="preserve"> and Wales during the trial period (2010-2012). However, if antibiotic-impregnated CVCs were adopted, it is likely that the</w:t>
      </w:r>
      <w:r>
        <w:rPr>
          <w:rFonts w:cstheme="minorHAnsi"/>
        </w:rPr>
        <w:t>se CVCs</w:t>
      </w:r>
      <w:r w:rsidRPr="00F81F7C">
        <w:rPr>
          <w:rFonts w:cstheme="minorHAnsi"/>
        </w:rPr>
        <w:t xml:space="preserve"> would be bulk-purchased and used for all children requiring CVCs in PICU, not just children like those in the trial. Decisions on whether to purchase antibiotic-impregnated CVCs therefore need to take into account the generalisability of benefits to all children who need a CVC and the cost-impact of purchasing the more expensive impregnated CVCs.</w:t>
      </w:r>
    </w:p>
    <w:p w:rsidR="006A57B2" w:rsidRPr="00F81F7C" w:rsidRDefault="006A57B2" w:rsidP="00B22173">
      <w:pPr>
        <w:spacing w:line="360" w:lineRule="auto"/>
        <w:rPr>
          <w:rFonts w:cstheme="minorHAnsi"/>
        </w:rPr>
      </w:pPr>
      <w:r w:rsidRPr="00F81F7C">
        <w:rPr>
          <w:rFonts w:cstheme="minorHAnsi"/>
        </w:rPr>
        <w:t>In terms of generalisability, trial populations may have different characteristics and outcomes from those who receive the intervention in practice, for a variety of reasons.</w:t>
      </w:r>
      <w:r w:rsidRPr="00607F48">
        <w:rPr>
          <w:rFonts w:cstheme="minorHAnsi"/>
          <w:noProof/>
          <w:vertAlign w:val="superscript"/>
        </w:rPr>
        <w:t>76</w:t>
      </w:r>
      <w:r w:rsidRPr="00F81F7C">
        <w:rPr>
          <w:rFonts w:cstheme="minorHAnsi"/>
        </w:rPr>
        <w:t xml:space="preserve"> For CATCH, there were two specific reasons why those recruited might differ from those likely to receive impregnated CVCs outside the trial setting. Firstly, children recruited to CATCH were expected to require a CVC for three or more days, and would therefore have a higher risk of BSI than those staying less than </w:t>
      </w:r>
      <w:r>
        <w:rPr>
          <w:rFonts w:cstheme="minorHAnsi"/>
        </w:rPr>
        <w:t>three</w:t>
      </w:r>
      <w:r w:rsidRPr="00F81F7C">
        <w:rPr>
          <w:rFonts w:cstheme="minorHAnsi"/>
        </w:rPr>
        <w:t xml:space="preserve"> days. Secondly, the introduction of CVC care bundles and on-going improvements in infection control in recent years have been associated with rapidly decreasing rates of BSI over the past decade</w:t>
      </w:r>
      <w:r>
        <w:rPr>
          <w:rFonts w:cstheme="minorHAnsi"/>
        </w:rPr>
        <w:t>,</w:t>
      </w:r>
      <w:r w:rsidRPr="00AF49D3">
        <w:rPr>
          <w:rFonts w:cstheme="minorHAnsi"/>
        </w:rPr>
        <w:t xml:space="preserve"> </w:t>
      </w:r>
      <w:r w:rsidRPr="00F81F7C">
        <w:rPr>
          <w:rFonts w:cstheme="minorHAnsi"/>
        </w:rPr>
        <w:t>meaning that the background BSI rate may be lower now than it was at the start of the trial</w:t>
      </w:r>
      <w:r>
        <w:rPr>
          <w:rFonts w:cstheme="minorHAnsi"/>
        </w:rPr>
        <w:t>.</w:t>
      </w:r>
      <w:r w:rsidRPr="00607F48">
        <w:rPr>
          <w:rFonts w:cstheme="minorHAnsi"/>
          <w:noProof/>
          <w:vertAlign w:val="superscript"/>
        </w:rPr>
        <w:t>33, 34</w:t>
      </w:r>
    </w:p>
    <w:p w:rsidR="006A57B2" w:rsidRPr="00F81F7C" w:rsidRDefault="006A57B2" w:rsidP="00B22173">
      <w:pPr>
        <w:spacing w:line="360" w:lineRule="auto"/>
        <w:rPr>
          <w:rFonts w:cstheme="minorHAnsi"/>
        </w:rPr>
      </w:pPr>
      <w:r w:rsidRPr="00F81F7C">
        <w:rPr>
          <w:rFonts w:cstheme="minorHAnsi"/>
        </w:rPr>
        <w:t>In terms of budget-impact, impregnated CVCs are approximately twice as expensive as standard CVCs. However, additional costs might be outweighed by the number of BSIs averted through using the more effective CVCs and the associated reduction in the use of healthcare resources.</w:t>
      </w:r>
    </w:p>
    <w:p w:rsidR="006A57B2" w:rsidRPr="00F81F7C" w:rsidRDefault="006A57B2" w:rsidP="00B22173">
      <w:pPr>
        <w:spacing w:line="360" w:lineRule="auto"/>
        <w:rPr>
          <w:rFonts w:cstheme="minorHAnsi"/>
        </w:rPr>
      </w:pPr>
      <w:r w:rsidRPr="00F81F7C">
        <w:rPr>
          <w:rFonts w:cstheme="minorHAnsi"/>
        </w:rPr>
        <w:t>We determined the generalisability of the CATCH trial findings by estimating risk-adjusted trends in BSI for children expected to require CVCs in PICU, based on a data linkage study including children not participating in CATCH.</w:t>
      </w:r>
      <w:r w:rsidRPr="00607F48">
        <w:rPr>
          <w:rFonts w:cstheme="minorHAnsi"/>
          <w:noProof/>
          <w:vertAlign w:val="superscript"/>
        </w:rPr>
        <w:t>77</w:t>
      </w:r>
      <w:r w:rsidRPr="00F81F7C">
        <w:rPr>
          <w:rFonts w:cstheme="minorHAnsi"/>
        </w:rPr>
        <w:t xml:space="preserve"> We determined the budget- and cost-impacts of adopting antibiotic-impregnated CVCs for all children required CVCs in PICU by synthesising the following evidence: i) the estimated risk of BSI using standard CVCs (derived from the data linkage study); ii) the number of BSI potentially averted by using antibiotic-impregnated CVCs (based on the relative treatment effect in the trial); iii) the additional costs associated with purchasing impregnated CVCs for all children expected to require a CVC (numbers of CVCs based on PICU survey data); and iv) the value of the healthcare resources associated with each BSI (from the</w:t>
      </w:r>
      <w:r>
        <w:rPr>
          <w:rFonts w:cstheme="minorHAnsi"/>
        </w:rPr>
        <w:t xml:space="preserve"> CATCH cost-effectiveness analysis</w:t>
      </w:r>
      <w:r w:rsidRPr="00F81F7C">
        <w:rPr>
          <w:rFonts w:cstheme="minorHAnsi"/>
        </w:rPr>
        <w:t>).</w:t>
      </w:r>
    </w:p>
    <w:p w:rsidR="006A57B2" w:rsidRDefault="006A57B2" w:rsidP="00B22173">
      <w:pPr>
        <w:pStyle w:val="Heading2"/>
        <w:spacing w:line="360" w:lineRule="auto"/>
      </w:pPr>
      <w:bookmarkStart w:id="116" w:name="_Toc418857500"/>
      <w:bookmarkStart w:id="117" w:name="_Toc428195182"/>
      <w:r>
        <w:t>Methods</w:t>
      </w:r>
      <w:bookmarkEnd w:id="116"/>
      <w:bookmarkEnd w:id="117"/>
      <w:r>
        <w:t xml:space="preserve"> </w:t>
      </w:r>
    </w:p>
    <w:p w:rsidR="006A57B2" w:rsidRPr="00026CBD" w:rsidRDefault="006A57B2" w:rsidP="00452F22">
      <w:pPr>
        <w:pStyle w:val="Heading4"/>
        <w:rPr>
          <w:rStyle w:val="IntenseEmphasis"/>
          <w:b/>
          <w:bCs/>
          <w:i/>
          <w:iCs/>
        </w:rPr>
      </w:pPr>
      <w:r w:rsidRPr="00026CBD">
        <w:rPr>
          <w:rStyle w:val="IntenseEmphasis"/>
        </w:rPr>
        <w:t>Rate of BSI using standard CVCs</w:t>
      </w:r>
    </w:p>
    <w:p w:rsidR="006A57B2" w:rsidRPr="00A305AC" w:rsidRDefault="006A57B2" w:rsidP="00B22173">
      <w:pPr>
        <w:spacing w:before="120" w:line="360" w:lineRule="auto"/>
        <w:rPr>
          <w:rFonts w:eastAsiaTheme="minorEastAsia"/>
          <w:u w:val="single"/>
          <w:lang w:eastAsia="en-GB"/>
        </w:rPr>
      </w:pPr>
      <w:r w:rsidRPr="00A305AC">
        <w:rPr>
          <w:u w:val="single"/>
        </w:rPr>
        <w:t>Data sources</w:t>
      </w:r>
    </w:p>
    <w:p w:rsidR="006A57B2" w:rsidRDefault="006A57B2" w:rsidP="00B22173">
      <w:pPr>
        <w:spacing w:line="360" w:lineRule="auto"/>
      </w:pPr>
      <w:r>
        <w:rPr>
          <w:rFonts w:eastAsia="Times New Roman" w:cs="Times New Roman"/>
          <w:szCs w:val="24"/>
        </w:rPr>
        <w:t>There is no single dataset from which the rate of BSI in PICUs across the NHS can be estimated for children requiring standard CVCs. Linkage between the national laboratory surveillance system coordinated by Public Health England (</w:t>
      </w:r>
      <w:r w:rsidRPr="0026570B">
        <w:rPr>
          <w:rFonts w:eastAsia="Times New Roman" w:cs="Times New Roman"/>
          <w:szCs w:val="24"/>
        </w:rPr>
        <w:t>LabBase2)</w:t>
      </w:r>
      <w:r>
        <w:rPr>
          <w:rFonts w:eastAsia="Times New Roman" w:cs="Times New Roman"/>
          <w:szCs w:val="24"/>
        </w:rPr>
        <w:t xml:space="preserve"> </w:t>
      </w:r>
      <w:r w:rsidRPr="00607F48">
        <w:rPr>
          <w:rFonts w:eastAsia="Times New Roman" w:cs="Times New Roman"/>
          <w:noProof/>
          <w:szCs w:val="24"/>
          <w:vertAlign w:val="superscript"/>
        </w:rPr>
        <w:t>78</w:t>
      </w:r>
      <w:r w:rsidRPr="0026570B">
        <w:rPr>
          <w:rFonts w:eastAsia="Times New Roman" w:cs="Times New Roman"/>
          <w:szCs w:val="24"/>
        </w:rPr>
        <w:t xml:space="preserve"> and data from</w:t>
      </w:r>
      <w:r>
        <w:rPr>
          <w:rFonts w:eastAsia="Times New Roman" w:cs="Times New Roman"/>
          <w:szCs w:val="24"/>
        </w:rPr>
        <w:t xml:space="preserve"> the Paediatric Intensive Care Audit Network (</w:t>
      </w:r>
      <w:r w:rsidRPr="0026570B">
        <w:rPr>
          <w:rFonts w:eastAsia="Times New Roman" w:cs="Times New Roman"/>
          <w:szCs w:val="24"/>
        </w:rPr>
        <w:t>PICANet)</w:t>
      </w:r>
      <w:r>
        <w:rPr>
          <w:rFonts w:eastAsia="Times New Roman" w:cs="Times New Roman"/>
          <w:szCs w:val="24"/>
        </w:rPr>
        <w:t xml:space="preserve"> </w:t>
      </w:r>
      <w:r w:rsidRPr="00607F48">
        <w:rPr>
          <w:rFonts w:eastAsia="Times New Roman" w:cs="Times New Roman"/>
          <w:noProof/>
          <w:szCs w:val="24"/>
          <w:vertAlign w:val="superscript"/>
        </w:rPr>
        <w:t>56</w:t>
      </w:r>
      <w:r w:rsidRPr="0026570B">
        <w:rPr>
          <w:rFonts w:eastAsia="Times New Roman" w:cs="Times New Roman"/>
          <w:szCs w:val="24"/>
        </w:rPr>
        <w:t xml:space="preserve"> has provided an enhanced</w:t>
      </w:r>
      <w:r>
        <w:rPr>
          <w:rFonts w:eastAsia="Times New Roman" w:cs="Times New Roman"/>
          <w:szCs w:val="24"/>
        </w:rPr>
        <w:t xml:space="preserve"> dataset from which to estimate the baseline rate of BSI.</w:t>
      </w:r>
      <w:r>
        <w:t xml:space="preserve"> </w:t>
      </w:r>
    </w:p>
    <w:p w:rsidR="006A57B2" w:rsidRPr="00F97EA0" w:rsidRDefault="006A57B2" w:rsidP="00B22173">
      <w:pPr>
        <w:spacing w:line="360" w:lineRule="auto"/>
      </w:pPr>
      <w:r w:rsidRPr="00F97EA0">
        <w:t>Details of the data linkage study have been published elsewhere.</w:t>
      </w:r>
      <w:r w:rsidRPr="00607F48">
        <w:rPr>
          <w:noProof/>
          <w:vertAlign w:val="superscript"/>
        </w:rPr>
        <w:t>77</w:t>
      </w:r>
      <w:r w:rsidRPr="00F97EA0">
        <w:t xml:space="preserve"> </w:t>
      </w:r>
      <w:r w:rsidRPr="00F97EA0">
        <w:rPr>
          <w:rFonts w:eastAsia="Times New Roman" w:cs="Calibri"/>
        </w:rPr>
        <w:t>Briefly, a combination of deterministic linkage and a method called prior-informed imputation was used to identify PICANet admission records that had a corresponding record of BSI in LabBase2.</w:t>
      </w:r>
      <w:r w:rsidRPr="00607F48">
        <w:rPr>
          <w:rFonts w:eastAsia="Times New Roman" w:cs="Calibri"/>
          <w:noProof/>
          <w:vertAlign w:val="superscript"/>
        </w:rPr>
        <w:t>79, 80</w:t>
      </w:r>
      <w:r w:rsidRPr="00F97EA0">
        <w:rPr>
          <w:rFonts w:eastAsia="Times New Roman" w:cs="Calibri"/>
        </w:rPr>
        <w:t xml:space="preserve"> A set of deterministic rules based on</w:t>
      </w:r>
      <w:r>
        <w:rPr>
          <w:rFonts w:eastAsia="Times New Roman" w:cs="Calibri"/>
        </w:rPr>
        <w:t xml:space="preserve"> agreement between NHS number, h</w:t>
      </w:r>
      <w:r w:rsidRPr="00F97EA0">
        <w:rPr>
          <w:rFonts w:eastAsia="Times New Roman" w:cs="Calibri"/>
        </w:rPr>
        <w:t>ospital number, first name, surname, date of birth and postcode were used to identify unequivocal links. For the remaining records, match probabilities were calculated based on date of birth, Soundex code for surname, sex and location (laboratory and hospital). Match probabilities were used to inform imputation of values for uncertain links using prior-informed imputation.</w:t>
      </w:r>
      <w:r w:rsidRPr="00607F48">
        <w:rPr>
          <w:rFonts w:eastAsia="Times New Roman" w:cs="Calibri"/>
          <w:noProof/>
          <w:vertAlign w:val="superscript"/>
        </w:rPr>
        <w:t>79, 80</w:t>
      </w:r>
      <w:r w:rsidRPr="00F97EA0">
        <w:rPr>
          <w:rFonts w:eastAsia="Times New Roman" w:cs="Calibri"/>
          <w:shd w:val="clear" w:color="auto" w:fill="FFFFFF"/>
        </w:rPr>
        <w:t xml:space="preserve"> Five imputed datasets were produced and analysed separately, with results combined using Rubin’s rules.</w:t>
      </w:r>
      <w:r w:rsidRPr="00607F48">
        <w:rPr>
          <w:rFonts w:eastAsia="Times New Roman" w:cs="Calibri"/>
          <w:noProof/>
          <w:shd w:val="clear" w:color="auto" w:fill="FFFFFF"/>
          <w:vertAlign w:val="superscript"/>
        </w:rPr>
        <w:t>81</w:t>
      </w:r>
      <w:r w:rsidRPr="00F97EA0">
        <w:t xml:space="preserve"> </w:t>
      </w:r>
    </w:p>
    <w:p w:rsidR="006A57B2" w:rsidRDefault="006A57B2" w:rsidP="00B22173">
      <w:pPr>
        <w:spacing w:line="360" w:lineRule="auto"/>
      </w:pPr>
      <w:r>
        <w:t xml:space="preserve">The resulting linked dataset captured approximately 71% of all children aged &lt;16 years, admitted to 20 of the 25 PICUs in England and Wales between March 2003 and December 2012 and is broadly representative of the whole PICU </w:t>
      </w:r>
      <w:r w:rsidRPr="0026570B">
        <w:t>population.</w:t>
      </w:r>
      <w:r w:rsidRPr="00607F48">
        <w:rPr>
          <w:noProof/>
          <w:vertAlign w:val="superscript"/>
        </w:rPr>
        <w:t>82</w:t>
      </w:r>
      <w:r w:rsidRPr="0026570B">
        <w:t xml:space="preserve"> </w:t>
      </w:r>
      <w:r>
        <w:t>As some PICUs used impregnated CVCs for some patients, we restricted the linked dataset to children expected to require a standard CVC in PICUs in England. Types of CVCs used for emergency and elective admissions at each PICU were derived from responses to a PICU practice survey sent to a designated consultant at each PICU in 2009. Where no response was obtained or the PICU was not included in the survey, we assumed that standard CVCs were used.</w:t>
      </w:r>
    </w:p>
    <w:p w:rsidR="006A57B2" w:rsidRPr="00A305AC" w:rsidRDefault="006A57B2" w:rsidP="00B22173">
      <w:pPr>
        <w:spacing w:line="360" w:lineRule="auto"/>
        <w:rPr>
          <w:u w:val="single"/>
        </w:rPr>
      </w:pPr>
      <w:r w:rsidRPr="00A305AC">
        <w:rPr>
          <w:u w:val="single"/>
        </w:rPr>
        <w:t>Identifying children with CVCs</w:t>
      </w:r>
    </w:p>
    <w:p w:rsidR="006A57B2" w:rsidRDefault="006A57B2" w:rsidP="00B22173">
      <w:pPr>
        <w:spacing w:line="360" w:lineRule="auto"/>
      </w:pPr>
      <w:r>
        <w:t xml:space="preserve">CVC use is not routinely captured for all admissions in PICANet, so we identified admissions likely to have a CVC using a statistical model. We estimated the probability of CVC use for all admissions based on a subset of individual-level audit data where CVC used was recorded. Presence of a CVC was recorded for 2488 admissions as part of two audits: Great Ormond Street Hospital (January 2006 - December 2010) and Cambridge Addenbrooke’s Hospital (July 2009 - December 2009). We used a multivariable logistic regression model to predict the probability of CVC use for all admissions, based on potentially predictive variables recorded in PICANet (e.g. use of vasoactive agents, length of stay and other clinical factors). The best-fitting predictive model was chosen based on Bayesian Information Criterion (BIC). </w:t>
      </w:r>
    </w:p>
    <w:p w:rsidR="006A57B2" w:rsidRDefault="006A57B2" w:rsidP="00B22173">
      <w:pPr>
        <w:spacing w:line="360" w:lineRule="auto"/>
      </w:pPr>
      <w:r>
        <w:t xml:space="preserve">The internal validity of the model was assessed using </w:t>
      </w:r>
      <w:r w:rsidRPr="001B0323">
        <w:t>bootstrapping, accounting for any model over-fitting due to developing and testing the model in the same dataset.</w:t>
      </w:r>
      <w:r w:rsidRPr="00607F48">
        <w:rPr>
          <w:noProof/>
          <w:vertAlign w:val="superscript"/>
        </w:rPr>
        <w:t>83-85</w:t>
      </w:r>
      <w:r>
        <w:t xml:space="preserve"> The external validity was assessed using aggregate data from a further two PICUs. We identified the subset of </w:t>
      </w:r>
      <w:r w:rsidRPr="001B0323">
        <w:t>admissions most likely to have required a CVC using a probability cut-off based on the Youden index.</w:t>
      </w:r>
      <w:r w:rsidRPr="00607F48">
        <w:rPr>
          <w:noProof/>
          <w:vertAlign w:val="superscript"/>
        </w:rPr>
        <w:t>86</w:t>
      </w:r>
      <w:r>
        <w:t xml:space="preserve"> Full details of the predictive model are </w:t>
      </w:r>
      <w:r w:rsidRPr="004062E9">
        <w:t xml:space="preserve">provided in </w:t>
      </w:r>
      <w:r>
        <w:t>Appendix 3</w:t>
      </w:r>
      <w:r w:rsidRPr="00857473">
        <w:t>.</w:t>
      </w:r>
      <w:r>
        <w:t xml:space="preserve">1.  </w:t>
      </w:r>
    </w:p>
    <w:p w:rsidR="006A57B2" w:rsidRDefault="006A57B2" w:rsidP="00B22173">
      <w:pPr>
        <w:spacing w:line="360" w:lineRule="auto"/>
      </w:pPr>
      <w:r>
        <w:t xml:space="preserve">Estimated BSI rates were based on the subset of admissions identified by the predictive model as most likely to have received standard CVCs. </w:t>
      </w:r>
    </w:p>
    <w:p w:rsidR="006A57B2" w:rsidRPr="00A305AC" w:rsidRDefault="006A57B2" w:rsidP="00B22173">
      <w:pPr>
        <w:spacing w:line="360" w:lineRule="auto"/>
        <w:rPr>
          <w:u w:val="single"/>
        </w:rPr>
      </w:pPr>
      <w:r w:rsidRPr="00A305AC">
        <w:rPr>
          <w:u w:val="single"/>
        </w:rPr>
        <w:t>Case definition</w:t>
      </w:r>
    </w:p>
    <w:p w:rsidR="006A57B2" w:rsidRDefault="006A57B2" w:rsidP="00B22173">
      <w:pPr>
        <w:spacing w:line="360" w:lineRule="auto"/>
      </w:pPr>
      <w:r>
        <w:t xml:space="preserve">We estimated CVC days at risk of BSI by assuming that for children expected to require a CVC, bed-days </w:t>
      </w:r>
      <w:r w:rsidRPr="00FF11BF">
        <w:t>in PICU</w:t>
      </w:r>
      <w:r>
        <w:t xml:space="preserve"> were equivalent to CVC-days, i.e. that CVCs were inserted at admission and removed at discharge from PICU. We</w:t>
      </w:r>
      <w:r w:rsidRPr="00D9113F">
        <w:t xml:space="preserve"> defined an episode of BSI as any positive blood culture isolated from </w:t>
      </w:r>
      <w:r>
        <w:t>a</w:t>
      </w:r>
      <w:r w:rsidRPr="00D9113F">
        <w:t xml:space="preserve"> blood sample taken from two days after admission to two days after discharge from PICU. Repeated samples with positive cultures of the same organism within 14 days we</w:t>
      </w:r>
      <w:r>
        <w:t>re treated as the same episode.</w:t>
      </w:r>
    </w:p>
    <w:p w:rsidR="006A57B2" w:rsidRPr="00A305AC" w:rsidRDefault="006A57B2" w:rsidP="00B22173">
      <w:pPr>
        <w:spacing w:line="360" w:lineRule="auto"/>
        <w:rPr>
          <w:rFonts w:cstheme="minorHAnsi"/>
          <w:u w:val="single"/>
        </w:rPr>
      </w:pPr>
      <w:r w:rsidRPr="00A305AC">
        <w:rPr>
          <w:u w:val="single"/>
        </w:rPr>
        <w:t>Statistical analysis</w:t>
      </w:r>
    </w:p>
    <w:p w:rsidR="006A57B2" w:rsidRDefault="006A57B2" w:rsidP="00B22173">
      <w:pPr>
        <w:spacing w:line="360" w:lineRule="auto"/>
      </w:pPr>
      <w:r>
        <w:t>Rates of BSI per 1000 CVC-days were modelled using multi-level Poisson regression. We accounted for clustering of admissions within PICUs by including a random effect for PICU. Appropriateness of the Poisson model was verified using a goodness-of-fit test based on the deviance statistic. For comparisons between units and over time, rates were adjusted for risk-factors identified as being significant (p&lt;0.05). Likelihood-ratio tests were used to identify significant interactions between risk-factors.</w:t>
      </w:r>
    </w:p>
    <w:p w:rsidR="006A57B2" w:rsidRDefault="006A57B2" w:rsidP="00B22173">
      <w:pPr>
        <w:spacing w:line="360" w:lineRule="auto"/>
      </w:pPr>
      <w:r>
        <w:t>We compared BSI rates using standard CVCs for CATCH participants and non-participating admissions expected to require a CVC, and BSI rates for admissions in the same PICUs but not expected to require a CVC. For non-participating PICUs, the trial period was defined as the period between December 2010 (when the first PICU began recruiting) and December 2012 (when the last PICU stopped recruiting).</w:t>
      </w:r>
    </w:p>
    <w:p w:rsidR="006A57B2" w:rsidRPr="00026CBD" w:rsidRDefault="006A57B2" w:rsidP="00452F22">
      <w:pPr>
        <w:pStyle w:val="Heading4"/>
        <w:rPr>
          <w:rStyle w:val="IntenseEmphasis"/>
          <w:b/>
          <w:i/>
        </w:rPr>
      </w:pPr>
      <w:r w:rsidRPr="00026CBD">
        <w:rPr>
          <w:rStyle w:val="IntenseEmphasis"/>
        </w:rPr>
        <w:t>Number of BSI averted using antibiotic CVCs</w:t>
      </w:r>
    </w:p>
    <w:p w:rsidR="006A57B2" w:rsidRDefault="006A57B2" w:rsidP="00B22173">
      <w:pPr>
        <w:spacing w:line="360" w:lineRule="auto"/>
        <w:rPr>
          <w:rFonts w:eastAsiaTheme="minorEastAsia"/>
          <w:lang w:eastAsia="en-GB"/>
        </w:rPr>
      </w:pPr>
      <w:r>
        <w:t xml:space="preserve">We estimated the difference in the number of BSI if antibiotic CVCs were used in place of standard CVCs. We asked PICUs to provide the </w:t>
      </w:r>
      <w:r w:rsidRPr="001B0323">
        <w:t>percentage of emergency and elective admissions receiving CVCs within a second PICU practice survey conducted in 2012.</w:t>
      </w:r>
      <w:r w:rsidRPr="00607F48">
        <w:rPr>
          <w:noProof/>
          <w:vertAlign w:val="superscript"/>
        </w:rPr>
        <w:t>32</w:t>
      </w:r>
      <w:r w:rsidRPr="001B0323">
        <w:t xml:space="preserve"> The</w:t>
      </w:r>
      <w:r>
        <w:t xml:space="preserve"> number of admissions requiring CVCs in all 23 PICUs in England was then estimated by applying these percentages to the number of emergency and elective admissions within each PICU. The total number of CVC-days was estimated by multiplying the number of CVCs required by the mean CVC-days for children expected to require CVCs in PICANet.</w:t>
      </w:r>
    </w:p>
    <w:p w:rsidR="006A57B2" w:rsidRDefault="006A57B2" w:rsidP="00B22173">
      <w:pPr>
        <w:spacing w:line="360" w:lineRule="auto"/>
      </w:pPr>
      <w:r>
        <w:t xml:space="preserve">We estimated the BSI rate using antibiotic CVCs in place of standard CVCs by applying the relative treatment effect (rate-ratio) from the trial to the BSI rate using standard CVCs. </w:t>
      </w:r>
    </w:p>
    <w:p w:rsidR="006A57B2" w:rsidRDefault="006A57B2" w:rsidP="00B22173">
      <w:pPr>
        <w:spacing w:line="360" w:lineRule="auto"/>
      </w:pPr>
      <w:r>
        <w:t xml:space="preserve">We assumed that the relative treatment effect would be the same regardless of the baseline rate of BSI, i.e. that the effect would be the same for children who would have been ineligible for the trial because they were expected to stay &lt;3 days in PICU. We reasoned that the biological mechanism through which impregnated CVCs work is the same for low and high-risk patients (impregnated CVCs reduce the chance that bacteria track internally or externally along the CVC from the insertion site). Randomised controlled trials of impregnated CVCs show similar results for long- and short-term CVCs, </w:t>
      </w:r>
      <w:r w:rsidRPr="001B0323">
        <w:t>suggesting that effect is not modified in groups with different baseline risk or length of stay.</w:t>
      </w:r>
      <w:r w:rsidRPr="00E075A0">
        <w:rPr>
          <w:noProof/>
          <w:vertAlign w:val="superscript"/>
        </w:rPr>
        <w:t>3</w:t>
      </w:r>
      <w:r w:rsidRPr="001B0323">
        <w:rPr>
          <w:rFonts w:cstheme="minorHAnsi"/>
        </w:rPr>
        <w:t xml:space="preserve"> In reality, 72% of children</w:t>
      </w:r>
      <w:r>
        <w:rPr>
          <w:rFonts w:cstheme="minorHAnsi"/>
        </w:rPr>
        <w:t xml:space="preserve"> recruited in CATCH required a CVC for 3 or more days.</w:t>
      </w:r>
    </w:p>
    <w:p w:rsidR="006A57B2" w:rsidRPr="00026CBD" w:rsidRDefault="006A57B2" w:rsidP="00452F22">
      <w:pPr>
        <w:pStyle w:val="Heading4"/>
        <w:rPr>
          <w:rStyle w:val="IntenseEmphasis"/>
          <w:b/>
          <w:i/>
        </w:rPr>
      </w:pPr>
      <w:r w:rsidRPr="00026CBD">
        <w:rPr>
          <w:rStyle w:val="IntenseEmphasis"/>
        </w:rPr>
        <w:t xml:space="preserve">Budget-impact: additional costs of antibiotic CVCs </w:t>
      </w:r>
    </w:p>
    <w:p w:rsidR="006A57B2" w:rsidRDefault="006A57B2" w:rsidP="00B22173">
      <w:pPr>
        <w:spacing w:line="360" w:lineRule="auto"/>
        <w:rPr>
          <w:rFonts w:cstheme="minorHAnsi"/>
        </w:rPr>
      </w:pPr>
      <w:r>
        <w:t xml:space="preserve">Antibiotic CVCs are more expensive than standard CVCs: £73 versus £42 for double lumen CVCs; £79 versus £43 for triple lumen CVCs. Total additional costs with antibiotic CVCs were calculated by multiplying the number of CVCs required by the maximum additional cost per CVC, i.e. £36. </w:t>
      </w:r>
      <w:r>
        <w:rPr>
          <w:rFonts w:cstheme="minorHAnsi"/>
        </w:rPr>
        <w:t xml:space="preserve">We assumed, conservatively, that any change in PICU length of stay, nursing or other resources would not impact on hospital budgets. The budget-impact was based on the additional costs of antibiotic CVCs only. </w:t>
      </w:r>
    </w:p>
    <w:p w:rsidR="006A57B2" w:rsidRPr="00026CBD" w:rsidRDefault="006A57B2" w:rsidP="00452F22">
      <w:pPr>
        <w:pStyle w:val="Heading4"/>
        <w:rPr>
          <w:rStyle w:val="IntenseEmphasis"/>
          <w:b/>
          <w:i/>
        </w:rPr>
      </w:pPr>
      <w:r w:rsidRPr="00026CBD">
        <w:rPr>
          <w:rStyle w:val="IntenseEmphasis"/>
        </w:rPr>
        <w:t xml:space="preserve">Cost-impact: value of resources associated with managing BSI </w:t>
      </w:r>
    </w:p>
    <w:p w:rsidR="006A57B2" w:rsidRDefault="006A57B2" w:rsidP="00B22173">
      <w:pPr>
        <w:spacing w:line="360" w:lineRule="auto"/>
        <w:rPr>
          <w:rFonts w:cstheme="minorHAnsi"/>
        </w:rPr>
      </w:pPr>
      <w:r>
        <w:rPr>
          <w:rFonts w:cstheme="minorHAnsi"/>
        </w:rPr>
        <w:t xml:space="preserve">Assuming that any differences in costs between arms were due to differences in the number of BSI, the cost-impact analysis utilised the estimated </w:t>
      </w:r>
      <w:r w:rsidRPr="00F81F7C">
        <w:rPr>
          <w:rFonts w:cstheme="minorHAnsi"/>
        </w:rPr>
        <w:t>difference</w:t>
      </w:r>
      <w:r w:rsidRPr="00AB54A0">
        <w:rPr>
          <w:rFonts w:cstheme="minorHAnsi"/>
        </w:rPr>
        <w:t xml:space="preserve"> in the 6-month risk-</w:t>
      </w:r>
      <w:r w:rsidRPr="00037228">
        <w:rPr>
          <w:rFonts w:cstheme="minorHAnsi"/>
        </w:rPr>
        <w:t xml:space="preserve">adjusted costs </w:t>
      </w:r>
      <w:r w:rsidRPr="00502097">
        <w:rPr>
          <w:rFonts w:cstheme="minorHAnsi"/>
        </w:rPr>
        <w:t xml:space="preserve">between patients who had a BSI versus those who did not </w:t>
      </w:r>
      <w:r>
        <w:rPr>
          <w:rFonts w:cstheme="minorHAnsi"/>
        </w:rPr>
        <w:t>(</w:t>
      </w:r>
      <w:r w:rsidRPr="00502097">
        <w:rPr>
          <w:rFonts w:cstheme="minorHAnsi"/>
        </w:rPr>
        <w:t>£</w:t>
      </w:r>
      <w:r w:rsidRPr="005E10F3">
        <w:rPr>
          <w:rFonts w:cstheme="minorHAnsi"/>
        </w:rPr>
        <w:t>10,975</w:t>
      </w:r>
      <w:r>
        <w:rPr>
          <w:rFonts w:cstheme="minorHAnsi"/>
        </w:rPr>
        <w:t xml:space="preserve"> per BSI; </w:t>
      </w:r>
      <w:r w:rsidRPr="005E10F3">
        <w:rPr>
          <w:rFonts w:cstheme="minorHAnsi"/>
        </w:rPr>
        <w:t>95% CI -£2801 to £24,751) (</w:t>
      </w:r>
      <w:r>
        <w:rPr>
          <w:rFonts w:cstheme="minorHAnsi"/>
        </w:rPr>
        <w:t xml:space="preserve">cost-effectiveness analysis, </w:t>
      </w:r>
      <w:r w:rsidRPr="005E10F3">
        <w:rPr>
          <w:rFonts w:cstheme="minorHAnsi"/>
        </w:rPr>
        <w:t>Table 17).</w:t>
      </w:r>
      <w:r>
        <w:rPr>
          <w:rFonts w:cstheme="minorHAnsi"/>
        </w:rPr>
        <w:t xml:space="preserve"> </w:t>
      </w:r>
    </w:p>
    <w:p w:rsidR="006A57B2" w:rsidRDefault="006A57B2" w:rsidP="00B22173">
      <w:pPr>
        <w:spacing w:line="360" w:lineRule="auto"/>
        <w:rPr>
          <w:rFonts w:cstheme="minorHAnsi"/>
        </w:rPr>
      </w:pPr>
      <w:r w:rsidRPr="005E10F3">
        <w:rPr>
          <w:rFonts w:cstheme="minorHAnsi"/>
        </w:rPr>
        <w:t xml:space="preserve">The total number of BSI potentially averted was estimated by applying the BSI rate assuming all children in 2012 had used either standard or antibiotic CVCs. The </w:t>
      </w:r>
      <w:r>
        <w:rPr>
          <w:rFonts w:cstheme="minorHAnsi"/>
        </w:rPr>
        <w:t>cost-impact (</w:t>
      </w:r>
      <w:r w:rsidRPr="005E10F3">
        <w:rPr>
          <w:rFonts w:cstheme="minorHAnsi"/>
        </w:rPr>
        <w:t xml:space="preserve">total value of resources associated with managing BSI </w:t>
      </w:r>
      <w:r w:rsidRPr="00F81F7C">
        <w:rPr>
          <w:rFonts w:cstheme="minorHAnsi"/>
        </w:rPr>
        <w:t>with standard CVCs</w:t>
      </w:r>
      <w:r>
        <w:rPr>
          <w:rFonts w:cstheme="minorHAnsi"/>
        </w:rPr>
        <w:t>)</w:t>
      </w:r>
      <w:r w:rsidRPr="00F81F7C">
        <w:rPr>
          <w:rFonts w:cstheme="minorHAnsi"/>
        </w:rPr>
        <w:t xml:space="preserve"> was calculated by multiplying the costs per BSI by the estimated number of BSI averted if antibiotic CVCs were used instead of standard CVCs. </w:t>
      </w:r>
    </w:p>
    <w:p w:rsidR="006A57B2" w:rsidRPr="00F81F7C" w:rsidRDefault="006A57B2" w:rsidP="00B22173">
      <w:pPr>
        <w:spacing w:line="360" w:lineRule="auto"/>
        <w:rPr>
          <w:rFonts w:cstheme="minorHAnsi"/>
          <w:u w:val="single"/>
        </w:rPr>
      </w:pPr>
      <w:r w:rsidRPr="00F81F7C">
        <w:rPr>
          <w:rFonts w:cstheme="minorHAnsi"/>
          <w:u w:val="single"/>
        </w:rPr>
        <w:t>Sensitivity analysis</w:t>
      </w:r>
    </w:p>
    <w:p w:rsidR="006A57B2" w:rsidRPr="00F81F7C" w:rsidRDefault="006A57B2" w:rsidP="00B22173">
      <w:pPr>
        <w:spacing w:line="360" w:lineRule="auto"/>
        <w:rPr>
          <w:rFonts w:cstheme="minorHAnsi"/>
          <w:bCs/>
        </w:rPr>
      </w:pPr>
      <w:r w:rsidRPr="00F81F7C">
        <w:rPr>
          <w:rFonts w:cstheme="minorHAnsi"/>
          <w:bCs/>
        </w:rPr>
        <w:t>We estimated the budget- and cost-impacts based on best and worst case scenarios for the total number of CVCs required and the excess number of BSIs with standard versus antibiotic CVCs. We also performed probabilistic sensitivity analysis using Monte Carlo simulation to reflect uncertainty in both costs and BSI. Values for each parameter were sampled from probability distributions based on observed data and 5000 iterations were performed to provide a 95% uncertainty interval for the cost-impact</w:t>
      </w:r>
      <w:r>
        <w:rPr>
          <w:rFonts w:cstheme="minorHAnsi"/>
          <w:bCs/>
        </w:rPr>
        <w:t>.</w:t>
      </w:r>
      <w:r w:rsidRPr="00607F48">
        <w:rPr>
          <w:rFonts w:cstheme="minorHAnsi"/>
          <w:bCs/>
          <w:noProof/>
          <w:vertAlign w:val="superscript"/>
        </w:rPr>
        <w:t>87</w:t>
      </w:r>
    </w:p>
    <w:p w:rsidR="006A57B2" w:rsidRDefault="006A57B2" w:rsidP="00B22173">
      <w:pPr>
        <w:pStyle w:val="Heading2"/>
        <w:spacing w:line="360" w:lineRule="auto"/>
      </w:pPr>
      <w:bookmarkStart w:id="118" w:name="_Toc418857501"/>
      <w:bookmarkStart w:id="119" w:name="_Toc428195183"/>
      <w:r>
        <w:t>Results</w:t>
      </w:r>
      <w:bookmarkEnd w:id="118"/>
      <w:bookmarkEnd w:id="119"/>
    </w:p>
    <w:p w:rsidR="006A57B2" w:rsidRPr="00026CBD" w:rsidRDefault="006A57B2" w:rsidP="00452F22">
      <w:pPr>
        <w:pStyle w:val="Heading4"/>
        <w:rPr>
          <w:rStyle w:val="IntenseEmphasis"/>
          <w:b/>
          <w:i/>
        </w:rPr>
      </w:pPr>
      <w:r w:rsidRPr="00026CBD">
        <w:rPr>
          <w:rStyle w:val="IntenseEmphasis"/>
        </w:rPr>
        <w:t>Rate of BSI using standard CVCs</w:t>
      </w:r>
    </w:p>
    <w:p w:rsidR="006A57B2" w:rsidRPr="00875B50" w:rsidRDefault="006A57B2" w:rsidP="00B22173">
      <w:pPr>
        <w:spacing w:line="360" w:lineRule="auto"/>
      </w:pPr>
      <w:r w:rsidRPr="00656A5C">
        <w:t xml:space="preserve">Of the 2488 admissions in the CVC audit data, 1431 (58%) required a CVC. The best fitting prediction model included length of stay, vasoactive agent, admission from ward, renal support and invasive ventilation (see </w:t>
      </w:r>
      <w:r>
        <w:t>Appendix 3</w:t>
      </w:r>
      <w:r w:rsidRPr="00875B50">
        <w:t>.3)</w:t>
      </w:r>
      <w:r>
        <w:t>.</w:t>
      </w:r>
      <w:r w:rsidRPr="00875B50">
        <w:t xml:space="preserve"> With a probability cut-off of 0.57, the sensitivity of the predictive model for capturing admissions requiring a CVC was 61%; specificity was 82%; positive predictive value was 82% and negative predictive value was 61%. The predictive model identified 80% of the CATCH admissions as requiring a CVC.</w:t>
      </w:r>
    </w:p>
    <w:p w:rsidR="006A57B2" w:rsidRPr="00656A5C" w:rsidRDefault="006A57B2" w:rsidP="00A4052E">
      <w:pPr>
        <w:spacing w:line="360" w:lineRule="auto"/>
        <w:rPr>
          <w:rFonts w:eastAsiaTheme="minorEastAsia"/>
          <w:lang w:eastAsia="en-GB"/>
        </w:rPr>
      </w:pPr>
      <w:r>
        <w:t xml:space="preserve">Survey </w:t>
      </w:r>
      <w:r w:rsidRPr="0031769C">
        <w:t>responses for the type of CVCs used prior to CATCH were obtained for 18 of the 23 PICUs in England (</w:t>
      </w:r>
      <w:r w:rsidRPr="00B07F9A">
        <w:t xml:space="preserve">see </w:t>
      </w:r>
      <w:r>
        <w:t>Appendix 3</w:t>
      </w:r>
      <w:r w:rsidRPr="00076F2C">
        <w:t>.2). Only two PICUs reported not using standard CVCs for any admissions (both used heparin CVCs)</w:t>
      </w:r>
      <w:r>
        <w:t>. BSI rates were estimated based on linked data from the remaining 16 English PICUs.</w:t>
      </w:r>
    </w:p>
    <w:p w:rsidR="006A57B2" w:rsidRPr="0031769C" w:rsidRDefault="006A57B2" w:rsidP="00B22173">
      <w:pPr>
        <w:spacing w:line="360" w:lineRule="auto"/>
      </w:pPr>
      <w:r w:rsidRPr="00126288">
        <w:t>Applying the predictive model to the</w:t>
      </w:r>
      <w:r>
        <w:t xml:space="preserve"> 16 PICUs in the</w:t>
      </w:r>
      <w:r w:rsidRPr="00126288">
        <w:t xml:space="preserve"> linked dataset identified a subset of 21,381 admissions most likely to have received standard CVCs between 2003-2012. Characteristics of these admissions (based on PICANet data) are provided in </w:t>
      </w:r>
      <w:r>
        <w:t>Appendix 3.4</w:t>
      </w:r>
      <w:r w:rsidRPr="00F81F7C">
        <w:t xml:space="preserve">. Risk-adjusted rates of BSI using standard CVCs decreased steadily between 2003 and 2012, and were greater for CATCH PICUs </w:t>
      </w:r>
      <w:r>
        <w:t xml:space="preserve">(5.27; 95% CI 5.06-5.49 per 1000 CVC-days in 2012) </w:t>
      </w:r>
      <w:r w:rsidRPr="00F81F7C">
        <w:t>compared with non-participating PICUs (</w:t>
      </w:r>
      <w:r>
        <w:t xml:space="preserve">2.09; 95% CI 1.60-2.58 in 2012; </w:t>
      </w:r>
      <w:r w:rsidRPr="00F81F7C">
        <w:t xml:space="preserve">Figure </w:t>
      </w:r>
      <w:r>
        <w:t>9</w:t>
      </w:r>
      <w:r w:rsidRPr="00AB54A0">
        <w:t>). Of th</w:t>
      </w:r>
      <w:r>
        <w:t xml:space="preserve">e </w:t>
      </w:r>
      <w:r w:rsidRPr="00AB54A0">
        <w:t xml:space="preserve">subset of admissions </w:t>
      </w:r>
      <w:r w:rsidRPr="00667F09">
        <w:t>predicted to receive a CVC</w:t>
      </w:r>
      <w:r>
        <w:t xml:space="preserve"> </w:t>
      </w:r>
      <w:r w:rsidRPr="00AB54A0">
        <w:t>in 2012, 103/3021 (3.4%) experienced BSI, corresponding to a</w:t>
      </w:r>
      <w:r>
        <w:t>n overall</w:t>
      </w:r>
      <w:r w:rsidRPr="00AB54A0">
        <w:t xml:space="preserve"> BSI rate using standard CVCs of 4.58 (95% </w:t>
      </w:r>
      <w:r w:rsidRPr="0031769C">
        <w:t xml:space="preserve">CI 4.42, 4.74) per 1000 CVC-days </w:t>
      </w:r>
      <w:r w:rsidRPr="002E734B">
        <w:t>(Table 20).</w:t>
      </w:r>
      <w:r>
        <w:t xml:space="preserve"> This was non-significantly lower than the rate observed during the trial (8.24; 95% CI 4.7-11.8 per 1000 </w:t>
      </w:r>
      <w:r w:rsidRPr="00667F09">
        <w:t xml:space="preserve">CVC  </w:t>
      </w:r>
      <w:r w:rsidRPr="006A4675">
        <w:t xml:space="preserve">days; Table 8), </w:t>
      </w:r>
      <w:r>
        <w:t xml:space="preserve">partially due to the inclusion of all children with CVCs (not just those requiring CVCs for 3 or more days). Further explanation for this difference are potentially </w:t>
      </w:r>
      <w:r w:rsidRPr="006A4675">
        <w:t>incomplete reporting of BSI to the national infection surveillance system, use of bed days instead of CVC days in the estimated rate, or increased frequency of sampling in trial PICUs during CATCH.</w:t>
      </w:r>
      <w:r>
        <w:t xml:space="preserve"> </w:t>
      </w:r>
    </w:p>
    <w:p w:rsidR="006A57B2" w:rsidRPr="0031769C" w:rsidRDefault="006A57B2" w:rsidP="00B22173">
      <w:pPr>
        <w:spacing w:line="360" w:lineRule="auto"/>
        <w:rPr>
          <w:rStyle w:val="IntenseEmphasis"/>
        </w:rPr>
      </w:pPr>
      <w:r w:rsidRPr="0031769C">
        <w:rPr>
          <w:rStyle w:val="IntenseEmphasis"/>
        </w:rPr>
        <w:t>Number of BSI averted using antibiotic CVCs</w:t>
      </w:r>
    </w:p>
    <w:p w:rsidR="006A57B2" w:rsidRDefault="006A57B2" w:rsidP="00B22173">
      <w:pPr>
        <w:spacing w:line="360" w:lineRule="auto"/>
        <w:rPr>
          <w:rFonts w:eastAsiaTheme="minorEastAsia"/>
          <w:lang w:eastAsia="en-GB"/>
        </w:rPr>
      </w:pPr>
      <w:r w:rsidRPr="0031769C">
        <w:t xml:space="preserve">Survey responses indicated that on average, 60% of emergency admissions and 50% of elective admissions require CVCs (see </w:t>
      </w:r>
      <w:r>
        <w:t>Appendix 3</w:t>
      </w:r>
      <w:r w:rsidRPr="0031769C">
        <w:t>.2). The</w:t>
      </w:r>
      <w:r>
        <w:t xml:space="preserve"> estimated number of children using CVCs in 2012 was 8831, corresponding to a total of 85,971 CVC-days. The rate-ratio of BSI for impregnated versus standard CVCs was estimated as 0.40 (95% CI 0.17, 0.97; </w:t>
      </w:r>
      <w:r w:rsidRPr="00667F09">
        <w:t>Table 9</w:t>
      </w:r>
      <w:r>
        <w:t xml:space="preserve">) in the trial. The point estimate of the number of BSI averted switching from standard to antibiotic CVCs for all children requiring CVCs in 2012 was therefore 232, with best and worst case scenarios of 338 and 11 respectively (Table 21). </w:t>
      </w:r>
    </w:p>
    <w:p w:rsidR="006A57B2" w:rsidRPr="00B40BBA" w:rsidRDefault="006A57B2" w:rsidP="00452F22">
      <w:pPr>
        <w:pStyle w:val="Heading4"/>
      </w:pPr>
      <w:r>
        <w:t>Budget-impact: a</w:t>
      </w:r>
      <w:r w:rsidRPr="00B40BBA">
        <w:t>dditional costs of an</w:t>
      </w:r>
      <w:r>
        <w:t>tibiotic CVCs</w:t>
      </w:r>
    </w:p>
    <w:p w:rsidR="006A57B2" w:rsidRDefault="006A57B2" w:rsidP="00B22173">
      <w:pPr>
        <w:spacing w:line="360" w:lineRule="auto"/>
      </w:pPr>
      <w:r>
        <w:t xml:space="preserve">Based only on a CVC cost difference of £36, the additional cost of purchasing antibiotic CVCs for all children in 2012 was 8831 x £36 = £317,916. </w:t>
      </w:r>
    </w:p>
    <w:p w:rsidR="006A57B2" w:rsidRPr="00B40BBA" w:rsidRDefault="006A57B2" w:rsidP="00452F22">
      <w:pPr>
        <w:pStyle w:val="Heading4"/>
      </w:pPr>
      <w:r>
        <w:t>Cost-impact: value of additional costs associated with managing BSI</w:t>
      </w:r>
    </w:p>
    <w:p w:rsidR="006A57B2" w:rsidRPr="00F81F7C" w:rsidRDefault="006A57B2" w:rsidP="00B22173">
      <w:pPr>
        <w:spacing w:line="360" w:lineRule="auto"/>
        <w:rPr>
          <w:rFonts w:cstheme="minorHAnsi"/>
        </w:rPr>
      </w:pPr>
      <w:r w:rsidRPr="00F81F7C">
        <w:rPr>
          <w:rFonts w:cstheme="minorHAnsi"/>
        </w:rPr>
        <w:t xml:space="preserve">Based on each BSI being associated with a mean cost of </w:t>
      </w:r>
      <w:r w:rsidRPr="00AB54A0">
        <w:rPr>
          <w:rFonts w:cstheme="minorHAnsi"/>
        </w:rPr>
        <w:t>£</w:t>
      </w:r>
      <w:r w:rsidRPr="00AB54A0">
        <w:t>10,975 (95% CI -£2,801, £24,751</w:t>
      </w:r>
      <w:r>
        <w:t xml:space="preserve">; </w:t>
      </w:r>
      <w:r w:rsidRPr="00667F09">
        <w:t>Table 17</w:t>
      </w:r>
      <w:r w:rsidRPr="00AB54A0">
        <w:t xml:space="preserve">). </w:t>
      </w:r>
      <w:r w:rsidRPr="00F81F7C">
        <w:rPr>
          <w:rFonts w:cstheme="minorHAnsi"/>
        </w:rPr>
        <w:t xml:space="preserve">over </w:t>
      </w:r>
      <w:r>
        <w:rPr>
          <w:rFonts w:cstheme="minorHAnsi"/>
        </w:rPr>
        <w:t>6 months</w:t>
      </w:r>
      <w:r w:rsidRPr="00F81F7C">
        <w:rPr>
          <w:rFonts w:cstheme="minorHAnsi"/>
        </w:rPr>
        <w:t>, the value of resources made available in 2012 through averting BSI with standard CVCs (i.e. the total costs of managing these BSIs) would have been 23</w:t>
      </w:r>
      <w:r>
        <w:rPr>
          <w:rFonts w:cstheme="minorHAnsi"/>
        </w:rPr>
        <w:t>2</w:t>
      </w:r>
      <w:r w:rsidRPr="00F81F7C">
        <w:rPr>
          <w:rFonts w:cstheme="minorHAnsi"/>
        </w:rPr>
        <w:t xml:space="preserve"> x £10,975 = £2,541,397, with best and worst case scenarios of -£925,583 and £8,205,414 based on confidence intervals for both estimates. The probabilistic sensitivity analysis provided a 95% uncertainty interval of -£66,544 to £5,557,451 for total resources made available through averting BSI in 2012. There was a probability of 0.90 that the values of resources made available would be more than the additional costs of purchasing antibiotic CVCs (Figure </w:t>
      </w:r>
      <w:r>
        <w:rPr>
          <w:rFonts w:cstheme="minorHAnsi"/>
        </w:rPr>
        <w:t>10</w:t>
      </w:r>
      <w:r w:rsidRPr="00F81F7C">
        <w:rPr>
          <w:rFonts w:cstheme="minorHAnsi"/>
        </w:rPr>
        <w:t xml:space="preserve">). </w:t>
      </w:r>
    </w:p>
    <w:p w:rsidR="006A57B2" w:rsidRPr="00F81F7C" w:rsidRDefault="006A57B2" w:rsidP="00B22173">
      <w:pPr>
        <w:spacing w:line="360" w:lineRule="auto"/>
        <w:rPr>
          <w:rFonts w:cstheme="minorHAnsi"/>
        </w:rPr>
      </w:pPr>
      <w:r w:rsidRPr="00F81F7C">
        <w:rPr>
          <w:rFonts w:cstheme="minorHAnsi"/>
        </w:rPr>
        <w:t xml:space="preserve">The estimated cost-impact for a typical PICU with 350 admissions per year is shown for a range of BSI rates in Table </w:t>
      </w:r>
      <w:r>
        <w:rPr>
          <w:rFonts w:cstheme="minorHAnsi"/>
        </w:rPr>
        <w:t>21</w:t>
      </w:r>
      <w:r w:rsidRPr="00F81F7C">
        <w:rPr>
          <w:rFonts w:cstheme="minorHAnsi"/>
        </w:rPr>
        <w:t>. Figure 1</w:t>
      </w:r>
      <w:r>
        <w:rPr>
          <w:rFonts w:cstheme="minorHAnsi"/>
        </w:rPr>
        <w:t>1</w:t>
      </w:r>
      <w:r w:rsidRPr="00F81F7C">
        <w:rPr>
          <w:rFonts w:cstheme="minorHAnsi"/>
        </w:rPr>
        <w:t xml:space="preserve"> shows that costs of purchasing antibiotic CVCs for all children who require them will be less than costs of managing BSI with standard CVCs for PICUs with BSI rates above 1.2 per 1000 bed-days. </w:t>
      </w:r>
      <w:r>
        <w:rPr>
          <w:rFonts w:cstheme="minorHAnsi"/>
        </w:rPr>
        <w:t xml:space="preserve">This break-even value is substantially lower than the BSI rate observed in the standard arm of the trial </w:t>
      </w:r>
      <w:r>
        <w:t>(8.24; 95% CI 4.7-11.8 per 1000 bed days), or the linked dataset for PICUs in England (</w:t>
      </w:r>
      <w:r w:rsidRPr="00AB54A0">
        <w:t>4.58</w:t>
      </w:r>
      <w:r>
        <w:t xml:space="preserve">; </w:t>
      </w:r>
      <w:r w:rsidRPr="00AB54A0">
        <w:t xml:space="preserve">95% </w:t>
      </w:r>
      <w:r w:rsidRPr="0031769C">
        <w:t>CI 4.42, 4.74)</w:t>
      </w:r>
      <w:r>
        <w:t>.</w:t>
      </w:r>
    </w:p>
    <w:p w:rsidR="006A57B2" w:rsidRDefault="006A57B2">
      <w:pPr>
        <w:spacing w:after="0" w:line="240" w:lineRule="auto"/>
        <w:rPr>
          <w:b/>
          <w:sz w:val="20"/>
        </w:rPr>
      </w:pPr>
      <w:r>
        <w:rPr>
          <w:b/>
          <w:sz w:val="20"/>
        </w:rPr>
        <w:br w:type="page"/>
      </w:r>
    </w:p>
    <w:p w:rsidR="006A57B2" w:rsidRPr="00BE078C" w:rsidRDefault="006A57B2" w:rsidP="00FD7537">
      <w:pPr>
        <w:pStyle w:val="Caption"/>
        <w:rPr>
          <w:rFonts w:asciiTheme="majorHAnsi" w:hAnsiTheme="majorHAnsi" w:cstheme="minorHAnsi"/>
          <w:color w:val="2E74B5" w:themeColor="accent1" w:themeShade="BF"/>
          <w:sz w:val="22"/>
          <w:szCs w:val="22"/>
        </w:rPr>
      </w:pPr>
      <w:bookmarkStart w:id="120" w:name="_Toc428178975"/>
      <w:r w:rsidRPr="00BE078C">
        <w:rPr>
          <w:sz w:val="22"/>
          <w:szCs w:val="22"/>
        </w:rPr>
        <w:t xml:space="preserve">Table </w:t>
      </w:r>
      <w:r>
        <w:rPr>
          <w:noProof/>
          <w:sz w:val="22"/>
          <w:szCs w:val="22"/>
        </w:rPr>
        <w:t>20</w:t>
      </w:r>
      <w:r w:rsidRPr="00BE078C">
        <w:rPr>
          <w:sz w:val="22"/>
          <w:szCs w:val="22"/>
        </w:rPr>
        <w:t>: Parameter estimates for cost-impact analysis and sensitivity analysis</w:t>
      </w:r>
      <w:bookmarkEnd w:id="120"/>
      <w:r w:rsidRPr="00BE078C">
        <w:rPr>
          <w:rFonts w:asciiTheme="majorHAnsi" w:hAnsiTheme="majorHAnsi" w:cstheme="minorHAnsi"/>
          <w:b w:val="0"/>
          <w:color w:val="2E74B5" w:themeColor="accent1" w:themeShade="BF"/>
          <w:sz w:val="22"/>
          <w:szCs w:val="22"/>
        </w:rPr>
        <w:t xml:space="preserve"> </w:t>
      </w:r>
    </w:p>
    <w:tbl>
      <w:tblPr>
        <w:tblStyle w:val="TableGrid"/>
        <w:tblW w:w="9250" w:type="dxa"/>
        <w:tblLook w:val="04A0" w:firstRow="1" w:lastRow="0" w:firstColumn="1" w:lastColumn="0" w:noHBand="0" w:noVBand="1"/>
      </w:tblPr>
      <w:tblGrid>
        <w:gridCol w:w="2164"/>
        <w:gridCol w:w="2211"/>
        <w:gridCol w:w="2721"/>
        <w:gridCol w:w="2154"/>
      </w:tblGrid>
      <w:tr w:rsidR="006A57B2" w:rsidRPr="0012529E" w:rsidTr="005E10F3">
        <w:tc>
          <w:tcPr>
            <w:tcW w:w="2164" w:type="dxa"/>
            <w:shd w:val="clear" w:color="auto" w:fill="9CC2E5" w:themeFill="accent1" w:themeFillTint="99"/>
          </w:tcPr>
          <w:p w:rsidR="006A57B2" w:rsidRPr="0012529E" w:rsidRDefault="006A57B2" w:rsidP="0012529E">
            <w:pPr>
              <w:spacing w:after="0" w:line="240" w:lineRule="auto"/>
              <w:jc w:val="center"/>
              <w:rPr>
                <w:rFonts w:asciiTheme="majorHAnsi" w:hAnsiTheme="majorHAnsi" w:cstheme="majorHAnsi"/>
                <w:b/>
              </w:rPr>
            </w:pPr>
            <w:r w:rsidRPr="0012529E">
              <w:rPr>
                <w:rFonts w:asciiTheme="majorHAnsi" w:hAnsiTheme="majorHAnsi" w:cstheme="majorHAnsi"/>
                <w:b/>
              </w:rPr>
              <w:t>Variable</w:t>
            </w:r>
          </w:p>
        </w:tc>
        <w:tc>
          <w:tcPr>
            <w:tcW w:w="2211" w:type="dxa"/>
            <w:shd w:val="clear" w:color="auto" w:fill="9CC2E5" w:themeFill="accent1" w:themeFillTint="99"/>
          </w:tcPr>
          <w:p w:rsidR="006A57B2" w:rsidRPr="0012529E" w:rsidRDefault="006A57B2" w:rsidP="0012529E">
            <w:pPr>
              <w:spacing w:after="0" w:line="240" w:lineRule="auto"/>
              <w:jc w:val="center"/>
              <w:rPr>
                <w:rFonts w:asciiTheme="majorHAnsi" w:hAnsiTheme="majorHAnsi" w:cstheme="majorHAnsi"/>
                <w:b/>
              </w:rPr>
            </w:pPr>
            <w:r w:rsidRPr="0012529E">
              <w:rPr>
                <w:rFonts w:asciiTheme="majorHAnsi" w:hAnsiTheme="majorHAnsi" w:cstheme="majorHAnsi"/>
                <w:b/>
              </w:rPr>
              <w:t xml:space="preserve">Base case </w:t>
            </w:r>
          </w:p>
        </w:tc>
        <w:tc>
          <w:tcPr>
            <w:tcW w:w="2721" w:type="dxa"/>
            <w:shd w:val="clear" w:color="auto" w:fill="9CC2E5" w:themeFill="accent1" w:themeFillTint="99"/>
          </w:tcPr>
          <w:p w:rsidR="006A57B2" w:rsidRPr="0012529E" w:rsidRDefault="006A57B2" w:rsidP="0012529E">
            <w:pPr>
              <w:spacing w:after="0" w:line="240" w:lineRule="auto"/>
              <w:jc w:val="center"/>
              <w:rPr>
                <w:rFonts w:asciiTheme="majorHAnsi" w:hAnsiTheme="majorHAnsi" w:cstheme="majorHAnsi"/>
                <w:b/>
              </w:rPr>
            </w:pPr>
            <w:r w:rsidRPr="0012529E">
              <w:rPr>
                <w:rFonts w:asciiTheme="majorHAnsi" w:hAnsiTheme="majorHAnsi" w:cstheme="majorHAnsi"/>
                <w:b/>
              </w:rPr>
              <w:t>Source</w:t>
            </w:r>
          </w:p>
        </w:tc>
        <w:tc>
          <w:tcPr>
            <w:tcW w:w="2154" w:type="dxa"/>
            <w:shd w:val="clear" w:color="auto" w:fill="9CC2E5" w:themeFill="accent1" w:themeFillTint="99"/>
          </w:tcPr>
          <w:p w:rsidR="006A57B2" w:rsidRPr="0012529E" w:rsidRDefault="006A57B2" w:rsidP="0012529E">
            <w:pPr>
              <w:spacing w:after="0" w:line="240" w:lineRule="auto"/>
              <w:jc w:val="center"/>
              <w:rPr>
                <w:rFonts w:asciiTheme="majorHAnsi" w:hAnsiTheme="majorHAnsi" w:cstheme="majorHAnsi"/>
                <w:b/>
              </w:rPr>
            </w:pPr>
            <w:r w:rsidRPr="0012529E">
              <w:rPr>
                <w:rFonts w:asciiTheme="majorHAnsi" w:hAnsiTheme="majorHAnsi" w:cstheme="majorHAnsi"/>
                <w:b/>
              </w:rPr>
              <w:t>Sensitivity analysis</w:t>
            </w:r>
          </w:p>
        </w:tc>
      </w:tr>
      <w:tr w:rsidR="006A57B2" w:rsidRPr="0012529E" w:rsidTr="005E10F3">
        <w:trPr>
          <w:trHeight w:val="2369"/>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BSI rate using standard CVCs in 2012</w:t>
            </w:r>
          </w:p>
        </w:tc>
        <w:tc>
          <w:tcPr>
            <w:tcW w:w="2211" w:type="dxa"/>
            <w:vAlign w:val="center"/>
          </w:tcPr>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4.58</w:t>
            </w:r>
          </w:p>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(95% CI 4.42-4.74)</w:t>
            </w:r>
          </w:p>
        </w:tc>
        <w:tc>
          <w:tcPr>
            <w:tcW w:w="2721"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 xml:space="preserve">3021 admissions in 15 PICUs: </w:t>
            </w:r>
          </w:p>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Subset of admissions identified as most likely to have received standard CVCs by applying predictive model to linked dataset. Admissions identified by survey responses as receiving non-standard (heparin or antibiotic) CVCs were excluded.</w:t>
            </w:r>
          </w:p>
        </w:tc>
        <w:tc>
          <w:tcPr>
            <w:tcW w:w="2154"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Random sample taken with replacement from linked dataset, for the number of admissions expected to require CVCs.</w:t>
            </w:r>
          </w:p>
        </w:tc>
      </w:tr>
      <w:tr w:rsidR="006A57B2" w:rsidRPr="0012529E" w:rsidTr="00817F78">
        <w:trPr>
          <w:trHeight w:val="837"/>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 xml:space="preserve">Rate ratio </w:t>
            </w:r>
          </w:p>
        </w:tc>
        <w:tc>
          <w:tcPr>
            <w:tcW w:w="2211" w:type="dxa"/>
            <w:vAlign w:val="center"/>
          </w:tcPr>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 xml:space="preserve">0.40 </w:t>
            </w:r>
          </w:p>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(95% CI 0.17-0.97)</w:t>
            </w:r>
          </w:p>
        </w:tc>
        <w:tc>
          <w:tcPr>
            <w:tcW w:w="2721"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Trial clinical effectiveness analyses</w:t>
            </w:r>
            <w:r>
              <w:rPr>
                <w:rFonts w:asciiTheme="majorHAnsi" w:hAnsiTheme="majorHAnsi" w:cstheme="majorHAnsi"/>
              </w:rPr>
              <w:t xml:space="preserve"> </w:t>
            </w:r>
            <w:r w:rsidRPr="00667F09">
              <w:rPr>
                <w:rFonts w:asciiTheme="majorHAnsi" w:hAnsiTheme="majorHAnsi" w:cstheme="majorHAnsi"/>
              </w:rPr>
              <w:t>(Table 9)</w:t>
            </w:r>
          </w:p>
        </w:tc>
        <w:tc>
          <w:tcPr>
            <w:tcW w:w="2154" w:type="dxa"/>
            <w:vAlign w:val="center"/>
          </w:tcPr>
          <w:p w:rsidR="006A57B2" w:rsidRPr="0012529E" w:rsidRDefault="006A57B2" w:rsidP="00817F78">
            <w:pPr>
              <w:spacing w:after="0" w:line="240" w:lineRule="auto"/>
              <w:rPr>
                <w:rFonts w:asciiTheme="majorHAnsi" w:hAnsiTheme="majorHAnsi" w:cstheme="majorHAnsi"/>
              </w:rPr>
            </w:pPr>
            <w:r w:rsidRPr="0012529E">
              <w:rPr>
                <w:rFonts w:asciiTheme="majorHAnsi" w:hAnsiTheme="majorHAnsi" w:cstheme="majorHAnsi"/>
                <w:i/>
              </w:rPr>
              <w:t>Ln</w:t>
            </w:r>
            <w:r w:rsidRPr="00817F78">
              <w:rPr>
                <w:rFonts w:asciiTheme="majorHAnsi" w:hAnsiTheme="majorHAnsi" w:cstheme="majorHAnsi"/>
                <w:i/>
                <w:vertAlign w:val="superscript"/>
              </w:rPr>
              <w:t>*</w:t>
            </w:r>
            <w:r w:rsidRPr="0012529E">
              <w:rPr>
                <w:rFonts w:asciiTheme="majorHAnsi" w:hAnsiTheme="majorHAnsi" w:cstheme="majorHAnsi"/>
              </w:rPr>
              <w:t xml:space="preserve"> N</w:t>
            </w:r>
            <w:r w:rsidDel="00817F78">
              <w:rPr>
                <w:rFonts w:asciiTheme="majorHAnsi" w:hAnsiTheme="majorHAnsi" w:cstheme="majorHAnsi"/>
              </w:rPr>
              <w:t xml:space="preserve"> </w:t>
            </w:r>
            <w:r w:rsidRPr="0012529E">
              <w:rPr>
                <w:rFonts w:asciiTheme="majorHAnsi" w:hAnsiTheme="majorHAnsi" w:cstheme="majorHAnsi"/>
              </w:rPr>
              <w:t>(-0.913, 0.415)</w:t>
            </w:r>
          </w:p>
        </w:tc>
      </w:tr>
      <w:tr w:rsidR="006A57B2" w:rsidRPr="0012529E" w:rsidTr="005E10F3">
        <w:trPr>
          <w:trHeight w:val="881"/>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Estimated BSI rate using antibiotic CVCs in 2012</w:t>
            </w:r>
          </w:p>
        </w:tc>
        <w:tc>
          <w:tcPr>
            <w:tcW w:w="2211" w:type="dxa"/>
            <w:vAlign w:val="center"/>
          </w:tcPr>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1.83</w:t>
            </w:r>
          </w:p>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 xml:space="preserve">worst case = 4.29 </w:t>
            </w:r>
          </w:p>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best case = 0.81</w:t>
            </w:r>
          </w:p>
        </w:tc>
        <w:tc>
          <w:tcPr>
            <w:tcW w:w="2721" w:type="dxa"/>
            <w:vAlign w:val="center"/>
          </w:tcPr>
          <w:p w:rsidR="006A57B2" w:rsidRPr="0012529E" w:rsidRDefault="006A57B2" w:rsidP="00667F09">
            <w:pPr>
              <w:spacing w:after="0" w:line="240" w:lineRule="auto"/>
              <w:rPr>
                <w:rFonts w:asciiTheme="majorHAnsi" w:hAnsiTheme="majorHAnsi" w:cstheme="majorHAnsi"/>
              </w:rPr>
            </w:pPr>
            <w:r w:rsidRPr="0012529E">
              <w:rPr>
                <w:rFonts w:asciiTheme="majorHAnsi" w:hAnsiTheme="majorHAnsi" w:cstheme="majorHAnsi"/>
              </w:rPr>
              <w:t>Rate-ratio from the CATCH trial applied to</w:t>
            </w:r>
            <w:r>
              <w:rPr>
                <w:rFonts w:asciiTheme="majorHAnsi" w:hAnsiTheme="majorHAnsi" w:cstheme="majorHAnsi"/>
              </w:rPr>
              <w:t xml:space="preserve"> </w:t>
            </w:r>
            <w:r w:rsidRPr="00667F09">
              <w:rPr>
                <w:rFonts w:asciiTheme="majorHAnsi" w:hAnsiTheme="majorHAnsi" w:cstheme="majorHAnsi"/>
              </w:rPr>
              <w:t xml:space="preserve">estimated BSI rate using standard CVCs for PICUs in England </w:t>
            </w:r>
          </w:p>
        </w:tc>
        <w:tc>
          <w:tcPr>
            <w:tcW w:w="2154"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Derived from i) BSI rate using standard CVCs and ii) rate ratio</w:t>
            </w:r>
          </w:p>
        </w:tc>
      </w:tr>
      <w:tr w:rsidR="006A57B2" w:rsidRPr="0012529E" w:rsidTr="005E10F3">
        <w:trPr>
          <w:trHeight w:val="1062"/>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Number of admissions requiring CVCs in 2012</w:t>
            </w:r>
          </w:p>
        </w:tc>
        <w:tc>
          <w:tcPr>
            <w:tcW w:w="2211" w:type="dxa"/>
            <w:vAlign w:val="center"/>
          </w:tcPr>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8831</w:t>
            </w:r>
          </w:p>
        </w:tc>
        <w:tc>
          <w:tcPr>
            <w:tcW w:w="2721"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 xml:space="preserve">Average survey estimates for the percentage of emergency (60%) and elective (50%) admissions requiring CVCs, applied to all admissions in PICANet in 2012 (15,739 admissions in 23 PICUs). </w:t>
            </w:r>
          </w:p>
        </w:tc>
        <w:tc>
          <w:tcPr>
            <w:tcW w:w="2154"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Emergency: Beta(60,40)</w:t>
            </w:r>
          </w:p>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 xml:space="preserve">Elective: </w:t>
            </w:r>
          </w:p>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Beta(50,50)</w:t>
            </w:r>
          </w:p>
        </w:tc>
      </w:tr>
      <w:tr w:rsidR="006A57B2" w:rsidRPr="0012529E" w:rsidTr="005E10F3">
        <w:trPr>
          <w:trHeight w:val="1307"/>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Number of CVC days in 2012</w:t>
            </w:r>
          </w:p>
        </w:tc>
        <w:tc>
          <w:tcPr>
            <w:tcW w:w="2211" w:type="dxa"/>
            <w:vAlign w:val="center"/>
          </w:tcPr>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85,971</w:t>
            </w:r>
          </w:p>
        </w:tc>
        <w:tc>
          <w:tcPr>
            <w:tcW w:w="2721"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 xml:space="preserve">Average CVC-days per admission in subset of admissions identified as most likely to have received standard CVCs by applying predictive model to linked dataset, multiplied by number of admissions requiring CVCs in 2012. </w:t>
            </w:r>
          </w:p>
        </w:tc>
        <w:tc>
          <w:tcPr>
            <w:tcW w:w="2154"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Random sample taken with replacement from linked dataset, for admissions expected to require CVCs.</w:t>
            </w:r>
          </w:p>
        </w:tc>
      </w:tr>
      <w:tr w:rsidR="006A57B2" w:rsidRPr="0012529E" w:rsidTr="005E10F3">
        <w:trPr>
          <w:trHeight w:val="1036"/>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Number of BSI averted in 2012</w:t>
            </w:r>
          </w:p>
        </w:tc>
        <w:tc>
          <w:tcPr>
            <w:tcW w:w="2211" w:type="dxa"/>
            <w:vAlign w:val="center"/>
          </w:tcPr>
          <w:p w:rsidR="006A57B2" w:rsidRPr="0012529E" w:rsidRDefault="006A57B2" w:rsidP="0012529E">
            <w:pPr>
              <w:spacing w:after="0" w:line="240" w:lineRule="auto"/>
              <w:jc w:val="center"/>
              <w:rPr>
                <w:rFonts w:asciiTheme="majorHAnsi" w:hAnsiTheme="majorHAnsi" w:cstheme="majorHAnsi"/>
              </w:rPr>
            </w:pPr>
            <w:r w:rsidRPr="0012529E">
              <w:rPr>
                <w:rFonts w:asciiTheme="majorHAnsi" w:hAnsiTheme="majorHAnsi" w:cstheme="majorHAnsi"/>
              </w:rPr>
              <w:t>232</w:t>
            </w:r>
          </w:p>
        </w:tc>
        <w:tc>
          <w:tcPr>
            <w:tcW w:w="2721"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BSI rates applied to CVC-days for admissions requiring CVCs in 2012</w:t>
            </w:r>
          </w:p>
        </w:tc>
        <w:tc>
          <w:tcPr>
            <w:tcW w:w="2154"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Derived from i) number of admissions requiring CVCs in 2012 and ii) estimated BSI rate using antibiotic CVCs</w:t>
            </w:r>
          </w:p>
        </w:tc>
      </w:tr>
      <w:tr w:rsidR="006A57B2" w:rsidRPr="0012529E" w:rsidTr="005E10F3">
        <w:trPr>
          <w:trHeight w:val="1266"/>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Additional cost of antibiotic CVCs</w:t>
            </w:r>
          </w:p>
        </w:tc>
        <w:tc>
          <w:tcPr>
            <w:tcW w:w="2211" w:type="dxa"/>
            <w:vAlign w:val="center"/>
          </w:tcPr>
          <w:p w:rsidR="006A57B2" w:rsidRPr="0012529E" w:rsidRDefault="006A57B2" w:rsidP="0012529E">
            <w:pPr>
              <w:spacing w:after="0" w:line="240" w:lineRule="auto"/>
              <w:jc w:val="center"/>
              <w:rPr>
                <w:rFonts w:asciiTheme="majorHAnsi" w:hAnsiTheme="majorHAnsi" w:cstheme="majorHAnsi"/>
                <w:highlight w:val="yellow"/>
              </w:rPr>
            </w:pPr>
            <w:r w:rsidRPr="0012529E">
              <w:rPr>
                <w:rFonts w:asciiTheme="majorHAnsi" w:hAnsiTheme="majorHAnsi" w:cstheme="majorHAnsi"/>
              </w:rPr>
              <w:t>£36</w:t>
            </w:r>
          </w:p>
        </w:tc>
        <w:tc>
          <w:tcPr>
            <w:tcW w:w="2721"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Difference in costs between standard (£43) and antibiotic (£79) CVCs (conservative case assuming triple lumen CVCs used for all children)</w:t>
            </w:r>
          </w:p>
        </w:tc>
        <w:tc>
          <w:tcPr>
            <w:tcW w:w="2154"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Fixed at £36</w:t>
            </w:r>
          </w:p>
        </w:tc>
      </w:tr>
      <w:tr w:rsidR="006A57B2" w:rsidRPr="0012529E" w:rsidTr="005E10F3">
        <w:trPr>
          <w:trHeight w:val="841"/>
        </w:trPr>
        <w:tc>
          <w:tcPr>
            <w:tcW w:w="2164" w:type="dxa"/>
            <w:vAlign w:val="center"/>
          </w:tcPr>
          <w:p w:rsidR="006A57B2" w:rsidRPr="0012529E" w:rsidRDefault="006A57B2" w:rsidP="0012529E">
            <w:pPr>
              <w:spacing w:after="0" w:line="240" w:lineRule="auto"/>
              <w:rPr>
                <w:rFonts w:asciiTheme="majorHAnsi" w:hAnsiTheme="majorHAnsi" w:cstheme="majorHAnsi"/>
                <w:i/>
              </w:rPr>
            </w:pPr>
            <w:r w:rsidRPr="0012529E">
              <w:rPr>
                <w:rFonts w:asciiTheme="majorHAnsi" w:hAnsiTheme="majorHAnsi" w:cstheme="majorHAnsi"/>
                <w:i/>
              </w:rPr>
              <w:t>Costs associated with managing each BSI</w:t>
            </w:r>
          </w:p>
        </w:tc>
        <w:tc>
          <w:tcPr>
            <w:tcW w:w="2211" w:type="dxa"/>
            <w:vAlign w:val="center"/>
          </w:tcPr>
          <w:p w:rsidR="006A57B2" w:rsidRPr="0012529E" w:rsidRDefault="006A57B2" w:rsidP="00E00BEB">
            <w:pPr>
              <w:spacing w:after="0" w:line="240" w:lineRule="auto"/>
              <w:jc w:val="center"/>
              <w:rPr>
                <w:rFonts w:asciiTheme="majorHAnsi" w:hAnsiTheme="majorHAnsi" w:cstheme="majorHAnsi"/>
              </w:rPr>
            </w:pPr>
            <w:r w:rsidRPr="0012529E">
              <w:rPr>
                <w:rFonts w:asciiTheme="majorHAnsi" w:hAnsiTheme="majorHAnsi" w:cstheme="majorHAnsi"/>
              </w:rPr>
              <w:t>£</w:t>
            </w:r>
            <w:r>
              <w:rPr>
                <w:rFonts w:asciiTheme="majorHAnsi" w:hAnsiTheme="majorHAnsi" w:cstheme="majorHAnsi"/>
              </w:rPr>
              <w:t>10,975</w:t>
            </w:r>
            <w:r w:rsidRPr="0012529E">
              <w:rPr>
                <w:rFonts w:asciiTheme="majorHAnsi" w:hAnsiTheme="majorHAnsi" w:cstheme="majorHAnsi"/>
              </w:rPr>
              <w:t xml:space="preserve"> (95% CI -£</w:t>
            </w:r>
            <w:r>
              <w:rPr>
                <w:rFonts w:asciiTheme="majorHAnsi" w:hAnsiTheme="majorHAnsi" w:cstheme="majorHAnsi"/>
              </w:rPr>
              <w:t>-2801</w:t>
            </w:r>
            <w:r w:rsidRPr="0012529E">
              <w:rPr>
                <w:rFonts w:asciiTheme="majorHAnsi" w:hAnsiTheme="majorHAnsi" w:cstheme="majorHAnsi"/>
              </w:rPr>
              <w:t xml:space="preserve"> to £</w:t>
            </w:r>
            <w:r>
              <w:rPr>
                <w:rFonts w:asciiTheme="majorHAnsi" w:hAnsiTheme="majorHAnsi" w:cstheme="majorHAnsi"/>
              </w:rPr>
              <w:t>24,751</w:t>
            </w:r>
            <w:r w:rsidRPr="0012529E">
              <w:rPr>
                <w:rFonts w:asciiTheme="majorHAnsi" w:hAnsiTheme="majorHAnsi" w:cstheme="majorHAnsi"/>
              </w:rPr>
              <w:t>)</w:t>
            </w:r>
          </w:p>
        </w:tc>
        <w:tc>
          <w:tcPr>
            <w:tcW w:w="2721" w:type="dxa"/>
            <w:vAlign w:val="center"/>
          </w:tcPr>
          <w:p w:rsidR="006A57B2" w:rsidRPr="0012529E" w:rsidRDefault="006A57B2" w:rsidP="0012529E">
            <w:pPr>
              <w:spacing w:after="0" w:line="240" w:lineRule="auto"/>
              <w:rPr>
                <w:rFonts w:asciiTheme="majorHAnsi" w:hAnsiTheme="majorHAnsi" w:cstheme="majorHAnsi"/>
              </w:rPr>
            </w:pPr>
            <w:r w:rsidRPr="0012529E">
              <w:rPr>
                <w:rFonts w:asciiTheme="majorHAnsi" w:hAnsiTheme="majorHAnsi" w:cstheme="majorHAnsi"/>
              </w:rPr>
              <w:t>CATCH trial cost-effectiveness analysis</w:t>
            </w:r>
            <w:r>
              <w:rPr>
                <w:rFonts w:asciiTheme="majorHAnsi" w:hAnsiTheme="majorHAnsi" w:cstheme="majorHAnsi"/>
              </w:rPr>
              <w:t xml:space="preserve"> </w:t>
            </w:r>
            <w:r w:rsidRPr="00667F09">
              <w:rPr>
                <w:rFonts w:asciiTheme="majorHAnsi" w:hAnsiTheme="majorHAnsi" w:cstheme="majorHAnsi"/>
              </w:rPr>
              <w:t>(Table 17)</w:t>
            </w:r>
          </w:p>
        </w:tc>
        <w:tc>
          <w:tcPr>
            <w:tcW w:w="2154" w:type="dxa"/>
            <w:vAlign w:val="center"/>
          </w:tcPr>
          <w:p w:rsidR="006A57B2" w:rsidRPr="0012529E" w:rsidRDefault="006A57B2" w:rsidP="00E00BEB">
            <w:pPr>
              <w:spacing w:after="0" w:line="240" w:lineRule="auto"/>
              <w:rPr>
                <w:rFonts w:asciiTheme="majorHAnsi" w:hAnsiTheme="majorHAnsi" w:cstheme="majorHAnsi"/>
              </w:rPr>
            </w:pPr>
            <w:r w:rsidRPr="0012529E">
              <w:rPr>
                <w:rFonts w:asciiTheme="majorHAnsi" w:hAnsiTheme="majorHAnsi" w:cstheme="majorHAnsi"/>
              </w:rPr>
              <w:t>N(£</w:t>
            </w:r>
            <w:r>
              <w:rPr>
                <w:rFonts w:asciiTheme="majorHAnsi" w:hAnsiTheme="majorHAnsi" w:cstheme="majorHAnsi"/>
              </w:rPr>
              <w:t>10,975</w:t>
            </w:r>
            <w:r w:rsidRPr="0012529E">
              <w:rPr>
                <w:rFonts w:asciiTheme="majorHAnsi" w:hAnsiTheme="majorHAnsi" w:cstheme="majorHAnsi"/>
              </w:rPr>
              <w:t>, £7,0</w:t>
            </w:r>
            <w:r>
              <w:rPr>
                <w:rFonts w:asciiTheme="majorHAnsi" w:hAnsiTheme="majorHAnsi" w:cstheme="majorHAnsi"/>
              </w:rPr>
              <w:t>23</w:t>
            </w:r>
            <w:r w:rsidRPr="0012529E">
              <w:rPr>
                <w:rFonts w:asciiTheme="majorHAnsi" w:hAnsiTheme="majorHAnsi" w:cstheme="majorHAnsi"/>
              </w:rPr>
              <w:t>)</w:t>
            </w:r>
          </w:p>
        </w:tc>
      </w:tr>
    </w:tbl>
    <w:p w:rsidR="006A57B2" w:rsidRPr="00A45AE1" w:rsidRDefault="006A57B2" w:rsidP="00B22173">
      <w:pPr>
        <w:spacing w:line="240" w:lineRule="auto"/>
        <w:rPr>
          <w:rFonts w:cstheme="minorHAnsi"/>
          <w:sz w:val="20"/>
        </w:rPr>
      </w:pPr>
      <w:r w:rsidRPr="00A45AE1">
        <w:rPr>
          <w:rFonts w:cstheme="minorHAnsi"/>
          <w:sz w:val="20"/>
        </w:rPr>
        <w:t>*Ln Natural logarithm</w:t>
      </w:r>
    </w:p>
    <w:p w:rsidR="006A57B2" w:rsidRDefault="006A57B2" w:rsidP="00B22173">
      <w:pPr>
        <w:spacing w:line="240" w:lineRule="auto"/>
        <w:rPr>
          <w:rFonts w:cstheme="minorHAnsi"/>
          <w:b/>
          <w:sz w:val="20"/>
        </w:rPr>
      </w:pPr>
    </w:p>
    <w:p w:rsidR="006A57B2" w:rsidRDefault="006A57B2" w:rsidP="00B22173">
      <w:pPr>
        <w:spacing w:line="240" w:lineRule="auto"/>
        <w:rPr>
          <w:rFonts w:cstheme="minorHAnsi"/>
          <w:b/>
          <w:sz w:val="20"/>
        </w:rPr>
      </w:pPr>
    </w:p>
    <w:p w:rsidR="006A57B2" w:rsidRDefault="006A57B2" w:rsidP="00B22173">
      <w:pPr>
        <w:spacing w:line="240" w:lineRule="auto"/>
        <w:rPr>
          <w:rFonts w:cstheme="minorHAnsi"/>
          <w:b/>
          <w:sz w:val="20"/>
        </w:rPr>
      </w:pPr>
    </w:p>
    <w:p w:rsidR="006A57B2" w:rsidRPr="00E36629" w:rsidRDefault="006A57B2" w:rsidP="00FD7537">
      <w:pPr>
        <w:pStyle w:val="Caption"/>
        <w:rPr>
          <w:rFonts w:asciiTheme="majorHAnsi" w:hAnsiTheme="majorHAnsi" w:cstheme="minorHAnsi"/>
          <w:color w:val="2E74B5" w:themeColor="accent1" w:themeShade="BF"/>
          <w:sz w:val="22"/>
          <w:szCs w:val="22"/>
        </w:rPr>
      </w:pPr>
      <w:bookmarkStart w:id="121" w:name="_Toc428178976"/>
      <w:r w:rsidRPr="00E36629">
        <w:rPr>
          <w:sz w:val="22"/>
          <w:szCs w:val="22"/>
        </w:rPr>
        <w:t xml:space="preserve">Table </w:t>
      </w:r>
      <w:r>
        <w:rPr>
          <w:noProof/>
          <w:sz w:val="22"/>
          <w:szCs w:val="22"/>
        </w:rPr>
        <w:t>21</w:t>
      </w:r>
      <w:r w:rsidRPr="00E36629">
        <w:rPr>
          <w:sz w:val="22"/>
          <w:szCs w:val="22"/>
        </w:rPr>
        <w:t>: Cost impacted analysis of managing BSIs occurring with standard versus antibiotic CVCs with best and worst case scenarios* and hypothetical scenarios for a typical PICU with 350 admissions per year</w:t>
      </w:r>
      <w:bookmarkEnd w:id="121"/>
      <w:r w:rsidRPr="00E36629">
        <w:rPr>
          <w:rFonts w:asciiTheme="majorHAnsi" w:hAnsiTheme="majorHAnsi" w:cstheme="minorHAnsi"/>
          <w:b w:val="0"/>
          <w:color w:val="2E74B5" w:themeColor="accent1" w:themeShade="BF"/>
          <w:sz w:val="22"/>
          <w:szCs w:val="22"/>
        </w:rPr>
        <w:t xml:space="preserve"> </w:t>
      </w:r>
    </w:p>
    <w:tbl>
      <w:tblPr>
        <w:tblW w:w="10272" w:type="dxa"/>
        <w:tblInd w:w="93" w:type="dxa"/>
        <w:tblLook w:val="04A0" w:firstRow="1" w:lastRow="0" w:firstColumn="1" w:lastColumn="0" w:noHBand="0" w:noVBand="1"/>
      </w:tblPr>
      <w:tblGrid>
        <w:gridCol w:w="1134"/>
        <w:gridCol w:w="1047"/>
        <w:gridCol w:w="960"/>
        <w:gridCol w:w="1105"/>
        <w:gridCol w:w="1047"/>
        <w:gridCol w:w="1120"/>
        <w:gridCol w:w="1191"/>
        <w:gridCol w:w="1416"/>
        <w:gridCol w:w="1252"/>
      </w:tblGrid>
      <w:tr w:rsidR="006A57B2" w:rsidRPr="00A305AC" w:rsidTr="00FD7537">
        <w:trPr>
          <w:trHeight w:val="1050"/>
        </w:trPr>
        <w:tc>
          <w:tcPr>
            <w:tcW w:w="1134" w:type="dxa"/>
            <w:tcBorders>
              <w:top w:val="nil"/>
              <w:left w:val="nil"/>
              <w:bottom w:val="nil"/>
              <w:right w:val="single" w:sz="4" w:space="0" w:color="auto"/>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single" w:sz="4" w:space="0" w:color="auto"/>
              <w:bottom w:val="single" w:sz="8" w:space="0" w:color="000000"/>
              <w:right w:val="nil"/>
            </w:tcBorders>
            <w:shd w:val="clear" w:color="auto" w:fill="9CC2E5" w:themeFill="accent1" w:themeFillTint="99"/>
            <w:vAlign w:val="center"/>
            <w:hideMark/>
          </w:tcPr>
          <w:p w:rsidR="006A57B2" w:rsidRPr="00A305AC" w:rsidRDefault="006A57B2" w:rsidP="00A305AC">
            <w:pPr>
              <w:spacing w:after="0" w:line="240" w:lineRule="auto"/>
              <w:jc w:val="center"/>
              <w:rPr>
                <w:rFonts w:asciiTheme="majorHAnsi" w:eastAsia="Times New Roman" w:hAnsiTheme="majorHAnsi" w:cstheme="majorHAnsi"/>
                <w:b/>
                <w:bCs/>
                <w:color w:val="000000"/>
                <w:sz w:val="20"/>
                <w:szCs w:val="20"/>
              </w:rPr>
            </w:pPr>
            <w:r w:rsidRPr="00A305AC">
              <w:rPr>
                <w:rFonts w:asciiTheme="majorHAnsi" w:eastAsia="Times New Roman" w:hAnsiTheme="majorHAnsi" w:cstheme="majorHAnsi"/>
                <w:b/>
                <w:bCs/>
                <w:color w:val="000000"/>
                <w:sz w:val="20"/>
                <w:szCs w:val="20"/>
              </w:rPr>
              <w:t xml:space="preserve">BSI </w:t>
            </w:r>
            <w:r>
              <w:rPr>
                <w:rFonts w:asciiTheme="majorHAnsi" w:eastAsia="Times New Roman" w:hAnsiTheme="majorHAnsi" w:cstheme="majorHAnsi"/>
                <w:b/>
                <w:bCs/>
                <w:color w:val="000000"/>
                <w:sz w:val="20"/>
                <w:szCs w:val="20"/>
              </w:rPr>
              <w:t xml:space="preserve">per 1000 CVC-days </w:t>
            </w:r>
            <w:r w:rsidRPr="00A305AC">
              <w:rPr>
                <w:rFonts w:asciiTheme="majorHAnsi" w:eastAsia="Times New Roman" w:hAnsiTheme="majorHAnsi" w:cstheme="majorHAnsi"/>
                <w:b/>
                <w:bCs/>
                <w:color w:val="000000"/>
                <w:sz w:val="20"/>
                <w:szCs w:val="20"/>
              </w:rPr>
              <w:t>using standard CVCs</w:t>
            </w:r>
          </w:p>
        </w:tc>
        <w:tc>
          <w:tcPr>
            <w:tcW w:w="960" w:type="dxa"/>
            <w:vMerge w:val="restart"/>
            <w:tcBorders>
              <w:top w:val="single" w:sz="4" w:space="0" w:color="auto"/>
              <w:left w:val="nil"/>
              <w:bottom w:val="single" w:sz="8" w:space="0" w:color="000000"/>
              <w:right w:val="nil"/>
            </w:tcBorders>
            <w:shd w:val="clear" w:color="auto" w:fill="9CC2E5" w:themeFill="accent1" w:themeFillTint="99"/>
            <w:vAlign w:val="center"/>
            <w:hideMark/>
          </w:tcPr>
          <w:p w:rsidR="006A57B2" w:rsidRPr="00A305AC" w:rsidRDefault="006A57B2" w:rsidP="00B22173">
            <w:pPr>
              <w:spacing w:after="0" w:line="240" w:lineRule="auto"/>
              <w:jc w:val="center"/>
              <w:rPr>
                <w:rFonts w:asciiTheme="majorHAnsi" w:eastAsia="Times New Roman" w:hAnsiTheme="majorHAnsi" w:cstheme="majorHAnsi"/>
                <w:b/>
                <w:bCs/>
                <w:color w:val="000000"/>
                <w:sz w:val="20"/>
                <w:szCs w:val="20"/>
              </w:rPr>
            </w:pPr>
            <w:r w:rsidRPr="00A305AC">
              <w:rPr>
                <w:rFonts w:asciiTheme="majorHAnsi" w:eastAsia="Times New Roman" w:hAnsiTheme="majorHAnsi" w:cstheme="majorHAnsi"/>
                <w:b/>
                <w:bCs/>
                <w:color w:val="000000"/>
                <w:sz w:val="20"/>
                <w:szCs w:val="20"/>
              </w:rPr>
              <w:t>Rate ratio</w:t>
            </w:r>
          </w:p>
        </w:tc>
        <w:tc>
          <w:tcPr>
            <w:tcW w:w="1105" w:type="dxa"/>
            <w:vMerge w:val="restart"/>
            <w:tcBorders>
              <w:top w:val="single" w:sz="4" w:space="0" w:color="auto"/>
              <w:left w:val="nil"/>
              <w:bottom w:val="single" w:sz="8" w:space="0" w:color="000000"/>
              <w:right w:val="nil"/>
            </w:tcBorders>
            <w:shd w:val="clear" w:color="auto" w:fill="9CC2E5" w:themeFill="accent1" w:themeFillTint="99"/>
            <w:vAlign w:val="center"/>
            <w:hideMark/>
          </w:tcPr>
          <w:p w:rsidR="006A57B2" w:rsidRPr="00A305AC" w:rsidRDefault="006A57B2" w:rsidP="00A305AC">
            <w:pPr>
              <w:spacing w:after="0" w:line="240" w:lineRule="auto"/>
              <w:jc w:val="center"/>
              <w:rPr>
                <w:rFonts w:asciiTheme="majorHAnsi" w:eastAsia="Times New Roman" w:hAnsiTheme="majorHAnsi" w:cstheme="majorHAnsi"/>
                <w:b/>
                <w:bCs/>
                <w:color w:val="000000"/>
                <w:sz w:val="20"/>
                <w:szCs w:val="20"/>
              </w:rPr>
            </w:pPr>
            <w:r w:rsidRPr="00A305AC">
              <w:rPr>
                <w:rFonts w:asciiTheme="majorHAnsi" w:eastAsia="Times New Roman" w:hAnsiTheme="majorHAnsi" w:cstheme="majorHAnsi"/>
                <w:b/>
                <w:bCs/>
                <w:color w:val="000000"/>
                <w:sz w:val="20"/>
                <w:szCs w:val="20"/>
              </w:rPr>
              <w:t xml:space="preserve">BSI </w:t>
            </w:r>
            <w:r>
              <w:rPr>
                <w:rFonts w:asciiTheme="majorHAnsi" w:eastAsia="Times New Roman" w:hAnsiTheme="majorHAnsi" w:cstheme="majorHAnsi"/>
                <w:b/>
                <w:bCs/>
                <w:color w:val="000000"/>
                <w:sz w:val="20"/>
                <w:szCs w:val="20"/>
              </w:rPr>
              <w:t xml:space="preserve">per 1000 CVC-days </w:t>
            </w:r>
            <w:r w:rsidRPr="00A305AC">
              <w:rPr>
                <w:rFonts w:asciiTheme="majorHAnsi" w:eastAsia="Times New Roman" w:hAnsiTheme="majorHAnsi" w:cstheme="majorHAnsi"/>
                <w:b/>
                <w:bCs/>
                <w:color w:val="000000"/>
                <w:sz w:val="20"/>
                <w:szCs w:val="20"/>
              </w:rPr>
              <w:t>using standard CVCs</w:t>
            </w:r>
          </w:p>
        </w:tc>
        <w:tc>
          <w:tcPr>
            <w:tcW w:w="1047" w:type="dxa"/>
            <w:vMerge w:val="restart"/>
            <w:tcBorders>
              <w:top w:val="single" w:sz="4" w:space="0" w:color="auto"/>
              <w:left w:val="nil"/>
              <w:right w:val="nil"/>
            </w:tcBorders>
            <w:shd w:val="clear" w:color="auto" w:fill="9CC2E5" w:themeFill="accent1" w:themeFillTint="99"/>
            <w:vAlign w:val="center"/>
            <w:hideMark/>
          </w:tcPr>
          <w:p w:rsidR="006A57B2" w:rsidRPr="00A305AC" w:rsidRDefault="006A57B2" w:rsidP="00B22173">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 xml:space="preserve">N </w:t>
            </w:r>
            <w:r w:rsidRPr="00A305AC">
              <w:rPr>
                <w:rFonts w:asciiTheme="majorHAnsi" w:eastAsia="Times New Roman" w:hAnsiTheme="majorHAnsi" w:cstheme="majorHAnsi"/>
                <w:b/>
                <w:bCs/>
                <w:color w:val="000000"/>
                <w:sz w:val="20"/>
                <w:szCs w:val="20"/>
              </w:rPr>
              <w:t>BSI with standard CVCs</w:t>
            </w:r>
          </w:p>
        </w:tc>
        <w:tc>
          <w:tcPr>
            <w:tcW w:w="1120" w:type="dxa"/>
            <w:vMerge w:val="restart"/>
            <w:tcBorders>
              <w:top w:val="single" w:sz="4" w:space="0" w:color="auto"/>
              <w:left w:val="nil"/>
              <w:right w:val="nil"/>
            </w:tcBorders>
            <w:shd w:val="clear" w:color="auto" w:fill="9CC2E5" w:themeFill="accent1" w:themeFillTint="99"/>
            <w:vAlign w:val="center"/>
            <w:hideMark/>
          </w:tcPr>
          <w:p w:rsidR="006A57B2" w:rsidRPr="00A305AC" w:rsidRDefault="006A57B2" w:rsidP="00B22173">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 xml:space="preserve">N </w:t>
            </w:r>
            <w:r w:rsidRPr="00A305AC">
              <w:rPr>
                <w:rFonts w:asciiTheme="majorHAnsi" w:eastAsia="Times New Roman" w:hAnsiTheme="majorHAnsi" w:cstheme="majorHAnsi"/>
                <w:b/>
                <w:bCs/>
                <w:color w:val="000000"/>
                <w:sz w:val="20"/>
                <w:szCs w:val="20"/>
              </w:rPr>
              <w:t>BSI with antibiotic CVCs</w:t>
            </w:r>
          </w:p>
        </w:tc>
        <w:tc>
          <w:tcPr>
            <w:tcW w:w="1191" w:type="dxa"/>
            <w:tcBorders>
              <w:top w:val="single" w:sz="4" w:space="0" w:color="auto"/>
              <w:left w:val="nil"/>
              <w:right w:val="nil"/>
            </w:tcBorders>
            <w:shd w:val="clear" w:color="auto" w:fill="9CC2E5" w:themeFill="accent1" w:themeFillTint="99"/>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p>
        </w:tc>
        <w:tc>
          <w:tcPr>
            <w:tcW w:w="1416" w:type="dxa"/>
            <w:tcBorders>
              <w:top w:val="single" w:sz="4" w:space="0" w:color="auto"/>
              <w:left w:val="nil"/>
              <w:right w:val="nil"/>
            </w:tcBorders>
            <w:shd w:val="clear" w:color="auto" w:fill="9CC2E5" w:themeFill="accent1" w:themeFillTint="99"/>
            <w:vAlign w:val="center"/>
            <w:hideMark/>
          </w:tcPr>
          <w:p w:rsidR="006A57B2" w:rsidRPr="00A305AC" w:rsidRDefault="006A57B2" w:rsidP="00EE7E5B">
            <w:pPr>
              <w:spacing w:after="0" w:line="240" w:lineRule="auto"/>
              <w:jc w:val="center"/>
              <w:rPr>
                <w:rFonts w:asciiTheme="majorHAnsi" w:eastAsia="Times New Roman" w:hAnsiTheme="majorHAnsi" w:cstheme="majorHAnsi"/>
                <w:b/>
                <w:color w:val="000000"/>
                <w:sz w:val="20"/>
                <w:szCs w:val="20"/>
              </w:rPr>
            </w:pPr>
            <w:r w:rsidRPr="00A305AC">
              <w:rPr>
                <w:rFonts w:asciiTheme="majorHAnsi" w:eastAsia="Times New Roman" w:hAnsiTheme="majorHAnsi" w:cstheme="majorHAnsi"/>
                <w:b/>
                <w:color w:val="000000"/>
                <w:sz w:val="20"/>
                <w:szCs w:val="20"/>
              </w:rPr>
              <w:t xml:space="preserve">BSI averted </w:t>
            </w:r>
            <w:r w:rsidRPr="00A305AC">
              <w:rPr>
                <w:rFonts w:asciiTheme="majorHAnsi" w:eastAsia="Times New Roman" w:hAnsiTheme="majorHAnsi" w:cstheme="majorHAnsi"/>
                <w:b/>
                <w:i/>
                <w:iCs/>
                <w:color w:val="000000"/>
                <w:sz w:val="20"/>
                <w:szCs w:val="20"/>
              </w:rPr>
              <w:t>**</w:t>
            </w:r>
          </w:p>
        </w:tc>
        <w:tc>
          <w:tcPr>
            <w:tcW w:w="1252" w:type="dxa"/>
            <w:tcBorders>
              <w:top w:val="single" w:sz="4" w:space="0" w:color="auto"/>
              <w:left w:val="nil"/>
              <w:right w:val="single" w:sz="4" w:space="0" w:color="auto"/>
            </w:tcBorders>
            <w:shd w:val="clear" w:color="auto" w:fill="9CC2E5" w:themeFill="accent1" w:themeFillTint="99"/>
            <w:vAlign w:val="center"/>
            <w:hideMark/>
          </w:tcPr>
          <w:p w:rsidR="006A57B2" w:rsidRPr="00EE7E5B" w:rsidRDefault="006A57B2" w:rsidP="00B22173">
            <w:pPr>
              <w:spacing w:after="0" w:line="240" w:lineRule="auto"/>
              <w:jc w:val="center"/>
              <w:rPr>
                <w:rFonts w:asciiTheme="majorHAnsi" w:eastAsia="Times New Roman" w:hAnsiTheme="majorHAnsi" w:cstheme="majorHAnsi"/>
                <w:b/>
                <w:color w:val="000000"/>
                <w:sz w:val="20"/>
                <w:szCs w:val="20"/>
              </w:rPr>
            </w:pPr>
            <w:r w:rsidRPr="00EE7E5B">
              <w:rPr>
                <w:rFonts w:asciiTheme="majorHAnsi" w:eastAsia="Times New Roman" w:hAnsiTheme="majorHAnsi" w:cstheme="majorHAnsi"/>
                <w:b/>
                <w:color w:val="000000"/>
                <w:sz w:val="20"/>
                <w:szCs w:val="20"/>
              </w:rPr>
              <w:t>Cost-impact</w:t>
            </w:r>
          </w:p>
        </w:tc>
      </w:tr>
      <w:tr w:rsidR="006A57B2" w:rsidRPr="00A305AC" w:rsidTr="00FD7537">
        <w:trPr>
          <w:trHeight w:val="780"/>
        </w:trPr>
        <w:tc>
          <w:tcPr>
            <w:tcW w:w="1134"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tcBorders>
              <w:top w:val="single" w:sz="8" w:space="0" w:color="auto"/>
              <w:left w:val="single" w:sz="4" w:space="0" w:color="auto"/>
              <w:bottom w:val="single" w:sz="4" w:space="0" w:color="auto"/>
              <w:right w:val="nil"/>
            </w:tcBorders>
            <w:shd w:val="clear" w:color="auto" w:fill="9CC2E5" w:themeFill="accent1" w:themeFillTint="99"/>
            <w:vAlign w:val="center"/>
            <w:hideMark/>
          </w:tcPr>
          <w:p w:rsidR="006A57B2" w:rsidRPr="00A305AC" w:rsidRDefault="006A57B2" w:rsidP="00B22173">
            <w:pPr>
              <w:spacing w:after="0" w:line="240" w:lineRule="auto"/>
              <w:rPr>
                <w:rFonts w:asciiTheme="majorHAnsi" w:eastAsia="Times New Roman" w:hAnsiTheme="majorHAnsi" w:cstheme="majorHAnsi"/>
                <w:b/>
                <w:bCs/>
                <w:color w:val="000000"/>
                <w:sz w:val="20"/>
                <w:szCs w:val="20"/>
              </w:rPr>
            </w:pPr>
          </w:p>
        </w:tc>
        <w:tc>
          <w:tcPr>
            <w:tcW w:w="960" w:type="dxa"/>
            <w:vMerge/>
            <w:tcBorders>
              <w:top w:val="single" w:sz="8" w:space="0" w:color="auto"/>
              <w:left w:val="nil"/>
              <w:bottom w:val="single" w:sz="4" w:space="0" w:color="auto"/>
              <w:right w:val="nil"/>
            </w:tcBorders>
            <w:shd w:val="clear" w:color="auto" w:fill="9CC2E5" w:themeFill="accent1" w:themeFillTint="99"/>
            <w:vAlign w:val="center"/>
            <w:hideMark/>
          </w:tcPr>
          <w:p w:rsidR="006A57B2" w:rsidRPr="00A305AC" w:rsidRDefault="006A57B2" w:rsidP="00B22173">
            <w:pPr>
              <w:spacing w:after="0" w:line="240" w:lineRule="auto"/>
              <w:rPr>
                <w:rFonts w:asciiTheme="majorHAnsi" w:eastAsia="Times New Roman" w:hAnsiTheme="majorHAnsi" w:cstheme="majorHAnsi"/>
                <w:b/>
                <w:bCs/>
                <w:color w:val="000000"/>
                <w:sz w:val="20"/>
                <w:szCs w:val="20"/>
              </w:rPr>
            </w:pPr>
          </w:p>
        </w:tc>
        <w:tc>
          <w:tcPr>
            <w:tcW w:w="1105" w:type="dxa"/>
            <w:vMerge/>
            <w:tcBorders>
              <w:top w:val="single" w:sz="8" w:space="0" w:color="auto"/>
              <w:left w:val="nil"/>
              <w:bottom w:val="single" w:sz="4" w:space="0" w:color="auto"/>
              <w:right w:val="nil"/>
            </w:tcBorders>
            <w:shd w:val="clear" w:color="auto" w:fill="9CC2E5" w:themeFill="accent1" w:themeFillTint="99"/>
            <w:vAlign w:val="center"/>
            <w:hideMark/>
          </w:tcPr>
          <w:p w:rsidR="006A57B2" w:rsidRPr="00A305AC" w:rsidRDefault="006A57B2" w:rsidP="00B22173">
            <w:pPr>
              <w:spacing w:after="0" w:line="240" w:lineRule="auto"/>
              <w:rPr>
                <w:rFonts w:asciiTheme="majorHAnsi" w:eastAsia="Times New Roman" w:hAnsiTheme="majorHAnsi" w:cstheme="majorHAnsi"/>
                <w:b/>
                <w:bCs/>
                <w:color w:val="000000"/>
                <w:sz w:val="20"/>
                <w:szCs w:val="20"/>
              </w:rPr>
            </w:pPr>
          </w:p>
        </w:tc>
        <w:tc>
          <w:tcPr>
            <w:tcW w:w="1047" w:type="dxa"/>
            <w:vMerge/>
            <w:tcBorders>
              <w:left w:val="nil"/>
              <w:bottom w:val="single" w:sz="4" w:space="0" w:color="auto"/>
              <w:right w:val="nil"/>
            </w:tcBorders>
            <w:shd w:val="clear" w:color="auto" w:fill="9CC2E5" w:themeFill="accent1" w:themeFillTint="99"/>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9CC2E5" w:themeFill="accent1" w:themeFillTint="99"/>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9CC2E5" w:themeFill="accent1" w:themeFillTint="99"/>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Lower limit: </w:t>
            </w:r>
            <w:r w:rsidRPr="00A305AC">
              <w:rPr>
                <w:rFonts w:asciiTheme="majorHAnsi" w:eastAsia="Times New Roman" w:hAnsiTheme="majorHAnsi" w:cstheme="majorHAnsi"/>
                <w:color w:val="000000"/>
                <w:sz w:val="20"/>
                <w:szCs w:val="20"/>
              </w:rPr>
              <w:t>Cost per BSI: -£2801</w:t>
            </w:r>
          </w:p>
        </w:tc>
        <w:tc>
          <w:tcPr>
            <w:tcW w:w="1416" w:type="dxa"/>
            <w:tcBorders>
              <w:top w:val="nil"/>
              <w:left w:val="nil"/>
              <w:bottom w:val="single" w:sz="4" w:space="0" w:color="auto"/>
              <w:right w:val="nil"/>
            </w:tcBorders>
            <w:shd w:val="clear" w:color="auto" w:fill="9CC2E5" w:themeFill="accent1" w:themeFillTint="99"/>
            <w:vAlign w:val="center"/>
            <w:hideMark/>
          </w:tcPr>
          <w:p w:rsidR="006A57B2" w:rsidRDefault="006A57B2" w:rsidP="008B21A2">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Base case: </w:t>
            </w:r>
          </w:p>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Cost per BSI:  £10,975</w:t>
            </w:r>
          </w:p>
        </w:tc>
        <w:tc>
          <w:tcPr>
            <w:tcW w:w="1252" w:type="dxa"/>
            <w:tcBorders>
              <w:top w:val="nil"/>
              <w:left w:val="nil"/>
              <w:bottom w:val="single" w:sz="4" w:space="0" w:color="auto"/>
              <w:right w:val="single" w:sz="4" w:space="0" w:color="auto"/>
            </w:tcBorders>
            <w:shd w:val="clear" w:color="auto" w:fill="9CC2E5" w:themeFill="accent1" w:themeFillTint="99"/>
            <w:vAlign w:val="center"/>
            <w:hideMark/>
          </w:tcPr>
          <w:p w:rsidR="006A57B2" w:rsidRDefault="006A57B2" w:rsidP="008B21A2">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Upper limit: </w:t>
            </w:r>
          </w:p>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Cost per BSI: £24,751</w:t>
            </w:r>
          </w:p>
        </w:tc>
      </w:tr>
      <w:tr w:rsidR="006A57B2" w:rsidRPr="00A305AC" w:rsidTr="008B21A2">
        <w:trPr>
          <w:trHeight w:val="300"/>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6A57B2" w:rsidRPr="00A305AC" w:rsidRDefault="006A57B2" w:rsidP="008B21A2">
            <w:pPr>
              <w:spacing w:after="0" w:line="240" w:lineRule="auto"/>
              <w:rPr>
                <w:rFonts w:asciiTheme="majorHAnsi" w:eastAsia="Times New Roman" w:hAnsiTheme="majorHAnsi" w:cstheme="majorHAnsi"/>
                <w:i/>
                <w:iCs/>
                <w:color w:val="000000"/>
                <w:sz w:val="20"/>
                <w:szCs w:val="20"/>
              </w:rPr>
            </w:pPr>
            <w:r w:rsidRPr="00A305AC">
              <w:rPr>
                <w:rFonts w:asciiTheme="majorHAnsi" w:eastAsia="Times New Roman" w:hAnsiTheme="majorHAnsi" w:cstheme="majorHAnsi"/>
                <w:i/>
                <w:iCs/>
                <w:color w:val="000000"/>
                <w:sz w:val="20"/>
                <w:szCs w:val="20"/>
              </w:rPr>
              <w:t>Base case</w:t>
            </w:r>
          </w:p>
        </w:tc>
        <w:tc>
          <w:tcPr>
            <w:tcW w:w="1047" w:type="dxa"/>
            <w:vMerge w:val="restart"/>
            <w:tcBorders>
              <w:top w:val="single" w:sz="4" w:space="0" w:color="auto"/>
              <w:left w:val="single" w:sz="4" w:space="0" w:color="auto"/>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4.58</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1.83</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385.9</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154.4</w:t>
            </w:r>
          </w:p>
        </w:tc>
        <w:tc>
          <w:tcPr>
            <w:tcW w:w="1191"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231.6</w:t>
            </w:r>
          </w:p>
        </w:tc>
        <w:tc>
          <w:tcPr>
            <w:tcW w:w="1416"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231.6</w:t>
            </w:r>
          </w:p>
        </w:tc>
        <w:tc>
          <w:tcPr>
            <w:tcW w:w="1252" w:type="dxa"/>
            <w:tcBorders>
              <w:top w:val="single" w:sz="4" w:space="0" w:color="auto"/>
              <w:left w:val="nil"/>
              <w:bottom w:val="nil"/>
              <w:right w:val="single" w:sz="4" w:space="0" w:color="auto"/>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231.6</w:t>
            </w:r>
          </w:p>
        </w:tc>
      </w:tr>
      <w:tr w:rsidR="006A57B2" w:rsidRPr="00A305AC" w:rsidTr="008B21A2">
        <w:trPr>
          <w:trHeight w:val="300"/>
        </w:trPr>
        <w:tc>
          <w:tcPr>
            <w:tcW w:w="1134" w:type="dxa"/>
            <w:vMerge/>
            <w:tcBorders>
              <w:left w:val="single" w:sz="4" w:space="0" w:color="auto"/>
              <w:right w:val="single" w:sz="4" w:space="0" w:color="auto"/>
            </w:tcBorders>
            <w:shd w:val="clear" w:color="auto" w:fill="auto"/>
            <w:noWrap/>
            <w:vAlign w:val="center"/>
            <w:hideMark/>
          </w:tcPr>
          <w:p w:rsidR="006A57B2" w:rsidRPr="00A305AC" w:rsidRDefault="006A57B2" w:rsidP="008B21A2">
            <w:pPr>
              <w:spacing w:after="0" w:line="240" w:lineRule="auto"/>
              <w:rPr>
                <w:rFonts w:asciiTheme="majorHAnsi" w:eastAsia="Times New Roman" w:hAnsiTheme="majorHAnsi" w:cstheme="majorHAnsi"/>
                <w:i/>
                <w:iCs/>
                <w:color w:val="000000"/>
                <w:sz w:val="20"/>
                <w:szCs w:val="20"/>
              </w:rPr>
            </w:pPr>
          </w:p>
        </w:tc>
        <w:tc>
          <w:tcPr>
            <w:tcW w:w="1047" w:type="dxa"/>
            <w:vMerge/>
            <w:tcBorders>
              <w:left w:val="single" w:sz="4" w:space="0" w:color="auto"/>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-£648,606</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b/>
                <w:bCs/>
                <w:color w:val="000000"/>
                <w:sz w:val="20"/>
                <w:szCs w:val="20"/>
              </w:rPr>
            </w:pPr>
            <w:r w:rsidRPr="00A305AC">
              <w:rPr>
                <w:rFonts w:asciiTheme="majorHAnsi" w:hAnsiTheme="majorHAnsi" w:cstheme="majorHAnsi"/>
                <w:b/>
                <w:bCs/>
                <w:color w:val="000000"/>
                <w:sz w:val="20"/>
                <w:szCs w:val="20"/>
              </w:rPr>
              <w:t>£2,541,397</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£5,731,401</w:t>
            </w:r>
          </w:p>
        </w:tc>
      </w:tr>
      <w:tr w:rsidR="006A57B2" w:rsidRPr="00A305AC" w:rsidTr="008B21A2">
        <w:trPr>
          <w:trHeight w:val="300"/>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6A57B2" w:rsidRPr="00A305AC" w:rsidRDefault="006A57B2" w:rsidP="008B21A2">
            <w:pPr>
              <w:spacing w:after="0" w:line="240" w:lineRule="auto"/>
              <w:rPr>
                <w:rFonts w:asciiTheme="majorHAnsi" w:eastAsia="Times New Roman" w:hAnsiTheme="majorHAnsi" w:cstheme="majorHAnsi"/>
                <w:i/>
                <w:iCs/>
                <w:color w:val="000000"/>
                <w:sz w:val="20"/>
                <w:szCs w:val="20"/>
              </w:rPr>
            </w:pPr>
            <w:r w:rsidRPr="00A305AC">
              <w:rPr>
                <w:rFonts w:asciiTheme="majorHAnsi" w:eastAsia="Times New Roman" w:hAnsiTheme="majorHAnsi" w:cstheme="majorHAnsi"/>
                <w:i/>
                <w:iCs/>
                <w:color w:val="000000"/>
                <w:sz w:val="20"/>
                <w:szCs w:val="20"/>
              </w:rPr>
              <w:t>Worst case</w:t>
            </w:r>
          </w:p>
        </w:tc>
        <w:tc>
          <w:tcPr>
            <w:tcW w:w="1047" w:type="dxa"/>
            <w:vMerge w:val="restart"/>
            <w:tcBorders>
              <w:top w:val="single" w:sz="4" w:space="0" w:color="auto"/>
              <w:left w:val="single" w:sz="4" w:space="0" w:color="auto"/>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4.42</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0.97</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4.29</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372.5</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361.3</w:t>
            </w:r>
          </w:p>
        </w:tc>
        <w:tc>
          <w:tcPr>
            <w:tcW w:w="1191"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11.2</w:t>
            </w:r>
          </w:p>
        </w:tc>
        <w:tc>
          <w:tcPr>
            <w:tcW w:w="1416"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11.2</w:t>
            </w:r>
          </w:p>
        </w:tc>
        <w:tc>
          <w:tcPr>
            <w:tcW w:w="1252" w:type="dxa"/>
            <w:tcBorders>
              <w:top w:val="single" w:sz="4" w:space="0" w:color="auto"/>
              <w:left w:val="nil"/>
              <w:bottom w:val="nil"/>
              <w:right w:val="single" w:sz="4" w:space="0" w:color="auto"/>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11.2</w:t>
            </w:r>
          </w:p>
        </w:tc>
      </w:tr>
      <w:tr w:rsidR="006A57B2" w:rsidRPr="00A305AC" w:rsidTr="008B21A2">
        <w:trPr>
          <w:trHeight w:val="300"/>
        </w:trPr>
        <w:tc>
          <w:tcPr>
            <w:tcW w:w="1134" w:type="dxa"/>
            <w:vMerge/>
            <w:tcBorders>
              <w:left w:val="single" w:sz="4" w:space="0" w:color="auto"/>
              <w:right w:val="single" w:sz="4" w:space="0" w:color="auto"/>
            </w:tcBorders>
            <w:shd w:val="clear" w:color="auto" w:fill="auto"/>
            <w:noWrap/>
            <w:vAlign w:val="center"/>
            <w:hideMark/>
          </w:tcPr>
          <w:p w:rsidR="006A57B2" w:rsidRPr="00A305AC" w:rsidRDefault="006A57B2" w:rsidP="008B21A2">
            <w:pPr>
              <w:spacing w:after="0" w:line="240" w:lineRule="auto"/>
              <w:rPr>
                <w:rFonts w:asciiTheme="majorHAnsi" w:eastAsia="Times New Roman" w:hAnsiTheme="majorHAnsi" w:cstheme="majorHAnsi"/>
                <w:i/>
                <w:iCs/>
                <w:color w:val="000000"/>
                <w:sz w:val="20"/>
                <w:szCs w:val="20"/>
              </w:rPr>
            </w:pPr>
          </w:p>
        </w:tc>
        <w:tc>
          <w:tcPr>
            <w:tcW w:w="1047" w:type="dxa"/>
            <w:vMerge/>
            <w:tcBorders>
              <w:left w:val="single" w:sz="4" w:space="0" w:color="auto"/>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-£31,297</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£122,631</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£276,559</w:t>
            </w:r>
          </w:p>
        </w:tc>
      </w:tr>
      <w:tr w:rsidR="006A57B2" w:rsidRPr="00A305AC" w:rsidTr="008B21A2">
        <w:trPr>
          <w:trHeight w:val="300"/>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6A57B2" w:rsidRPr="00A305AC" w:rsidRDefault="006A57B2" w:rsidP="008B21A2">
            <w:pPr>
              <w:spacing w:after="0" w:line="240" w:lineRule="auto"/>
              <w:rPr>
                <w:rFonts w:asciiTheme="majorHAnsi" w:eastAsia="Times New Roman" w:hAnsiTheme="majorHAnsi" w:cstheme="majorHAnsi"/>
                <w:i/>
                <w:iCs/>
                <w:color w:val="000000"/>
                <w:sz w:val="20"/>
                <w:szCs w:val="20"/>
              </w:rPr>
            </w:pPr>
            <w:r w:rsidRPr="00A305AC">
              <w:rPr>
                <w:rFonts w:asciiTheme="majorHAnsi" w:eastAsia="Times New Roman" w:hAnsiTheme="majorHAnsi" w:cstheme="majorHAnsi"/>
                <w:i/>
                <w:iCs/>
                <w:color w:val="000000"/>
                <w:sz w:val="20"/>
                <w:szCs w:val="20"/>
              </w:rPr>
              <w:t>Best case</w:t>
            </w:r>
          </w:p>
        </w:tc>
        <w:tc>
          <w:tcPr>
            <w:tcW w:w="1047" w:type="dxa"/>
            <w:vMerge w:val="restart"/>
            <w:tcBorders>
              <w:top w:val="single" w:sz="4" w:space="0" w:color="auto"/>
              <w:left w:val="single" w:sz="4" w:space="0" w:color="auto"/>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4.74</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0.17</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0.81</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399.4</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67.9</w:t>
            </w:r>
          </w:p>
        </w:tc>
        <w:tc>
          <w:tcPr>
            <w:tcW w:w="1191"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331.5</w:t>
            </w:r>
          </w:p>
        </w:tc>
        <w:tc>
          <w:tcPr>
            <w:tcW w:w="1416"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331.5</w:t>
            </w:r>
          </w:p>
        </w:tc>
        <w:tc>
          <w:tcPr>
            <w:tcW w:w="1252" w:type="dxa"/>
            <w:tcBorders>
              <w:top w:val="single" w:sz="4" w:space="0" w:color="auto"/>
              <w:left w:val="nil"/>
              <w:bottom w:val="nil"/>
              <w:right w:val="single" w:sz="4" w:space="0" w:color="auto"/>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331.5</w:t>
            </w:r>
          </w:p>
        </w:tc>
      </w:tr>
      <w:tr w:rsidR="006A57B2" w:rsidRPr="00A305AC" w:rsidTr="005E10F3">
        <w:trPr>
          <w:trHeight w:val="300"/>
        </w:trPr>
        <w:tc>
          <w:tcPr>
            <w:tcW w:w="1134" w:type="dxa"/>
            <w:vMerge/>
            <w:tcBorders>
              <w:left w:val="single" w:sz="4" w:space="0" w:color="auto"/>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single" w:sz="4" w:space="0" w:color="auto"/>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-£928,583</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£3,638,415</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£8,205,414</w:t>
            </w:r>
          </w:p>
        </w:tc>
      </w:tr>
      <w:tr w:rsidR="006A57B2" w:rsidRPr="00A305AC" w:rsidTr="005E10F3">
        <w:trPr>
          <w:trHeight w:val="300"/>
        </w:trPr>
        <w:tc>
          <w:tcPr>
            <w:tcW w:w="7604" w:type="dxa"/>
            <w:gridSpan w:val="7"/>
            <w:tcBorders>
              <w:top w:val="single" w:sz="4" w:space="0" w:color="auto"/>
              <w:left w:val="single" w:sz="4" w:space="0" w:color="auto"/>
              <w:bottom w:val="single" w:sz="4" w:space="0" w:color="auto"/>
              <w:right w:val="nil"/>
            </w:tcBorders>
            <w:shd w:val="clear" w:color="auto" w:fill="9CC2E5" w:themeFill="accent1" w:themeFillTint="99"/>
            <w:noWrap/>
            <w:vAlign w:val="center"/>
            <w:hideMark/>
          </w:tcPr>
          <w:p w:rsidR="006A57B2" w:rsidRPr="00A305AC" w:rsidRDefault="006A57B2" w:rsidP="00B22173">
            <w:pPr>
              <w:spacing w:after="0" w:line="240" w:lineRule="auto"/>
              <w:rPr>
                <w:rFonts w:asciiTheme="majorHAnsi" w:eastAsia="Times New Roman" w:hAnsiTheme="majorHAnsi" w:cstheme="majorHAnsi"/>
                <w:i/>
                <w:color w:val="000000"/>
                <w:sz w:val="20"/>
                <w:szCs w:val="20"/>
              </w:rPr>
            </w:pPr>
            <w:r w:rsidRPr="00A305AC">
              <w:rPr>
                <w:rFonts w:asciiTheme="majorHAnsi" w:eastAsia="Times New Roman" w:hAnsiTheme="majorHAnsi" w:cstheme="majorHAnsi"/>
                <w:b/>
                <w:i/>
                <w:color w:val="000000"/>
                <w:sz w:val="20"/>
                <w:szCs w:val="20"/>
              </w:rPr>
              <w:t xml:space="preserve">Hypothetical scenarios based on a </w:t>
            </w:r>
            <w:r>
              <w:rPr>
                <w:rFonts w:asciiTheme="majorHAnsi" w:eastAsia="Times New Roman" w:hAnsiTheme="majorHAnsi" w:cstheme="majorHAnsi"/>
                <w:b/>
                <w:i/>
                <w:color w:val="000000"/>
                <w:sz w:val="20"/>
                <w:szCs w:val="20"/>
              </w:rPr>
              <w:t xml:space="preserve">typical </w:t>
            </w:r>
            <w:r w:rsidRPr="00A305AC">
              <w:rPr>
                <w:rFonts w:asciiTheme="majorHAnsi" w:eastAsia="Times New Roman" w:hAnsiTheme="majorHAnsi" w:cstheme="majorHAnsi"/>
                <w:b/>
                <w:i/>
                <w:color w:val="000000"/>
                <w:sz w:val="20"/>
                <w:szCs w:val="20"/>
              </w:rPr>
              <w:t>PICU with 350 admissions per year</w:t>
            </w:r>
          </w:p>
        </w:tc>
        <w:tc>
          <w:tcPr>
            <w:tcW w:w="1416" w:type="dxa"/>
            <w:tcBorders>
              <w:top w:val="single" w:sz="4" w:space="0" w:color="auto"/>
              <w:left w:val="nil"/>
              <w:bottom w:val="single" w:sz="4" w:space="0" w:color="auto"/>
              <w:right w:val="nil"/>
            </w:tcBorders>
            <w:shd w:val="clear" w:color="auto" w:fill="9CC2E5" w:themeFill="accent1" w:themeFillTint="99"/>
            <w:noWrap/>
            <w:vAlign w:val="center"/>
            <w:hideMark/>
          </w:tcPr>
          <w:p w:rsidR="006A57B2" w:rsidRPr="00A305AC" w:rsidRDefault="006A57B2" w:rsidP="00B22173">
            <w:pPr>
              <w:spacing w:after="0" w:line="240" w:lineRule="auto"/>
              <w:jc w:val="right"/>
              <w:rPr>
                <w:rFonts w:asciiTheme="majorHAnsi" w:eastAsia="Times New Roman" w:hAnsiTheme="majorHAnsi" w:cstheme="majorHAnsi"/>
                <w:i/>
                <w:color w:val="000000"/>
                <w:sz w:val="20"/>
                <w:szCs w:val="20"/>
              </w:rPr>
            </w:pPr>
          </w:p>
        </w:tc>
        <w:tc>
          <w:tcPr>
            <w:tcW w:w="125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A57B2" w:rsidRPr="00A305AC" w:rsidRDefault="006A57B2" w:rsidP="00B22173">
            <w:pPr>
              <w:spacing w:after="0" w:line="240" w:lineRule="auto"/>
              <w:jc w:val="right"/>
              <w:rPr>
                <w:rFonts w:asciiTheme="majorHAnsi" w:eastAsia="Times New Roman" w:hAnsiTheme="majorHAnsi" w:cstheme="majorHAnsi"/>
                <w:i/>
                <w:color w:val="000000"/>
                <w:sz w:val="20"/>
                <w:szCs w:val="20"/>
              </w:rPr>
            </w:pP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3.5</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1.4</w:t>
            </w:r>
          </w:p>
        </w:tc>
        <w:tc>
          <w:tcPr>
            <w:tcW w:w="1191"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3.5</w:t>
            </w:r>
          </w:p>
        </w:tc>
        <w:tc>
          <w:tcPr>
            <w:tcW w:w="1416"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3.5</w:t>
            </w:r>
          </w:p>
        </w:tc>
        <w:tc>
          <w:tcPr>
            <w:tcW w:w="1252" w:type="dxa"/>
            <w:tcBorders>
              <w:top w:val="single" w:sz="4" w:space="0" w:color="auto"/>
              <w:left w:val="nil"/>
              <w:bottom w:val="nil"/>
              <w:right w:val="single" w:sz="4" w:space="0" w:color="auto"/>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3.5</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-£9,677</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£37,919</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£85,515</w:t>
            </w: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0.80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171.9</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68.8</w:t>
            </w:r>
          </w:p>
        </w:tc>
        <w:tc>
          <w:tcPr>
            <w:tcW w:w="1191"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101.1</w:t>
            </w:r>
          </w:p>
        </w:tc>
        <w:tc>
          <w:tcPr>
            <w:tcW w:w="1416" w:type="dxa"/>
            <w:tcBorders>
              <w:top w:val="single" w:sz="4" w:space="0" w:color="auto"/>
              <w:left w:val="nil"/>
              <w:bottom w:val="nil"/>
              <w:right w:val="nil"/>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101.1</w:t>
            </w:r>
          </w:p>
        </w:tc>
        <w:tc>
          <w:tcPr>
            <w:tcW w:w="1252" w:type="dxa"/>
            <w:tcBorders>
              <w:top w:val="single" w:sz="4" w:space="0" w:color="auto"/>
              <w:left w:val="nil"/>
              <w:bottom w:val="nil"/>
              <w:right w:val="single" w:sz="4" w:space="0" w:color="auto"/>
            </w:tcBorders>
            <w:shd w:val="clear" w:color="auto" w:fill="auto"/>
            <w:noWrap/>
            <w:vAlign w:val="center"/>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101.1</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-£283,234</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£1,109,780</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£2,502,795</w:t>
            </w: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1.20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257.9</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103.2</w:t>
            </w:r>
          </w:p>
        </w:tc>
        <w:tc>
          <w:tcPr>
            <w:tcW w:w="1191"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151.7</w:t>
            </w:r>
          </w:p>
        </w:tc>
        <w:tc>
          <w:tcPr>
            <w:tcW w:w="1416"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151.7</w:t>
            </w:r>
          </w:p>
        </w:tc>
        <w:tc>
          <w:tcPr>
            <w:tcW w:w="1252" w:type="dxa"/>
            <w:tcBorders>
              <w:top w:val="single" w:sz="4" w:space="0" w:color="auto"/>
              <w:left w:val="nil"/>
              <w:bottom w:val="nil"/>
              <w:right w:val="single" w:sz="4" w:space="0" w:color="auto"/>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151.7</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-£424,851</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£1,664,671</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£3,754,193</w:t>
            </w: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4.00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1.60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343.9</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137.6</w:t>
            </w:r>
          </w:p>
        </w:tc>
        <w:tc>
          <w:tcPr>
            <w:tcW w:w="1191"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202.2</w:t>
            </w:r>
          </w:p>
        </w:tc>
        <w:tc>
          <w:tcPr>
            <w:tcW w:w="1416"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202.2</w:t>
            </w:r>
          </w:p>
        </w:tc>
        <w:tc>
          <w:tcPr>
            <w:tcW w:w="1252" w:type="dxa"/>
            <w:tcBorders>
              <w:top w:val="single" w:sz="4" w:space="0" w:color="auto"/>
              <w:left w:val="nil"/>
              <w:bottom w:val="nil"/>
              <w:right w:val="single" w:sz="4" w:space="0" w:color="auto"/>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202.2</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-£566,468</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£2,219,561</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£5,005,590</w:t>
            </w: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5.00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2.00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429.9</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171.9</w:t>
            </w:r>
          </w:p>
        </w:tc>
        <w:tc>
          <w:tcPr>
            <w:tcW w:w="1191"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252.8</w:t>
            </w:r>
          </w:p>
        </w:tc>
        <w:tc>
          <w:tcPr>
            <w:tcW w:w="1416"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252.8</w:t>
            </w:r>
          </w:p>
        </w:tc>
        <w:tc>
          <w:tcPr>
            <w:tcW w:w="1252" w:type="dxa"/>
            <w:tcBorders>
              <w:top w:val="single" w:sz="4" w:space="0" w:color="auto"/>
              <w:left w:val="nil"/>
              <w:bottom w:val="nil"/>
              <w:right w:val="single" w:sz="4" w:space="0" w:color="auto"/>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252.8</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-£708,085</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£2,774,451</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£6,256,988</w:t>
            </w: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6.00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2.40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515.8</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206.3</w:t>
            </w:r>
          </w:p>
        </w:tc>
        <w:tc>
          <w:tcPr>
            <w:tcW w:w="1191"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303.4</w:t>
            </w:r>
          </w:p>
        </w:tc>
        <w:tc>
          <w:tcPr>
            <w:tcW w:w="1416"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303.4</w:t>
            </w:r>
          </w:p>
        </w:tc>
        <w:tc>
          <w:tcPr>
            <w:tcW w:w="1252" w:type="dxa"/>
            <w:tcBorders>
              <w:top w:val="single" w:sz="4" w:space="0" w:color="auto"/>
              <w:left w:val="nil"/>
              <w:bottom w:val="nil"/>
              <w:right w:val="single" w:sz="4" w:space="0" w:color="auto"/>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303.4</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-£849,703</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£3,329,341</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£7,508,385</w:t>
            </w: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7.00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2.80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601.8</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240.7</w:t>
            </w:r>
          </w:p>
        </w:tc>
        <w:tc>
          <w:tcPr>
            <w:tcW w:w="1191"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353.9</w:t>
            </w:r>
          </w:p>
        </w:tc>
        <w:tc>
          <w:tcPr>
            <w:tcW w:w="1416"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353.9</w:t>
            </w:r>
          </w:p>
        </w:tc>
        <w:tc>
          <w:tcPr>
            <w:tcW w:w="1252" w:type="dxa"/>
            <w:tcBorders>
              <w:top w:val="single" w:sz="4" w:space="0" w:color="auto"/>
              <w:left w:val="nil"/>
              <w:bottom w:val="nil"/>
              <w:right w:val="single" w:sz="4" w:space="0" w:color="auto"/>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353.9</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-£991,320</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£3,884,232</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£8,759,783</w:t>
            </w:r>
          </w:p>
        </w:tc>
      </w:tr>
      <w:tr w:rsidR="006A57B2" w:rsidRPr="00A305AC" w:rsidTr="008B21A2">
        <w:trPr>
          <w:trHeight w:val="300"/>
        </w:trPr>
        <w:tc>
          <w:tcPr>
            <w:tcW w:w="1134" w:type="dxa"/>
            <w:tcBorders>
              <w:top w:val="single" w:sz="4" w:space="0" w:color="auto"/>
              <w:left w:val="single" w:sz="4" w:space="0" w:color="auto"/>
              <w:bottom w:val="nil"/>
              <w:right w:val="nil"/>
            </w:tcBorders>
            <w:shd w:val="clear" w:color="auto" w:fill="auto"/>
            <w:noWrap/>
            <w:vAlign w:val="bottom"/>
            <w:hideMark/>
          </w:tcPr>
          <w:p w:rsidR="006A57B2" w:rsidRPr="00A305AC" w:rsidRDefault="006A57B2" w:rsidP="00B22173">
            <w:pPr>
              <w:spacing w:after="0" w:line="240" w:lineRule="auto"/>
              <w:rPr>
                <w:rFonts w:asciiTheme="majorHAnsi" w:eastAsia="Times New Roman" w:hAnsiTheme="majorHAnsi" w:cstheme="majorHAnsi"/>
                <w:color w:val="000000"/>
                <w:sz w:val="20"/>
                <w:szCs w:val="20"/>
              </w:rPr>
            </w:pP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8.00</w:t>
            </w:r>
          </w:p>
        </w:tc>
        <w:tc>
          <w:tcPr>
            <w:tcW w:w="96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0.40</w:t>
            </w:r>
          </w:p>
        </w:tc>
        <w:tc>
          <w:tcPr>
            <w:tcW w:w="1105"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3.20</w:t>
            </w:r>
          </w:p>
        </w:tc>
        <w:tc>
          <w:tcPr>
            <w:tcW w:w="1047"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687.8</w:t>
            </w:r>
          </w:p>
        </w:tc>
        <w:tc>
          <w:tcPr>
            <w:tcW w:w="1120" w:type="dxa"/>
            <w:vMerge w:val="restart"/>
            <w:tcBorders>
              <w:top w:val="single" w:sz="4" w:space="0" w:color="auto"/>
              <w:left w:val="nil"/>
              <w:right w:val="nil"/>
            </w:tcBorders>
            <w:shd w:val="clear" w:color="auto" w:fill="auto"/>
            <w:noWrap/>
            <w:vAlign w:val="center"/>
            <w:hideMark/>
          </w:tcPr>
          <w:p w:rsidR="006A57B2" w:rsidRPr="00A305AC" w:rsidRDefault="006A57B2" w:rsidP="00B22173">
            <w:pPr>
              <w:spacing w:after="0" w:line="240" w:lineRule="auto"/>
              <w:jc w:val="center"/>
              <w:rPr>
                <w:rFonts w:asciiTheme="majorHAnsi" w:eastAsia="Times New Roman" w:hAnsiTheme="majorHAnsi" w:cstheme="majorHAnsi"/>
                <w:color w:val="000000"/>
                <w:sz w:val="20"/>
                <w:szCs w:val="20"/>
              </w:rPr>
            </w:pPr>
            <w:r w:rsidRPr="00A305AC">
              <w:rPr>
                <w:rFonts w:asciiTheme="majorHAnsi" w:eastAsia="Times New Roman" w:hAnsiTheme="majorHAnsi" w:cstheme="majorHAnsi"/>
                <w:color w:val="000000"/>
                <w:sz w:val="20"/>
                <w:szCs w:val="20"/>
              </w:rPr>
              <w:t>275.1</w:t>
            </w:r>
          </w:p>
        </w:tc>
        <w:tc>
          <w:tcPr>
            <w:tcW w:w="1191"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404.5</w:t>
            </w:r>
          </w:p>
        </w:tc>
        <w:tc>
          <w:tcPr>
            <w:tcW w:w="1416" w:type="dxa"/>
            <w:tcBorders>
              <w:top w:val="single" w:sz="4" w:space="0" w:color="auto"/>
              <w:left w:val="nil"/>
              <w:bottom w:val="nil"/>
              <w:right w:val="nil"/>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404.5</w:t>
            </w:r>
          </w:p>
        </w:tc>
        <w:tc>
          <w:tcPr>
            <w:tcW w:w="1252" w:type="dxa"/>
            <w:tcBorders>
              <w:top w:val="single" w:sz="4" w:space="0" w:color="auto"/>
              <w:left w:val="nil"/>
              <w:bottom w:val="nil"/>
              <w:right w:val="single" w:sz="4" w:space="0" w:color="auto"/>
            </w:tcBorders>
            <w:shd w:val="clear" w:color="auto" w:fill="auto"/>
            <w:noWrap/>
            <w:vAlign w:val="bottom"/>
            <w:hideMark/>
          </w:tcPr>
          <w:p w:rsidR="006A57B2" w:rsidRPr="00A305AC" w:rsidRDefault="006A57B2" w:rsidP="00B22173">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404.5</w:t>
            </w:r>
          </w:p>
        </w:tc>
      </w:tr>
      <w:tr w:rsidR="006A57B2" w:rsidRPr="00A305AC" w:rsidTr="008B21A2">
        <w:trPr>
          <w:trHeight w:val="300"/>
        </w:trPr>
        <w:tc>
          <w:tcPr>
            <w:tcW w:w="1134" w:type="dxa"/>
            <w:tcBorders>
              <w:top w:val="nil"/>
              <w:left w:val="single" w:sz="4" w:space="0" w:color="auto"/>
              <w:bottom w:val="single" w:sz="4" w:space="0" w:color="auto"/>
              <w:right w:val="nil"/>
            </w:tcBorders>
            <w:shd w:val="clear" w:color="auto" w:fill="auto"/>
            <w:noWrap/>
            <w:vAlign w:val="bottom"/>
            <w:hideMark/>
          </w:tcPr>
          <w:p w:rsidR="006A57B2" w:rsidRPr="00A305AC" w:rsidRDefault="006A57B2" w:rsidP="008B21A2">
            <w:pPr>
              <w:spacing w:after="0" w:line="240" w:lineRule="auto"/>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96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05"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047"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20" w:type="dxa"/>
            <w:vMerge/>
            <w:tcBorders>
              <w:left w:val="nil"/>
              <w:bottom w:val="single" w:sz="4" w:space="0" w:color="auto"/>
              <w:right w:val="nil"/>
            </w:tcBorders>
            <w:shd w:val="clear" w:color="auto" w:fill="auto"/>
            <w:noWrap/>
            <w:vAlign w:val="center"/>
            <w:hideMark/>
          </w:tcPr>
          <w:p w:rsidR="006A57B2" w:rsidRPr="00A305AC" w:rsidRDefault="006A57B2" w:rsidP="008B21A2">
            <w:pPr>
              <w:spacing w:after="0" w:line="240" w:lineRule="auto"/>
              <w:jc w:val="center"/>
              <w:rPr>
                <w:rFonts w:asciiTheme="majorHAnsi" w:eastAsia="Times New Roman" w:hAnsiTheme="majorHAnsi" w:cstheme="majorHAnsi"/>
                <w:color w:val="000000"/>
                <w:sz w:val="20"/>
                <w:szCs w:val="20"/>
              </w:rPr>
            </w:pPr>
          </w:p>
        </w:tc>
        <w:tc>
          <w:tcPr>
            <w:tcW w:w="1191"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-£1,132,937</w:t>
            </w:r>
          </w:p>
        </w:tc>
        <w:tc>
          <w:tcPr>
            <w:tcW w:w="1416" w:type="dxa"/>
            <w:tcBorders>
              <w:top w:val="nil"/>
              <w:left w:val="nil"/>
              <w:bottom w:val="single" w:sz="4" w:space="0" w:color="auto"/>
              <w:right w:val="nil"/>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£4,439,122</w:t>
            </w:r>
          </w:p>
        </w:tc>
        <w:tc>
          <w:tcPr>
            <w:tcW w:w="1252" w:type="dxa"/>
            <w:tcBorders>
              <w:top w:val="nil"/>
              <w:left w:val="nil"/>
              <w:bottom w:val="single" w:sz="4" w:space="0" w:color="auto"/>
              <w:right w:val="single" w:sz="4" w:space="0" w:color="auto"/>
            </w:tcBorders>
            <w:shd w:val="clear" w:color="auto" w:fill="auto"/>
            <w:noWrap/>
            <w:vAlign w:val="bottom"/>
            <w:hideMark/>
          </w:tcPr>
          <w:p w:rsidR="006A57B2" w:rsidRPr="00A305AC" w:rsidRDefault="006A57B2" w:rsidP="008B21A2">
            <w:pPr>
              <w:spacing w:after="0" w:line="240" w:lineRule="auto"/>
              <w:jc w:val="right"/>
              <w:rPr>
                <w:rFonts w:asciiTheme="majorHAnsi" w:hAnsiTheme="majorHAnsi" w:cstheme="majorHAnsi"/>
                <w:color w:val="000000"/>
                <w:sz w:val="20"/>
                <w:szCs w:val="20"/>
              </w:rPr>
            </w:pPr>
            <w:r w:rsidRPr="00A305AC">
              <w:rPr>
                <w:rFonts w:asciiTheme="majorHAnsi" w:hAnsiTheme="majorHAnsi" w:cstheme="majorHAnsi"/>
                <w:color w:val="000000"/>
                <w:sz w:val="20"/>
                <w:szCs w:val="20"/>
              </w:rPr>
              <w:t>£10,011,181</w:t>
            </w:r>
          </w:p>
        </w:tc>
      </w:tr>
    </w:tbl>
    <w:p w:rsidR="006A57B2" w:rsidRPr="00A45AE1" w:rsidRDefault="006A57B2" w:rsidP="00B22173">
      <w:pPr>
        <w:spacing w:line="240" w:lineRule="auto"/>
        <w:rPr>
          <w:rFonts w:cstheme="minorHAnsi"/>
          <w:sz w:val="20"/>
        </w:rPr>
      </w:pPr>
      <w:r w:rsidRPr="00A45AE1">
        <w:rPr>
          <w:rFonts w:cstheme="minorHAnsi"/>
          <w:sz w:val="20"/>
        </w:rPr>
        <w:t>* Best and worst case scenarios assume a total of 8831 CVCs required in PICUs in England during 2012 (based on survey responses).</w:t>
      </w:r>
    </w:p>
    <w:p w:rsidR="006A57B2" w:rsidRPr="00A45AE1" w:rsidRDefault="006A57B2" w:rsidP="00B22173">
      <w:pPr>
        <w:spacing w:line="240" w:lineRule="auto"/>
        <w:rPr>
          <w:rFonts w:cstheme="minorHAnsi"/>
          <w:sz w:val="20"/>
        </w:rPr>
      </w:pPr>
      <w:r w:rsidRPr="00A45AE1">
        <w:rPr>
          <w:rFonts w:cstheme="minorHAnsi"/>
          <w:sz w:val="20"/>
        </w:rPr>
        <w:t>** Positive values indicate the value of resources made available through averting BSI</w:t>
      </w:r>
    </w:p>
    <w:p w:rsidR="006A57B2" w:rsidRPr="00E36629" w:rsidRDefault="006A57B2" w:rsidP="00FD7537">
      <w:pPr>
        <w:pStyle w:val="Caption"/>
        <w:rPr>
          <w:rFonts w:asciiTheme="majorHAnsi" w:hAnsiTheme="majorHAnsi"/>
          <w:sz w:val="22"/>
          <w:szCs w:val="22"/>
        </w:rPr>
      </w:pPr>
      <w:r>
        <w:rPr>
          <w:rFonts w:cstheme="minorHAnsi"/>
          <w:b w:val="0"/>
          <w:sz w:val="20"/>
        </w:rPr>
        <w:br w:type="page"/>
      </w:r>
      <w:bookmarkStart w:id="122" w:name="_Toc418150505"/>
      <w:bookmarkStart w:id="123" w:name="_Toc428178953"/>
      <w:r w:rsidRPr="00E36629">
        <w:rPr>
          <w:sz w:val="22"/>
          <w:szCs w:val="22"/>
        </w:rPr>
        <w:t xml:space="preserve">Figure </w:t>
      </w:r>
      <w:r>
        <w:rPr>
          <w:noProof/>
          <w:sz w:val="22"/>
          <w:szCs w:val="22"/>
        </w:rPr>
        <w:t>9</w:t>
      </w:r>
      <w:r w:rsidRPr="00E36629">
        <w:rPr>
          <w:sz w:val="22"/>
          <w:szCs w:val="22"/>
        </w:rPr>
        <w:t>: Risk-adjusted rates in bloodstream infection for children expected to have central venous catheters</w:t>
      </w:r>
      <w:r>
        <w:rPr>
          <w:sz w:val="22"/>
          <w:szCs w:val="22"/>
        </w:rPr>
        <w:t xml:space="preserve"> </w:t>
      </w:r>
      <w:r w:rsidRPr="00667F09">
        <w:rPr>
          <w:sz w:val="22"/>
          <w:szCs w:val="22"/>
        </w:rPr>
        <w:t xml:space="preserve">based on linked PICANet-Labbase2 data for </w:t>
      </w:r>
      <w:r>
        <w:rPr>
          <w:sz w:val="22"/>
          <w:szCs w:val="22"/>
        </w:rPr>
        <w:t>16</w:t>
      </w:r>
      <w:r w:rsidRPr="00667F09">
        <w:rPr>
          <w:sz w:val="22"/>
          <w:szCs w:val="22"/>
        </w:rPr>
        <w:t xml:space="preserve"> PICUs in England</w:t>
      </w:r>
      <w:r w:rsidRPr="00E36629">
        <w:rPr>
          <w:sz w:val="22"/>
          <w:szCs w:val="22"/>
        </w:rPr>
        <w:t>; symbols=observed rates; lines=smoothed adjusted rates (log-scale)</w:t>
      </w:r>
      <w:bookmarkEnd w:id="122"/>
      <w:bookmarkEnd w:id="123"/>
      <w:r w:rsidRPr="00E36629">
        <w:rPr>
          <w:rFonts w:cstheme="minorHAnsi"/>
          <w:b w:val="0"/>
          <w:sz w:val="22"/>
          <w:szCs w:val="22"/>
        </w:rPr>
        <w:t xml:space="preserve"> </w:t>
      </w:r>
    </w:p>
    <w:p w:rsidR="006A57B2" w:rsidRDefault="006A57B2" w:rsidP="00312391">
      <w:pPr>
        <w:spacing w:line="360" w:lineRule="auto"/>
        <w:jc w:val="center"/>
        <w:rPr>
          <w:rFonts w:cstheme="minorHAnsi"/>
        </w:rPr>
      </w:pPr>
      <w:r>
        <w:rPr>
          <w:noProof/>
          <w:lang w:eastAsia="en-GB"/>
        </w:rPr>
        <mc:AlternateContent>
          <mc:Choice Requires="wps">
            <w:drawing>
              <wp:anchor distT="0" distB="0" distL="114300" distR="114300" simplePos="0" relativeHeight="251661312" behindDoc="0" locked="0" layoutInCell="1" allowOverlap="1" wp14:anchorId="5F7F5581" wp14:editId="33002B34">
                <wp:simplePos x="0" y="0"/>
                <wp:positionH relativeFrom="column">
                  <wp:posOffset>4295775</wp:posOffset>
                </wp:positionH>
                <wp:positionV relativeFrom="paragraph">
                  <wp:posOffset>161290</wp:posOffset>
                </wp:positionV>
                <wp:extent cx="0" cy="25717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0" cy="257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E3644B"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2.7pt" to="338.2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nB3QEAAKIDAAAOAAAAZHJzL2Uyb0RvYy54bWysU02P0zAQvSPxHyzfadKKsrtR05VoVS58&#10;VFrgPnXsxJK/NDZN++8ZO9lqF26IizWe8TzPe37ePF6sYWeJUXvX8uWi5kw64Tvt+pb/+H54d89Z&#10;TOA6MN7Jll9l5I/bt282Y2jkyg/edBIZgbjYjKHlQ0qhqaooBmkhLnyQjorKo4VEW+yrDmEkdGuq&#10;VV1/qEaPXUAvZIyU3U9Fvi34SkmRvikVZWKm5TRbKiuW9ZTXaruBpkcIgxbzGPAPU1jQji69Qe0h&#10;AfuF+i8oqwX66FVaCG8rr5QWsnAgNsv6DzZPAwRZuJA4Mdxkiv8PVnw9H5Hpjt6O5HFg6Y2eEoLu&#10;h8R23jlS0COjIik1hthQw84dcd7FcMRM+6LQMmV0+ElARQiixi5F5+tNZ3lJTExJQdnV+m55ty7I&#10;1QSRoQLG9El6y3LQcqNdlgAaOH+Oia6lo89Hctr5gzamPKNxbGz5w3q15kwAmUkZSBTaQPSi6zkD&#10;05NLRcKCGL3RXe7OOBH7084gOwM55f3hfvlxPx0aoJNT9mFd17NjIqQvvpvSy/o5T6PNMGXMV/h5&#10;5j3EYeoppSwptRiX75fFrDPFLPQkbY5OvrsWxau8IyOUttm02Wkv9xS//Frb3wAAAP//AwBQSwME&#10;FAAGAAgAAAAhAPBpNO/fAAAACgEAAA8AAABkcnMvZG93bnJldi54bWxMj8FOg0AQhu8mvsNmTLzZ&#10;xUqxoQwNMeGiJqbopbcFRhbLzhJ229K3d40HPc7Ml3++P9vOZhAnmlxvGeF+EYEgbmzbc4fw8V7e&#10;rUE4r7hVg2VCuJCDbX59lam0tWfe0anynQgh7FKFoL0fUyldo8kot7Ajcbh92skoH8apk+2kziHc&#10;DHIZRYk0qufwQauRnjQ1h+poEMq61y+FLbvXi/mi6lDsi7fnPeLtzVxsQHia/R8MP/pBHfLgVNsj&#10;t04MCMljsgoownIVgwjA76JGiB+iGGSeyf8V8m8AAAD//wMAUEsBAi0AFAAGAAgAAAAhALaDOJL+&#10;AAAA4QEAABMAAAAAAAAAAAAAAAAAAAAAAFtDb250ZW50X1R5cGVzXS54bWxQSwECLQAUAAYACAAA&#10;ACEAOP0h/9YAAACUAQAACwAAAAAAAAAAAAAAAAAvAQAAX3JlbHMvLnJlbHNQSwECLQAUAAYACAAA&#10;ACEAA0fZwd0BAACiAwAADgAAAAAAAAAAAAAAAAAuAgAAZHJzL2Uyb0RvYy54bWxQSwECLQAUAAYA&#10;CAAAACEA8Gk0798AAAAKAQAADwAAAAAAAAAAAAAAAAA3BAAAZHJzL2Rvd25yZXYueG1sUEsFBgAA&#10;AAAEAAQA8wAAAEMFAAAAAA==&#10;" strokecolor="#4a7ebb"/>
            </w:pict>
          </mc:Fallback>
        </mc:AlternateContent>
      </w:r>
      <w:r>
        <w:rPr>
          <w:noProof/>
          <w:lang w:eastAsia="en-GB"/>
        </w:rPr>
        <mc:AlternateContent>
          <mc:Choice Requires="wps">
            <w:drawing>
              <wp:anchor distT="0" distB="0" distL="114300" distR="114300" simplePos="0" relativeHeight="251662336" behindDoc="0" locked="0" layoutInCell="1" allowOverlap="1" wp14:anchorId="28862E9A" wp14:editId="3EB69313">
                <wp:simplePos x="0" y="0"/>
                <wp:positionH relativeFrom="column">
                  <wp:posOffset>5124450</wp:posOffset>
                </wp:positionH>
                <wp:positionV relativeFrom="paragraph">
                  <wp:posOffset>161290</wp:posOffset>
                </wp:positionV>
                <wp:extent cx="0" cy="25717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0" cy="257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F5A2F"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2.7pt" to="403.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gH3QEAAKADAAAOAAAAZHJzL2Uyb0RvYy54bWysU02P0zAQvSPxHyzfadKKstuo6Uq0Khc+&#10;VlrgPnXsxJK/NDZN++8ZO9lqF26IizUz9jzPe37ePlysYWeJUXvX8uWi5kw64Tvt+pb/+H58d89Z&#10;TOA6MN7Jll9l5A+7t2+2Y2jkyg/edBIZgbjYjKHlQ0qhqaooBmkhLnyQjjaVRwuJUuyrDmEkdGuq&#10;VV1/qEaPXUAvZIxUPUybfFfwlZIifVMqysRMy2m2VFYs6ymv1W4LTY8QBi3mMeAfprCgHV16gzpA&#10;AvYL9V9QVgv00au0EN5WXiktZOFAbJb1H2yeBgiycCFxYrjJFP8frPh6fkSmu5ZvOHNg6YmeEoLu&#10;h8T23jkS0CPbZJ3GEBs6vnePOGcxPGImfVFomTI6/CQLFBmIGLsUla83leUlMTEVBVVX67vl3bq8&#10;QDVBZKiAMX2S3rIctNxolwWABs6fY6Jr6ejzkVx2/qiNKY9oHBuJxXq15kwAWUkZSBTaQOSi6zkD&#10;05NHRcKCGL3RXe7OOBH7094gOwP55P3xfvnxMB0aoJNTdbOu69kvEdIX303lZf1cp9FmmDLmK/w8&#10;8wHiMPWUrSwptRiX75fFqjPFLPQkbY5OvrsWxauckQ1K22zZ7LOXOcUvP9buNwAAAP//AwBQSwME&#10;FAAGAAgAAAAhANQAzC7fAAAACgEAAA8AAABkcnMvZG93bnJldi54bWxMj8FOwzAQRO9I/IO1SNyo&#10;TUmhCtlUEVIugIQIXHpz4iUJjddR7Lbp32PEoRxnZzT7JtvMdhAHmnzvGOF2oUAQN8703CJ8fpQ3&#10;axA+aDZ6cEwIJ/KwyS8vMp0ad+R3OlShFbGEfaoRuhDGVErfdGS1X7iROHpfbrI6RDm10kz6GMvt&#10;IJdK3Uure44fOj3SU0fNrtpbhLLuu5fCle3ryX5TtSu2xdvzFvH6ai4eQQSawzkMv/gRHfLIVLs9&#10;Gy8GhLV6iFsCwnKVgIiBv0ONkNypBGSeyf8T8h8AAAD//wMAUEsBAi0AFAAGAAgAAAAhALaDOJL+&#10;AAAA4QEAABMAAAAAAAAAAAAAAAAAAAAAAFtDb250ZW50X1R5cGVzXS54bWxQSwECLQAUAAYACAAA&#10;ACEAOP0h/9YAAACUAQAACwAAAAAAAAAAAAAAAAAvAQAAX3JlbHMvLnJlbHNQSwECLQAUAAYACAAA&#10;ACEA3rW4B90BAACgAwAADgAAAAAAAAAAAAAAAAAuAgAAZHJzL2Uyb0RvYy54bWxQSwECLQAUAAYA&#10;CAAAACEA1ADMLt8AAAAKAQAADwAAAAAAAAAAAAAAAAA3BAAAZHJzL2Rvd25yZXYueG1sUEsFBgAA&#10;AAAEAAQA8wAAAEMFAAAAAA==&#10;" strokecolor="#4a7ebb"/>
            </w:pict>
          </mc:Fallback>
        </mc:AlternateContent>
      </w:r>
      <w:r>
        <w:rPr>
          <w:noProof/>
          <w:lang w:eastAsia="en-GB"/>
        </w:rPr>
        <mc:AlternateContent>
          <mc:Choice Requires="wps">
            <w:drawing>
              <wp:anchor distT="0" distB="0" distL="114300" distR="114300" simplePos="0" relativeHeight="251663360" behindDoc="0" locked="0" layoutInCell="1" allowOverlap="1" wp14:anchorId="7D352487" wp14:editId="7AC74D12">
                <wp:simplePos x="0" y="0"/>
                <wp:positionH relativeFrom="column">
                  <wp:posOffset>4295775</wp:posOffset>
                </wp:positionH>
                <wp:positionV relativeFrom="paragraph">
                  <wp:posOffset>161290</wp:posOffset>
                </wp:positionV>
                <wp:extent cx="828675" cy="57150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solidFill>
                          <a:srgbClr val="FFFFFF"/>
                        </a:solidFill>
                        <a:ln w="9525">
                          <a:solidFill>
                            <a:srgbClr val="000000"/>
                          </a:solidFill>
                          <a:miter lim="800000"/>
                          <a:headEnd/>
                          <a:tailEnd/>
                        </a:ln>
                      </wps:spPr>
                      <wps:txbx>
                        <w:txbxContent>
                          <w:p w:rsidR="006A57B2" w:rsidRDefault="006A57B2" w:rsidP="00312391">
                            <w:pPr>
                              <w:jc w:val="center"/>
                              <w:rPr>
                                <w:sz w:val="18"/>
                              </w:rPr>
                            </w:pPr>
                            <w:r>
                              <w:rPr>
                                <w:sz w:val="18"/>
                              </w:rPr>
                              <w:t>CATCH recruitment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352487" id="_x0000_t202" coordsize="21600,21600" o:spt="202" path="m,l,21600r21600,l21600,xe">
                <v:stroke joinstyle="miter"/>
                <v:path gradientshapeok="t" o:connecttype="rect"/>
              </v:shapetype>
              <v:shape id="Text Box 307" o:spid="_x0000_s1026" type="#_x0000_t202" style="position:absolute;left:0;text-align:left;margin-left:338.25pt;margin-top:12.7pt;width:65.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JpJAIAAEcEAAAOAAAAZHJzL2Uyb0RvYy54bWysU9uO2yAQfa/Uf0C8N3bSeJ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r7NF5QY&#10;prFIj2II5B0MJN6hQr31JQY+WAwNAzqw0ilbb++Bf/fEwKZjZidunYO+E6xBhtP4Mrt4OuL4CFL3&#10;n6DBj9g+QAIaWqejfCgIQXSs1PFcnUiG4+VytrxaFJRwdBWLaZGn6mWsfH5snQ8fBGgSDxV1WPwE&#10;zg73PkQyrHwOiX95ULLZSqWS4Xb1RjlyYNgo27QS/xdhypC+otfFrBjz/ytEntafILQM2PFKaszo&#10;HMTKqNp706R+DEyq8YyUlTnJGJUbNQxDPZzKUkNzREEdjJ2Nk4iHDtxPSnrs6or6H3vmBCXqo8Gi&#10;XE/n8zgGyZgXixka7tJTX3qY4QhV0UDJeNyENDpRMAO3WLxWJmFjlUcmJ67YrUnv02TFcbi0U9Sv&#10;+V8/AQAA//8DAFBLAwQUAAYACAAAACEAvjwHst8AAAAKAQAADwAAAGRycy9kb3ducmV2LnhtbEyP&#10;wU7DMAyG70i8Q2QkLoilG1tbStMJIYHgBtsE16zx2orGKUnWlbfHnOBo+9Pv7y/Xk+3FiD50jhTM&#10;ZwkIpNqZjhoFu+3jdQ4iRE1G945QwTcGWFfnZ6UujDvRG46b2AgOoVBoBW2MQyFlqFu0OszcgMS3&#10;g/NWRx59I43XJw63vVwkSSqt7og/tHrAhxbrz83RKsiXz+NHeLl5fa/TQ38br7Lx6csrdXkx3d+B&#10;iDjFPxh+9VkdKnbauyOZIHoFaZauGFWwWC1BMJAnGZfbMznnjaxK+b9C9QMAAP//AwBQSwECLQAU&#10;AAYACAAAACEAtoM4kv4AAADhAQAAEwAAAAAAAAAAAAAAAAAAAAAAW0NvbnRlbnRfVHlwZXNdLnht&#10;bFBLAQItABQABgAIAAAAIQA4/SH/1gAAAJQBAAALAAAAAAAAAAAAAAAAAC8BAABfcmVscy8ucmVs&#10;c1BLAQItABQABgAIAAAAIQAc1IJpJAIAAEcEAAAOAAAAAAAAAAAAAAAAAC4CAABkcnMvZTJvRG9j&#10;LnhtbFBLAQItABQABgAIAAAAIQC+PAey3wAAAAoBAAAPAAAAAAAAAAAAAAAAAH4EAABkcnMvZG93&#10;bnJldi54bWxQSwUGAAAAAAQABADzAAAAigUAAAAA&#10;">
                <v:textbox>
                  <w:txbxContent>
                    <w:p w:rsidR="006A57B2" w:rsidRDefault="006A57B2" w:rsidP="00312391">
                      <w:pPr>
                        <w:jc w:val="center"/>
                        <w:rPr>
                          <w:sz w:val="18"/>
                        </w:rPr>
                      </w:pPr>
                      <w:r>
                        <w:rPr>
                          <w:sz w:val="18"/>
                        </w:rPr>
                        <w:t>CATCH recruitment period</w:t>
                      </w:r>
                    </w:p>
                  </w:txbxContent>
                </v:textbox>
              </v:shape>
            </w:pict>
          </mc:Fallback>
        </mc:AlternateContent>
      </w:r>
      <w:r>
        <w:rPr>
          <w:rFonts w:cstheme="minorHAnsi"/>
        </w:rPr>
        <w:t xml:space="preserve"> </w:t>
      </w:r>
      <w:r>
        <w:rPr>
          <w:rFonts w:cstheme="minorHAnsi"/>
          <w:noProof/>
          <w:lang w:eastAsia="en-GB"/>
        </w:rPr>
        <w:drawing>
          <wp:inline distT="0" distB="0" distL="0" distR="0" wp14:anchorId="4AE49975" wp14:editId="3EE00953">
            <wp:extent cx="5116830" cy="37395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6830" cy="3739515"/>
                    </a:xfrm>
                    <a:prstGeom prst="rect">
                      <a:avLst/>
                    </a:prstGeom>
                    <a:noFill/>
                    <a:ln>
                      <a:noFill/>
                    </a:ln>
                  </pic:spPr>
                </pic:pic>
              </a:graphicData>
            </a:graphic>
          </wp:inline>
        </w:drawing>
      </w: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Default="006A57B2" w:rsidP="00312391">
      <w:pPr>
        <w:spacing w:line="360" w:lineRule="auto"/>
        <w:jc w:val="center"/>
        <w:rPr>
          <w:rFonts w:cstheme="minorHAnsi"/>
        </w:rPr>
      </w:pPr>
    </w:p>
    <w:p w:rsidR="006A57B2" w:rsidRPr="00E36629" w:rsidRDefault="006A57B2" w:rsidP="00FD7537">
      <w:pPr>
        <w:pStyle w:val="Caption"/>
        <w:rPr>
          <w:rFonts w:asciiTheme="majorHAnsi" w:hAnsiTheme="majorHAnsi" w:cstheme="minorHAnsi"/>
          <w:color w:val="2E74B5" w:themeColor="accent1" w:themeShade="BF"/>
          <w:sz w:val="22"/>
          <w:szCs w:val="22"/>
        </w:rPr>
      </w:pPr>
      <w:bookmarkStart w:id="124" w:name="_Toc418150506"/>
      <w:bookmarkStart w:id="125" w:name="_Toc428178954"/>
      <w:r w:rsidRPr="00E36629">
        <w:rPr>
          <w:sz w:val="22"/>
          <w:szCs w:val="22"/>
        </w:rPr>
        <w:t xml:space="preserve">Figure </w:t>
      </w:r>
      <w:r>
        <w:rPr>
          <w:noProof/>
          <w:sz w:val="22"/>
          <w:szCs w:val="22"/>
        </w:rPr>
        <w:t>10</w:t>
      </w:r>
      <w:r w:rsidRPr="00E36629">
        <w:rPr>
          <w:sz w:val="22"/>
          <w:szCs w:val="22"/>
        </w:rPr>
        <w:t>: Probability distribution for the value of resources made available by averting BSI using antibiotic CVC in all PICUs in England during 2012, 90% of the distribution represented costs greater than the additional cost of purchasing antibiotic CVCs</w:t>
      </w:r>
      <w:bookmarkEnd w:id="124"/>
      <w:bookmarkEnd w:id="125"/>
      <w:r w:rsidRPr="00E36629">
        <w:rPr>
          <w:sz w:val="22"/>
          <w:szCs w:val="22"/>
        </w:rPr>
        <w:t xml:space="preserve"> </w:t>
      </w:r>
      <w:r w:rsidRPr="00E36629">
        <w:rPr>
          <w:rFonts w:asciiTheme="majorHAnsi" w:hAnsiTheme="majorHAnsi" w:cstheme="minorHAnsi"/>
          <w:b w:val="0"/>
          <w:color w:val="2E74B5" w:themeColor="accent1" w:themeShade="BF"/>
          <w:sz w:val="22"/>
          <w:szCs w:val="22"/>
        </w:rPr>
        <w:t xml:space="preserve"> </w:t>
      </w:r>
    </w:p>
    <w:p w:rsidR="006A57B2" w:rsidRDefault="006A57B2" w:rsidP="00312391">
      <w:pPr>
        <w:spacing w:line="240" w:lineRule="auto"/>
        <w:jc w:val="center"/>
        <w:rPr>
          <w:rFonts w:cstheme="minorHAnsi"/>
          <w:b/>
          <w:sz w:val="20"/>
        </w:rPr>
      </w:pPr>
      <w:r>
        <w:rPr>
          <w:noProof/>
          <w:lang w:eastAsia="en-GB"/>
        </w:rPr>
        <mc:AlternateContent>
          <mc:Choice Requires="wps">
            <w:drawing>
              <wp:anchor distT="0" distB="0" distL="114300" distR="114300" simplePos="0" relativeHeight="251664384" behindDoc="0" locked="0" layoutInCell="1" allowOverlap="1" wp14:anchorId="33D29D9A" wp14:editId="31F4FEBA">
                <wp:simplePos x="0" y="0"/>
                <wp:positionH relativeFrom="column">
                  <wp:posOffset>1409700</wp:posOffset>
                </wp:positionH>
                <wp:positionV relativeFrom="paragraph">
                  <wp:posOffset>173990</wp:posOffset>
                </wp:positionV>
                <wp:extent cx="1085215" cy="49530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95300"/>
                        </a:xfrm>
                        <a:prstGeom prst="rect">
                          <a:avLst/>
                        </a:prstGeom>
                        <a:solidFill>
                          <a:srgbClr val="FFFFFF"/>
                        </a:solidFill>
                        <a:ln w="9525">
                          <a:solidFill>
                            <a:srgbClr val="C00000"/>
                          </a:solidFill>
                          <a:prstDash val="dash"/>
                          <a:miter lim="800000"/>
                          <a:headEnd/>
                          <a:tailEnd/>
                        </a:ln>
                      </wps:spPr>
                      <wps:txbx>
                        <w:txbxContent>
                          <w:p w:rsidR="006A57B2" w:rsidRPr="00025A02" w:rsidRDefault="006A57B2" w:rsidP="00312391">
                            <w:pPr>
                              <w:spacing w:after="0" w:line="240" w:lineRule="auto"/>
                              <w:jc w:val="center"/>
                              <w:rPr>
                                <w:sz w:val="18"/>
                              </w:rPr>
                            </w:pPr>
                            <w:r>
                              <w:rPr>
                                <w:sz w:val="18"/>
                              </w:rPr>
                              <w:t>Additional cost of antibiotic CVCs =£317,916</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D29D9A" id="Text Box 2" o:spid="_x0000_s1027" type="#_x0000_t202" style="position:absolute;left:0;text-align:left;margin-left:111pt;margin-top:13.7pt;width:85.4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xOKwIAAGMEAAAOAAAAZHJzL2Uyb0RvYy54bWysVNtu2zAMfR+wfxD0vthJlqI14hRdsgwD&#10;ugvQ7gNoSY6FyaInKbGzrx8lp2nQbS/D/CCQEnVIniN6eTu0hh2U8xptyaeTnDNlBUptdyX/9rh9&#10;c82ZD2AlGLSq5Efl+e3q9atl3xVqhg0aqRwjEOuLvit5E0JXZJkXjWrBT7BTlg5rdC0Ect0ukw56&#10;Qm9NNsvzq6xHJzuHQnlPu5vxkK8Sfl0rEb7UtVeBmZJTbSGtLq1VXLPVEoqdg67R4lQG/EMVLWhL&#10;Sc9QGwjA9k7/BtVq4dBjHSYC2wzrWguVeqBupvmLbh4a6FTqhcjx3Zkm//9gxefDV8e0LPmcMwst&#10;SfSohsDe4cBmkZ2+8wUFPXQUFgbaJpVTp767R/HdM4vrBuxO3TmHfaNAUnXTeDO7uDri+AhS9Z9Q&#10;UhrYB0xAQ+3aSB2RwQidVDqelYmliJgyv17MpgvOBJ29vVnM8yRdBsXT7c758EFhy6JRckfKJ3Q4&#10;3PsQq4HiKSQm82i03GpjkuN21do4dgB6Jdv0pQZehBnL+pLfLGaLkYC/Qqzz+P0JIpawAd+MqSRZ&#10;MQqKVgcaA6Pbkl+fL0MR6XxvZQoJoM1oUyvGnviNlI7khqEakpCJ/Mh9hfJIhDscXz1NKRkNup+c&#10;9fTiS+5/7MEpzsxHS6LNr2LRLFw67tKpLh2wgqBKHjgbzXVIYxW7sXhH4tY68f5cyalkeslJjtPU&#10;xVG59FPU879h9QsAAP//AwBQSwMEFAAGAAgAAAAhAFZwcNviAAAACgEAAA8AAABkcnMvZG93bnJl&#10;di54bWxMj8FOwzAMhu9IvENkJC6IpYSNbaXpNEBo0tAODA4cs8a0hcapmrTr3h5zgpstf/r9/dlq&#10;dI0YsAu1Jw03kwQEUuFtTaWG97fn6wWIEA1Z03hCDScMsMrPzzKTWn+kVxz2sRQcQiE1GqoY21TK&#10;UFToTJj4Folvn75zJvLaldJ25sjhrpEqSe6kMzXxh8q0+Fhh8b3vnYav0/jxMt8tNvVst90+rJ+u&#10;2nLotb68GNf3ICKO8Q+GX31Wh5ydDr4nG0SjQSnFXSIP8ykIBm6XagniwGQym4LMM/m/Qv4DAAD/&#10;/wMAUEsBAi0AFAAGAAgAAAAhALaDOJL+AAAA4QEAABMAAAAAAAAAAAAAAAAAAAAAAFtDb250ZW50&#10;X1R5cGVzXS54bWxQSwECLQAUAAYACAAAACEAOP0h/9YAAACUAQAACwAAAAAAAAAAAAAAAAAvAQAA&#10;X3JlbHMvLnJlbHNQSwECLQAUAAYACAAAACEA93HsTisCAABjBAAADgAAAAAAAAAAAAAAAAAuAgAA&#10;ZHJzL2Uyb0RvYy54bWxQSwECLQAUAAYACAAAACEAVnBw2+IAAAAKAQAADwAAAAAAAAAAAAAAAACF&#10;BAAAZHJzL2Rvd25yZXYueG1sUEsFBgAAAAAEAAQA8wAAAJQFAAAAAA==&#10;" strokecolor="#c00000">
                <v:stroke dashstyle="dash"/>
                <v:textbox inset="1mm,1mm,1mm,1mm">
                  <w:txbxContent>
                    <w:p w:rsidR="006A57B2" w:rsidRPr="00025A02" w:rsidRDefault="006A57B2" w:rsidP="00312391">
                      <w:pPr>
                        <w:spacing w:after="0" w:line="240" w:lineRule="auto"/>
                        <w:jc w:val="center"/>
                        <w:rPr>
                          <w:sz w:val="18"/>
                        </w:rPr>
                      </w:pPr>
                      <w:r>
                        <w:rPr>
                          <w:sz w:val="18"/>
                        </w:rPr>
                        <w:t>Additional cost of antibiotic CVCs =£317,916</w:t>
                      </w:r>
                    </w:p>
                  </w:txbxContent>
                </v:textbox>
              </v:shape>
            </w:pict>
          </mc:Fallback>
        </mc:AlternateContent>
      </w:r>
      <w:r w:rsidRPr="003A4F66">
        <w:rPr>
          <w:rFonts w:cstheme="minorHAnsi"/>
          <w:b/>
          <w:noProof/>
          <w:sz w:val="20"/>
          <w:lang w:eastAsia="en-GB"/>
        </w:rPr>
        <w:drawing>
          <wp:inline distT="0" distB="0" distL="0" distR="0" wp14:anchorId="1EDD00FC" wp14:editId="1F7B8E1A">
            <wp:extent cx="5114290" cy="3742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Default="006A57B2" w:rsidP="00312391">
      <w:pPr>
        <w:spacing w:line="240" w:lineRule="auto"/>
        <w:jc w:val="center"/>
        <w:rPr>
          <w:rFonts w:cstheme="minorHAnsi"/>
          <w:b/>
          <w:sz w:val="20"/>
        </w:rPr>
      </w:pPr>
    </w:p>
    <w:p w:rsidR="006A57B2" w:rsidRPr="00FD7537" w:rsidRDefault="006A57B2" w:rsidP="00312391">
      <w:pPr>
        <w:spacing w:line="240" w:lineRule="auto"/>
        <w:rPr>
          <w:rFonts w:cstheme="minorHAnsi"/>
          <w:b/>
          <w:color w:val="2E74B5" w:themeColor="accent1" w:themeShade="BF"/>
          <w:sz w:val="20"/>
          <w:szCs w:val="20"/>
        </w:rPr>
      </w:pPr>
    </w:p>
    <w:p w:rsidR="006A57B2" w:rsidRPr="00E36629" w:rsidRDefault="006A57B2" w:rsidP="00FD7537">
      <w:pPr>
        <w:pStyle w:val="Caption"/>
        <w:rPr>
          <w:rFonts w:asciiTheme="majorHAnsi" w:hAnsiTheme="majorHAnsi" w:cstheme="minorHAnsi"/>
          <w:color w:val="2E74B5" w:themeColor="accent1" w:themeShade="BF"/>
          <w:sz w:val="22"/>
          <w:szCs w:val="22"/>
        </w:rPr>
      </w:pPr>
      <w:bookmarkStart w:id="126" w:name="_Toc418150507"/>
      <w:bookmarkStart w:id="127" w:name="_Toc428178955"/>
      <w:r w:rsidRPr="00E36629">
        <w:rPr>
          <w:sz w:val="22"/>
          <w:szCs w:val="22"/>
        </w:rPr>
        <w:t xml:space="preserve">Figure </w:t>
      </w:r>
      <w:r>
        <w:rPr>
          <w:noProof/>
          <w:sz w:val="22"/>
          <w:szCs w:val="22"/>
        </w:rPr>
        <w:t>11</w:t>
      </w:r>
      <w:r w:rsidRPr="00E36629">
        <w:rPr>
          <w:sz w:val="22"/>
          <w:szCs w:val="22"/>
        </w:rPr>
        <w:t>: Cost-impact: Number of BSI averted and value of resources made available using antibiotic in place of standard CVCs for a range of baseline rates, assuming each BSI is associated with a mean cost of £10,975</w:t>
      </w:r>
      <w:bookmarkEnd w:id="126"/>
      <w:bookmarkEnd w:id="127"/>
      <w:r w:rsidRPr="00E36629">
        <w:rPr>
          <w:rFonts w:asciiTheme="majorHAnsi" w:hAnsiTheme="majorHAnsi" w:cstheme="minorHAnsi"/>
          <w:b w:val="0"/>
          <w:color w:val="2E74B5" w:themeColor="accent1" w:themeShade="BF"/>
          <w:sz w:val="22"/>
          <w:szCs w:val="22"/>
        </w:rPr>
        <w:t xml:space="preserve"> </w:t>
      </w:r>
    </w:p>
    <w:p w:rsidR="006A57B2" w:rsidRDefault="006A57B2" w:rsidP="00312391">
      <w:pPr>
        <w:spacing w:line="240" w:lineRule="auto"/>
        <w:jc w:val="center"/>
        <w:rPr>
          <w:rFonts w:cstheme="minorHAnsi"/>
          <w:b/>
          <w:sz w:val="20"/>
          <w:szCs w:val="20"/>
        </w:rPr>
      </w:pPr>
      <w:r>
        <w:rPr>
          <w:rFonts w:cstheme="minorHAnsi"/>
          <w:b/>
          <w:noProof/>
          <w:sz w:val="20"/>
          <w:szCs w:val="20"/>
          <w:lang w:eastAsia="en-GB"/>
        </w:rPr>
        <mc:AlternateContent>
          <mc:Choice Requires="wpg">
            <w:drawing>
              <wp:anchor distT="0" distB="0" distL="114300" distR="114300" simplePos="0" relativeHeight="251665408" behindDoc="0" locked="0" layoutInCell="1" allowOverlap="1" wp14:anchorId="62074B04" wp14:editId="4CD5D4E9">
                <wp:simplePos x="0" y="0"/>
                <wp:positionH relativeFrom="column">
                  <wp:posOffset>1573619</wp:posOffset>
                </wp:positionH>
                <wp:positionV relativeFrom="paragraph">
                  <wp:posOffset>218291</wp:posOffset>
                </wp:positionV>
                <wp:extent cx="2360428" cy="691117"/>
                <wp:effectExtent l="0" t="0" r="20955" b="13970"/>
                <wp:wrapNone/>
                <wp:docPr id="15" name="Group 15"/>
                <wp:cNvGraphicFramePr/>
                <a:graphic xmlns:a="http://schemas.openxmlformats.org/drawingml/2006/main">
                  <a:graphicData uri="http://schemas.microsoft.com/office/word/2010/wordprocessingGroup">
                    <wpg:wgp>
                      <wpg:cNvGrpSpPr/>
                      <wpg:grpSpPr>
                        <a:xfrm>
                          <a:off x="0" y="0"/>
                          <a:ext cx="2360428" cy="691117"/>
                          <a:chOff x="386640" y="-57158"/>
                          <a:chExt cx="2089203" cy="466267"/>
                        </a:xfrm>
                      </wpg:grpSpPr>
                      <wps:wsp>
                        <wps:cNvPr id="20" name="Text Box 20"/>
                        <wps:cNvSpPr txBox="1">
                          <a:spLocks noChangeArrowheads="1"/>
                        </wps:cNvSpPr>
                        <wps:spPr bwMode="auto">
                          <a:xfrm>
                            <a:off x="386640" y="-57158"/>
                            <a:ext cx="704849" cy="466267"/>
                          </a:xfrm>
                          <a:prstGeom prst="rect">
                            <a:avLst/>
                          </a:prstGeom>
                          <a:solidFill>
                            <a:srgbClr val="FFFFFF"/>
                          </a:solidFill>
                          <a:ln w="9525">
                            <a:solidFill>
                              <a:srgbClr val="000000"/>
                            </a:solidFill>
                            <a:miter lim="800000"/>
                            <a:headEnd/>
                            <a:tailEnd/>
                          </a:ln>
                        </wps:spPr>
                        <wps:txbx>
                          <w:txbxContent>
                            <w:p w:rsidR="006A57B2" w:rsidRPr="00025A02" w:rsidRDefault="006A57B2" w:rsidP="00312391">
                              <w:pPr>
                                <w:spacing w:after="0" w:line="240" w:lineRule="auto"/>
                                <w:jc w:val="center"/>
                                <w:rPr>
                                  <w:sz w:val="18"/>
                                </w:rPr>
                              </w:pPr>
                              <w:r w:rsidRPr="00025A02">
                                <w:rPr>
                                  <w:sz w:val="18"/>
                                </w:rPr>
                                <w:t xml:space="preserve">Break-even BSI rate: </w:t>
                              </w:r>
                              <w:r>
                                <w:rPr>
                                  <w:sz w:val="18"/>
                                </w:rPr>
                                <w:t>1</w:t>
                              </w:r>
                              <w:r w:rsidRPr="00025A02">
                                <w:rPr>
                                  <w:sz w:val="18"/>
                                </w:rPr>
                                <w:t>.</w:t>
                              </w:r>
                              <w:r>
                                <w:rPr>
                                  <w:sz w:val="18"/>
                                </w:rPr>
                                <w:t>2</w:t>
                              </w:r>
                            </w:p>
                          </w:txbxContent>
                        </wps:txbx>
                        <wps:bodyPr rot="0" vert="horz" wrap="square" lIns="36000" tIns="36000" rIns="36000" bIns="36000" anchor="ctr" anchorCtr="0">
                          <a:noAutofit/>
                        </wps:bodyPr>
                      </wps:wsp>
                      <wps:wsp>
                        <wps:cNvPr id="21" name="Text Box 2"/>
                        <wps:cNvSpPr txBox="1">
                          <a:spLocks noChangeArrowheads="1"/>
                        </wps:cNvSpPr>
                        <wps:spPr bwMode="auto">
                          <a:xfrm>
                            <a:off x="1567770" y="-57157"/>
                            <a:ext cx="908073" cy="466265"/>
                          </a:xfrm>
                          <a:prstGeom prst="rect">
                            <a:avLst/>
                          </a:prstGeom>
                          <a:solidFill>
                            <a:srgbClr val="FFFFFF"/>
                          </a:solidFill>
                          <a:ln w="9525">
                            <a:solidFill>
                              <a:srgbClr val="000000"/>
                            </a:solidFill>
                            <a:miter lim="800000"/>
                            <a:headEnd/>
                            <a:tailEnd/>
                          </a:ln>
                        </wps:spPr>
                        <wps:txbx>
                          <w:txbxContent>
                            <w:p w:rsidR="006A57B2" w:rsidRPr="00025A02" w:rsidRDefault="006A57B2" w:rsidP="00312391">
                              <w:pPr>
                                <w:spacing w:after="0" w:line="240" w:lineRule="auto"/>
                                <w:jc w:val="center"/>
                                <w:rPr>
                                  <w:sz w:val="16"/>
                                </w:rPr>
                              </w:pPr>
                              <w:r w:rsidRPr="00025A02">
                                <w:rPr>
                                  <w:sz w:val="16"/>
                                </w:rPr>
                                <w:t>BSI rate using standard CVCs in all PICUs 2012</w:t>
                              </w:r>
                            </w:p>
                          </w:txbxContent>
                        </wps:txbx>
                        <wps:bodyPr rot="0" vert="horz" wrap="square" lIns="36000" tIns="36000" rIns="36000" bIns="36000" anchor="ctr"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2074B04" id="Group 15" o:spid="_x0000_s1028" style="position:absolute;left:0;text-align:left;margin-left:123.9pt;margin-top:17.2pt;width:185.85pt;height:54.4pt;z-index:251665408;mso-width-relative:margin;mso-height-relative:margin" coordorigin="3866,-571" coordsize="20892,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CVygIAAFoIAAAOAAAAZHJzL2Uyb0RvYy54bWzkVslu2zAQvRfoPxC8J1psy7IQOUizoUDa&#10;Bkj6ATRFLahEsiRtKf36DqnFhlNfUrQoUB1kDZfHN2+eRr647Joa7ZjSleApDs59jBinIqt4keKv&#10;z3dnMUbaEJ6RWnCW4hem8eX6/buLViYsFKWoM6YQgHCdtDLFpTEy8TxNS9YQfS4k4zCZC9UQA6Eq&#10;vEyRFtCb2gt9P/JaoTKpBGVaw+hNP4nXDj/PGTVf8lwzg+oUAzfj7srdN/burS9IUigiy4oONMgb&#10;WDSk4nDoBHVDDEFbVb2CaiqqhBa5Oaei8USeV5S5HCCbwD/K5l6JrXS5FElbyEkmkPZIpzfD0s+7&#10;R4WqDGq3wIiTBmrkjkUQgzitLBJYc6/kk3xUw0DRRzbfLleN/YVMUOdkfZlkZZ1BFAbDWeTPQzAC&#10;hbloFQTBstedllAcu20WR9EcygPzZ4tlsIjH+dsRwo9XoT/rIeZRFEYOwhsJeJbnRKuVYCa910v/&#10;nl5PJZHMlUFbLQa9QuDb6/VsE/0gOgRDTiG3zOqFTAfjoK3zhpYPgn7TiIvrkvCCXSkl2pKRDPgF&#10;didkMW210utEW5BN+0lkUBeyNcIBHYl+Qr1R/qU/j+erk9KRRCpt7plokH1IsYKXxh1Ddg/aWFr7&#10;JbbUWtRVdlfVtQtUsbmuFdoReMHu3OUyOVpWc9SmeLUIF70SJyF8d/0KoqkMdIq6alIcT4tIYvW7&#10;5RnQJIkhVd0/A+WaD4JaDXs1TbfpnNfDsU4bkb2Awkr0jQEaGTyUQv3AqIWmkGL9fUsUw6j+yKFK&#10;YGTfdpHDQB0Gm8OAcApQKaZGYdQH18b1HkuWiyuoZ145hW2tey4DabBvz/nP+zh47eNRHnD737Nx&#10;sIiWy+VBFxi6xOjjlR/7y8MW4BrU1AL2Jv1/fDwbC/Vv+9h1Z/iAuVYyfGztF/Iwdr7f/yVY/wQA&#10;AP//AwBQSwMEFAAGAAgAAAAhAIrcUjfhAAAACgEAAA8AAABkcnMvZG93bnJldi54bWxMj01Lw0AQ&#10;hu+C/2EZwZvdfLXWmE0pRT2Vgq1QvE2TaRKanQ3ZbZL+e9eTHof34X2fyVaTbsVAvW0MKwhnAQji&#10;wpQNVwq+Du9PSxDWIZfYGiYFN7Kwyu/vMkxLM/InDXtXCV/CNkUFtXNdKqUtatJoZ6Yj9tnZ9Bqd&#10;P/tKlj2Ovly3MgqChdTYsF+osaNNTcVlf9UKPkYc13H4Nmwv583t+zDfHbchKfX4MK1fQTia3B8M&#10;v/peHXLvdDJXLq1oFUTJs1d3CuIkAeGBRfgyB3HyZBJHIPNM/n8h/wEAAP//AwBQSwECLQAUAAYA&#10;CAAAACEAtoM4kv4AAADhAQAAEwAAAAAAAAAAAAAAAAAAAAAAW0NvbnRlbnRfVHlwZXNdLnhtbFBL&#10;AQItABQABgAIAAAAIQA4/SH/1gAAAJQBAAALAAAAAAAAAAAAAAAAAC8BAABfcmVscy8ucmVsc1BL&#10;AQItABQABgAIAAAAIQB0hxCVygIAAFoIAAAOAAAAAAAAAAAAAAAAAC4CAABkcnMvZTJvRG9jLnht&#10;bFBLAQItABQABgAIAAAAIQCK3FI34QAAAAoBAAAPAAAAAAAAAAAAAAAAACQFAABkcnMvZG93bnJl&#10;di54bWxQSwUGAAAAAAQABADzAAAAMgYAAAAA&#10;">
                <v:shape id="Text Box 20" o:spid="_x0000_s1029" type="#_x0000_t202" style="position:absolute;left:3866;top:-571;width:7048;height:4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ULb4A&#10;AADbAAAADwAAAGRycy9kb3ducmV2LnhtbERPzYrCMBC+L/gOYQRv21QRlWoUFYRFBLH6AGMzttVm&#10;UpqsrW9vDoLHj+9/sepMJZ7UuNKygmEUgyDOrC45V3A5735nIJxH1lhZJgUvcrBa9n4WmGjb8ome&#10;qc9FCGGXoILC+zqR0mUFGXSRrYkDd7ONQR9gk0vdYBvCTSVHcTyRBksODQXWtC0oe6T/RkE6TXev&#10;eztuD1Rd91rTxhwnG6UG/W49B+Gp81/xx/2nFYzC+vAl/A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C1C2+AAAA2wAAAA8AAAAAAAAAAAAAAAAAmAIAAGRycy9kb3ducmV2&#10;LnhtbFBLBQYAAAAABAAEAPUAAACDAwAAAAA=&#10;">
                  <v:textbox inset="1mm,1mm,1mm,1mm">
                    <w:txbxContent>
                      <w:p w:rsidR="006A57B2" w:rsidRPr="00025A02" w:rsidRDefault="006A57B2" w:rsidP="00312391">
                        <w:pPr>
                          <w:spacing w:after="0" w:line="240" w:lineRule="auto"/>
                          <w:jc w:val="center"/>
                          <w:rPr>
                            <w:sz w:val="18"/>
                          </w:rPr>
                        </w:pPr>
                        <w:r w:rsidRPr="00025A02">
                          <w:rPr>
                            <w:sz w:val="18"/>
                          </w:rPr>
                          <w:t xml:space="preserve">Break-even BSI rate: </w:t>
                        </w:r>
                        <w:r>
                          <w:rPr>
                            <w:sz w:val="18"/>
                          </w:rPr>
                          <w:t>1</w:t>
                        </w:r>
                        <w:r w:rsidRPr="00025A02">
                          <w:rPr>
                            <w:sz w:val="18"/>
                          </w:rPr>
                          <w:t>.</w:t>
                        </w:r>
                        <w:r>
                          <w:rPr>
                            <w:sz w:val="18"/>
                          </w:rPr>
                          <w:t>2</w:t>
                        </w:r>
                      </w:p>
                    </w:txbxContent>
                  </v:textbox>
                </v:shape>
                <v:shape id="_x0000_s1030" type="#_x0000_t202" style="position:absolute;left:15677;top:-571;width:9081;height:4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xtsMA&#10;AADbAAAADwAAAGRycy9kb3ducmV2LnhtbESP3WrCQBSE74W+w3IKvdNNpGiJrtIIQilCMfYBjtlj&#10;Eps9G7Jrft7eLQheDjPzDbPeDqYWHbWusqwgnkUgiHOrKy4U/J720w8QziNrrC2TgpEcbDcvkzUm&#10;2vZ8pC7zhQgQdgkqKL1vEildXpJBN7MNcfAutjXog2wLqVvsA9zUch5FC2mw4rBQYkO7kvK/7GYU&#10;ZMtsP1779/5A9flba0rNzyJV6u11+FyB8DT4Z/jR/tIK5jH8fw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5xtsMAAADbAAAADwAAAAAAAAAAAAAAAACYAgAAZHJzL2Rv&#10;d25yZXYueG1sUEsFBgAAAAAEAAQA9QAAAIgDAAAAAA==&#10;">
                  <v:textbox inset="1mm,1mm,1mm,1mm">
                    <w:txbxContent>
                      <w:p w:rsidR="006A57B2" w:rsidRPr="00025A02" w:rsidRDefault="006A57B2" w:rsidP="00312391">
                        <w:pPr>
                          <w:spacing w:after="0" w:line="240" w:lineRule="auto"/>
                          <w:jc w:val="center"/>
                          <w:rPr>
                            <w:sz w:val="16"/>
                          </w:rPr>
                        </w:pPr>
                        <w:r w:rsidRPr="00025A02">
                          <w:rPr>
                            <w:sz w:val="16"/>
                          </w:rPr>
                          <w:t>BSI rate using standard CVCs in all PICUs 2012</w:t>
                        </w:r>
                      </w:p>
                    </w:txbxContent>
                  </v:textbox>
                </v:shape>
              </v:group>
            </w:pict>
          </mc:Fallback>
        </mc:AlternateContent>
      </w:r>
      <w:r w:rsidRPr="00667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67F09">
        <w:rPr>
          <w:rFonts w:cstheme="minorHAnsi"/>
          <w:b/>
          <w:noProof/>
          <w:sz w:val="20"/>
          <w:szCs w:val="20"/>
          <w:lang w:eastAsia="en-GB"/>
        </w:rPr>
        <w:drawing>
          <wp:inline distT="0" distB="0" distL="0" distR="0" wp14:anchorId="4255BD2B" wp14:editId="6E47023F">
            <wp:extent cx="5731510" cy="4166449"/>
            <wp:effectExtent l="0" t="0" r="2540" b="5715"/>
            <wp:docPr id="7" name="Picture 7" descr="H:\My Documents\Papers\Generalisability\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Papers\Generalisability\Fig3.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4166449"/>
                    </a:xfrm>
                    <a:prstGeom prst="rect">
                      <a:avLst/>
                    </a:prstGeom>
                    <a:noFill/>
                    <a:ln>
                      <a:noFill/>
                    </a:ln>
                  </pic:spPr>
                </pic:pic>
              </a:graphicData>
            </a:graphic>
          </wp:inline>
        </w:drawing>
      </w:r>
    </w:p>
    <w:p w:rsidR="006A57B2" w:rsidRDefault="006A57B2">
      <w:pPr>
        <w:spacing w:after="0" w:line="240" w:lineRule="auto"/>
        <w:rPr>
          <w:rFonts w:cstheme="minorHAnsi"/>
          <w:b/>
          <w:sz w:val="20"/>
        </w:rPr>
      </w:pPr>
      <w:r>
        <w:rPr>
          <w:rFonts w:cstheme="minorHAnsi"/>
          <w:b/>
          <w:sz w:val="20"/>
        </w:rPr>
        <w:br w:type="page"/>
      </w:r>
    </w:p>
    <w:p w:rsidR="006A57B2" w:rsidRDefault="006A57B2" w:rsidP="00B22173">
      <w:pPr>
        <w:pStyle w:val="Heading1"/>
        <w:spacing w:line="360" w:lineRule="auto"/>
      </w:pPr>
      <w:bookmarkStart w:id="128" w:name="_Toc418857502"/>
      <w:bookmarkStart w:id="129" w:name="_Toc428195184"/>
      <w:r>
        <w:t>CHAPTER 6 DISCUSSION</w:t>
      </w:r>
      <w:bookmarkEnd w:id="128"/>
      <w:bookmarkEnd w:id="129"/>
    </w:p>
    <w:p w:rsidR="006A57B2" w:rsidRDefault="006A57B2" w:rsidP="00B22173">
      <w:pPr>
        <w:pStyle w:val="Heading2"/>
        <w:spacing w:line="360" w:lineRule="auto"/>
      </w:pPr>
      <w:bookmarkStart w:id="130" w:name="_Toc418857503"/>
      <w:bookmarkStart w:id="131" w:name="_Toc428195185"/>
      <w:r>
        <w:t>Introduction</w:t>
      </w:r>
      <w:bookmarkEnd w:id="130"/>
      <w:bookmarkEnd w:id="131"/>
      <w:r>
        <w:t xml:space="preserve"> </w:t>
      </w:r>
    </w:p>
    <w:p w:rsidR="006A57B2" w:rsidRDefault="006A57B2" w:rsidP="00B22173">
      <w:pPr>
        <w:spacing w:line="360" w:lineRule="auto"/>
      </w:pPr>
      <w:r w:rsidRPr="004459DC">
        <w:t>We aimed to inform NHS policy regarding impregnated CVCs for intensive care of children</w:t>
      </w:r>
      <w:r>
        <w:t xml:space="preserve">. In order to address the question of whether impregnated CVCs should be adopted by PICUs in England and Wales, we undertook </w:t>
      </w:r>
      <w:r w:rsidRPr="004459DC">
        <w:t>a large pragmatic randomised controlled trial</w:t>
      </w:r>
      <w:r>
        <w:t xml:space="preserve"> to determine the</w:t>
      </w:r>
      <w:r w:rsidRPr="004459DC">
        <w:t xml:space="preserve"> clinical effectiveness</w:t>
      </w:r>
      <w:r>
        <w:t xml:space="preserve"> and</w:t>
      </w:r>
      <w:r w:rsidRPr="004459DC">
        <w:t xml:space="preserve"> </w:t>
      </w:r>
      <w:r>
        <w:t>cost-</w:t>
      </w:r>
      <w:r w:rsidRPr="004459DC">
        <w:t>effectiveness of impregnated</w:t>
      </w:r>
      <w:r>
        <w:t xml:space="preserve"> versus standard</w:t>
      </w:r>
      <w:r w:rsidRPr="004459DC">
        <w:t xml:space="preserve"> CVCs</w:t>
      </w:r>
      <w:r>
        <w:t xml:space="preserve">. To determine the implications of adopting impregnated CVCs for all children who need them, we conducted a generalisability and cost-impact study, using linked data from two national sources. </w:t>
      </w:r>
    </w:p>
    <w:p w:rsidR="006A57B2" w:rsidRDefault="006A57B2" w:rsidP="00B22173">
      <w:pPr>
        <w:pStyle w:val="Heading2"/>
        <w:spacing w:line="360" w:lineRule="auto"/>
      </w:pPr>
      <w:bookmarkStart w:id="132" w:name="_Toc418857504"/>
      <w:bookmarkStart w:id="133" w:name="_Toc428195186"/>
      <w:r>
        <w:t>Clinical effectiveness</w:t>
      </w:r>
      <w:bookmarkEnd w:id="132"/>
      <w:bookmarkEnd w:id="133"/>
    </w:p>
    <w:p w:rsidR="006A57B2" w:rsidRPr="00F81F7C" w:rsidRDefault="006A57B2" w:rsidP="00B22173">
      <w:pPr>
        <w:spacing w:line="360" w:lineRule="auto"/>
      </w:pPr>
      <w:r w:rsidRPr="00F81F7C">
        <w:t xml:space="preserve">The primary analysis showed no evidence of a statistically </w:t>
      </w:r>
      <w:r w:rsidRPr="00AB54A0">
        <w:t>significant difference between time to first BSI for any impregnated CVCs (antibiotic</w:t>
      </w:r>
      <w:r>
        <w:t>-impregnated or</w:t>
      </w:r>
      <w:r w:rsidRPr="00AB54A0">
        <w:t xml:space="preserve"> heparin</w:t>
      </w:r>
      <w:r>
        <w:t>-bonded</w:t>
      </w:r>
      <w:r w:rsidRPr="00AB54A0">
        <w:t xml:space="preserve"> combined) versus standard CVCs. However, </w:t>
      </w:r>
      <w:r>
        <w:t>secondary analyses showed that antibiotic-impregnation reduced</w:t>
      </w:r>
      <w:r w:rsidRPr="00AB54A0">
        <w:t xml:space="preserve"> the risk of BSI by 57% compared with standard CVCs, and by 58% compared with heparin-</w:t>
      </w:r>
      <w:r w:rsidRPr="00F81F7C">
        <w:t xml:space="preserve">bonded CVCs. Antibiotic-impregnated CVCs were associated with an absolute risk reduction of 2.15% compared with standard CVCs, meaning 47 children would need to be treated with an antibiotic-impregnated CVC instead of a standard CVC to prevent one case of BSI.  </w:t>
      </w:r>
    </w:p>
    <w:p w:rsidR="006A57B2" w:rsidRPr="00F81F7C" w:rsidRDefault="006A57B2" w:rsidP="00B22173">
      <w:pPr>
        <w:spacing w:line="360" w:lineRule="auto"/>
      </w:pPr>
      <w:r w:rsidRPr="00F81F7C">
        <w:t>Our choice of any BSI as a clinically important primary outcome and a recognised quality indicator is an important strength of our study, avoiding the biases inherent in measuring CR-BSI.</w:t>
      </w:r>
      <w:r w:rsidRPr="00E075A0">
        <w:rPr>
          <w:noProof/>
          <w:vertAlign w:val="superscript"/>
        </w:rPr>
        <w:t>3, 46, 88, 89</w:t>
      </w:r>
      <w:r w:rsidRPr="00F81F7C">
        <w:t xml:space="preserve"> CR-BSI </w:t>
      </w:r>
      <w:r w:rsidRPr="002A65E1">
        <w:rPr>
          <w:rFonts w:eastAsia="Calibri" w:cs="Times New Roman"/>
        </w:rPr>
        <w:t>requires positive cultures from the blood and catheter tip and is highly susceptible to bias, as the tip can be easily contaminated during removal and residual antibiotic in the catheter tip may inhibit culture in the laboratory</w:t>
      </w:r>
      <w:r w:rsidRPr="00F81F7C">
        <w:t>.</w:t>
      </w:r>
      <w:r w:rsidRPr="00607F48">
        <w:rPr>
          <w:noProof/>
          <w:vertAlign w:val="superscript"/>
        </w:rPr>
        <w:t>54, 88</w:t>
      </w:r>
      <w:r w:rsidRPr="00F81F7C">
        <w:t xml:space="preserve"> </w:t>
      </w:r>
    </w:p>
    <w:p w:rsidR="006A57B2" w:rsidRPr="00F81F7C" w:rsidRDefault="006A57B2" w:rsidP="00B22173">
      <w:pPr>
        <w:spacing w:line="360" w:lineRule="auto"/>
      </w:pPr>
      <w:r w:rsidRPr="00F81F7C">
        <w:t>A further strength of the study is the restriction to positive blood cultures that were clinically indicated. This increased the clinical relevance of the primary outcome, but diminished the sensitivity of the study to detect bacteraemia, as only 40% of children had a blood culture taken in the relevant time window. A third strength is the representativeness of the study population in terms of children admitted t</w:t>
      </w:r>
      <w:r>
        <w:t>o the 14 largest PICUs (of 23</w:t>
      </w:r>
      <w:r w:rsidRPr="00F81F7C">
        <w:t>) across the country. We were able to enrol a similar proportion of emergency patients (two-thirds) as seen in practice, enabled by the inclusion of retrieved children and the use of deferred consent.</w:t>
      </w:r>
      <w:r w:rsidRPr="00607F48">
        <w:rPr>
          <w:noProof/>
          <w:vertAlign w:val="superscript"/>
        </w:rPr>
        <w:t>90</w:t>
      </w:r>
    </w:p>
    <w:p w:rsidR="006A57B2" w:rsidRPr="00F81F7C" w:rsidRDefault="006A57B2">
      <w:pPr>
        <w:spacing w:line="360" w:lineRule="auto"/>
      </w:pPr>
      <w:r w:rsidRPr="00F81F7C">
        <w:t xml:space="preserve">Potential limitations are firstly, the fact that clinicians inserting the CVCs </w:t>
      </w:r>
      <w:r>
        <w:t xml:space="preserve">could </w:t>
      </w:r>
      <w:r w:rsidRPr="00F81F7C">
        <w:t xml:space="preserve">not </w:t>
      </w:r>
      <w:r>
        <w:t xml:space="preserve">be </w:t>
      </w:r>
      <w:r w:rsidRPr="00F81F7C">
        <w:t>blind</w:t>
      </w:r>
      <w:r>
        <w:t>ed</w:t>
      </w:r>
      <w:r w:rsidRPr="00F81F7C">
        <w:t xml:space="preserve"> to allocation. However, we found no evidence of differential sampling by trial arm (Figure 1). The number of children who received their allocated CVC was slightly higher for those in the standard arm, probably reflecting the fact that standard CVCs were the default CVC used in many units.</w:t>
      </w:r>
      <w:r w:rsidRPr="00607F48">
        <w:rPr>
          <w:noProof/>
          <w:vertAlign w:val="superscript"/>
        </w:rPr>
        <w:t>32</w:t>
      </w:r>
      <w:r w:rsidRPr="00F81F7C">
        <w:t xml:space="preserve"> Secondly, </w:t>
      </w:r>
      <w:r>
        <w:t>due to the lower than expected BSI rate in the standard arm of the trial, we had limited power to det</w:t>
      </w:r>
      <w:r w:rsidRPr="00077D75">
        <w:t>ect differences in the primary outcome comparing impregnated versus standard CVCs. This choice of primary outcome was justified by the best available evidence to date – a systematic review and meta-analysis of direct and indirect comparisons of different types of impregnated and standard CVCs – which showed that heparin-bonded and antibiotic-impregnated CVCs resulted in similar reductions in the risk of CR-BSI (70-80%)</w:t>
      </w:r>
      <w:r>
        <w:t>.</w:t>
      </w:r>
      <w:r w:rsidRPr="00E075A0">
        <w:rPr>
          <w:noProof/>
          <w:vertAlign w:val="superscript"/>
        </w:rPr>
        <w:t>1</w:t>
      </w:r>
      <w:r w:rsidRPr="00F81F7C">
        <w:t xml:space="preserve">Thirdly, resistance testing was not standardised across sites. </w:t>
      </w:r>
      <w:r>
        <w:t xml:space="preserve">This reflects local laboratory administration and processing, which centralised testing of all positive cultures could have mitigated. </w:t>
      </w:r>
      <w:r w:rsidRPr="00F81F7C">
        <w:t>Where reported, resistance occurred in all trial arms, predominantly in gram negative isolates, as expected. The low rates are consistent with previous lack of evidence for the emergence of resistance.</w:t>
      </w:r>
      <w:r w:rsidRPr="00E075A0">
        <w:rPr>
          <w:noProof/>
          <w:vertAlign w:val="superscript"/>
        </w:rPr>
        <w:t>2</w:t>
      </w:r>
    </w:p>
    <w:p w:rsidR="006A57B2" w:rsidRPr="00F81F7C" w:rsidRDefault="006A57B2" w:rsidP="00B22173">
      <w:pPr>
        <w:spacing w:line="360" w:lineRule="auto"/>
      </w:pPr>
      <w:r w:rsidRPr="00F81F7C">
        <w:t>Few previous trials have reported the effectiveness of impregnated CVCs for any BSI.</w:t>
      </w:r>
      <w:r w:rsidRPr="00607F48">
        <w:rPr>
          <w:noProof/>
          <w:vertAlign w:val="superscript"/>
        </w:rPr>
        <w:t>45</w:t>
      </w:r>
      <w:r w:rsidRPr="00F81F7C">
        <w:t xml:space="preserve"> However, the superiority of antibiotic-impregnated CVCs in children was consistent with the most recent systematic review reporting a pooled odds ratio for CR-BSI of 0.18 (95% CI 0.08-0.34).</w:t>
      </w:r>
      <w:r w:rsidRPr="00E075A0">
        <w:rPr>
          <w:noProof/>
          <w:vertAlign w:val="superscript"/>
        </w:rPr>
        <w:t>1</w:t>
      </w:r>
      <w:r w:rsidRPr="00F81F7C">
        <w:t xml:space="preserve"> </w:t>
      </w:r>
      <w:r>
        <w:t>Although o</w:t>
      </w:r>
      <w:r w:rsidRPr="00F81F7C">
        <w:t xml:space="preserve">ur finding of a clinically important reduction </w:t>
      </w:r>
      <w:r>
        <w:t xml:space="preserve">in </w:t>
      </w:r>
      <w:r w:rsidRPr="00F81F7C">
        <w:t xml:space="preserve">any BSI </w:t>
      </w:r>
      <w:r>
        <w:t xml:space="preserve">with antibiotic-impregnated CVCs </w:t>
      </w:r>
      <w:r w:rsidRPr="003432C6">
        <w:t xml:space="preserve">(HR 0.25; 95%CI: 0.07, 0.09; </w:t>
      </w:r>
      <w:r>
        <w:t xml:space="preserve">p=0.04) was based on a secondary </w:t>
      </w:r>
      <w:r w:rsidRPr="003432C6">
        <w:t>comparison</w:t>
      </w:r>
      <w:r>
        <w:t xml:space="preserve"> and should be viewed as exploratory, this result does </w:t>
      </w:r>
      <w:r w:rsidRPr="00F81F7C">
        <w:t>add important evidence of the overall effectiveness of antibiotic-impregnated CVCs.</w:t>
      </w:r>
      <w:r>
        <w:t xml:space="preserve"> </w:t>
      </w:r>
    </w:p>
    <w:p w:rsidR="006A57B2" w:rsidRPr="002A65E1" w:rsidRDefault="006A57B2" w:rsidP="00B22173">
      <w:pPr>
        <w:spacing w:line="360" w:lineRule="auto"/>
        <w:rPr>
          <w:rFonts w:eastAsia="Calibri" w:cs="Times New Roman"/>
        </w:rPr>
      </w:pPr>
      <w:r w:rsidRPr="00F81F7C">
        <w:t xml:space="preserve">The finding that heparin CVCs were not effective for BSI or CR-BSI contradicts past evidence showing a pooled odds ratio for CR-BSI given heparin-bonded </w:t>
      </w:r>
      <w:r>
        <w:t>versus</w:t>
      </w:r>
      <w:r w:rsidRPr="00F81F7C">
        <w:t xml:space="preserve"> standard CVCs of 0.20 (95% CI 0.06-0.44).</w:t>
      </w:r>
      <w:r w:rsidRPr="00E075A0">
        <w:rPr>
          <w:noProof/>
          <w:vertAlign w:val="superscript"/>
        </w:rPr>
        <w:t>1</w:t>
      </w:r>
      <w:r w:rsidRPr="00F81F7C">
        <w:t xml:space="preserve"> The difference in findings may reflect</w:t>
      </w:r>
      <w:r>
        <w:t xml:space="preserve"> poor data quality in previous trials, highlighted by </w:t>
      </w:r>
      <w:r w:rsidRPr="003432C6">
        <w:t>systematic</w:t>
      </w:r>
      <w:r w:rsidRPr="00F81F7C">
        <w:t xml:space="preserve"> </w:t>
      </w:r>
      <w:r>
        <w:t>reviews.</w:t>
      </w:r>
      <w:r w:rsidRPr="005417B3">
        <w:rPr>
          <w:noProof/>
          <w:vertAlign w:val="superscript"/>
        </w:rPr>
        <w:t>43-45</w:t>
      </w:r>
      <w:r>
        <w:t xml:space="preserve"> Only one of the three trials comparing heparin with standard CVCs reported adequate concealment of randomisation, and this trial did not state whether clinicians were blinded to the intervention.</w:t>
      </w:r>
      <w:r w:rsidRPr="00E075A0">
        <w:rPr>
          <w:noProof/>
          <w:vertAlign w:val="superscript"/>
        </w:rPr>
        <w:t>3</w:t>
      </w:r>
      <w:r>
        <w:t xml:space="preserve"> A further explanation for the discrepancy may be </w:t>
      </w:r>
      <w:r w:rsidRPr="00F81F7C">
        <w:t>t</w:t>
      </w:r>
      <w:r w:rsidRPr="002A65E1">
        <w:rPr>
          <w:rFonts w:eastAsia="Calibri" w:cs="Times New Roman"/>
        </w:rPr>
        <w:t>he low baseline event rate observed in CATCH, which was conducted after implementation of CVC care bundles in PICUs to improve aseptic procedures during CVC insertion and maintenance.</w:t>
      </w:r>
      <w:r w:rsidRPr="003432C6">
        <w:rPr>
          <w:rFonts w:eastAsia="Calibri" w:cs="Times New Roman"/>
          <w:noProof/>
          <w:vertAlign w:val="superscript"/>
        </w:rPr>
        <w:t>32</w:t>
      </w:r>
      <w:r w:rsidRPr="003432C6">
        <w:t xml:space="preserve"> It is conceivable that heparin CVCs are most effective in the context of high rates of surface colonisation</w:t>
      </w:r>
      <w:r>
        <w:t>,</w:t>
      </w:r>
      <w:r w:rsidRPr="003432C6">
        <w:t xml:space="preserve"> as they prevent thrombosis which aids organism adherence to the CVC.</w:t>
      </w:r>
      <w:r>
        <w:t xml:space="preserve"> Finally, the pair-wise comparisons used to determine the most effective type of impregnation were not adequately powered to detect the anticipated small differences between antibiotic and heparin CVCs. However, our</w:t>
      </w:r>
      <w:r w:rsidRPr="00F81F7C">
        <w:t xml:space="preserve"> </w:t>
      </w:r>
      <w:r w:rsidRPr="002A65E1">
        <w:rPr>
          <w:rFonts w:eastAsia="Calibri" w:cs="Times New Roman"/>
        </w:rPr>
        <w:t>results suggest that antibiotic-impregnated CVCs can achieve further reductions in BSI rates, over and above that achieved by CVC care bundles.</w:t>
      </w:r>
      <w:r w:rsidRPr="00607F48">
        <w:rPr>
          <w:rFonts w:eastAsia="Calibri" w:cs="Times New Roman"/>
          <w:noProof/>
          <w:vertAlign w:val="superscript"/>
        </w:rPr>
        <w:t>33, 34</w:t>
      </w:r>
      <w:r w:rsidRPr="002A65E1">
        <w:rPr>
          <w:rFonts w:eastAsia="Calibri" w:cs="Times New Roman"/>
        </w:rPr>
        <w:t xml:space="preserve"> </w:t>
      </w:r>
    </w:p>
    <w:p w:rsidR="006A57B2" w:rsidRDefault="006A57B2" w:rsidP="00B22173">
      <w:pPr>
        <w:pStyle w:val="Heading2"/>
        <w:spacing w:line="360" w:lineRule="auto"/>
      </w:pPr>
      <w:bookmarkStart w:id="134" w:name="_Toc418857505"/>
      <w:bookmarkStart w:id="135" w:name="_Toc428195187"/>
      <w:r>
        <w:t>Cost-effectiveness</w:t>
      </w:r>
      <w:bookmarkEnd w:id="134"/>
      <w:bookmarkEnd w:id="135"/>
      <w:r>
        <w:t xml:space="preserve"> </w:t>
      </w:r>
    </w:p>
    <w:p w:rsidR="006A57B2" w:rsidRDefault="006A57B2" w:rsidP="00817F78">
      <w:pPr>
        <w:spacing w:line="360" w:lineRule="auto"/>
      </w:pPr>
      <w:r>
        <w:t xml:space="preserve">The incremental cost-effectiveness ratio of antibiotic-impregnated CVCs versus standard CVCs was £54,057 per BSI averted over the 6 months after randomisation. Assuming the health impact of a BSI is no greater (on average) than a reduction of one year of full health (i.e. one QALY), then at the cost-effectiveness threshold of £30,000 per QALY, antibiotic CVC may not represent a cost-effective alternative to standard CVCs in a PICU setting. However, there is considerable uncertainty surrounding this estimate, which is driven mainly by the time horizon of analysis. </w:t>
      </w:r>
    </w:p>
    <w:p w:rsidR="006A57B2" w:rsidRDefault="006A57B2" w:rsidP="00817F78">
      <w:pPr>
        <w:spacing w:line="360" w:lineRule="auto"/>
      </w:pPr>
      <w:r>
        <w:t xml:space="preserve">The sensitivity analysis in which costs were restricted to the index hospital stay resulted in antibiotic CVCs dominating standard CVCs, with £97,543 saved for each BSI averted. Antibiotic CVCs therefore appear highly cost-effective when considering events and cost accruing over comparable periods. </w:t>
      </w:r>
    </w:p>
    <w:p w:rsidR="006A57B2" w:rsidRDefault="006A57B2" w:rsidP="00817F78">
      <w:pPr>
        <w:spacing w:line="360" w:lineRule="auto"/>
      </w:pPr>
      <w:r>
        <w:t xml:space="preserve">A secondary analysis of the CATCH trial indicated that heparin CVCs were not clinically effective with a risk difference for first BSI of -0.17 (95% CI, -2.45, 2.12) versus standard CVCs. It follows, therefore, that heparin CVCs cannot be cost effective by the same measure. </w:t>
      </w:r>
      <w:r w:rsidRPr="001A3F11">
        <w:t xml:space="preserve">Theoretically, a cost minimisation analysis might apply, to assess whether heparin CVCs are less costly overall than standard CVCs. However, heparin CVCs are more expensive than standard CVCs (in terms of unit prices), and as the only difference among CVCs can be in BSI rates, any difference in total cost (which was not statistically significant) </w:t>
      </w:r>
      <w:r>
        <w:t>was</w:t>
      </w:r>
      <w:r w:rsidRPr="001A3F11">
        <w:t xml:space="preserve"> due to random variation. A CMA might therefore lead to an erroneous conclusion that heparin CVCs are more cost-effective than standard CVCs.</w:t>
      </w:r>
    </w:p>
    <w:p w:rsidR="006A57B2" w:rsidRDefault="006A57B2" w:rsidP="00817F78">
      <w:pPr>
        <w:spacing w:line="360" w:lineRule="auto"/>
      </w:pPr>
      <w:r>
        <w:t xml:space="preserve">Our economic evaluation benefits from being conducted alongside a pragmatic clinical trial which is representative of current practice in the UK PICU setting. The evaluation utilises data from a definitive and unbiased comparison of impregnated and standard CVCs, which was </w:t>
      </w:r>
      <w:r w:rsidRPr="00AC4B74">
        <w:t>conducted robustly according to accepted methods of trial-based economic evaluations.</w:t>
      </w:r>
      <w:r w:rsidRPr="00607F48">
        <w:rPr>
          <w:noProof/>
          <w:vertAlign w:val="superscript"/>
        </w:rPr>
        <w:t>74</w:t>
      </w:r>
      <w:r w:rsidRPr="00AC4B74">
        <w:t xml:space="preserve"> We used patient-level HES data to reflect the reimbursement costs for hospitals and multiple data</w:t>
      </w:r>
      <w:r>
        <w:t xml:space="preserve"> source to measure hospital use in order to ensure that cost data were complete.</w:t>
      </w:r>
    </w:p>
    <w:p w:rsidR="006A57B2" w:rsidRDefault="006A57B2" w:rsidP="00817F78">
      <w:pPr>
        <w:spacing w:line="360" w:lineRule="auto"/>
      </w:pPr>
      <w:r>
        <w:t>However, there are limitations which affect the strength of our findings. First, the CATCH trial was not powered to determine cost differences between each of the three CVCs. As a consequence, results are susceptible to random variation in costs between trial arms. While hypothesis testing may be considered less relevant to decision making in the context of net benefits, the non-statistically significant differences in costs between groups translated to uncertainty in the joint distribution of costs and benefits such that in the base-case analysis, antibiotic CVCs had a probability of 0.35 of dominating standard CVCs.</w:t>
      </w:r>
      <w:r w:rsidRPr="00607F48">
        <w:rPr>
          <w:noProof/>
          <w:vertAlign w:val="superscript"/>
        </w:rPr>
        <w:t>91</w:t>
      </w:r>
      <w:r>
        <w:t xml:space="preserve"> Mean total costs associated with heparin CVCs were lower than both antibiotic and standard CVCs despite their ineffectiveness in avoiding BSI when compared with standard CVCs. Being a rare event, BSI costs were diluted in overall costs relating to the intensive care of patients.</w:t>
      </w:r>
    </w:p>
    <w:p w:rsidR="006A57B2" w:rsidRDefault="006A57B2" w:rsidP="00817F78">
      <w:pPr>
        <w:spacing w:line="360" w:lineRule="auto"/>
      </w:pPr>
      <w:r>
        <w:t>Second, the economic evaluation did not consider quality-adjusted life-year (QALY), which is the standard metric for informing decisions on resource allocation. This was because estimation of utilities in paediatric ICU populations is empirically and conceptually challenging,</w:t>
      </w:r>
      <w:r w:rsidRPr="00607F48">
        <w:rPr>
          <w:noProof/>
          <w:vertAlign w:val="superscript"/>
        </w:rPr>
        <w:t>92, 93</w:t>
      </w:r>
      <w:r>
        <w:t xml:space="preserve"> and the main long-term consequence of BSI, the long-term impact on neurological outcomes, is poorly measured in children and was not measured in the trial. Short-term outcomes not considered in our economic analysis include mortality, antibiotic resistance and other adverse events. However, antibiotic resistance to minocycline or rifampicin did not differ by CVC allocation. There were no differences in 30-day mortality for antibiotic versus standard (HR 0.96; 95% CI 0.61, 1.51) or for heparin versus standard CVC (HR 0.65; 95% CI 0.40, 1.07) and no differences in adverse events (Table 10).</w:t>
      </w:r>
    </w:p>
    <w:p w:rsidR="006A57B2" w:rsidRDefault="006A57B2" w:rsidP="00817F78">
      <w:pPr>
        <w:spacing w:line="360" w:lineRule="auto"/>
      </w:pPr>
      <w:r>
        <w:t>Assumptions regarding the time horizon of analysis represent a third limitation. The base-case, 6-month analysis was selected to include the costs of hospital readmissions in addition to the index hospitalisation and transfers that may have occurred subsequently. This was intended to capture the costs of managing any longer-term complications from BSI, but as the economic outcome was chosen to align with the primary clinical outcome, the health impacts of these complications were not included in the ICER. Consequently, as costs accrue over time with no corresponding change to the number of BSI (these all occurred within 30 days), the ICER continued to increase over time.</w:t>
      </w:r>
    </w:p>
    <w:p w:rsidR="006A57B2" w:rsidRDefault="006A57B2" w:rsidP="00817F78">
      <w:pPr>
        <w:spacing w:line="360" w:lineRule="auto"/>
      </w:pPr>
      <w:r>
        <w:t>Our findings are consistent with other studies in the estimation of the costs associated with the management of BSI, however our ICER differs considerably, and is inconclusive with regards to determining the cost-effectiveness of antibiotic CVCs. Published economic evaluations, including those which adopted a lifetime horizon of analysis, suggest dominance of antibiotic-impregnated CVCs over standard CVCs. One explanation for this discrepancy is in the methods of analysis. A decision analytic model, based on a synthesis of data from various sources is fundamentally different from a prospective RCT in which differences between intervention groups are less evident, particularly in the context of rare events such as BSI. In the evaluation by Hockenhull et al. for instance, the incremental cost saving of £138.20 per patient receiving an impregnated CVC was calculated as the additional cost of the antibiotic CVC less the expected cost per patient of managing excess BSI.</w:t>
      </w:r>
      <w:r w:rsidRPr="00607F48">
        <w:rPr>
          <w:noProof/>
          <w:vertAlign w:val="superscript"/>
        </w:rPr>
        <w:t>29</w:t>
      </w:r>
      <w:r>
        <w:t xml:space="preserve"> The equivalent calculation based on CATCH data for antibiotic CVCs results in a value of £200.08 saved for each antibiotic CVC used {= (£78.28 – £42.91) - £10,975 x 2.15%}. Extending this further, to calculate the ICER, gives a value of £9,326 saved per BSI averted {= £200.08 / 2.15%}, which differs appreciably from our base-case result. However, by analysing the data as a cohort study, separating the apparent costs of BSI from the total costs relating to each intervention group, biases are likely to arise from assuming that the cost of managing BSIs is independent of CVC type.</w:t>
      </w:r>
    </w:p>
    <w:p w:rsidR="006A57B2" w:rsidRDefault="006A57B2" w:rsidP="00817F78">
      <w:pPr>
        <w:spacing w:line="360" w:lineRule="auto"/>
      </w:pPr>
      <w:r>
        <w:t xml:space="preserve">In conclusion, the results of the cost-effectiveness analysis indicate a policy of replacing standard CVCs with antibiotic-impregnated CVCs in paediatric ICUs will be more beneficial in terms of fewer patients developing BSI. Given the low BSI rate, the variation in costs between arms and the sensitivity of analyses to the specified time-horizon, there remains considerable uncertainty as to whether </w:t>
      </w:r>
      <w:r w:rsidRPr="00667F09">
        <w:t xml:space="preserve">use of antibiotic CVCs </w:t>
      </w:r>
      <w:r>
        <w:t>represents a cost-effective use of NHS resources.</w:t>
      </w:r>
    </w:p>
    <w:p w:rsidR="006A57B2" w:rsidRDefault="006A57B2" w:rsidP="00B22173">
      <w:pPr>
        <w:pStyle w:val="Heading2"/>
        <w:spacing w:line="360" w:lineRule="auto"/>
      </w:pPr>
      <w:bookmarkStart w:id="136" w:name="_Toc418857506"/>
      <w:bookmarkStart w:id="137" w:name="_Toc428195188"/>
      <w:r>
        <w:t>Generalisability and cost-impact</w:t>
      </w:r>
      <w:bookmarkEnd w:id="136"/>
      <w:bookmarkEnd w:id="137"/>
    </w:p>
    <w:p w:rsidR="006A57B2" w:rsidRPr="00F81F7C" w:rsidRDefault="006A57B2" w:rsidP="00B22173">
      <w:pPr>
        <w:spacing w:line="360" w:lineRule="auto"/>
      </w:pPr>
      <w:r w:rsidRPr="00F81F7C">
        <w:t xml:space="preserve">We explored the generalisability of CATCH trial results and the cost-impact of changing practice in PICUs across England based on the trial results. In terms of generalisability, observed rates of BSI using standard CVCs </w:t>
      </w:r>
      <w:r w:rsidRPr="00AB54A0">
        <w:t xml:space="preserve">declined steadily over the past decade, including the period when </w:t>
      </w:r>
      <w:r w:rsidRPr="00F81F7C">
        <w:t>children were enrolled into the CATCH trial.</w:t>
      </w:r>
      <w:r w:rsidRPr="00607F48">
        <w:rPr>
          <w:noProof/>
          <w:vertAlign w:val="superscript"/>
        </w:rPr>
        <w:t>34, 94</w:t>
      </w:r>
      <w:r>
        <w:rPr>
          <w:noProof/>
        </w:rPr>
        <w:t xml:space="preserve"> In addition, children participating in CATCH had a higher risk of BSI than all children receiving CVCs in practice, as they were </w:t>
      </w:r>
      <w:r>
        <w:t>expected to require a CVC for 3 or more days. This means that c</w:t>
      </w:r>
      <w:r w:rsidRPr="00F81F7C">
        <w:t xml:space="preserve">hildren </w:t>
      </w:r>
      <w:r>
        <w:t xml:space="preserve">currently </w:t>
      </w:r>
      <w:r w:rsidRPr="00F81F7C">
        <w:t xml:space="preserve">receiving CVCs </w:t>
      </w:r>
      <w:r>
        <w:t xml:space="preserve">in PICU </w:t>
      </w:r>
      <w:r w:rsidRPr="00F81F7C">
        <w:t>are likely to have a lower BSI risk than t</w:t>
      </w:r>
      <w:r>
        <w:t xml:space="preserve">hose participating in the trial. This was reflected in the higher rate of BSI observed in the standard arm of the trial (8.24 per 1000 bed days) compared with linked administrative data from 16 PICUs in England for 2012 (4.58 per 1000 bed days, Figure 9).  </w:t>
      </w:r>
    </w:p>
    <w:p w:rsidR="006A57B2" w:rsidRPr="00F81F7C" w:rsidRDefault="006A57B2" w:rsidP="00B22173">
      <w:pPr>
        <w:spacing w:before="100" w:beforeAutospacing="1" w:after="100" w:afterAutospacing="1" w:line="360" w:lineRule="auto"/>
        <w:rPr>
          <w:rFonts w:cstheme="minorHAnsi"/>
        </w:rPr>
      </w:pPr>
      <w:r w:rsidRPr="00F81F7C">
        <w:rPr>
          <w:rFonts w:cstheme="minorHAnsi"/>
        </w:rPr>
        <w:t xml:space="preserve">In terms of budget-impact, antibiotic CVCs are more expensive than standard CVCs. </w:t>
      </w:r>
      <w:r>
        <w:rPr>
          <w:rFonts w:cstheme="minorHAnsi"/>
        </w:rPr>
        <w:t>If adopted in PICU, a</w:t>
      </w:r>
      <w:r w:rsidRPr="00F81F7C">
        <w:rPr>
          <w:rFonts w:cstheme="minorHAnsi"/>
        </w:rPr>
        <w:t xml:space="preserve">ntibiotic CVCs would likely be bulk-purchased for all children (including those with a lower risk of BSI than those participating in the trial). By estimating the number of BSI potentially averted using antibiotic CVCs for all children (including those with low risk of BSI), we showed that the additional cost of purchasing antibiotic CVCs is less than the value of resources associated with </w:t>
      </w:r>
      <w:r w:rsidRPr="00FF11BF">
        <w:rPr>
          <w:rFonts w:cstheme="minorHAnsi"/>
        </w:rPr>
        <w:t>managing excess BSIs associated with</w:t>
      </w:r>
      <w:r>
        <w:rPr>
          <w:rFonts w:cstheme="minorHAnsi"/>
        </w:rPr>
        <w:t xml:space="preserve"> </w:t>
      </w:r>
      <w:r w:rsidRPr="00F81F7C">
        <w:rPr>
          <w:rFonts w:cstheme="minorHAnsi"/>
        </w:rPr>
        <w:t xml:space="preserve">using standard CVCs.A limitation of this study was that estimated BSI rates using standard CVCs relied on a predictive model for identifying children most likely to have required CVCs. Another limitation was the possible error in estimating CVC-days: we assumed that for children in the linked dataset likely to have required CVCs, CVCs would remain in place for the entire PICU stay. There is no clear direction of bias as we may have over- or under-estimated CVC-days, but our assumptions are reasonable based on the subset of CATCH participants. </w:t>
      </w:r>
      <w:r w:rsidRPr="002A65E1">
        <w:rPr>
          <w:rFonts w:eastAsia="Times New Roman" w:cs="Calibri"/>
        </w:rPr>
        <w:t>Finally, we relied on survey responses to estimate the number of CVCs required in PICU, but we addressed this and uncertainty in other parameter estimate by performing sensitivity analyses.</w:t>
      </w:r>
      <w:r w:rsidRPr="00E075A0">
        <w:rPr>
          <w:rFonts w:eastAsia="Times New Roman" w:cs="Calibri"/>
          <w:noProof/>
          <w:vertAlign w:val="superscript"/>
        </w:rPr>
        <w:t>95, 96</w:t>
      </w:r>
    </w:p>
    <w:p w:rsidR="006A57B2" w:rsidRPr="00F81F7C" w:rsidRDefault="006A57B2" w:rsidP="004957E0">
      <w:pPr>
        <w:spacing w:line="360" w:lineRule="auto"/>
        <w:rPr>
          <w:rFonts w:cstheme="minorHAnsi"/>
        </w:rPr>
      </w:pPr>
      <w:r w:rsidRPr="00F81F7C">
        <w:rPr>
          <w:rFonts w:cstheme="minorHAnsi"/>
        </w:rPr>
        <w:t>The generalisability of RCT results can be assessed by accounting for differences in subgroup treatment effects, e.g. by re-weighting treatment effects based on population distributions.</w:t>
      </w:r>
      <w:r w:rsidRPr="00E075A0">
        <w:rPr>
          <w:rFonts w:cstheme="minorHAnsi"/>
          <w:noProof/>
          <w:vertAlign w:val="superscript"/>
        </w:rPr>
        <w:t>97, 98</w:t>
      </w:r>
      <w:r w:rsidRPr="00F81F7C">
        <w:rPr>
          <w:rFonts w:cstheme="minorHAnsi"/>
        </w:rPr>
        <w:t xml:space="preserve"> In CATCH, the event rate was low and there was limited power to assess variation in the treatment effect according to the duration of CVC. However, due to the nature of the intervention, we assumed that the treatment effect would be constant across groups and would be the same in children who were not enrolled into the trial, as there was no a priori reason for an interaction. </w:t>
      </w:r>
    </w:p>
    <w:p w:rsidR="006A57B2" w:rsidRPr="00F81F7C" w:rsidRDefault="006A57B2" w:rsidP="00B22173">
      <w:pPr>
        <w:spacing w:line="360" w:lineRule="auto"/>
        <w:rPr>
          <w:rFonts w:cstheme="minorHAnsi"/>
        </w:rPr>
      </w:pPr>
      <w:r w:rsidRPr="00AB54A0">
        <w:rPr>
          <w:rFonts w:cstheme="minorHAnsi"/>
        </w:rPr>
        <w:t xml:space="preserve">Our results suggest that the benefits of using impregnated CVCs apply even for PICUs with </w:t>
      </w:r>
      <w:r>
        <w:rPr>
          <w:rFonts w:cstheme="minorHAnsi"/>
        </w:rPr>
        <w:t xml:space="preserve">BSI rates as low as 1.2 per 1000 CVC-days. </w:t>
      </w:r>
      <w:r w:rsidRPr="00AB54A0">
        <w:rPr>
          <w:rFonts w:cstheme="minorHAnsi"/>
        </w:rPr>
        <w:t>These finding are consistent with systematic review evidence on the cost-effectiveness of im</w:t>
      </w:r>
      <w:r w:rsidRPr="00F81F7C">
        <w:rPr>
          <w:rFonts w:cstheme="minorHAnsi"/>
        </w:rPr>
        <w:t xml:space="preserve">pregnated CVCs in adults, which indicates that implementation of impregnated CVCs would be cost-effective for a range of relative risks and for baseline incidence of </w:t>
      </w:r>
      <w:r w:rsidRPr="00FF11BF">
        <w:rPr>
          <w:rFonts w:cstheme="minorHAnsi"/>
        </w:rPr>
        <w:t>CR-BSI</w:t>
      </w:r>
      <w:r w:rsidRPr="00F81F7C">
        <w:rPr>
          <w:rFonts w:cstheme="minorHAnsi"/>
        </w:rPr>
        <w:t xml:space="preserve"> as low as 0.2%.</w:t>
      </w:r>
      <w:r w:rsidRPr="00607F48">
        <w:rPr>
          <w:rFonts w:cstheme="minorHAnsi"/>
          <w:noProof/>
          <w:vertAlign w:val="superscript"/>
        </w:rPr>
        <w:t>29</w:t>
      </w:r>
      <w:r w:rsidRPr="00F81F7C">
        <w:rPr>
          <w:rFonts w:cstheme="minorHAnsi"/>
        </w:rPr>
        <w:t xml:space="preserve"> CATCH is the first trial to assess the effectiveness of antibiotic-impregnated versus standard CVCs in children, and our results adds to strong evidence of effectiveness in adults. Furthermore, as our cost estimates only consider use of hospital resources, the true cost of BSI and the benefits of antibiotic CVCs may be even greater when longer term outcomes of BSI are taken into account. </w:t>
      </w:r>
    </w:p>
    <w:p w:rsidR="006A57B2" w:rsidRDefault="006A57B2" w:rsidP="00B22173">
      <w:pPr>
        <w:pStyle w:val="Heading2"/>
        <w:spacing w:line="360" w:lineRule="auto"/>
      </w:pPr>
      <w:bookmarkStart w:id="138" w:name="_Toc418857507"/>
      <w:bookmarkStart w:id="139" w:name="_Toc428195189"/>
      <w:r>
        <w:t>Other conclusions</w:t>
      </w:r>
      <w:bookmarkEnd w:id="138"/>
      <w:bookmarkEnd w:id="139"/>
      <w:r>
        <w:t xml:space="preserve"> </w:t>
      </w:r>
    </w:p>
    <w:p w:rsidR="006A57B2" w:rsidRDefault="006A57B2" w:rsidP="00452F22">
      <w:pPr>
        <w:pStyle w:val="Heading4"/>
      </w:pPr>
      <w:r>
        <w:t>Deferred consent</w:t>
      </w:r>
    </w:p>
    <w:p w:rsidR="006A57B2" w:rsidRPr="00F81F7C" w:rsidRDefault="006A57B2" w:rsidP="00B22173">
      <w:pPr>
        <w:spacing w:line="360" w:lineRule="auto"/>
      </w:pPr>
      <w:r w:rsidRPr="00F81F7C">
        <w:t xml:space="preserve">There is a growing recognition of the need for better evidence in paediatric settings, as evidence in adults cannot always be safely </w:t>
      </w:r>
      <w:r w:rsidRPr="00AB54A0">
        <w:t>extrapolated to children.</w:t>
      </w:r>
      <w:r w:rsidRPr="00607F48">
        <w:rPr>
          <w:noProof/>
          <w:vertAlign w:val="superscript"/>
        </w:rPr>
        <w:t>99, 100</w:t>
      </w:r>
      <w:r w:rsidRPr="00F81F7C">
        <w:t xml:space="preserve"> However, achieving informed consent in emergency paediatric settings is complicated by the stressful situation and the need to avoid any delay in treatment.</w:t>
      </w:r>
      <w:r w:rsidRPr="00607F48">
        <w:rPr>
          <w:noProof/>
          <w:vertAlign w:val="superscript"/>
        </w:rPr>
        <w:t>55, 101</w:t>
      </w:r>
      <w:r w:rsidRPr="00F81F7C">
        <w:t xml:space="preserve"> As CATCH was one of the first UK studies to use deferred consent in children, there was a lack of evidence on which to make decisions about the design and conduct of this aspect of the trial.</w:t>
      </w:r>
      <w:r w:rsidRPr="00607F48">
        <w:rPr>
          <w:noProof/>
          <w:vertAlign w:val="superscript"/>
        </w:rPr>
        <w:t>102, 103</w:t>
      </w:r>
      <w:r w:rsidRPr="00F81F7C">
        <w:t xml:space="preserve"> Our experience of deferred consent in CATCH could help to inform future studies. </w:t>
      </w:r>
    </w:p>
    <w:p w:rsidR="006A57B2" w:rsidRPr="00F81F7C" w:rsidRDefault="006A57B2" w:rsidP="00B22173">
      <w:pPr>
        <w:spacing w:line="360" w:lineRule="auto"/>
      </w:pPr>
      <w:r w:rsidRPr="00F81F7C">
        <w:t>In CATCH, deferred consent was obtained from 84% of families who were approached.</w:t>
      </w:r>
      <w:r w:rsidRPr="00607F48">
        <w:rPr>
          <w:noProof/>
          <w:vertAlign w:val="superscript"/>
        </w:rPr>
        <w:t>61</w:t>
      </w:r>
      <w:r w:rsidRPr="00F81F7C">
        <w:t xml:space="preserve"> The use of deferred consent allowed us to recruit emergency admissions, reach the target sample size within the available funding, and provide results that are convincing to clinicians working in the emergency setting. Participation in CATCH after the intervention had taken place represented minimal burden to children (use of data already collected and follow-up data collection only). However, a proportion of parents chose not to consent, due to a perceived burden on the child. Ongoing in-depth research as part of the CONNECT study may help to explain further the experiences and choices of parents of children involved in CATCH.</w:t>
      </w:r>
      <w:r w:rsidRPr="00607F48">
        <w:rPr>
          <w:noProof/>
          <w:vertAlign w:val="superscript"/>
        </w:rPr>
        <w:t>55, 104</w:t>
      </w:r>
    </w:p>
    <w:p w:rsidR="006A57B2" w:rsidRPr="00F81F7C" w:rsidRDefault="006A57B2" w:rsidP="00B22173">
      <w:pPr>
        <w:spacing w:line="360" w:lineRule="auto"/>
      </w:pPr>
      <w:r w:rsidRPr="00F81F7C">
        <w:t>One of the main concerns relating to deferred consent in CATCH was whether the decision to consent was related to the child’s outcome. The ethics committee recommended not approaching families whose child had been discharged or transferred before the original approach for consent could be made. Inclusion rates were also lower in the group of children who died. Although there were no deaths related to the type of CVC in CATCH, the low rate of consent for children who died could bias the validity of comparisons between treatment arm and outcomes, including adverse events. We propose that in future, ethics committees allow use of linked administrative records without consent, where reasonable efforts to obtain consent have been made or are not feasible or considered to be harmful.</w:t>
      </w:r>
      <w:r w:rsidRPr="00E075A0">
        <w:rPr>
          <w:noProof/>
          <w:vertAlign w:val="superscript"/>
        </w:rPr>
        <w:t>61</w:t>
      </w:r>
    </w:p>
    <w:p w:rsidR="006A57B2" w:rsidRPr="002A65E1" w:rsidRDefault="006A57B2" w:rsidP="00B22173">
      <w:pPr>
        <w:spacing w:line="360" w:lineRule="auto"/>
        <w:rPr>
          <w:rFonts w:cs="Calibri"/>
        </w:rPr>
      </w:pPr>
      <w:r w:rsidRPr="00F81F7C">
        <w:t>There is still uncertainty about the most appropriate ways to approach bereaved parents of children randomised in an emergency.</w:t>
      </w:r>
      <w:r w:rsidRPr="00607F48">
        <w:rPr>
          <w:noProof/>
          <w:vertAlign w:val="superscript"/>
        </w:rPr>
        <w:t>105</w:t>
      </w:r>
      <w:r w:rsidRPr="00F81F7C">
        <w:t xml:space="preserve"> </w:t>
      </w:r>
      <w:r w:rsidRPr="002A65E1">
        <w:rPr>
          <w:rFonts w:cs="Calibri"/>
        </w:rPr>
        <w:t>Our experience with CATCH highlights that further in-depth research should be incorporated into design of emergency trials involving populations with high mortality rates.</w:t>
      </w:r>
      <w:r w:rsidRPr="00607F48">
        <w:rPr>
          <w:rFonts w:cs="Calibri"/>
          <w:noProof/>
          <w:vertAlign w:val="superscript"/>
        </w:rPr>
        <w:t>106, 107</w:t>
      </w:r>
    </w:p>
    <w:p w:rsidR="006A57B2" w:rsidRDefault="006A57B2" w:rsidP="00452F22">
      <w:pPr>
        <w:pStyle w:val="Heading4"/>
      </w:pPr>
      <w:r>
        <w:t>Co-enrolment</w:t>
      </w:r>
    </w:p>
    <w:p w:rsidR="006A57B2" w:rsidRDefault="006A57B2" w:rsidP="00B22173">
      <w:pPr>
        <w:spacing w:line="360" w:lineRule="auto"/>
      </w:pPr>
      <w:r>
        <w:t xml:space="preserve">Another challenge to improving evidence in paediatric settings is the limited population of children who can be recruited into trials. CATCH was the largest RCT conducted in paediatric intensive care to date, and </w:t>
      </w:r>
      <w:r w:rsidRPr="00FC0E76">
        <w:t>overlapped with the second largest RCT (the CHiP trial), which recruited 1369 children in 13 centres.</w:t>
      </w:r>
      <w:r w:rsidRPr="00607F48">
        <w:rPr>
          <w:noProof/>
          <w:vertAlign w:val="superscript"/>
        </w:rPr>
        <w:t>108</w:t>
      </w:r>
      <w:r>
        <w:t xml:space="preserve"> </w:t>
      </w:r>
      <w:r w:rsidRPr="00FC0E76">
        <w:t>Allowing</w:t>
      </w:r>
      <w:r>
        <w:t xml:space="preserve"> co-enrolment into several trials at the same time can potentially enable efficient recruitment of children and has been successful in particular settings, e.g. for evaluating AIDS treatments</w:t>
      </w:r>
      <w:r w:rsidRPr="00FC0E76">
        <w:t>.</w:t>
      </w:r>
      <w:r w:rsidRPr="00607F48">
        <w:rPr>
          <w:noProof/>
          <w:vertAlign w:val="superscript"/>
        </w:rPr>
        <w:t>88, 90, 109, 110</w:t>
      </w:r>
      <w:r>
        <w:t xml:space="preserve"> Aside from statistical concerns, perceived burden to the child, ethics requirements and stress of recruiting into multiple trials are barriers to co-enrolme</w:t>
      </w:r>
      <w:r w:rsidRPr="00FC0E76">
        <w:t>nt.</w:t>
      </w:r>
      <w:r w:rsidRPr="00607F48">
        <w:rPr>
          <w:noProof/>
          <w:vertAlign w:val="superscript"/>
        </w:rPr>
        <w:t>111-114</w:t>
      </w:r>
    </w:p>
    <w:p w:rsidR="006A57B2" w:rsidRDefault="006A57B2" w:rsidP="00B22173">
      <w:pPr>
        <w:spacing w:line="360" w:lineRule="auto"/>
      </w:pPr>
      <w:r>
        <w:t xml:space="preserve">Of five PICUs with the opportunity to recruit simultaneously to both CATCH and CHiP, only two units decided to allow co-enrolment. Of the remaining three units, one delayed recruitment of elective patients for CATCH until CHiP had closed, resulting in a loss of six recruiting weeks. Reasons provided for not allowing co-enrolment related to concerns about jeopardising recruitment targets for the earlier trial, asking too much of parents due to </w:t>
      </w:r>
      <w:r w:rsidRPr="00FC0E76">
        <w:t>overwhelming amounts of information for two trials, and the stressful situation of intensive care.</w:t>
      </w:r>
      <w:r w:rsidRPr="00607F48">
        <w:rPr>
          <w:noProof/>
          <w:vertAlign w:val="superscript"/>
        </w:rPr>
        <w:t>112</w:t>
      </w:r>
      <w:r>
        <w:t xml:space="preserve"> </w:t>
      </w:r>
    </w:p>
    <w:p w:rsidR="006A57B2" w:rsidRDefault="006A57B2" w:rsidP="00B22173">
      <w:pPr>
        <w:spacing w:line="360" w:lineRule="auto"/>
      </w:pPr>
      <w:r>
        <w:t>On the other hand, we found that parents were accepting of co-</w:t>
      </w:r>
      <w:r w:rsidRPr="00FC0E76">
        <w:t>enrolment: recruitment rates at the same PICU were similar whether parents were approached for a single study (78% for CATCH; 51% for CHiP) or both studies (82% for CATCH; 51% for CHiP). Concerns of the PICUs were therefore not supported by evidence on parental decisions.</w:t>
      </w:r>
      <w:r w:rsidRPr="00607F48">
        <w:rPr>
          <w:noProof/>
          <w:vertAlign w:val="superscript"/>
        </w:rPr>
        <w:t>115, 116</w:t>
      </w:r>
    </w:p>
    <w:p w:rsidR="006A57B2" w:rsidRDefault="006A57B2" w:rsidP="00B22173">
      <w:pPr>
        <w:spacing w:line="360" w:lineRule="auto"/>
      </w:pPr>
      <w:r>
        <w:t xml:space="preserve">Our experience with CATCH highlighted that co-enrolment can be successful and acceptable, but that barriers to co-enrolment remain. Decisions on the appropriateness of co-enrolment need to take into account potential impact on results, interaction between therapies, safety, and internal and external validity. Strategies that allow increasing research capacity whilst minimising burden on patients and parents should continue to be developed. </w:t>
      </w:r>
    </w:p>
    <w:p w:rsidR="006A57B2" w:rsidRDefault="006A57B2" w:rsidP="00452F22">
      <w:pPr>
        <w:pStyle w:val="Heading4"/>
      </w:pPr>
      <w:r>
        <w:t>Administrative / electronic healthcare data to support RCTs</w:t>
      </w:r>
    </w:p>
    <w:p w:rsidR="006A57B2" w:rsidRDefault="006A57B2" w:rsidP="00B22173">
      <w:pPr>
        <w:spacing w:line="360" w:lineRule="auto"/>
      </w:pPr>
      <w:r>
        <w:t xml:space="preserve">This study provides a convincing </w:t>
      </w:r>
      <w:r w:rsidRPr="00FC0E76">
        <w:t>example of how administrative and electronic healthcare data can be used to support and enhance RCTs.</w:t>
      </w:r>
      <w:r w:rsidRPr="00607F48">
        <w:rPr>
          <w:noProof/>
          <w:vertAlign w:val="superscript"/>
        </w:rPr>
        <w:t>117</w:t>
      </w:r>
      <w:r w:rsidRPr="00FC0E76">
        <w:t xml:space="preserve"> It would not have been possible to provide such comprehensive information relating to the use of impregnated</w:t>
      </w:r>
      <w:r>
        <w:t xml:space="preserve"> CVCs without the use of administrative data, which contributed to all three aspects of the study:</w:t>
      </w:r>
    </w:p>
    <w:p w:rsidR="006A57B2" w:rsidRDefault="006A57B2" w:rsidP="00B22173">
      <w:pPr>
        <w:pStyle w:val="ListParagraph"/>
        <w:numPr>
          <w:ilvl w:val="0"/>
          <w:numId w:val="10"/>
        </w:numPr>
        <w:spacing w:line="360" w:lineRule="auto"/>
      </w:pPr>
      <w:r>
        <w:t>Clinical effectiveness: trial participant data were linked with i) mortality data from the Office for National Statistics to allow evaluation of deaths within 30 days of randomisation; ii) PICANet data</w:t>
      </w:r>
      <w:r>
        <w:rPr>
          <w:noProof/>
        </w:rPr>
        <w:t xml:space="preserve"> </w:t>
      </w:r>
      <w:r w:rsidRPr="00607F48">
        <w:rPr>
          <w:noProof/>
          <w:vertAlign w:val="superscript"/>
        </w:rPr>
        <w:t>56</w:t>
      </w:r>
      <w:r>
        <w:t xml:space="preserve"> to ascertain the primary diagnosis at admission and the Paediatric Index of Mortality score (PIM2).</w:t>
      </w:r>
    </w:p>
    <w:p w:rsidR="006A57B2" w:rsidRDefault="006A57B2" w:rsidP="00B22173">
      <w:pPr>
        <w:pStyle w:val="ListParagraph"/>
        <w:numPr>
          <w:ilvl w:val="0"/>
          <w:numId w:val="10"/>
        </w:numPr>
        <w:spacing w:line="360" w:lineRule="auto"/>
      </w:pPr>
      <w:r>
        <w:t>Cost-effectiveness: Hospital Episode Statistics (HES) and PICANet data were used to estimate hospital, ICU and HDU costs up to 6 months after randomisation.</w:t>
      </w:r>
    </w:p>
    <w:p w:rsidR="006A57B2" w:rsidRDefault="006A57B2" w:rsidP="00B22173">
      <w:pPr>
        <w:pStyle w:val="ListParagraph"/>
        <w:numPr>
          <w:ilvl w:val="0"/>
          <w:numId w:val="10"/>
        </w:numPr>
        <w:spacing w:line="360" w:lineRule="auto"/>
      </w:pPr>
      <w:r>
        <w:t>Generalisability and cost-impact: PICANet data linked with national laboratory surveillance data were used to estimate rates of BSI outside of the trial setting.</w:t>
      </w:r>
    </w:p>
    <w:p w:rsidR="006A57B2" w:rsidRDefault="006A57B2" w:rsidP="00B22173">
      <w:pPr>
        <w:spacing w:line="360" w:lineRule="auto"/>
      </w:pPr>
      <w:r>
        <w:t xml:space="preserve">There are other areas in which administrative and electronic healthcare data could be used to enhance and support </w:t>
      </w:r>
      <w:r w:rsidRPr="00FC0E76">
        <w:t>RCTs.</w:t>
      </w:r>
      <w:r w:rsidRPr="00607F48">
        <w:rPr>
          <w:noProof/>
          <w:vertAlign w:val="superscript"/>
        </w:rPr>
        <w:t>117</w:t>
      </w:r>
      <w:r w:rsidRPr="00FC0E76">
        <w:t xml:space="preserve"> Firstly, in terms of capturing outcomes, we used administrative data up to six months post-randomisation. </w:t>
      </w:r>
      <w:r w:rsidRPr="001D2566">
        <w:t>Ongoing linkage with administrative data could be useful to many RCTs for capturing further long-term outcomes and safety measures.</w:t>
      </w:r>
      <w:r w:rsidRPr="00607F48">
        <w:rPr>
          <w:noProof/>
          <w:vertAlign w:val="superscript"/>
        </w:rPr>
        <w:t>118</w:t>
      </w:r>
      <w:r>
        <w:t xml:space="preserve"> </w:t>
      </w:r>
    </w:p>
    <w:p w:rsidR="006A57B2" w:rsidRDefault="006A57B2" w:rsidP="00B22173">
      <w:pPr>
        <w:spacing w:line="360" w:lineRule="auto"/>
      </w:pPr>
      <w:r>
        <w:t xml:space="preserve">Secondly, the sample size calculation in CATCH was based upon audit data from several PICUs prior to the trial. If PICANet and infection surveillance data had been linked prior to the study, even more accurate event rates, taking into account the context of decreasing BSI rates, could have been made. Using administrative data to identify variation in care across services and to aid site selection will lead to more well-designed trials that are likely to meet targets and provide evidence more quickly. </w:t>
      </w:r>
    </w:p>
    <w:p w:rsidR="006A57B2" w:rsidRDefault="006A57B2" w:rsidP="00B22173">
      <w:pPr>
        <w:spacing w:line="360" w:lineRule="auto"/>
      </w:pPr>
      <w:r>
        <w:t>Thirdly, we used administrative data collected during the trial period to assess the generalisability of trial participants and to identify the population for whom impregnated CVCs may be purchased. This could be extended post-trial, by monitoring the scaling-up of effective interventions and for continued study of the safety and efficacy of new medicines and devices.</w:t>
      </w:r>
    </w:p>
    <w:p w:rsidR="006A57B2" w:rsidRPr="00505E21" w:rsidRDefault="006A57B2" w:rsidP="00B22173">
      <w:pPr>
        <w:spacing w:line="360" w:lineRule="auto"/>
      </w:pPr>
      <w:r>
        <w:t xml:space="preserve">Barriers to realising the full potential for integrating administrative data into RCTs include concerns about data quality, regulatory compliance, and ethical issues relating to consent for data linkage. Decisions on the appropriateness of using administrative data should be made on a trial-to-trial basis. However, administrative data provides an opportunity to efficiently investigate short and long-term effectiveness in real healthcare setting, to assess the broader impact of treatments across the NHS, and to provide evidence on interventions to help implement </w:t>
      </w:r>
      <w:r w:rsidRPr="001D2566">
        <w:t>improved treatments quickly for those who would benefit most. The potential to improve quality and decrease the burden and cost of RCTs is particularly important for the paediatric setting.</w:t>
      </w:r>
      <w:r w:rsidRPr="00607F48">
        <w:rPr>
          <w:noProof/>
          <w:vertAlign w:val="superscript"/>
        </w:rPr>
        <w:t>99, 119, 120</w:t>
      </w:r>
      <w:r>
        <w:t xml:space="preserve"> </w:t>
      </w:r>
    </w:p>
    <w:p w:rsidR="006A57B2" w:rsidRDefault="006A57B2" w:rsidP="00B22173">
      <w:pPr>
        <w:pStyle w:val="Heading2"/>
        <w:spacing w:line="360" w:lineRule="auto"/>
      </w:pPr>
      <w:bookmarkStart w:id="140" w:name="_Toc418857508"/>
      <w:bookmarkStart w:id="141" w:name="_Toc428195190"/>
      <w:r>
        <w:t>Implications for practice</w:t>
      </w:r>
      <w:bookmarkEnd w:id="140"/>
      <w:bookmarkEnd w:id="141"/>
    </w:p>
    <w:p w:rsidR="006A57B2" w:rsidRPr="00966601" w:rsidRDefault="006A57B2" w:rsidP="00B22173">
      <w:pPr>
        <w:spacing w:line="360" w:lineRule="auto"/>
        <w:rPr>
          <w:lang w:eastAsia="en-GB"/>
        </w:rPr>
      </w:pPr>
      <w:r w:rsidRPr="00BF6AD3">
        <w:t xml:space="preserve">Our findings establish the effectiveness of antibiotic-impregnated CVCs compared with standard CVCs for </w:t>
      </w:r>
      <w:r>
        <w:t xml:space="preserve">use in children. For the first time, we directly demonstrate that antibiotic-impregnated CVCs are </w:t>
      </w:r>
      <w:r w:rsidRPr="00BF6AD3">
        <w:t>ef</w:t>
      </w:r>
      <w:r>
        <w:t>fective</w:t>
      </w:r>
      <w:r w:rsidRPr="00BF6AD3">
        <w:t xml:space="preserve"> compared with heparin-bonded CVCs in this population</w:t>
      </w:r>
      <w:r>
        <w:t xml:space="preserve">. </w:t>
      </w:r>
      <w:r>
        <w:rPr>
          <w:lang w:eastAsia="en-GB"/>
        </w:rPr>
        <w:t xml:space="preserve">Use of impregnated CVCs for children admitted to PICUs could result in clinically important reductions in BSI rates. The benefits of antibiotic-impregnated CVCs apply even for low BSI rates and outweigh the current price differential between impregnated and standard CVCs. However, uncertainty remains as to whether antibiotic-impregnated CVCs represent a cost-effective use of NHS resources; careful monitoring of implementation would help to build up further evidence. </w:t>
      </w:r>
    </w:p>
    <w:p w:rsidR="006A57B2" w:rsidRDefault="006A57B2" w:rsidP="00B22173">
      <w:pPr>
        <w:pStyle w:val="Heading2"/>
        <w:spacing w:line="360" w:lineRule="auto"/>
      </w:pPr>
      <w:bookmarkStart w:id="142" w:name="_Toc418857509"/>
      <w:bookmarkStart w:id="143" w:name="_Toc428195191"/>
      <w:r>
        <w:t>Recommendations for future research</w:t>
      </w:r>
      <w:bookmarkEnd w:id="142"/>
      <w:bookmarkEnd w:id="143"/>
    </w:p>
    <w:p w:rsidR="006A57B2" w:rsidRDefault="006A57B2" w:rsidP="00B22173">
      <w:pPr>
        <w:spacing w:line="360" w:lineRule="auto"/>
        <w:rPr>
          <w:lang w:eastAsia="en-GB"/>
        </w:rPr>
      </w:pPr>
      <w:r w:rsidRPr="00EF01A7">
        <w:rPr>
          <w:rFonts w:eastAsia="Times New Roman"/>
          <w:lang w:eastAsia="en-GB"/>
        </w:rPr>
        <w:t>Implementation strategies to promote adoption of impregnated CVCs across the NHS should be developed and could be monitored through continued l</w:t>
      </w:r>
      <w:r>
        <w:rPr>
          <w:lang w:eastAsia="en-GB"/>
        </w:rPr>
        <w:t xml:space="preserve">inkage of electronic healthcare data and information on PICU practice. Such monitoring could allow routine feedback to PICUs and could be enhanced by routine capture of CVC insertion and removal dates in hospital records. </w:t>
      </w:r>
    </w:p>
    <w:p w:rsidR="006A57B2" w:rsidRDefault="006A57B2" w:rsidP="00B22173">
      <w:pPr>
        <w:spacing w:line="360" w:lineRule="auto"/>
        <w:rPr>
          <w:lang w:eastAsia="en-GB"/>
        </w:rPr>
      </w:pPr>
      <w:r>
        <w:rPr>
          <w:lang w:eastAsia="en-GB"/>
        </w:rPr>
        <w:t xml:space="preserve">We do not recommend any further trials of antibiotic-impregnated or heparin-bonded CVCs versus standard CVCs for children or adults in intensive care. However, further trials could be justified to determine </w:t>
      </w:r>
      <w:r w:rsidRPr="00EF01A7">
        <w:rPr>
          <w:rFonts w:eastAsia="Times New Roman"/>
          <w:lang w:eastAsia="en-GB"/>
        </w:rPr>
        <w:t xml:space="preserve">whether antibiotic CVCs would be similarly effective in preterm neonates </w:t>
      </w:r>
      <w:r>
        <w:rPr>
          <w:rFonts w:eastAsia="Times New Roman"/>
          <w:lang w:eastAsia="en-GB"/>
        </w:rPr>
        <w:t xml:space="preserve">(for whom smaller line sizes are required, with potentially different mechanisms for BSI) </w:t>
      </w:r>
      <w:r w:rsidRPr="00EF01A7">
        <w:rPr>
          <w:rFonts w:eastAsia="Times New Roman"/>
          <w:lang w:eastAsia="en-GB"/>
        </w:rPr>
        <w:t>or in those with long-term CVCs</w:t>
      </w:r>
      <w:r>
        <w:rPr>
          <w:rFonts w:eastAsia="Times New Roman"/>
          <w:lang w:eastAsia="en-GB"/>
        </w:rPr>
        <w:t xml:space="preserve"> (to determine whether the effect of impregnation remains for longer periods)</w:t>
      </w:r>
      <w:r w:rsidRPr="00EF01A7">
        <w:rPr>
          <w:rFonts w:eastAsia="Times New Roman"/>
          <w:lang w:eastAsia="en-GB"/>
        </w:rPr>
        <w:t>.</w:t>
      </w:r>
      <w:r>
        <w:rPr>
          <w:lang w:eastAsia="en-GB"/>
        </w:rPr>
        <w:t xml:space="preserve"> The NHS should work with industry to evaluate different types of impregnation for specific patient groups.</w:t>
      </w:r>
    </w:p>
    <w:p w:rsidR="006A57B2" w:rsidRDefault="006A57B2" w:rsidP="00B22173">
      <w:pPr>
        <w:spacing w:line="360" w:lineRule="auto"/>
        <w:rPr>
          <w:lang w:eastAsia="en-GB"/>
        </w:rPr>
      </w:pPr>
      <w:r>
        <w:rPr>
          <w:lang w:eastAsia="en-GB"/>
        </w:rPr>
        <w:t xml:space="preserve">Use of linked administrative data should be considered for future trials of interventions in contexts where outcomes are likely </w:t>
      </w:r>
      <w:r w:rsidRPr="00133308">
        <w:rPr>
          <w:lang w:eastAsia="en-GB"/>
        </w:rPr>
        <w:t>to change substantially over the lifetime of the trial, and to monitor implementation of effective interventions.</w:t>
      </w:r>
      <w:r w:rsidRPr="00607F48">
        <w:rPr>
          <w:noProof/>
          <w:vertAlign w:val="superscript"/>
          <w:lang w:eastAsia="en-GB"/>
        </w:rPr>
        <w:t>117</w:t>
      </w:r>
    </w:p>
    <w:p w:rsidR="006A57B2" w:rsidRDefault="006A57B2" w:rsidP="00B22173">
      <w:pPr>
        <w:spacing w:line="360" w:lineRule="auto"/>
      </w:pPr>
    </w:p>
    <w:p w:rsidR="006A57B2" w:rsidRPr="00467AB3" w:rsidRDefault="006A57B2" w:rsidP="00B22173">
      <w:pPr>
        <w:sectPr w:rsidR="006A57B2" w:rsidRPr="00467AB3" w:rsidSect="00BE078C">
          <w:headerReference w:type="default" r:id="rId22"/>
          <w:footerReference w:type="default" r:id="rId23"/>
          <w:pgSz w:w="11906" w:h="16838"/>
          <w:pgMar w:top="1440" w:right="1440" w:bottom="1440" w:left="1440" w:header="709" w:footer="709" w:gutter="0"/>
          <w:cols w:space="708"/>
          <w:docGrid w:linePitch="360"/>
        </w:sectPr>
      </w:pPr>
    </w:p>
    <w:p w:rsidR="006A57B2" w:rsidRDefault="006A57B2" w:rsidP="00B22173">
      <w:pPr>
        <w:pStyle w:val="Heading1"/>
      </w:pPr>
      <w:bookmarkStart w:id="144" w:name="_Toc418857510"/>
      <w:bookmarkStart w:id="145" w:name="_Toc428195192"/>
      <w:r>
        <w:t>REFERENCES</w:t>
      </w:r>
      <w:bookmarkEnd w:id="144"/>
      <w:bookmarkEnd w:id="145"/>
    </w:p>
    <w:p w:rsidR="006A57B2" w:rsidRPr="00E075A0" w:rsidRDefault="006A57B2" w:rsidP="00E075A0">
      <w:pPr>
        <w:pStyle w:val="EndNoteBibliography"/>
        <w:spacing w:after="0"/>
        <w:ind w:left="720" w:hanging="720"/>
      </w:pPr>
      <w:bookmarkStart w:id="146" w:name="_ENREF_1"/>
      <w:r w:rsidRPr="00E075A0">
        <w:t>1.</w:t>
      </w:r>
      <w:r w:rsidRPr="00E075A0">
        <w:tab/>
        <w:t xml:space="preserve">Wang, H., et al., </w:t>
      </w:r>
      <w:r w:rsidRPr="00E075A0">
        <w:rPr>
          <w:i/>
        </w:rPr>
        <w:t>Effectiveness of different central venous catheters for catheter-related infections: a network meta-analysis.</w:t>
      </w:r>
      <w:r w:rsidRPr="00E075A0">
        <w:t xml:space="preserve"> J Hosp Infect, 2010. </w:t>
      </w:r>
      <w:r w:rsidRPr="00E075A0">
        <w:rPr>
          <w:b/>
        </w:rPr>
        <w:t>76</w:t>
      </w:r>
      <w:r w:rsidRPr="00E075A0">
        <w:t>(1): p. 1-11.</w:t>
      </w:r>
      <w:bookmarkEnd w:id="146"/>
    </w:p>
    <w:p w:rsidR="006A57B2" w:rsidRPr="00E075A0" w:rsidRDefault="006A57B2" w:rsidP="00E075A0">
      <w:pPr>
        <w:pStyle w:val="EndNoteBibliography"/>
        <w:spacing w:after="0"/>
        <w:ind w:left="720" w:hanging="720"/>
      </w:pPr>
      <w:bookmarkStart w:id="147" w:name="_ENREF_2"/>
      <w:r w:rsidRPr="00E075A0">
        <w:t>2.</w:t>
      </w:r>
      <w:r w:rsidRPr="00E075A0">
        <w:tab/>
        <w:t xml:space="preserve">Falagas, M.E., et al., </w:t>
      </w:r>
      <w:r w:rsidRPr="00E075A0">
        <w:rPr>
          <w:i/>
        </w:rPr>
        <w:t>Rifampicin-impregnated central venous catheters: a meta-analysis of randomized controlled trials.</w:t>
      </w:r>
      <w:r w:rsidRPr="00E075A0">
        <w:t xml:space="preserve"> J Antimicrob Chemoth, 2007. </w:t>
      </w:r>
      <w:r w:rsidRPr="00E075A0">
        <w:rPr>
          <w:b/>
        </w:rPr>
        <w:t>59</w:t>
      </w:r>
      <w:r w:rsidRPr="00E075A0">
        <w:t>(3): p. 359-369.</w:t>
      </w:r>
      <w:bookmarkEnd w:id="147"/>
    </w:p>
    <w:p w:rsidR="006A57B2" w:rsidRPr="00E075A0" w:rsidRDefault="006A57B2" w:rsidP="00E075A0">
      <w:pPr>
        <w:pStyle w:val="EndNoteBibliography"/>
        <w:spacing w:after="0"/>
        <w:ind w:left="720" w:hanging="720"/>
      </w:pPr>
      <w:bookmarkStart w:id="148" w:name="_ENREF_3"/>
      <w:r w:rsidRPr="00E075A0">
        <w:t>3.</w:t>
      </w:r>
      <w:r w:rsidRPr="00E075A0">
        <w:tab/>
        <w:t xml:space="preserve">Gilbert, R. and M. Harden, </w:t>
      </w:r>
      <w:r w:rsidRPr="00E075A0">
        <w:rPr>
          <w:i/>
        </w:rPr>
        <w:t>Effectiveness of impregnated central venous catheters for catheter related blood stream infection: a systematic review.</w:t>
      </w:r>
      <w:r w:rsidRPr="00E075A0">
        <w:t xml:space="preserve"> Curr Opin Infect Dis, 2008. </w:t>
      </w:r>
      <w:r w:rsidRPr="00E075A0">
        <w:rPr>
          <w:b/>
        </w:rPr>
        <w:t>21</w:t>
      </w:r>
      <w:r w:rsidRPr="00E075A0">
        <w:t>(3): p. 235-245.</w:t>
      </w:r>
      <w:bookmarkEnd w:id="148"/>
    </w:p>
    <w:p w:rsidR="006A57B2" w:rsidRPr="00E075A0" w:rsidRDefault="006A57B2" w:rsidP="00E075A0">
      <w:pPr>
        <w:pStyle w:val="EndNoteBibliography"/>
        <w:spacing w:after="0"/>
        <w:ind w:left="720" w:hanging="720"/>
      </w:pPr>
      <w:bookmarkStart w:id="149" w:name="_ENREF_4"/>
      <w:r w:rsidRPr="00E075A0">
        <w:t>4.</w:t>
      </w:r>
      <w:r w:rsidRPr="00E075A0">
        <w:tab/>
        <w:t xml:space="preserve">O'Grady, N., et al., </w:t>
      </w:r>
      <w:r w:rsidRPr="00E075A0">
        <w:rPr>
          <w:i/>
        </w:rPr>
        <w:t>Guidelines for the prevention of intravascular catheter-related infections.</w:t>
      </w:r>
      <w:r w:rsidRPr="00E075A0">
        <w:t xml:space="preserve"> Am Acad Pediatr Policy, 2002. </w:t>
      </w:r>
      <w:r w:rsidRPr="00E075A0">
        <w:rPr>
          <w:b/>
        </w:rPr>
        <w:t>110</w:t>
      </w:r>
      <w:r w:rsidRPr="00E075A0">
        <w:t>(5): p. e51-e74.</w:t>
      </w:r>
      <w:bookmarkEnd w:id="149"/>
    </w:p>
    <w:p w:rsidR="006A57B2" w:rsidRPr="00E075A0" w:rsidRDefault="006A57B2" w:rsidP="00E075A0">
      <w:pPr>
        <w:pStyle w:val="EndNoteBibliography"/>
        <w:spacing w:after="0"/>
        <w:ind w:left="720" w:hanging="720"/>
      </w:pPr>
      <w:bookmarkStart w:id="150" w:name="_ENREF_5"/>
      <w:r w:rsidRPr="00E075A0">
        <w:t>5.</w:t>
      </w:r>
      <w:r w:rsidRPr="00E075A0">
        <w:tab/>
        <w:t xml:space="preserve">Pellowe, C., et al., </w:t>
      </w:r>
      <w:r w:rsidRPr="00E075A0">
        <w:rPr>
          <w:i/>
        </w:rPr>
        <w:t>The epic project. Updating the evidence-base for national evidence-based guidelines for preventing healthcare-associated infections in NHS hospitals in England: a report with recommendations.</w:t>
      </w:r>
      <w:r w:rsidRPr="00E075A0">
        <w:t xml:space="preserve"> J Hosp Infect, 2005. </w:t>
      </w:r>
      <w:r w:rsidRPr="00E075A0">
        <w:rPr>
          <w:b/>
        </w:rPr>
        <w:t>5</w:t>
      </w:r>
      <w:r w:rsidRPr="00E075A0">
        <w:t>(6): p. 10.</w:t>
      </w:r>
      <w:bookmarkEnd w:id="150"/>
    </w:p>
    <w:p w:rsidR="006A57B2" w:rsidRPr="00E075A0" w:rsidRDefault="006A57B2" w:rsidP="00E075A0">
      <w:pPr>
        <w:pStyle w:val="EndNoteBibliography"/>
        <w:spacing w:after="0"/>
        <w:ind w:left="720" w:hanging="720"/>
      </w:pPr>
      <w:bookmarkStart w:id="151" w:name="_ENREF_6"/>
      <w:r w:rsidRPr="00E075A0">
        <w:t>6.</w:t>
      </w:r>
      <w:r w:rsidRPr="00E075A0">
        <w:tab/>
        <w:t xml:space="preserve">Raad, I., H. Hanna, and D. Maki, </w:t>
      </w:r>
      <w:r w:rsidRPr="00E075A0">
        <w:rPr>
          <w:i/>
        </w:rPr>
        <w:t>Intravascular catheter-related infections: advances in diagnosis, prevention, and management.</w:t>
      </w:r>
      <w:r w:rsidRPr="00E075A0">
        <w:t xml:space="preserve"> Lancet Infect Dis, 2007. </w:t>
      </w:r>
      <w:r w:rsidRPr="00E075A0">
        <w:rPr>
          <w:b/>
        </w:rPr>
        <w:t>7</w:t>
      </w:r>
      <w:r w:rsidRPr="00E075A0">
        <w:t>(10): p. 645-657.</w:t>
      </w:r>
      <w:bookmarkEnd w:id="151"/>
    </w:p>
    <w:p w:rsidR="006A57B2" w:rsidRPr="00E075A0" w:rsidRDefault="006A57B2" w:rsidP="00E075A0">
      <w:pPr>
        <w:pStyle w:val="EndNoteBibliography"/>
        <w:spacing w:after="0"/>
        <w:ind w:left="720" w:hanging="720"/>
      </w:pPr>
      <w:bookmarkStart w:id="152" w:name="_ENREF_7"/>
      <w:r w:rsidRPr="00E075A0">
        <w:t>7.</w:t>
      </w:r>
      <w:r w:rsidRPr="00E075A0">
        <w:tab/>
        <w:t xml:space="preserve">Costello, J., et al., </w:t>
      </w:r>
      <w:r w:rsidRPr="00E075A0">
        <w:rPr>
          <w:i/>
        </w:rPr>
        <w:t>Risk factors for central line-associated bloodstream infection in a pediatric cardiac intensive care unit.</w:t>
      </w:r>
      <w:r w:rsidRPr="00E075A0">
        <w:t xml:space="preserve"> Pediatr Crit Care Med, 2009. </w:t>
      </w:r>
      <w:r w:rsidRPr="00E075A0">
        <w:rPr>
          <w:b/>
        </w:rPr>
        <w:t>10</w:t>
      </w:r>
      <w:r w:rsidRPr="00E075A0">
        <w:t>(4): p. 453-9.</w:t>
      </w:r>
      <w:bookmarkEnd w:id="152"/>
    </w:p>
    <w:p w:rsidR="006A57B2" w:rsidRPr="00E075A0" w:rsidRDefault="006A57B2" w:rsidP="00E075A0">
      <w:pPr>
        <w:pStyle w:val="EndNoteBibliography"/>
        <w:spacing w:after="0"/>
        <w:ind w:left="720" w:hanging="720"/>
      </w:pPr>
      <w:bookmarkStart w:id="153" w:name="_ENREF_8"/>
      <w:r w:rsidRPr="00E075A0">
        <w:t>8.</w:t>
      </w:r>
      <w:r w:rsidRPr="00E075A0">
        <w:tab/>
        <w:t xml:space="preserve">Mello, M., et al., </w:t>
      </w:r>
      <w:r w:rsidRPr="00E075A0">
        <w:rPr>
          <w:i/>
        </w:rPr>
        <w:t>Risk factors for healthcare-associated infection in pediatric intensive care units: a systematic review.</w:t>
      </w:r>
      <w:r w:rsidRPr="00E075A0">
        <w:t xml:space="preserve"> Cadernos de Saúde Pública, 2009. </w:t>
      </w:r>
      <w:r w:rsidRPr="00E075A0">
        <w:rPr>
          <w:b/>
        </w:rPr>
        <w:t>25</w:t>
      </w:r>
      <w:r w:rsidRPr="00E075A0">
        <w:t>: p. 373-391.</w:t>
      </w:r>
      <w:bookmarkEnd w:id="153"/>
    </w:p>
    <w:p w:rsidR="006A57B2" w:rsidRPr="00E075A0" w:rsidRDefault="006A57B2" w:rsidP="00E075A0">
      <w:pPr>
        <w:pStyle w:val="EndNoteBibliography"/>
        <w:spacing w:after="0"/>
        <w:ind w:left="720" w:hanging="720"/>
      </w:pPr>
      <w:bookmarkStart w:id="154" w:name="_ENREF_9"/>
      <w:r w:rsidRPr="00E075A0">
        <w:t>9.</w:t>
      </w:r>
      <w:r w:rsidRPr="00E075A0">
        <w:tab/>
        <w:t xml:space="preserve">Milstone, A.M. and A. Sengupta, </w:t>
      </w:r>
      <w:r w:rsidRPr="00E075A0">
        <w:rPr>
          <w:i/>
        </w:rPr>
        <w:t>Do prolonged peripherally inserted central venous catheter dwell times increase the risk of bloodstream infection?</w:t>
      </w:r>
      <w:r w:rsidRPr="00E075A0">
        <w:t xml:space="preserve"> Infect Control Hosp Epidemiol, 2010. </w:t>
      </w:r>
      <w:r w:rsidRPr="00E075A0">
        <w:rPr>
          <w:b/>
        </w:rPr>
        <w:t>31</w:t>
      </w:r>
      <w:r w:rsidRPr="00E075A0">
        <w:t>(11): p. 1184-1187.</w:t>
      </w:r>
      <w:bookmarkEnd w:id="154"/>
    </w:p>
    <w:p w:rsidR="006A57B2" w:rsidRPr="00E075A0" w:rsidRDefault="006A57B2" w:rsidP="00E075A0">
      <w:pPr>
        <w:pStyle w:val="EndNoteBibliography"/>
        <w:spacing w:after="0"/>
        <w:ind w:left="720" w:hanging="720"/>
      </w:pPr>
      <w:bookmarkStart w:id="155" w:name="_ENREF_10"/>
      <w:r w:rsidRPr="00E075A0">
        <w:t>10.</w:t>
      </w:r>
      <w:r w:rsidRPr="00E075A0">
        <w:tab/>
        <w:t xml:space="preserve">Niedner, M.F., et al., </w:t>
      </w:r>
      <w:r w:rsidRPr="00E075A0">
        <w:rPr>
          <w:i/>
        </w:rPr>
        <w:t>Epidemiology of central line-associated bloodstream infections in the pediatric intensive care unit.</w:t>
      </w:r>
      <w:r w:rsidRPr="00E075A0">
        <w:t xml:space="preserve"> Infect Control Hosp Epidemiol, 2011. </w:t>
      </w:r>
      <w:r w:rsidRPr="00E075A0">
        <w:rPr>
          <w:b/>
        </w:rPr>
        <w:t>32</w:t>
      </w:r>
      <w:r w:rsidRPr="00E075A0">
        <w:t>(12): p. 1200.</w:t>
      </w:r>
      <w:bookmarkEnd w:id="155"/>
    </w:p>
    <w:p w:rsidR="006A57B2" w:rsidRPr="00E075A0" w:rsidRDefault="006A57B2" w:rsidP="00E075A0">
      <w:pPr>
        <w:pStyle w:val="EndNoteBibliography"/>
        <w:spacing w:after="0"/>
        <w:ind w:left="720" w:hanging="720"/>
      </w:pPr>
      <w:bookmarkStart w:id="156" w:name="_ENREF_11"/>
      <w:r w:rsidRPr="00E075A0">
        <w:t>11.</w:t>
      </w:r>
      <w:r w:rsidRPr="00E075A0">
        <w:tab/>
        <w:t xml:space="preserve">Wylie, M.C., et al., </w:t>
      </w:r>
      <w:r w:rsidRPr="00E075A0">
        <w:rPr>
          <w:i/>
        </w:rPr>
        <w:t>Risk factors for central line–associated bloodstream infection in pediatric intensive care units.</w:t>
      </w:r>
      <w:r w:rsidRPr="00E075A0">
        <w:t xml:space="preserve"> Infect Control Hosp Epidemiol, 2010. </w:t>
      </w:r>
      <w:r w:rsidRPr="00E075A0">
        <w:rPr>
          <w:b/>
        </w:rPr>
        <w:t>31</w:t>
      </w:r>
      <w:r w:rsidRPr="00E075A0">
        <w:t>(10): p. 1049-1056.</w:t>
      </w:r>
      <w:bookmarkEnd w:id="156"/>
    </w:p>
    <w:p w:rsidR="006A57B2" w:rsidRPr="00E075A0" w:rsidRDefault="006A57B2" w:rsidP="00E075A0">
      <w:pPr>
        <w:pStyle w:val="EndNoteBibliography"/>
        <w:spacing w:after="0"/>
        <w:ind w:left="720" w:hanging="720"/>
      </w:pPr>
      <w:bookmarkStart w:id="157" w:name="_ENREF_12"/>
      <w:r w:rsidRPr="00E075A0">
        <w:t>12.</w:t>
      </w:r>
      <w:r w:rsidRPr="00E075A0">
        <w:tab/>
        <w:t xml:space="preserve">Bhutta, A., et al., </w:t>
      </w:r>
      <w:r w:rsidRPr="00E075A0">
        <w:rPr>
          <w:i/>
        </w:rPr>
        <w:t>Reduction of bloodstream infections associated with catheters in paediatric intensive care unit: stepwise approach.</w:t>
      </w:r>
      <w:r w:rsidRPr="00E075A0">
        <w:t xml:space="preserve"> BMJ, 2007. </w:t>
      </w:r>
      <w:r w:rsidRPr="00E075A0">
        <w:rPr>
          <w:b/>
        </w:rPr>
        <w:t>334</w:t>
      </w:r>
      <w:r w:rsidRPr="00E075A0">
        <w:t>(7589): p. 362-365.</w:t>
      </w:r>
      <w:bookmarkEnd w:id="157"/>
    </w:p>
    <w:p w:rsidR="006A57B2" w:rsidRPr="00E075A0" w:rsidRDefault="006A57B2" w:rsidP="00E075A0">
      <w:pPr>
        <w:pStyle w:val="EndNoteBibliography"/>
        <w:spacing w:after="0"/>
        <w:ind w:left="720" w:hanging="720"/>
      </w:pPr>
      <w:bookmarkStart w:id="158" w:name="_ENREF_13"/>
      <w:r w:rsidRPr="00E075A0">
        <w:t>13.</w:t>
      </w:r>
      <w:r w:rsidRPr="00E075A0">
        <w:tab/>
        <w:t xml:space="preserve">Miller, M.R., et al., </w:t>
      </w:r>
      <w:r w:rsidRPr="00E075A0">
        <w:rPr>
          <w:i/>
        </w:rPr>
        <w:t>Decreasing PICU catheter-associated bloodstream infections: NACHRI's quality transformation efforts.</w:t>
      </w:r>
      <w:r w:rsidRPr="00E075A0">
        <w:t xml:space="preserve"> Pediatrics, 2010. </w:t>
      </w:r>
      <w:r w:rsidRPr="00E075A0">
        <w:rPr>
          <w:b/>
        </w:rPr>
        <w:t>125</w:t>
      </w:r>
      <w:r w:rsidRPr="00E075A0">
        <w:t>(2): p. 206-213.</w:t>
      </w:r>
      <w:bookmarkEnd w:id="158"/>
    </w:p>
    <w:p w:rsidR="006A57B2" w:rsidRPr="00E075A0" w:rsidRDefault="006A57B2" w:rsidP="00E075A0">
      <w:pPr>
        <w:pStyle w:val="EndNoteBibliography"/>
        <w:spacing w:after="0"/>
        <w:ind w:left="720" w:hanging="720"/>
      </w:pPr>
      <w:bookmarkStart w:id="159" w:name="_ENREF_14"/>
      <w:r w:rsidRPr="00E075A0">
        <w:t>14.</w:t>
      </w:r>
      <w:r w:rsidRPr="00E075A0">
        <w:tab/>
        <w:t xml:space="preserve">Pronovost, P., et al., </w:t>
      </w:r>
      <w:r w:rsidRPr="00E075A0">
        <w:rPr>
          <w:i/>
        </w:rPr>
        <w:t>Sustaining reductions in catheter related bloodstream infections in Michigan intensive care units: observational study.</w:t>
      </w:r>
      <w:r w:rsidRPr="00E075A0">
        <w:t xml:space="preserve"> BMJ, 2010. </w:t>
      </w:r>
      <w:r w:rsidRPr="00E075A0">
        <w:rPr>
          <w:b/>
        </w:rPr>
        <w:t>340</w:t>
      </w:r>
      <w:r w:rsidRPr="00E075A0">
        <w:t>(feb04 1): p. c309.</w:t>
      </w:r>
      <w:bookmarkEnd w:id="159"/>
    </w:p>
    <w:p w:rsidR="006A57B2" w:rsidRPr="00E075A0" w:rsidRDefault="006A57B2" w:rsidP="00E075A0">
      <w:pPr>
        <w:pStyle w:val="EndNoteBibliography"/>
        <w:spacing w:after="0"/>
        <w:ind w:left="720" w:hanging="720"/>
      </w:pPr>
      <w:bookmarkStart w:id="160" w:name="_ENREF_15"/>
      <w:r w:rsidRPr="00E075A0">
        <w:t>15.</w:t>
      </w:r>
      <w:r w:rsidRPr="00E075A0">
        <w:tab/>
        <w:t xml:space="preserve">Bion, J., et al., </w:t>
      </w:r>
      <w:r w:rsidRPr="00E075A0">
        <w:rPr>
          <w:i/>
        </w:rPr>
        <w:t>‘Matching Michigan’: a 2-year stepped interventional programme to minimise central venous catheter-blood stream infections in intensive care units in England.</w:t>
      </w:r>
      <w:r w:rsidRPr="00E075A0">
        <w:t xml:space="preserve"> BMJ Qual Saf, 2012. </w:t>
      </w:r>
      <w:r w:rsidRPr="00E075A0">
        <w:rPr>
          <w:b/>
        </w:rPr>
        <w:t>22</w:t>
      </w:r>
      <w:r w:rsidRPr="00E075A0">
        <w:t>(2): p. 110-23.</w:t>
      </w:r>
      <w:bookmarkEnd w:id="160"/>
    </w:p>
    <w:p w:rsidR="006A57B2" w:rsidRPr="00E075A0" w:rsidRDefault="006A57B2" w:rsidP="00E075A0">
      <w:pPr>
        <w:pStyle w:val="EndNoteBibliography"/>
        <w:spacing w:after="0"/>
        <w:ind w:left="720" w:hanging="720"/>
      </w:pPr>
      <w:bookmarkStart w:id="161" w:name="_ENREF_16"/>
      <w:r w:rsidRPr="00E075A0">
        <w:t>16.</w:t>
      </w:r>
      <w:r w:rsidRPr="00E075A0">
        <w:tab/>
        <w:t xml:space="preserve">Department of Health, </w:t>
      </w:r>
      <w:r w:rsidRPr="00E075A0">
        <w:rPr>
          <w:i/>
        </w:rPr>
        <w:t>Saving Lives: reducing infection, delivering clean and safe care</w:t>
      </w:r>
      <w:r w:rsidRPr="00E075A0">
        <w:t xml:space="preserve">. 2007, Department of Health, London </w:t>
      </w:r>
      <w:bookmarkEnd w:id="161"/>
    </w:p>
    <w:p w:rsidR="006A57B2" w:rsidRPr="00E075A0" w:rsidRDefault="006A57B2" w:rsidP="00E075A0">
      <w:pPr>
        <w:pStyle w:val="EndNoteBibliography"/>
        <w:spacing w:after="0"/>
        <w:ind w:left="720" w:hanging="720"/>
      </w:pPr>
      <w:bookmarkStart w:id="162" w:name="_ENREF_17"/>
      <w:r w:rsidRPr="00E075A0">
        <w:t>17.</w:t>
      </w:r>
      <w:r w:rsidRPr="00E075A0">
        <w:tab/>
        <w:t xml:space="preserve">Jeong, I.S., et al., </w:t>
      </w:r>
      <w:r w:rsidRPr="00E075A0">
        <w:rPr>
          <w:i/>
        </w:rPr>
        <w:t>Effect of central line bundle on central line-associated bloodstream infections in intensive care units.</w:t>
      </w:r>
      <w:r w:rsidRPr="00E075A0">
        <w:t xml:space="preserve"> Am J Infec Control, 2013. </w:t>
      </w:r>
      <w:r w:rsidRPr="00E075A0">
        <w:rPr>
          <w:b/>
        </w:rPr>
        <w:t>41</w:t>
      </w:r>
      <w:r w:rsidRPr="00E075A0">
        <w:t>(8): p. 710-716.</w:t>
      </w:r>
      <w:bookmarkEnd w:id="162"/>
    </w:p>
    <w:p w:rsidR="006A57B2" w:rsidRPr="00E075A0" w:rsidRDefault="006A57B2" w:rsidP="00E075A0">
      <w:pPr>
        <w:pStyle w:val="EndNoteBibliography"/>
        <w:spacing w:after="0"/>
        <w:ind w:left="720" w:hanging="720"/>
      </w:pPr>
      <w:bookmarkStart w:id="163" w:name="_ENREF_18"/>
      <w:r w:rsidRPr="00E075A0">
        <w:t>18.</w:t>
      </w:r>
      <w:r w:rsidRPr="00E075A0">
        <w:tab/>
        <w:t xml:space="preserve">Pronovost, P., et al., </w:t>
      </w:r>
      <w:r w:rsidRPr="00E075A0">
        <w:rPr>
          <w:i/>
        </w:rPr>
        <w:t>An intervention to decrease catheter-related bloodstream infections in the ICU.</w:t>
      </w:r>
      <w:r w:rsidRPr="00E075A0">
        <w:t xml:space="preserve"> New Engl J Med, 2006. </w:t>
      </w:r>
      <w:r w:rsidRPr="00E075A0">
        <w:rPr>
          <w:b/>
        </w:rPr>
        <w:t>355</w:t>
      </w:r>
      <w:r w:rsidRPr="00E075A0">
        <w:t>(26): p. 2725-2732.</w:t>
      </w:r>
      <w:bookmarkEnd w:id="163"/>
    </w:p>
    <w:p w:rsidR="006A57B2" w:rsidRPr="00E075A0" w:rsidRDefault="006A57B2" w:rsidP="00E075A0">
      <w:pPr>
        <w:pStyle w:val="EndNoteBibliography"/>
        <w:spacing w:after="0"/>
        <w:ind w:left="720" w:hanging="720"/>
      </w:pPr>
      <w:bookmarkStart w:id="164" w:name="_ENREF_19"/>
      <w:r w:rsidRPr="00E075A0">
        <w:t>19.</w:t>
      </w:r>
      <w:r w:rsidRPr="00E075A0">
        <w:tab/>
        <w:t xml:space="preserve">Reddy, K.K., et al., </w:t>
      </w:r>
      <w:r w:rsidRPr="00E075A0">
        <w:rPr>
          <w:i/>
        </w:rPr>
        <w:t>Reducing central line-associated bloodstream infections in three ICUs at a tertiary care hospital in the United Arab Emirates.</w:t>
      </w:r>
      <w:r w:rsidRPr="00E075A0">
        <w:t xml:space="preserve"> Jt Comm J Qual Patient Saf, 2014. </w:t>
      </w:r>
      <w:r w:rsidRPr="00E075A0">
        <w:rPr>
          <w:b/>
        </w:rPr>
        <w:t>40</w:t>
      </w:r>
      <w:r w:rsidRPr="00E075A0">
        <w:t>(12).</w:t>
      </w:r>
      <w:bookmarkEnd w:id="164"/>
    </w:p>
    <w:p w:rsidR="006A57B2" w:rsidRPr="00E075A0" w:rsidRDefault="006A57B2" w:rsidP="00E075A0">
      <w:pPr>
        <w:pStyle w:val="EndNoteBibliography"/>
        <w:spacing w:after="0"/>
        <w:ind w:left="720" w:hanging="720"/>
      </w:pPr>
      <w:bookmarkStart w:id="165" w:name="_ENREF_20"/>
      <w:r w:rsidRPr="00E075A0">
        <w:t>20.</w:t>
      </w:r>
      <w:r w:rsidRPr="00E075A0">
        <w:tab/>
        <w:t xml:space="preserve">Zuschneid, I., et al., </w:t>
      </w:r>
      <w:r w:rsidRPr="00E075A0">
        <w:rPr>
          <w:i/>
        </w:rPr>
        <w:t>Reducing central venous catheter-associated primary bloodstream infections in intensive care units is possible: data from the German nosocomial infection surveillance system.</w:t>
      </w:r>
      <w:r w:rsidRPr="00E075A0">
        <w:t xml:space="preserve"> Infect Control Hosp Epidemiol, 2003. </w:t>
      </w:r>
      <w:r w:rsidRPr="00E075A0">
        <w:rPr>
          <w:b/>
        </w:rPr>
        <w:t>24</w:t>
      </w:r>
      <w:r w:rsidRPr="00E075A0">
        <w:t>(7): p. 501-505.</w:t>
      </w:r>
      <w:bookmarkEnd w:id="165"/>
    </w:p>
    <w:p w:rsidR="006A57B2" w:rsidRPr="00E075A0" w:rsidRDefault="006A57B2" w:rsidP="00E075A0">
      <w:pPr>
        <w:pStyle w:val="EndNoteBibliography"/>
        <w:spacing w:after="0"/>
        <w:ind w:left="720" w:hanging="720"/>
      </w:pPr>
      <w:bookmarkStart w:id="166" w:name="_ENREF_21"/>
      <w:r w:rsidRPr="00E075A0">
        <w:t>21.</w:t>
      </w:r>
      <w:r w:rsidRPr="00E075A0">
        <w:tab/>
        <w:t xml:space="preserve">Abou Elella, R., et al., </w:t>
      </w:r>
      <w:r w:rsidRPr="00E075A0">
        <w:rPr>
          <w:i/>
        </w:rPr>
        <w:t>Impact of bloodstream infection on the outcome of children undergoing cardiac surgery.</w:t>
      </w:r>
      <w:r w:rsidRPr="00E075A0">
        <w:t xml:space="preserve"> Pediatr Cardiol, 2010. </w:t>
      </w:r>
      <w:r w:rsidRPr="00E075A0">
        <w:rPr>
          <w:b/>
        </w:rPr>
        <w:t>31</w:t>
      </w:r>
      <w:r w:rsidRPr="00E075A0">
        <w:t>(4): p. 483-489.</w:t>
      </w:r>
      <w:bookmarkEnd w:id="166"/>
    </w:p>
    <w:p w:rsidR="006A57B2" w:rsidRPr="00E075A0" w:rsidRDefault="006A57B2" w:rsidP="00E075A0">
      <w:pPr>
        <w:pStyle w:val="EndNoteBibliography"/>
        <w:spacing w:after="0"/>
        <w:ind w:left="720" w:hanging="720"/>
      </w:pPr>
      <w:bookmarkStart w:id="167" w:name="_ENREF_22"/>
      <w:r w:rsidRPr="00E075A0">
        <w:t>22.</w:t>
      </w:r>
      <w:r w:rsidRPr="00E075A0">
        <w:tab/>
        <w:t xml:space="preserve">Elward AM, et al., </w:t>
      </w:r>
      <w:r w:rsidRPr="00E075A0">
        <w:rPr>
          <w:i/>
        </w:rPr>
        <w:t>Attributable cost of nosocomial primary bloodstream infection in pediatric intensive care unit patients.</w:t>
      </w:r>
      <w:r w:rsidRPr="00E075A0">
        <w:t xml:space="preserve"> Pediatrics, 2005. </w:t>
      </w:r>
      <w:r w:rsidRPr="00E075A0">
        <w:rPr>
          <w:b/>
        </w:rPr>
        <w:t>115</w:t>
      </w:r>
      <w:r w:rsidRPr="00E075A0">
        <w:t>(4): p. 868-872.</w:t>
      </w:r>
      <w:bookmarkEnd w:id="167"/>
    </w:p>
    <w:p w:rsidR="006A57B2" w:rsidRPr="00E075A0" w:rsidRDefault="006A57B2" w:rsidP="00E075A0">
      <w:pPr>
        <w:pStyle w:val="EndNoteBibliography"/>
        <w:spacing w:after="0"/>
        <w:ind w:left="720" w:hanging="720"/>
      </w:pPr>
      <w:bookmarkStart w:id="168" w:name="_ENREF_23"/>
      <w:r w:rsidRPr="00E075A0">
        <w:t>23.</w:t>
      </w:r>
      <w:r w:rsidRPr="00E075A0">
        <w:tab/>
        <w:t xml:space="preserve">Lakshmi, K.S., et al., </w:t>
      </w:r>
      <w:r w:rsidRPr="00E075A0">
        <w:rPr>
          <w:i/>
        </w:rPr>
        <w:t>Study of nosocomial primary bloodstream infections in a Pediatric Intensive Care Unit.</w:t>
      </w:r>
      <w:r w:rsidRPr="00E075A0">
        <w:t xml:space="preserve"> J Trop Pediatr, 2007. </w:t>
      </w:r>
      <w:r w:rsidRPr="00E075A0">
        <w:rPr>
          <w:b/>
        </w:rPr>
        <w:t>53</w:t>
      </w:r>
      <w:r w:rsidRPr="00E075A0">
        <w:t>(2): p. 87-92.</w:t>
      </w:r>
      <w:bookmarkEnd w:id="168"/>
    </w:p>
    <w:p w:rsidR="006A57B2" w:rsidRPr="00E075A0" w:rsidRDefault="006A57B2" w:rsidP="00E075A0">
      <w:pPr>
        <w:pStyle w:val="EndNoteBibliography"/>
        <w:spacing w:after="0"/>
        <w:ind w:left="720" w:hanging="720"/>
      </w:pPr>
      <w:bookmarkStart w:id="169" w:name="_ENREF_24"/>
      <w:r w:rsidRPr="00E075A0">
        <w:t>24.</w:t>
      </w:r>
      <w:r w:rsidRPr="00E075A0">
        <w:tab/>
        <w:t xml:space="preserve">Yogaraj JS, Elward AM, and Fraser VJ, </w:t>
      </w:r>
      <w:r w:rsidRPr="00E075A0">
        <w:rPr>
          <w:i/>
        </w:rPr>
        <w:t>Rate, risk factors, and outcomes of nosocomial primary bloodstream infection in pediatric intensive care unit patients.</w:t>
      </w:r>
      <w:r w:rsidRPr="00E075A0">
        <w:t xml:space="preserve"> Pediatrics, 2002. </w:t>
      </w:r>
      <w:r w:rsidRPr="00E075A0">
        <w:rPr>
          <w:b/>
        </w:rPr>
        <w:t>110</w:t>
      </w:r>
      <w:r w:rsidRPr="00E075A0">
        <w:t>(3): p. 481-485.</w:t>
      </w:r>
      <w:bookmarkEnd w:id="169"/>
    </w:p>
    <w:p w:rsidR="006A57B2" w:rsidRPr="00E075A0" w:rsidRDefault="006A57B2" w:rsidP="00E075A0">
      <w:pPr>
        <w:pStyle w:val="EndNoteBibliography"/>
        <w:spacing w:after="0"/>
        <w:ind w:left="720" w:hanging="720"/>
      </w:pPr>
      <w:bookmarkStart w:id="170" w:name="_ENREF_25"/>
      <w:r w:rsidRPr="00E075A0">
        <w:t>25.</w:t>
      </w:r>
      <w:r w:rsidRPr="00E075A0">
        <w:tab/>
        <w:t xml:space="preserve">Dominguez, T.E., R. Chalom, and A.T.J. Costarino, </w:t>
      </w:r>
      <w:r w:rsidRPr="00E075A0">
        <w:rPr>
          <w:i/>
        </w:rPr>
        <w:t>The impact of adverse patient occurrences on hospital costs in the pediatric intensive care unit.</w:t>
      </w:r>
      <w:r w:rsidRPr="00E075A0">
        <w:t xml:space="preserve"> Crit Care Med, 2001. </w:t>
      </w:r>
      <w:r w:rsidRPr="00E075A0">
        <w:rPr>
          <w:b/>
        </w:rPr>
        <w:t>29</w:t>
      </w:r>
      <w:r w:rsidRPr="00E075A0">
        <w:t>(1): p. 169-174.</w:t>
      </w:r>
      <w:bookmarkEnd w:id="170"/>
    </w:p>
    <w:p w:rsidR="006A57B2" w:rsidRPr="00E075A0" w:rsidRDefault="006A57B2" w:rsidP="00E075A0">
      <w:pPr>
        <w:pStyle w:val="EndNoteBibliography"/>
        <w:spacing w:after="0"/>
        <w:ind w:left="720" w:hanging="720"/>
      </w:pPr>
      <w:bookmarkStart w:id="171" w:name="_ENREF_26"/>
      <w:r w:rsidRPr="00E075A0">
        <w:t>26.</w:t>
      </w:r>
      <w:r w:rsidRPr="00E075A0">
        <w:tab/>
        <w:t xml:space="preserve">Nowak, J.E., et al., </w:t>
      </w:r>
      <w:r w:rsidRPr="00E075A0">
        <w:rPr>
          <w:i/>
        </w:rPr>
        <w:t>Reducing catheter-associated bloodstream infections in the pediatric intensive care unit: Business case for quality improvement.</w:t>
      </w:r>
      <w:r w:rsidRPr="00E075A0">
        <w:t xml:space="preserve"> Pediatr Crit Care Med, 2010. </w:t>
      </w:r>
      <w:r w:rsidRPr="00E075A0">
        <w:rPr>
          <w:b/>
        </w:rPr>
        <w:t>11</w:t>
      </w:r>
      <w:r w:rsidRPr="00E075A0">
        <w:t>(5): p. 579-587.</w:t>
      </w:r>
      <w:bookmarkEnd w:id="171"/>
    </w:p>
    <w:p w:rsidR="006A57B2" w:rsidRPr="00E075A0" w:rsidRDefault="006A57B2" w:rsidP="00E075A0">
      <w:pPr>
        <w:pStyle w:val="EndNoteBibliography"/>
        <w:spacing w:after="0"/>
        <w:ind w:left="720" w:hanging="720"/>
      </w:pPr>
      <w:bookmarkStart w:id="172" w:name="_ENREF_27"/>
      <w:r w:rsidRPr="00E075A0">
        <w:t>27.</w:t>
      </w:r>
      <w:r w:rsidRPr="00E075A0">
        <w:tab/>
        <w:t xml:space="preserve">Slonim, A.D., et al., </w:t>
      </w:r>
      <w:r w:rsidRPr="00E075A0">
        <w:rPr>
          <w:i/>
        </w:rPr>
        <w:t>The costs associated with nosocomial bloodstream infections in the pediatric intensive care unit.</w:t>
      </w:r>
      <w:r w:rsidRPr="00E075A0">
        <w:t xml:space="preserve"> Pediatr Crit Care Med, 2001. </w:t>
      </w:r>
      <w:r w:rsidRPr="00E075A0">
        <w:rPr>
          <w:b/>
        </w:rPr>
        <w:t>2</w:t>
      </w:r>
      <w:r w:rsidRPr="00E075A0">
        <w:t>(2): p. 170-174.</w:t>
      </w:r>
      <w:bookmarkEnd w:id="172"/>
    </w:p>
    <w:p w:rsidR="006A57B2" w:rsidRPr="00E075A0" w:rsidRDefault="006A57B2" w:rsidP="00E075A0">
      <w:pPr>
        <w:pStyle w:val="EndNoteBibliography"/>
        <w:spacing w:after="0"/>
        <w:ind w:left="720" w:hanging="720"/>
      </w:pPr>
      <w:bookmarkStart w:id="173" w:name="_ENREF_28"/>
      <w:r w:rsidRPr="00E075A0">
        <w:t>28.</w:t>
      </w:r>
      <w:r w:rsidRPr="00E075A0">
        <w:tab/>
        <w:t xml:space="preserve">Health Protection Agency, </w:t>
      </w:r>
      <w:r w:rsidRPr="00E075A0">
        <w:rPr>
          <w:i/>
        </w:rPr>
        <w:t>English national point prevalence survey on healthcare-associated infections and antimicrobial use, 2011</w:t>
      </w:r>
      <w:r w:rsidRPr="00E075A0">
        <w:t xml:space="preserve">. 2012, </w:t>
      </w:r>
      <w:r w:rsidRPr="006A57B2">
        <w:t>www.gov.uk/government/publications/healthcare-associated-infections-hcai-point-prevalence-survey-england</w:t>
      </w:r>
      <w:r w:rsidRPr="00E075A0">
        <w:t xml:space="preserve"> (Accessed 06/10/14).</w:t>
      </w:r>
      <w:bookmarkEnd w:id="173"/>
    </w:p>
    <w:p w:rsidR="006A57B2" w:rsidRPr="00E075A0" w:rsidRDefault="006A57B2" w:rsidP="00E075A0">
      <w:pPr>
        <w:pStyle w:val="EndNoteBibliography"/>
        <w:spacing w:after="0"/>
        <w:ind w:left="720" w:hanging="720"/>
      </w:pPr>
      <w:bookmarkStart w:id="174" w:name="_ENREF_29"/>
      <w:r w:rsidRPr="00E075A0">
        <w:t>29.</w:t>
      </w:r>
      <w:r w:rsidRPr="00E075A0">
        <w:tab/>
        <w:t xml:space="preserve">Hockenhull, J., et al., </w:t>
      </w:r>
      <w:r w:rsidRPr="00E075A0">
        <w:rPr>
          <w:i/>
        </w:rPr>
        <w:t>The clinical effectiveness and cost-effectiveness of central venous catheters treated with anti-infective agents in preventing bloodstream infections: a systematic review and economic evaluation.</w:t>
      </w:r>
      <w:r w:rsidRPr="00E075A0">
        <w:t xml:space="preserve"> Health Technol Asses, 2008. </w:t>
      </w:r>
      <w:r w:rsidRPr="00E075A0">
        <w:rPr>
          <w:b/>
        </w:rPr>
        <w:t>12</w:t>
      </w:r>
      <w:r w:rsidRPr="00E075A0">
        <w:t>(12): p. 1-154.</w:t>
      </w:r>
      <w:bookmarkEnd w:id="174"/>
    </w:p>
    <w:p w:rsidR="006A57B2" w:rsidRPr="00E075A0" w:rsidRDefault="006A57B2" w:rsidP="00E075A0">
      <w:pPr>
        <w:pStyle w:val="EndNoteBibliography"/>
        <w:spacing w:after="0"/>
        <w:ind w:left="720" w:hanging="720"/>
      </w:pPr>
      <w:bookmarkStart w:id="175" w:name="_ENREF_30"/>
      <w:r w:rsidRPr="00E075A0">
        <w:t>30.</w:t>
      </w:r>
      <w:r w:rsidRPr="00E075A0">
        <w:tab/>
        <w:t xml:space="preserve">Lai, N.M., et al., </w:t>
      </w:r>
      <w:r w:rsidRPr="00E075A0">
        <w:rPr>
          <w:i/>
        </w:rPr>
        <w:t>Catheter impregnation, coating or bonding for reducing central venous catheter-related infections in adults.</w:t>
      </w:r>
      <w:r w:rsidRPr="00E075A0">
        <w:t xml:space="preserve"> Cochrane Database Syst Rev, 2013. </w:t>
      </w:r>
      <w:r w:rsidRPr="00E075A0">
        <w:rPr>
          <w:b/>
        </w:rPr>
        <w:t>6</w:t>
      </w:r>
      <w:r w:rsidRPr="00E075A0">
        <w:t>: p. CD007878.</w:t>
      </w:r>
      <w:bookmarkEnd w:id="175"/>
    </w:p>
    <w:p w:rsidR="006A57B2" w:rsidRPr="00E075A0" w:rsidRDefault="006A57B2" w:rsidP="00E075A0">
      <w:pPr>
        <w:pStyle w:val="EndNoteBibliography"/>
        <w:spacing w:after="0"/>
        <w:ind w:left="720" w:hanging="720"/>
      </w:pPr>
      <w:bookmarkStart w:id="176" w:name="_ENREF_31"/>
      <w:r w:rsidRPr="00E075A0">
        <w:t>31.</w:t>
      </w:r>
      <w:r w:rsidRPr="00E075A0">
        <w:tab/>
        <w:t xml:space="preserve">Gilbert R, et al., </w:t>
      </w:r>
      <w:r w:rsidRPr="00E075A0">
        <w:rPr>
          <w:i/>
        </w:rPr>
        <w:t>Impregnated central venous catheters should be readily used to reduce risk of bloodstream infection.</w:t>
      </w:r>
      <w:r w:rsidRPr="00E075A0">
        <w:t xml:space="preserve"> BMJ, 2013. </w:t>
      </w:r>
      <w:r w:rsidRPr="00E075A0">
        <w:rPr>
          <w:b/>
        </w:rPr>
        <w:t>347</w:t>
      </w:r>
      <w:r w:rsidRPr="00E075A0">
        <w:t>.</w:t>
      </w:r>
      <w:bookmarkEnd w:id="176"/>
    </w:p>
    <w:p w:rsidR="006A57B2" w:rsidRPr="00E075A0" w:rsidRDefault="006A57B2" w:rsidP="00E075A0">
      <w:pPr>
        <w:pStyle w:val="EndNoteBibliography"/>
        <w:spacing w:after="0"/>
        <w:ind w:left="720" w:hanging="720"/>
      </w:pPr>
      <w:bookmarkStart w:id="177" w:name="_ENREF_32"/>
      <w:r w:rsidRPr="00E075A0">
        <w:t>32.</w:t>
      </w:r>
      <w:r w:rsidRPr="00E075A0">
        <w:tab/>
        <w:t xml:space="preserve">Harron, K., et al., </w:t>
      </w:r>
      <w:r w:rsidRPr="00E075A0">
        <w:rPr>
          <w:i/>
        </w:rPr>
        <w:t>Consistency between guidelines and reported practice for reducing the risk of catheter-related infection in British paediatric intensive care units.</w:t>
      </w:r>
      <w:r w:rsidRPr="00E075A0">
        <w:t xml:space="preserve"> Intens Care Med, 2011. </w:t>
      </w:r>
      <w:r w:rsidRPr="00E075A0">
        <w:rPr>
          <w:b/>
        </w:rPr>
        <w:t>37</w:t>
      </w:r>
      <w:r w:rsidRPr="00E075A0">
        <w:t>(10): p. 1641-1647.</w:t>
      </w:r>
      <w:bookmarkEnd w:id="177"/>
    </w:p>
    <w:p w:rsidR="006A57B2" w:rsidRPr="00E075A0" w:rsidRDefault="006A57B2" w:rsidP="00E075A0">
      <w:pPr>
        <w:pStyle w:val="EndNoteBibliography"/>
        <w:spacing w:after="0"/>
        <w:ind w:left="720" w:hanging="720"/>
      </w:pPr>
      <w:bookmarkStart w:id="178" w:name="_ENREF_33"/>
      <w:r w:rsidRPr="00E075A0">
        <w:t>33.</w:t>
      </w:r>
      <w:r w:rsidRPr="00E075A0">
        <w:tab/>
        <w:t xml:space="preserve">Harron K, et al., </w:t>
      </w:r>
      <w:r w:rsidRPr="00E075A0">
        <w:rPr>
          <w:i/>
        </w:rPr>
        <w:t>Risk-adjusted monitoring of blood-stream infection in paediatric intensive care: a data linkage study.</w:t>
      </w:r>
      <w:r w:rsidRPr="00E075A0">
        <w:t xml:space="preserve"> Intens Care Med, 2013. </w:t>
      </w:r>
      <w:r w:rsidRPr="00E075A0">
        <w:rPr>
          <w:b/>
        </w:rPr>
        <w:t>39</w:t>
      </w:r>
      <w:r w:rsidRPr="00E075A0">
        <w:t>(6): p. 1080-1087.</w:t>
      </w:r>
      <w:bookmarkEnd w:id="178"/>
    </w:p>
    <w:p w:rsidR="006A57B2" w:rsidRPr="00E075A0" w:rsidRDefault="006A57B2" w:rsidP="00E075A0">
      <w:pPr>
        <w:pStyle w:val="EndNoteBibliography"/>
        <w:spacing w:after="0"/>
        <w:ind w:left="720" w:hanging="720"/>
      </w:pPr>
      <w:bookmarkStart w:id="179" w:name="_ENREF_34"/>
      <w:r w:rsidRPr="00E075A0">
        <w:t>34.</w:t>
      </w:r>
      <w:r w:rsidRPr="00E075A0">
        <w:tab/>
        <w:t xml:space="preserve">Harron, K., et al., </w:t>
      </w:r>
      <w:r w:rsidRPr="00E075A0">
        <w:rPr>
          <w:i/>
        </w:rPr>
        <w:t>Monitoring quality of care through linkage of administrative data: national trends in bloodstream infection in UK paediatric intensive care units 2003-2012.</w:t>
      </w:r>
      <w:r w:rsidRPr="00E075A0">
        <w:t xml:space="preserve"> Crit Care Med, 2015. </w:t>
      </w:r>
      <w:r w:rsidRPr="00E075A0">
        <w:rPr>
          <w:b/>
        </w:rPr>
        <w:t>43</w:t>
      </w:r>
      <w:r w:rsidRPr="00E075A0">
        <w:t>(5): p. 1070-78.</w:t>
      </w:r>
      <w:bookmarkEnd w:id="179"/>
    </w:p>
    <w:p w:rsidR="006A57B2" w:rsidRPr="00E075A0" w:rsidRDefault="006A57B2" w:rsidP="00E075A0">
      <w:pPr>
        <w:pStyle w:val="EndNoteBibliography"/>
        <w:spacing w:after="0"/>
        <w:ind w:left="720" w:hanging="720"/>
      </w:pPr>
      <w:bookmarkStart w:id="180" w:name="_ENREF_35"/>
      <w:r w:rsidRPr="00E075A0">
        <w:t>35.</w:t>
      </w:r>
      <w:r w:rsidRPr="00E075A0">
        <w:tab/>
        <w:t xml:space="preserve">Chatzinikolaou, I., et al., </w:t>
      </w:r>
      <w:r w:rsidRPr="00E075A0">
        <w:rPr>
          <w:i/>
        </w:rPr>
        <w:t>Antibiotic-coated hemodialysis catheters for the prevention of vascular catheter–related infections: a prospective, randomized study.</w:t>
      </w:r>
      <w:r w:rsidRPr="00E075A0">
        <w:t xml:space="preserve"> Am J Med, 2003. </w:t>
      </w:r>
      <w:r w:rsidRPr="00E075A0">
        <w:rPr>
          <w:b/>
        </w:rPr>
        <w:t>115</w:t>
      </w:r>
      <w:r w:rsidRPr="00E075A0">
        <w:t>(5): p. 352-357.</w:t>
      </w:r>
      <w:bookmarkEnd w:id="180"/>
    </w:p>
    <w:p w:rsidR="006A57B2" w:rsidRPr="00E075A0" w:rsidRDefault="006A57B2" w:rsidP="00E075A0">
      <w:pPr>
        <w:pStyle w:val="EndNoteBibliography"/>
        <w:spacing w:after="0"/>
        <w:ind w:left="720" w:hanging="720"/>
      </w:pPr>
      <w:bookmarkStart w:id="181" w:name="_ENREF_36"/>
      <w:r w:rsidRPr="00E075A0">
        <w:t>36.</w:t>
      </w:r>
      <w:r w:rsidRPr="00E075A0">
        <w:tab/>
        <w:t xml:space="preserve">Cox, E.G., et al., </w:t>
      </w:r>
      <w:r w:rsidRPr="00E075A0">
        <w:rPr>
          <w:i/>
        </w:rPr>
        <w:t>A randomized, controlled trial of catheter-related infectious event rates using antibiotic-impregnated catheters versus conventional catheters in pediatric cardiovascular surgery patients.</w:t>
      </w:r>
      <w:r w:rsidRPr="00E075A0">
        <w:t xml:space="preserve"> Pediatr Infect Dis J, 2012.</w:t>
      </w:r>
      <w:bookmarkEnd w:id="181"/>
    </w:p>
    <w:p w:rsidR="006A57B2" w:rsidRPr="00E075A0" w:rsidRDefault="006A57B2" w:rsidP="00E075A0">
      <w:pPr>
        <w:pStyle w:val="EndNoteBibliography"/>
        <w:spacing w:after="0"/>
        <w:ind w:left="720" w:hanging="720"/>
      </w:pPr>
      <w:bookmarkStart w:id="182" w:name="_ENREF_37"/>
      <w:r w:rsidRPr="00E075A0">
        <w:t>37.</w:t>
      </w:r>
      <w:r w:rsidRPr="00E075A0">
        <w:tab/>
        <w:t xml:space="preserve">Darouiche, R.O., et al., </w:t>
      </w:r>
      <w:r w:rsidRPr="00E075A0">
        <w:rPr>
          <w:i/>
        </w:rPr>
        <w:t>Comparison of antimicrobial impregnation with tunneling of long-term central venous catheters: a randomized controlled trial.</w:t>
      </w:r>
      <w:r w:rsidRPr="00E075A0">
        <w:t xml:space="preserve"> Ann Surg, 2005. </w:t>
      </w:r>
      <w:r w:rsidRPr="00E075A0">
        <w:rPr>
          <w:b/>
        </w:rPr>
        <w:t>242</w:t>
      </w:r>
      <w:r w:rsidRPr="00E075A0">
        <w:t>(2): p. 193.</w:t>
      </w:r>
      <w:bookmarkEnd w:id="182"/>
    </w:p>
    <w:p w:rsidR="006A57B2" w:rsidRPr="00E075A0" w:rsidRDefault="006A57B2" w:rsidP="00E075A0">
      <w:pPr>
        <w:pStyle w:val="EndNoteBibliography"/>
        <w:spacing w:after="0"/>
        <w:ind w:left="720" w:hanging="720"/>
      </w:pPr>
      <w:bookmarkStart w:id="183" w:name="_ENREF_38"/>
      <w:r w:rsidRPr="00E075A0">
        <w:t>38.</w:t>
      </w:r>
      <w:r w:rsidRPr="00E075A0">
        <w:tab/>
        <w:t xml:space="preserve">Hanna, H., et al., </w:t>
      </w:r>
      <w:r w:rsidRPr="00E075A0">
        <w:rPr>
          <w:i/>
        </w:rPr>
        <w:t>Long-term silicone central venous catheters impregnated with minocycline and rifampin decrease rates of catheter-related bloodstream infection in cancer patients: a prospective randomized clinical trial.</w:t>
      </w:r>
      <w:r w:rsidRPr="00E075A0">
        <w:t xml:space="preserve"> J Clin Oncol, 2004. </w:t>
      </w:r>
      <w:r w:rsidRPr="00E075A0">
        <w:rPr>
          <w:b/>
        </w:rPr>
        <w:t>22</w:t>
      </w:r>
      <w:r w:rsidRPr="00E075A0">
        <w:t>(15): p. 3163-3171.</w:t>
      </w:r>
      <w:bookmarkEnd w:id="183"/>
    </w:p>
    <w:p w:rsidR="006A57B2" w:rsidRPr="00E075A0" w:rsidRDefault="006A57B2" w:rsidP="00E075A0">
      <w:pPr>
        <w:pStyle w:val="EndNoteBibliography"/>
        <w:spacing w:after="0"/>
        <w:ind w:left="720" w:hanging="720"/>
      </w:pPr>
      <w:bookmarkStart w:id="184" w:name="_ENREF_39"/>
      <w:r w:rsidRPr="00E075A0">
        <w:t>39.</w:t>
      </w:r>
      <w:r w:rsidRPr="00E075A0">
        <w:tab/>
        <w:t xml:space="preserve">León, C., et al., </w:t>
      </w:r>
      <w:r w:rsidRPr="00E075A0">
        <w:rPr>
          <w:i/>
        </w:rPr>
        <w:t>Benefits of minocycline and rifampin-impregnated central venous catheters.</w:t>
      </w:r>
      <w:r w:rsidRPr="00E075A0">
        <w:t xml:space="preserve"> Intens Care Med, 2004. </w:t>
      </w:r>
      <w:r w:rsidRPr="00E075A0">
        <w:rPr>
          <w:b/>
        </w:rPr>
        <w:t>30</w:t>
      </w:r>
      <w:r w:rsidRPr="00E075A0">
        <w:t>(10): p. 1891-1899.</w:t>
      </w:r>
      <w:bookmarkEnd w:id="184"/>
    </w:p>
    <w:p w:rsidR="006A57B2" w:rsidRPr="00E075A0" w:rsidRDefault="006A57B2" w:rsidP="00E075A0">
      <w:pPr>
        <w:pStyle w:val="EndNoteBibliography"/>
        <w:spacing w:after="0"/>
        <w:ind w:left="720" w:hanging="720"/>
      </w:pPr>
      <w:bookmarkStart w:id="185" w:name="_ENREF_40"/>
      <w:r w:rsidRPr="00E075A0">
        <w:t>40.</w:t>
      </w:r>
      <w:r w:rsidRPr="00E075A0">
        <w:tab/>
        <w:t xml:space="preserve">Marik, P.E., et al., </w:t>
      </w:r>
      <w:r w:rsidRPr="00E075A0">
        <w:rPr>
          <w:i/>
        </w:rPr>
        <w:t>The ex vivo antimicrobial activity and colonization rate of two antimicrobial-bonded central venous catheters.</w:t>
      </w:r>
      <w:r w:rsidRPr="00E075A0">
        <w:t xml:space="preserve"> Critic Care Med, 1999. </w:t>
      </w:r>
      <w:r w:rsidRPr="00E075A0">
        <w:rPr>
          <w:b/>
        </w:rPr>
        <w:t>27</w:t>
      </w:r>
      <w:r w:rsidRPr="00E075A0">
        <w:t>(6): p. 1128-1131.</w:t>
      </w:r>
      <w:bookmarkEnd w:id="185"/>
    </w:p>
    <w:p w:rsidR="006A57B2" w:rsidRPr="00E075A0" w:rsidRDefault="006A57B2" w:rsidP="00E075A0">
      <w:pPr>
        <w:pStyle w:val="EndNoteBibliography"/>
        <w:spacing w:after="0"/>
        <w:ind w:left="720" w:hanging="720"/>
      </w:pPr>
      <w:bookmarkStart w:id="186" w:name="_ENREF_41"/>
      <w:r w:rsidRPr="00E075A0">
        <w:t>41.</w:t>
      </w:r>
      <w:r w:rsidRPr="00E075A0">
        <w:tab/>
        <w:t xml:space="preserve">Raad, I., et al., </w:t>
      </w:r>
      <w:r w:rsidRPr="00E075A0">
        <w:rPr>
          <w:i/>
        </w:rPr>
        <w:t>Central venous catheters coated with minocycline and rifampin for the prevention of catheter-related colonization and bloodstream infectionsa randomized, double-blind trial.</w:t>
      </w:r>
      <w:r w:rsidRPr="00E075A0">
        <w:t xml:space="preserve"> Ann Intern Med, 1997. </w:t>
      </w:r>
      <w:r w:rsidRPr="00E075A0">
        <w:rPr>
          <w:b/>
        </w:rPr>
        <w:t>127</w:t>
      </w:r>
      <w:r w:rsidRPr="00E075A0">
        <w:t>(4): p. 267-274.</w:t>
      </w:r>
      <w:bookmarkEnd w:id="186"/>
    </w:p>
    <w:p w:rsidR="006A57B2" w:rsidRPr="00E075A0" w:rsidRDefault="006A57B2" w:rsidP="00E075A0">
      <w:pPr>
        <w:pStyle w:val="EndNoteBibliography"/>
        <w:spacing w:after="0"/>
        <w:ind w:left="720" w:hanging="720"/>
      </w:pPr>
      <w:bookmarkStart w:id="187" w:name="_ENREF_42"/>
      <w:r w:rsidRPr="00E075A0">
        <w:t>42.</w:t>
      </w:r>
      <w:r w:rsidRPr="00E075A0">
        <w:tab/>
        <w:t xml:space="preserve">Yücel, N., et al., </w:t>
      </w:r>
      <w:r w:rsidRPr="00E075A0">
        <w:rPr>
          <w:i/>
        </w:rPr>
        <w:t>Reduced colonization and infection with miconazole–rifampicin modified central venous catheters: a randomized controlled clinical trial.</w:t>
      </w:r>
      <w:r w:rsidRPr="00E075A0">
        <w:t xml:space="preserve"> J Antimicrob Chemoth, 2004. </w:t>
      </w:r>
      <w:r w:rsidRPr="00E075A0">
        <w:rPr>
          <w:b/>
        </w:rPr>
        <w:t>54</w:t>
      </w:r>
      <w:r w:rsidRPr="00E075A0">
        <w:t>(6): p. 1109-1115.</w:t>
      </w:r>
      <w:bookmarkEnd w:id="187"/>
    </w:p>
    <w:p w:rsidR="006A57B2" w:rsidRPr="00E075A0" w:rsidRDefault="006A57B2" w:rsidP="00E075A0">
      <w:pPr>
        <w:pStyle w:val="EndNoteBibliography"/>
        <w:spacing w:after="0"/>
        <w:ind w:left="720" w:hanging="720"/>
      </w:pPr>
      <w:bookmarkStart w:id="188" w:name="_ENREF_43"/>
      <w:r w:rsidRPr="00E075A0">
        <w:t>43.</w:t>
      </w:r>
      <w:r w:rsidRPr="00E075A0">
        <w:tab/>
        <w:t xml:space="preserve">Abdelkefi, A., et al., </w:t>
      </w:r>
      <w:r w:rsidRPr="00E075A0">
        <w:rPr>
          <w:i/>
        </w:rPr>
        <w:t>Use of heparin-coated central venous lines to prevent catheter-related bloodstream infection.</w:t>
      </w:r>
      <w:r w:rsidRPr="00E075A0">
        <w:t xml:space="preserve"> J Support Oncol, 2007. </w:t>
      </w:r>
      <w:r w:rsidRPr="00E075A0">
        <w:rPr>
          <w:b/>
        </w:rPr>
        <w:t>5</w:t>
      </w:r>
      <w:r w:rsidRPr="00E075A0">
        <w:t>(6): p. 273-278.</w:t>
      </w:r>
      <w:bookmarkEnd w:id="188"/>
    </w:p>
    <w:p w:rsidR="006A57B2" w:rsidRPr="00E075A0" w:rsidRDefault="006A57B2" w:rsidP="00E075A0">
      <w:pPr>
        <w:pStyle w:val="EndNoteBibliography"/>
        <w:spacing w:after="0"/>
        <w:ind w:left="720" w:hanging="720"/>
      </w:pPr>
      <w:bookmarkStart w:id="189" w:name="_ENREF_44"/>
      <w:r w:rsidRPr="00E075A0">
        <w:t>44.</w:t>
      </w:r>
      <w:r w:rsidRPr="00E075A0">
        <w:tab/>
        <w:t xml:space="preserve">Appelgren, P., et al., </w:t>
      </w:r>
      <w:r w:rsidRPr="00E075A0">
        <w:rPr>
          <w:i/>
        </w:rPr>
        <w:t>Surface heparinization of central venous catheters reduces microbial colonization in vitro and in vivo: results from a prospective, randomized trial.</w:t>
      </w:r>
      <w:r w:rsidRPr="00E075A0">
        <w:t xml:space="preserve"> Crit Care Med, 1996. </w:t>
      </w:r>
      <w:r w:rsidRPr="00E075A0">
        <w:rPr>
          <w:b/>
        </w:rPr>
        <w:t>24</w:t>
      </w:r>
      <w:r w:rsidRPr="00E075A0">
        <w:t>(9): p. 1482-1489.</w:t>
      </w:r>
      <w:bookmarkEnd w:id="189"/>
    </w:p>
    <w:p w:rsidR="006A57B2" w:rsidRPr="00E075A0" w:rsidRDefault="006A57B2" w:rsidP="00E075A0">
      <w:pPr>
        <w:pStyle w:val="EndNoteBibliography"/>
        <w:spacing w:after="0"/>
        <w:ind w:left="720" w:hanging="720"/>
      </w:pPr>
      <w:bookmarkStart w:id="190" w:name="_ENREF_45"/>
      <w:r w:rsidRPr="00E075A0">
        <w:t>45.</w:t>
      </w:r>
      <w:r w:rsidRPr="00E075A0">
        <w:tab/>
        <w:t xml:space="preserve">Pierce, C.M., A. Wade, and Q. Mok, </w:t>
      </w:r>
      <w:r w:rsidRPr="00E075A0">
        <w:rPr>
          <w:i/>
        </w:rPr>
        <w:t>Heparin-bonded central venous lines reduce thrombotic and infective complications in critically ill children.</w:t>
      </w:r>
      <w:r w:rsidRPr="00E075A0">
        <w:t xml:space="preserve"> Intens Care Med, 2000. </w:t>
      </w:r>
      <w:r w:rsidRPr="00E075A0">
        <w:rPr>
          <w:b/>
        </w:rPr>
        <w:t>26</w:t>
      </w:r>
      <w:r w:rsidRPr="00E075A0">
        <w:t>(7): p. 967-972.</w:t>
      </w:r>
      <w:bookmarkEnd w:id="190"/>
    </w:p>
    <w:p w:rsidR="006A57B2" w:rsidRPr="00E075A0" w:rsidRDefault="006A57B2" w:rsidP="00E075A0">
      <w:pPr>
        <w:pStyle w:val="EndNoteBibliography"/>
        <w:spacing w:after="0"/>
        <w:ind w:left="720" w:hanging="720"/>
      </w:pPr>
      <w:bookmarkStart w:id="191" w:name="_ENREF_46"/>
      <w:r w:rsidRPr="00E075A0">
        <w:t>46.</w:t>
      </w:r>
      <w:r w:rsidRPr="00E075A0">
        <w:tab/>
        <w:t xml:space="preserve">Geffers, C., et al., </w:t>
      </w:r>
      <w:r w:rsidRPr="00E075A0">
        <w:rPr>
          <w:i/>
        </w:rPr>
        <w:t>The relationship between methodological trial quality and the effects of impregnated central venous catheters.</w:t>
      </w:r>
      <w:r w:rsidRPr="00E075A0">
        <w:t xml:space="preserve"> Intens Care Med, 2003. </w:t>
      </w:r>
      <w:r w:rsidRPr="00E075A0">
        <w:rPr>
          <w:b/>
        </w:rPr>
        <w:t>29</w:t>
      </w:r>
      <w:r w:rsidRPr="00E075A0">
        <w:t>(3): p. 403-409.</w:t>
      </w:r>
      <w:bookmarkEnd w:id="191"/>
    </w:p>
    <w:p w:rsidR="006A57B2" w:rsidRPr="00E075A0" w:rsidRDefault="006A57B2" w:rsidP="00E075A0">
      <w:pPr>
        <w:pStyle w:val="EndNoteBibliography"/>
        <w:spacing w:after="0"/>
        <w:ind w:left="720" w:hanging="720"/>
      </w:pPr>
      <w:bookmarkStart w:id="192" w:name="_ENREF_47"/>
      <w:r w:rsidRPr="00E075A0">
        <w:t>47.</w:t>
      </w:r>
      <w:r w:rsidRPr="00E075A0">
        <w:tab/>
        <w:t xml:space="preserve">Niel-Weise, B., T. Stijnen, and P. Van den Broek, </w:t>
      </w:r>
      <w:r w:rsidRPr="00E075A0">
        <w:rPr>
          <w:i/>
        </w:rPr>
        <w:t>Anti-infective-treated central venous catheters for total parenteral nutrition or chemotherapy: a systematic review.</w:t>
      </w:r>
      <w:r w:rsidRPr="00E075A0">
        <w:t xml:space="preserve"> J Hosp Infect, 2008. </w:t>
      </w:r>
      <w:r w:rsidRPr="00E075A0">
        <w:rPr>
          <w:b/>
        </w:rPr>
        <w:t>69</w:t>
      </w:r>
      <w:r w:rsidRPr="00E075A0">
        <w:t>(2): p. 114-123.</w:t>
      </w:r>
      <w:bookmarkEnd w:id="192"/>
    </w:p>
    <w:p w:rsidR="006A57B2" w:rsidRPr="00E075A0" w:rsidRDefault="006A57B2" w:rsidP="00E075A0">
      <w:pPr>
        <w:pStyle w:val="EndNoteBibliography"/>
        <w:spacing w:after="0"/>
        <w:ind w:left="720" w:hanging="720"/>
      </w:pPr>
      <w:bookmarkStart w:id="193" w:name="_ENREF_48"/>
      <w:r w:rsidRPr="00E075A0">
        <w:t>48.</w:t>
      </w:r>
      <w:r w:rsidRPr="00E075A0">
        <w:tab/>
        <w:t xml:space="preserve">Mok, Q. and R. Gilbert, </w:t>
      </w:r>
      <w:r w:rsidRPr="00E075A0">
        <w:rPr>
          <w:i/>
        </w:rPr>
        <w:t>Interventions to reduce central venous catheter-associated infections in children: which ones are beneficial?</w:t>
      </w:r>
      <w:r w:rsidRPr="00E075A0">
        <w:t xml:space="preserve"> Intens Care Med, 2011. </w:t>
      </w:r>
      <w:r w:rsidRPr="00E075A0">
        <w:rPr>
          <w:b/>
        </w:rPr>
        <w:t>37</w:t>
      </w:r>
      <w:r w:rsidRPr="00E075A0">
        <w:t>(4): p. 566-568.</w:t>
      </w:r>
      <w:bookmarkEnd w:id="193"/>
    </w:p>
    <w:p w:rsidR="006A57B2" w:rsidRPr="00E075A0" w:rsidRDefault="006A57B2" w:rsidP="00E075A0">
      <w:pPr>
        <w:pStyle w:val="EndNoteBibliography"/>
        <w:spacing w:after="0"/>
        <w:ind w:left="720" w:hanging="720"/>
      </w:pPr>
      <w:bookmarkStart w:id="194" w:name="_ENREF_49"/>
      <w:r w:rsidRPr="00E075A0">
        <w:t>49.</w:t>
      </w:r>
      <w:r w:rsidRPr="00E075A0">
        <w:tab/>
        <w:t xml:space="preserve">Mermel, L., </w:t>
      </w:r>
      <w:r w:rsidRPr="00E075A0">
        <w:rPr>
          <w:i/>
        </w:rPr>
        <w:t>Prevention of intravascular catheter–related infections.</w:t>
      </w:r>
      <w:r w:rsidRPr="00E075A0">
        <w:t xml:space="preserve"> Ann Intern Med, 2000. </w:t>
      </w:r>
      <w:r w:rsidRPr="00E075A0">
        <w:rPr>
          <w:b/>
        </w:rPr>
        <w:t>132</w:t>
      </w:r>
      <w:r w:rsidRPr="00E075A0">
        <w:t>(5): p. 391-402.</w:t>
      </w:r>
      <w:bookmarkEnd w:id="194"/>
    </w:p>
    <w:p w:rsidR="006A57B2" w:rsidRPr="00E075A0" w:rsidRDefault="006A57B2" w:rsidP="00E075A0">
      <w:pPr>
        <w:pStyle w:val="EndNoteBibliography"/>
        <w:spacing w:after="0"/>
        <w:ind w:left="720" w:hanging="720"/>
      </w:pPr>
      <w:bookmarkStart w:id="195" w:name="_ENREF_50"/>
      <w:r w:rsidRPr="00E075A0">
        <w:t>50.</w:t>
      </w:r>
      <w:r w:rsidRPr="00E075A0">
        <w:tab/>
        <w:t xml:space="preserve">Barnett, A.G., et al., </w:t>
      </w:r>
      <w:r w:rsidRPr="00E075A0">
        <w:rPr>
          <w:i/>
        </w:rPr>
        <w:t>Using a longitudinal model to estimate the effect of Methicillin-resistant Staphylococcus aureus infection on length of stay in an intensive care unit.</w:t>
      </w:r>
      <w:r w:rsidRPr="00E075A0">
        <w:t xml:space="preserve"> Am J Epidemiol, 2009. </w:t>
      </w:r>
      <w:r w:rsidRPr="00E075A0">
        <w:rPr>
          <w:b/>
        </w:rPr>
        <w:t>170</w:t>
      </w:r>
      <w:r w:rsidRPr="00E075A0">
        <w:t>(9): p. 1186-1194.</w:t>
      </w:r>
      <w:bookmarkEnd w:id="195"/>
    </w:p>
    <w:p w:rsidR="006A57B2" w:rsidRPr="00E075A0" w:rsidRDefault="006A57B2" w:rsidP="00E075A0">
      <w:pPr>
        <w:pStyle w:val="EndNoteBibliography"/>
        <w:spacing w:after="0"/>
        <w:ind w:left="720" w:hanging="720"/>
      </w:pPr>
      <w:bookmarkStart w:id="196" w:name="_ENREF_51"/>
      <w:r w:rsidRPr="00E075A0">
        <w:t>51.</w:t>
      </w:r>
      <w:r w:rsidRPr="00E075A0">
        <w:tab/>
        <w:t xml:space="preserve">Graves, N., et al., </w:t>
      </w:r>
      <w:r w:rsidRPr="00E075A0">
        <w:rPr>
          <w:i/>
        </w:rPr>
        <w:t>Estimating the cost of health care-associated infections: mind your p's and q's.</w:t>
      </w:r>
      <w:r w:rsidRPr="00E075A0">
        <w:t xml:space="preserve"> Clin Infect Dis, 2010. </w:t>
      </w:r>
      <w:r w:rsidRPr="00E075A0">
        <w:rPr>
          <w:b/>
        </w:rPr>
        <w:t>50</w:t>
      </w:r>
      <w:r w:rsidRPr="00E075A0">
        <w:t>(7): p. 1017-1021.</w:t>
      </w:r>
      <w:bookmarkEnd w:id="196"/>
    </w:p>
    <w:p w:rsidR="006A57B2" w:rsidRPr="00E075A0" w:rsidRDefault="006A57B2" w:rsidP="00E075A0">
      <w:pPr>
        <w:pStyle w:val="EndNoteBibliography"/>
        <w:spacing w:after="0"/>
        <w:ind w:left="720" w:hanging="720"/>
      </w:pPr>
      <w:bookmarkStart w:id="197" w:name="_ENREF_52"/>
      <w:r w:rsidRPr="00E075A0">
        <w:t>52.</w:t>
      </w:r>
      <w:r w:rsidRPr="00E075A0">
        <w:tab/>
        <w:t xml:space="preserve">Halton, K. and N. Graves, </w:t>
      </w:r>
      <w:r w:rsidRPr="00E075A0">
        <w:rPr>
          <w:i/>
        </w:rPr>
        <w:t>Economic evaluation and catheter-related bloodstream infections.</w:t>
      </w:r>
      <w:r w:rsidRPr="00E075A0">
        <w:t xml:space="preserve"> Emerging infectious diseases, 2007. </w:t>
      </w:r>
      <w:r w:rsidRPr="00E075A0">
        <w:rPr>
          <w:b/>
        </w:rPr>
        <w:t>13</w:t>
      </w:r>
      <w:r w:rsidRPr="00E075A0">
        <w:t>(6): p. 815-823.</w:t>
      </w:r>
      <w:bookmarkEnd w:id="197"/>
    </w:p>
    <w:p w:rsidR="006A57B2" w:rsidRPr="00E075A0" w:rsidRDefault="006A57B2" w:rsidP="00E075A0">
      <w:pPr>
        <w:pStyle w:val="EndNoteBibliography"/>
        <w:spacing w:after="0"/>
        <w:ind w:left="720" w:hanging="720"/>
      </w:pPr>
      <w:bookmarkStart w:id="198" w:name="_ENREF_53"/>
      <w:r w:rsidRPr="00E075A0">
        <w:t>53.</w:t>
      </w:r>
      <w:r w:rsidRPr="00E075A0">
        <w:tab/>
        <w:t xml:space="preserve">Cook Incorporated, </w:t>
      </w:r>
      <w:r w:rsidRPr="00E075A0">
        <w:rPr>
          <w:i/>
        </w:rPr>
        <w:t>Cook Spectrum® Central Venous Catheter Minocycline/Rifampin ANtibiotic Impregnated Power Injectable</w:t>
      </w:r>
      <w:r w:rsidRPr="00E075A0">
        <w:t>. 2013.</w:t>
      </w:r>
      <w:bookmarkEnd w:id="198"/>
    </w:p>
    <w:p w:rsidR="006A57B2" w:rsidRPr="00E075A0" w:rsidRDefault="006A57B2" w:rsidP="00E075A0">
      <w:pPr>
        <w:pStyle w:val="EndNoteBibliography"/>
        <w:spacing w:after="0"/>
        <w:ind w:left="720" w:hanging="720"/>
      </w:pPr>
      <w:bookmarkStart w:id="199" w:name="_ENREF_54"/>
      <w:r w:rsidRPr="00E075A0">
        <w:t>54.</w:t>
      </w:r>
      <w:r w:rsidRPr="00E075A0">
        <w:tab/>
        <w:t xml:space="preserve">Mermel, L.A., S.M. Stolz, and D.G. Maki, </w:t>
      </w:r>
      <w:r w:rsidRPr="00E075A0">
        <w:rPr>
          <w:i/>
        </w:rPr>
        <w:t>Surface antimicrobial activity of heparin-bonded and antiseptic-impregnated vascular catheters.</w:t>
      </w:r>
      <w:r w:rsidRPr="00E075A0">
        <w:t xml:space="preserve"> J Infect Dis, 1993. </w:t>
      </w:r>
      <w:r w:rsidRPr="00E075A0">
        <w:rPr>
          <w:b/>
        </w:rPr>
        <w:t>167</w:t>
      </w:r>
      <w:r w:rsidRPr="00E075A0">
        <w:t>(4): p. 920-924.</w:t>
      </w:r>
      <w:bookmarkEnd w:id="199"/>
    </w:p>
    <w:p w:rsidR="006A57B2" w:rsidRPr="00E075A0" w:rsidRDefault="006A57B2" w:rsidP="00E075A0">
      <w:pPr>
        <w:pStyle w:val="EndNoteBibliography"/>
        <w:spacing w:after="0"/>
        <w:ind w:left="720" w:hanging="720"/>
      </w:pPr>
      <w:bookmarkStart w:id="200" w:name="_ENREF_55"/>
      <w:r w:rsidRPr="00E075A0">
        <w:t>55.</w:t>
      </w:r>
      <w:r w:rsidRPr="00E075A0">
        <w:tab/>
        <w:t xml:space="preserve">Woolfall, K., et al., </w:t>
      </w:r>
      <w:r w:rsidRPr="00E075A0">
        <w:rPr>
          <w:i/>
        </w:rPr>
        <w:t>How experience makes a difference: practitioners' views on the use of deferred consent in paediatric and neonatal emergency care trials.</w:t>
      </w:r>
      <w:r w:rsidRPr="00E075A0">
        <w:t xml:space="preserve"> BMC Med Ethics, 2013. </w:t>
      </w:r>
      <w:r w:rsidRPr="00E075A0">
        <w:rPr>
          <w:b/>
        </w:rPr>
        <w:t>14</w:t>
      </w:r>
      <w:r w:rsidRPr="00E075A0">
        <w:t>(1): p. 45.</w:t>
      </w:r>
      <w:bookmarkEnd w:id="200"/>
    </w:p>
    <w:p w:rsidR="006A57B2" w:rsidRPr="00E075A0" w:rsidRDefault="006A57B2" w:rsidP="00E075A0">
      <w:pPr>
        <w:pStyle w:val="EndNoteBibliography"/>
        <w:spacing w:after="0"/>
        <w:ind w:left="720" w:hanging="720"/>
      </w:pPr>
      <w:bookmarkStart w:id="201" w:name="_ENREF_56"/>
      <w:r w:rsidRPr="00E075A0">
        <w:t>56.</w:t>
      </w:r>
      <w:r w:rsidRPr="00E075A0">
        <w:tab/>
      </w:r>
      <w:r w:rsidRPr="00E075A0">
        <w:rPr>
          <w:i/>
        </w:rPr>
        <w:t xml:space="preserve">Paediatric Intensive Care Audit Network: A Decade of Data </w:t>
      </w:r>
      <w:r w:rsidRPr="00E075A0">
        <w:t>2014, Universities of Leeds and Leicester.</w:t>
      </w:r>
      <w:bookmarkEnd w:id="201"/>
    </w:p>
    <w:p w:rsidR="006A57B2" w:rsidRPr="00E075A0" w:rsidRDefault="006A57B2" w:rsidP="00E075A0">
      <w:pPr>
        <w:pStyle w:val="EndNoteBibliography"/>
        <w:spacing w:after="0"/>
        <w:ind w:left="720" w:hanging="720"/>
      </w:pPr>
      <w:bookmarkStart w:id="202" w:name="_ENREF_57"/>
      <w:r w:rsidRPr="00E075A0">
        <w:t>57.</w:t>
      </w:r>
      <w:r w:rsidRPr="00E075A0">
        <w:tab/>
        <w:t xml:space="preserve">Slater, A., F. Shann, and G. Pearson, </w:t>
      </w:r>
      <w:r w:rsidRPr="00E075A0">
        <w:rPr>
          <w:i/>
        </w:rPr>
        <w:t>PIM2: a revised version of the Paediatric Index of Mortality.</w:t>
      </w:r>
      <w:r w:rsidRPr="00E075A0">
        <w:t xml:space="preserve"> Intens Care Med, 2003. </w:t>
      </w:r>
      <w:r w:rsidRPr="00E075A0">
        <w:rPr>
          <w:b/>
        </w:rPr>
        <w:t>29</w:t>
      </w:r>
      <w:r w:rsidRPr="00E075A0">
        <w:t>(2): p. 278-285.</w:t>
      </w:r>
      <w:bookmarkEnd w:id="202"/>
    </w:p>
    <w:p w:rsidR="006A57B2" w:rsidRPr="00E075A0" w:rsidRDefault="006A57B2" w:rsidP="00E075A0">
      <w:pPr>
        <w:pStyle w:val="EndNoteBibliography"/>
        <w:spacing w:after="0"/>
        <w:ind w:left="720" w:hanging="720"/>
      </w:pPr>
      <w:bookmarkStart w:id="203" w:name="_ENREF_58"/>
      <w:r w:rsidRPr="00E075A0">
        <w:t>58.</w:t>
      </w:r>
      <w:r w:rsidRPr="00E075A0">
        <w:tab/>
        <w:t xml:space="preserve">SAS software Version 9.3, </w:t>
      </w:r>
      <w:r w:rsidRPr="00E075A0">
        <w:rPr>
          <w:i/>
        </w:rPr>
        <w:t>SAS Institute Inc.</w:t>
      </w:r>
      <w:r w:rsidRPr="00E075A0">
        <w:t xml:space="preserve"> 2002-2010: Cary, NC, USA </w:t>
      </w:r>
      <w:bookmarkEnd w:id="203"/>
    </w:p>
    <w:p w:rsidR="006A57B2" w:rsidRPr="00E075A0" w:rsidRDefault="006A57B2" w:rsidP="00E075A0">
      <w:pPr>
        <w:pStyle w:val="EndNoteBibliography"/>
        <w:spacing w:after="0"/>
        <w:ind w:left="720" w:hanging="720"/>
      </w:pPr>
      <w:bookmarkStart w:id="204" w:name="_ENREF_59"/>
      <w:r w:rsidRPr="00E075A0">
        <w:t>59.</w:t>
      </w:r>
      <w:r w:rsidRPr="00E075A0">
        <w:tab/>
        <w:t xml:space="preserve">Gray, R.J., </w:t>
      </w:r>
      <w:r w:rsidRPr="00E075A0">
        <w:rPr>
          <w:i/>
        </w:rPr>
        <w:t>A class of K-sample tests for comparing the cumulative incidence of a competing risk.</w:t>
      </w:r>
      <w:r w:rsidRPr="00E075A0">
        <w:t xml:space="preserve"> Ann Stat, 1988. </w:t>
      </w:r>
      <w:r w:rsidRPr="00E075A0">
        <w:rPr>
          <w:b/>
        </w:rPr>
        <w:t>16</w:t>
      </w:r>
      <w:r w:rsidRPr="00E075A0">
        <w:t>(3): p. 1141-1154.</w:t>
      </w:r>
      <w:bookmarkEnd w:id="204"/>
    </w:p>
    <w:p w:rsidR="006A57B2" w:rsidRPr="00E075A0" w:rsidRDefault="006A57B2" w:rsidP="00E075A0">
      <w:pPr>
        <w:pStyle w:val="EndNoteBibliography"/>
        <w:spacing w:after="0"/>
        <w:ind w:left="720" w:hanging="720"/>
      </w:pPr>
      <w:bookmarkStart w:id="205" w:name="_ENREF_60"/>
      <w:r w:rsidRPr="00E075A0">
        <w:t>60.</w:t>
      </w:r>
      <w:r w:rsidRPr="00E075A0">
        <w:tab/>
        <w:t xml:space="preserve">R Core Team, </w:t>
      </w:r>
      <w:r w:rsidRPr="00E075A0">
        <w:rPr>
          <w:i/>
        </w:rPr>
        <w:t>R: A language and environment for statistical computing. R Foundation for Statistical Computing, Vienna, Austria. ISBN 3-900051-07-0.</w:t>
      </w:r>
      <w:r w:rsidRPr="00E075A0">
        <w:t xml:space="preserve"> 2013.</w:t>
      </w:r>
      <w:bookmarkEnd w:id="205"/>
    </w:p>
    <w:p w:rsidR="006A57B2" w:rsidRPr="00E075A0" w:rsidRDefault="006A57B2" w:rsidP="00E075A0">
      <w:pPr>
        <w:pStyle w:val="EndNoteBibliography"/>
        <w:spacing w:after="0"/>
        <w:ind w:left="720" w:hanging="720"/>
      </w:pPr>
      <w:bookmarkStart w:id="206" w:name="_ENREF_61"/>
      <w:r w:rsidRPr="00E075A0">
        <w:t>61.</w:t>
      </w:r>
      <w:r w:rsidRPr="00E075A0">
        <w:tab/>
        <w:t xml:space="preserve">Harron, K., et al., </w:t>
      </w:r>
      <w:r w:rsidRPr="00E075A0">
        <w:rPr>
          <w:i/>
        </w:rPr>
        <w:t xml:space="preserve">Deferred consent for randomized controlled trials in emergency care settings </w:t>
      </w:r>
      <w:r w:rsidRPr="00E075A0">
        <w:t xml:space="preserve">Pediatrics, 2015. </w:t>
      </w:r>
      <w:r w:rsidRPr="00E075A0">
        <w:rPr>
          <w:b/>
        </w:rPr>
        <w:t>in press</w:t>
      </w:r>
      <w:r w:rsidRPr="00E075A0">
        <w:t>.</w:t>
      </w:r>
      <w:bookmarkEnd w:id="206"/>
    </w:p>
    <w:p w:rsidR="006A57B2" w:rsidRPr="00E075A0" w:rsidRDefault="006A57B2" w:rsidP="00E075A0">
      <w:pPr>
        <w:pStyle w:val="EndNoteBibliography"/>
        <w:spacing w:after="0"/>
        <w:ind w:left="720" w:hanging="720"/>
      </w:pPr>
      <w:bookmarkStart w:id="207" w:name="_ENREF_62"/>
      <w:r w:rsidRPr="00E075A0">
        <w:t>62.</w:t>
      </w:r>
      <w:r w:rsidRPr="00E075A0">
        <w:tab/>
        <w:t xml:space="preserve">Halton, K.A., et al., </w:t>
      </w:r>
      <w:r w:rsidRPr="00E075A0">
        <w:rPr>
          <w:i/>
        </w:rPr>
        <w:t>Cost effectiveness of antimicrobial catheters in the intensive care unit: addressing uncertainty in the decision.</w:t>
      </w:r>
      <w:r w:rsidRPr="00E075A0">
        <w:t xml:space="preserve"> Crit Care, 2009. </w:t>
      </w:r>
      <w:r w:rsidRPr="00E075A0">
        <w:rPr>
          <w:b/>
        </w:rPr>
        <w:t>13</w:t>
      </w:r>
      <w:r w:rsidRPr="00E075A0">
        <w:t>(2): p. R35.</w:t>
      </w:r>
      <w:bookmarkEnd w:id="207"/>
    </w:p>
    <w:p w:rsidR="006A57B2" w:rsidRPr="00E075A0" w:rsidRDefault="006A57B2" w:rsidP="00E075A0">
      <w:pPr>
        <w:pStyle w:val="EndNoteBibliography"/>
        <w:spacing w:after="0"/>
        <w:ind w:left="720" w:hanging="720"/>
      </w:pPr>
      <w:bookmarkStart w:id="208" w:name="_ENREF_63"/>
      <w:r w:rsidRPr="00E075A0">
        <w:t>63.</w:t>
      </w:r>
      <w:r w:rsidRPr="00E075A0">
        <w:tab/>
        <w:t xml:space="preserve">Frank, U., et al., </w:t>
      </w:r>
      <w:r w:rsidRPr="00E075A0">
        <w:rPr>
          <w:i/>
        </w:rPr>
        <w:t>Cost-effectiveness of an antiseptic-impregnated central venous catheter in the ICU.</w:t>
      </w:r>
      <w:r w:rsidRPr="00E075A0">
        <w:t xml:space="preserve"> Intens Care Med, 2003. </w:t>
      </w:r>
      <w:r w:rsidRPr="00E075A0">
        <w:rPr>
          <w:b/>
        </w:rPr>
        <w:t>29</w:t>
      </w:r>
      <w:r w:rsidRPr="00E075A0">
        <w:t>(1): p. 139.</w:t>
      </w:r>
      <w:bookmarkEnd w:id="208"/>
    </w:p>
    <w:p w:rsidR="006A57B2" w:rsidRPr="00E075A0" w:rsidRDefault="006A57B2" w:rsidP="00E075A0">
      <w:pPr>
        <w:pStyle w:val="EndNoteBibliography"/>
        <w:spacing w:after="0"/>
        <w:ind w:left="720" w:hanging="720"/>
      </w:pPr>
      <w:bookmarkStart w:id="209" w:name="_ENREF_64"/>
      <w:r w:rsidRPr="00E075A0">
        <w:t>64.</w:t>
      </w:r>
      <w:r w:rsidRPr="00E075A0">
        <w:tab/>
        <w:t xml:space="preserve">Marciante, K.D., et al., </w:t>
      </w:r>
      <w:r w:rsidRPr="00E075A0">
        <w:rPr>
          <w:i/>
        </w:rPr>
        <w:t>Which antimicrobial impregnated central venous catheter should we use? Modeling the costs and outcomes of antimicrobial catheter use.</w:t>
      </w:r>
      <w:r w:rsidRPr="00E075A0">
        <w:t xml:space="preserve"> Am J Infect Control, 2003. </w:t>
      </w:r>
      <w:r w:rsidRPr="00E075A0">
        <w:rPr>
          <w:b/>
        </w:rPr>
        <w:t>31</w:t>
      </w:r>
      <w:r w:rsidRPr="00E075A0">
        <w:t>(1): p. 1-8.</w:t>
      </w:r>
      <w:bookmarkEnd w:id="209"/>
    </w:p>
    <w:p w:rsidR="006A57B2" w:rsidRPr="00E075A0" w:rsidRDefault="006A57B2" w:rsidP="00E075A0">
      <w:pPr>
        <w:pStyle w:val="EndNoteBibliography"/>
        <w:spacing w:after="0"/>
        <w:ind w:left="720" w:hanging="720"/>
      </w:pPr>
      <w:bookmarkStart w:id="210" w:name="_ENREF_65"/>
      <w:r w:rsidRPr="00E075A0">
        <w:t>65.</w:t>
      </w:r>
      <w:r w:rsidRPr="00E075A0">
        <w:tab/>
        <w:t xml:space="preserve">Shorr, A.F., C.W. Humphreys, and D.L. Helman, </w:t>
      </w:r>
      <w:r w:rsidRPr="00E075A0">
        <w:rPr>
          <w:i/>
        </w:rPr>
        <w:t>New choices for central venous catheters: potential financial implications.</w:t>
      </w:r>
      <w:r w:rsidRPr="00E075A0">
        <w:t xml:space="preserve"> Chest, 2003. </w:t>
      </w:r>
      <w:r w:rsidRPr="00E075A0">
        <w:rPr>
          <w:b/>
        </w:rPr>
        <w:t>124</w:t>
      </w:r>
      <w:r w:rsidRPr="00E075A0">
        <w:t>(1): p. 275-84.</w:t>
      </w:r>
      <w:bookmarkEnd w:id="210"/>
    </w:p>
    <w:p w:rsidR="006A57B2" w:rsidRPr="00E075A0" w:rsidRDefault="006A57B2" w:rsidP="00E075A0">
      <w:pPr>
        <w:pStyle w:val="EndNoteBibliography"/>
        <w:spacing w:after="0"/>
        <w:ind w:left="720" w:hanging="720"/>
      </w:pPr>
      <w:bookmarkStart w:id="211" w:name="_ENREF_66"/>
      <w:r w:rsidRPr="00E075A0">
        <w:t>66.</w:t>
      </w:r>
      <w:r w:rsidRPr="00E075A0">
        <w:tab/>
        <w:t xml:space="preserve">Veenstra, D.L., S. Saint, and S.D. Sullivan, </w:t>
      </w:r>
      <w:r w:rsidRPr="00E075A0">
        <w:rPr>
          <w:i/>
        </w:rPr>
        <w:t>Cost-effectiveness of antiseptic-impregnated central venous catheters for the prevention of catheter-related bloodstream infection.</w:t>
      </w:r>
      <w:r w:rsidRPr="00E075A0">
        <w:t xml:space="preserve"> JAMA, 1999. </w:t>
      </w:r>
      <w:r w:rsidRPr="00E075A0">
        <w:rPr>
          <w:b/>
        </w:rPr>
        <w:t>282</w:t>
      </w:r>
      <w:r w:rsidRPr="00E075A0">
        <w:t>(6): p. 554-60.</w:t>
      </w:r>
      <w:bookmarkEnd w:id="211"/>
    </w:p>
    <w:p w:rsidR="006A57B2" w:rsidRPr="00E075A0" w:rsidRDefault="006A57B2" w:rsidP="00E075A0">
      <w:pPr>
        <w:pStyle w:val="EndNoteBibliography"/>
        <w:spacing w:after="0"/>
        <w:ind w:left="720" w:hanging="720"/>
      </w:pPr>
      <w:bookmarkStart w:id="212" w:name="_ENREF_67"/>
      <w:r w:rsidRPr="00E075A0">
        <w:t>67.</w:t>
      </w:r>
      <w:r w:rsidRPr="00E075A0">
        <w:tab/>
        <w:t xml:space="preserve">Goudie, A., et al., </w:t>
      </w:r>
      <w:r w:rsidRPr="00E075A0">
        <w:rPr>
          <w:i/>
        </w:rPr>
        <w:t>Attributable cost and length of stay for central line-associated bloodstream infections.</w:t>
      </w:r>
      <w:r w:rsidRPr="00E075A0">
        <w:t xml:space="preserve"> Pediatrics, 2014. </w:t>
      </w:r>
      <w:r w:rsidRPr="00E075A0">
        <w:rPr>
          <w:b/>
        </w:rPr>
        <w:t>133</w:t>
      </w:r>
      <w:r w:rsidRPr="00E075A0">
        <w:t>(6): p. e1525-32.</w:t>
      </w:r>
      <w:bookmarkEnd w:id="212"/>
    </w:p>
    <w:p w:rsidR="006A57B2" w:rsidRPr="00E075A0" w:rsidRDefault="006A57B2" w:rsidP="00E075A0">
      <w:pPr>
        <w:pStyle w:val="EndNoteBibliography"/>
        <w:spacing w:after="0"/>
        <w:ind w:left="720" w:hanging="720"/>
      </w:pPr>
      <w:bookmarkStart w:id="213" w:name="_ENREF_68"/>
      <w:r w:rsidRPr="00E075A0">
        <w:t>68.</w:t>
      </w:r>
      <w:r w:rsidRPr="00E075A0">
        <w:tab/>
        <w:t xml:space="preserve">Wilson, M.Z., et al., </w:t>
      </w:r>
      <w:r w:rsidRPr="00E075A0">
        <w:rPr>
          <w:i/>
        </w:rPr>
        <w:t>Attributable costs of central line-associated bloodstream infections in a pediatric hematology/oncology population.</w:t>
      </w:r>
      <w:r w:rsidRPr="00E075A0">
        <w:t xml:space="preserve"> Am J Infect Control, 2014. </w:t>
      </w:r>
      <w:r w:rsidRPr="00E075A0">
        <w:rPr>
          <w:b/>
        </w:rPr>
        <w:t>42</w:t>
      </w:r>
      <w:r w:rsidRPr="00E075A0">
        <w:t>(11): p. 1157-60.</w:t>
      </w:r>
      <w:bookmarkEnd w:id="213"/>
    </w:p>
    <w:p w:rsidR="006A57B2" w:rsidRPr="00E075A0" w:rsidRDefault="006A57B2" w:rsidP="00E075A0">
      <w:pPr>
        <w:pStyle w:val="EndNoteBibliography"/>
        <w:spacing w:after="0"/>
        <w:ind w:left="720" w:hanging="720"/>
      </w:pPr>
      <w:bookmarkStart w:id="214" w:name="_ENREF_69"/>
      <w:r w:rsidRPr="00E075A0">
        <w:t>69.</w:t>
      </w:r>
      <w:r w:rsidRPr="00E075A0">
        <w:tab/>
        <w:t xml:space="preserve">Health &amp; Social Care Information Centre. </w:t>
      </w:r>
      <w:r w:rsidRPr="00E075A0">
        <w:rPr>
          <w:i/>
        </w:rPr>
        <w:t xml:space="preserve">Data Linkage &amp; Extract Service </w:t>
      </w:r>
      <w:r w:rsidRPr="00E075A0">
        <w:t xml:space="preserve">[cited 2014 8th June]; Available from: </w:t>
      </w:r>
      <w:r w:rsidRPr="006A57B2">
        <w:t>http://www.hscic.gov.uk/dles</w:t>
      </w:r>
      <w:r w:rsidRPr="00E075A0">
        <w:t>.</w:t>
      </w:r>
      <w:bookmarkEnd w:id="214"/>
    </w:p>
    <w:p w:rsidR="006A57B2" w:rsidRPr="00E075A0" w:rsidRDefault="006A57B2" w:rsidP="00E075A0">
      <w:pPr>
        <w:pStyle w:val="EndNoteBibliography"/>
        <w:spacing w:after="0"/>
        <w:ind w:left="720" w:hanging="720"/>
      </w:pPr>
      <w:bookmarkStart w:id="215" w:name="_ENREF_70"/>
      <w:r w:rsidRPr="00E075A0">
        <w:t>70.</w:t>
      </w:r>
      <w:r w:rsidRPr="00E075A0">
        <w:tab/>
        <w:t>National Schedule of Reference Costs 2012-13.   [cited 2014 8th June]; Available from: https://</w:t>
      </w:r>
      <w:r w:rsidRPr="006A57B2">
        <w:t>www.gov.uk/government/publications/nhs-reference-costs-2012-to-2013</w:t>
      </w:r>
      <w:r w:rsidRPr="00E075A0">
        <w:t>.</w:t>
      </w:r>
      <w:bookmarkEnd w:id="215"/>
    </w:p>
    <w:p w:rsidR="006A57B2" w:rsidRPr="00E075A0" w:rsidRDefault="006A57B2" w:rsidP="00E075A0">
      <w:pPr>
        <w:pStyle w:val="EndNoteBibliography"/>
        <w:spacing w:after="0"/>
        <w:ind w:left="720" w:hanging="720"/>
      </w:pPr>
      <w:bookmarkStart w:id="216" w:name="_ENREF_71"/>
      <w:r w:rsidRPr="00E075A0">
        <w:t>71.</w:t>
      </w:r>
      <w:r w:rsidRPr="00E075A0">
        <w:tab/>
        <w:t>2012-2013, N.T.   [cited 2014 8th June]; Available from: https://</w:t>
      </w:r>
      <w:r w:rsidRPr="006A57B2">
        <w:t>www.gov.uk/government/publications/confirmation-of-payment-by-results-pbr-arrangements-for-2012-13</w:t>
      </w:r>
      <w:r w:rsidRPr="00E075A0">
        <w:t xml:space="preserve"> </w:t>
      </w:r>
      <w:bookmarkEnd w:id="216"/>
    </w:p>
    <w:p w:rsidR="006A57B2" w:rsidRPr="00E075A0" w:rsidRDefault="006A57B2" w:rsidP="00E075A0">
      <w:pPr>
        <w:pStyle w:val="EndNoteBibliography"/>
        <w:spacing w:after="0"/>
        <w:ind w:left="720" w:hanging="720"/>
      </w:pPr>
      <w:bookmarkStart w:id="217" w:name="_ENREF_72"/>
      <w:r w:rsidRPr="00E075A0">
        <w:t>72.</w:t>
      </w:r>
      <w:r w:rsidRPr="00E075A0">
        <w:tab/>
        <w:t xml:space="preserve">Fenwick, E., K. Claxton, and M. Sculpher, </w:t>
      </w:r>
      <w:r w:rsidRPr="00E075A0">
        <w:rPr>
          <w:i/>
        </w:rPr>
        <w:t>Representing uncertainty: the role of cost-effectiveness acceptability curves.</w:t>
      </w:r>
      <w:r w:rsidRPr="00E075A0">
        <w:t xml:space="preserve"> Health Econ, 2001. </w:t>
      </w:r>
      <w:r w:rsidRPr="00E075A0">
        <w:rPr>
          <w:b/>
        </w:rPr>
        <w:t>10</w:t>
      </w:r>
      <w:r w:rsidRPr="00E075A0">
        <w:t>(8): p. 779-87.</w:t>
      </w:r>
      <w:bookmarkEnd w:id="217"/>
    </w:p>
    <w:p w:rsidR="006A57B2" w:rsidRPr="00E075A0" w:rsidRDefault="006A57B2" w:rsidP="00E075A0">
      <w:pPr>
        <w:pStyle w:val="EndNoteBibliography"/>
        <w:spacing w:after="0"/>
        <w:ind w:left="720" w:hanging="720"/>
      </w:pPr>
      <w:bookmarkStart w:id="218" w:name="_ENREF_73"/>
      <w:r w:rsidRPr="00E075A0">
        <w:t>73.</w:t>
      </w:r>
      <w:r w:rsidRPr="00E075A0">
        <w:tab/>
        <w:t xml:space="preserve">Mihaylova, B., et al., </w:t>
      </w:r>
      <w:r w:rsidRPr="00E075A0">
        <w:rPr>
          <w:i/>
        </w:rPr>
        <w:t>Review of statistical methods for analysing healthcare resources and costs.</w:t>
      </w:r>
      <w:r w:rsidRPr="00E075A0">
        <w:t xml:space="preserve"> Health Econ, 2011. </w:t>
      </w:r>
      <w:r w:rsidRPr="00E075A0">
        <w:rPr>
          <w:b/>
        </w:rPr>
        <w:t>20</w:t>
      </w:r>
      <w:r w:rsidRPr="00E075A0">
        <w:t>(8): p. 897-916.</w:t>
      </w:r>
      <w:bookmarkEnd w:id="218"/>
    </w:p>
    <w:p w:rsidR="006A57B2" w:rsidRPr="00E075A0" w:rsidRDefault="006A57B2" w:rsidP="00E075A0">
      <w:pPr>
        <w:pStyle w:val="EndNoteBibliography"/>
        <w:spacing w:after="0"/>
        <w:ind w:left="720" w:hanging="720"/>
      </w:pPr>
      <w:bookmarkStart w:id="219" w:name="_ENREF_74"/>
      <w:r w:rsidRPr="00E075A0">
        <w:t>74.</w:t>
      </w:r>
      <w:r w:rsidRPr="00E075A0">
        <w:tab/>
        <w:t xml:space="preserve">Glick HA, D.J., Sonnad AA, Polsky D, </w:t>
      </w:r>
      <w:r w:rsidRPr="00E075A0">
        <w:rPr>
          <w:i/>
        </w:rPr>
        <w:t>Economic evaluaton in clinical trials</w:t>
      </w:r>
      <w:r w:rsidRPr="00E075A0">
        <w:t xml:space="preserve">. 2007, Oxford: Oxford University Press </w:t>
      </w:r>
      <w:bookmarkEnd w:id="219"/>
    </w:p>
    <w:p w:rsidR="006A57B2" w:rsidRPr="00E075A0" w:rsidRDefault="006A57B2" w:rsidP="00E075A0">
      <w:pPr>
        <w:pStyle w:val="EndNoteBibliography"/>
        <w:spacing w:after="0"/>
        <w:ind w:left="720" w:hanging="720"/>
      </w:pPr>
      <w:bookmarkStart w:id="220" w:name="_ENREF_75"/>
      <w:r w:rsidRPr="00E075A0">
        <w:t>75.</w:t>
      </w:r>
      <w:r w:rsidRPr="00E075A0">
        <w:tab/>
        <w:t xml:space="preserve">Husereau, D., et al., </w:t>
      </w:r>
      <w:r w:rsidRPr="00E075A0">
        <w:rPr>
          <w:i/>
        </w:rPr>
        <w:t xml:space="preserve">Consolidated Health Economic Evaluation Reporting Standards (CHEERS) statement </w:t>
      </w:r>
      <w:r w:rsidRPr="00E075A0">
        <w:t xml:space="preserve">BMJ, 2013. </w:t>
      </w:r>
      <w:r w:rsidRPr="00E075A0">
        <w:rPr>
          <w:b/>
        </w:rPr>
        <w:t>346</w:t>
      </w:r>
      <w:r w:rsidRPr="00E075A0">
        <w:t>: p. f1049.</w:t>
      </w:r>
      <w:bookmarkEnd w:id="220"/>
    </w:p>
    <w:p w:rsidR="006A57B2" w:rsidRPr="00E075A0" w:rsidRDefault="006A57B2" w:rsidP="00E075A0">
      <w:pPr>
        <w:pStyle w:val="EndNoteBibliography"/>
        <w:spacing w:after="0"/>
        <w:ind w:left="720" w:hanging="720"/>
      </w:pPr>
      <w:bookmarkStart w:id="221" w:name="_ENREF_76"/>
      <w:r w:rsidRPr="00E075A0">
        <w:t>76.</w:t>
      </w:r>
      <w:r w:rsidRPr="00E075A0">
        <w:tab/>
        <w:t xml:space="preserve">Braunholtz, D.A., S.J. Edwards, and R.J. Lilford, </w:t>
      </w:r>
      <w:r w:rsidRPr="00E075A0">
        <w:rPr>
          <w:i/>
        </w:rPr>
        <w:t>Are randomized clinical trials good for us (in the short term)? Evidence for a “trial effect”.</w:t>
      </w:r>
      <w:r w:rsidRPr="00E075A0">
        <w:t xml:space="preserve"> J Clin Epidemiol, 2001. </w:t>
      </w:r>
      <w:r w:rsidRPr="00E075A0">
        <w:rPr>
          <w:b/>
        </w:rPr>
        <w:t>54</w:t>
      </w:r>
      <w:r w:rsidRPr="00E075A0">
        <w:t>(3): p. 217-224.</w:t>
      </w:r>
      <w:bookmarkEnd w:id="221"/>
    </w:p>
    <w:p w:rsidR="006A57B2" w:rsidRPr="00E075A0" w:rsidRDefault="006A57B2" w:rsidP="00E075A0">
      <w:pPr>
        <w:pStyle w:val="EndNoteBibliography"/>
        <w:spacing w:after="0"/>
        <w:ind w:left="720" w:hanging="720"/>
      </w:pPr>
      <w:bookmarkStart w:id="222" w:name="_ENREF_77"/>
      <w:r w:rsidRPr="00E075A0">
        <w:t>77.</w:t>
      </w:r>
      <w:r w:rsidRPr="00E075A0">
        <w:tab/>
        <w:t xml:space="preserve">Harron, K., et al., </w:t>
      </w:r>
      <w:r w:rsidRPr="00E075A0">
        <w:rPr>
          <w:i/>
        </w:rPr>
        <w:t>Linkage, evaluation and analysis of national electronic healthcare data: application to providing enhanced blood-stream infection surveillance in paediatric intensive care.</w:t>
      </w:r>
      <w:r w:rsidRPr="00E075A0">
        <w:t xml:space="preserve"> PLoS One, 2013. </w:t>
      </w:r>
      <w:r w:rsidRPr="00E075A0">
        <w:rPr>
          <w:b/>
        </w:rPr>
        <w:t>8</w:t>
      </w:r>
      <w:r w:rsidRPr="00E075A0">
        <w:t>(12): p. e85278.</w:t>
      </w:r>
      <w:bookmarkEnd w:id="222"/>
    </w:p>
    <w:p w:rsidR="006A57B2" w:rsidRPr="00E075A0" w:rsidRDefault="006A57B2" w:rsidP="00E075A0">
      <w:pPr>
        <w:pStyle w:val="EndNoteBibliography"/>
        <w:spacing w:after="0"/>
        <w:ind w:left="720" w:hanging="720"/>
      </w:pPr>
      <w:bookmarkStart w:id="223" w:name="_ENREF_78"/>
      <w:r w:rsidRPr="00E075A0">
        <w:t>78.</w:t>
      </w:r>
      <w:r w:rsidRPr="00E075A0">
        <w:tab/>
        <w:t xml:space="preserve">Wilson J, et al., </w:t>
      </w:r>
      <w:r w:rsidRPr="00E075A0">
        <w:rPr>
          <w:i/>
        </w:rPr>
        <w:t>Trends among pathogens reported as causing bacteraemia in England, 2004–2008.</w:t>
      </w:r>
      <w:r w:rsidRPr="00E075A0">
        <w:t xml:space="preserve"> Clin Microbiol Infect, 2011. </w:t>
      </w:r>
      <w:r w:rsidRPr="00E075A0">
        <w:rPr>
          <w:b/>
        </w:rPr>
        <w:t>17</w:t>
      </w:r>
      <w:r w:rsidRPr="00E075A0">
        <w:t>(3): p. 451-8.</w:t>
      </w:r>
      <w:bookmarkEnd w:id="223"/>
    </w:p>
    <w:p w:rsidR="006A57B2" w:rsidRPr="00E075A0" w:rsidRDefault="006A57B2" w:rsidP="00E075A0">
      <w:pPr>
        <w:pStyle w:val="EndNoteBibliography"/>
        <w:spacing w:after="0"/>
        <w:ind w:left="720" w:hanging="720"/>
      </w:pPr>
      <w:bookmarkStart w:id="224" w:name="_ENREF_79"/>
      <w:r w:rsidRPr="00E075A0">
        <w:t>79.</w:t>
      </w:r>
      <w:r w:rsidRPr="00E075A0">
        <w:tab/>
        <w:t xml:space="preserve">Goldstein, H., K. Harron, and A. Wade, </w:t>
      </w:r>
      <w:r w:rsidRPr="00E075A0">
        <w:rPr>
          <w:i/>
        </w:rPr>
        <w:t>The analysis of record-linked data using multiple imputation with data value priors.</w:t>
      </w:r>
      <w:r w:rsidRPr="00E075A0">
        <w:t xml:space="preserve"> Stat Med, 2012. </w:t>
      </w:r>
      <w:r w:rsidRPr="00E075A0">
        <w:rPr>
          <w:b/>
        </w:rPr>
        <w:t>31</w:t>
      </w:r>
      <w:r w:rsidRPr="00E075A0">
        <w:t>(28): p. 3481-93.</w:t>
      </w:r>
      <w:bookmarkEnd w:id="224"/>
    </w:p>
    <w:p w:rsidR="006A57B2" w:rsidRPr="00E075A0" w:rsidRDefault="006A57B2" w:rsidP="00E075A0">
      <w:pPr>
        <w:pStyle w:val="EndNoteBibliography"/>
        <w:spacing w:after="0"/>
        <w:ind w:left="720" w:hanging="720"/>
      </w:pPr>
      <w:bookmarkStart w:id="225" w:name="_ENREF_80"/>
      <w:r w:rsidRPr="00E075A0">
        <w:t>80.</w:t>
      </w:r>
      <w:r w:rsidRPr="00E075A0">
        <w:tab/>
        <w:t xml:space="preserve">Harron, K., et al., </w:t>
      </w:r>
      <w:r w:rsidRPr="00E075A0">
        <w:rPr>
          <w:i/>
        </w:rPr>
        <w:t>Evaluating bias due to data linkage error in electronic healthcare records.</w:t>
      </w:r>
      <w:r w:rsidRPr="00E075A0">
        <w:t xml:space="preserve"> BMC Med Res Methodol, 2014. </w:t>
      </w:r>
      <w:r w:rsidRPr="00E075A0">
        <w:rPr>
          <w:b/>
        </w:rPr>
        <w:t>14</w:t>
      </w:r>
      <w:r w:rsidRPr="00E075A0">
        <w:t>(1): p. 36.</w:t>
      </w:r>
      <w:bookmarkEnd w:id="225"/>
    </w:p>
    <w:p w:rsidR="006A57B2" w:rsidRPr="00E075A0" w:rsidRDefault="006A57B2" w:rsidP="00E075A0">
      <w:pPr>
        <w:pStyle w:val="EndNoteBibliography"/>
        <w:spacing w:after="0"/>
        <w:ind w:left="720" w:hanging="720"/>
      </w:pPr>
      <w:bookmarkStart w:id="226" w:name="_ENREF_81"/>
      <w:r w:rsidRPr="00E075A0">
        <w:t>81.</w:t>
      </w:r>
      <w:r w:rsidRPr="00E075A0">
        <w:tab/>
        <w:t xml:space="preserve">Rubin, D., </w:t>
      </w:r>
      <w:r w:rsidRPr="00E075A0">
        <w:rPr>
          <w:i/>
        </w:rPr>
        <w:t>Multiple imputation for nonresponse in surveys</w:t>
      </w:r>
      <w:r w:rsidRPr="00E075A0">
        <w:t>. 1987, New York: Wiley.</w:t>
      </w:r>
      <w:bookmarkEnd w:id="226"/>
    </w:p>
    <w:p w:rsidR="006A57B2" w:rsidRPr="00E075A0" w:rsidRDefault="006A57B2" w:rsidP="00E075A0">
      <w:pPr>
        <w:pStyle w:val="EndNoteBibliography"/>
        <w:spacing w:after="0"/>
        <w:ind w:left="720" w:hanging="720"/>
      </w:pPr>
      <w:bookmarkStart w:id="227" w:name="_ENREF_82"/>
      <w:r w:rsidRPr="00E075A0">
        <w:t>82.</w:t>
      </w:r>
      <w:r w:rsidRPr="00E075A0">
        <w:tab/>
        <w:t xml:space="preserve">Harron, K., </w:t>
      </w:r>
      <w:r w:rsidRPr="00E075A0">
        <w:rPr>
          <w:i/>
        </w:rPr>
        <w:t>Evaluating data linkage techniques for the analysis of bloodstream infection in paediatric intensive care</w:t>
      </w:r>
      <w:r w:rsidRPr="00E075A0">
        <w:t>. 2014, University College London.</w:t>
      </w:r>
      <w:bookmarkEnd w:id="227"/>
    </w:p>
    <w:p w:rsidR="006A57B2" w:rsidRPr="00E075A0" w:rsidRDefault="006A57B2" w:rsidP="00E075A0">
      <w:pPr>
        <w:pStyle w:val="EndNoteBibliography"/>
        <w:spacing w:after="0"/>
        <w:ind w:left="720" w:hanging="720"/>
      </w:pPr>
      <w:bookmarkStart w:id="228" w:name="_ENREF_83"/>
      <w:r w:rsidRPr="00E075A0">
        <w:t>83.</w:t>
      </w:r>
      <w:r w:rsidRPr="00E075A0">
        <w:tab/>
        <w:t xml:space="preserve">Steyerberg, E.W., et al., </w:t>
      </w:r>
      <w:r w:rsidRPr="00E075A0">
        <w:rPr>
          <w:i/>
        </w:rPr>
        <w:t>Internal validation of predictive models: efficiency of some procedures for logistic regression analysis.</w:t>
      </w:r>
      <w:r w:rsidRPr="00E075A0">
        <w:t xml:space="preserve"> J Clin Epidemiol, 2001. </w:t>
      </w:r>
      <w:r w:rsidRPr="00E075A0">
        <w:rPr>
          <w:b/>
        </w:rPr>
        <w:t>54</w:t>
      </w:r>
      <w:r w:rsidRPr="00E075A0">
        <w:t>(8): p. 774-781.</w:t>
      </w:r>
      <w:bookmarkEnd w:id="228"/>
    </w:p>
    <w:p w:rsidR="006A57B2" w:rsidRPr="00E075A0" w:rsidRDefault="006A57B2" w:rsidP="00E075A0">
      <w:pPr>
        <w:pStyle w:val="EndNoteBibliography"/>
        <w:spacing w:after="0"/>
        <w:ind w:left="720" w:hanging="720"/>
      </w:pPr>
      <w:bookmarkStart w:id="229" w:name="_ENREF_84"/>
      <w:r w:rsidRPr="00E075A0">
        <w:t>84.</w:t>
      </w:r>
      <w:r w:rsidRPr="00E075A0">
        <w:tab/>
        <w:t xml:space="preserve">Steyerberg, E.W., et al., </w:t>
      </w:r>
      <w:r w:rsidRPr="00E075A0">
        <w:rPr>
          <w:i/>
        </w:rPr>
        <w:t>Prognostic modeling with logistic regression analysis: in search of a sensible strategy in small data sets.</w:t>
      </w:r>
      <w:r w:rsidRPr="00E075A0">
        <w:t xml:space="preserve"> Med Decis Making, 2001. </w:t>
      </w:r>
      <w:r w:rsidRPr="00E075A0">
        <w:rPr>
          <w:b/>
        </w:rPr>
        <w:t>21</w:t>
      </w:r>
      <w:r w:rsidRPr="00E075A0">
        <w:t>(1): p. 45-56.</w:t>
      </w:r>
      <w:bookmarkEnd w:id="229"/>
    </w:p>
    <w:p w:rsidR="006A57B2" w:rsidRPr="00E075A0" w:rsidRDefault="006A57B2" w:rsidP="00E075A0">
      <w:pPr>
        <w:pStyle w:val="EndNoteBibliography"/>
        <w:spacing w:after="0"/>
        <w:ind w:left="720" w:hanging="720"/>
      </w:pPr>
      <w:bookmarkStart w:id="230" w:name="_ENREF_85"/>
      <w:r w:rsidRPr="00E075A0">
        <w:t>85.</w:t>
      </w:r>
      <w:r w:rsidRPr="00E075A0">
        <w:tab/>
        <w:t xml:space="preserve">Harrell, F., K.L. Lee, and D.B. Mark, </w:t>
      </w:r>
      <w:r w:rsidRPr="00E075A0">
        <w:rPr>
          <w:i/>
        </w:rPr>
        <w:t>Tutorial in biostatistics multivariable prognostic models: issues in developing models, evaluating assumptions and adequacy, and measuring and reducing errors.</w:t>
      </w:r>
      <w:r w:rsidRPr="00E075A0">
        <w:t xml:space="preserve"> Stat Med, 1996. </w:t>
      </w:r>
      <w:r w:rsidRPr="00E075A0">
        <w:rPr>
          <w:b/>
        </w:rPr>
        <w:t>15</w:t>
      </w:r>
      <w:r w:rsidRPr="00E075A0">
        <w:t>: p. 361-387.</w:t>
      </w:r>
      <w:bookmarkEnd w:id="230"/>
    </w:p>
    <w:p w:rsidR="006A57B2" w:rsidRPr="00E075A0" w:rsidRDefault="006A57B2" w:rsidP="00E075A0">
      <w:pPr>
        <w:pStyle w:val="EndNoteBibliography"/>
        <w:spacing w:after="0"/>
        <w:ind w:left="720" w:hanging="720"/>
      </w:pPr>
      <w:bookmarkStart w:id="231" w:name="_ENREF_86"/>
      <w:r w:rsidRPr="00E075A0">
        <w:t>86.</w:t>
      </w:r>
      <w:r w:rsidRPr="00E075A0">
        <w:tab/>
        <w:t xml:space="preserve">Fluss, R., D. Faraggi, and B. Reiser, </w:t>
      </w:r>
      <w:r w:rsidRPr="00E075A0">
        <w:rPr>
          <w:i/>
        </w:rPr>
        <w:t>Estimation of the Youden Index and its associated cutoff point.</w:t>
      </w:r>
      <w:r w:rsidRPr="00E075A0">
        <w:t xml:space="preserve"> Biom J, 2005. </w:t>
      </w:r>
      <w:r w:rsidRPr="00E075A0">
        <w:rPr>
          <w:b/>
        </w:rPr>
        <w:t>47</w:t>
      </w:r>
      <w:r w:rsidRPr="00E075A0">
        <w:t>(4): p. 458-472.</w:t>
      </w:r>
      <w:bookmarkEnd w:id="231"/>
    </w:p>
    <w:p w:rsidR="006A57B2" w:rsidRPr="00E075A0" w:rsidRDefault="006A57B2" w:rsidP="00E075A0">
      <w:pPr>
        <w:pStyle w:val="EndNoteBibliography"/>
        <w:spacing w:after="0"/>
        <w:ind w:left="720" w:hanging="720"/>
      </w:pPr>
      <w:bookmarkStart w:id="232" w:name="_ENREF_87"/>
      <w:r w:rsidRPr="00E075A0">
        <w:t>87.</w:t>
      </w:r>
      <w:r w:rsidRPr="00E075A0">
        <w:tab/>
        <w:t xml:space="preserve">O’Hagan, A., et al., </w:t>
      </w:r>
      <w:r w:rsidRPr="00E075A0">
        <w:rPr>
          <w:i/>
        </w:rPr>
        <w:t>Incorporation of uncertainty in health economic modelling studies.</w:t>
      </w:r>
      <w:r w:rsidRPr="00E075A0">
        <w:t xml:space="preserve"> Pharmacoeconomics, 2005. </w:t>
      </w:r>
      <w:r w:rsidRPr="00E075A0">
        <w:rPr>
          <w:b/>
        </w:rPr>
        <w:t>23</w:t>
      </w:r>
      <w:r w:rsidRPr="00E075A0">
        <w:t>(6): p. 529-536.</w:t>
      </w:r>
      <w:bookmarkEnd w:id="232"/>
    </w:p>
    <w:p w:rsidR="006A57B2" w:rsidRPr="00E075A0" w:rsidRDefault="006A57B2" w:rsidP="00E075A0">
      <w:pPr>
        <w:pStyle w:val="EndNoteBibliography"/>
        <w:spacing w:after="0"/>
        <w:ind w:left="720" w:hanging="720"/>
      </w:pPr>
      <w:bookmarkStart w:id="233" w:name="_ENREF_88"/>
      <w:r w:rsidRPr="00E075A0">
        <w:t>88.</w:t>
      </w:r>
      <w:r w:rsidRPr="00E075A0">
        <w:tab/>
        <w:t xml:space="preserve">Angus, D.C., J.P. Mira, and J.L. Vincent, </w:t>
      </w:r>
      <w:r w:rsidRPr="00E075A0">
        <w:rPr>
          <w:i/>
        </w:rPr>
        <w:t>Improving clinical trials in the critically ill.</w:t>
      </w:r>
      <w:r w:rsidRPr="00E075A0">
        <w:t xml:space="preserve"> Crit Care Med, 2010. </w:t>
      </w:r>
      <w:r w:rsidRPr="00E075A0">
        <w:rPr>
          <w:b/>
        </w:rPr>
        <w:t>38</w:t>
      </w:r>
      <w:r w:rsidRPr="00E075A0">
        <w:t>(2): p. 527.</w:t>
      </w:r>
      <w:bookmarkEnd w:id="233"/>
    </w:p>
    <w:p w:rsidR="006A57B2" w:rsidRPr="00E075A0" w:rsidRDefault="006A57B2" w:rsidP="00E075A0">
      <w:pPr>
        <w:pStyle w:val="EndNoteBibliography"/>
        <w:spacing w:after="0"/>
        <w:ind w:left="720" w:hanging="720"/>
      </w:pPr>
      <w:bookmarkStart w:id="234" w:name="_ENREF_89"/>
      <w:r w:rsidRPr="00E075A0">
        <w:t>89.</w:t>
      </w:r>
      <w:r w:rsidRPr="00E075A0">
        <w:tab/>
        <w:t xml:space="preserve">Schierholz, J., et al., </w:t>
      </w:r>
      <w:r w:rsidRPr="00E075A0">
        <w:rPr>
          <w:i/>
        </w:rPr>
        <w:t>The antimicrobial efficacy of a new central venous catheter with long-term broad-spectrum activity.</w:t>
      </w:r>
      <w:r w:rsidRPr="00E075A0">
        <w:t xml:space="preserve"> J Antimicrob Chemoth, 2000. </w:t>
      </w:r>
      <w:r w:rsidRPr="00E075A0">
        <w:rPr>
          <w:b/>
        </w:rPr>
        <w:t>46</w:t>
      </w:r>
      <w:r w:rsidRPr="00E075A0">
        <w:t>(1): p. 45-50.</w:t>
      </w:r>
      <w:bookmarkEnd w:id="234"/>
    </w:p>
    <w:p w:rsidR="006A57B2" w:rsidRPr="00E075A0" w:rsidRDefault="006A57B2" w:rsidP="00E075A0">
      <w:pPr>
        <w:pStyle w:val="EndNoteBibliography"/>
        <w:spacing w:after="0"/>
        <w:ind w:left="720" w:hanging="720"/>
      </w:pPr>
      <w:bookmarkStart w:id="235" w:name="_ENREF_90"/>
      <w:r w:rsidRPr="00E075A0">
        <w:t>90.</w:t>
      </w:r>
      <w:r w:rsidRPr="00E075A0">
        <w:tab/>
        <w:t xml:space="preserve">Dondorp, A.M., et al., </w:t>
      </w:r>
      <w:r w:rsidRPr="00E075A0">
        <w:rPr>
          <w:i/>
        </w:rPr>
        <w:t>Artesunate versus quinine in the treatment of severe falciparum malaria in African children (AQUAMAT): an open-label, randomised trial.</w:t>
      </w:r>
      <w:r w:rsidRPr="00E075A0">
        <w:t xml:space="preserve"> Lancet, 2010. </w:t>
      </w:r>
      <w:r w:rsidRPr="00E075A0">
        <w:rPr>
          <w:b/>
        </w:rPr>
        <w:t>376</w:t>
      </w:r>
      <w:r w:rsidRPr="00E075A0">
        <w:t>(9753): p. 1647-1657.</w:t>
      </w:r>
      <w:bookmarkEnd w:id="235"/>
    </w:p>
    <w:p w:rsidR="006A57B2" w:rsidRPr="00E075A0" w:rsidRDefault="006A57B2" w:rsidP="00E075A0">
      <w:pPr>
        <w:pStyle w:val="EndNoteBibliography"/>
        <w:spacing w:after="0"/>
        <w:ind w:left="720" w:hanging="720"/>
      </w:pPr>
      <w:bookmarkStart w:id="236" w:name="_ENREF_91"/>
      <w:r w:rsidRPr="00E075A0">
        <w:t>91.</w:t>
      </w:r>
      <w:r w:rsidRPr="00E075A0">
        <w:tab/>
        <w:t xml:space="preserve">Claxton, K., </w:t>
      </w:r>
      <w:r w:rsidRPr="00E075A0">
        <w:rPr>
          <w:i/>
        </w:rPr>
        <w:t>The irrelevance of inference: a decision-making approach to the stochastic evaluation of health care technologies.</w:t>
      </w:r>
      <w:r w:rsidRPr="00E075A0">
        <w:t xml:space="preserve"> J Health Econ, 1999. </w:t>
      </w:r>
      <w:r w:rsidRPr="00E075A0">
        <w:rPr>
          <w:b/>
        </w:rPr>
        <w:t>18</w:t>
      </w:r>
      <w:r w:rsidRPr="00E075A0">
        <w:t>(3): p. 341-64.</w:t>
      </w:r>
      <w:bookmarkEnd w:id="236"/>
    </w:p>
    <w:p w:rsidR="006A57B2" w:rsidRPr="00E075A0" w:rsidRDefault="006A57B2" w:rsidP="00E075A0">
      <w:pPr>
        <w:pStyle w:val="EndNoteBibliography"/>
        <w:spacing w:after="0"/>
        <w:ind w:left="720" w:hanging="720"/>
      </w:pPr>
      <w:bookmarkStart w:id="237" w:name="_ENREF_92"/>
      <w:r w:rsidRPr="00E075A0">
        <w:t>92.</w:t>
      </w:r>
      <w:r w:rsidRPr="00E075A0">
        <w:tab/>
        <w:t xml:space="preserve">Kerren, R., Pati S, Feudtner C., </w:t>
      </w:r>
      <w:r w:rsidRPr="00E075A0">
        <w:rPr>
          <w:i/>
        </w:rPr>
        <w:t>The generation gap; difference between children and adults pertinent to economic evaluations of health interventions.</w:t>
      </w:r>
      <w:r w:rsidRPr="00E075A0">
        <w:t xml:space="preserve"> Pharmacoeconomics, 2004. </w:t>
      </w:r>
      <w:r w:rsidRPr="00E075A0">
        <w:rPr>
          <w:b/>
        </w:rPr>
        <w:t>22</w:t>
      </w:r>
      <w:r w:rsidRPr="00E075A0">
        <w:t>: p. 71-81.</w:t>
      </w:r>
      <w:bookmarkEnd w:id="237"/>
    </w:p>
    <w:p w:rsidR="006A57B2" w:rsidRPr="00E075A0" w:rsidRDefault="006A57B2" w:rsidP="00E075A0">
      <w:pPr>
        <w:pStyle w:val="EndNoteBibliography"/>
        <w:spacing w:after="0"/>
        <w:ind w:left="720" w:hanging="720"/>
      </w:pPr>
      <w:bookmarkStart w:id="238" w:name="_ENREF_93"/>
      <w:r w:rsidRPr="00E075A0">
        <w:t>93.</w:t>
      </w:r>
      <w:r w:rsidRPr="00E075A0">
        <w:tab/>
        <w:t xml:space="preserve">Tarride JE, B.N., Bischof M, Hopkins RB, Goeree L, Campbell K, Xie F, O'Reilly D, Goeree R, </w:t>
      </w:r>
      <w:r w:rsidRPr="00E075A0">
        <w:rPr>
          <w:i/>
        </w:rPr>
        <w:t>A review of health utilities across conditions common in paediatric and adult populations.</w:t>
      </w:r>
      <w:r w:rsidRPr="00E075A0">
        <w:t xml:space="preserve"> Health and Quality of Life Outcomes 2010. </w:t>
      </w:r>
      <w:r w:rsidRPr="00E075A0">
        <w:rPr>
          <w:b/>
        </w:rPr>
        <w:t>8</w:t>
      </w:r>
      <w:r w:rsidRPr="00E075A0">
        <w:t>.</w:t>
      </w:r>
      <w:bookmarkEnd w:id="238"/>
    </w:p>
    <w:p w:rsidR="006A57B2" w:rsidRPr="00E075A0" w:rsidRDefault="006A57B2" w:rsidP="00E075A0">
      <w:pPr>
        <w:pStyle w:val="EndNoteBibliography"/>
        <w:spacing w:after="0"/>
        <w:ind w:left="720" w:hanging="720"/>
      </w:pPr>
      <w:bookmarkStart w:id="239" w:name="_ENREF_94"/>
      <w:r w:rsidRPr="00E075A0">
        <w:t>94.</w:t>
      </w:r>
      <w:r w:rsidRPr="00E075A0">
        <w:tab/>
        <w:t xml:space="preserve">Harron, K., et al., </w:t>
      </w:r>
      <w:r w:rsidRPr="00E075A0">
        <w:rPr>
          <w:i/>
        </w:rPr>
        <w:t>Risk of bloodstream infection in children admitted to paediatric intensive care units in England and Wales following emergency inter-hospital transfer.</w:t>
      </w:r>
      <w:r w:rsidRPr="00E075A0">
        <w:t xml:space="preserve"> Intens Care Med, 2014. </w:t>
      </w:r>
      <w:r w:rsidRPr="00E075A0">
        <w:rPr>
          <w:b/>
        </w:rPr>
        <w:t>(in press)</w:t>
      </w:r>
      <w:r w:rsidRPr="00E075A0">
        <w:t>.</w:t>
      </w:r>
      <w:bookmarkEnd w:id="239"/>
    </w:p>
    <w:p w:rsidR="006A57B2" w:rsidRPr="00E075A0" w:rsidRDefault="006A57B2" w:rsidP="00E075A0">
      <w:pPr>
        <w:pStyle w:val="EndNoteBibliography"/>
        <w:spacing w:after="0"/>
        <w:ind w:left="720" w:hanging="720"/>
      </w:pPr>
      <w:bookmarkStart w:id="240" w:name="_ENREF_95"/>
      <w:r w:rsidRPr="00E075A0">
        <w:t>95.</w:t>
      </w:r>
      <w:r w:rsidRPr="00E075A0">
        <w:tab/>
        <w:t xml:space="preserve">Briggs, A., </w:t>
      </w:r>
      <w:r w:rsidRPr="00E075A0">
        <w:rPr>
          <w:i/>
        </w:rPr>
        <w:t>Probabilistic analysis of cost-effectiveness models: statistical representation of parameter uncertainty.</w:t>
      </w:r>
      <w:r w:rsidRPr="00E075A0">
        <w:t xml:space="preserve"> Value Health, 2005. </w:t>
      </w:r>
      <w:r w:rsidRPr="00E075A0">
        <w:rPr>
          <w:b/>
        </w:rPr>
        <w:t>8</w:t>
      </w:r>
      <w:r w:rsidRPr="00E075A0">
        <w:t>(1): p. 1-2.</w:t>
      </w:r>
      <w:bookmarkEnd w:id="240"/>
    </w:p>
    <w:p w:rsidR="006A57B2" w:rsidRPr="00E075A0" w:rsidRDefault="006A57B2" w:rsidP="00E075A0">
      <w:pPr>
        <w:pStyle w:val="EndNoteBibliography"/>
        <w:spacing w:after="0"/>
        <w:ind w:left="720" w:hanging="720"/>
      </w:pPr>
      <w:bookmarkStart w:id="241" w:name="_ENREF_96"/>
      <w:r w:rsidRPr="00E075A0">
        <w:t>96.</w:t>
      </w:r>
      <w:r w:rsidRPr="00E075A0">
        <w:tab/>
        <w:t xml:space="preserve">Claxton, K., et al., </w:t>
      </w:r>
      <w:r w:rsidRPr="00E075A0">
        <w:rPr>
          <w:i/>
        </w:rPr>
        <w:t>Probabilistic sensitivity analysis for NICE technology assessment: not an optional extra.</w:t>
      </w:r>
      <w:r w:rsidRPr="00E075A0">
        <w:t xml:space="preserve"> Health Econ, 2005. </w:t>
      </w:r>
      <w:r w:rsidRPr="00E075A0">
        <w:rPr>
          <w:b/>
        </w:rPr>
        <w:t>14</w:t>
      </w:r>
      <w:r w:rsidRPr="00E075A0">
        <w:t>(4): p. 339-347.</w:t>
      </w:r>
      <w:bookmarkEnd w:id="241"/>
    </w:p>
    <w:p w:rsidR="006A57B2" w:rsidRPr="00E075A0" w:rsidRDefault="006A57B2" w:rsidP="00E075A0">
      <w:pPr>
        <w:pStyle w:val="EndNoteBibliography"/>
        <w:spacing w:after="0"/>
        <w:ind w:left="720" w:hanging="720"/>
      </w:pPr>
      <w:bookmarkStart w:id="242" w:name="_ENREF_97"/>
      <w:r w:rsidRPr="00E075A0">
        <w:t>97.</w:t>
      </w:r>
      <w:r w:rsidRPr="00E075A0">
        <w:tab/>
        <w:t xml:space="preserve">Cole, S.R. and E.A. Stuart, </w:t>
      </w:r>
      <w:r w:rsidRPr="00E075A0">
        <w:rPr>
          <w:i/>
        </w:rPr>
        <w:t>Generalizing evidence from randomized clinical trials to target populations: The ACTG 320 Trial.</w:t>
      </w:r>
      <w:r w:rsidRPr="00E075A0">
        <w:t xml:space="preserve"> Am J Epidemiol, 2010. </w:t>
      </w:r>
      <w:r w:rsidRPr="00E075A0">
        <w:rPr>
          <w:b/>
        </w:rPr>
        <w:t>172</w:t>
      </w:r>
      <w:r w:rsidRPr="00E075A0">
        <w:t>(1): p. 107-115.</w:t>
      </w:r>
      <w:bookmarkEnd w:id="242"/>
    </w:p>
    <w:p w:rsidR="006A57B2" w:rsidRPr="00E075A0" w:rsidRDefault="006A57B2" w:rsidP="00E075A0">
      <w:pPr>
        <w:pStyle w:val="EndNoteBibliography"/>
        <w:spacing w:after="0"/>
        <w:ind w:left="720" w:hanging="720"/>
      </w:pPr>
      <w:bookmarkStart w:id="243" w:name="_ENREF_98"/>
      <w:r w:rsidRPr="00E075A0">
        <w:t>98.</w:t>
      </w:r>
      <w:r w:rsidRPr="00E075A0">
        <w:tab/>
        <w:t xml:space="preserve">Stuart, E.A., et al., </w:t>
      </w:r>
      <w:r w:rsidRPr="00E075A0">
        <w:rPr>
          <w:i/>
        </w:rPr>
        <w:t>The use of propensity scores to assess the generalizability of results from randomized trials.</w:t>
      </w:r>
      <w:r w:rsidRPr="00E075A0">
        <w:t xml:space="preserve"> J R Stat Soc Ser A Stat Soc, 2011. </w:t>
      </w:r>
      <w:r w:rsidRPr="00E075A0">
        <w:rPr>
          <w:b/>
        </w:rPr>
        <w:t>174</w:t>
      </w:r>
      <w:r w:rsidRPr="00E075A0">
        <w:t>(2): p. 369-386.</w:t>
      </w:r>
      <w:bookmarkEnd w:id="243"/>
    </w:p>
    <w:p w:rsidR="006A57B2" w:rsidRPr="00E075A0" w:rsidRDefault="006A57B2" w:rsidP="00E075A0">
      <w:pPr>
        <w:pStyle w:val="EndNoteBibliography"/>
        <w:spacing w:after="0"/>
        <w:ind w:left="720" w:hanging="720"/>
      </w:pPr>
      <w:bookmarkStart w:id="244" w:name="_ENREF_99"/>
      <w:r w:rsidRPr="00E075A0">
        <w:t>99.</w:t>
      </w:r>
      <w:r w:rsidRPr="00E075A0">
        <w:tab/>
        <w:t xml:space="preserve">Junker, A. and T. Klassen, </w:t>
      </w:r>
      <w:r w:rsidRPr="00E075A0">
        <w:rPr>
          <w:i/>
        </w:rPr>
        <w:t>Improving standards for paediatric clinical trials.</w:t>
      </w:r>
      <w:r w:rsidRPr="00E075A0">
        <w:t xml:space="preserve"> Paed Child Healt - Can, 2011. </w:t>
      </w:r>
      <w:r w:rsidRPr="00E075A0">
        <w:rPr>
          <w:b/>
        </w:rPr>
        <w:t>16</w:t>
      </w:r>
      <w:r w:rsidRPr="00E075A0">
        <w:t>(9): p. 539.</w:t>
      </w:r>
      <w:bookmarkEnd w:id="244"/>
    </w:p>
    <w:p w:rsidR="006A57B2" w:rsidRPr="00E075A0" w:rsidRDefault="006A57B2" w:rsidP="00E075A0">
      <w:pPr>
        <w:pStyle w:val="EndNoteBibliography"/>
        <w:spacing w:after="0"/>
        <w:ind w:left="720" w:hanging="720"/>
      </w:pPr>
      <w:bookmarkStart w:id="245" w:name="_ENREF_100"/>
      <w:r w:rsidRPr="00E075A0">
        <w:t>100.</w:t>
      </w:r>
      <w:r w:rsidRPr="00E075A0">
        <w:tab/>
        <w:t xml:space="preserve">Hartling, L., et al., </w:t>
      </w:r>
      <w:r w:rsidRPr="00E075A0">
        <w:rPr>
          <w:i/>
        </w:rPr>
        <w:t>StaR Child Health: Developing evidence-based guidance for the design, conduct, and reporting of pediatric trials.</w:t>
      </w:r>
      <w:r w:rsidRPr="00E075A0">
        <w:t xml:space="preserve"> Pediatrics, 2012. </w:t>
      </w:r>
      <w:r w:rsidRPr="00E075A0">
        <w:rPr>
          <w:b/>
        </w:rPr>
        <w:t>129</w:t>
      </w:r>
      <w:r w:rsidRPr="00E075A0">
        <w:t>(Supplement 3): p. S112-S117.</w:t>
      </w:r>
      <w:bookmarkEnd w:id="245"/>
    </w:p>
    <w:p w:rsidR="006A57B2" w:rsidRPr="00E075A0" w:rsidRDefault="006A57B2" w:rsidP="00E075A0">
      <w:pPr>
        <w:pStyle w:val="EndNoteBibliography"/>
        <w:spacing w:after="0"/>
        <w:ind w:left="720" w:hanging="720"/>
      </w:pPr>
      <w:bookmarkStart w:id="246" w:name="_ENREF_101"/>
      <w:r w:rsidRPr="00E075A0">
        <w:t>101.</w:t>
      </w:r>
      <w:r w:rsidRPr="00E075A0">
        <w:tab/>
        <w:t xml:space="preserve">Gamble, C., et al., </w:t>
      </w:r>
      <w:r w:rsidRPr="00E075A0">
        <w:rPr>
          <w:i/>
        </w:rPr>
        <w:t>What parents of children who have received emergency care think about deferring consent in randomised trials of emergency treatments: postal survey.</w:t>
      </w:r>
      <w:r w:rsidRPr="00E075A0">
        <w:t xml:space="preserve"> PLoS One, 2012. </w:t>
      </w:r>
      <w:r w:rsidRPr="00E075A0">
        <w:rPr>
          <w:b/>
        </w:rPr>
        <w:t>7</w:t>
      </w:r>
      <w:r w:rsidRPr="00E075A0">
        <w:t>(5): p. e35982.</w:t>
      </w:r>
      <w:bookmarkEnd w:id="246"/>
    </w:p>
    <w:p w:rsidR="006A57B2" w:rsidRPr="00E075A0" w:rsidRDefault="006A57B2" w:rsidP="00E075A0">
      <w:pPr>
        <w:pStyle w:val="EndNoteBibliography"/>
        <w:spacing w:after="0"/>
        <w:ind w:left="720" w:hanging="720"/>
      </w:pPr>
      <w:bookmarkStart w:id="247" w:name="_ENREF_102"/>
      <w:r w:rsidRPr="00E075A0">
        <w:t>102.</w:t>
      </w:r>
      <w:r w:rsidRPr="00E075A0">
        <w:tab/>
        <w:t xml:space="preserve">Molyneux, S., et al., </w:t>
      </w:r>
      <w:r w:rsidRPr="00E075A0">
        <w:rPr>
          <w:i/>
        </w:rPr>
        <w:t>‘The Words Will Pass with the Blowing Wind’: Staff and parent views of the deferred consent process, with prior assent, used in an emergency fluids trial in two african hospitals.</w:t>
      </w:r>
      <w:r w:rsidRPr="00E075A0">
        <w:t xml:space="preserve"> PLoS One, 2013. </w:t>
      </w:r>
      <w:r w:rsidRPr="00E075A0">
        <w:rPr>
          <w:b/>
        </w:rPr>
        <w:t>8</w:t>
      </w:r>
      <w:r w:rsidRPr="00E075A0">
        <w:t>(2): p. e54894.</w:t>
      </w:r>
      <w:bookmarkEnd w:id="247"/>
    </w:p>
    <w:p w:rsidR="006A57B2" w:rsidRPr="00E075A0" w:rsidRDefault="006A57B2" w:rsidP="00E075A0">
      <w:pPr>
        <w:pStyle w:val="EndNoteBibliography"/>
        <w:spacing w:after="0"/>
        <w:ind w:left="720" w:hanging="720"/>
      </w:pPr>
      <w:bookmarkStart w:id="248" w:name="_ENREF_103"/>
      <w:r w:rsidRPr="00E075A0">
        <w:t>103.</w:t>
      </w:r>
      <w:r w:rsidRPr="00E075A0">
        <w:tab/>
        <w:t xml:space="preserve">Brierley, J. and V. Larcher, </w:t>
      </w:r>
      <w:r w:rsidRPr="00E075A0">
        <w:rPr>
          <w:i/>
        </w:rPr>
        <w:t>Emergency research in children: options for ethical recruitment.</w:t>
      </w:r>
      <w:r w:rsidRPr="00E075A0">
        <w:t xml:space="preserve"> J Med Ethics, 2011. </w:t>
      </w:r>
      <w:r w:rsidRPr="00E075A0">
        <w:rPr>
          <w:b/>
        </w:rPr>
        <w:t>37</w:t>
      </w:r>
      <w:r w:rsidRPr="00E075A0">
        <w:t>(7): p. 429-432.</w:t>
      </w:r>
      <w:bookmarkEnd w:id="248"/>
    </w:p>
    <w:p w:rsidR="006A57B2" w:rsidRPr="00E075A0" w:rsidRDefault="006A57B2" w:rsidP="00E075A0">
      <w:pPr>
        <w:pStyle w:val="EndNoteBibliography"/>
        <w:spacing w:after="0"/>
        <w:ind w:left="720" w:hanging="720"/>
      </w:pPr>
      <w:bookmarkStart w:id="249" w:name="_ENREF_104"/>
      <w:r w:rsidRPr="00E075A0">
        <w:t>104.</w:t>
      </w:r>
      <w:r w:rsidRPr="00E075A0">
        <w:tab/>
        <w:t xml:space="preserve">Woolfall, K., et al., </w:t>
      </w:r>
      <w:r w:rsidRPr="00E075A0">
        <w:rPr>
          <w:i/>
        </w:rPr>
        <w:t>Doing challenging research studies in a patient-centred way: a qualitative study to inform a randomised controlled trial in the paediatric emergency care setting.</w:t>
      </w:r>
      <w:r w:rsidRPr="00E075A0">
        <w:t xml:space="preserve"> BMJ Open, 2014. </w:t>
      </w:r>
      <w:r w:rsidRPr="00E075A0">
        <w:rPr>
          <w:b/>
        </w:rPr>
        <w:t>4</w:t>
      </w:r>
      <w:r w:rsidRPr="00E075A0">
        <w:t>(5).</w:t>
      </w:r>
      <w:bookmarkEnd w:id="249"/>
    </w:p>
    <w:p w:rsidR="006A57B2" w:rsidRPr="00E075A0" w:rsidRDefault="006A57B2" w:rsidP="00E075A0">
      <w:pPr>
        <w:pStyle w:val="EndNoteBibliography"/>
        <w:spacing w:after="0"/>
        <w:ind w:left="720" w:hanging="720"/>
      </w:pPr>
      <w:bookmarkStart w:id="250" w:name="_ENREF_105"/>
      <w:r w:rsidRPr="00E075A0">
        <w:t>105.</w:t>
      </w:r>
      <w:r w:rsidRPr="00E075A0">
        <w:tab/>
        <w:t xml:space="preserve">Jansen, T., et al., </w:t>
      </w:r>
      <w:r w:rsidRPr="00E075A0">
        <w:rPr>
          <w:i/>
        </w:rPr>
        <w:t>Deferred consent in emergency intensive care research: what if the patient dies early? Use the data or not?</w:t>
      </w:r>
      <w:r w:rsidRPr="00E075A0">
        <w:t xml:space="preserve"> Intens Care Med, 2007. </w:t>
      </w:r>
      <w:r w:rsidRPr="00E075A0">
        <w:rPr>
          <w:b/>
        </w:rPr>
        <w:t>33</w:t>
      </w:r>
      <w:r w:rsidRPr="00E075A0">
        <w:t>(5): p. 894-900.</w:t>
      </w:r>
      <w:bookmarkEnd w:id="250"/>
    </w:p>
    <w:p w:rsidR="006A57B2" w:rsidRPr="00E075A0" w:rsidRDefault="006A57B2" w:rsidP="00E075A0">
      <w:pPr>
        <w:pStyle w:val="EndNoteBibliography"/>
        <w:spacing w:after="0"/>
        <w:ind w:left="720" w:hanging="720"/>
      </w:pPr>
      <w:bookmarkStart w:id="251" w:name="_ENREF_106"/>
      <w:r w:rsidRPr="00E075A0">
        <w:t>106.</w:t>
      </w:r>
      <w:r w:rsidRPr="00E075A0">
        <w:tab/>
        <w:t xml:space="preserve">Davies, H., et al., </w:t>
      </w:r>
      <w:r w:rsidRPr="00E075A0">
        <w:rPr>
          <w:i/>
        </w:rPr>
        <w:t>Guide to the design and review of emergency research when it is proposed that consent and consultation be waived.</w:t>
      </w:r>
      <w:r w:rsidRPr="00E075A0">
        <w:t xml:space="preserve"> Emerg Med J, 2014. </w:t>
      </w:r>
      <w:r w:rsidRPr="00E075A0">
        <w:rPr>
          <w:b/>
        </w:rPr>
        <w:t>0</w:t>
      </w:r>
      <w:r w:rsidRPr="00E075A0">
        <w:t>: p. 1-2.</w:t>
      </w:r>
      <w:bookmarkEnd w:id="251"/>
    </w:p>
    <w:p w:rsidR="006A57B2" w:rsidRPr="00E075A0" w:rsidRDefault="006A57B2" w:rsidP="00E075A0">
      <w:pPr>
        <w:pStyle w:val="EndNoteBibliography"/>
        <w:spacing w:after="0"/>
        <w:ind w:left="720" w:hanging="720"/>
      </w:pPr>
      <w:bookmarkStart w:id="252" w:name="_ENREF_107"/>
      <w:r w:rsidRPr="00E075A0">
        <w:t>107.</w:t>
      </w:r>
      <w:r w:rsidRPr="00E075A0">
        <w:tab/>
        <w:t xml:space="preserve">Maitland, K., et al., </w:t>
      </w:r>
      <w:r w:rsidRPr="00E075A0">
        <w:rPr>
          <w:i/>
        </w:rPr>
        <w:t>Use of deferred consent for severely ill children in a multi-centre phase III trial.</w:t>
      </w:r>
      <w:r w:rsidRPr="00E075A0">
        <w:t xml:space="preserve"> Trials, 2011. </w:t>
      </w:r>
      <w:r w:rsidRPr="00E075A0">
        <w:rPr>
          <w:b/>
        </w:rPr>
        <w:t>12</w:t>
      </w:r>
      <w:r w:rsidRPr="00E075A0">
        <w:t>(1): p. 90.</w:t>
      </w:r>
      <w:bookmarkEnd w:id="252"/>
    </w:p>
    <w:p w:rsidR="006A57B2" w:rsidRPr="00E075A0" w:rsidRDefault="006A57B2" w:rsidP="00E075A0">
      <w:pPr>
        <w:pStyle w:val="EndNoteBibliography"/>
        <w:spacing w:after="0"/>
        <w:ind w:left="720" w:hanging="720"/>
      </w:pPr>
      <w:bookmarkStart w:id="253" w:name="_ENREF_108"/>
      <w:r w:rsidRPr="00E075A0">
        <w:t>108.</w:t>
      </w:r>
      <w:r w:rsidRPr="00E075A0">
        <w:tab/>
        <w:t xml:space="preserve">Macrae, D., et al., </w:t>
      </w:r>
      <w:r w:rsidRPr="00E075A0">
        <w:rPr>
          <w:i/>
        </w:rPr>
        <w:t>A randomized trial of hyperglycemic control in pediatric intensive care.</w:t>
      </w:r>
      <w:r w:rsidRPr="00E075A0">
        <w:t xml:space="preserve"> New Engl J Med, 2014. </w:t>
      </w:r>
      <w:r w:rsidRPr="00E075A0">
        <w:rPr>
          <w:b/>
        </w:rPr>
        <w:t>370</w:t>
      </w:r>
      <w:r w:rsidRPr="00E075A0">
        <w:t>(2): p. 107-118.</w:t>
      </w:r>
      <w:bookmarkEnd w:id="253"/>
    </w:p>
    <w:p w:rsidR="006A57B2" w:rsidRPr="00E075A0" w:rsidRDefault="006A57B2" w:rsidP="00E075A0">
      <w:pPr>
        <w:pStyle w:val="EndNoteBibliography"/>
        <w:spacing w:after="0"/>
        <w:ind w:left="720" w:hanging="720"/>
      </w:pPr>
      <w:bookmarkStart w:id="254" w:name="_ENREF_109"/>
      <w:r w:rsidRPr="00E075A0">
        <w:t>109.</w:t>
      </w:r>
      <w:r w:rsidRPr="00E075A0">
        <w:tab/>
        <w:t xml:space="preserve">Ellenberg, S.S., D.M. Finkelstein, and D.A. Schoenfeld, </w:t>
      </w:r>
      <w:r w:rsidRPr="00E075A0">
        <w:rPr>
          <w:i/>
        </w:rPr>
        <w:t>Statistical issues arising in AIDS clinical trials.</w:t>
      </w:r>
      <w:r w:rsidRPr="00E075A0">
        <w:t xml:space="preserve"> JAMA, 1992: p. 562-569.</w:t>
      </w:r>
      <w:bookmarkEnd w:id="254"/>
    </w:p>
    <w:p w:rsidR="006A57B2" w:rsidRPr="00E075A0" w:rsidRDefault="006A57B2" w:rsidP="00E075A0">
      <w:pPr>
        <w:pStyle w:val="EndNoteBibliography"/>
        <w:spacing w:after="0"/>
        <w:ind w:left="720" w:hanging="720"/>
      </w:pPr>
      <w:bookmarkStart w:id="255" w:name="_ENREF_110"/>
      <w:r w:rsidRPr="00E075A0">
        <w:t>110.</w:t>
      </w:r>
      <w:r w:rsidRPr="00E075A0">
        <w:tab/>
        <w:t xml:space="preserve">Maitland, K., et al., </w:t>
      </w:r>
      <w:r w:rsidRPr="00E075A0">
        <w:rPr>
          <w:i/>
        </w:rPr>
        <w:t>Mortality after fluid bolus in African children with severe infection.</w:t>
      </w:r>
      <w:r w:rsidRPr="00E075A0">
        <w:t xml:space="preserve"> New Engl J Med, 2011.</w:t>
      </w:r>
      <w:bookmarkEnd w:id="255"/>
    </w:p>
    <w:p w:rsidR="006A57B2" w:rsidRPr="00E075A0" w:rsidRDefault="006A57B2" w:rsidP="00E075A0">
      <w:pPr>
        <w:pStyle w:val="EndNoteBibliography"/>
        <w:spacing w:after="0"/>
        <w:ind w:left="720" w:hanging="720"/>
      </w:pPr>
      <w:bookmarkStart w:id="256" w:name="_ENREF_111"/>
      <w:r w:rsidRPr="00E075A0">
        <w:t>111.</w:t>
      </w:r>
      <w:r w:rsidRPr="00E075A0">
        <w:tab/>
        <w:t xml:space="preserve">Cook, D.J., et al., </w:t>
      </w:r>
      <w:r w:rsidRPr="00E075A0">
        <w:rPr>
          <w:i/>
        </w:rPr>
        <w:t>Enrollment of intensive care unit patients into clinical studies: A trinational survey of researchers' experiences, beliefs, and practices*.</w:t>
      </w:r>
      <w:r w:rsidRPr="00E075A0">
        <w:t xml:space="preserve"> Crit Care Med, 2008. </w:t>
      </w:r>
      <w:r w:rsidRPr="00E075A0">
        <w:rPr>
          <w:b/>
        </w:rPr>
        <w:t>36</w:t>
      </w:r>
      <w:r w:rsidRPr="00E075A0">
        <w:t>(7): p. 2100.</w:t>
      </w:r>
      <w:bookmarkEnd w:id="256"/>
    </w:p>
    <w:p w:rsidR="006A57B2" w:rsidRPr="00E075A0" w:rsidRDefault="006A57B2" w:rsidP="00E075A0">
      <w:pPr>
        <w:pStyle w:val="EndNoteBibliography"/>
        <w:spacing w:after="0"/>
        <w:ind w:left="720" w:hanging="720"/>
      </w:pPr>
      <w:bookmarkStart w:id="257" w:name="_ENREF_112"/>
      <w:r w:rsidRPr="00E075A0">
        <w:t>112.</w:t>
      </w:r>
      <w:r w:rsidRPr="00E075A0">
        <w:tab/>
        <w:t xml:space="preserve">Harron, K., et al., </w:t>
      </w:r>
      <w:r w:rsidRPr="00E075A0">
        <w:rPr>
          <w:i/>
        </w:rPr>
        <w:t>Making co-enrolment feasible for randomised controlled trials in Paediatric Intensive Care.</w:t>
      </w:r>
      <w:r w:rsidRPr="00E075A0">
        <w:t xml:space="preserve"> PLoS One, 2012. </w:t>
      </w:r>
      <w:r w:rsidRPr="00E075A0">
        <w:rPr>
          <w:b/>
        </w:rPr>
        <w:t>7</w:t>
      </w:r>
      <w:r w:rsidRPr="00E075A0">
        <w:t>(8): p. e41791.</w:t>
      </w:r>
      <w:bookmarkEnd w:id="257"/>
    </w:p>
    <w:p w:rsidR="006A57B2" w:rsidRPr="00E075A0" w:rsidRDefault="006A57B2" w:rsidP="00E075A0">
      <w:pPr>
        <w:pStyle w:val="EndNoteBibliography"/>
        <w:spacing w:after="0"/>
        <w:ind w:left="720" w:hanging="720"/>
      </w:pPr>
      <w:bookmarkStart w:id="258" w:name="_ENREF_113"/>
      <w:r w:rsidRPr="00E075A0">
        <w:t>113.</w:t>
      </w:r>
      <w:r w:rsidRPr="00E075A0">
        <w:tab/>
        <w:t xml:space="preserve">Myles, P.S., et al., </w:t>
      </w:r>
      <w:r w:rsidRPr="00E075A0">
        <w:rPr>
          <w:i/>
        </w:rPr>
        <w:t>Ethical and scientific considerations for patient enrollment into concurrent clinical trials.</w:t>
      </w:r>
      <w:r w:rsidRPr="00E075A0">
        <w:t xml:space="preserve"> Trials, 2014. </w:t>
      </w:r>
      <w:r w:rsidRPr="00E075A0">
        <w:rPr>
          <w:b/>
        </w:rPr>
        <w:t>15</w:t>
      </w:r>
      <w:r w:rsidRPr="00E075A0">
        <w:t>(1): p. 470.</w:t>
      </w:r>
      <w:bookmarkEnd w:id="258"/>
    </w:p>
    <w:p w:rsidR="006A57B2" w:rsidRPr="00E075A0" w:rsidRDefault="006A57B2" w:rsidP="00E075A0">
      <w:pPr>
        <w:pStyle w:val="EndNoteBibliography"/>
        <w:spacing w:after="0"/>
        <w:ind w:left="720" w:hanging="720"/>
      </w:pPr>
      <w:bookmarkStart w:id="259" w:name="_ENREF_114"/>
      <w:r w:rsidRPr="00E075A0">
        <w:t>114.</w:t>
      </w:r>
      <w:r w:rsidRPr="00E075A0">
        <w:tab/>
        <w:t xml:space="preserve">Shilling, V., et al., </w:t>
      </w:r>
      <w:r w:rsidRPr="00E075A0">
        <w:rPr>
          <w:i/>
        </w:rPr>
        <w:t>Communication about children's clinical trials as observed and experienced: qualitative study of parents and practitioners.</w:t>
      </w:r>
      <w:r w:rsidRPr="00E075A0">
        <w:t xml:space="preserve"> PLoS One, 2011. </w:t>
      </w:r>
      <w:r w:rsidRPr="00E075A0">
        <w:rPr>
          <w:b/>
        </w:rPr>
        <w:t>6</w:t>
      </w:r>
      <w:r w:rsidRPr="00E075A0">
        <w:t>(7): p. e21604.</w:t>
      </w:r>
      <w:bookmarkEnd w:id="259"/>
    </w:p>
    <w:p w:rsidR="006A57B2" w:rsidRPr="00E075A0" w:rsidRDefault="006A57B2" w:rsidP="00E075A0">
      <w:pPr>
        <w:pStyle w:val="EndNoteBibliography"/>
        <w:spacing w:after="0"/>
        <w:ind w:left="720" w:hanging="720"/>
      </w:pPr>
      <w:bookmarkStart w:id="260" w:name="_ENREF_115"/>
      <w:r w:rsidRPr="00E075A0">
        <w:t>115.</w:t>
      </w:r>
      <w:r w:rsidRPr="00E075A0">
        <w:tab/>
        <w:t xml:space="preserve">Burgess, E., et al., </w:t>
      </w:r>
      <w:r w:rsidRPr="00E075A0">
        <w:rPr>
          <w:i/>
        </w:rPr>
        <w:t>Consent for clinical research in the neonatal intensive care unit: a retrospective survey and a prospective study.</w:t>
      </w:r>
      <w:r w:rsidRPr="00E075A0">
        <w:t xml:space="preserve"> Arch Dis Child Fetal Neonatal Ed, 2003. </w:t>
      </w:r>
      <w:r w:rsidRPr="00E075A0">
        <w:rPr>
          <w:b/>
        </w:rPr>
        <w:t>88</w:t>
      </w:r>
      <w:r w:rsidRPr="00E075A0">
        <w:t>(4): p. F280.</w:t>
      </w:r>
      <w:bookmarkEnd w:id="260"/>
    </w:p>
    <w:p w:rsidR="006A57B2" w:rsidRPr="00E075A0" w:rsidRDefault="006A57B2" w:rsidP="00E075A0">
      <w:pPr>
        <w:pStyle w:val="EndNoteBibliography"/>
        <w:spacing w:after="0"/>
        <w:ind w:left="720" w:hanging="720"/>
      </w:pPr>
      <w:bookmarkStart w:id="261" w:name="_ENREF_116"/>
      <w:r w:rsidRPr="00E075A0">
        <w:t>116.</w:t>
      </w:r>
      <w:r w:rsidRPr="00E075A0">
        <w:tab/>
        <w:t xml:space="preserve">Morley, C., et al., </w:t>
      </w:r>
      <w:r w:rsidRPr="00E075A0">
        <w:rPr>
          <w:i/>
        </w:rPr>
        <w:t>What do parents think about enrolling their premature babies in several research studies?</w:t>
      </w:r>
      <w:r w:rsidRPr="00E075A0">
        <w:t xml:space="preserve"> Arch Dis Child Fetal Neonatal Ed, 2005. </w:t>
      </w:r>
      <w:r w:rsidRPr="00E075A0">
        <w:rPr>
          <w:b/>
        </w:rPr>
        <w:t>90</w:t>
      </w:r>
      <w:r w:rsidRPr="00E075A0">
        <w:t>(3): p. F225.</w:t>
      </w:r>
      <w:bookmarkEnd w:id="261"/>
    </w:p>
    <w:p w:rsidR="006A57B2" w:rsidRPr="00E075A0" w:rsidRDefault="006A57B2" w:rsidP="00E075A0">
      <w:pPr>
        <w:pStyle w:val="EndNoteBibliography"/>
        <w:spacing w:after="0"/>
        <w:ind w:left="720" w:hanging="720"/>
      </w:pPr>
      <w:bookmarkStart w:id="262" w:name="_ENREF_117"/>
      <w:r w:rsidRPr="00E075A0">
        <w:t>117.</w:t>
      </w:r>
      <w:r w:rsidRPr="00E075A0">
        <w:tab/>
        <w:t xml:space="preserve">Harron K, Gamble C, and Gilbert R, </w:t>
      </w:r>
      <w:r w:rsidRPr="00E075A0">
        <w:rPr>
          <w:i/>
        </w:rPr>
        <w:t>E-health data to support and enhance randomised controlled trials in the UK.</w:t>
      </w:r>
      <w:r w:rsidRPr="00E075A0">
        <w:t xml:space="preserve"> Clinical Trials, 2014. </w:t>
      </w:r>
      <w:r w:rsidRPr="00E075A0">
        <w:rPr>
          <w:b/>
        </w:rPr>
        <w:t>(online first)</w:t>
      </w:r>
      <w:r w:rsidRPr="00E075A0">
        <w:t>.</w:t>
      </w:r>
      <w:bookmarkEnd w:id="262"/>
    </w:p>
    <w:p w:rsidR="006A57B2" w:rsidRPr="00E075A0" w:rsidRDefault="006A57B2" w:rsidP="00E075A0">
      <w:pPr>
        <w:pStyle w:val="EndNoteBibliography"/>
        <w:spacing w:after="0"/>
        <w:ind w:left="720" w:hanging="720"/>
      </w:pPr>
      <w:bookmarkStart w:id="263" w:name="_ENREF_118"/>
      <w:r w:rsidRPr="00E075A0">
        <w:t>118.</w:t>
      </w:r>
      <w:r w:rsidRPr="00E075A0">
        <w:tab/>
        <w:t xml:space="preserve">Ford, I., et al., </w:t>
      </w:r>
      <w:r w:rsidRPr="00E075A0">
        <w:rPr>
          <w:i/>
        </w:rPr>
        <w:t>Long-term follow-up of the West of Scotland Coronary Prevention Study.</w:t>
      </w:r>
      <w:r w:rsidRPr="00E075A0">
        <w:t xml:space="preserve"> New Engl J Med, 2007. </w:t>
      </w:r>
      <w:r w:rsidRPr="00E075A0">
        <w:rPr>
          <w:b/>
        </w:rPr>
        <w:t>357</w:t>
      </w:r>
      <w:r w:rsidRPr="00E075A0">
        <w:t>(15): p. 1477-1486.</w:t>
      </w:r>
      <w:bookmarkEnd w:id="263"/>
    </w:p>
    <w:p w:rsidR="006A57B2" w:rsidRPr="00E075A0" w:rsidRDefault="006A57B2" w:rsidP="00E075A0">
      <w:pPr>
        <w:pStyle w:val="EndNoteBibliography"/>
        <w:spacing w:after="0"/>
        <w:ind w:left="720" w:hanging="720"/>
      </w:pPr>
      <w:bookmarkStart w:id="264" w:name="_ENREF_119"/>
      <w:r w:rsidRPr="00E075A0">
        <w:t>119.</w:t>
      </w:r>
      <w:r w:rsidRPr="00E075A0">
        <w:tab/>
        <w:t xml:space="preserve">Rawlins, </w:t>
      </w:r>
      <w:r w:rsidRPr="00E075A0">
        <w:rPr>
          <w:i/>
        </w:rPr>
        <w:t>A new pathway for the regulation and governance of health research.</w:t>
      </w:r>
      <w:r w:rsidRPr="00E075A0">
        <w:t xml:space="preserve"> The Academy of Medical Sciences, 2011. </w:t>
      </w:r>
      <w:r w:rsidRPr="00E075A0">
        <w:rPr>
          <w:b/>
        </w:rPr>
        <w:t xml:space="preserve">. Available: </w:t>
      </w:r>
      <w:r w:rsidRPr="006A57B2">
        <w:rPr>
          <w:b/>
        </w:rPr>
        <w:t>http://www.acmedsci.ac.uk/p47prid88.html</w:t>
      </w:r>
      <w:r w:rsidRPr="00E075A0">
        <w:rPr>
          <w:b/>
        </w:rPr>
        <w:t>. Accessed 15 June 2012</w:t>
      </w:r>
      <w:r w:rsidRPr="00E075A0">
        <w:t>.</w:t>
      </w:r>
      <w:bookmarkEnd w:id="264"/>
    </w:p>
    <w:p w:rsidR="006A57B2" w:rsidRPr="00E075A0" w:rsidRDefault="006A57B2" w:rsidP="00E075A0">
      <w:pPr>
        <w:pStyle w:val="EndNoteBibliography"/>
        <w:ind w:left="720" w:hanging="720"/>
      </w:pPr>
      <w:bookmarkStart w:id="265" w:name="_ENREF_120"/>
      <w:r w:rsidRPr="00E075A0">
        <w:t>120.</w:t>
      </w:r>
      <w:r w:rsidRPr="00E075A0">
        <w:tab/>
        <w:t xml:space="preserve">Stephenson, T., </w:t>
      </w:r>
      <w:r w:rsidRPr="00E075A0">
        <w:rPr>
          <w:i/>
        </w:rPr>
        <w:t>The medicines for children agenda in the UK.</w:t>
      </w:r>
      <w:r w:rsidRPr="00E075A0">
        <w:t xml:space="preserve"> Brit J Clin Pharmaco, 2006. </w:t>
      </w:r>
      <w:r w:rsidRPr="00E075A0">
        <w:rPr>
          <w:b/>
        </w:rPr>
        <w:t>61</w:t>
      </w:r>
      <w:r w:rsidRPr="00E075A0">
        <w:t>(6): p. 716-719.</w:t>
      </w:r>
      <w:bookmarkEnd w:id="265"/>
    </w:p>
    <w:p w:rsidR="006A57B2" w:rsidRDefault="006A57B2" w:rsidP="00460AB9">
      <w:pPr>
        <w:pStyle w:val="Heading1"/>
        <w:spacing w:line="360" w:lineRule="auto"/>
      </w:pPr>
      <w:r>
        <w:t xml:space="preserve"> </w:t>
      </w:r>
    </w:p>
    <w:p w:rsidR="006A57B2" w:rsidRPr="003C2313" w:rsidRDefault="006A57B2" w:rsidP="00B22173"/>
    <w:p w:rsidR="006A57B2" w:rsidRDefault="006A57B2"/>
    <w:p w:rsidR="008E423A" w:rsidRDefault="008E423A"/>
    <w:sectPr w:rsidR="008E423A" w:rsidSect="00E36629">
      <w:headerReference w:type="default" r:id="rId24"/>
      <w:headerReference w:type="firs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BB" w:rsidRDefault="007A29ED">
      <w:pPr>
        <w:spacing w:after="0" w:line="240" w:lineRule="auto"/>
      </w:pPr>
      <w:r>
        <w:separator/>
      </w:r>
    </w:p>
  </w:endnote>
  <w:endnote w:type="continuationSeparator" w:id="0">
    <w:p w:rsidR="008511BB" w:rsidRDefault="007A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5176"/>
      <w:docPartObj>
        <w:docPartGallery w:val="Page Numbers (Bottom of Page)"/>
        <w:docPartUnique/>
      </w:docPartObj>
    </w:sdtPr>
    <w:sdtEndPr>
      <w:rPr>
        <w:noProof/>
      </w:rPr>
    </w:sdtEndPr>
    <w:sdtContent>
      <w:p w:rsidR="00F27B52" w:rsidRDefault="000656A5" w:rsidP="009F7A8B">
        <w:pPr>
          <w:pStyle w:val="Footer"/>
          <w:jc w:val="right"/>
        </w:pPr>
        <w:r>
          <w:fldChar w:fldCharType="begin"/>
        </w:r>
        <w:r>
          <w:instrText xml:space="preserve"> PAGE   \* MERGEFORMAT </w:instrText>
        </w:r>
        <w:r>
          <w:fldChar w:fldCharType="separate"/>
        </w:r>
        <w:r w:rsidR="00E503DF">
          <w:rPr>
            <w:noProof/>
          </w:rPr>
          <w:t>6</w:t>
        </w:r>
        <w:r>
          <w:rPr>
            <w:noProof/>
          </w:rPr>
          <w:fldChar w:fldCharType="end"/>
        </w:r>
      </w:p>
    </w:sdtContent>
  </w:sdt>
  <w:p w:rsidR="00F27B52" w:rsidRDefault="00E50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C5" w:rsidRDefault="00E50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03140"/>
      <w:docPartObj>
        <w:docPartGallery w:val="Page Numbers (Bottom of Page)"/>
        <w:docPartUnique/>
      </w:docPartObj>
    </w:sdtPr>
    <w:sdtEndPr>
      <w:rPr>
        <w:noProof/>
      </w:rPr>
    </w:sdtEndPr>
    <w:sdtContent>
      <w:p w:rsidR="007F3EC5" w:rsidRDefault="000656A5" w:rsidP="009F7A8B">
        <w:pPr>
          <w:pStyle w:val="Footer"/>
          <w:jc w:val="right"/>
        </w:pPr>
        <w:r>
          <w:fldChar w:fldCharType="begin"/>
        </w:r>
        <w:r>
          <w:instrText xml:space="preserve"> PAGE   \* MERGEFORMAT </w:instrText>
        </w:r>
        <w:r>
          <w:fldChar w:fldCharType="separate"/>
        </w:r>
        <w:r w:rsidR="007A29ED">
          <w:rPr>
            <w:noProof/>
          </w:rPr>
          <w:t>31</w:t>
        </w:r>
        <w:r>
          <w:rPr>
            <w:noProof/>
          </w:rPr>
          <w:fldChar w:fldCharType="end"/>
        </w:r>
      </w:p>
    </w:sdtContent>
  </w:sdt>
  <w:p w:rsidR="007F3EC5" w:rsidRDefault="00E503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05411"/>
      <w:docPartObj>
        <w:docPartGallery w:val="Page Numbers (Bottom of Page)"/>
        <w:docPartUnique/>
      </w:docPartObj>
    </w:sdtPr>
    <w:sdtEndPr>
      <w:rPr>
        <w:noProof/>
      </w:rPr>
    </w:sdtEndPr>
    <w:sdtContent>
      <w:p w:rsidR="00F27B52" w:rsidRDefault="000656A5" w:rsidP="000D2FFB">
        <w:pPr>
          <w:pStyle w:val="Footer"/>
          <w:jc w:val="right"/>
        </w:pPr>
        <w:r>
          <w:fldChar w:fldCharType="begin"/>
        </w:r>
        <w:r>
          <w:instrText xml:space="preserve"> PAGE   \* MERGEFORMAT </w:instrText>
        </w:r>
        <w:r>
          <w:fldChar w:fldCharType="separate"/>
        </w:r>
        <w:r w:rsidR="007A29ED">
          <w:rPr>
            <w:noProof/>
          </w:rPr>
          <w:t>93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BB" w:rsidRDefault="007A29ED">
      <w:pPr>
        <w:spacing w:after="0" w:line="240" w:lineRule="auto"/>
      </w:pPr>
      <w:r>
        <w:separator/>
      </w:r>
    </w:p>
  </w:footnote>
  <w:footnote w:type="continuationSeparator" w:id="0">
    <w:p w:rsidR="008511BB" w:rsidRDefault="007A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52" w:rsidRDefault="000656A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52" w:rsidRPr="00C366D1" w:rsidRDefault="00E503DF" w:rsidP="004E3508">
    <w:pPr>
      <w:pStyle w:val="Heade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52" w:rsidRDefault="000656A5" w:rsidP="004E3508">
    <w:pPr>
      <w:pStyle w:val="Header"/>
      <w:jc w:val="right"/>
      <w:rPr>
        <w:rFonts w:cs="Arial"/>
        <w:sz w:val="20"/>
        <w:szCs w:val="20"/>
      </w:rPr>
    </w:pPr>
    <w:r w:rsidRPr="006315F9">
      <w:rPr>
        <w:rStyle w:val="PlaceholderText"/>
      </w:rPr>
      <w:t>[Comments]</w:t>
    </w:r>
  </w:p>
  <w:p w:rsidR="00F27B52" w:rsidRPr="00C366D1" w:rsidRDefault="000656A5" w:rsidP="004E3508">
    <w:pPr>
      <w:pStyle w:val="Header"/>
      <w:tabs>
        <w:tab w:val="center" w:pos="4680"/>
        <w:tab w:val="right" w:pos="9360"/>
      </w:tabs>
    </w:pPr>
    <w:r>
      <w:t>Version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7A7"/>
    <w:multiLevelType w:val="multilevel"/>
    <w:tmpl w:val="3E46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F2946"/>
    <w:multiLevelType w:val="multilevel"/>
    <w:tmpl w:val="388A9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ind w:left="2880" w:hanging="360"/>
      </w:pPr>
      <w:rPr>
        <w:rFonts w:hint="default"/>
      </w:rPr>
    </w:lvl>
    <w:lvl w:ilvl="4">
      <w:start w:val="13"/>
      <w:numFmt w:val="bullet"/>
      <w:lvlText w:val="•"/>
      <w:lvlJc w:val="left"/>
      <w:pPr>
        <w:ind w:left="3960" w:hanging="720"/>
      </w:pPr>
      <w:rPr>
        <w:rFonts w:ascii="Calibri" w:eastAsiaTheme="minorHAns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728"/>
    <w:multiLevelType w:val="hybridMultilevel"/>
    <w:tmpl w:val="DB0603E0"/>
    <w:lvl w:ilvl="0" w:tplc="EF46DA10">
      <w:start w:val="1"/>
      <w:numFmt w:val="upperLetter"/>
      <w:pStyle w:val="AppendixStyle1"/>
      <w:lvlText w:val="Appendix %1:"/>
      <w:lvlJc w:val="left"/>
      <w:pPr>
        <w:tabs>
          <w:tab w:val="num" w:pos="360"/>
        </w:tabs>
        <w:ind w:left="360" w:hanging="360"/>
      </w:pPr>
      <w:rPr>
        <w:rFonts w:ascii="Arial" w:hAnsi="Arial" w:hint="default"/>
        <w:b/>
        <w:i w:val="0"/>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B862DF"/>
    <w:multiLevelType w:val="hybridMultilevel"/>
    <w:tmpl w:val="91804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7542F2"/>
    <w:multiLevelType w:val="multilevel"/>
    <w:tmpl w:val="BDF85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81A75"/>
    <w:multiLevelType w:val="multilevel"/>
    <w:tmpl w:val="A808E81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772A2"/>
    <w:multiLevelType w:val="hybridMultilevel"/>
    <w:tmpl w:val="0DBC3B2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EB06D2"/>
    <w:multiLevelType w:val="hybridMultilevel"/>
    <w:tmpl w:val="9044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3629A"/>
    <w:multiLevelType w:val="hybridMultilevel"/>
    <w:tmpl w:val="EC066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933EC2"/>
    <w:multiLevelType w:val="hybridMultilevel"/>
    <w:tmpl w:val="04162424"/>
    <w:lvl w:ilvl="0" w:tplc="ABF8D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1E60B1"/>
    <w:multiLevelType w:val="hybridMultilevel"/>
    <w:tmpl w:val="16087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1"/>
  </w:num>
  <w:num w:numId="6">
    <w:abstractNumId w:val="3"/>
  </w:num>
  <w:num w:numId="7">
    <w:abstractNumId w:val="9"/>
  </w:num>
  <w:num w:numId="8">
    <w:abstractNumId w:val="7"/>
  </w:num>
  <w:num w:numId="9">
    <w:abstractNumId w:val="6"/>
  </w:num>
  <w:num w:numId="10">
    <w:abstractNumId w:val="8"/>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A57B2"/>
    <w:rsid w:val="000656A5"/>
    <w:rsid w:val="006A57B2"/>
    <w:rsid w:val="007A29ED"/>
    <w:rsid w:val="008511BB"/>
    <w:rsid w:val="008E423A"/>
    <w:rsid w:val="00E5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B2"/>
    <w:pPr>
      <w:spacing w:after="200" w:line="276" w:lineRule="auto"/>
    </w:pPr>
  </w:style>
  <w:style w:type="paragraph" w:styleId="Heading1">
    <w:name w:val="heading 1"/>
    <w:aliases w:val="Heading 1 SOP"/>
    <w:basedOn w:val="Normal"/>
    <w:next w:val="Normal"/>
    <w:link w:val="Heading1Char"/>
    <w:qFormat/>
    <w:rsid w:val="006A57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 SOP"/>
    <w:basedOn w:val="Normal"/>
    <w:next w:val="Normal"/>
    <w:link w:val="Heading2Char"/>
    <w:uiPriority w:val="9"/>
    <w:unhideWhenUsed/>
    <w:qFormat/>
    <w:rsid w:val="006A57B2"/>
    <w:pPr>
      <w:keepNext/>
      <w:keepLines/>
      <w:spacing w:before="200" w:after="12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eading 3 SOP"/>
    <w:basedOn w:val="Normal"/>
    <w:next w:val="Normal"/>
    <w:link w:val="Heading3Char"/>
    <w:uiPriority w:val="9"/>
    <w:unhideWhenUsed/>
    <w:qFormat/>
    <w:rsid w:val="006A57B2"/>
    <w:pPr>
      <w:keepNext/>
      <w:keepLines/>
      <w:spacing w:before="200" w:after="120"/>
      <w:outlineLvl w:val="2"/>
    </w:pPr>
    <w:rPr>
      <w:rFonts w:asciiTheme="majorHAnsi" w:eastAsiaTheme="majorEastAsia" w:hAnsiTheme="majorHAnsi" w:cstheme="majorBidi"/>
      <w:b/>
      <w:bCs/>
      <w:color w:val="5B9BD5" w:themeColor="accent1"/>
    </w:rPr>
  </w:style>
  <w:style w:type="paragraph" w:styleId="Heading4">
    <w:name w:val="heading 4"/>
    <w:aliases w:val="Heading 4 SOP"/>
    <w:basedOn w:val="Normal"/>
    <w:next w:val="Normal"/>
    <w:link w:val="Heading4Char"/>
    <w:uiPriority w:val="9"/>
    <w:unhideWhenUsed/>
    <w:qFormat/>
    <w:rsid w:val="006A57B2"/>
    <w:pPr>
      <w:keepNext/>
      <w:keepLines/>
      <w:spacing w:before="200" w:after="1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qFormat/>
    <w:rsid w:val="006A57B2"/>
    <w:pPr>
      <w:keepNext/>
      <w:spacing w:after="0" w:line="240" w:lineRule="auto"/>
      <w:ind w:left="1008" w:hanging="1008"/>
      <w:outlineLvl w:val="4"/>
    </w:pPr>
    <w:rPr>
      <w:rFonts w:ascii="Arial" w:eastAsia="Times New Roman" w:hAnsi="Arial" w:cs="Times New Roman"/>
      <w:i/>
      <w:szCs w:val="20"/>
    </w:rPr>
  </w:style>
  <w:style w:type="paragraph" w:styleId="Heading6">
    <w:name w:val="heading 6"/>
    <w:basedOn w:val="Normal"/>
    <w:next w:val="Normal"/>
    <w:link w:val="Heading6Char"/>
    <w:uiPriority w:val="9"/>
    <w:qFormat/>
    <w:rsid w:val="006A57B2"/>
    <w:pPr>
      <w:keepNext/>
      <w:spacing w:after="0" w:line="240" w:lineRule="auto"/>
      <w:ind w:left="1152" w:hanging="1152"/>
      <w:jc w:val="center"/>
      <w:outlineLvl w:val="5"/>
    </w:pPr>
    <w:rPr>
      <w:rFonts w:ascii="Arial" w:eastAsia="Times New Roman" w:hAnsi="Arial" w:cs="Arial"/>
      <w:b/>
      <w:szCs w:val="20"/>
    </w:rPr>
  </w:style>
  <w:style w:type="paragraph" w:styleId="Heading7">
    <w:name w:val="heading 7"/>
    <w:basedOn w:val="Normal"/>
    <w:next w:val="Normal"/>
    <w:link w:val="Heading7Char"/>
    <w:uiPriority w:val="9"/>
    <w:qFormat/>
    <w:rsid w:val="006A57B2"/>
    <w:pPr>
      <w:keepNext/>
      <w:spacing w:after="0" w:line="240" w:lineRule="auto"/>
      <w:ind w:left="1296" w:hanging="1296"/>
      <w:outlineLvl w:val="6"/>
    </w:pPr>
    <w:rPr>
      <w:rFonts w:ascii="Arial" w:eastAsia="Times New Roman" w:hAnsi="Arial" w:cs="Arial"/>
      <w:sz w:val="24"/>
      <w:szCs w:val="20"/>
      <w:u w:val="single"/>
    </w:rPr>
  </w:style>
  <w:style w:type="paragraph" w:styleId="Heading8">
    <w:name w:val="heading 8"/>
    <w:basedOn w:val="Normal"/>
    <w:next w:val="Normal"/>
    <w:link w:val="Heading8Char"/>
    <w:uiPriority w:val="9"/>
    <w:qFormat/>
    <w:rsid w:val="006A57B2"/>
    <w:pPr>
      <w:keepNext/>
      <w:framePr w:hSpace="180" w:wrap="around" w:vAnchor="text" w:hAnchor="margin" w:xAlign="center" w:y="22"/>
      <w:spacing w:after="0" w:line="240" w:lineRule="auto"/>
      <w:ind w:left="1440" w:hanging="1440"/>
      <w:outlineLvl w:val="7"/>
    </w:pPr>
    <w:rPr>
      <w:rFonts w:ascii="Arial" w:eastAsia="Times New Roman" w:hAnsi="Arial" w:cs="Arial"/>
      <w:b/>
      <w:sz w:val="20"/>
      <w:szCs w:val="20"/>
      <w:lang w:eastAsia="en-GB"/>
    </w:rPr>
  </w:style>
  <w:style w:type="paragraph" w:styleId="Heading9">
    <w:name w:val="heading 9"/>
    <w:basedOn w:val="Normal"/>
    <w:next w:val="Normal"/>
    <w:link w:val="Heading9Char"/>
    <w:uiPriority w:val="9"/>
    <w:qFormat/>
    <w:rsid w:val="006A57B2"/>
    <w:pPr>
      <w:spacing w:before="240" w:after="60" w:line="240" w:lineRule="auto"/>
      <w:ind w:left="1584" w:hanging="1584"/>
      <w:outlineLvl w:val="8"/>
    </w:pPr>
    <w:rPr>
      <w:rFonts w:ascii="Cambria" w:eastAsia="Times New Roman"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
    <w:basedOn w:val="DefaultParagraphFont"/>
    <w:link w:val="Heading1"/>
    <w:rsid w:val="006A57B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Heading 2 SOP Char"/>
    <w:basedOn w:val="DefaultParagraphFont"/>
    <w:link w:val="Heading2"/>
    <w:uiPriority w:val="9"/>
    <w:rsid w:val="006A57B2"/>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Heading 3 SOP Char"/>
    <w:basedOn w:val="DefaultParagraphFont"/>
    <w:link w:val="Heading3"/>
    <w:uiPriority w:val="9"/>
    <w:rsid w:val="006A57B2"/>
    <w:rPr>
      <w:rFonts w:asciiTheme="majorHAnsi" w:eastAsiaTheme="majorEastAsia" w:hAnsiTheme="majorHAnsi" w:cstheme="majorBidi"/>
      <w:b/>
      <w:bCs/>
      <w:color w:val="5B9BD5" w:themeColor="accent1"/>
    </w:rPr>
  </w:style>
  <w:style w:type="character" w:customStyle="1" w:styleId="Heading4Char">
    <w:name w:val="Heading 4 Char"/>
    <w:aliases w:val="Heading 4 SOP Char"/>
    <w:basedOn w:val="DefaultParagraphFont"/>
    <w:link w:val="Heading4"/>
    <w:uiPriority w:val="9"/>
    <w:rsid w:val="006A57B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A57B2"/>
    <w:rPr>
      <w:rFonts w:ascii="Arial" w:eastAsia="Times New Roman" w:hAnsi="Arial" w:cs="Times New Roman"/>
      <w:i/>
      <w:szCs w:val="20"/>
    </w:rPr>
  </w:style>
  <w:style w:type="character" w:customStyle="1" w:styleId="Heading6Char">
    <w:name w:val="Heading 6 Char"/>
    <w:basedOn w:val="DefaultParagraphFont"/>
    <w:link w:val="Heading6"/>
    <w:uiPriority w:val="9"/>
    <w:rsid w:val="006A57B2"/>
    <w:rPr>
      <w:rFonts w:ascii="Arial" w:eastAsia="Times New Roman" w:hAnsi="Arial" w:cs="Arial"/>
      <w:b/>
      <w:szCs w:val="20"/>
    </w:rPr>
  </w:style>
  <w:style w:type="character" w:customStyle="1" w:styleId="Heading7Char">
    <w:name w:val="Heading 7 Char"/>
    <w:basedOn w:val="DefaultParagraphFont"/>
    <w:link w:val="Heading7"/>
    <w:uiPriority w:val="9"/>
    <w:rsid w:val="006A57B2"/>
    <w:rPr>
      <w:rFonts w:ascii="Arial" w:eastAsia="Times New Roman" w:hAnsi="Arial" w:cs="Arial"/>
      <w:sz w:val="24"/>
      <w:szCs w:val="20"/>
      <w:u w:val="single"/>
    </w:rPr>
  </w:style>
  <w:style w:type="character" w:customStyle="1" w:styleId="Heading8Char">
    <w:name w:val="Heading 8 Char"/>
    <w:basedOn w:val="DefaultParagraphFont"/>
    <w:link w:val="Heading8"/>
    <w:uiPriority w:val="9"/>
    <w:rsid w:val="006A57B2"/>
    <w:rPr>
      <w:rFonts w:ascii="Arial" w:eastAsia="Times New Roman" w:hAnsi="Arial" w:cs="Arial"/>
      <w:b/>
      <w:sz w:val="20"/>
      <w:szCs w:val="20"/>
      <w:lang w:eastAsia="en-GB"/>
    </w:rPr>
  </w:style>
  <w:style w:type="character" w:customStyle="1" w:styleId="Heading9Char">
    <w:name w:val="Heading 9 Char"/>
    <w:basedOn w:val="DefaultParagraphFont"/>
    <w:link w:val="Heading9"/>
    <w:uiPriority w:val="9"/>
    <w:rsid w:val="006A57B2"/>
    <w:rPr>
      <w:rFonts w:ascii="Cambria" w:eastAsia="Times New Roman" w:hAnsi="Cambria" w:cs="Times New Roman"/>
      <w:lang w:val="x-none"/>
    </w:rPr>
  </w:style>
  <w:style w:type="paragraph" w:styleId="ListParagraph">
    <w:name w:val="List Paragraph"/>
    <w:basedOn w:val="Normal"/>
    <w:uiPriority w:val="34"/>
    <w:qFormat/>
    <w:rsid w:val="006A57B2"/>
    <w:pPr>
      <w:ind w:left="720"/>
      <w:contextualSpacing/>
    </w:pPr>
  </w:style>
  <w:style w:type="paragraph" w:styleId="NormalWeb">
    <w:name w:val="Normal (Web)"/>
    <w:basedOn w:val="Normal"/>
    <w:uiPriority w:val="99"/>
    <w:rsid w:val="006A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A57B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A57B2"/>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7B2"/>
  </w:style>
  <w:style w:type="paragraph" w:styleId="Footer">
    <w:name w:val="footer"/>
    <w:basedOn w:val="Normal"/>
    <w:link w:val="FooterChar"/>
    <w:uiPriority w:val="99"/>
    <w:unhideWhenUsed/>
    <w:rsid w:val="006A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7B2"/>
  </w:style>
  <w:style w:type="paragraph" w:styleId="BalloonText">
    <w:name w:val="Balloon Text"/>
    <w:basedOn w:val="Normal"/>
    <w:link w:val="BalloonTextChar"/>
    <w:uiPriority w:val="99"/>
    <w:semiHidden/>
    <w:unhideWhenUsed/>
    <w:rsid w:val="006A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B2"/>
    <w:rPr>
      <w:rFonts w:ascii="Tahoma" w:hAnsi="Tahoma" w:cs="Tahoma"/>
      <w:sz w:val="16"/>
      <w:szCs w:val="16"/>
    </w:rPr>
  </w:style>
  <w:style w:type="character" w:styleId="CommentReference">
    <w:name w:val="annotation reference"/>
    <w:basedOn w:val="DefaultParagraphFont"/>
    <w:uiPriority w:val="99"/>
    <w:unhideWhenUsed/>
    <w:rsid w:val="006A57B2"/>
    <w:rPr>
      <w:sz w:val="16"/>
      <w:szCs w:val="16"/>
    </w:rPr>
  </w:style>
  <w:style w:type="paragraph" w:styleId="CommentText">
    <w:name w:val="annotation text"/>
    <w:basedOn w:val="Normal"/>
    <w:link w:val="CommentTextChar"/>
    <w:uiPriority w:val="99"/>
    <w:unhideWhenUsed/>
    <w:rsid w:val="006A57B2"/>
    <w:pPr>
      <w:spacing w:line="240" w:lineRule="auto"/>
    </w:pPr>
    <w:rPr>
      <w:sz w:val="20"/>
      <w:szCs w:val="20"/>
    </w:rPr>
  </w:style>
  <w:style w:type="character" w:customStyle="1" w:styleId="CommentTextChar">
    <w:name w:val="Comment Text Char"/>
    <w:basedOn w:val="DefaultParagraphFont"/>
    <w:link w:val="CommentText"/>
    <w:uiPriority w:val="99"/>
    <w:rsid w:val="006A57B2"/>
    <w:rPr>
      <w:sz w:val="20"/>
      <w:szCs w:val="20"/>
    </w:rPr>
  </w:style>
  <w:style w:type="paragraph" w:styleId="CommentSubject">
    <w:name w:val="annotation subject"/>
    <w:basedOn w:val="CommentText"/>
    <w:next w:val="CommentText"/>
    <w:link w:val="CommentSubjectChar"/>
    <w:uiPriority w:val="99"/>
    <w:semiHidden/>
    <w:unhideWhenUsed/>
    <w:rsid w:val="006A57B2"/>
    <w:rPr>
      <w:b/>
      <w:bCs/>
    </w:rPr>
  </w:style>
  <w:style w:type="character" w:customStyle="1" w:styleId="CommentSubjectChar">
    <w:name w:val="Comment Subject Char"/>
    <w:basedOn w:val="CommentTextChar"/>
    <w:link w:val="CommentSubject"/>
    <w:uiPriority w:val="99"/>
    <w:semiHidden/>
    <w:rsid w:val="006A57B2"/>
    <w:rPr>
      <w:b/>
      <w:bCs/>
      <w:sz w:val="20"/>
      <w:szCs w:val="20"/>
    </w:rPr>
  </w:style>
  <w:style w:type="paragraph" w:styleId="Title">
    <w:name w:val="Title"/>
    <w:basedOn w:val="Normal"/>
    <w:next w:val="Normal"/>
    <w:link w:val="TitleChar"/>
    <w:uiPriority w:val="10"/>
    <w:qFormat/>
    <w:rsid w:val="006A57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57B2"/>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6A57B2"/>
    <w:pPr>
      <w:outlineLvl w:val="9"/>
    </w:pPr>
    <w:rPr>
      <w:lang w:val="en-US" w:eastAsia="ja-JP"/>
    </w:rPr>
  </w:style>
  <w:style w:type="paragraph" w:styleId="TOC1">
    <w:name w:val="toc 1"/>
    <w:basedOn w:val="Normal"/>
    <w:next w:val="Normal"/>
    <w:autoRedefine/>
    <w:uiPriority w:val="39"/>
    <w:unhideWhenUsed/>
    <w:qFormat/>
    <w:rsid w:val="006A57B2"/>
    <w:pPr>
      <w:tabs>
        <w:tab w:val="right" w:leader="dot" w:pos="8290"/>
      </w:tabs>
      <w:spacing w:after="100"/>
    </w:pPr>
    <w:rPr>
      <w:sz w:val="24"/>
      <w:lang w:eastAsia="en-GB"/>
    </w:rPr>
  </w:style>
  <w:style w:type="paragraph" w:styleId="TOC2">
    <w:name w:val="toc 2"/>
    <w:basedOn w:val="Normal"/>
    <w:next w:val="Normal"/>
    <w:autoRedefine/>
    <w:uiPriority w:val="39"/>
    <w:unhideWhenUsed/>
    <w:qFormat/>
    <w:rsid w:val="006A57B2"/>
    <w:pPr>
      <w:spacing w:after="100"/>
      <w:ind w:left="220"/>
    </w:pPr>
  </w:style>
  <w:style w:type="paragraph" w:styleId="TOC3">
    <w:name w:val="toc 3"/>
    <w:basedOn w:val="Normal"/>
    <w:next w:val="Normal"/>
    <w:autoRedefine/>
    <w:uiPriority w:val="39"/>
    <w:unhideWhenUsed/>
    <w:qFormat/>
    <w:rsid w:val="006A57B2"/>
    <w:pPr>
      <w:spacing w:after="100"/>
      <w:ind w:left="440"/>
    </w:pPr>
  </w:style>
  <w:style w:type="character" w:styleId="Hyperlink">
    <w:name w:val="Hyperlink"/>
    <w:basedOn w:val="DefaultParagraphFont"/>
    <w:uiPriority w:val="99"/>
    <w:unhideWhenUsed/>
    <w:rsid w:val="006A57B2"/>
    <w:rPr>
      <w:color w:val="0563C1" w:themeColor="hyperlink"/>
      <w:u w:val="single"/>
    </w:rPr>
  </w:style>
  <w:style w:type="table" w:customStyle="1" w:styleId="TableGrid1">
    <w:name w:val="Table Grid1"/>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57B2"/>
    <w:pPr>
      <w:spacing w:after="0" w:line="240" w:lineRule="auto"/>
    </w:pPr>
  </w:style>
  <w:style w:type="paragraph" w:customStyle="1" w:styleId="Default">
    <w:name w:val="Default"/>
    <w:rsid w:val="006A57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ll">
    <w:name w:val="All"/>
    <w:basedOn w:val="Normal"/>
    <w:link w:val="AllChar"/>
    <w:qFormat/>
    <w:rsid w:val="006A57B2"/>
    <w:pPr>
      <w:spacing w:after="0" w:line="360" w:lineRule="auto"/>
      <w:jc w:val="both"/>
    </w:pPr>
    <w:rPr>
      <w:rFonts w:ascii="Times New Roman" w:eastAsia="Calibri" w:hAnsi="Times New Roman" w:cs="Calibri"/>
      <w:sz w:val="24"/>
      <w:szCs w:val="24"/>
    </w:rPr>
  </w:style>
  <w:style w:type="character" w:customStyle="1" w:styleId="AllChar">
    <w:name w:val="All Char"/>
    <w:basedOn w:val="DefaultParagraphFont"/>
    <w:link w:val="All"/>
    <w:rsid w:val="006A57B2"/>
    <w:rPr>
      <w:rFonts w:ascii="Times New Roman" w:eastAsia="Calibri" w:hAnsi="Times New Roman" w:cs="Calibri"/>
      <w:sz w:val="24"/>
      <w:szCs w:val="24"/>
    </w:rPr>
  </w:style>
  <w:style w:type="paragraph" w:customStyle="1" w:styleId="EndNoteBibliographyTitle">
    <w:name w:val="EndNote Bibliography Title"/>
    <w:basedOn w:val="Normal"/>
    <w:link w:val="EndNoteBibliographyTitleChar"/>
    <w:rsid w:val="006A57B2"/>
    <w:pPr>
      <w:spacing w:after="0"/>
      <w:jc w:val="center"/>
    </w:pPr>
    <w:rPr>
      <w:rFonts w:ascii="Cambria" w:hAnsi="Cambria" w:cs="Calibri"/>
      <w:noProof/>
      <w:lang w:val="en-US"/>
    </w:rPr>
  </w:style>
  <w:style w:type="character" w:customStyle="1" w:styleId="EndNoteBibliographyTitleChar">
    <w:name w:val="EndNote Bibliography Title Char"/>
    <w:basedOn w:val="DefaultParagraphFont"/>
    <w:link w:val="EndNoteBibliographyTitle"/>
    <w:rsid w:val="006A57B2"/>
    <w:rPr>
      <w:rFonts w:ascii="Cambria" w:hAnsi="Cambria" w:cs="Calibri"/>
      <w:noProof/>
      <w:lang w:val="en-US"/>
    </w:rPr>
  </w:style>
  <w:style w:type="paragraph" w:customStyle="1" w:styleId="EndNoteBibliography">
    <w:name w:val="EndNote Bibliography"/>
    <w:basedOn w:val="Normal"/>
    <w:link w:val="EndNoteBibliographyChar"/>
    <w:rsid w:val="006A57B2"/>
    <w:pPr>
      <w:spacing w:line="240" w:lineRule="auto"/>
    </w:pPr>
    <w:rPr>
      <w:rFonts w:ascii="Cambria" w:hAnsi="Cambria" w:cs="Calibri"/>
      <w:noProof/>
      <w:lang w:val="en-US"/>
    </w:rPr>
  </w:style>
  <w:style w:type="character" w:customStyle="1" w:styleId="EndNoteBibliographyChar">
    <w:name w:val="EndNote Bibliography Char"/>
    <w:basedOn w:val="DefaultParagraphFont"/>
    <w:link w:val="EndNoteBibliography"/>
    <w:rsid w:val="006A57B2"/>
    <w:rPr>
      <w:rFonts w:ascii="Cambria" w:hAnsi="Cambria" w:cs="Calibri"/>
      <w:noProof/>
      <w:lang w:val="en-US"/>
    </w:rPr>
  </w:style>
  <w:style w:type="character" w:styleId="IntenseEmphasis">
    <w:name w:val="Intense Emphasis"/>
    <w:uiPriority w:val="21"/>
    <w:qFormat/>
    <w:rsid w:val="006A57B2"/>
    <w:rPr>
      <w:rFonts w:asciiTheme="majorHAnsi" w:eastAsiaTheme="majorEastAsia" w:hAnsiTheme="majorHAnsi" w:cstheme="majorBidi" w:hint="default"/>
      <w:b/>
      <w:bCs/>
      <w:i/>
      <w:iCs/>
      <w:color w:val="5B9BD5" w:themeColor="accent1"/>
      <w:lang w:eastAsia="en-US"/>
    </w:rPr>
  </w:style>
  <w:style w:type="table" w:customStyle="1" w:styleId="TableGrid3">
    <w:name w:val="Table Grid3"/>
    <w:basedOn w:val="TableNormal"/>
    <w:next w:val="TableGrid"/>
    <w:uiPriority w:val="3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57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A57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57B2"/>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6A57B2"/>
    <w:pPr>
      <w:spacing w:after="0"/>
      <w:ind w:left="440" w:hanging="440"/>
    </w:pPr>
    <w:rPr>
      <w:b/>
      <w:bCs/>
      <w:sz w:val="20"/>
      <w:szCs w:val="20"/>
    </w:rPr>
  </w:style>
  <w:style w:type="numbering" w:customStyle="1" w:styleId="NoList1">
    <w:name w:val="No List1"/>
    <w:next w:val="NoList"/>
    <w:uiPriority w:val="99"/>
    <w:semiHidden/>
    <w:unhideWhenUsed/>
    <w:rsid w:val="006A57B2"/>
  </w:style>
  <w:style w:type="table" w:customStyle="1" w:styleId="TableGrid7">
    <w:name w:val="Table Grid7"/>
    <w:basedOn w:val="TableNormal"/>
    <w:next w:val="TableGrid"/>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A57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A57B2"/>
  </w:style>
  <w:style w:type="paragraph" w:styleId="BodyText">
    <w:name w:val="Body Text"/>
    <w:basedOn w:val="Normal"/>
    <w:link w:val="BodyTextChar1"/>
    <w:uiPriority w:val="99"/>
    <w:rsid w:val="006A57B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uiPriority w:val="99"/>
    <w:rsid w:val="006A57B2"/>
    <w:rPr>
      <w:rFonts w:eastAsiaTheme="minorHAnsi"/>
      <w:sz w:val="22"/>
      <w:szCs w:val="22"/>
      <w:lang w:val="en-GB"/>
    </w:rPr>
  </w:style>
  <w:style w:type="paragraph" w:styleId="BodyText2">
    <w:name w:val="Body Text 2"/>
    <w:basedOn w:val="Normal"/>
    <w:link w:val="BodyText2Char"/>
    <w:rsid w:val="006A57B2"/>
    <w:pPr>
      <w:spacing w:after="0" w:line="240" w:lineRule="auto"/>
    </w:pPr>
    <w:rPr>
      <w:rFonts w:ascii="Arial" w:eastAsia="Times New Roman" w:hAnsi="Arial" w:cs="Times New Roman"/>
      <w:i/>
      <w:szCs w:val="20"/>
    </w:rPr>
  </w:style>
  <w:style w:type="character" w:customStyle="1" w:styleId="BodyText2Char">
    <w:name w:val="Body Text 2 Char"/>
    <w:basedOn w:val="DefaultParagraphFont"/>
    <w:link w:val="BodyText2"/>
    <w:rsid w:val="006A57B2"/>
    <w:rPr>
      <w:rFonts w:ascii="Arial" w:eastAsia="Times New Roman" w:hAnsi="Arial" w:cs="Times New Roman"/>
      <w:i/>
      <w:szCs w:val="20"/>
    </w:rPr>
  </w:style>
  <w:style w:type="paragraph" w:styleId="BodyTextIndent">
    <w:name w:val="Body Text Indent"/>
    <w:basedOn w:val="Normal"/>
    <w:link w:val="BodyTextIndentChar"/>
    <w:rsid w:val="006A57B2"/>
    <w:pPr>
      <w:spacing w:after="0" w:line="240" w:lineRule="auto"/>
      <w:ind w:left="360"/>
    </w:pPr>
    <w:rPr>
      <w:rFonts w:ascii="Arial" w:eastAsia="Times New Roman" w:hAnsi="Arial" w:cs="Times New Roman"/>
      <w:i/>
      <w:szCs w:val="20"/>
    </w:rPr>
  </w:style>
  <w:style w:type="character" w:customStyle="1" w:styleId="BodyTextIndentChar">
    <w:name w:val="Body Text Indent Char"/>
    <w:basedOn w:val="DefaultParagraphFont"/>
    <w:link w:val="BodyTextIndent"/>
    <w:rsid w:val="006A57B2"/>
    <w:rPr>
      <w:rFonts w:ascii="Arial" w:eastAsia="Times New Roman" w:hAnsi="Arial" w:cs="Times New Roman"/>
      <w:i/>
      <w:szCs w:val="20"/>
    </w:rPr>
  </w:style>
  <w:style w:type="paragraph" w:styleId="BodyTextIndent2">
    <w:name w:val="Body Text Indent 2"/>
    <w:basedOn w:val="Normal"/>
    <w:link w:val="BodyTextIndent2Char"/>
    <w:rsid w:val="006A57B2"/>
    <w:pPr>
      <w:spacing w:after="0" w:line="24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A57B2"/>
    <w:rPr>
      <w:rFonts w:ascii="Arial" w:eastAsia="Times New Roman" w:hAnsi="Arial" w:cs="Times New Roman"/>
      <w:szCs w:val="20"/>
    </w:rPr>
  </w:style>
  <w:style w:type="paragraph" w:styleId="BodyText3">
    <w:name w:val="Body Text 3"/>
    <w:basedOn w:val="Normal"/>
    <w:link w:val="BodyText3Char"/>
    <w:rsid w:val="006A57B2"/>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6A57B2"/>
    <w:rPr>
      <w:rFonts w:ascii="Arial" w:eastAsia="Times New Roman" w:hAnsi="Arial" w:cs="Times New Roman"/>
      <w:sz w:val="24"/>
      <w:szCs w:val="20"/>
    </w:rPr>
  </w:style>
  <w:style w:type="paragraph" w:customStyle="1" w:styleId="SchemaTitle">
    <w:name w:val="SchemaTitle"/>
    <w:basedOn w:val="Normal"/>
    <w:uiPriority w:val="99"/>
    <w:rsid w:val="006A57B2"/>
    <w:pPr>
      <w:spacing w:before="240" w:after="240" w:line="274" w:lineRule="auto"/>
      <w:jc w:val="center"/>
    </w:pPr>
    <w:rPr>
      <w:rFonts w:ascii="Arial" w:eastAsia="Times New Roman" w:hAnsi="Arial" w:cs="Times New Roman"/>
      <w:b/>
      <w:sz w:val="24"/>
      <w:szCs w:val="20"/>
    </w:rPr>
  </w:style>
  <w:style w:type="paragraph" w:customStyle="1" w:styleId="Normal-text">
    <w:name w:val="Normal-text"/>
    <w:basedOn w:val="Normal"/>
    <w:semiHidden/>
    <w:rsid w:val="006A57B2"/>
    <w:pPr>
      <w:tabs>
        <w:tab w:val="left" w:pos="0"/>
      </w:tabs>
      <w:suppressAutoHyphens/>
      <w:spacing w:before="60" w:after="12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
    <w:uiPriority w:val="99"/>
    <w:rsid w:val="006A57B2"/>
    <w:rPr>
      <w:rFonts w:ascii="Arial" w:eastAsia="Times New Roman" w:hAnsi="Arial" w:cs="Times New Roman"/>
      <w:szCs w:val="20"/>
    </w:rPr>
  </w:style>
  <w:style w:type="paragraph" w:customStyle="1" w:styleId="SchemaBullet1">
    <w:name w:val="SchemaBullet1"/>
    <w:basedOn w:val="SchemaTxt"/>
    <w:semiHidden/>
    <w:rsid w:val="006A57B2"/>
    <w:pPr>
      <w:numPr>
        <w:numId w:val="11"/>
      </w:numPr>
      <w:tabs>
        <w:tab w:val="clear" w:pos="432"/>
        <w:tab w:val="num" w:pos="360"/>
      </w:tabs>
      <w:spacing w:before="60"/>
      <w:ind w:left="2160" w:hanging="2160"/>
    </w:pPr>
  </w:style>
  <w:style w:type="paragraph" w:customStyle="1" w:styleId="SchemaTxt">
    <w:name w:val="SchemaTxt"/>
    <w:basedOn w:val="Normal"/>
    <w:semiHidden/>
    <w:rsid w:val="006A57B2"/>
    <w:pPr>
      <w:tabs>
        <w:tab w:val="left" w:pos="2160"/>
      </w:tabs>
      <w:spacing w:after="0" w:line="274" w:lineRule="auto"/>
      <w:ind w:left="2160" w:hanging="2160"/>
    </w:pPr>
    <w:rPr>
      <w:rFonts w:ascii="Arial" w:eastAsia="Times New Roman" w:hAnsi="Arial" w:cs="Times New Roman"/>
      <w:bCs/>
      <w:szCs w:val="20"/>
    </w:rPr>
  </w:style>
  <w:style w:type="paragraph" w:customStyle="1" w:styleId="Heading1After6pt">
    <w:name w:val="Heading 1 + After:  6 pt"/>
    <w:basedOn w:val="Heading1"/>
    <w:rsid w:val="006A57B2"/>
    <w:pPr>
      <w:keepLines w:val="0"/>
      <w:pageBreakBefore/>
      <w:spacing w:before="360" w:after="120" w:line="274" w:lineRule="auto"/>
      <w:ind w:left="432" w:hanging="432"/>
    </w:pPr>
    <w:rPr>
      <w:rFonts w:ascii="Arial" w:eastAsia="Times New Roman" w:hAnsi="Arial" w:cs="Arial"/>
      <w:bCs w:val="0"/>
      <w:color w:val="auto"/>
      <w:sz w:val="22"/>
      <w:szCs w:val="20"/>
      <w:u w:val="single"/>
    </w:rPr>
  </w:style>
  <w:style w:type="paragraph" w:customStyle="1" w:styleId="hrhStyle1">
    <w:name w:val="hrh Style 1"/>
    <w:basedOn w:val="Heading1"/>
    <w:next w:val="BodyStyle1"/>
    <w:rsid w:val="006A57B2"/>
    <w:pPr>
      <w:keepLines w:val="0"/>
      <w:pageBreakBefore/>
      <w:tabs>
        <w:tab w:val="num" w:pos="720"/>
      </w:tabs>
      <w:spacing w:before="0" w:after="360" w:line="274" w:lineRule="auto"/>
      <w:ind w:left="720" w:hanging="720"/>
    </w:pPr>
    <w:rPr>
      <w:rFonts w:ascii="Arial" w:eastAsia="Times New Roman" w:hAnsi="Arial" w:cs="Times New Roman"/>
      <w:caps/>
      <w:color w:val="auto"/>
      <w:sz w:val="32"/>
      <w:szCs w:val="20"/>
    </w:rPr>
  </w:style>
  <w:style w:type="character" w:customStyle="1" w:styleId="BodyStyle1Char1">
    <w:name w:val="Body Style 1 Char1"/>
    <w:basedOn w:val="BodyTextChar1"/>
    <w:link w:val="BodyStyle1"/>
    <w:rsid w:val="006A57B2"/>
    <w:rPr>
      <w:rFonts w:ascii="Arial" w:eastAsia="Times New Roman" w:hAnsi="Arial" w:cs="Times New Roman"/>
      <w:szCs w:val="20"/>
    </w:rPr>
  </w:style>
  <w:style w:type="paragraph" w:customStyle="1" w:styleId="hrhStyle2">
    <w:name w:val="hrh Style 2"/>
    <w:basedOn w:val="Heading2"/>
    <w:next w:val="BodyStyle1"/>
    <w:link w:val="hrhStyle2Char"/>
    <w:rsid w:val="006A57B2"/>
    <w:pPr>
      <w:keepLines w:val="0"/>
      <w:tabs>
        <w:tab w:val="num" w:pos="862"/>
      </w:tabs>
      <w:spacing w:before="360" w:after="0" w:line="274" w:lineRule="auto"/>
      <w:ind w:left="862" w:hanging="720"/>
    </w:pPr>
    <w:rPr>
      <w:rFonts w:ascii="Arial" w:eastAsia="Times New Roman" w:hAnsi="Arial" w:cs="Times New Roman"/>
      <w:color w:val="auto"/>
      <w:sz w:val="28"/>
      <w:szCs w:val="20"/>
      <w:lang w:val="x-none"/>
    </w:rPr>
  </w:style>
  <w:style w:type="paragraph" w:customStyle="1" w:styleId="hrhStyle3">
    <w:name w:val="hrh Style 3"/>
    <w:basedOn w:val="Heading3"/>
    <w:next w:val="BodyStyle1"/>
    <w:rsid w:val="006A57B2"/>
    <w:pPr>
      <w:keepLines w:val="0"/>
      <w:tabs>
        <w:tab w:val="num" w:pos="862"/>
      </w:tabs>
      <w:spacing w:before="240" w:after="0" w:line="274" w:lineRule="auto"/>
      <w:ind w:left="862" w:hanging="720"/>
    </w:pPr>
    <w:rPr>
      <w:rFonts w:ascii="Arial" w:eastAsia="Times New Roman" w:hAnsi="Arial" w:cs="Times New Roman"/>
      <w:color w:val="auto"/>
      <w:sz w:val="26"/>
      <w:szCs w:val="20"/>
    </w:rPr>
  </w:style>
  <w:style w:type="paragraph" w:customStyle="1" w:styleId="Bulletlisting">
    <w:name w:val="Bullet (listing)"/>
    <w:basedOn w:val="Normal"/>
    <w:uiPriority w:val="99"/>
    <w:rsid w:val="006A57B2"/>
    <w:pPr>
      <w:spacing w:before="120" w:after="0" w:line="274" w:lineRule="auto"/>
    </w:pPr>
    <w:rPr>
      <w:rFonts w:ascii="Arial" w:eastAsia="Times New Roman" w:hAnsi="Arial" w:cs="Times New Roman"/>
      <w:szCs w:val="20"/>
    </w:rPr>
  </w:style>
  <w:style w:type="paragraph" w:customStyle="1" w:styleId="AppendixStyle1">
    <w:name w:val="Appendix Style 1"/>
    <w:basedOn w:val="Heading2"/>
    <w:next w:val="BodyText"/>
    <w:rsid w:val="006A57B2"/>
    <w:pPr>
      <w:keepLines w:val="0"/>
      <w:pageBreakBefore/>
      <w:numPr>
        <w:numId w:val="12"/>
      </w:numPr>
      <w:spacing w:before="360" w:after="360" w:line="274" w:lineRule="auto"/>
      <w:ind w:hanging="720"/>
    </w:pPr>
    <w:rPr>
      <w:rFonts w:ascii="Arial" w:eastAsia="Times New Roman" w:hAnsi="Arial" w:cs="Times New Roman"/>
      <w:bCs w:val="0"/>
      <w:color w:val="auto"/>
      <w:sz w:val="28"/>
      <w:szCs w:val="20"/>
    </w:rPr>
  </w:style>
  <w:style w:type="paragraph" w:styleId="BodyTextFirstIndent">
    <w:name w:val="Body Text First Indent"/>
    <w:basedOn w:val="BodyText"/>
    <w:link w:val="BodyTextFirstIndentChar"/>
    <w:rsid w:val="006A57B2"/>
    <w:pPr>
      <w:spacing w:after="120"/>
      <w:ind w:firstLine="210"/>
      <w:jc w:val="left"/>
    </w:pPr>
  </w:style>
  <w:style w:type="character" w:customStyle="1" w:styleId="BodyTextFirstIndentChar">
    <w:name w:val="Body Text First Indent Char"/>
    <w:basedOn w:val="BodyTextChar"/>
    <w:link w:val="BodyTextFirstIndent"/>
    <w:rsid w:val="006A57B2"/>
    <w:rPr>
      <w:rFonts w:ascii="Arial" w:eastAsia="Times New Roman" w:hAnsi="Arial" w:cs="Times New Roman"/>
      <w:sz w:val="22"/>
      <w:szCs w:val="20"/>
      <w:lang w:val="en-GB"/>
    </w:rPr>
  </w:style>
  <w:style w:type="paragraph" w:customStyle="1" w:styleId="hrhStyle4">
    <w:name w:val="hrh Style 4"/>
    <w:basedOn w:val="Heading4"/>
    <w:next w:val="BodyText"/>
    <w:rsid w:val="006A57B2"/>
    <w:pPr>
      <w:keepLines w:val="0"/>
      <w:tabs>
        <w:tab w:val="num" w:pos="2160"/>
      </w:tabs>
      <w:spacing w:before="360" w:after="0" w:line="274" w:lineRule="auto"/>
      <w:ind w:left="1728" w:hanging="648"/>
    </w:pPr>
    <w:rPr>
      <w:rFonts w:ascii="Arial" w:eastAsia="Times New Roman" w:hAnsi="Arial" w:cs="Times New Roman"/>
      <w:bCs w:val="0"/>
      <w:i w:val="0"/>
      <w:iCs w:val="0"/>
      <w:color w:val="auto"/>
      <w:sz w:val="24"/>
      <w:szCs w:val="20"/>
    </w:rPr>
  </w:style>
  <w:style w:type="paragraph" w:customStyle="1" w:styleId="StylehrhStyle4Justified">
    <w:name w:val="Style hrh Style 4 + Justified"/>
    <w:basedOn w:val="hrhStyle4"/>
    <w:rsid w:val="006A57B2"/>
    <w:pPr>
      <w:spacing w:before="240"/>
      <w:jc w:val="both"/>
    </w:pPr>
    <w:rPr>
      <w:bCs/>
    </w:rPr>
  </w:style>
  <w:style w:type="paragraph" w:styleId="TOC4">
    <w:name w:val="toc 4"/>
    <w:basedOn w:val="Normal"/>
    <w:next w:val="Normal"/>
    <w:autoRedefine/>
    <w:uiPriority w:val="39"/>
    <w:rsid w:val="006A57B2"/>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6A57B2"/>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6A57B2"/>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6A57B2"/>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6A57B2"/>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6A57B2"/>
    <w:pPr>
      <w:spacing w:after="0" w:line="240" w:lineRule="auto"/>
      <w:ind w:left="1920"/>
    </w:pPr>
    <w:rPr>
      <w:rFonts w:ascii="Times New Roman" w:eastAsia="Times New Roman" w:hAnsi="Times New Roman" w:cs="Times New Roman"/>
      <w:sz w:val="24"/>
      <w:szCs w:val="24"/>
      <w:lang w:eastAsia="en-GB"/>
    </w:rPr>
  </w:style>
  <w:style w:type="paragraph" w:customStyle="1" w:styleId="BodyStyle1">
    <w:name w:val="Body Style 1"/>
    <w:basedOn w:val="BodyText"/>
    <w:link w:val="BodyStyle1Char1"/>
    <w:rsid w:val="006A57B2"/>
  </w:style>
  <w:style w:type="paragraph" w:customStyle="1" w:styleId="StylehrhStyle3Left0cmFirstline0cm">
    <w:name w:val="Style hrh Style 3 + Left:  0 cm First line:  0 cm"/>
    <w:basedOn w:val="hrhStyle3"/>
    <w:next w:val="BodyStyle1"/>
    <w:rsid w:val="006A57B2"/>
    <w:pPr>
      <w:ind w:left="0" w:firstLine="0"/>
    </w:pPr>
  </w:style>
  <w:style w:type="character" w:customStyle="1" w:styleId="BodyStyle1Char">
    <w:name w:val="Body Style 1 Char"/>
    <w:basedOn w:val="BodyTextChar"/>
    <w:rsid w:val="006A57B2"/>
    <w:rPr>
      <w:rFonts w:ascii="Arial" w:eastAsiaTheme="minorHAnsi" w:hAnsi="Arial"/>
      <w:sz w:val="22"/>
      <w:szCs w:val="22"/>
      <w:lang w:val="en-GB" w:eastAsia="en-US" w:bidi="ar-SA"/>
    </w:rPr>
  </w:style>
  <w:style w:type="character" w:styleId="PageNumber">
    <w:name w:val="page number"/>
    <w:basedOn w:val="DefaultParagraphFont"/>
    <w:rsid w:val="006A57B2"/>
  </w:style>
  <w:style w:type="character" w:styleId="FollowedHyperlink">
    <w:name w:val="FollowedHyperlink"/>
    <w:uiPriority w:val="99"/>
    <w:rsid w:val="006A57B2"/>
    <w:rPr>
      <w:color w:val="800080"/>
      <w:u w:val="single"/>
    </w:rPr>
  </w:style>
  <w:style w:type="paragraph" w:customStyle="1" w:styleId="MENDStyle3">
    <w:name w:val="MEND Style 3"/>
    <w:basedOn w:val="Heading3"/>
    <w:next w:val="Normal"/>
    <w:uiPriority w:val="99"/>
    <w:rsid w:val="006A57B2"/>
    <w:pPr>
      <w:keepLines w:val="0"/>
      <w:numPr>
        <w:ilvl w:val="2"/>
      </w:numPr>
      <w:tabs>
        <w:tab w:val="left" w:pos="958"/>
      </w:tabs>
      <w:spacing w:before="360" w:after="0" w:line="274" w:lineRule="auto"/>
      <w:ind w:left="958" w:hanging="720"/>
    </w:pPr>
    <w:rPr>
      <w:rFonts w:ascii="Arial" w:eastAsia="Times New Roman" w:hAnsi="Arial" w:cs="Times New Roman"/>
      <w:color w:val="auto"/>
      <w:sz w:val="26"/>
      <w:szCs w:val="20"/>
    </w:rPr>
  </w:style>
  <w:style w:type="character" w:customStyle="1" w:styleId="hrhStyle2Char">
    <w:name w:val="hrh Style 2 Char"/>
    <w:link w:val="hrhStyle2"/>
    <w:rsid w:val="006A57B2"/>
    <w:rPr>
      <w:rFonts w:ascii="Arial" w:eastAsia="Times New Roman" w:hAnsi="Arial" w:cs="Times New Roman"/>
      <w:b/>
      <w:bCs/>
      <w:sz w:val="28"/>
      <w:szCs w:val="20"/>
      <w:lang w:val="x-none"/>
    </w:rPr>
  </w:style>
  <w:style w:type="character" w:customStyle="1" w:styleId="BodyTextChar2">
    <w:name w:val="Body Text Char2"/>
    <w:rsid w:val="006A57B2"/>
    <w:rPr>
      <w:rFonts w:ascii="Arial" w:hAnsi="Arial"/>
      <w:sz w:val="22"/>
      <w:lang w:val="en-GB" w:eastAsia="en-US" w:bidi="ar-SA"/>
    </w:rPr>
  </w:style>
  <w:style w:type="character" w:customStyle="1" w:styleId="BodyStyle1Char2">
    <w:name w:val="Body Style 1 Char2"/>
    <w:basedOn w:val="BodyTextChar2"/>
    <w:rsid w:val="006A57B2"/>
    <w:rPr>
      <w:rFonts w:ascii="Arial" w:hAnsi="Arial"/>
      <w:sz w:val="22"/>
      <w:lang w:val="en-GB" w:eastAsia="en-US" w:bidi="ar-SA"/>
    </w:rPr>
  </w:style>
  <w:style w:type="paragraph" w:customStyle="1" w:styleId="MENDBodyStyle1">
    <w:name w:val="MEND Body Style 1"/>
    <w:basedOn w:val="BodyText"/>
    <w:uiPriority w:val="99"/>
    <w:rsid w:val="006A57B2"/>
  </w:style>
  <w:style w:type="paragraph" w:styleId="DocumentMap">
    <w:name w:val="Document Map"/>
    <w:basedOn w:val="Normal"/>
    <w:link w:val="DocumentMapChar"/>
    <w:rsid w:val="006A57B2"/>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6A57B2"/>
    <w:rPr>
      <w:rFonts w:ascii="Tahoma" w:eastAsia="Times New Roman" w:hAnsi="Tahoma" w:cs="Times New Roman"/>
      <w:sz w:val="16"/>
      <w:szCs w:val="16"/>
      <w:lang w:val="x-none"/>
    </w:rPr>
  </w:style>
  <w:style w:type="table" w:customStyle="1" w:styleId="TableGrid8">
    <w:name w:val="Table Grid8"/>
    <w:basedOn w:val="TableNormal"/>
    <w:next w:val="TableGrid"/>
    <w:rsid w:val="006A57B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tocolBodyStyle1">
    <w:name w:val="Protocol Body Style 1"/>
    <w:basedOn w:val="Normal"/>
    <w:next w:val="Normal"/>
    <w:uiPriority w:val="99"/>
    <w:rsid w:val="006A57B2"/>
    <w:pPr>
      <w:autoSpaceDE w:val="0"/>
      <w:autoSpaceDN w:val="0"/>
      <w:adjustRightInd w:val="0"/>
      <w:spacing w:after="0" w:line="240" w:lineRule="auto"/>
    </w:pPr>
    <w:rPr>
      <w:rFonts w:ascii="Arial" w:eastAsia="Times New Roman" w:hAnsi="Arial" w:cs="Arial"/>
      <w:sz w:val="24"/>
      <w:szCs w:val="24"/>
      <w:lang w:eastAsia="en-GB"/>
    </w:rPr>
  </w:style>
  <w:style w:type="character" w:customStyle="1" w:styleId="StyleProtocolBodyStyle1BlueChar">
    <w:name w:val="Style Protocol Body Style 1 + Blue Char"/>
    <w:uiPriority w:val="99"/>
    <w:rsid w:val="006A57B2"/>
    <w:rPr>
      <w:color w:val="000000"/>
      <w:sz w:val="22"/>
      <w:szCs w:val="22"/>
    </w:rPr>
  </w:style>
  <w:style w:type="paragraph" w:customStyle="1" w:styleId="Text">
    <w:name w:val="Text"/>
    <w:basedOn w:val="Normal"/>
    <w:rsid w:val="006A57B2"/>
    <w:pPr>
      <w:spacing w:before="120" w:after="0" w:line="240" w:lineRule="auto"/>
      <w:jc w:val="both"/>
    </w:pPr>
    <w:rPr>
      <w:rFonts w:ascii="Times New Roman" w:eastAsia="Times New Roman" w:hAnsi="Times New Roman" w:cs="Times New Roman"/>
      <w:sz w:val="24"/>
      <w:szCs w:val="20"/>
    </w:rPr>
  </w:style>
  <w:style w:type="paragraph" w:customStyle="1" w:styleId="ProtocolStyle2">
    <w:name w:val="Protocol Style 2"/>
    <w:basedOn w:val="Default"/>
    <w:next w:val="Default"/>
    <w:uiPriority w:val="99"/>
    <w:rsid w:val="006A57B2"/>
    <w:rPr>
      <w:color w:val="auto"/>
    </w:rPr>
  </w:style>
  <w:style w:type="paragraph" w:customStyle="1" w:styleId="ProtocolStyle3">
    <w:name w:val="Protocol Style 3"/>
    <w:basedOn w:val="Default"/>
    <w:next w:val="Default"/>
    <w:uiPriority w:val="99"/>
    <w:rsid w:val="006A57B2"/>
    <w:rPr>
      <w:color w:val="auto"/>
    </w:rPr>
  </w:style>
  <w:style w:type="paragraph" w:customStyle="1" w:styleId="MENDStyle4">
    <w:name w:val="MEND Style 4"/>
    <w:basedOn w:val="Default"/>
    <w:next w:val="Default"/>
    <w:uiPriority w:val="99"/>
    <w:rsid w:val="006A57B2"/>
    <w:rPr>
      <w:color w:val="auto"/>
    </w:rPr>
  </w:style>
  <w:style w:type="paragraph" w:customStyle="1" w:styleId="StyleProtocolBodyStyle1Blue">
    <w:name w:val="Style Protocol Body Style 1 + Blue"/>
    <w:basedOn w:val="Default"/>
    <w:next w:val="Default"/>
    <w:uiPriority w:val="99"/>
    <w:rsid w:val="006A57B2"/>
    <w:rPr>
      <w:color w:val="auto"/>
    </w:rPr>
  </w:style>
  <w:style w:type="paragraph" w:customStyle="1" w:styleId="MENDBodyStyle1CharChar">
    <w:name w:val="MEND Body Style 1 Char Char"/>
    <w:basedOn w:val="BodyText"/>
    <w:link w:val="MENDBodyStyle1CharCharChar"/>
    <w:rsid w:val="006A57B2"/>
    <w:rPr>
      <w:lang w:val="x-none"/>
    </w:rPr>
  </w:style>
  <w:style w:type="character" w:customStyle="1" w:styleId="MENDBodyStyle1CharCharChar">
    <w:name w:val="MEND Body Style 1 Char Char Char"/>
    <w:link w:val="MENDBodyStyle1CharChar"/>
    <w:rsid w:val="006A57B2"/>
    <w:rPr>
      <w:rFonts w:ascii="Arial" w:eastAsia="Times New Roman" w:hAnsi="Arial" w:cs="Times New Roman"/>
      <w:szCs w:val="20"/>
      <w:lang w:val="x-none"/>
    </w:rPr>
  </w:style>
  <w:style w:type="character" w:customStyle="1" w:styleId="detailstext1">
    <w:name w:val="detailstext1"/>
    <w:rsid w:val="006A57B2"/>
    <w:rPr>
      <w:b/>
      <w:bCs/>
      <w:color w:val="000000"/>
      <w:shd w:val="clear" w:color="auto" w:fill="FFFFFF"/>
    </w:rPr>
  </w:style>
  <w:style w:type="paragraph" w:customStyle="1" w:styleId="Normalsectionaltext">
    <w:name w:val="Normal sectional text"/>
    <w:basedOn w:val="Normal"/>
    <w:link w:val="NormalsectionaltextChar"/>
    <w:rsid w:val="006A57B2"/>
    <w:pPr>
      <w:tabs>
        <w:tab w:val="left" w:pos="680"/>
      </w:tabs>
      <w:spacing w:before="120" w:after="100" w:afterAutospacing="1" w:line="240" w:lineRule="auto"/>
      <w:ind w:left="680"/>
    </w:pPr>
    <w:rPr>
      <w:rFonts w:ascii="Arial" w:eastAsia="Times New Roman" w:hAnsi="Arial" w:cs="Times New Roman"/>
      <w:sz w:val="20"/>
      <w:szCs w:val="20"/>
      <w:lang w:val="x-none"/>
    </w:rPr>
  </w:style>
  <w:style w:type="paragraph" w:customStyle="1" w:styleId="Subheading2x">
    <w:name w:val="Subheading 2x"/>
    <w:basedOn w:val="Heading2"/>
    <w:rsid w:val="006A57B2"/>
    <w:pPr>
      <w:keepLines w:val="0"/>
      <w:numPr>
        <w:ilvl w:val="1"/>
      </w:numPr>
      <w:tabs>
        <w:tab w:val="num" w:pos="720"/>
      </w:tabs>
      <w:spacing w:before="120" w:line="240" w:lineRule="auto"/>
      <w:ind w:left="794" w:hanging="794"/>
      <w:jc w:val="both"/>
    </w:pPr>
    <w:rPr>
      <w:rFonts w:ascii="Arial Bold" w:eastAsia="Times New Roman" w:hAnsi="Arial Bold" w:cs="Times New Roman"/>
      <w:bCs w:val="0"/>
      <w:smallCaps/>
      <w:color w:val="auto"/>
      <w:sz w:val="24"/>
      <w:szCs w:val="24"/>
    </w:rPr>
  </w:style>
  <w:style w:type="character" w:customStyle="1" w:styleId="NormalsectionaltextChar">
    <w:name w:val="Normal sectional text Char"/>
    <w:link w:val="Normalsectionaltext"/>
    <w:rsid w:val="006A57B2"/>
    <w:rPr>
      <w:rFonts w:ascii="Arial" w:eastAsia="Times New Roman" w:hAnsi="Arial" w:cs="Times New Roman"/>
      <w:sz w:val="20"/>
      <w:szCs w:val="20"/>
      <w:lang w:val="x-none"/>
    </w:rPr>
  </w:style>
  <w:style w:type="paragraph" w:customStyle="1" w:styleId="Subheading3x">
    <w:name w:val="Subheading 3x"/>
    <w:basedOn w:val="Heading3"/>
    <w:link w:val="Subheading3xChar"/>
    <w:rsid w:val="006A57B2"/>
    <w:pPr>
      <w:keepLines w:val="0"/>
      <w:numPr>
        <w:ilvl w:val="2"/>
      </w:numPr>
      <w:tabs>
        <w:tab w:val="left" w:pos="720"/>
        <w:tab w:val="num" w:pos="1004"/>
      </w:tabs>
      <w:spacing w:before="120" w:line="240" w:lineRule="auto"/>
      <w:ind w:left="284"/>
      <w:jc w:val="both"/>
    </w:pPr>
    <w:rPr>
      <w:rFonts w:ascii="Arial Bold" w:eastAsia="Times New Roman" w:hAnsi="Arial Bold" w:cs="Times New Roman"/>
      <w:bCs w:val="0"/>
      <w:smallCaps/>
      <w:color w:val="auto"/>
      <w:lang w:val="x-none"/>
    </w:rPr>
  </w:style>
  <w:style w:type="character" w:customStyle="1" w:styleId="Subheading3xChar">
    <w:name w:val="Subheading 3x Char"/>
    <w:link w:val="Subheading3x"/>
    <w:rsid w:val="006A57B2"/>
    <w:rPr>
      <w:rFonts w:ascii="Arial Bold" w:eastAsia="Times New Roman" w:hAnsi="Arial Bold" w:cs="Times New Roman"/>
      <w:b/>
      <w:smallCaps/>
      <w:lang w:val="x-none"/>
    </w:rPr>
  </w:style>
  <w:style w:type="paragraph" w:styleId="PlainText">
    <w:name w:val="Plain Text"/>
    <w:basedOn w:val="Normal"/>
    <w:link w:val="PlainTextChar"/>
    <w:uiPriority w:val="99"/>
    <w:unhideWhenUsed/>
    <w:rsid w:val="006A57B2"/>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6A57B2"/>
    <w:rPr>
      <w:rFonts w:ascii="Consolas" w:eastAsia="Calibri" w:hAnsi="Consolas" w:cs="Times New Roman"/>
      <w:sz w:val="21"/>
      <w:szCs w:val="21"/>
      <w:lang w:val="x-none"/>
    </w:rPr>
  </w:style>
  <w:style w:type="paragraph" w:customStyle="1" w:styleId="cbx1">
    <w:name w:val="cbx1"/>
    <w:basedOn w:val="Normal"/>
    <w:rsid w:val="006A57B2"/>
    <w:pPr>
      <w:spacing w:after="0" w:line="336"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6A57B2"/>
  </w:style>
  <w:style w:type="paragraph" w:styleId="NoSpacing">
    <w:name w:val="No Spacing"/>
    <w:uiPriority w:val="1"/>
    <w:qFormat/>
    <w:rsid w:val="006A57B2"/>
    <w:pPr>
      <w:spacing w:after="0" w:line="240" w:lineRule="auto"/>
      <w:jc w:val="both"/>
    </w:pPr>
    <w:rPr>
      <w:rFonts w:ascii="Arial" w:eastAsia="Times New Roman" w:hAnsi="Arial" w:cs="Times New Roman"/>
      <w:szCs w:val="24"/>
      <w:lang w:eastAsia="en-GB"/>
    </w:rPr>
  </w:style>
  <w:style w:type="table" w:customStyle="1" w:styleId="TableGrid9">
    <w:name w:val="Table Grid9"/>
    <w:basedOn w:val="TableNormal"/>
    <w:next w:val="TableGrid"/>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7B2"/>
    <w:rPr>
      <w:rFonts w:cs="Times New Roman"/>
      <w:color w:val="808080"/>
    </w:rPr>
  </w:style>
  <w:style w:type="character" w:styleId="Emphasis">
    <w:name w:val="Emphasis"/>
    <w:basedOn w:val="DefaultParagraphFont"/>
    <w:uiPriority w:val="20"/>
    <w:qFormat/>
    <w:rsid w:val="006A57B2"/>
    <w:rPr>
      <w:i/>
      <w:iCs/>
    </w:rPr>
  </w:style>
  <w:style w:type="paragraph" w:customStyle="1" w:styleId="xl63">
    <w:name w:val="xl63"/>
    <w:basedOn w:val="Normal"/>
    <w:rsid w:val="006A57B2"/>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64">
    <w:name w:val="xl64"/>
    <w:basedOn w:val="Normal"/>
    <w:rsid w:val="006A57B2"/>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6A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B2"/>
    <w:pPr>
      <w:spacing w:after="200" w:line="276" w:lineRule="auto"/>
    </w:pPr>
  </w:style>
  <w:style w:type="paragraph" w:styleId="Heading1">
    <w:name w:val="heading 1"/>
    <w:aliases w:val="Heading 1 SOP"/>
    <w:basedOn w:val="Normal"/>
    <w:next w:val="Normal"/>
    <w:link w:val="Heading1Char"/>
    <w:qFormat/>
    <w:rsid w:val="006A57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 SOP"/>
    <w:basedOn w:val="Normal"/>
    <w:next w:val="Normal"/>
    <w:link w:val="Heading2Char"/>
    <w:uiPriority w:val="9"/>
    <w:unhideWhenUsed/>
    <w:qFormat/>
    <w:rsid w:val="006A57B2"/>
    <w:pPr>
      <w:keepNext/>
      <w:keepLines/>
      <w:spacing w:before="200" w:after="12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eading 3 SOP"/>
    <w:basedOn w:val="Normal"/>
    <w:next w:val="Normal"/>
    <w:link w:val="Heading3Char"/>
    <w:uiPriority w:val="9"/>
    <w:unhideWhenUsed/>
    <w:qFormat/>
    <w:rsid w:val="006A57B2"/>
    <w:pPr>
      <w:keepNext/>
      <w:keepLines/>
      <w:spacing w:before="200" w:after="120"/>
      <w:outlineLvl w:val="2"/>
    </w:pPr>
    <w:rPr>
      <w:rFonts w:asciiTheme="majorHAnsi" w:eastAsiaTheme="majorEastAsia" w:hAnsiTheme="majorHAnsi" w:cstheme="majorBidi"/>
      <w:b/>
      <w:bCs/>
      <w:color w:val="5B9BD5" w:themeColor="accent1"/>
    </w:rPr>
  </w:style>
  <w:style w:type="paragraph" w:styleId="Heading4">
    <w:name w:val="heading 4"/>
    <w:aliases w:val="Heading 4 SOP"/>
    <w:basedOn w:val="Normal"/>
    <w:next w:val="Normal"/>
    <w:link w:val="Heading4Char"/>
    <w:uiPriority w:val="9"/>
    <w:unhideWhenUsed/>
    <w:qFormat/>
    <w:rsid w:val="006A57B2"/>
    <w:pPr>
      <w:keepNext/>
      <w:keepLines/>
      <w:spacing w:before="200" w:after="1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qFormat/>
    <w:rsid w:val="006A57B2"/>
    <w:pPr>
      <w:keepNext/>
      <w:spacing w:after="0" w:line="240" w:lineRule="auto"/>
      <w:ind w:left="1008" w:hanging="1008"/>
      <w:outlineLvl w:val="4"/>
    </w:pPr>
    <w:rPr>
      <w:rFonts w:ascii="Arial" w:eastAsia="Times New Roman" w:hAnsi="Arial" w:cs="Times New Roman"/>
      <w:i/>
      <w:szCs w:val="20"/>
    </w:rPr>
  </w:style>
  <w:style w:type="paragraph" w:styleId="Heading6">
    <w:name w:val="heading 6"/>
    <w:basedOn w:val="Normal"/>
    <w:next w:val="Normal"/>
    <w:link w:val="Heading6Char"/>
    <w:uiPriority w:val="9"/>
    <w:qFormat/>
    <w:rsid w:val="006A57B2"/>
    <w:pPr>
      <w:keepNext/>
      <w:spacing w:after="0" w:line="240" w:lineRule="auto"/>
      <w:ind w:left="1152" w:hanging="1152"/>
      <w:jc w:val="center"/>
      <w:outlineLvl w:val="5"/>
    </w:pPr>
    <w:rPr>
      <w:rFonts w:ascii="Arial" w:eastAsia="Times New Roman" w:hAnsi="Arial" w:cs="Arial"/>
      <w:b/>
      <w:szCs w:val="20"/>
    </w:rPr>
  </w:style>
  <w:style w:type="paragraph" w:styleId="Heading7">
    <w:name w:val="heading 7"/>
    <w:basedOn w:val="Normal"/>
    <w:next w:val="Normal"/>
    <w:link w:val="Heading7Char"/>
    <w:uiPriority w:val="9"/>
    <w:qFormat/>
    <w:rsid w:val="006A57B2"/>
    <w:pPr>
      <w:keepNext/>
      <w:spacing w:after="0" w:line="240" w:lineRule="auto"/>
      <w:ind w:left="1296" w:hanging="1296"/>
      <w:outlineLvl w:val="6"/>
    </w:pPr>
    <w:rPr>
      <w:rFonts w:ascii="Arial" w:eastAsia="Times New Roman" w:hAnsi="Arial" w:cs="Arial"/>
      <w:sz w:val="24"/>
      <w:szCs w:val="20"/>
      <w:u w:val="single"/>
    </w:rPr>
  </w:style>
  <w:style w:type="paragraph" w:styleId="Heading8">
    <w:name w:val="heading 8"/>
    <w:basedOn w:val="Normal"/>
    <w:next w:val="Normal"/>
    <w:link w:val="Heading8Char"/>
    <w:uiPriority w:val="9"/>
    <w:qFormat/>
    <w:rsid w:val="006A57B2"/>
    <w:pPr>
      <w:keepNext/>
      <w:framePr w:hSpace="180" w:wrap="around" w:vAnchor="text" w:hAnchor="margin" w:xAlign="center" w:y="22"/>
      <w:spacing w:after="0" w:line="240" w:lineRule="auto"/>
      <w:ind w:left="1440" w:hanging="1440"/>
      <w:outlineLvl w:val="7"/>
    </w:pPr>
    <w:rPr>
      <w:rFonts w:ascii="Arial" w:eastAsia="Times New Roman" w:hAnsi="Arial" w:cs="Arial"/>
      <w:b/>
      <w:sz w:val="20"/>
      <w:szCs w:val="20"/>
      <w:lang w:eastAsia="en-GB"/>
    </w:rPr>
  </w:style>
  <w:style w:type="paragraph" w:styleId="Heading9">
    <w:name w:val="heading 9"/>
    <w:basedOn w:val="Normal"/>
    <w:next w:val="Normal"/>
    <w:link w:val="Heading9Char"/>
    <w:uiPriority w:val="9"/>
    <w:qFormat/>
    <w:rsid w:val="006A57B2"/>
    <w:pPr>
      <w:spacing w:before="240" w:after="60" w:line="240" w:lineRule="auto"/>
      <w:ind w:left="1584" w:hanging="1584"/>
      <w:outlineLvl w:val="8"/>
    </w:pPr>
    <w:rPr>
      <w:rFonts w:ascii="Cambria" w:eastAsia="Times New Roman"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P Char"/>
    <w:basedOn w:val="DefaultParagraphFont"/>
    <w:link w:val="Heading1"/>
    <w:rsid w:val="006A57B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Heading 2 SOP Char"/>
    <w:basedOn w:val="DefaultParagraphFont"/>
    <w:link w:val="Heading2"/>
    <w:uiPriority w:val="9"/>
    <w:rsid w:val="006A57B2"/>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Heading 3 SOP Char"/>
    <w:basedOn w:val="DefaultParagraphFont"/>
    <w:link w:val="Heading3"/>
    <w:uiPriority w:val="9"/>
    <w:rsid w:val="006A57B2"/>
    <w:rPr>
      <w:rFonts w:asciiTheme="majorHAnsi" w:eastAsiaTheme="majorEastAsia" w:hAnsiTheme="majorHAnsi" w:cstheme="majorBidi"/>
      <w:b/>
      <w:bCs/>
      <w:color w:val="5B9BD5" w:themeColor="accent1"/>
    </w:rPr>
  </w:style>
  <w:style w:type="character" w:customStyle="1" w:styleId="Heading4Char">
    <w:name w:val="Heading 4 Char"/>
    <w:aliases w:val="Heading 4 SOP Char"/>
    <w:basedOn w:val="DefaultParagraphFont"/>
    <w:link w:val="Heading4"/>
    <w:uiPriority w:val="9"/>
    <w:rsid w:val="006A57B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A57B2"/>
    <w:rPr>
      <w:rFonts w:ascii="Arial" w:eastAsia="Times New Roman" w:hAnsi="Arial" w:cs="Times New Roman"/>
      <w:i/>
      <w:szCs w:val="20"/>
    </w:rPr>
  </w:style>
  <w:style w:type="character" w:customStyle="1" w:styleId="Heading6Char">
    <w:name w:val="Heading 6 Char"/>
    <w:basedOn w:val="DefaultParagraphFont"/>
    <w:link w:val="Heading6"/>
    <w:uiPriority w:val="9"/>
    <w:rsid w:val="006A57B2"/>
    <w:rPr>
      <w:rFonts w:ascii="Arial" w:eastAsia="Times New Roman" w:hAnsi="Arial" w:cs="Arial"/>
      <w:b/>
      <w:szCs w:val="20"/>
    </w:rPr>
  </w:style>
  <w:style w:type="character" w:customStyle="1" w:styleId="Heading7Char">
    <w:name w:val="Heading 7 Char"/>
    <w:basedOn w:val="DefaultParagraphFont"/>
    <w:link w:val="Heading7"/>
    <w:uiPriority w:val="9"/>
    <w:rsid w:val="006A57B2"/>
    <w:rPr>
      <w:rFonts w:ascii="Arial" w:eastAsia="Times New Roman" w:hAnsi="Arial" w:cs="Arial"/>
      <w:sz w:val="24"/>
      <w:szCs w:val="20"/>
      <w:u w:val="single"/>
    </w:rPr>
  </w:style>
  <w:style w:type="character" w:customStyle="1" w:styleId="Heading8Char">
    <w:name w:val="Heading 8 Char"/>
    <w:basedOn w:val="DefaultParagraphFont"/>
    <w:link w:val="Heading8"/>
    <w:uiPriority w:val="9"/>
    <w:rsid w:val="006A57B2"/>
    <w:rPr>
      <w:rFonts w:ascii="Arial" w:eastAsia="Times New Roman" w:hAnsi="Arial" w:cs="Arial"/>
      <w:b/>
      <w:sz w:val="20"/>
      <w:szCs w:val="20"/>
      <w:lang w:eastAsia="en-GB"/>
    </w:rPr>
  </w:style>
  <w:style w:type="character" w:customStyle="1" w:styleId="Heading9Char">
    <w:name w:val="Heading 9 Char"/>
    <w:basedOn w:val="DefaultParagraphFont"/>
    <w:link w:val="Heading9"/>
    <w:uiPriority w:val="9"/>
    <w:rsid w:val="006A57B2"/>
    <w:rPr>
      <w:rFonts w:ascii="Cambria" w:eastAsia="Times New Roman" w:hAnsi="Cambria" w:cs="Times New Roman"/>
      <w:lang w:val="x-none"/>
    </w:rPr>
  </w:style>
  <w:style w:type="paragraph" w:styleId="ListParagraph">
    <w:name w:val="List Paragraph"/>
    <w:basedOn w:val="Normal"/>
    <w:uiPriority w:val="34"/>
    <w:qFormat/>
    <w:rsid w:val="006A57B2"/>
    <w:pPr>
      <w:ind w:left="720"/>
      <w:contextualSpacing/>
    </w:pPr>
  </w:style>
  <w:style w:type="paragraph" w:styleId="NormalWeb">
    <w:name w:val="Normal (Web)"/>
    <w:basedOn w:val="Normal"/>
    <w:uiPriority w:val="99"/>
    <w:rsid w:val="006A5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A57B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A57B2"/>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7B2"/>
  </w:style>
  <w:style w:type="paragraph" w:styleId="Footer">
    <w:name w:val="footer"/>
    <w:basedOn w:val="Normal"/>
    <w:link w:val="FooterChar"/>
    <w:uiPriority w:val="99"/>
    <w:unhideWhenUsed/>
    <w:rsid w:val="006A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7B2"/>
  </w:style>
  <w:style w:type="paragraph" w:styleId="BalloonText">
    <w:name w:val="Balloon Text"/>
    <w:basedOn w:val="Normal"/>
    <w:link w:val="BalloonTextChar"/>
    <w:uiPriority w:val="99"/>
    <w:semiHidden/>
    <w:unhideWhenUsed/>
    <w:rsid w:val="006A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B2"/>
    <w:rPr>
      <w:rFonts w:ascii="Tahoma" w:hAnsi="Tahoma" w:cs="Tahoma"/>
      <w:sz w:val="16"/>
      <w:szCs w:val="16"/>
    </w:rPr>
  </w:style>
  <w:style w:type="character" w:styleId="CommentReference">
    <w:name w:val="annotation reference"/>
    <w:basedOn w:val="DefaultParagraphFont"/>
    <w:uiPriority w:val="99"/>
    <w:unhideWhenUsed/>
    <w:rsid w:val="006A57B2"/>
    <w:rPr>
      <w:sz w:val="16"/>
      <w:szCs w:val="16"/>
    </w:rPr>
  </w:style>
  <w:style w:type="paragraph" w:styleId="CommentText">
    <w:name w:val="annotation text"/>
    <w:basedOn w:val="Normal"/>
    <w:link w:val="CommentTextChar"/>
    <w:uiPriority w:val="99"/>
    <w:unhideWhenUsed/>
    <w:rsid w:val="006A57B2"/>
    <w:pPr>
      <w:spacing w:line="240" w:lineRule="auto"/>
    </w:pPr>
    <w:rPr>
      <w:sz w:val="20"/>
      <w:szCs w:val="20"/>
    </w:rPr>
  </w:style>
  <w:style w:type="character" w:customStyle="1" w:styleId="CommentTextChar">
    <w:name w:val="Comment Text Char"/>
    <w:basedOn w:val="DefaultParagraphFont"/>
    <w:link w:val="CommentText"/>
    <w:uiPriority w:val="99"/>
    <w:rsid w:val="006A57B2"/>
    <w:rPr>
      <w:sz w:val="20"/>
      <w:szCs w:val="20"/>
    </w:rPr>
  </w:style>
  <w:style w:type="paragraph" w:styleId="CommentSubject">
    <w:name w:val="annotation subject"/>
    <w:basedOn w:val="CommentText"/>
    <w:next w:val="CommentText"/>
    <w:link w:val="CommentSubjectChar"/>
    <w:uiPriority w:val="99"/>
    <w:semiHidden/>
    <w:unhideWhenUsed/>
    <w:rsid w:val="006A57B2"/>
    <w:rPr>
      <w:b/>
      <w:bCs/>
    </w:rPr>
  </w:style>
  <w:style w:type="character" w:customStyle="1" w:styleId="CommentSubjectChar">
    <w:name w:val="Comment Subject Char"/>
    <w:basedOn w:val="CommentTextChar"/>
    <w:link w:val="CommentSubject"/>
    <w:uiPriority w:val="99"/>
    <w:semiHidden/>
    <w:rsid w:val="006A57B2"/>
    <w:rPr>
      <w:b/>
      <w:bCs/>
      <w:sz w:val="20"/>
      <w:szCs w:val="20"/>
    </w:rPr>
  </w:style>
  <w:style w:type="paragraph" w:styleId="Title">
    <w:name w:val="Title"/>
    <w:basedOn w:val="Normal"/>
    <w:next w:val="Normal"/>
    <w:link w:val="TitleChar"/>
    <w:uiPriority w:val="10"/>
    <w:qFormat/>
    <w:rsid w:val="006A57B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57B2"/>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6A57B2"/>
    <w:pPr>
      <w:outlineLvl w:val="9"/>
    </w:pPr>
    <w:rPr>
      <w:lang w:val="en-US" w:eastAsia="ja-JP"/>
    </w:rPr>
  </w:style>
  <w:style w:type="paragraph" w:styleId="TOC1">
    <w:name w:val="toc 1"/>
    <w:basedOn w:val="Normal"/>
    <w:next w:val="Normal"/>
    <w:autoRedefine/>
    <w:uiPriority w:val="39"/>
    <w:unhideWhenUsed/>
    <w:qFormat/>
    <w:rsid w:val="006A57B2"/>
    <w:pPr>
      <w:tabs>
        <w:tab w:val="right" w:leader="dot" w:pos="8290"/>
      </w:tabs>
      <w:spacing w:after="100"/>
    </w:pPr>
    <w:rPr>
      <w:sz w:val="24"/>
      <w:lang w:eastAsia="en-GB"/>
    </w:rPr>
  </w:style>
  <w:style w:type="paragraph" w:styleId="TOC2">
    <w:name w:val="toc 2"/>
    <w:basedOn w:val="Normal"/>
    <w:next w:val="Normal"/>
    <w:autoRedefine/>
    <w:uiPriority w:val="39"/>
    <w:unhideWhenUsed/>
    <w:qFormat/>
    <w:rsid w:val="006A57B2"/>
    <w:pPr>
      <w:spacing w:after="100"/>
      <w:ind w:left="220"/>
    </w:pPr>
  </w:style>
  <w:style w:type="paragraph" w:styleId="TOC3">
    <w:name w:val="toc 3"/>
    <w:basedOn w:val="Normal"/>
    <w:next w:val="Normal"/>
    <w:autoRedefine/>
    <w:uiPriority w:val="39"/>
    <w:unhideWhenUsed/>
    <w:qFormat/>
    <w:rsid w:val="006A57B2"/>
    <w:pPr>
      <w:spacing w:after="100"/>
      <w:ind w:left="440"/>
    </w:pPr>
  </w:style>
  <w:style w:type="character" w:styleId="Hyperlink">
    <w:name w:val="Hyperlink"/>
    <w:basedOn w:val="DefaultParagraphFont"/>
    <w:uiPriority w:val="99"/>
    <w:unhideWhenUsed/>
    <w:rsid w:val="006A57B2"/>
    <w:rPr>
      <w:color w:val="0563C1" w:themeColor="hyperlink"/>
      <w:u w:val="single"/>
    </w:rPr>
  </w:style>
  <w:style w:type="table" w:customStyle="1" w:styleId="TableGrid1">
    <w:name w:val="Table Grid1"/>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57B2"/>
    <w:pPr>
      <w:spacing w:after="0" w:line="240" w:lineRule="auto"/>
    </w:pPr>
  </w:style>
  <w:style w:type="paragraph" w:customStyle="1" w:styleId="Default">
    <w:name w:val="Default"/>
    <w:rsid w:val="006A57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ll">
    <w:name w:val="All"/>
    <w:basedOn w:val="Normal"/>
    <w:link w:val="AllChar"/>
    <w:qFormat/>
    <w:rsid w:val="006A57B2"/>
    <w:pPr>
      <w:spacing w:after="0" w:line="360" w:lineRule="auto"/>
      <w:jc w:val="both"/>
    </w:pPr>
    <w:rPr>
      <w:rFonts w:ascii="Times New Roman" w:eastAsia="Calibri" w:hAnsi="Times New Roman" w:cs="Calibri"/>
      <w:sz w:val="24"/>
      <w:szCs w:val="24"/>
    </w:rPr>
  </w:style>
  <w:style w:type="character" w:customStyle="1" w:styleId="AllChar">
    <w:name w:val="All Char"/>
    <w:basedOn w:val="DefaultParagraphFont"/>
    <w:link w:val="All"/>
    <w:rsid w:val="006A57B2"/>
    <w:rPr>
      <w:rFonts w:ascii="Times New Roman" w:eastAsia="Calibri" w:hAnsi="Times New Roman" w:cs="Calibri"/>
      <w:sz w:val="24"/>
      <w:szCs w:val="24"/>
    </w:rPr>
  </w:style>
  <w:style w:type="paragraph" w:customStyle="1" w:styleId="EndNoteBibliographyTitle">
    <w:name w:val="EndNote Bibliography Title"/>
    <w:basedOn w:val="Normal"/>
    <w:link w:val="EndNoteBibliographyTitleChar"/>
    <w:rsid w:val="006A57B2"/>
    <w:pPr>
      <w:spacing w:after="0"/>
      <w:jc w:val="center"/>
    </w:pPr>
    <w:rPr>
      <w:rFonts w:ascii="Cambria" w:hAnsi="Cambria" w:cs="Calibri"/>
      <w:noProof/>
      <w:lang w:val="en-US"/>
    </w:rPr>
  </w:style>
  <w:style w:type="character" w:customStyle="1" w:styleId="EndNoteBibliographyTitleChar">
    <w:name w:val="EndNote Bibliography Title Char"/>
    <w:basedOn w:val="DefaultParagraphFont"/>
    <w:link w:val="EndNoteBibliographyTitle"/>
    <w:rsid w:val="006A57B2"/>
    <w:rPr>
      <w:rFonts w:ascii="Cambria" w:hAnsi="Cambria" w:cs="Calibri"/>
      <w:noProof/>
      <w:lang w:val="en-US"/>
    </w:rPr>
  </w:style>
  <w:style w:type="paragraph" w:customStyle="1" w:styleId="EndNoteBibliography">
    <w:name w:val="EndNote Bibliography"/>
    <w:basedOn w:val="Normal"/>
    <w:link w:val="EndNoteBibliographyChar"/>
    <w:rsid w:val="006A57B2"/>
    <w:pPr>
      <w:spacing w:line="240" w:lineRule="auto"/>
    </w:pPr>
    <w:rPr>
      <w:rFonts w:ascii="Cambria" w:hAnsi="Cambria" w:cs="Calibri"/>
      <w:noProof/>
      <w:lang w:val="en-US"/>
    </w:rPr>
  </w:style>
  <w:style w:type="character" w:customStyle="1" w:styleId="EndNoteBibliographyChar">
    <w:name w:val="EndNote Bibliography Char"/>
    <w:basedOn w:val="DefaultParagraphFont"/>
    <w:link w:val="EndNoteBibliography"/>
    <w:rsid w:val="006A57B2"/>
    <w:rPr>
      <w:rFonts w:ascii="Cambria" w:hAnsi="Cambria" w:cs="Calibri"/>
      <w:noProof/>
      <w:lang w:val="en-US"/>
    </w:rPr>
  </w:style>
  <w:style w:type="character" w:styleId="IntenseEmphasis">
    <w:name w:val="Intense Emphasis"/>
    <w:uiPriority w:val="21"/>
    <w:qFormat/>
    <w:rsid w:val="006A57B2"/>
    <w:rPr>
      <w:rFonts w:asciiTheme="majorHAnsi" w:eastAsiaTheme="majorEastAsia" w:hAnsiTheme="majorHAnsi" w:cstheme="majorBidi" w:hint="default"/>
      <w:b/>
      <w:bCs/>
      <w:i/>
      <w:iCs/>
      <w:color w:val="5B9BD5" w:themeColor="accent1"/>
      <w:lang w:eastAsia="en-US"/>
    </w:rPr>
  </w:style>
  <w:style w:type="table" w:customStyle="1" w:styleId="TableGrid3">
    <w:name w:val="Table Grid3"/>
    <w:basedOn w:val="TableNormal"/>
    <w:next w:val="TableGrid"/>
    <w:uiPriority w:val="3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57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A57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57B2"/>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6A57B2"/>
    <w:pPr>
      <w:spacing w:after="0"/>
      <w:ind w:left="440" w:hanging="440"/>
    </w:pPr>
    <w:rPr>
      <w:b/>
      <w:bCs/>
      <w:sz w:val="20"/>
      <w:szCs w:val="20"/>
    </w:rPr>
  </w:style>
  <w:style w:type="numbering" w:customStyle="1" w:styleId="NoList1">
    <w:name w:val="No List1"/>
    <w:next w:val="NoList"/>
    <w:uiPriority w:val="99"/>
    <w:semiHidden/>
    <w:unhideWhenUsed/>
    <w:rsid w:val="006A57B2"/>
  </w:style>
  <w:style w:type="table" w:customStyle="1" w:styleId="TableGrid7">
    <w:name w:val="Table Grid7"/>
    <w:basedOn w:val="TableNormal"/>
    <w:next w:val="TableGrid"/>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A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A57B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A57B2"/>
  </w:style>
  <w:style w:type="paragraph" w:styleId="BodyText">
    <w:name w:val="Body Text"/>
    <w:basedOn w:val="Normal"/>
    <w:link w:val="BodyTextChar1"/>
    <w:uiPriority w:val="99"/>
    <w:rsid w:val="006A57B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uiPriority w:val="99"/>
    <w:rsid w:val="006A57B2"/>
    <w:rPr>
      <w:rFonts w:eastAsiaTheme="minorHAnsi"/>
      <w:sz w:val="22"/>
      <w:szCs w:val="22"/>
      <w:lang w:val="en-GB"/>
    </w:rPr>
  </w:style>
  <w:style w:type="paragraph" w:styleId="BodyText2">
    <w:name w:val="Body Text 2"/>
    <w:basedOn w:val="Normal"/>
    <w:link w:val="BodyText2Char"/>
    <w:rsid w:val="006A57B2"/>
    <w:pPr>
      <w:spacing w:after="0" w:line="240" w:lineRule="auto"/>
    </w:pPr>
    <w:rPr>
      <w:rFonts w:ascii="Arial" w:eastAsia="Times New Roman" w:hAnsi="Arial" w:cs="Times New Roman"/>
      <w:i/>
      <w:szCs w:val="20"/>
    </w:rPr>
  </w:style>
  <w:style w:type="character" w:customStyle="1" w:styleId="BodyText2Char">
    <w:name w:val="Body Text 2 Char"/>
    <w:basedOn w:val="DefaultParagraphFont"/>
    <w:link w:val="BodyText2"/>
    <w:rsid w:val="006A57B2"/>
    <w:rPr>
      <w:rFonts w:ascii="Arial" w:eastAsia="Times New Roman" w:hAnsi="Arial" w:cs="Times New Roman"/>
      <w:i/>
      <w:szCs w:val="20"/>
    </w:rPr>
  </w:style>
  <w:style w:type="paragraph" w:styleId="BodyTextIndent">
    <w:name w:val="Body Text Indent"/>
    <w:basedOn w:val="Normal"/>
    <w:link w:val="BodyTextIndentChar"/>
    <w:rsid w:val="006A57B2"/>
    <w:pPr>
      <w:spacing w:after="0" w:line="240" w:lineRule="auto"/>
      <w:ind w:left="360"/>
    </w:pPr>
    <w:rPr>
      <w:rFonts w:ascii="Arial" w:eastAsia="Times New Roman" w:hAnsi="Arial" w:cs="Times New Roman"/>
      <w:i/>
      <w:szCs w:val="20"/>
    </w:rPr>
  </w:style>
  <w:style w:type="character" w:customStyle="1" w:styleId="BodyTextIndentChar">
    <w:name w:val="Body Text Indent Char"/>
    <w:basedOn w:val="DefaultParagraphFont"/>
    <w:link w:val="BodyTextIndent"/>
    <w:rsid w:val="006A57B2"/>
    <w:rPr>
      <w:rFonts w:ascii="Arial" w:eastAsia="Times New Roman" w:hAnsi="Arial" w:cs="Times New Roman"/>
      <w:i/>
      <w:szCs w:val="20"/>
    </w:rPr>
  </w:style>
  <w:style w:type="paragraph" w:styleId="BodyTextIndent2">
    <w:name w:val="Body Text Indent 2"/>
    <w:basedOn w:val="Normal"/>
    <w:link w:val="BodyTextIndent2Char"/>
    <w:rsid w:val="006A57B2"/>
    <w:pPr>
      <w:spacing w:after="0" w:line="24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6A57B2"/>
    <w:rPr>
      <w:rFonts w:ascii="Arial" w:eastAsia="Times New Roman" w:hAnsi="Arial" w:cs="Times New Roman"/>
      <w:szCs w:val="20"/>
    </w:rPr>
  </w:style>
  <w:style w:type="paragraph" w:styleId="BodyText3">
    <w:name w:val="Body Text 3"/>
    <w:basedOn w:val="Normal"/>
    <w:link w:val="BodyText3Char"/>
    <w:rsid w:val="006A57B2"/>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6A57B2"/>
    <w:rPr>
      <w:rFonts w:ascii="Arial" w:eastAsia="Times New Roman" w:hAnsi="Arial" w:cs="Times New Roman"/>
      <w:sz w:val="24"/>
      <w:szCs w:val="20"/>
    </w:rPr>
  </w:style>
  <w:style w:type="paragraph" w:customStyle="1" w:styleId="SchemaTitle">
    <w:name w:val="SchemaTitle"/>
    <w:basedOn w:val="Normal"/>
    <w:uiPriority w:val="99"/>
    <w:rsid w:val="006A57B2"/>
    <w:pPr>
      <w:spacing w:before="240" w:after="240" w:line="274" w:lineRule="auto"/>
      <w:jc w:val="center"/>
    </w:pPr>
    <w:rPr>
      <w:rFonts w:ascii="Arial" w:eastAsia="Times New Roman" w:hAnsi="Arial" w:cs="Times New Roman"/>
      <w:b/>
      <w:sz w:val="24"/>
      <w:szCs w:val="20"/>
    </w:rPr>
  </w:style>
  <w:style w:type="paragraph" w:customStyle="1" w:styleId="Normal-text">
    <w:name w:val="Normal-text"/>
    <w:basedOn w:val="Normal"/>
    <w:semiHidden/>
    <w:rsid w:val="006A57B2"/>
    <w:pPr>
      <w:tabs>
        <w:tab w:val="left" w:pos="0"/>
      </w:tabs>
      <w:suppressAutoHyphens/>
      <w:spacing w:before="60" w:after="120" w:line="240" w:lineRule="auto"/>
      <w:jc w:val="both"/>
    </w:pPr>
    <w:rPr>
      <w:rFonts w:ascii="Times New Roman" w:eastAsia="Times New Roman" w:hAnsi="Times New Roman" w:cs="Times New Roman"/>
      <w:sz w:val="24"/>
      <w:szCs w:val="20"/>
    </w:rPr>
  </w:style>
  <w:style w:type="character" w:customStyle="1" w:styleId="BodyTextChar1">
    <w:name w:val="Body Text Char1"/>
    <w:link w:val="BodyText"/>
    <w:uiPriority w:val="99"/>
    <w:rsid w:val="006A57B2"/>
    <w:rPr>
      <w:rFonts w:ascii="Arial" w:eastAsia="Times New Roman" w:hAnsi="Arial" w:cs="Times New Roman"/>
      <w:szCs w:val="20"/>
    </w:rPr>
  </w:style>
  <w:style w:type="paragraph" w:customStyle="1" w:styleId="SchemaBullet1">
    <w:name w:val="SchemaBullet1"/>
    <w:basedOn w:val="SchemaTxt"/>
    <w:semiHidden/>
    <w:rsid w:val="006A57B2"/>
    <w:pPr>
      <w:numPr>
        <w:numId w:val="11"/>
      </w:numPr>
      <w:tabs>
        <w:tab w:val="clear" w:pos="432"/>
        <w:tab w:val="num" w:pos="360"/>
      </w:tabs>
      <w:spacing w:before="60"/>
      <w:ind w:left="2160" w:hanging="2160"/>
    </w:pPr>
  </w:style>
  <w:style w:type="paragraph" w:customStyle="1" w:styleId="SchemaTxt">
    <w:name w:val="SchemaTxt"/>
    <w:basedOn w:val="Normal"/>
    <w:semiHidden/>
    <w:rsid w:val="006A57B2"/>
    <w:pPr>
      <w:tabs>
        <w:tab w:val="left" w:pos="2160"/>
      </w:tabs>
      <w:spacing w:after="0" w:line="274" w:lineRule="auto"/>
      <w:ind w:left="2160" w:hanging="2160"/>
    </w:pPr>
    <w:rPr>
      <w:rFonts w:ascii="Arial" w:eastAsia="Times New Roman" w:hAnsi="Arial" w:cs="Times New Roman"/>
      <w:bCs/>
      <w:szCs w:val="20"/>
    </w:rPr>
  </w:style>
  <w:style w:type="paragraph" w:customStyle="1" w:styleId="Heading1After6pt">
    <w:name w:val="Heading 1 + After:  6 pt"/>
    <w:basedOn w:val="Heading1"/>
    <w:rsid w:val="006A57B2"/>
    <w:pPr>
      <w:keepLines w:val="0"/>
      <w:pageBreakBefore/>
      <w:spacing w:before="360" w:after="120" w:line="274" w:lineRule="auto"/>
      <w:ind w:left="432" w:hanging="432"/>
    </w:pPr>
    <w:rPr>
      <w:rFonts w:ascii="Arial" w:eastAsia="Times New Roman" w:hAnsi="Arial" w:cs="Arial"/>
      <w:bCs w:val="0"/>
      <w:color w:val="auto"/>
      <w:sz w:val="22"/>
      <w:szCs w:val="20"/>
      <w:u w:val="single"/>
    </w:rPr>
  </w:style>
  <w:style w:type="paragraph" w:customStyle="1" w:styleId="hrhStyle1">
    <w:name w:val="hrh Style 1"/>
    <w:basedOn w:val="Heading1"/>
    <w:next w:val="BodyStyle1"/>
    <w:rsid w:val="006A57B2"/>
    <w:pPr>
      <w:keepLines w:val="0"/>
      <w:pageBreakBefore/>
      <w:tabs>
        <w:tab w:val="num" w:pos="720"/>
      </w:tabs>
      <w:spacing w:before="0" w:after="360" w:line="274" w:lineRule="auto"/>
      <w:ind w:left="720" w:hanging="720"/>
    </w:pPr>
    <w:rPr>
      <w:rFonts w:ascii="Arial" w:eastAsia="Times New Roman" w:hAnsi="Arial" w:cs="Times New Roman"/>
      <w:caps/>
      <w:color w:val="auto"/>
      <w:sz w:val="32"/>
      <w:szCs w:val="20"/>
    </w:rPr>
  </w:style>
  <w:style w:type="character" w:customStyle="1" w:styleId="BodyStyle1Char1">
    <w:name w:val="Body Style 1 Char1"/>
    <w:basedOn w:val="BodyTextChar1"/>
    <w:link w:val="BodyStyle1"/>
    <w:rsid w:val="006A57B2"/>
    <w:rPr>
      <w:rFonts w:ascii="Arial" w:eastAsia="Times New Roman" w:hAnsi="Arial" w:cs="Times New Roman"/>
      <w:szCs w:val="20"/>
    </w:rPr>
  </w:style>
  <w:style w:type="paragraph" w:customStyle="1" w:styleId="hrhStyle2">
    <w:name w:val="hrh Style 2"/>
    <w:basedOn w:val="Heading2"/>
    <w:next w:val="BodyStyle1"/>
    <w:link w:val="hrhStyle2Char"/>
    <w:rsid w:val="006A57B2"/>
    <w:pPr>
      <w:keepLines w:val="0"/>
      <w:tabs>
        <w:tab w:val="num" w:pos="862"/>
      </w:tabs>
      <w:spacing w:before="360" w:after="0" w:line="274" w:lineRule="auto"/>
      <w:ind w:left="862" w:hanging="720"/>
    </w:pPr>
    <w:rPr>
      <w:rFonts w:ascii="Arial" w:eastAsia="Times New Roman" w:hAnsi="Arial" w:cs="Times New Roman"/>
      <w:color w:val="auto"/>
      <w:sz w:val="28"/>
      <w:szCs w:val="20"/>
      <w:lang w:val="x-none"/>
    </w:rPr>
  </w:style>
  <w:style w:type="paragraph" w:customStyle="1" w:styleId="hrhStyle3">
    <w:name w:val="hrh Style 3"/>
    <w:basedOn w:val="Heading3"/>
    <w:next w:val="BodyStyle1"/>
    <w:rsid w:val="006A57B2"/>
    <w:pPr>
      <w:keepLines w:val="0"/>
      <w:tabs>
        <w:tab w:val="num" w:pos="862"/>
      </w:tabs>
      <w:spacing w:before="240" w:after="0" w:line="274" w:lineRule="auto"/>
      <w:ind w:left="862" w:hanging="720"/>
    </w:pPr>
    <w:rPr>
      <w:rFonts w:ascii="Arial" w:eastAsia="Times New Roman" w:hAnsi="Arial" w:cs="Times New Roman"/>
      <w:color w:val="auto"/>
      <w:sz w:val="26"/>
      <w:szCs w:val="20"/>
    </w:rPr>
  </w:style>
  <w:style w:type="paragraph" w:customStyle="1" w:styleId="Bulletlisting">
    <w:name w:val="Bullet (listing)"/>
    <w:basedOn w:val="Normal"/>
    <w:uiPriority w:val="99"/>
    <w:rsid w:val="006A57B2"/>
    <w:pPr>
      <w:spacing w:before="120" w:after="0" w:line="274" w:lineRule="auto"/>
    </w:pPr>
    <w:rPr>
      <w:rFonts w:ascii="Arial" w:eastAsia="Times New Roman" w:hAnsi="Arial" w:cs="Times New Roman"/>
      <w:szCs w:val="20"/>
    </w:rPr>
  </w:style>
  <w:style w:type="paragraph" w:customStyle="1" w:styleId="AppendixStyle1">
    <w:name w:val="Appendix Style 1"/>
    <w:basedOn w:val="Heading2"/>
    <w:next w:val="BodyText"/>
    <w:rsid w:val="006A57B2"/>
    <w:pPr>
      <w:keepLines w:val="0"/>
      <w:pageBreakBefore/>
      <w:numPr>
        <w:numId w:val="12"/>
      </w:numPr>
      <w:spacing w:before="360" w:after="360" w:line="274" w:lineRule="auto"/>
      <w:ind w:hanging="720"/>
    </w:pPr>
    <w:rPr>
      <w:rFonts w:ascii="Arial" w:eastAsia="Times New Roman" w:hAnsi="Arial" w:cs="Times New Roman"/>
      <w:bCs w:val="0"/>
      <w:color w:val="auto"/>
      <w:sz w:val="28"/>
      <w:szCs w:val="20"/>
    </w:rPr>
  </w:style>
  <w:style w:type="paragraph" w:styleId="BodyTextFirstIndent">
    <w:name w:val="Body Text First Indent"/>
    <w:basedOn w:val="BodyText"/>
    <w:link w:val="BodyTextFirstIndentChar"/>
    <w:rsid w:val="006A57B2"/>
    <w:pPr>
      <w:spacing w:after="120"/>
      <w:ind w:firstLine="210"/>
      <w:jc w:val="left"/>
    </w:pPr>
  </w:style>
  <w:style w:type="character" w:customStyle="1" w:styleId="BodyTextFirstIndentChar">
    <w:name w:val="Body Text First Indent Char"/>
    <w:basedOn w:val="BodyTextChar"/>
    <w:link w:val="BodyTextFirstIndent"/>
    <w:rsid w:val="006A57B2"/>
    <w:rPr>
      <w:rFonts w:ascii="Arial" w:eastAsia="Times New Roman" w:hAnsi="Arial" w:cs="Times New Roman"/>
      <w:sz w:val="22"/>
      <w:szCs w:val="20"/>
      <w:lang w:val="en-GB"/>
    </w:rPr>
  </w:style>
  <w:style w:type="paragraph" w:customStyle="1" w:styleId="hrhStyle4">
    <w:name w:val="hrh Style 4"/>
    <w:basedOn w:val="Heading4"/>
    <w:next w:val="BodyText"/>
    <w:rsid w:val="006A57B2"/>
    <w:pPr>
      <w:keepLines w:val="0"/>
      <w:tabs>
        <w:tab w:val="num" w:pos="2160"/>
      </w:tabs>
      <w:spacing w:before="360" w:after="0" w:line="274" w:lineRule="auto"/>
      <w:ind w:left="1728" w:hanging="648"/>
    </w:pPr>
    <w:rPr>
      <w:rFonts w:ascii="Arial" w:eastAsia="Times New Roman" w:hAnsi="Arial" w:cs="Times New Roman"/>
      <w:bCs w:val="0"/>
      <w:i w:val="0"/>
      <w:iCs w:val="0"/>
      <w:color w:val="auto"/>
      <w:sz w:val="24"/>
      <w:szCs w:val="20"/>
    </w:rPr>
  </w:style>
  <w:style w:type="paragraph" w:customStyle="1" w:styleId="StylehrhStyle4Justified">
    <w:name w:val="Style hrh Style 4 + Justified"/>
    <w:basedOn w:val="hrhStyle4"/>
    <w:rsid w:val="006A57B2"/>
    <w:pPr>
      <w:spacing w:before="240"/>
      <w:jc w:val="both"/>
    </w:pPr>
    <w:rPr>
      <w:bCs/>
    </w:rPr>
  </w:style>
  <w:style w:type="paragraph" w:styleId="TOC4">
    <w:name w:val="toc 4"/>
    <w:basedOn w:val="Normal"/>
    <w:next w:val="Normal"/>
    <w:autoRedefine/>
    <w:uiPriority w:val="39"/>
    <w:rsid w:val="006A57B2"/>
    <w:pPr>
      <w:spacing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uiPriority w:val="39"/>
    <w:rsid w:val="006A57B2"/>
    <w:pPr>
      <w:spacing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uiPriority w:val="39"/>
    <w:rsid w:val="006A57B2"/>
    <w:pPr>
      <w:spacing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uiPriority w:val="39"/>
    <w:rsid w:val="006A57B2"/>
    <w:pPr>
      <w:spacing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uiPriority w:val="39"/>
    <w:rsid w:val="006A57B2"/>
    <w:pPr>
      <w:spacing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uiPriority w:val="39"/>
    <w:rsid w:val="006A57B2"/>
    <w:pPr>
      <w:spacing w:after="0" w:line="240" w:lineRule="auto"/>
      <w:ind w:left="1920"/>
    </w:pPr>
    <w:rPr>
      <w:rFonts w:ascii="Times New Roman" w:eastAsia="Times New Roman" w:hAnsi="Times New Roman" w:cs="Times New Roman"/>
      <w:sz w:val="24"/>
      <w:szCs w:val="24"/>
      <w:lang w:eastAsia="en-GB"/>
    </w:rPr>
  </w:style>
  <w:style w:type="paragraph" w:customStyle="1" w:styleId="BodyStyle1">
    <w:name w:val="Body Style 1"/>
    <w:basedOn w:val="BodyText"/>
    <w:link w:val="BodyStyle1Char1"/>
    <w:rsid w:val="006A57B2"/>
  </w:style>
  <w:style w:type="paragraph" w:customStyle="1" w:styleId="StylehrhStyle3Left0cmFirstline0cm">
    <w:name w:val="Style hrh Style 3 + Left:  0 cm First line:  0 cm"/>
    <w:basedOn w:val="hrhStyle3"/>
    <w:next w:val="BodyStyle1"/>
    <w:rsid w:val="006A57B2"/>
    <w:pPr>
      <w:ind w:left="0" w:firstLine="0"/>
    </w:pPr>
  </w:style>
  <w:style w:type="character" w:customStyle="1" w:styleId="BodyStyle1Char">
    <w:name w:val="Body Style 1 Char"/>
    <w:basedOn w:val="BodyTextChar"/>
    <w:rsid w:val="006A57B2"/>
    <w:rPr>
      <w:rFonts w:ascii="Arial" w:eastAsiaTheme="minorHAnsi" w:hAnsi="Arial"/>
      <w:sz w:val="22"/>
      <w:szCs w:val="22"/>
      <w:lang w:val="en-GB" w:eastAsia="en-US" w:bidi="ar-SA"/>
    </w:rPr>
  </w:style>
  <w:style w:type="character" w:styleId="PageNumber">
    <w:name w:val="page number"/>
    <w:basedOn w:val="DefaultParagraphFont"/>
    <w:rsid w:val="006A57B2"/>
  </w:style>
  <w:style w:type="character" w:styleId="FollowedHyperlink">
    <w:name w:val="FollowedHyperlink"/>
    <w:uiPriority w:val="99"/>
    <w:rsid w:val="006A57B2"/>
    <w:rPr>
      <w:color w:val="800080"/>
      <w:u w:val="single"/>
    </w:rPr>
  </w:style>
  <w:style w:type="paragraph" w:customStyle="1" w:styleId="MENDStyle3">
    <w:name w:val="MEND Style 3"/>
    <w:basedOn w:val="Heading3"/>
    <w:next w:val="Normal"/>
    <w:uiPriority w:val="99"/>
    <w:rsid w:val="006A57B2"/>
    <w:pPr>
      <w:keepLines w:val="0"/>
      <w:numPr>
        <w:ilvl w:val="2"/>
      </w:numPr>
      <w:tabs>
        <w:tab w:val="left" w:pos="958"/>
      </w:tabs>
      <w:spacing w:before="360" w:after="0" w:line="274" w:lineRule="auto"/>
      <w:ind w:left="958" w:hanging="720"/>
    </w:pPr>
    <w:rPr>
      <w:rFonts w:ascii="Arial" w:eastAsia="Times New Roman" w:hAnsi="Arial" w:cs="Times New Roman"/>
      <w:color w:val="auto"/>
      <w:sz w:val="26"/>
      <w:szCs w:val="20"/>
    </w:rPr>
  </w:style>
  <w:style w:type="character" w:customStyle="1" w:styleId="hrhStyle2Char">
    <w:name w:val="hrh Style 2 Char"/>
    <w:link w:val="hrhStyle2"/>
    <w:rsid w:val="006A57B2"/>
    <w:rPr>
      <w:rFonts w:ascii="Arial" w:eastAsia="Times New Roman" w:hAnsi="Arial" w:cs="Times New Roman"/>
      <w:b/>
      <w:bCs/>
      <w:sz w:val="28"/>
      <w:szCs w:val="20"/>
      <w:lang w:val="x-none"/>
    </w:rPr>
  </w:style>
  <w:style w:type="character" w:customStyle="1" w:styleId="BodyTextChar2">
    <w:name w:val="Body Text Char2"/>
    <w:rsid w:val="006A57B2"/>
    <w:rPr>
      <w:rFonts w:ascii="Arial" w:hAnsi="Arial"/>
      <w:sz w:val="22"/>
      <w:lang w:val="en-GB" w:eastAsia="en-US" w:bidi="ar-SA"/>
    </w:rPr>
  </w:style>
  <w:style w:type="character" w:customStyle="1" w:styleId="BodyStyle1Char2">
    <w:name w:val="Body Style 1 Char2"/>
    <w:basedOn w:val="BodyTextChar2"/>
    <w:rsid w:val="006A57B2"/>
    <w:rPr>
      <w:rFonts w:ascii="Arial" w:hAnsi="Arial"/>
      <w:sz w:val="22"/>
      <w:lang w:val="en-GB" w:eastAsia="en-US" w:bidi="ar-SA"/>
    </w:rPr>
  </w:style>
  <w:style w:type="paragraph" w:customStyle="1" w:styleId="MENDBodyStyle1">
    <w:name w:val="MEND Body Style 1"/>
    <w:basedOn w:val="BodyText"/>
    <w:uiPriority w:val="99"/>
    <w:rsid w:val="006A57B2"/>
  </w:style>
  <w:style w:type="paragraph" w:styleId="DocumentMap">
    <w:name w:val="Document Map"/>
    <w:basedOn w:val="Normal"/>
    <w:link w:val="DocumentMapChar"/>
    <w:rsid w:val="006A57B2"/>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6A57B2"/>
    <w:rPr>
      <w:rFonts w:ascii="Tahoma" w:eastAsia="Times New Roman" w:hAnsi="Tahoma" w:cs="Times New Roman"/>
      <w:sz w:val="16"/>
      <w:szCs w:val="16"/>
      <w:lang w:val="x-none"/>
    </w:rPr>
  </w:style>
  <w:style w:type="table" w:customStyle="1" w:styleId="TableGrid8">
    <w:name w:val="Table Grid8"/>
    <w:basedOn w:val="TableNormal"/>
    <w:next w:val="TableGrid"/>
    <w:rsid w:val="006A57B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tocolBodyStyle1">
    <w:name w:val="Protocol Body Style 1"/>
    <w:basedOn w:val="Normal"/>
    <w:next w:val="Normal"/>
    <w:uiPriority w:val="99"/>
    <w:rsid w:val="006A57B2"/>
    <w:pPr>
      <w:autoSpaceDE w:val="0"/>
      <w:autoSpaceDN w:val="0"/>
      <w:adjustRightInd w:val="0"/>
      <w:spacing w:after="0" w:line="240" w:lineRule="auto"/>
    </w:pPr>
    <w:rPr>
      <w:rFonts w:ascii="Arial" w:eastAsia="Times New Roman" w:hAnsi="Arial" w:cs="Arial"/>
      <w:sz w:val="24"/>
      <w:szCs w:val="24"/>
      <w:lang w:eastAsia="en-GB"/>
    </w:rPr>
  </w:style>
  <w:style w:type="character" w:customStyle="1" w:styleId="StyleProtocolBodyStyle1BlueChar">
    <w:name w:val="Style Protocol Body Style 1 + Blue Char"/>
    <w:uiPriority w:val="99"/>
    <w:rsid w:val="006A57B2"/>
    <w:rPr>
      <w:color w:val="000000"/>
      <w:sz w:val="22"/>
      <w:szCs w:val="22"/>
    </w:rPr>
  </w:style>
  <w:style w:type="paragraph" w:customStyle="1" w:styleId="Text">
    <w:name w:val="Text"/>
    <w:basedOn w:val="Normal"/>
    <w:rsid w:val="006A57B2"/>
    <w:pPr>
      <w:spacing w:before="120" w:after="0" w:line="240" w:lineRule="auto"/>
      <w:jc w:val="both"/>
    </w:pPr>
    <w:rPr>
      <w:rFonts w:ascii="Times New Roman" w:eastAsia="Times New Roman" w:hAnsi="Times New Roman" w:cs="Times New Roman"/>
      <w:sz w:val="24"/>
      <w:szCs w:val="20"/>
    </w:rPr>
  </w:style>
  <w:style w:type="paragraph" w:customStyle="1" w:styleId="ProtocolStyle2">
    <w:name w:val="Protocol Style 2"/>
    <w:basedOn w:val="Default"/>
    <w:next w:val="Default"/>
    <w:uiPriority w:val="99"/>
    <w:rsid w:val="006A57B2"/>
    <w:rPr>
      <w:color w:val="auto"/>
    </w:rPr>
  </w:style>
  <w:style w:type="paragraph" w:customStyle="1" w:styleId="ProtocolStyle3">
    <w:name w:val="Protocol Style 3"/>
    <w:basedOn w:val="Default"/>
    <w:next w:val="Default"/>
    <w:uiPriority w:val="99"/>
    <w:rsid w:val="006A57B2"/>
    <w:rPr>
      <w:color w:val="auto"/>
    </w:rPr>
  </w:style>
  <w:style w:type="paragraph" w:customStyle="1" w:styleId="MENDStyle4">
    <w:name w:val="MEND Style 4"/>
    <w:basedOn w:val="Default"/>
    <w:next w:val="Default"/>
    <w:uiPriority w:val="99"/>
    <w:rsid w:val="006A57B2"/>
    <w:rPr>
      <w:color w:val="auto"/>
    </w:rPr>
  </w:style>
  <w:style w:type="paragraph" w:customStyle="1" w:styleId="StyleProtocolBodyStyle1Blue">
    <w:name w:val="Style Protocol Body Style 1 + Blue"/>
    <w:basedOn w:val="Default"/>
    <w:next w:val="Default"/>
    <w:uiPriority w:val="99"/>
    <w:rsid w:val="006A57B2"/>
    <w:rPr>
      <w:color w:val="auto"/>
    </w:rPr>
  </w:style>
  <w:style w:type="paragraph" w:customStyle="1" w:styleId="MENDBodyStyle1CharChar">
    <w:name w:val="MEND Body Style 1 Char Char"/>
    <w:basedOn w:val="BodyText"/>
    <w:link w:val="MENDBodyStyle1CharCharChar"/>
    <w:rsid w:val="006A57B2"/>
    <w:rPr>
      <w:lang w:val="x-none"/>
    </w:rPr>
  </w:style>
  <w:style w:type="character" w:customStyle="1" w:styleId="MENDBodyStyle1CharCharChar">
    <w:name w:val="MEND Body Style 1 Char Char Char"/>
    <w:link w:val="MENDBodyStyle1CharChar"/>
    <w:rsid w:val="006A57B2"/>
    <w:rPr>
      <w:rFonts w:ascii="Arial" w:eastAsia="Times New Roman" w:hAnsi="Arial" w:cs="Times New Roman"/>
      <w:szCs w:val="20"/>
      <w:lang w:val="x-none"/>
    </w:rPr>
  </w:style>
  <w:style w:type="character" w:customStyle="1" w:styleId="detailstext1">
    <w:name w:val="detailstext1"/>
    <w:rsid w:val="006A57B2"/>
    <w:rPr>
      <w:b/>
      <w:bCs/>
      <w:color w:val="000000"/>
      <w:shd w:val="clear" w:color="auto" w:fill="FFFFFF"/>
    </w:rPr>
  </w:style>
  <w:style w:type="paragraph" w:customStyle="1" w:styleId="Normalsectionaltext">
    <w:name w:val="Normal sectional text"/>
    <w:basedOn w:val="Normal"/>
    <w:link w:val="NormalsectionaltextChar"/>
    <w:rsid w:val="006A57B2"/>
    <w:pPr>
      <w:tabs>
        <w:tab w:val="left" w:pos="680"/>
      </w:tabs>
      <w:spacing w:before="120" w:after="100" w:afterAutospacing="1" w:line="240" w:lineRule="auto"/>
      <w:ind w:left="680"/>
    </w:pPr>
    <w:rPr>
      <w:rFonts w:ascii="Arial" w:eastAsia="Times New Roman" w:hAnsi="Arial" w:cs="Times New Roman"/>
      <w:sz w:val="20"/>
      <w:szCs w:val="20"/>
      <w:lang w:val="x-none"/>
    </w:rPr>
  </w:style>
  <w:style w:type="paragraph" w:customStyle="1" w:styleId="Subheading2x">
    <w:name w:val="Subheading 2x"/>
    <w:basedOn w:val="Heading2"/>
    <w:rsid w:val="006A57B2"/>
    <w:pPr>
      <w:keepLines w:val="0"/>
      <w:numPr>
        <w:ilvl w:val="1"/>
      </w:numPr>
      <w:tabs>
        <w:tab w:val="num" w:pos="720"/>
      </w:tabs>
      <w:spacing w:before="120" w:line="240" w:lineRule="auto"/>
      <w:ind w:left="794" w:hanging="794"/>
      <w:jc w:val="both"/>
    </w:pPr>
    <w:rPr>
      <w:rFonts w:ascii="Arial Bold" w:eastAsia="Times New Roman" w:hAnsi="Arial Bold" w:cs="Times New Roman"/>
      <w:bCs w:val="0"/>
      <w:smallCaps/>
      <w:color w:val="auto"/>
      <w:sz w:val="24"/>
      <w:szCs w:val="24"/>
    </w:rPr>
  </w:style>
  <w:style w:type="character" w:customStyle="1" w:styleId="NormalsectionaltextChar">
    <w:name w:val="Normal sectional text Char"/>
    <w:link w:val="Normalsectionaltext"/>
    <w:rsid w:val="006A57B2"/>
    <w:rPr>
      <w:rFonts w:ascii="Arial" w:eastAsia="Times New Roman" w:hAnsi="Arial" w:cs="Times New Roman"/>
      <w:sz w:val="20"/>
      <w:szCs w:val="20"/>
      <w:lang w:val="x-none"/>
    </w:rPr>
  </w:style>
  <w:style w:type="paragraph" w:customStyle="1" w:styleId="Subheading3x">
    <w:name w:val="Subheading 3x"/>
    <w:basedOn w:val="Heading3"/>
    <w:link w:val="Subheading3xChar"/>
    <w:rsid w:val="006A57B2"/>
    <w:pPr>
      <w:keepLines w:val="0"/>
      <w:numPr>
        <w:ilvl w:val="2"/>
      </w:numPr>
      <w:tabs>
        <w:tab w:val="left" w:pos="720"/>
        <w:tab w:val="num" w:pos="1004"/>
      </w:tabs>
      <w:spacing w:before="120" w:line="240" w:lineRule="auto"/>
      <w:ind w:left="284"/>
      <w:jc w:val="both"/>
    </w:pPr>
    <w:rPr>
      <w:rFonts w:ascii="Arial Bold" w:eastAsia="Times New Roman" w:hAnsi="Arial Bold" w:cs="Times New Roman"/>
      <w:bCs w:val="0"/>
      <w:smallCaps/>
      <w:color w:val="auto"/>
      <w:lang w:val="x-none"/>
    </w:rPr>
  </w:style>
  <w:style w:type="character" w:customStyle="1" w:styleId="Subheading3xChar">
    <w:name w:val="Subheading 3x Char"/>
    <w:link w:val="Subheading3x"/>
    <w:rsid w:val="006A57B2"/>
    <w:rPr>
      <w:rFonts w:ascii="Arial Bold" w:eastAsia="Times New Roman" w:hAnsi="Arial Bold" w:cs="Times New Roman"/>
      <w:b/>
      <w:smallCaps/>
      <w:lang w:val="x-none"/>
    </w:rPr>
  </w:style>
  <w:style w:type="paragraph" w:styleId="PlainText">
    <w:name w:val="Plain Text"/>
    <w:basedOn w:val="Normal"/>
    <w:link w:val="PlainTextChar"/>
    <w:uiPriority w:val="99"/>
    <w:unhideWhenUsed/>
    <w:rsid w:val="006A57B2"/>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6A57B2"/>
    <w:rPr>
      <w:rFonts w:ascii="Consolas" w:eastAsia="Calibri" w:hAnsi="Consolas" w:cs="Times New Roman"/>
      <w:sz w:val="21"/>
      <w:szCs w:val="21"/>
      <w:lang w:val="x-none"/>
    </w:rPr>
  </w:style>
  <w:style w:type="paragraph" w:customStyle="1" w:styleId="cbx1">
    <w:name w:val="cbx1"/>
    <w:basedOn w:val="Normal"/>
    <w:rsid w:val="006A57B2"/>
    <w:pPr>
      <w:spacing w:after="0" w:line="336"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6A57B2"/>
  </w:style>
  <w:style w:type="paragraph" w:styleId="NoSpacing">
    <w:name w:val="No Spacing"/>
    <w:uiPriority w:val="1"/>
    <w:qFormat/>
    <w:rsid w:val="006A57B2"/>
    <w:pPr>
      <w:spacing w:after="0" w:line="240" w:lineRule="auto"/>
      <w:jc w:val="both"/>
    </w:pPr>
    <w:rPr>
      <w:rFonts w:ascii="Arial" w:eastAsia="Times New Roman" w:hAnsi="Arial" w:cs="Times New Roman"/>
      <w:szCs w:val="24"/>
      <w:lang w:eastAsia="en-GB"/>
    </w:rPr>
  </w:style>
  <w:style w:type="table" w:customStyle="1" w:styleId="TableGrid9">
    <w:name w:val="Table Grid9"/>
    <w:basedOn w:val="TableNormal"/>
    <w:next w:val="TableGrid"/>
    <w:uiPriority w:val="59"/>
    <w:rsid w:val="006A5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7B2"/>
    <w:rPr>
      <w:rFonts w:cs="Times New Roman"/>
      <w:color w:val="808080"/>
    </w:rPr>
  </w:style>
  <w:style w:type="character" w:styleId="Emphasis">
    <w:name w:val="Emphasis"/>
    <w:basedOn w:val="DefaultParagraphFont"/>
    <w:uiPriority w:val="20"/>
    <w:qFormat/>
    <w:rsid w:val="006A57B2"/>
    <w:rPr>
      <w:i/>
      <w:iCs/>
    </w:rPr>
  </w:style>
  <w:style w:type="paragraph" w:customStyle="1" w:styleId="xl63">
    <w:name w:val="xl63"/>
    <w:basedOn w:val="Normal"/>
    <w:rsid w:val="006A57B2"/>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64">
    <w:name w:val="xl64"/>
    <w:basedOn w:val="Normal"/>
    <w:rsid w:val="006A57B2"/>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6A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tif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ss037\Documents\Temporary\Additional_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3639312468355"/>
          <c:y val="3.5782832249670285E-2"/>
          <c:w val="0.73246327337917116"/>
          <c:h val="0.79914209673705472"/>
        </c:manualLayout>
      </c:layout>
      <c:scatterChart>
        <c:scatterStyle val="smoothMarker"/>
        <c:varyColors val="0"/>
        <c:ser>
          <c:idx val="0"/>
          <c:order val="0"/>
          <c:tx>
            <c:v>Standard</c:v>
          </c:tx>
          <c:spPr>
            <a:ln>
              <a:solidFill>
                <a:sysClr val="windowText" lastClr="000000"/>
              </a:solidFill>
              <a:prstDash val="sysDash"/>
            </a:ln>
          </c:spPr>
          <c:marker>
            <c:symbol val="none"/>
          </c:marker>
          <c:xVal>
            <c:numRef>
              <c:f>'[Additional_work.xlsx]CEAC_4_AB-v-std'!$Y$3:$Y$70</c:f>
              <c:numCache>
                <c:formatCode>General</c:formatCode>
                <c:ptCount val="68"/>
                <c:pt idx="0">
                  <c:v>0</c:v>
                </c:pt>
                <c:pt idx="1">
                  <c:v>1500</c:v>
                </c:pt>
                <c:pt idx="2">
                  <c:v>3000</c:v>
                </c:pt>
                <c:pt idx="3">
                  <c:v>4500</c:v>
                </c:pt>
                <c:pt idx="4">
                  <c:v>6000</c:v>
                </c:pt>
                <c:pt idx="5">
                  <c:v>7500</c:v>
                </c:pt>
                <c:pt idx="6">
                  <c:v>9000</c:v>
                </c:pt>
                <c:pt idx="7">
                  <c:v>10000</c:v>
                </c:pt>
                <c:pt idx="8">
                  <c:v>15000</c:v>
                </c:pt>
                <c:pt idx="9">
                  <c:v>20000</c:v>
                </c:pt>
                <c:pt idx="10">
                  <c:v>25000</c:v>
                </c:pt>
                <c:pt idx="11">
                  <c:v>30000</c:v>
                </c:pt>
                <c:pt idx="12">
                  <c:v>35000</c:v>
                </c:pt>
                <c:pt idx="13">
                  <c:v>40000</c:v>
                </c:pt>
                <c:pt idx="14">
                  <c:v>45000</c:v>
                </c:pt>
                <c:pt idx="15">
                  <c:v>50000</c:v>
                </c:pt>
                <c:pt idx="16">
                  <c:v>55000</c:v>
                </c:pt>
                <c:pt idx="17">
                  <c:v>60000</c:v>
                </c:pt>
                <c:pt idx="18">
                  <c:v>65000</c:v>
                </c:pt>
                <c:pt idx="19">
                  <c:v>70000</c:v>
                </c:pt>
                <c:pt idx="20">
                  <c:v>75000</c:v>
                </c:pt>
                <c:pt idx="21">
                  <c:v>80000</c:v>
                </c:pt>
                <c:pt idx="22">
                  <c:v>85000</c:v>
                </c:pt>
                <c:pt idx="23">
                  <c:v>90000</c:v>
                </c:pt>
                <c:pt idx="24">
                  <c:v>95000</c:v>
                </c:pt>
                <c:pt idx="25">
                  <c:v>100000</c:v>
                </c:pt>
                <c:pt idx="26">
                  <c:v>105000</c:v>
                </c:pt>
                <c:pt idx="27">
                  <c:v>110000</c:v>
                </c:pt>
                <c:pt idx="28">
                  <c:v>115000</c:v>
                </c:pt>
                <c:pt idx="29">
                  <c:v>120000</c:v>
                </c:pt>
                <c:pt idx="30">
                  <c:v>125000</c:v>
                </c:pt>
                <c:pt idx="31">
                  <c:v>130000</c:v>
                </c:pt>
                <c:pt idx="32">
                  <c:v>135000</c:v>
                </c:pt>
                <c:pt idx="33">
                  <c:v>140000</c:v>
                </c:pt>
                <c:pt idx="34">
                  <c:v>145000</c:v>
                </c:pt>
                <c:pt idx="35">
                  <c:v>150000</c:v>
                </c:pt>
                <c:pt idx="36">
                  <c:v>155000</c:v>
                </c:pt>
                <c:pt idx="37">
                  <c:v>160000</c:v>
                </c:pt>
                <c:pt idx="38">
                  <c:v>165000</c:v>
                </c:pt>
                <c:pt idx="39">
                  <c:v>170000</c:v>
                </c:pt>
                <c:pt idx="40">
                  <c:v>175000</c:v>
                </c:pt>
                <c:pt idx="41">
                  <c:v>180000</c:v>
                </c:pt>
                <c:pt idx="42">
                  <c:v>185000</c:v>
                </c:pt>
                <c:pt idx="43">
                  <c:v>190000</c:v>
                </c:pt>
                <c:pt idx="44">
                  <c:v>195000</c:v>
                </c:pt>
                <c:pt idx="45">
                  <c:v>200000</c:v>
                </c:pt>
                <c:pt idx="46">
                  <c:v>205000</c:v>
                </c:pt>
                <c:pt idx="47">
                  <c:v>210000</c:v>
                </c:pt>
                <c:pt idx="48">
                  <c:v>215000</c:v>
                </c:pt>
                <c:pt idx="49">
                  <c:v>220000</c:v>
                </c:pt>
                <c:pt idx="50">
                  <c:v>225000</c:v>
                </c:pt>
                <c:pt idx="51">
                  <c:v>230000</c:v>
                </c:pt>
                <c:pt idx="52">
                  <c:v>235000</c:v>
                </c:pt>
                <c:pt idx="53">
                  <c:v>240000</c:v>
                </c:pt>
                <c:pt idx="54">
                  <c:v>245000</c:v>
                </c:pt>
                <c:pt idx="55">
                  <c:v>250000</c:v>
                </c:pt>
                <c:pt idx="56">
                  <c:v>255000</c:v>
                </c:pt>
                <c:pt idx="57">
                  <c:v>260000</c:v>
                </c:pt>
                <c:pt idx="58">
                  <c:v>265000</c:v>
                </c:pt>
                <c:pt idx="59">
                  <c:v>270000</c:v>
                </c:pt>
                <c:pt idx="60">
                  <c:v>275000</c:v>
                </c:pt>
                <c:pt idx="61">
                  <c:v>280000</c:v>
                </c:pt>
                <c:pt idx="62">
                  <c:v>285000</c:v>
                </c:pt>
                <c:pt idx="63">
                  <c:v>290000</c:v>
                </c:pt>
                <c:pt idx="64">
                  <c:v>300000</c:v>
                </c:pt>
                <c:pt idx="65">
                  <c:v>310000</c:v>
                </c:pt>
                <c:pt idx="66">
                  <c:v>320000</c:v>
                </c:pt>
              </c:numCache>
            </c:numRef>
          </c:xVal>
          <c:yVal>
            <c:numRef>
              <c:f>'[Additional_work.xlsx]CEAC_4_AB-v-std'!$Z$3:$Z$70</c:f>
              <c:numCache>
                <c:formatCode>General</c:formatCode>
                <c:ptCount val="68"/>
                <c:pt idx="0">
                  <c:v>0.64929999999999999</c:v>
                </c:pt>
                <c:pt idx="1">
                  <c:v>0.64580000000000004</c:v>
                </c:pt>
                <c:pt idx="2">
                  <c:v>0.64159999999999995</c:v>
                </c:pt>
                <c:pt idx="3">
                  <c:v>0.63649999999999995</c:v>
                </c:pt>
                <c:pt idx="4">
                  <c:v>0.63160000000000005</c:v>
                </c:pt>
                <c:pt idx="5">
                  <c:v>0.62680000000000002</c:v>
                </c:pt>
                <c:pt idx="6">
                  <c:v>0.622</c:v>
                </c:pt>
                <c:pt idx="7">
                  <c:v>0.61939999999999995</c:v>
                </c:pt>
                <c:pt idx="8">
                  <c:v>0.60370000000000001</c:v>
                </c:pt>
                <c:pt idx="9">
                  <c:v>0.59179999999999999</c:v>
                </c:pt>
                <c:pt idx="10">
                  <c:v>0.57820000000000005</c:v>
                </c:pt>
                <c:pt idx="11">
                  <c:v>0.56489999999999996</c:v>
                </c:pt>
                <c:pt idx="12">
                  <c:v>0.55110000000000003</c:v>
                </c:pt>
                <c:pt idx="13">
                  <c:v>0.53669999999999995</c:v>
                </c:pt>
                <c:pt idx="14">
                  <c:v>0.52290000000000003</c:v>
                </c:pt>
                <c:pt idx="15">
                  <c:v>0.50829999999999997</c:v>
                </c:pt>
                <c:pt idx="16">
                  <c:v>0.49440000000000001</c:v>
                </c:pt>
                <c:pt idx="17">
                  <c:v>0.48049999999999998</c:v>
                </c:pt>
                <c:pt idx="18">
                  <c:v>0.46899999999999997</c:v>
                </c:pt>
                <c:pt idx="19">
                  <c:v>0.45550000000000002</c:v>
                </c:pt>
                <c:pt idx="20">
                  <c:v>0.44140000000000001</c:v>
                </c:pt>
                <c:pt idx="21">
                  <c:v>0.42730000000000001</c:v>
                </c:pt>
                <c:pt idx="22">
                  <c:v>0.41149999999999998</c:v>
                </c:pt>
                <c:pt idx="23">
                  <c:v>0.40089999999999998</c:v>
                </c:pt>
                <c:pt idx="24">
                  <c:v>0.38769999999999999</c:v>
                </c:pt>
                <c:pt idx="25">
                  <c:v>0.37519999999999998</c:v>
                </c:pt>
                <c:pt idx="26">
                  <c:v>0.36249999999999999</c:v>
                </c:pt>
                <c:pt idx="27">
                  <c:v>0.35039999999999999</c:v>
                </c:pt>
                <c:pt idx="28">
                  <c:v>0.3382</c:v>
                </c:pt>
                <c:pt idx="29">
                  <c:v>0.32750000000000001</c:v>
                </c:pt>
                <c:pt idx="30">
                  <c:v>0.3175</c:v>
                </c:pt>
                <c:pt idx="31">
                  <c:v>0.30640000000000001</c:v>
                </c:pt>
                <c:pt idx="32">
                  <c:v>0.2964</c:v>
                </c:pt>
                <c:pt idx="33">
                  <c:v>0.28539999999999999</c:v>
                </c:pt>
                <c:pt idx="34">
                  <c:v>0.27389999999999998</c:v>
                </c:pt>
                <c:pt idx="35">
                  <c:v>0.26690000000000003</c:v>
                </c:pt>
                <c:pt idx="36">
                  <c:v>0.25869999999999999</c:v>
                </c:pt>
                <c:pt idx="37">
                  <c:v>0.25069999999999998</c:v>
                </c:pt>
                <c:pt idx="38">
                  <c:v>0.24310000000000001</c:v>
                </c:pt>
                <c:pt idx="39">
                  <c:v>0.2339</c:v>
                </c:pt>
                <c:pt idx="40">
                  <c:v>0.22559999999999999</c:v>
                </c:pt>
                <c:pt idx="41">
                  <c:v>0.21629999999999999</c:v>
                </c:pt>
                <c:pt idx="42">
                  <c:v>0.2102</c:v>
                </c:pt>
                <c:pt idx="43">
                  <c:v>0.2049</c:v>
                </c:pt>
                <c:pt idx="44">
                  <c:v>0.1983</c:v>
                </c:pt>
                <c:pt idx="45">
                  <c:v>0.19359999999999999</c:v>
                </c:pt>
                <c:pt idx="46">
                  <c:v>0.1883</c:v>
                </c:pt>
                <c:pt idx="47">
                  <c:v>0.18229999999999999</c:v>
                </c:pt>
                <c:pt idx="48">
                  <c:v>0.17699999999999999</c:v>
                </c:pt>
                <c:pt idx="49">
                  <c:v>0.1721</c:v>
                </c:pt>
                <c:pt idx="50">
                  <c:v>0.1671</c:v>
                </c:pt>
                <c:pt idx="51">
                  <c:v>0.1623</c:v>
                </c:pt>
                <c:pt idx="52">
                  <c:v>0.15820000000000001</c:v>
                </c:pt>
                <c:pt idx="53">
                  <c:v>0.15359999999999999</c:v>
                </c:pt>
                <c:pt idx="54">
                  <c:v>0.14860000000000001</c:v>
                </c:pt>
                <c:pt idx="55">
                  <c:v>0.14410000000000001</c:v>
                </c:pt>
                <c:pt idx="56">
                  <c:v>0.13919999999999999</c:v>
                </c:pt>
                <c:pt idx="57">
                  <c:v>0.1343</c:v>
                </c:pt>
                <c:pt idx="58">
                  <c:v>0.13089999999999999</c:v>
                </c:pt>
                <c:pt idx="59">
                  <c:v>0.12820000000000001</c:v>
                </c:pt>
                <c:pt idx="60">
                  <c:v>0.12429999999999999</c:v>
                </c:pt>
                <c:pt idx="61">
                  <c:v>0.1216</c:v>
                </c:pt>
                <c:pt idx="62">
                  <c:v>0.11799999999999999</c:v>
                </c:pt>
                <c:pt idx="63">
                  <c:v>0.1148</c:v>
                </c:pt>
                <c:pt idx="64">
                  <c:v>0.1086</c:v>
                </c:pt>
                <c:pt idx="65">
                  <c:v>0.10440000000000001</c:v>
                </c:pt>
                <c:pt idx="66">
                  <c:v>9.9500000000000005E-2</c:v>
                </c:pt>
              </c:numCache>
            </c:numRef>
          </c:yVal>
          <c:smooth val="1"/>
        </c:ser>
        <c:ser>
          <c:idx val="1"/>
          <c:order val="1"/>
          <c:tx>
            <c:v>Antibitotic</c:v>
          </c:tx>
          <c:spPr>
            <a:ln>
              <a:solidFill>
                <a:schemeClr val="tx1"/>
              </a:solidFill>
            </a:ln>
          </c:spPr>
          <c:marker>
            <c:symbol val="none"/>
          </c:marker>
          <c:xVal>
            <c:numRef>
              <c:f>'[Additional_work.xlsx]CEAC_4_AB-v-std'!$Y$3:$Y$70</c:f>
              <c:numCache>
                <c:formatCode>General</c:formatCode>
                <c:ptCount val="68"/>
                <c:pt idx="0">
                  <c:v>0</c:v>
                </c:pt>
                <c:pt idx="1">
                  <c:v>1500</c:v>
                </c:pt>
                <c:pt idx="2">
                  <c:v>3000</c:v>
                </c:pt>
                <c:pt idx="3">
                  <c:v>4500</c:v>
                </c:pt>
                <c:pt idx="4">
                  <c:v>6000</c:v>
                </c:pt>
                <c:pt idx="5">
                  <c:v>7500</c:v>
                </c:pt>
                <c:pt idx="6">
                  <c:v>9000</c:v>
                </c:pt>
                <c:pt idx="7">
                  <c:v>10000</c:v>
                </c:pt>
                <c:pt idx="8">
                  <c:v>15000</c:v>
                </c:pt>
                <c:pt idx="9">
                  <c:v>20000</c:v>
                </c:pt>
                <c:pt idx="10">
                  <c:v>25000</c:v>
                </c:pt>
                <c:pt idx="11">
                  <c:v>30000</c:v>
                </c:pt>
                <c:pt idx="12">
                  <c:v>35000</c:v>
                </c:pt>
                <c:pt idx="13">
                  <c:v>40000</c:v>
                </c:pt>
                <c:pt idx="14">
                  <c:v>45000</c:v>
                </c:pt>
                <c:pt idx="15">
                  <c:v>50000</c:v>
                </c:pt>
                <c:pt idx="16">
                  <c:v>55000</c:v>
                </c:pt>
                <c:pt idx="17">
                  <c:v>60000</c:v>
                </c:pt>
                <c:pt idx="18">
                  <c:v>65000</c:v>
                </c:pt>
                <c:pt idx="19">
                  <c:v>70000</c:v>
                </c:pt>
                <c:pt idx="20">
                  <c:v>75000</c:v>
                </c:pt>
                <c:pt idx="21">
                  <c:v>80000</c:v>
                </c:pt>
                <c:pt idx="22">
                  <c:v>85000</c:v>
                </c:pt>
                <c:pt idx="23">
                  <c:v>90000</c:v>
                </c:pt>
                <c:pt idx="24">
                  <c:v>95000</c:v>
                </c:pt>
                <c:pt idx="25">
                  <c:v>100000</c:v>
                </c:pt>
                <c:pt idx="26">
                  <c:v>105000</c:v>
                </c:pt>
                <c:pt idx="27">
                  <c:v>110000</c:v>
                </c:pt>
                <c:pt idx="28">
                  <c:v>115000</c:v>
                </c:pt>
                <c:pt idx="29">
                  <c:v>120000</c:v>
                </c:pt>
                <c:pt idx="30">
                  <c:v>125000</c:v>
                </c:pt>
                <c:pt idx="31">
                  <c:v>130000</c:v>
                </c:pt>
                <c:pt idx="32">
                  <c:v>135000</c:v>
                </c:pt>
                <c:pt idx="33">
                  <c:v>140000</c:v>
                </c:pt>
                <c:pt idx="34">
                  <c:v>145000</c:v>
                </c:pt>
                <c:pt idx="35">
                  <c:v>150000</c:v>
                </c:pt>
                <c:pt idx="36">
                  <c:v>155000</c:v>
                </c:pt>
                <c:pt idx="37">
                  <c:v>160000</c:v>
                </c:pt>
                <c:pt idx="38">
                  <c:v>165000</c:v>
                </c:pt>
                <c:pt idx="39">
                  <c:v>170000</c:v>
                </c:pt>
                <c:pt idx="40">
                  <c:v>175000</c:v>
                </c:pt>
                <c:pt idx="41">
                  <c:v>180000</c:v>
                </c:pt>
                <c:pt idx="42">
                  <c:v>185000</c:v>
                </c:pt>
                <c:pt idx="43">
                  <c:v>190000</c:v>
                </c:pt>
                <c:pt idx="44">
                  <c:v>195000</c:v>
                </c:pt>
                <c:pt idx="45">
                  <c:v>200000</c:v>
                </c:pt>
                <c:pt idx="46">
                  <c:v>205000</c:v>
                </c:pt>
                <c:pt idx="47">
                  <c:v>210000</c:v>
                </c:pt>
                <c:pt idx="48">
                  <c:v>215000</c:v>
                </c:pt>
                <c:pt idx="49">
                  <c:v>220000</c:v>
                </c:pt>
                <c:pt idx="50">
                  <c:v>225000</c:v>
                </c:pt>
                <c:pt idx="51">
                  <c:v>230000</c:v>
                </c:pt>
                <c:pt idx="52">
                  <c:v>235000</c:v>
                </c:pt>
                <c:pt idx="53">
                  <c:v>240000</c:v>
                </c:pt>
                <c:pt idx="54">
                  <c:v>245000</c:v>
                </c:pt>
                <c:pt idx="55">
                  <c:v>250000</c:v>
                </c:pt>
                <c:pt idx="56">
                  <c:v>255000</c:v>
                </c:pt>
                <c:pt idx="57">
                  <c:v>260000</c:v>
                </c:pt>
                <c:pt idx="58">
                  <c:v>265000</c:v>
                </c:pt>
                <c:pt idx="59">
                  <c:v>270000</c:v>
                </c:pt>
                <c:pt idx="60">
                  <c:v>275000</c:v>
                </c:pt>
                <c:pt idx="61">
                  <c:v>280000</c:v>
                </c:pt>
                <c:pt idx="62">
                  <c:v>285000</c:v>
                </c:pt>
                <c:pt idx="63">
                  <c:v>290000</c:v>
                </c:pt>
                <c:pt idx="64">
                  <c:v>300000</c:v>
                </c:pt>
                <c:pt idx="65">
                  <c:v>310000</c:v>
                </c:pt>
                <c:pt idx="66">
                  <c:v>320000</c:v>
                </c:pt>
              </c:numCache>
            </c:numRef>
          </c:xVal>
          <c:yVal>
            <c:numRef>
              <c:f>'[Additional_work.xlsx]CEAC_4_AB-v-std'!$AA$3:$AA$70</c:f>
              <c:numCache>
                <c:formatCode>General</c:formatCode>
                <c:ptCount val="68"/>
                <c:pt idx="0">
                  <c:v>0.35070000000000001</c:v>
                </c:pt>
                <c:pt idx="1">
                  <c:v>0.35420000000000001</c:v>
                </c:pt>
                <c:pt idx="2">
                  <c:v>0.3584</c:v>
                </c:pt>
                <c:pt idx="3">
                  <c:v>0.36349999999999999</c:v>
                </c:pt>
                <c:pt idx="4">
                  <c:v>0.36840000000000001</c:v>
                </c:pt>
                <c:pt idx="5">
                  <c:v>0.37319999999999998</c:v>
                </c:pt>
                <c:pt idx="6">
                  <c:v>0.378</c:v>
                </c:pt>
                <c:pt idx="7">
                  <c:v>0.38059999999999999</c:v>
                </c:pt>
                <c:pt idx="8">
                  <c:v>0.39629999999999999</c:v>
                </c:pt>
                <c:pt idx="9">
                  <c:v>0.40820000000000001</c:v>
                </c:pt>
                <c:pt idx="10">
                  <c:v>0.42180000000000001</c:v>
                </c:pt>
                <c:pt idx="11">
                  <c:v>0.43509999999999999</c:v>
                </c:pt>
                <c:pt idx="12">
                  <c:v>0.44890000000000002</c:v>
                </c:pt>
                <c:pt idx="13">
                  <c:v>0.46329999999999999</c:v>
                </c:pt>
                <c:pt idx="14">
                  <c:v>0.47710000000000002</c:v>
                </c:pt>
                <c:pt idx="15">
                  <c:v>0.49170000000000003</c:v>
                </c:pt>
                <c:pt idx="16">
                  <c:v>0.50560000000000005</c:v>
                </c:pt>
                <c:pt idx="17">
                  <c:v>0.51949999999999996</c:v>
                </c:pt>
                <c:pt idx="18">
                  <c:v>0.53100000000000003</c:v>
                </c:pt>
                <c:pt idx="19">
                  <c:v>0.54449999999999998</c:v>
                </c:pt>
                <c:pt idx="20">
                  <c:v>0.55859999999999999</c:v>
                </c:pt>
                <c:pt idx="21">
                  <c:v>0.57269999999999999</c:v>
                </c:pt>
                <c:pt idx="22">
                  <c:v>0.58850000000000002</c:v>
                </c:pt>
                <c:pt idx="23">
                  <c:v>0.59909999999999997</c:v>
                </c:pt>
                <c:pt idx="24">
                  <c:v>0.61229999999999996</c:v>
                </c:pt>
                <c:pt idx="25">
                  <c:v>0.62480000000000002</c:v>
                </c:pt>
                <c:pt idx="26">
                  <c:v>0.63749999999999996</c:v>
                </c:pt>
                <c:pt idx="27">
                  <c:v>0.64959999999999996</c:v>
                </c:pt>
                <c:pt idx="28">
                  <c:v>0.66180000000000005</c:v>
                </c:pt>
                <c:pt idx="29">
                  <c:v>0.67249999999999999</c:v>
                </c:pt>
                <c:pt idx="30">
                  <c:v>0.6825</c:v>
                </c:pt>
                <c:pt idx="31">
                  <c:v>0.69359999999999999</c:v>
                </c:pt>
                <c:pt idx="32">
                  <c:v>0.7036</c:v>
                </c:pt>
                <c:pt idx="33">
                  <c:v>0.71460000000000001</c:v>
                </c:pt>
                <c:pt idx="34">
                  <c:v>0.72609999999999997</c:v>
                </c:pt>
                <c:pt idx="35">
                  <c:v>0.73309999999999997</c:v>
                </c:pt>
                <c:pt idx="36">
                  <c:v>0.74129999999999996</c:v>
                </c:pt>
                <c:pt idx="37">
                  <c:v>0.74929999999999997</c:v>
                </c:pt>
                <c:pt idx="38">
                  <c:v>0.75690000000000002</c:v>
                </c:pt>
                <c:pt idx="39">
                  <c:v>0.7661</c:v>
                </c:pt>
                <c:pt idx="40">
                  <c:v>0.77439999999999998</c:v>
                </c:pt>
                <c:pt idx="41">
                  <c:v>0.78369999999999995</c:v>
                </c:pt>
                <c:pt idx="42">
                  <c:v>0.78979999999999995</c:v>
                </c:pt>
                <c:pt idx="43">
                  <c:v>0.79510000000000003</c:v>
                </c:pt>
                <c:pt idx="44">
                  <c:v>0.80169999999999997</c:v>
                </c:pt>
                <c:pt idx="45">
                  <c:v>0.80640000000000001</c:v>
                </c:pt>
                <c:pt idx="46">
                  <c:v>0.81169999999999998</c:v>
                </c:pt>
                <c:pt idx="47">
                  <c:v>0.81769999999999998</c:v>
                </c:pt>
                <c:pt idx="48">
                  <c:v>0.82299999999999995</c:v>
                </c:pt>
                <c:pt idx="49">
                  <c:v>0.82789999999999997</c:v>
                </c:pt>
                <c:pt idx="50">
                  <c:v>0.83289999999999997</c:v>
                </c:pt>
                <c:pt idx="51">
                  <c:v>0.8377</c:v>
                </c:pt>
                <c:pt idx="52">
                  <c:v>0.84179999999999999</c:v>
                </c:pt>
                <c:pt idx="53">
                  <c:v>0.84640000000000004</c:v>
                </c:pt>
                <c:pt idx="54">
                  <c:v>0.85140000000000005</c:v>
                </c:pt>
                <c:pt idx="55">
                  <c:v>0.85589999999999999</c:v>
                </c:pt>
                <c:pt idx="56">
                  <c:v>0.86080000000000001</c:v>
                </c:pt>
                <c:pt idx="57">
                  <c:v>0.86570000000000003</c:v>
                </c:pt>
                <c:pt idx="58">
                  <c:v>0.86909999999999998</c:v>
                </c:pt>
                <c:pt idx="59">
                  <c:v>0.87180000000000002</c:v>
                </c:pt>
                <c:pt idx="60">
                  <c:v>0.87570000000000003</c:v>
                </c:pt>
                <c:pt idx="61">
                  <c:v>0.87839999999999996</c:v>
                </c:pt>
                <c:pt idx="62">
                  <c:v>0.88200000000000001</c:v>
                </c:pt>
                <c:pt idx="63">
                  <c:v>0.88519999999999999</c:v>
                </c:pt>
                <c:pt idx="64">
                  <c:v>0.89139999999999997</c:v>
                </c:pt>
                <c:pt idx="65">
                  <c:v>0.89559999999999995</c:v>
                </c:pt>
                <c:pt idx="66">
                  <c:v>0.90049999999999997</c:v>
                </c:pt>
              </c:numCache>
            </c:numRef>
          </c:yVal>
          <c:smooth val="1"/>
        </c:ser>
        <c:dLbls>
          <c:showLegendKey val="0"/>
          <c:showVal val="0"/>
          <c:showCatName val="0"/>
          <c:showSerName val="0"/>
          <c:showPercent val="0"/>
          <c:showBubbleSize val="0"/>
        </c:dLbls>
        <c:axId val="272054528"/>
        <c:axId val="272056704"/>
      </c:scatterChart>
      <c:valAx>
        <c:axId val="272054528"/>
        <c:scaling>
          <c:orientation val="minMax"/>
        </c:scaling>
        <c:delete val="0"/>
        <c:axPos val="b"/>
        <c:title>
          <c:tx>
            <c:rich>
              <a:bodyPr/>
              <a:lstStyle/>
              <a:p>
                <a:pPr>
                  <a:defRPr/>
                </a:pPr>
                <a:r>
                  <a:rPr lang="en-GB"/>
                  <a:t>Value of ceiling ratio (cost per BSI averted)</a:t>
                </a:r>
              </a:p>
            </c:rich>
          </c:tx>
          <c:overlay val="0"/>
        </c:title>
        <c:numFmt formatCode="&quot;£&quot;#,##0" sourceLinked="0"/>
        <c:majorTickMark val="out"/>
        <c:minorTickMark val="none"/>
        <c:tickLblPos val="nextTo"/>
        <c:crossAx val="272056704"/>
        <c:crosses val="autoZero"/>
        <c:crossBetween val="midCat"/>
      </c:valAx>
      <c:valAx>
        <c:axId val="272056704"/>
        <c:scaling>
          <c:orientation val="minMax"/>
        </c:scaling>
        <c:delete val="0"/>
        <c:axPos val="l"/>
        <c:title>
          <c:tx>
            <c:rich>
              <a:bodyPr/>
              <a:lstStyle/>
              <a:p>
                <a:pPr>
                  <a:defRPr/>
                </a:pPr>
                <a:r>
                  <a:rPr lang="en-GB"/>
                  <a:t>Probability (cost effective)</a:t>
                </a:r>
              </a:p>
            </c:rich>
          </c:tx>
          <c:overlay val="0"/>
        </c:title>
        <c:numFmt formatCode="General" sourceLinked="1"/>
        <c:majorTickMark val="out"/>
        <c:minorTickMark val="none"/>
        <c:tickLblPos val="nextTo"/>
        <c:crossAx val="272054528"/>
        <c:crosses val="autoZero"/>
        <c:crossBetween val="midCat"/>
      </c:valAx>
    </c:plotArea>
    <c:legend>
      <c:legendPos val="r"/>
      <c:layout>
        <c:manualLayout>
          <c:xMode val="edge"/>
          <c:yMode val="edge"/>
          <c:x val="0.48725180917880473"/>
          <c:y val="0.36643634589135554"/>
          <c:w val="0.17834989476155735"/>
          <c:h val="0.16801775777811215"/>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D357EB91.dotm</Template>
  <TotalTime>0</TotalTime>
  <Pages>8</Pages>
  <Words>25524</Words>
  <Characters>145488</Characters>
  <Application>Microsoft Office Word</Application>
  <DocSecurity>4</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170671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Hannah E Fenton</cp:lastModifiedBy>
  <cp:revision>2</cp:revision>
  <dcterms:created xsi:type="dcterms:W3CDTF">2015-08-24T15:42:00Z</dcterms:created>
  <dcterms:modified xsi:type="dcterms:W3CDTF">2015-08-24T15:42:00Z</dcterms:modified>
</cp:coreProperties>
</file>