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3FF3" w14:textId="77777777" w:rsidR="000C34BF" w:rsidRPr="007C79BC" w:rsidRDefault="000C34BF" w:rsidP="007C79BC">
      <w:pPr>
        <w:spacing w:after="0" w:line="240" w:lineRule="auto"/>
        <w:rPr>
          <w:rFonts w:ascii="Times New Roman" w:hAnsi="Times New Roman" w:cs="Times New Roman"/>
          <w:b/>
          <w:sz w:val="24"/>
          <w:szCs w:val="24"/>
        </w:rPr>
      </w:pPr>
      <w:r w:rsidRPr="007C79BC">
        <w:rPr>
          <w:rFonts w:ascii="Times New Roman" w:hAnsi="Times New Roman" w:cs="Times New Roman"/>
          <w:b/>
          <w:sz w:val="24"/>
          <w:szCs w:val="24"/>
        </w:rPr>
        <w:t>Short Communication</w:t>
      </w:r>
    </w:p>
    <w:p w14:paraId="480851D3" w14:textId="77777777" w:rsidR="000C34BF" w:rsidRDefault="000C34BF" w:rsidP="007C79BC">
      <w:pPr>
        <w:spacing w:after="0" w:line="240" w:lineRule="auto"/>
        <w:rPr>
          <w:rFonts w:ascii="Times New Roman" w:hAnsi="Times New Roman" w:cs="Times New Roman"/>
          <w:b/>
          <w:sz w:val="24"/>
          <w:szCs w:val="24"/>
        </w:rPr>
      </w:pPr>
    </w:p>
    <w:p w14:paraId="0237F1EF" w14:textId="77777777" w:rsidR="000C34BF" w:rsidRDefault="000C34BF" w:rsidP="007C79BC">
      <w:pPr>
        <w:spacing w:after="0" w:line="240" w:lineRule="auto"/>
        <w:rPr>
          <w:rFonts w:ascii="Times New Roman" w:hAnsi="Times New Roman" w:cs="Times New Roman"/>
          <w:b/>
          <w:sz w:val="24"/>
          <w:szCs w:val="24"/>
        </w:rPr>
      </w:pPr>
    </w:p>
    <w:p w14:paraId="37490EFA" w14:textId="77777777" w:rsidR="000C34BF" w:rsidRPr="007C79BC" w:rsidRDefault="000C34BF" w:rsidP="007C79BC">
      <w:pPr>
        <w:spacing w:after="0" w:line="240" w:lineRule="auto"/>
        <w:rPr>
          <w:rFonts w:ascii="Times New Roman" w:hAnsi="Times New Roman" w:cs="Times New Roman"/>
          <w:b/>
          <w:sz w:val="24"/>
          <w:szCs w:val="24"/>
        </w:rPr>
      </w:pPr>
      <w:r w:rsidRPr="007C79BC">
        <w:rPr>
          <w:rFonts w:ascii="Times New Roman" w:hAnsi="Times New Roman" w:cs="Times New Roman"/>
          <w:b/>
          <w:sz w:val="24"/>
          <w:szCs w:val="24"/>
        </w:rPr>
        <w:t>Serum insulin concentration in horses: effect of storage and handling</w:t>
      </w:r>
    </w:p>
    <w:p w14:paraId="08D06CA9" w14:textId="77777777" w:rsidR="000C34BF" w:rsidRDefault="000C34BF" w:rsidP="007C79BC">
      <w:pPr>
        <w:spacing w:after="0" w:line="240" w:lineRule="auto"/>
        <w:rPr>
          <w:rFonts w:ascii="Times New Roman" w:hAnsi="Times New Roman" w:cs="Times New Roman"/>
          <w:sz w:val="24"/>
          <w:szCs w:val="24"/>
        </w:rPr>
      </w:pPr>
    </w:p>
    <w:p w14:paraId="3EE53FB9" w14:textId="77777777" w:rsidR="000C34BF" w:rsidRDefault="000C34BF" w:rsidP="007C79BC">
      <w:pPr>
        <w:spacing w:after="0" w:line="240" w:lineRule="auto"/>
        <w:rPr>
          <w:rFonts w:ascii="Times New Roman" w:hAnsi="Times New Roman" w:cs="Times New Roman"/>
          <w:sz w:val="24"/>
          <w:szCs w:val="24"/>
        </w:rPr>
      </w:pPr>
    </w:p>
    <w:p w14:paraId="7BCA7C1D" w14:textId="77777777" w:rsidR="000C34BF" w:rsidRPr="007C79BC" w:rsidRDefault="000C34BF" w:rsidP="007C79BC">
      <w:pPr>
        <w:spacing w:after="0" w:line="240" w:lineRule="auto"/>
        <w:rPr>
          <w:rFonts w:ascii="Times New Roman" w:hAnsi="Times New Roman" w:cs="Times New Roman"/>
          <w:sz w:val="24"/>
          <w:szCs w:val="24"/>
          <w:vertAlign w:val="superscript"/>
        </w:rPr>
      </w:pPr>
      <w:r w:rsidRPr="007C79BC">
        <w:rPr>
          <w:rFonts w:ascii="Times New Roman" w:hAnsi="Times New Roman" w:cs="Times New Roman"/>
          <w:sz w:val="24"/>
          <w:szCs w:val="24"/>
        </w:rPr>
        <w:t xml:space="preserve">Harry </w:t>
      </w:r>
      <w:proofErr w:type="spellStart"/>
      <w:r w:rsidRPr="007C79BC">
        <w:rPr>
          <w:rFonts w:ascii="Times New Roman" w:hAnsi="Times New Roman" w:cs="Times New Roman"/>
          <w:sz w:val="24"/>
          <w:szCs w:val="24"/>
        </w:rPr>
        <w:t>Carslake</w:t>
      </w:r>
      <w:r w:rsidRPr="007C79BC">
        <w:rPr>
          <w:rFonts w:ascii="Times New Roman" w:hAnsi="Times New Roman" w:cs="Times New Roman"/>
          <w:sz w:val="24"/>
          <w:szCs w:val="24"/>
          <w:vertAlign w:val="superscript"/>
        </w:rPr>
        <w:t>a</w:t>
      </w:r>
      <w:proofErr w:type="spellEnd"/>
      <w:r>
        <w:rPr>
          <w:rFonts w:ascii="Times New Roman" w:hAnsi="Times New Roman" w:cs="Times New Roman"/>
          <w:sz w:val="24"/>
          <w:szCs w:val="24"/>
        </w:rPr>
        <w:t>*</w:t>
      </w:r>
      <w:r w:rsidRPr="007C79BC">
        <w:rPr>
          <w:rFonts w:ascii="Times New Roman" w:hAnsi="Times New Roman" w:cs="Times New Roman"/>
          <w:sz w:val="24"/>
          <w:szCs w:val="24"/>
        </w:rPr>
        <w:t>, N</w:t>
      </w:r>
      <w:r>
        <w:rPr>
          <w:rFonts w:ascii="Times New Roman" w:hAnsi="Times New Roman" w:cs="Times New Roman"/>
          <w:sz w:val="24"/>
          <w:szCs w:val="24"/>
        </w:rPr>
        <w:t>inja</w:t>
      </w:r>
      <w:r w:rsidRPr="007C79BC">
        <w:rPr>
          <w:rFonts w:ascii="Times New Roman" w:hAnsi="Times New Roman" w:cs="Times New Roman"/>
          <w:sz w:val="24"/>
          <w:szCs w:val="24"/>
        </w:rPr>
        <w:t xml:space="preserve"> </w:t>
      </w:r>
      <w:proofErr w:type="spellStart"/>
      <w:r w:rsidRPr="007C79BC">
        <w:rPr>
          <w:rFonts w:ascii="Times New Roman" w:hAnsi="Times New Roman" w:cs="Times New Roman"/>
          <w:sz w:val="24"/>
          <w:szCs w:val="24"/>
        </w:rPr>
        <w:t>Karikoski</w:t>
      </w:r>
      <w:r w:rsidRPr="007C79BC">
        <w:rPr>
          <w:rFonts w:ascii="Times New Roman" w:hAnsi="Times New Roman" w:cs="Times New Roman"/>
          <w:sz w:val="24"/>
          <w:szCs w:val="24"/>
          <w:vertAlign w:val="superscript"/>
        </w:rPr>
        <w:t>b</w:t>
      </w:r>
      <w:proofErr w:type="spellEnd"/>
      <w:r w:rsidRPr="007C79BC">
        <w:rPr>
          <w:rFonts w:ascii="Times New Roman" w:hAnsi="Times New Roman" w:cs="Times New Roman"/>
          <w:sz w:val="24"/>
          <w:szCs w:val="24"/>
        </w:rPr>
        <w:t xml:space="preserve">, </w:t>
      </w:r>
      <w:r>
        <w:rPr>
          <w:rFonts w:ascii="Times New Roman" w:hAnsi="Times New Roman" w:cs="Times New Roman"/>
          <w:sz w:val="24"/>
          <w:szCs w:val="24"/>
        </w:rPr>
        <w:t xml:space="preserve">Gina </w:t>
      </w:r>
      <w:proofErr w:type="spellStart"/>
      <w:r>
        <w:rPr>
          <w:rFonts w:ascii="Times New Roman" w:hAnsi="Times New Roman" w:cs="Times New Roman"/>
          <w:sz w:val="24"/>
          <w:szCs w:val="24"/>
        </w:rPr>
        <w:t>Pinchbeck</w:t>
      </w:r>
      <w:r w:rsidRPr="007C79BC">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7C79BC">
        <w:rPr>
          <w:rFonts w:ascii="Times New Roman" w:hAnsi="Times New Roman" w:cs="Times New Roman"/>
          <w:sz w:val="24"/>
          <w:szCs w:val="24"/>
        </w:rPr>
        <w:t xml:space="preserve">Catherine </w:t>
      </w:r>
      <w:proofErr w:type="spellStart"/>
      <w:r w:rsidRPr="007C79BC">
        <w:rPr>
          <w:rFonts w:ascii="Times New Roman" w:hAnsi="Times New Roman" w:cs="Times New Roman"/>
          <w:sz w:val="24"/>
          <w:szCs w:val="24"/>
        </w:rPr>
        <w:t>McGowan</w:t>
      </w:r>
      <w:r w:rsidRPr="007C79BC">
        <w:rPr>
          <w:rFonts w:ascii="Times New Roman" w:hAnsi="Times New Roman" w:cs="Times New Roman"/>
          <w:sz w:val="24"/>
          <w:szCs w:val="24"/>
          <w:vertAlign w:val="superscript"/>
        </w:rPr>
        <w:t>a</w:t>
      </w:r>
      <w:proofErr w:type="spellEnd"/>
    </w:p>
    <w:p w14:paraId="2208518F" w14:textId="77777777" w:rsidR="000C34BF" w:rsidRDefault="000C34BF" w:rsidP="007C79BC">
      <w:pPr>
        <w:spacing w:after="0" w:line="240" w:lineRule="auto"/>
        <w:rPr>
          <w:rFonts w:ascii="Times New Roman" w:hAnsi="Times New Roman" w:cs="Times New Roman"/>
          <w:b/>
          <w:i/>
          <w:sz w:val="24"/>
          <w:szCs w:val="24"/>
          <w:vertAlign w:val="superscript"/>
        </w:rPr>
      </w:pPr>
    </w:p>
    <w:p w14:paraId="342D9984" w14:textId="77777777" w:rsidR="000C34BF" w:rsidRPr="007C79BC" w:rsidRDefault="000C34BF" w:rsidP="007C79BC">
      <w:pPr>
        <w:spacing w:after="0" w:line="240" w:lineRule="auto"/>
        <w:rPr>
          <w:rFonts w:ascii="Times New Roman" w:hAnsi="Times New Roman" w:cs="Times New Roman"/>
          <w:i/>
          <w:iCs/>
          <w:sz w:val="24"/>
          <w:szCs w:val="24"/>
        </w:rPr>
      </w:pPr>
      <w:proofErr w:type="spellStart"/>
      <w:r w:rsidRPr="007C79BC">
        <w:rPr>
          <w:rFonts w:ascii="Times New Roman" w:hAnsi="Times New Roman" w:cs="Times New Roman"/>
          <w:sz w:val="24"/>
          <w:szCs w:val="24"/>
          <w:vertAlign w:val="superscript"/>
        </w:rPr>
        <w:t>a</w:t>
      </w:r>
      <w:proofErr w:type="spellEnd"/>
      <w:r w:rsidRPr="007C79BC">
        <w:rPr>
          <w:rFonts w:ascii="Times New Roman" w:hAnsi="Times New Roman" w:cs="Times New Roman"/>
          <w:i/>
          <w:iCs/>
          <w:sz w:val="16"/>
          <w:szCs w:val="16"/>
        </w:rPr>
        <w:t xml:space="preserve"> </w:t>
      </w:r>
      <w:r w:rsidRPr="007C79BC">
        <w:rPr>
          <w:rFonts w:ascii="Times New Roman" w:hAnsi="Times New Roman" w:cs="Times New Roman"/>
          <w:i/>
          <w:iCs/>
          <w:sz w:val="24"/>
          <w:szCs w:val="24"/>
        </w:rPr>
        <w:t>Institute of Ageing and Chronic Disease</w:t>
      </w:r>
      <w:r>
        <w:rPr>
          <w:rFonts w:ascii="Times New Roman" w:hAnsi="Times New Roman" w:cs="Times New Roman"/>
          <w:i/>
          <w:iCs/>
          <w:sz w:val="24"/>
          <w:szCs w:val="24"/>
        </w:rPr>
        <w:t xml:space="preserve"> and Infection and Global Health</w:t>
      </w:r>
      <w:r w:rsidRPr="007C79BC">
        <w:rPr>
          <w:rFonts w:ascii="Times New Roman" w:hAnsi="Times New Roman" w:cs="Times New Roman"/>
          <w:i/>
          <w:iCs/>
          <w:sz w:val="24"/>
          <w:szCs w:val="24"/>
        </w:rPr>
        <w:t>, Faculty of Health and Life Sciences, University of Liverpool, Neston, Wirral CH64 7TE, UK</w:t>
      </w:r>
    </w:p>
    <w:p w14:paraId="54672A21" w14:textId="77777777" w:rsidR="000C34BF" w:rsidRDefault="000C34BF" w:rsidP="007C79BC">
      <w:pPr>
        <w:spacing w:after="0" w:line="240" w:lineRule="auto"/>
        <w:rPr>
          <w:rFonts w:ascii="Times New Roman" w:hAnsi="Times New Roman" w:cs="Times New Roman"/>
          <w:i/>
          <w:iCs/>
          <w:sz w:val="24"/>
          <w:szCs w:val="24"/>
        </w:rPr>
      </w:pPr>
      <w:proofErr w:type="gramStart"/>
      <w:r w:rsidRPr="007C79BC">
        <w:rPr>
          <w:rFonts w:ascii="Times New Roman" w:hAnsi="Times New Roman" w:cs="Times New Roman"/>
          <w:iCs/>
          <w:sz w:val="24"/>
          <w:szCs w:val="24"/>
          <w:vertAlign w:val="superscript"/>
        </w:rPr>
        <w:t>b</w:t>
      </w:r>
      <w:proofErr w:type="gramEnd"/>
      <w:r w:rsidRPr="007C79BC">
        <w:rPr>
          <w:rFonts w:ascii="Times New Roman" w:hAnsi="Times New Roman" w:cs="Times New Roman"/>
          <w:iCs/>
          <w:sz w:val="24"/>
          <w:szCs w:val="24"/>
          <w:vertAlign w:val="superscript"/>
        </w:rPr>
        <w:t xml:space="preserve"> </w:t>
      </w:r>
      <w:r w:rsidR="00FC3823">
        <w:rPr>
          <w:rFonts w:ascii="Times New Roman" w:hAnsi="Times New Roman" w:cs="Times New Roman"/>
          <w:i/>
          <w:iCs/>
          <w:sz w:val="24"/>
          <w:szCs w:val="24"/>
        </w:rPr>
        <w:t>Department of Equine and Small Animal Medicine</w:t>
      </w:r>
      <w:r w:rsidRPr="007C79BC">
        <w:rPr>
          <w:rFonts w:ascii="Times New Roman" w:hAnsi="Times New Roman" w:cs="Times New Roman"/>
          <w:i/>
          <w:iCs/>
          <w:sz w:val="24"/>
          <w:szCs w:val="24"/>
        </w:rPr>
        <w:t xml:space="preserve">, Faculty of Veterinary </w:t>
      </w:r>
      <w:r w:rsidR="00FC3823">
        <w:rPr>
          <w:rFonts w:ascii="Times New Roman" w:hAnsi="Times New Roman" w:cs="Times New Roman"/>
          <w:i/>
          <w:iCs/>
          <w:sz w:val="24"/>
          <w:szCs w:val="24"/>
        </w:rPr>
        <w:t>Medicine,</w:t>
      </w:r>
      <w:r w:rsidRPr="007C79BC">
        <w:rPr>
          <w:rFonts w:ascii="Times New Roman" w:hAnsi="Times New Roman" w:cs="Times New Roman"/>
          <w:i/>
          <w:iCs/>
          <w:sz w:val="24"/>
          <w:szCs w:val="24"/>
        </w:rPr>
        <w:t xml:space="preserve"> University of Helsinki, Helsinki, Finland</w:t>
      </w:r>
    </w:p>
    <w:p w14:paraId="14C81147" w14:textId="77777777" w:rsidR="000C34BF" w:rsidRPr="007C79BC" w:rsidRDefault="000C34BF" w:rsidP="007C79BC">
      <w:pPr>
        <w:spacing w:after="0" w:line="240" w:lineRule="auto"/>
        <w:rPr>
          <w:rFonts w:ascii="Times New Roman" w:hAnsi="Times New Roman" w:cs="Times New Roman"/>
          <w:iCs/>
          <w:sz w:val="24"/>
          <w:szCs w:val="24"/>
        </w:rPr>
      </w:pPr>
    </w:p>
    <w:p w14:paraId="5A4B89BD" w14:textId="77777777" w:rsidR="000C34BF" w:rsidRDefault="000C34BF" w:rsidP="007C79BC">
      <w:pPr>
        <w:spacing w:after="0" w:line="240" w:lineRule="auto"/>
        <w:rPr>
          <w:rFonts w:ascii="Times New Roman" w:hAnsi="Times New Roman" w:cs="Times New Roman"/>
          <w:i/>
          <w:iCs/>
          <w:sz w:val="24"/>
          <w:szCs w:val="24"/>
        </w:rPr>
      </w:pPr>
    </w:p>
    <w:p w14:paraId="1EEFF34D" w14:textId="77777777" w:rsidR="000C34BF" w:rsidRDefault="000C34BF" w:rsidP="007C79BC">
      <w:pPr>
        <w:spacing w:after="0" w:line="240" w:lineRule="auto"/>
        <w:rPr>
          <w:rFonts w:ascii="Times New Roman" w:hAnsi="Times New Roman" w:cs="Times New Roman"/>
          <w:iCs/>
          <w:sz w:val="24"/>
          <w:szCs w:val="24"/>
        </w:rPr>
      </w:pPr>
      <w:r w:rsidRPr="007C79BC">
        <w:rPr>
          <w:rFonts w:ascii="Times New Roman" w:hAnsi="Times New Roman" w:cs="Times New Roman"/>
          <w:iCs/>
          <w:sz w:val="24"/>
          <w:szCs w:val="24"/>
        </w:rPr>
        <w:t>*</w:t>
      </w:r>
      <w:r>
        <w:rPr>
          <w:rFonts w:ascii="Times New Roman" w:hAnsi="Times New Roman" w:cs="Times New Roman"/>
          <w:iCs/>
          <w:sz w:val="24"/>
          <w:szCs w:val="24"/>
        </w:rPr>
        <w:tab/>
        <w:t>Corresponding a</w:t>
      </w:r>
      <w:r w:rsidRPr="007C79BC">
        <w:rPr>
          <w:rFonts w:ascii="Times New Roman" w:hAnsi="Times New Roman" w:cs="Times New Roman"/>
          <w:iCs/>
          <w:sz w:val="24"/>
          <w:szCs w:val="24"/>
        </w:rPr>
        <w:t>uthor. Tel</w:t>
      </w:r>
      <w:r>
        <w:rPr>
          <w:rFonts w:ascii="Times New Roman" w:hAnsi="Times New Roman" w:cs="Times New Roman"/>
          <w:iCs/>
          <w:sz w:val="24"/>
          <w:szCs w:val="24"/>
        </w:rPr>
        <w:t>:</w:t>
      </w:r>
      <w:r w:rsidRPr="007C79BC">
        <w:rPr>
          <w:rFonts w:ascii="Times New Roman" w:hAnsi="Times New Roman" w:cs="Times New Roman"/>
          <w:iCs/>
          <w:sz w:val="24"/>
          <w:szCs w:val="24"/>
        </w:rPr>
        <w:t xml:space="preserve"> +44 151 794 60</w:t>
      </w:r>
      <w:r>
        <w:rPr>
          <w:rFonts w:ascii="Times New Roman" w:hAnsi="Times New Roman" w:cs="Times New Roman"/>
          <w:iCs/>
          <w:sz w:val="24"/>
          <w:szCs w:val="24"/>
        </w:rPr>
        <w:t>41</w:t>
      </w:r>
    </w:p>
    <w:p w14:paraId="76558A11" w14:textId="77777777" w:rsidR="000C34BF" w:rsidRDefault="000C34BF" w:rsidP="007C79BC">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t xml:space="preserve">Email Address: </w:t>
      </w:r>
      <w:hyperlink r:id="rId7" w:history="1">
        <w:r w:rsidRPr="00A05889">
          <w:rPr>
            <w:rStyle w:val="Hyperlink"/>
            <w:rFonts w:ascii="Times New Roman" w:hAnsi="Times New Roman" w:cs="Times New Roman"/>
            <w:iCs/>
            <w:color w:val="auto"/>
            <w:sz w:val="24"/>
            <w:szCs w:val="24"/>
          </w:rPr>
          <w:t>hbc@liverpool.ac.uk</w:t>
        </w:r>
      </w:hyperlink>
      <w:r>
        <w:rPr>
          <w:rFonts w:ascii="Times New Roman" w:hAnsi="Times New Roman" w:cs="Times New Roman"/>
          <w:iCs/>
          <w:sz w:val="24"/>
          <w:szCs w:val="24"/>
        </w:rPr>
        <w:t xml:space="preserve"> (H Carslake)</w:t>
      </w:r>
    </w:p>
    <w:p w14:paraId="4A9E97C0" w14:textId="77777777" w:rsidR="000C34BF" w:rsidRDefault="000C34BF">
      <w:pPr>
        <w:rPr>
          <w:rFonts w:ascii="Times New Roman" w:hAnsi="Times New Roman" w:cs="Times New Roman"/>
          <w:sz w:val="24"/>
          <w:szCs w:val="24"/>
        </w:rPr>
      </w:pPr>
      <w:r>
        <w:rPr>
          <w:rFonts w:ascii="Times New Roman" w:hAnsi="Times New Roman" w:cs="Times New Roman"/>
          <w:sz w:val="24"/>
          <w:szCs w:val="24"/>
        </w:rPr>
        <w:br w:type="page"/>
      </w:r>
    </w:p>
    <w:p w14:paraId="4130780B" w14:textId="77777777" w:rsidR="000C34BF" w:rsidRDefault="000C34BF" w:rsidP="007C79BC">
      <w:pPr>
        <w:spacing w:after="0" w:line="480" w:lineRule="auto"/>
        <w:rPr>
          <w:rFonts w:ascii="Times New Roman" w:hAnsi="Times New Roman" w:cs="Times New Roman"/>
          <w:b/>
          <w:sz w:val="24"/>
          <w:szCs w:val="24"/>
        </w:rPr>
      </w:pPr>
      <w:r w:rsidRPr="007C79BC">
        <w:rPr>
          <w:rFonts w:ascii="Times New Roman" w:hAnsi="Times New Roman" w:cs="Times New Roman"/>
          <w:b/>
          <w:sz w:val="24"/>
          <w:szCs w:val="24"/>
        </w:rPr>
        <w:lastRenderedPageBreak/>
        <w:t>Abstract</w:t>
      </w:r>
    </w:p>
    <w:p w14:paraId="7B7A08EC" w14:textId="77777777" w:rsidR="000C34BF" w:rsidRPr="00264B62" w:rsidRDefault="000C34BF" w:rsidP="007C79BC">
      <w:pPr>
        <w:spacing w:after="0" w:line="480" w:lineRule="auto"/>
        <w:rPr>
          <w:rFonts w:ascii="Times New Roman" w:hAnsi="Times New Roman" w:cs="Times New Roman"/>
          <w:b/>
          <w:sz w:val="24"/>
          <w:szCs w:val="24"/>
        </w:rPr>
      </w:pPr>
      <w:r>
        <w:rPr>
          <w:rFonts w:ascii="Times New Roman" w:hAnsi="Times New Roman" w:cs="Times New Roman"/>
          <w:b/>
          <w:sz w:val="24"/>
          <w:szCs w:val="24"/>
        </w:rPr>
        <w:t>S</w:t>
      </w:r>
      <w:r w:rsidRPr="00264B62">
        <w:rPr>
          <w:rFonts w:ascii="Times New Roman" w:hAnsi="Times New Roman" w:cs="Times New Roman"/>
          <w:sz w:val="24"/>
          <w:szCs w:val="24"/>
        </w:rPr>
        <w:t xml:space="preserve">erum insulin </w:t>
      </w:r>
      <w:r>
        <w:rPr>
          <w:rFonts w:ascii="Times New Roman" w:hAnsi="Times New Roman" w:cs="Times New Roman"/>
          <w:sz w:val="24"/>
          <w:szCs w:val="24"/>
        </w:rPr>
        <w:t xml:space="preserve">concentration </w:t>
      </w:r>
      <w:r w:rsidRPr="00264B62">
        <w:rPr>
          <w:rFonts w:ascii="Times New Roman" w:hAnsi="Times New Roman" w:cs="Times New Roman"/>
          <w:sz w:val="24"/>
          <w:szCs w:val="24"/>
        </w:rPr>
        <w:t xml:space="preserve">is </w:t>
      </w:r>
      <w:r>
        <w:rPr>
          <w:rFonts w:ascii="Times New Roman" w:hAnsi="Times New Roman" w:cs="Times New Roman"/>
          <w:sz w:val="24"/>
          <w:szCs w:val="24"/>
        </w:rPr>
        <w:t xml:space="preserve">commonly measured during investigation of suspected endocrinopathic disease in horses, but immediate analysis is frequently unavailable. The aim of this </w:t>
      </w:r>
      <w:r w:rsidRPr="007C79BC">
        <w:rPr>
          <w:rFonts w:ascii="Times New Roman" w:hAnsi="Times New Roman" w:cs="Times New Roman"/>
          <w:sz w:val="24"/>
          <w:szCs w:val="24"/>
        </w:rPr>
        <w:t xml:space="preserve">study </w:t>
      </w:r>
      <w:r>
        <w:rPr>
          <w:rFonts w:ascii="Times New Roman" w:hAnsi="Times New Roman" w:cs="Times New Roman"/>
          <w:sz w:val="24"/>
          <w:szCs w:val="24"/>
        </w:rPr>
        <w:t>was to examine the effect of storing samples</w:t>
      </w:r>
      <w:r w:rsidRPr="007C79BC">
        <w:rPr>
          <w:rFonts w:ascii="Times New Roman" w:hAnsi="Times New Roman" w:cs="Times New Roman"/>
          <w:sz w:val="24"/>
          <w:szCs w:val="24"/>
        </w:rPr>
        <w:t xml:space="preserve"> at room temperature for 72h</w:t>
      </w:r>
      <w:r>
        <w:rPr>
          <w:rFonts w:ascii="Times New Roman" w:hAnsi="Times New Roman" w:cs="Times New Roman"/>
          <w:sz w:val="24"/>
          <w:szCs w:val="24"/>
        </w:rPr>
        <w:t xml:space="preserve"> as serum and as whole blood, compared to immediate separation and freezing. Samples from 14 horses were evaluated. Correlation was excellent for all comparisons. Bland Altman plots revealed a negative bias (mean difference 2.16µIU/m</w:t>
      </w:r>
      <w:r w:rsidR="00DB6AE1">
        <w:rPr>
          <w:rFonts w:ascii="Times New Roman" w:hAnsi="Times New Roman" w:cs="Times New Roman"/>
          <w:sz w:val="24"/>
          <w:szCs w:val="24"/>
        </w:rPr>
        <w:t>L</w:t>
      </w:r>
      <w:r>
        <w:rPr>
          <w:rFonts w:ascii="Times New Roman" w:hAnsi="Times New Roman" w:cs="Times New Roman"/>
          <w:sz w:val="24"/>
          <w:szCs w:val="24"/>
        </w:rPr>
        <w:t>) in samples stored as whole blood compared to serum, but this difference was not considered clinically significant. At two commonly used diagnostic cut-offs there was no effect of storage on result. This study indicates that storage at room temperature</w:t>
      </w:r>
      <w:r w:rsidR="00FC3823">
        <w:rPr>
          <w:rFonts w:ascii="Times New Roman" w:hAnsi="Times New Roman" w:cs="Times New Roman"/>
          <w:sz w:val="24"/>
          <w:szCs w:val="24"/>
        </w:rPr>
        <w:t xml:space="preserve"> for 72h</w:t>
      </w:r>
      <w:r>
        <w:rPr>
          <w:rFonts w:ascii="Times New Roman" w:hAnsi="Times New Roman" w:cs="Times New Roman"/>
          <w:sz w:val="24"/>
          <w:szCs w:val="24"/>
        </w:rPr>
        <w:t xml:space="preserve">, either as serum or whole blood, has minimal effect on measured serum insulin concentration in horses. </w:t>
      </w:r>
    </w:p>
    <w:p w14:paraId="13B53827" w14:textId="77777777" w:rsidR="000C34BF" w:rsidRDefault="000C34BF" w:rsidP="007C79BC">
      <w:pPr>
        <w:spacing w:after="0" w:line="480" w:lineRule="auto"/>
        <w:rPr>
          <w:rFonts w:ascii="Times New Roman" w:hAnsi="Times New Roman" w:cs="Times New Roman"/>
          <w:b/>
          <w:sz w:val="24"/>
          <w:szCs w:val="24"/>
        </w:rPr>
      </w:pPr>
    </w:p>
    <w:p w14:paraId="2A37F1BB" w14:textId="77777777" w:rsidR="000C34BF" w:rsidRPr="003464DE" w:rsidRDefault="000C34BF" w:rsidP="007C79BC">
      <w:pPr>
        <w:spacing w:after="0" w:line="480" w:lineRule="auto"/>
        <w:rPr>
          <w:rFonts w:ascii="Times New Roman" w:hAnsi="Times New Roman" w:cs="Times New Roman"/>
          <w:sz w:val="24"/>
          <w:szCs w:val="24"/>
        </w:rPr>
      </w:pPr>
      <w:r w:rsidRPr="003464DE">
        <w:rPr>
          <w:rFonts w:ascii="Times New Roman" w:hAnsi="Times New Roman" w:cs="Times New Roman"/>
          <w:i/>
          <w:sz w:val="24"/>
          <w:szCs w:val="24"/>
        </w:rPr>
        <w:t>Keywords:</w:t>
      </w:r>
      <w:r w:rsidR="00404A5D">
        <w:rPr>
          <w:rFonts w:ascii="Times New Roman" w:hAnsi="Times New Roman" w:cs="Times New Roman"/>
          <w:sz w:val="24"/>
          <w:szCs w:val="24"/>
        </w:rPr>
        <w:t xml:space="preserve"> Horse; Insulin; Stability; Serum;</w:t>
      </w:r>
      <w:r>
        <w:rPr>
          <w:rFonts w:ascii="Times New Roman" w:hAnsi="Times New Roman" w:cs="Times New Roman"/>
          <w:sz w:val="24"/>
          <w:szCs w:val="24"/>
        </w:rPr>
        <w:t xml:space="preserve"> Storage</w:t>
      </w:r>
    </w:p>
    <w:p w14:paraId="3F416A4D" w14:textId="77777777" w:rsidR="000C34BF" w:rsidRDefault="000C34BF">
      <w:pPr>
        <w:rPr>
          <w:rFonts w:ascii="Times New Roman" w:hAnsi="Times New Roman" w:cs="Times New Roman"/>
          <w:b/>
          <w:sz w:val="24"/>
          <w:szCs w:val="24"/>
        </w:rPr>
      </w:pPr>
      <w:r>
        <w:rPr>
          <w:rFonts w:ascii="Times New Roman" w:hAnsi="Times New Roman" w:cs="Times New Roman"/>
          <w:b/>
          <w:sz w:val="24"/>
          <w:szCs w:val="24"/>
        </w:rPr>
        <w:br w:type="page"/>
      </w:r>
    </w:p>
    <w:p w14:paraId="4B97DDDE" w14:textId="77777777" w:rsidR="000C34BF" w:rsidRPr="007C79BC" w:rsidRDefault="000C34BF" w:rsidP="007C79BC">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lastRenderedPageBreak/>
        <w:t xml:space="preserve">Equine metabolic syndrome (EMS) and pituitary pars intermedia dysfunction (PPID) are commonly suspected in equine practice, especially in horses presenting with laminitis </w:t>
      </w:r>
      <w:r>
        <w:rPr>
          <w:rFonts w:ascii="Times New Roman" w:hAnsi="Times New Roman" w:cs="Times New Roman"/>
          <w:noProof/>
          <w:sz w:val="24"/>
          <w:szCs w:val="24"/>
        </w:rPr>
        <w:t>(Karikoski et al., 2011; McGowan et al., 2013; Morgan et al., 2014)</w:t>
      </w:r>
      <w:r>
        <w:rPr>
          <w:rFonts w:ascii="Times New Roman" w:hAnsi="Times New Roman" w:cs="Times New Roman"/>
          <w:sz w:val="24"/>
          <w:szCs w:val="24"/>
        </w:rPr>
        <w:t>.</w:t>
      </w:r>
      <w:r w:rsidRPr="007C79BC">
        <w:rPr>
          <w:rFonts w:ascii="Times New Roman" w:hAnsi="Times New Roman" w:cs="Times New Roman"/>
          <w:sz w:val="24"/>
          <w:szCs w:val="24"/>
        </w:rPr>
        <w:t xml:space="preserve"> Both PPID and EMS have been associated with compensated insulin resistance or insulin dysregulation and measurement of serum insulin concentration basally, or following oral or intravenous glucose challenge remains an important part of the diagnosis and monitoring of affected horses </w:t>
      </w:r>
      <w:r>
        <w:rPr>
          <w:rFonts w:ascii="Times New Roman" w:hAnsi="Times New Roman" w:cs="Times New Roman"/>
          <w:noProof/>
          <w:sz w:val="24"/>
          <w:szCs w:val="24"/>
        </w:rPr>
        <w:t>(Durham et al., 2014; Morgan et al., 2015)</w:t>
      </w:r>
      <w:r>
        <w:rPr>
          <w:rFonts w:ascii="Times New Roman" w:hAnsi="Times New Roman" w:cs="Times New Roman"/>
          <w:sz w:val="24"/>
          <w:szCs w:val="24"/>
        </w:rPr>
        <w:t>.</w:t>
      </w:r>
    </w:p>
    <w:p w14:paraId="1C277BF2" w14:textId="7777777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Following collection of the appropriate samples, most veterinary surgeons have to post </w:t>
      </w:r>
      <w:r>
        <w:rPr>
          <w:rFonts w:ascii="Times New Roman" w:hAnsi="Times New Roman" w:cs="Times New Roman"/>
          <w:sz w:val="24"/>
          <w:szCs w:val="24"/>
        </w:rPr>
        <w:t xml:space="preserve">them </w:t>
      </w:r>
      <w:r w:rsidRPr="007C79BC">
        <w:rPr>
          <w:rFonts w:ascii="Times New Roman" w:hAnsi="Times New Roman" w:cs="Times New Roman"/>
          <w:sz w:val="24"/>
          <w:szCs w:val="24"/>
        </w:rPr>
        <w:t>to external laboratories, in many cases unseparated due to having no immediate access to a centrifuge. Furthermore, samples taken on a Friday may take up to three days to reach a laboratory if routine post</w:t>
      </w:r>
      <w:r w:rsidR="00FC3823">
        <w:rPr>
          <w:rFonts w:ascii="Times New Roman" w:hAnsi="Times New Roman" w:cs="Times New Roman"/>
          <w:sz w:val="24"/>
          <w:szCs w:val="24"/>
        </w:rPr>
        <w:t>al</w:t>
      </w:r>
      <w:r w:rsidRPr="007C79BC">
        <w:rPr>
          <w:rFonts w:ascii="Times New Roman" w:hAnsi="Times New Roman" w:cs="Times New Roman"/>
          <w:sz w:val="24"/>
          <w:szCs w:val="24"/>
        </w:rPr>
        <w:t xml:space="preserve"> services are used or laboratories are not staffed on the weekend. As such there is the potential for samples to be stored separated or unseparated for up to three days at room temperature.</w:t>
      </w:r>
    </w:p>
    <w:p w14:paraId="31CAB4C7" w14:textId="77777777" w:rsidR="000C34BF"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The effect of storage and handling on a variety of </w:t>
      </w:r>
      <w:proofErr w:type="spellStart"/>
      <w:r w:rsidRPr="007C79BC">
        <w:rPr>
          <w:rFonts w:ascii="Times New Roman" w:hAnsi="Times New Roman" w:cs="Times New Roman"/>
          <w:sz w:val="24"/>
          <w:szCs w:val="24"/>
        </w:rPr>
        <w:t>clinicopathological</w:t>
      </w:r>
      <w:proofErr w:type="spellEnd"/>
      <w:r w:rsidRPr="007C79BC">
        <w:rPr>
          <w:rFonts w:ascii="Times New Roman" w:hAnsi="Times New Roman" w:cs="Times New Roman"/>
          <w:sz w:val="24"/>
          <w:szCs w:val="24"/>
        </w:rPr>
        <w:t xml:space="preserve"> parameters has been reported </w:t>
      </w:r>
      <w:r>
        <w:rPr>
          <w:rFonts w:ascii="Times New Roman" w:hAnsi="Times New Roman" w:cs="Times New Roman"/>
          <w:noProof/>
          <w:sz w:val="24"/>
          <w:szCs w:val="24"/>
        </w:rPr>
        <w:t>(Collicutt et al., 2015; Prutton et al., 2015; Rendle et al., 2009)</w:t>
      </w:r>
      <w:r>
        <w:rPr>
          <w:rFonts w:ascii="Times New Roman" w:hAnsi="Times New Roman" w:cs="Times New Roman"/>
          <w:sz w:val="24"/>
          <w:szCs w:val="24"/>
        </w:rPr>
        <w:t xml:space="preserve"> </w:t>
      </w:r>
      <w:r w:rsidRPr="007C79BC">
        <w:rPr>
          <w:rFonts w:ascii="Times New Roman" w:hAnsi="Times New Roman" w:cs="Times New Roman"/>
          <w:sz w:val="24"/>
          <w:szCs w:val="24"/>
        </w:rPr>
        <w:t xml:space="preserve">but to the authors’ knowledge no published literature exists on the effect </w:t>
      </w:r>
      <w:r w:rsidR="00FC3823">
        <w:rPr>
          <w:rFonts w:ascii="Times New Roman" w:hAnsi="Times New Roman" w:cs="Times New Roman"/>
          <w:sz w:val="24"/>
          <w:szCs w:val="24"/>
        </w:rPr>
        <w:t>of storage prior to analysis on</w:t>
      </w:r>
      <w:r>
        <w:rPr>
          <w:rFonts w:ascii="Times New Roman" w:hAnsi="Times New Roman" w:cs="Times New Roman"/>
          <w:sz w:val="24"/>
          <w:szCs w:val="24"/>
        </w:rPr>
        <w:t xml:space="preserve"> </w:t>
      </w:r>
      <w:r w:rsidRPr="007C79BC">
        <w:rPr>
          <w:rFonts w:ascii="Times New Roman" w:hAnsi="Times New Roman" w:cs="Times New Roman"/>
          <w:sz w:val="24"/>
          <w:szCs w:val="24"/>
        </w:rPr>
        <w:t>serum insulin concentration</w:t>
      </w:r>
      <w:r>
        <w:rPr>
          <w:rFonts w:ascii="Times New Roman" w:hAnsi="Times New Roman" w:cs="Times New Roman"/>
          <w:sz w:val="24"/>
          <w:szCs w:val="24"/>
        </w:rPr>
        <w:t xml:space="preserve"> in horses</w:t>
      </w:r>
      <w:r w:rsidRPr="007C79BC">
        <w:rPr>
          <w:rFonts w:ascii="Times New Roman" w:hAnsi="Times New Roman" w:cs="Times New Roman"/>
          <w:sz w:val="24"/>
          <w:szCs w:val="24"/>
        </w:rPr>
        <w:t>.</w:t>
      </w:r>
      <w:r>
        <w:rPr>
          <w:rFonts w:ascii="Times New Roman" w:hAnsi="Times New Roman" w:cs="Times New Roman"/>
          <w:sz w:val="24"/>
          <w:szCs w:val="24"/>
        </w:rPr>
        <w:t xml:space="preserve"> </w:t>
      </w:r>
    </w:p>
    <w:p w14:paraId="4886032B" w14:textId="77777777" w:rsidR="000C34BF" w:rsidRPr="007C79BC" w:rsidRDefault="000C34BF" w:rsidP="009F3D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aims of this study were </w:t>
      </w:r>
      <w:r w:rsidRPr="007C79BC">
        <w:rPr>
          <w:rFonts w:ascii="Times New Roman" w:hAnsi="Times New Roman" w:cs="Times New Roman"/>
          <w:sz w:val="24"/>
          <w:szCs w:val="24"/>
        </w:rPr>
        <w:t xml:space="preserve">to examine the effect of storage at room temperature for 72 h, either as serum or whole blood, on serum insulin concentration. We hypothesised that storage at room temperature for 72 h, either as serum or </w:t>
      </w:r>
      <w:r>
        <w:rPr>
          <w:rFonts w:ascii="Times New Roman" w:hAnsi="Times New Roman" w:cs="Times New Roman"/>
          <w:sz w:val="24"/>
          <w:szCs w:val="24"/>
        </w:rPr>
        <w:t xml:space="preserve">as whole blood would not </w:t>
      </w:r>
      <w:r w:rsidRPr="007C79BC">
        <w:rPr>
          <w:rFonts w:ascii="Times New Roman" w:hAnsi="Times New Roman" w:cs="Times New Roman"/>
          <w:sz w:val="24"/>
          <w:szCs w:val="24"/>
        </w:rPr>
        <w:t>significantly reduce serum insulin concentration compared to immediate separation and storage at -20</w:t>
      </w:r>
      <w:r w:rsidR="00305376">
        <w:rPr>
          <w:rFonts w:ascii="Times New Roman" w:hAnsi="Times New Roman" w:cs="Times New Roman"/>
          <w:sz w:val="24"/>
          <w:szCs w:val="24"/>
        </w:rPr>
        <w:t xml:space="preserve"> </w:t>
      </w:r>
      <w:r w:rsidRPr="007C79BC">
        <w:rPr>
          <w:rFonts w:ascii="Times New Roman" w:hAnsi="Times New Roman" w:cs="Times New Roman"/>
          <w:sz w:val="24"/>
          <w:szCs w:val="24"/>
        </w:rPr>
        <w:t>˚C.</w:t>
      </w:r>
    </w:p>
    <w:p w14:paraId="58347065" w14:textId="4683009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Blood samples from 14 horses (mean (range) age 14.4 (6-27) years</w:t>
      </w:r>
      <w:r>
        <w:rPr>
          <w:rFonts w:ascii="Times New Roman" w:hAnsi="Times New Roman" w:cs="Times New Roman"/>
          <w:sz w:val="24"/>
          <w:szCs w:val="24"/>
        </w:rPr>
        <w:t>)</w:t>
      </w:r>
      <w:r w:rsidRPr="007C79B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C79BC">
        <w:rPr>
          <w:rFonts w:ascii="Times New Roman" w:hAnsi="Times New Roman" w:cs="Times New Roman"/>
          <w:sz w:val="24"/>
          <w:szCs w:val="24"/>
        </w:rPr>
        <w:t>mixed breeds</w:t>
      </w:r>
      <w:r>
        <w:rPr>
          <w:rFonts w:ascii="Times New Roman" w:hAnsi="Times New Roman" w:cs="Times New Roman"/>
          <w:sz w:val="24"/>
          <w:szCs w:val="24"/>
        </w:rPr>
        <w:t>,</w:t>
      </w:r>
      <w:r w:rsidRPr="007C79BC">
        <w:rPr>
          <w:rFonts w:ascii="Times New Roman" w:hAnsi="Times New Roman" w:cs="Times New Roman"/>
          <w:sz w:val="24"/>
          <w:szCs w:val="24"/>
        </w:rPr>
        <w:t xml:space="preserve"> </w:t>
      </w:r>
      <w:r>
        <w:rPr>
          <w:rFonts w:ascii="Times New Roman" w:hAnsi="Times New Roman" w:cs="Times New Roman"/>
          <w:sz w:val="24"/>
          <w:szCs w:val="24"/>
        </w:rPr>
        <w:t>(</w:t>
      </w:r>
      <w:r w:rsidRPr="007C79BC">
        <w:rPr>
          <w:rFonts w:ascii="Times New Roman" w:hAnsi="Times New Roman" w:cs="Times New Roman"/>
          <w:sz w:val="24"/>
          <w:szCs w:val="24"/>
        </w:rPr>
        <w:t xml:space="preserve">7 mares, 6 geldings and 1 stallion) presented to the Helsinki University Equine Teaching Hospital, Finland for investigation of endocrine disease based on clinical signs of recurrent </w:t>
      </w:r>
      <w:r w:rsidRPr="007C79BC">
        <w:rPr>
          <w:rFonts w:ascii="Times New Roman" w:hAnsi="Times New Roman" w:cs="Times New Roman"/>
          <w:sz w:val="24"/>
          <w:szCs w:val="24"/>
        </w:rPr>
        <w:lastRenderedPageBreak/>
        <w:t xml:space="preserve">laminitis, PPID or phenotypic indicators of </w:t>
      </w:r>
      <w:r>
        <w:rPr>
          <w:rFonts w:ascii="Times New Roman" w:hAnsi="Times New Roman" w:cs="Times New Roman"/>
          <w:sz w:val="24"/>
          <w:szCs w:val="24"/>
        </w:rPr>
        <w:t>EMS</w:t>
      </w:r>
      <w:r w:rsidRPr="007C79BC">
        <w:rPr>
          <w:rFonts w:ascii="Times New Roman" w:hAnsi="Times New Roman" w:cs="Times New Roman"/>
          <w:sz w:val="24"/>
          <w:szCs w:val="24"/>
        </w:rPr>
        <w:t xml:space="preserve"> between February and </w:t>
      </w:r>
      <w:r>
        <w:rPr>
          <w:rFonts w:ascii="Times New Roman" w:hAnsi="Times New Roman" w:cs="Times New Roman"/>
          <w:sz w:val="24"/>
          <w:szCs w:val="24"/>
        </w:rPr>
        <w:t>July</w:t>
      </w:r>
      <w:r w:rsidRPr="007C79BC">
        <w:rPr>
          <w:rFonts w:ascii="Times New Roman" w:hAnsi="Times New Roman" w:cs="Times New Roman"/>
          <w:sz w:val="24"/>
          <w:szCs w:val="24"/>
        </w:rPr>
        <w:t xml:space="preserve"> 2008</w:t>
      </w:r>
      <w:r>
        <w:rPr>
          <w:rFonts w:ascii="Times New Roman" w:hAnsi="Times New Roman" w:cs="Times New Roman"/>
          <w:sz w:val="24"/>
          <w:szCs w:val="24"/>
        </w:rPr>
        <w:t>,</w:t>
      </w:r>
      <w:r w:rsidRPr="007C79BC">
        <w:rPr>
          <w:rFonts w:ascii="Times New Roman" w:hAnsi="Times New Roman" w:cs="Times New Roman"/>
          <w:sz w:val="24"/>
          <w:szCs w:val="24"/>
        </w:rPr>
        <w:t xml:space="preserve"> were included in the study. All blood samples were taken with informed owner consent for the purposes of clinical endocrine testing with aliquots used to perform the same test in triplicate using different storage conditions. Venous blood was collected from the jugular vein by single direct </w:t>
      </w:r>
      <w:proofErr w:type="spellStart"/>
      <w:r w:rsidRPr="007C79BC">
        <w:rPr>
          <w:rFonts w:ascii="Times New Roman" w:hAnsi="Times New Roman" w:cs="Times New Roman"/>
          <w:sz w:val="24"/>
          <w:szCs w:val="24"/>
        </w:rPr>
        <w:t>ven</w:t>
      </w:r>
      <w:r w:rsidR="006856DA">
        <w:rPr>
          <w:rFonts w:ascii="Times New Roman" w:hAnsi="Times New Roman" w:cs="Times New Roman"/>
          <w:sz w:val="24"/>
          <w:szCs w:val="24"/>
        </w:rPr>
        <w:t>i</w:t>
      </w:r>
      <w:r w:rsidRPr="007C79BC">
        <w:rPr>
          <w:rFonts w:ascii="Times New Roman" w:hAnsi="Times New Roman" w:cs="Times New Roman"/>
          <w:sz w:val="24"/>
          <w:szCs w:val="24"/>
        </w:rPr>
        <w:t>puncture</w:t>
      </w:r>
      <w:proofErr w:type="spellEnd"/>
      <w:r w:rsidRPr="007C79BC">
        <w:rPr>
          <w:rFonts w:ascii="Times New Roman" w:hAnsi="Times New Roman" w:cs="Times New Roman"/>
          <w:sz w:val="24"/>
          <w:szCs w:val="24"/>
        </w:rPr>
        <w:t xml:space="preserve"> into three identical evacuated tubes containing a clot activator (</w:t>
      </w:r>
      <w:proofErr w:type="spellStart"/>
      <w:r w:rsidRPr="007C79BC">
        <w:rPr>
          <w:rFonts w:ascii="Times New Roman" w:hAnsi="Times New Roman" w:cs="Times New Roman"/>
          <w:sz w:val="24"/>
          <w:szCs w:val="24"/>
        </w:rPr>
        <w:t>Vacuette</w:t>
      </w:r>
      <w:proofErr w:type="spellEnd"/>
      <w:r>
        <w:rPr>
          <w:rFonts w:ascii="Times New Roman" w:hAnsi="Times New Roman" w:cs="Times New Roman"/>
          <w:sz w:val="24"/>
          <w:szCs w:val="24"/>
        </w:rPr>
        <w:t>,</w:t>
      </w:r>
      <w:r w:rsidRPr="007C79BC">
        <w:rPr>
          <w:rFonts w:ascii="Times New Roman" w:hAnsi="Times New Roman" w:cs="Times New Roman"/>
          <w:sz w:val="24"/>
          <w:szCs w:val="24"/>
        </w:rPr>
        <w:t xml:space="preserve"> 2 serum clot activator, Greiner Bio-One, Austria) and allowed to clot at room temperature for 45 min. Samples </w:t>
      </w:r>
      <w:proofErr w:type="spellStart"/>
      <w:r w:rsidRPr="007C79BC">
        <w:rPr>
          <w:rFonts w:ascii="Times New Roman" w:hAnsi="Times New Roman" w:cs="Times New Roman"/>
          <w:sz w:val="24"/>
          <w:szCs w:val="24"/>
        </w:rPr>
        <w:t>CenRT</w:t>
      </w:r>
      <w:proofErr w:type="spellEnd"/>
      <w:r w:rsidRPr="007C79BC">
        <w:rPr>
          <w:rFonts w:ascii="Times New Roman" w:hAnsi="Times New Roman" w:cs="Times New Roman"/>
          <w:sz w:val="24"/>
          <w:szCs w:val="24"/>
        </w:rPr>
        <w:t xml:space="preserve"> and </w:t>
      </w:r>
      <w:proofErr w:type="spellStart"/>
      <w:r w:rsidRPr="007C79BC">
        <w:rPr>
          <w:rFonts w:ascii="Times New Roman" w:hAnsi="Times New Roman" w:cs="Times New Roman"/>
          <w:sz w:val="24"/>
          <w:szCs w:val="24"/>
        </w:rPr>
        <w:t>CenFr</w:t>
      </w:r>
      <w:proofErr w:type="spellEnd"/>
      <w:r w:rsidRPr="007C79BC">
        <w:rPr>
          <w:rFonts w:ascii="Times New Roman" w:hAnsi="Times New Roman" w:cs="Times New Roman"/>
          <w:sz w:val="24"/>
          <w:szCs w:val="24"/>
        </w:rPr>
        <w:t xml:space="preserve"> were immediately centrifuged at </w:t>
      </w:r>
      <w:r w:rsidR="00354958">
        <w:rPr>
          <w:rFonts w:ascii="Times New Roman" w:hAnsi="Times New Roman" w:cs="Times New Roman"/>
          <w:sz w:val="24"/>
          <w:szCs w:val="24"/>
        </w:rPr>
        <w:t>2000g</w:t>
      </w:r>
      <w:r w:rsidRPr="007C79BC">
        <w:rPr>
          <w:rFonts w:ascii="Times New Roman" w:hAnsi="Times New Roman" w:cs="Times New Roman"/>
          <w:sz w:val="24"/>
          <w:szCs w:val="24"/>
        </w:rPr>
        <w:t xml:space="preserve"> for 10 min and the serum separated. Serum from sample </w:t>
      </w:r>
      <w:proofErr w:type="spellStart"/>
      <w:r w:rsidRPr="007C79BC">
        <w:rPr>
          <w:rFonts w:ascii="Times New Roman" w:hAnsi="Times New Roman" w:cs="Times New Roman"/>
          <w:sz w:val="24"/>
          <w:szCs w:val="24"/>
        </w:rPr>
        <w:t>CenRT</w:t>
      </w:r>
      <w:proofErr w:type="spellEnd"/>
      <w:r w:rsidRPr="007C79BC">
        <w:rPr>
          <w:rFonts w:ascii="Times New Roman" w:hAnsi="Times New Roman" w:cs="Times New Roman"/>
          <w:sz w:val="24"/>
          <w:szCs w:val="24"/>
        </w:rPr>
        <w:t xml:space="preserve"> was then maintained at room temperature (22</w:t>
      </w:r>
      <w:r w:rsidR="00305376">
        <w:rPr>
          <w:rFonts w:ascii="Times New Roman" w:hAnsi="Times New Roman" w:cs="Times New Roman"/>
          <w:sz w:val="24"/>
          <w:szCs w:val="24"/>
        </w:rPr>
        <w:t xml:space="preserve"> </w:t>
      </w:r>
      <w:r w:rsidRPr="007C79BC">
        <w:rPr>
          <w:rFonts w:ascii="Times New Roman" w:hAnsi="Times New Roman" w:cs="Times New Roman"/>
          <w:sz w:val="24"/>
          <w:szCs w:val="24"/>
        </w:rPr>
        <w:t xml:space="preserve">˚C) </w:t>
      </w:r>
      <w:r>
        <w:rPr>
          <w:rFonts w:ascii="Times New Roman" w:hAnsi="Times New Roman" w:cs="Times New Roman"/>
          <w:sz w:val="24"/>
          <w:szCs w:val="24"/>
        </w:rPr>
        <w:t>in air-</w:t>
      </w:r>
      <w:r w:rsidRPr="007C79BC">
        <w:rPr>
          <w:rFonts w:ascii="Times New Roman" w:hAnsi="Times New Roman" w:cs="Times New Roman"/>
          <w:sz w:val="24"/>
          <w:szCs w:val="24"/>
        </w:rPr>
        <w:t xml:space="preserve">conditioning </w:t>
      </w:r>
      <w:r>
        <w:rPr>
          <w:rFonts w:ascii="Times New Roman" w:hAnsi="Times New Roman" w:cs="Times New Roman"/>
          <w:sz w:val="24"/>
          <w:szCs w:val="24"/>
        </w:rPr>
        <w:t>for 72 h.</w:t>
      </w:r>
      <w:r w:rsidRPr="007C79BC">
        <w:rPr>
          <w:rFonts w:ascii="Times New Roman" w:hAnsi="Times New Roman" w:cs="Times New Roman"/>
          <w:sz w:val="24"/>
          <w:szCs w:val="24"/>
        </w:rPr>
        <w:t xml:space="preserve"> </w:t>
      </w:r>
      <w:r>
        <w:rPr>
          <w:rFonts w:ascii="Times New Roman" w:hAnsi="Times New Roman" w:cs="Times New Roman"/>
          <w:sz w:val="24"/>
          <w:szCs w:val="24"/>
        </w:rPr>
        <w:t>S</w:t>
      </w:r>
      <w:r w:rsidRPr="007C79BC">
        <w:rPr>
          <w:rFonts w:ascii="Times New Roman" w:hAnsi="Times New Roman" w:cs="Times New Roman"/>
          <w:sz w:val="24"/>
          <w:szCs w:val="24"/>
        </w:rPr>
        <w:t xml:space="preserve">erum from sample </w:t>
      </w:r>
      <w:proofErr w:type="spellStart"/>
      <w:r w:rsidRPr="007C79BC">
        <w:rPr>
          <w:rFonts w:ascii="Times New Roman" w:hAnsi="Times New Roman" w:cs="Times New Roman"/>
          <w:sz w:val="24"/>
          <w:szCs w:val="24"/>
        </w:rPr>
        <w:t>CenFr</w:t>
      </w:r>
      <w:proofErr w:type="spellEnd"/>
      <w:r w:rsidRPr="007C79BC">
        <w:rPr>
          <w:rFonts w:ascii="Times New Roman" w:hAnsi="Times New Roman" w:cs="Times New Roman"/>
          <w:sz w:val="24"/>
          <w:szCs w:val="24"/>
        </w:rPr>
        <w:t xml:space="preserve"> was immediately frozen at -20 °C. Sample </w:t>
      </w:r>
      <w:proofErr w:type="spellStart"/>
      <w:r w:rsidRPr="007C79BC">
        <w:rPr>
          <w:rFonts w:ascii="Times New Roman" w:hAnsi="Times New Roman" w:cs="Times New Roman"/>
          <w:sz w:val="24"/>
          <w:szCs w:val="24"/>
        </w:rPr>
        <w:t>RTCen</w:t>
      </w:r>
      <w:proofErr w:type="spellEnd"/>
      <w:r w:rsidRPr="007C79BC">
        <w:rPr>
          <w:rFonts w:ascii="Times New Roman" w:hAnsi="Times New Roman" w:cs="Times New Roman"/>
          <w:sz w:val="24"/>
          <w:szCs w:val="24"/>
        </w:rPr>
        <w:t xml:space="preserve"> was maintained at room temperature (22</w:t>
      </w:r>
      <w:r w:rsidR="00305376">
        <w:rPr>
          <w:rFonts w:ascii="Times New Roman" w:hAnsi="Times New Roman" w:cs="Times New Roman"/>
          <w:sz w:val="24"/>
          <w:szCs w:val="24"/>
        </w:rPr>
        <w:t xml:space="preserve"> </w:t>
      </w:r>
      <w:r w:rsidRPr="007C79BC">
        <w:rPr>
          <w:rFonts w:ascii="Times New Roman" w:hAnsi="Times New Roman" w:cs="Times New Roman"/>
          <w:sz w:val="24"/>
          <w:szCs w:val="24"/>
        </w:rPr>
        <w:t xml:space="preserve">°C) for 72 h, and then separated by centrifugation at </w:t>
      </w:r>
      <w:r w:rsidR="00354958">
        <w:rPr>
          <w:rFonts w:ascii="Times New Roman" w:hAnsi="Times New Roman" w:cs="Times New Roman"/>
          <w:sz w:val="24"/>
          <w:szCs w:val="24"/>
        </w:rPr>
        <w:t>2000g</w:t>
      </w:r>
      <w:r w:rsidRPr="007C79BC">
        <w:rPr>
          <w:rFonts w:ascii="Times New Roman" w:hAnsi="Times New Roman" w:cs="Times New Roman"/>
          <w:sz w:val="24"/>
          <w:szCs w:val="24"/>
        </w:rPr>
        <w:t xml:space="preserve"> for 10 min. After 72 h, all sample</w:t>
      </w:r>
      <w:r>
        <w:rPr>
          <w:rFonts w:ascii="Times New Roman" w:hAnsi="Times New Roman" w:cs="Times New Roman"/>
          <w:sz w:val="24"/>
          <w:szCs w:val="24"/>
        </w:rPr>
        <w:t>s were transferred to</w:t>
      </w:r>
      <w:r w:rsidRPr="007C79BC">
        <w:rPr>
          <w:rFonts w:ascii="Times New Roman" w:hAnsi="Times New Roman" w:cs="Times New Roman"/>
          <w:sz w:val="24"/>
          <w:szCs w:val="24"/>
        </w:rPr>
        <w:t xml:space="preserve"> -80 °C </w:t>
      </w:r>
      <w:r>
        <w:rPr>
          <w:rFonts w:ascii="Times New Roman" w:hAnsi="Times New Roman" w:cs="Times New Roman"/>
          <w:sz w:val="24"/>
          <w:szCs w:val="24"/>
        </w:rPr>
        <w:t xml:space="preserve">storage </w:t>
      </w:r>
      <w:r w:rsidRPr="007C79BC">
        <w:rPr>
          <w:rFonts w:ascii="Times New Roman" w:hAnsi="Times New Roman" w:cs="Times New Roman"/>
          <w:sz w:val="24"/>
          <w:szCs w:val="24"/>
        </w:rPr>
        <w:t>until analysis.</w:t>
      </w:r>
    </w:p>
    <w:p w14:paraId="6EC8C27B" w14:textId="77777777" w:rsidR="000C34BF" w:rsidRPr="007C79BC" w:rsidRDefault="000C34BF" w:rsidP="009F3D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samples</w:t>
      </w:r>
      <w:r w:rsidRPr="007C79BC">
        <w:rPr>
          <w:rFonts w:ascii="Times New Roman" w:hAnsi="Times New Roman" w:cs="Times New Roman"/>
          <w:sz w:val="24"/>
          <w:szCs w:val="24"/>
        </w:rPr>
        <w:t xml:space="preserve"> were packaged on ice and sent frozen to the same commercial laboratory by next-day delivery (Cambridge Specialist Laboratories</w:t>
      </w:r>
      <w:r>
        <w:rPr>
          <w:rFonts w:ascii="Times New Roman" w:hAnsi="Times New Roman" w:cs="Times New Roman"/>
          <w:sz w:val="24"/>
          <w:szCs w:val="24"/>
        </w:rPr>
        <w:t>, UK</w:t>
      </w:r>
      <w:r w:rsidRPr="007C79BC">
        <w:rPr>
          <w:rFonts w:ascii="Times New Roman" w:hAnsi="Times New Roman" w:cs="Times New Roman"/>
          <w:sz w:val="24"/>
          <w:szCs w:val="24"/>
        </w:rPr>
        <w:t xml:space="preserve">). Samples were analysed as a single batch using the </w:t>
      </w:r>
      <w:proofErr w:type="spellStart"/>
      <w:r w:rsidRPr="007C79BC">
        <w:rPr>
          <w:rFonts w:ascii="Times New Roman" w:hAnsi="Times New Roman" w:cs="Times New Roman"/>
          <w:sz w:val="24"/>
          <w:szCs w:val="24"/>
        </w:rPr>
        <w:t>DiaSorin</w:t>
      </w:r>
      <w:proofErr w:type="spellEnd"/>
      <w:r w:rsidRPr="007C79BC">
        <w:rPr>
          <w:rFonts w:ascii="Times New Roman" w:hAnsi="Times New Roman" w:cs="Times New Roman"/>
          <w:sz w:val="24"/>
          <w:szCs w:val="24"/>
        </w:rPr>
        <w:t xml:space="preserve"> S insulin RIA validated for use in horses and previously described in horses</w:t>
      </w:r>
      <w:r>
        <w:rPr>
          <w:rFonts w:ascii="Times New Roman" w:hAnsi="Times New Roman" w:cs="Times New Roman"/>
          <w:sz w:val="24"/>
          <w:szCs w:val="24"/>
        </w:rPr>
        <w:t xml:space="preserve"> </w:t>
      </w:r>
      <w:r>
        <w:rPr>
          <w:rFonts w:ascii="Times New Roman" w:hAnsi="Times New Roman" w:cs="Times New Roman"/>
          <w:noProof/>
          <w:sz w:val="24"/>
          <w:szCs w:val="24"/>
        </w:rPr>
        <w:t>(Karikoski et al., 2011)</w:t>
      </w:r>
      <w:r w:rsidRPr="007C79BC">
        <w:rPr>
          <w:rFonts w:ascii="Times New Roman" w:hAnsi="Times New Roman" w:cs="Times New Roman"/>
          <w:sz w:val="24"/>
          <w:szCs w:val="24"/>
        </w:rPr>
        <w:t>.</w:t>
      </w:r>
    </w:p>
    <w:p w14:paraId="26D9E930" w14:textId="2D242F8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Statistical analysis was performed using </w:t>
      </w:r>
      <w:r>
        <w:rPr>
          <w:rFonts w:ascii="Times New Roman" w:hAnsi="Times New Roman" w:cs="Times New Roman"/>
          <w:sz w:val="24"/>
          <w:szCs w:val="24"/>
        </w:rPr>
        <w:t>SPSS version 21</w:t>
      </w:r>
      <w:r w:rsidRPr="007C79BC">
        <w:rPr>
          <w:rFonts w:ascii="Times New Roman" w:hAnsi="Times New Roman" w:cs="Times New Roman"/>
          <w:sz w:val="24"/>
          <w:szCs w:val="24"/>
        </w:rPr>
        <w:t xml:space="preserve">, with significance set at P&lt;0.05. Comparisons were made between </w:t>
      </w:r>
      <w:proofErr w:type="spellStart"/>
      <w:r w:rsidRPr="007C79BC">
        <w:rPr>
          <w:rFonts w:ascii="Times New Roman" w:hAnsi="Times New Roman" w:cs="Times New Roman"/>
          <w:sz w:val="24"/>
          <w:szCs w:val="24"/>
        </w:rPr>
        <w:t>CenRT-Cenfr</w:t>
      </w:r>
      <w:proofErr w:type="spellEnd"/>
      <w:r w:rsidRPr="007C79BC">
        <w:rPr>
          <w:rFonts w:ascii="Times New Roman" w:hAnsi="Times New Roman" w:cs="Times New Roman"/>
          <w:sz w:val="24"/>
          <w:szCs w:val="24"/>
        </w:rPr>
        <w:t xml:space="preserve">, </w:t>
      </w:r>
      <w:proofErr w:type="spellStart"/>
      <w:r w:rsidRPr="007C79BC">
        <w:rPr>
          <w:rFonts w:ascii="Times New Roman" w:hAnsi="Times New Roman" w:cs="Times New Roman"/>
          <w:sz w:val="24"/>
          <w:szCs w:val="24"/>
        </w:rPr>
        <w:t>RTCen-CenFr</w:t>
      </w:r>
      <w:proofErr w:type="spellEnd"/>
      <w:r w:rsidRPr="007C79BC">
        <w:rPr>
          <w:rFonts w:ascii="Times New Roman" w:hAnsi="Times New Roman" w:cs="Times New Roman"/>
          <w:sz w:val="24"/>
          <w:szCs w:val="24"/>
        </w:rPr>
        <w:t xml:space="preserve"> and </w:t>
      </w:r>
      <w:proofErr w:type="spellStart"/>
      <w:r w:rsidRPr="007C79BC">
        <w:rPr>
          <w:rFonts w:ascii="Times New Roman" w:hAnsi="Times New Roman" w:cs="Times New Roman"/>
          <w:sz w:val="24"/>
          <w:szCs w:val="24"/>
        </w:rPr>
        <w:t>RTCen-CenRT</w:t>
      </w:r>
      <w:proofErr w:type="spellEnd"/>
      <w:r w:rsidRPr="007C79BC">
        <w:rPr>
          <w:rFonts w:ascii="Times New Roman" w:hAnsi="Times New Roman" w:cs="Times New Roman"/>
          <w:sz w:val="24"/>
          <w:szCs w:val="24"/>
        </w:rPr>
        <w:t>. A</w:t>
      </w:r>
      <w:r w:rsidR="002A0A3F">
        <w:rPr>
          <w:rFonts w:ascii="Times New Roman" w:hAnsi="Times New Roman" w:cs="Times New Roman"/>
          <w:sz w:val="24"/>
          <w:szCs w:val="24"/>
        </w:rPr>
        <w:t>greement</w:t>
      </w:r>
      <w:r w:rsidRPr="007C79BC">
        <w:rPr>
          <w:rFonts w:ascii="Times New Roman" w:hAnsi="Times New Roman" w:cs="Times New Roman"/>
          <w:sz w:val="24"/>
          <w:szCs w:val="24"/>
        </w:rPr>
        <w:t xml:space="preserve"> between groups was assessed using Bland Altman Plots</w:t>
      </w:r>
      <w:r w:rsidR="00F72753">
        <w:rPr>
          <w:rFonts w:ascii="Times New Roman" w:hAnsi="Times New Roman" w:cs="Times New Roman"/>
          <w:sz w:val="24"/>
          <w:szCs w:val="24"/>
        </w:rPr>
        <w:t xml:space="preserve">, including </w:t>
      </w:r>
      <w:r w:rsidR="009D6AB0">
        <w:rPr>
          <w:rFonts w:ascii="Times New Roman" w:hAnsi="Times New Roman" w:cs="Times New Roman"/>
          <w:sz w:val="24"/>
          <w:szCs w:val="24"/>
        </w:rPr>
        <w:t xml:space="preserve">analysis for proportional </w:t>
      </w:r>
      <w:proofErr w:type="spellStart"/>
      <w:r w:rsidR="009D6AB0">
        <w:rPr>
          <w:rFonts w:ascii="Times New Roman" w:hAnsi="Times New Roman" w:cs="Times New Roman"/>
          <w:sz w:val="24"/>
          <w:szCs w:val="24"/>
        </w:rPr>
        <w:t>bias</w:t>
      </w:r>
      <w:proofErr w:type="gramStart"/>
      <w:r w:rsidR="009D6AB0">
        <w:rPr>
          <w:rFonts w:ascii="Times New Roman" w:hAnsi="Times New Roman" w:cs="Times New Roman"/>
          <w:sz w:val="24"/>
          <w:szCs w:val="24"/>
        </w:rPr>
        <w:t>,</w:t>
      </w:r>
      <w:r w:rsidRPr="007C79BC">
        <w:rPr>
          <w:rFonts w:ascii="Times New Roman" w:hAnsi="Times New Roman" w:cs="Times New Roman"/>
          <w:sz w:val="24"/>
          <w:szCs w:val="24"/>
        </w:rPr>
        <w:t>and</w:t>
      </w:r>
      <w:proofErr w:type="spellEnd"/>
      <w:proofErr w:type="gramEnd"/>
      <w:r w:rsidRPr="007C79BC">
        <w:rPr>
          <w:rFonts w:ascii="Times New Roman" w:hAnsi="Times New Roman" w:cs="Times New Roman"/>
          <w:sz w:val="24"/>
          <w:szCs w:val="24"/>
        </w:rPr>
        <w:t xml:space="preserve"> Linn’s correlation coefficient with &gt;0.99 indicating almost perfect strength of agreement, 0.95-0.99 substantial, 0.90-0.95 moderate and &lt;0.9 poor. The </w:t>
      </w:r>
      <w:r w:rsidRPr="00327716">
        <w:rPr>
          <w:rFonts w:ascii="Times New Roman" w:hAnsi="Times New Roman" w:cs="Times New Roman"/>
          <w:sz w:val="24"/>
          <w:szCs w:val="24"/>
        </w:rPr>
        <w:t>me</w:t>
      </w:r>
      <w:r>
        <w:rPr>
          <w:rFonts w:ascii="Times New Roman" w:hAnsi="Times New Roman" w:cs="Times New Roman"/>
          <w:sz w:val="24"/>
          <w:szCs w:val="24"/>
        </w:rPr>
        <w:t>an</w:t>
      </w:r>
      <w:r w:rsidRPr="007C79BC">
        <w:rPr>
          <w:rFonts w:ascii="Times New Roman" w:hAnsi="Times New Roman" w:cs="Times New Roman"/>
          <w:sz w:val="24"/>
          <w:szCs w:val="24"/>
        </w:rPr>
        <w:t xml:space="preserve"> value of the difference between the gro</w:t>
      </w:r>
      <w:r>
        <w:rPr>
          <w:rFonts w:ascii="Times New Roman" w:hAnsi="Times New Roman" w:cs="Times New Roman"/>
          <w:sz w:val="24"/>
          <w:szCs w:val="24"/>
        </w:rPr>
        <w:t xml:space="preserve">ups was </w:t>
      </w:r>
      <w:r w:rsidRPr="00327716">
        <w:rPr>
          <w:rFonts w:ascii="Times New Roman" w:hAnsi="Times New Roman" w:cs="Times New Roman"/>
          <w:sz w:val="24"/>
          <w:szCs w:val="24"/>
        </w:rPr>
        <w:t>compared to 0 using a 1-sample T test, to detect the presence of a fixed bias.</w:t>
      </w:r>
      <w:r w:rsidRPr="007C79BC">
        <w:rPr>
          <w:rFonts w:ascii="Times New Roman" w:hAnsi="Times New Roman" w:cs="Times New Roman"/>
          <w:sz w:val="24"/>
          <w:szCs w:val="24"/>
        </w:rPr>
        <w:t xml:space="preserve"> Linear regression analysis was performed on the Bland Altman plot to detect proportional bias. Dichotomous outcomes were created using cut-off values for </w:t>
      </w:r>
      <w:r w:rsidR="00352403">
        <w:rPr>
          <w:rFonts w:ascii="Times New Roman" w:hAnsi="Times New Roman" w:cs="Times New Roman"/>
          <w:sz w:val="24"/>
          <w:szCs w:val="24"/>
        </w:rPr>
        <w:t xml:space="preserve">serum </w:t>
      </w:r>
      <w:r w:rsidRPr="007C79BC">
        <w:rPr>
          <w:rFonts w:ascii="Times New Roman" w:hAnsi="Times New Roman" w:cs="Times New Roman"/>
          <w:sz w:val="24"/>
          <w:szCs w:val="24"/>
        </w:rPr>
        <w:t xml:space="preserve">insulin </w:t>
      </w:r>
      <w:r w:rsidR="00352403">
        <w:rPr>
          <w:rFonts w:ascii="Times New Roman" w:hAnsi="Times New Roman" w:cs="Times New Roman"/>
          <w:sz w:val="24"/>
          <w:szCs w:val="24"/>
        </w:rPr>
        <w:t xml:space="preserve">concentration </w:t>
      </w:r>
      <w:r w:rsidRPr="007C79BC">
        <w:rPr>
          <w:rFonts w:ascii="Times New Roman" w:hAnsi="Times New Roman" w:cs="Times New Roman"/>
          <w:sz w:val="24"/>
          <w:szCs w:val="24"/>
        </w:rPr>
        <w:t xml:space="preserve">commonly used in clinical practice </w:t>
      </w:r>
      <w:r w:rsidR="00352403">
        <w:rPr>
          <w:rFonts w:ascii="Times New Roman" w:hAnsi="Times New Roman" w:cs="Times New Roman"/>
          <w:sz w:val="24"/>
          <w:szCs w:val="24"/>
        </w:rPr>
        <w:t xml:space="preserve">to diagnose EMS </w:t>
      </w:r>
      <w:proofErr w:type="gramStart"/>
      <w:r w:rsidRPr="007C79BC">
        <w:rPr>
          <w:rFonts w:ascii="Times New Roman" w:hAnsi="Times New Roman" w:cs="Times New Roman"/>
          <w:sz w:val="24"/>
          <w:szCs w:val="24"/>
        </w:rPr>
        <w:lastRenderedPageBreak/>
        <w:t>(30</w:t>
      </w:r>
      <w:r>
        <w:rPr>
          <w:rFonts w:ascii="Times New Roman" w:hAnsi="Times New Roman" w:cs="Times New Roman"/>
          <w:sz w:val="24"/>
          <w:szCs w:val="24"/>
        </w:rPr>
        <w:t xml:space="preserve"> µIU/m</w:t>
      </w:r>
      <w:r w:rsidR="00DB6AE1">
        <w:rPr>
          <w:rFonts w:ascii="Times New Roman" w:hAnsi="Times New Roman" w:cs="Times New Roman"/>
          <w:sz w:val="24"/>
          <w:szCs w:val="24"/>
        </w:rPr>
        <w:t>L</w:t>
      </w:r>
      <w:r>
        <w:rPr>
          <w:rFonts w:ascii="Times New Roman" w:hAnsi="Times New Roman" w:cs="Times New Roman"/>
          <w:sz w:val="24"/>
          <w:szCs w:val="24"/>
        </w:rPr>
        <w:t xml:space="preserve"> </w:t>
      </w:r>
      <w:r w:rsidR="00352403">
        <w:rPr>
          <w:rFonts w:ascii="Times New Roman" w:hAnsi="Times New Roman" w:cs="Times New Roman"/>
          <w:sz w:val="24"/>
          <w:szCs w:val="24"/>
        </w:rPr>
        <w:t xml:space="preserve">for basal </w:t>
      </w:r>
      <w:r>
        <w:rPr>
          <w:rFonts w:ascii="Times New Roman" w:hAnsi="Times New Roman" w:cs="Times New Roman"/>
          <w:sz w:val="24"/>
          <w:szCs w:val="24"/>
        </w:rPr>
        <w:t>and 100 µIU/m</w:t>
      </w:r>
      <w:r w:rsidR="00DB6AE1">
        <w:rPr>
          <w:rFonts w:ascii="Times New Roman" w:hAnsi="Times New Roman" w:cs="Times New Roman"/>
          <w:sz w:val="24"/>
          <w:szCs w:val="24"/>
        </w:rPr>
        <w:t>L</w:t>
      </w:r>
      <w:r w:rsidR="00352403">
        <w:rPr>
          <w:rFonts w:ascii="Times New Roman" w:hAnsi="Times New Roman" w:cs="Times New Roman"/>
          <w:sz w:val="24"/>
          <w:szCs w:val="24"/>
        </w:rPr>
        <w:t xml:space="preserve"> </w:t>
      </w:r>
      <w:r w:rsidR="001973E8">
        <w:rPr>
          <w:rFonts w:ascii="Times New Roman" w:hAnsi="Times New Roman" w:cs="Times New Roman"/>
          <w:sz w:val="24"/>
          <w:szCs w:val="24"/>
        </w:rPr>
        <w:t>at 45 min during a</w:t>
      </w:r>
      <w:r w:rsidR="00352403">
        <w:rPr>
          <w:rFonts w:ascii="Times New Roman" w:hAnsi="Times New Roman" w:cs="Times New Roman"/>
          <w:sz w:val="24"/>
          <w:szCs w:val="24"/>
        </w:rPr>
        <w:t xml:space="preserve"> combined glucose-insulin tolerance test (CGIT)</w:t>
      </w:r>
      <w:r>
        <w:rPr>
          <w:rFonts w:ascii="Times New Roman" w:hAnsi="Times New Roman" w:cs="Times New Roman"/>
          <w:sz w:val="24"/>
          <w:szCs w:val="24"/>
        </w:rPr>
        <w:t>)</w:t>
      </w:r>
      <w:proofErr w:type="gramEnd"/>
      <w:r>
        <w:rPr>
          <w:rFonts w:ascii="Times New Roman" w:hAnsi="Times New Roman" w:cs="Times New Roman"/>
          <w:sz w:val="24"/>
          <w:szCs w:val="24"/>
        </w:rPr>
        <w:t xml:space="preserve">. Agreement between </w:t>
      </w:r>
      <w:r w:rsidR="00352403">
        <w:rPr>
          <w:rFonts w:ascii="Times New Roman" w:hAnsi="Times New Roman" w:cs="Times New Roman"/>
          <w:sz w:val="24"/>
          <w:szCs w:val="24"/>
        </w:rPr>
        <w:t>groups</w:t>
      </w:r>
      <w:r w:rsidR="00352403" w:rsidRPr="007C79BC">
        <w:rPr>
          <w:rFonts w:ascii="Times New Roman" w:hAnsi="Times New Roman" w:cs="Times New Roman"/>
          <w:sz w:val="24"/>
          <w:szCs w:val="24"/>
        </w:rPr>
        <w:t xml:space="preserve"> </w:t>
      </w:r>
      <w:r w:rsidRPr="007C79BC">
        <w:rPr>
          <w:rFonts w:ascii="Times New Roman" w:hAnsi="Times New Roman" w:cs="Times New Roman"/>
          <w:sz w:val="24"/>
          <w:szCs w:val="24"/>
        </w:rPr>
        <w:t>w</w:t>
      </w:r>
      <w:r w:rsidR="001973E8">
        <w:rPr>
          <w:rFonts w:ascii="Times New Roman" w:hAnsi="Times New Roman" w:cs="Times New Roman"/>
          <w:sz w:val="24"/>
          <w:szCs w:val="24"/>
        </w:rPr>
        <w:t>as</w:t>
      </w:r>
      <w:r w:rsidRPr="007C79BC">
        <w:rPr>
          <w:rFonts w:ascii="Times New Roman" w:hAnsi="Times New Roman" w:cs="Times New Roman"/>
          <w:sz w:val="24"/>
          <w:szCs w:val="24"/>
        </w:rPr>
        <w:t xml:space="preserve"> analysed using Kappa’s measure of agreement.</w:t>
      </w:r>
    </w:p>
    <w:p w14:paraId="10D39DB3" w14:textId="7777777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Measured insulin concentrations ranged from 6.6 </w:t>
      </w:r>
      <w:r>
        <w:rPr>
          <w:rFonts w:ascii="Times New Roman" w:hAnsi="Times New Roman" w:cs="Times New Roman"/>
          <w:sz w:val="24"/>
          <w:szCs w:val="24"/>
        </w:rPr>
        <w:t>– 310 µIU/m</w:t>
      </w:r>
      <w:r w:rsidR="00DB6AE1">
        <w:rPr>
          <w:rFonts w:ascii="Times New Roman" w:hAnsi="Times New Roman" w:cs="Times New Roman"/>
          <w:sz w:val="24"/>
          <w:szCs w:val="24"/>
        </w:rPr>
        <w:t>L</w:t>
      </w:r>
      <w:r>
        <w:rPr>
          <w:rFonts w:ascii="Times New Roman" w:hAnsi="Times New Roman" w:cs="Times New Roman"/>
          <w:sz w:val="24"/>
          <w:szCs w:val="24"/>
        </w:rPr>
        <w:t xml:space="preserve"> (Table 1, Fig.1)</w:t>
      </w:r>
      <w:r w:rsidRPr="007C79BC">
        <w:rPr>
          <w:rFonts w:ascii="Times New Roman" w:hAnsi="Times New Roman" w:cs="Times New Roman"/>
          <w:sz w:val="24"/>
          <w:szCs w:val="24"/>
        </w:rPr>
        <w:t xml:space="preserve">. </w:t>
      </w:r>
      <w:r>
        <w:rPr>
          <w:rFonts w:ascii="Times New Roman" w:hAnsi="Times New Roman" w:cs="Times New Roman"/>
          <w:sz w:val="24"/>
          <w:szCs w:val="24"/>
        </w:rPr>
        <w:t xml:space="preserve">Data analysis is summarised in Table 2. </w:t>
      </w:r>
      <w:r w:rsidRPr="007C79BC">
        <w:rPr>
          <w:rFonts w:ascii="Times New Roman" w:hAnsi="Times New Roman" w:cs="Times New Roman"/>
          <w:sz w:val="24"/>
          <w:szCs w:val="24"/>
        </w:rPr>
        <w:t>Bland Altman analysis (</w:t>
      </w:r>
      <w:r>
        <w:rPr>
          <w:rFonts w:ascii="Times New Roman" w:hAnsi="Times New Roman" w:cs="Times New Roman"/>
          <w:sz w:val="24"/>
          <w:szCs w:val="24"/>
        </w:rPr>
        <w:t>F</w:t>
      </w:r>
      <w:r w:rsidRPr="007C79BC">
        <w:rPr>
          <w:rFonts w:ascii="Times New Roman" w:hAnsi="Times New Roman" w:cs="Times New Roman"/>
          <w:sz w:val="24"/>
          <w:szCs w:val="24"/>
        </w:rPr>
        <w:t>ig</w:t>
      </w:r>
      <w:r>
        <w:rPr>
          <w:rFonts w:ascii="Times New Roman" w:hAnsi="Times New Roman" w:cs="Times New Roman"/>
          <w:sz w:val="24"/>
          <w:szCs w:val="24"/>
        </w:rPr>
        <w:t>.</w:t>
      </w:r>
      <w:r w:rsidRPr="007C79BC">
        <w:rPr>
          <w:rFonts w:ascii="Times New Roman" w:hAnsi="Times New Roman" w:cs="Times New Roman"/>
          <w:sz w:val="24"/>
          <w:szCs w:val="24"/>
        </w:rPr>
        <w:t xml:space="preserve"> </w:t>
      </w:r>
      <w:r>
        <w:rPr>
          <w:rFonts w:ascii="Times New Roman" w:hAnsi="Times New Roman" w:cs="Times New Roman"/>
          <w:sz w:val="24"/>
          <w:szCs w:val="24"/>
        </w:rPr>
        <w:t>2</w:t>
      </w:r>
      <w:r w:rsidRPr="007C79BC">
        <w:rPr>
          <w:rFonts w:ascii="Times New Roman" w:hAnsi="Times New Roman" w:cs="Times New Roman"/>
          <w:sz w:val="24"/>
          <w:szCs w:val="24"/>
        </w:rPr>
        <w:t xml:space="preserve">) showed a very mild bias for all </w:t>
      </w:r>
      <w:r>
        <w:rPr>
          <w:rFonts w:ascii="Times New Roman" w:hAnsi="Times New Roman" w:cs="Times New Roman"/>
          <w:sz w:val="24"/>
          <w:szCs w:val="24"/>
        </w:rPr>
        <w:t>three</w:t>
      </w:r>
      <w:r w:rsidRPr="007C79BC">
        <w:rPr>
          <w:rFonts w:ascii="Times New Roman" w:hAnsi="Times New Roman" w:cs="Times New Roman"/>
          <w:sz w:val="24"/>
          <w:szCs w:val="24"/>
        </w:rPr>
        <w:t xml:space="preserve"> comparisons, however</w:t>
      </w:r>
      <w:r>
        <w:rPr>
          <w:rFonts w:ascii="Times New Roman" w:hAnsi="Times New Roman" w:cs="Times New Roman"/>
          <w:sz w:val="24"/>
          <w:szCs w:val="24"/>
        </w:rPr>
        <w:t>,</w:t>
      </w:r>
      <w:r w:rsidRPr="007C79BC">
        <w:rPr>
          <w:rFonts w:ascii="Times New Roman" w:hAnsi="Times New Roman" w:cs="Times New Roman"/>
          <w:sz w:val="24"/>
          <w:szCs w:val="24"/>
        </w:rPr>
        <w:t xml:space="preserve"> the </w:t>
      </w:r>
      <w:r w:rsidRPr="00327716">
        <w:rPr>
          <w:rFonts w:ascii="Times New Roman" w:hAnsi="Times New Roman" w:cs="Times New Roman"/>
          <w:sz w:val="24"/>
          <w:szCs w:val="24"/>
        </w:rPr>
        <w:t>me</w:t>
      </w:r>
      <w:r>
        <w:rPr>
          <w:rFonts w:ascii="Times New Roman" w:hAnsi="Times New Roman" w:cs="Times New Roman"/>
          <w:sz w:val="24"/>
          <w:szCs w:val="24"/>
        </w:rPr>
        <w:t>an</w:t>
      </w:r>
      <w:r w:rsidRPr="007C79BC">
        <w:rPr>
          <w:rFonts w:ascii="Times New Roman" w:hAnsi="Times New Roman" w:cs="Times New Roman"/>
          <w:sz w:val="24"/>
          <w:szCs w:val="24"/>
        </w:rPr>
        <w:t xml:space="preserve"> difference between </w:t>
      </w:r>
      <w:proofErr w:type="spellStart"/>
      <w:r w:rsidRPr="007C79BC">
        <w:rPr>
          <w:rFonts w:ascii="Times New Roman" w:hAnsi="Times New Roman" w:cs="Times New Roman"/>
          <w:sz w:val="24"/>
          <w:szCs w:val="24"/>
        </w:rPr>
        <w:t>CenRT</w:t>
      </w:r>
      <w:proofErr w:type="spellEnd"/>
      <w:r w:rsidRPr="007C79BC">
        <w:rPr>
          <w:rFonts w:ascii="Times New Roman" w:hAnsi="Times New Roman" w:cs="Times New Roman"/>
          <w:sz w:val="24"/>
          <w:szCs w:val="24"/>
        </w:rPr>
        <w:t xml:space="preserve"> and </w:t>
      </w:r>
      <w:proofErr w:type="spellStart"/>
      <w:r w:rsidRPr="007C79BC">
        <w:rPr>
          <w:rFonts w:ascii="Times New Roman" w:hAnsi="Times New Roman" w:cs="Times New Roman"/>
          <w:sz w:val="24"/>
          <w:szCs w:val="24"/>
        </w:rPr>
        <w:t>RTCen</w:t>
      </w:r>
      <w:proofErr w:type="spellEnd"/>
      <w:r w:rsidRPr="007C79BC">
        <w:rPr>
          <w:rFonts w:ascii="Times New Roman" w:hAnsi="Times New Roman" w:cs="Times New Roman"/>
          <w:sz w:val="24"/>
          <w:szCs w:val="24"/>
        </w:rPr>
        <w:t xml:space="preserve"> (2.16 µIU/m</w:t>
      </w:r>
      <w:r w:rsidR="00DB6AE1">
        <w:rPr>
          <w:rFonts w:ascii="Times New Roman" w:hAnsi="Times New Roman" w:cs="Times New Roman"/>
          <w:sz w:val="24"/>
          <w:szCs w:val="24"/>
        </w:rPr>
        <w:t>L</w:t>
      </w:r>
      <w:r w:rsidRPr="007C79BC">
        <w:rPr>
          <w:rFonts w:ascii="Times New Roman" w:hAnsi="Times New Roman" w:cs="Times New Roman"/>
          <w:sz w:val="24"/>
          <w:szCs w:val="24"/>
        </w:rPr>
        <w:t>) was significantly different from 0</w:t>
      </w:r>
      <w:r>
        <w:rPr>
          <w:rFonts w:ascii="Times New Roman" w:hAnsi="Times New Roman" w:cs="Times New Roman"/>
          <w:sz w:val="24"/>
          <w:szCs w:val="24"/>
        </w:rPr>
        <w:t xml:space="preserve"> (</w:t>
      </w:r>
      <w:r w:rsidRPr="00287E3A">
        <w:rPr>
          <w:rFonts w:ascii="Times New Roman" w:hAnsi="Times New Roman" w:cs="Times New Roman"/>
          <w:i/>
          <w:sz w:val="24"/>
          <w:szCs w:val="24"/>
        </w:rPr>
        <w:t>P</w:t>
      </w:r>
      <w:r w:rsidRPr="007C79BC">
        <w:rPr>
          <w:rFonts w:ascii="Times New Roman" w:hAnsi="Times New Roman" w:cs="Times New Roman"/>
          <w:sz w:val="24"/>
          <w:szCs w:val="24"/>
        </w:rPr>
        <w:t>=0.042)</w:t>
      </w:r>
      <w:r>
        <w:rPr>
          <w:rFonts w:ascii="Times New Roman" w:hAnsi="Times New Roman" w:cs="Times New Roman"/>
          <w:sz w:val="24"/>
          <w:szCs w:val="24"/>
        </w:rPr>
        <w:t xml:space="preserve">. </w:t>
      </w:r>
      <w:r w:rsidRPr="007C79BC">
        <w:rPr>
          <w:rFonts w:ascii="Times New Roman" w:hAnsi="Times New Roman" w:cs="Times New Roman"/>
          <w:sz w:val="24"/>
          <w:szCs w:val="24"/>
        </w:rPr>
        <w:t>The 95% limits of agr</w:t>
      </w:r>
      <w:r>
        <w:rPr>
          <w:rFonts w:ascii="Times New Roman" w:hAnsi="Times New Roman" w:cs="Times New Roman"/>
          <w:sz w:val="24"/>
          <w:szCs w:val="24"/>
        </w:rPr>
        <w:t xml:space="preserve">eement were narrowest for </w:t>
      </w:r>
      <w:proofErr w:type="spellStart"/>
      <w:r w:rsidRPr="007C79BC">
        <w:rPr>
          <w:rFonts w:ascii="Times New Roman" w:hAnsi="Times New Roman" w:cs="Times New Roman"/>
          <w:sz w:val="24"/>
          <w:szCs w:val="24"/>
        </w:rPr>
        <w:t>CenRT</w:t>
      </w:r>
      <w:r>
        <w:rPr>
          <w:rFonts w:ascii="Times New Roman" w:hAnsi="Times New Roman" w:cs="Times New Roman"/>
          <w:sz w:val="24"/>
          <w:szCs w:val="24"/>
        </w:rPr>
        <w:t>-RTCen</w:t>
      </w:r>
      <w:proofErr w:type="spellEnd"/>
      <w:r w:rsidRPr="007C79BC">
        <w:rPr>
          <w:rFonts w:ascii="Times New Roman" w:hAnsi="Times New Roman" w:cs="Times New Roman"/>
          <w:sz w:val="24"/>
          <w:szCs w:val="24"/>
        </w:rPr>
        <w:t xml:space="preserve"> and wider for the </w:t>
      </w:r>
      <w:r>
        <w:rPr>
          <w:rFonts w:ascii="Times New Roman" w:hAnsi="Times New Roman" w:cs="Times New Roman"/>
          <w:sz w:val="24"/>
          <w:szCs w:val="24"/>
        </w:rPr>
        <w:t>other</w:t>
      </w:r>
      <w:r w:rsidRPr="007C79BC">
        <w:rPr>
          <w:rFonts w:ascii="Times New Roman" w:hAnsi="Times New Roman" w:cs="Times New Roman"/>
          <w:sz w:val="24"/>
          <w:szCs w:val="24"/>
        </w:rPr>
        <w:t xml:space="preserve"> comparisons, reaching -21.3 – 20.7 µIU/mL</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CenFr</w:t>
      </w:r>
      <w:proofErr w:type="spellEnd"/>
      <w:r>
        <w:rPr>
          <w:rFonts w:ascii="Times New Roman" w:hAnsi="Times New Roman" w:cs="Times New Roman"/>
          <w:sz w:val="24"/>
          <w:szCs w:val="24"/>
        </w:rPr>
        <w:t>–</w:t>
      </w:r>
      <w:proofErr w:type="spellStart"/>
      <w:r w:rsidRPr="007C79BC">
        <w:rPr>
          <w:rFonts w:ascii="Times New Roman" w:hAnsi="Times New Roman" w:cs="Times New Roman"/>
          <w:sz w:val="24"/>
          <w:szCs w:val="24"/>
        </w:rPr>
        <w:t>CenRT</w:t>
      </w:r>
      <w:proofErr w:type="spellEnd"/>
      <w:r>
        <w:rPr>
          <w:rFonts w:ascii="Times New Roman" w:hAnsi="Times New Roman" w:cs="Times New Roman"/>
          <w:sz w:val="24"/>
          <w:szCs w:val="24"/>
        </w:rPr>
        <w:t xml:space="preserve"> (Fig. 2)</w:t>
      </w:r>
      <w:r w:rsidRPr="007C79BC">
        <w:rPr>
          <w:rFonts w:ascii="Times New Roman" w:hAnsi="Times New Roman" w:cs="Times New Roman"/>
          <w:sz w:val="24"/>
          <w:szCs w:val="24"/>
        </w:rPr>
        <w:t xml:space="preserve">. Linear regression of the Bland Altman plots showed significant proportional bias </w:t>
      </w:r>
      <w:r>
        <w:rPr>
          <w:rFonts w:ascii="Times New Roman" w:hAnsi="Times New Roman" w:cs="Times New Roman"/>
          <w:sz w:val="24"/>
          <w:szCs w:val="24"/>
        </w:rPr>
        <w:t xml:space="preserve">between </w:t>
      </w:r>
      <w:proofErr w:type="spellStart"/>
      <w:r>
        <w:rPr>
          <w:rFonts w:ascii="Times New Roman" w:hAnsi="Times New Roman" w:cs="Times New Roman"/>
          <w:sz w:val="24"/>
          <w:szCs w:val="24"/>
        </w:rPr>
        <w:t>RTCen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CenRT</w:t>
      </w:r>
      <w:proofErr w:type="spellEnd"/>
      <w:r>
        <w:rPr>
          <w:rFonts w:ascii="Times New Roman" w:hAnsi="Times New Roman" w:cs="Times New Roman"/>
          <w:sz w:val="24"/>
          <w:szCs w:val="24"/>
        </w:rPr>
        <w:t xml:space="preserve"> (</w:t>
      </w:r>
      <w:r w:rsidRPr="00287E3A">
        <w:rPr>
          <w:rFonts w:ascii="Times New Roman" w:hAnsi="Times New Roman" w:cs="Times New Roman"/>
          <w:i/>
          <w:sz w:val="24"/>
          <w:szCs w:val="24"/>
        </w:rPr>
        <w:t>P</w:t>
      </w:r>
      <w:r w:rsidRPr="007C79BC">
        <w:rPr>
          <w:rFonts w:ascii="Times New Roman" w:hAnsi="Times New Roman" w:cs="Times New Roman"/>
          <w:sz w:val="24"/>
          <w:szCs w:val="24"/>
        </w:rPr>
        <w:t xml:space="preserve">=0.004). Lin’s concordance correlation coefficient showed almost perfect agreement between all </w:t>
      </w:r>
      <w:r>
        <w:rPr>
          <w:rFonts w:ascii="Times New Roman" w:hAnsi="Times New Roman" w:cs="Times New Roman"/>
          <w:sz w:val="24"/>
          <w:szCs w:val="24"/>
        </w:rPr>
        <w:t>three</w:t>
      </w:r>
      <w:r w:rsidRPr="007C79BC">
        <w:rPr>
          <w:rFonts w:ascii="Times New Roman" w:hAnsi="Times New Roman" w:cs="Times New Roman"/>
          <w:sz w:val="24"/>
          <w:szCs w:val="24"/>
        </w:rPr>
        <w:t xml:space="preserve"> comparisons. For both 30 µIU/m</w:t>
      </w:r>
      <w:r w:rsidR="00DB6AE1">
        <w:rPr>
          <w:rFonts w:ascii="Times New Roman" w:hAnsi="Times New Roman" w:cs="Times New Roman"/>
          <w:sz w:val="24"/>
          <w:szCs w:val="24"/>
        </w:rPr>
        <w:t>L</w:t>
      </w:r>
      <w:r w:rsidRPr="007C79BC">
        <w:rPr>
          <w:rFonts w:ascii="Times New Roman" w:hAnsi="Times New Roman" w:cs="Times New Roman"/>
          <w:sz w:val="24"/>
          <w:szCs w:val="24"/>
        </w:rPr>
        <w:t xml:space="preserve"> and 100 µIU/m</w:t>
      </w:r>
      <w:r w:rsidR="00DB6AE1">
        <w:rPr>
          <w:rFonts w:ascii="Times New Roman" w:hAnsi="Times New Roman" w:cs="Times New Roman"/>
          <w:sz w:val="24"/>
          <w:szCs w:val="24"/>
        </w:rPr>
        <w:t>L</w:t>
      </w:r>
      <w:r w:rsidRPr="007C79BC">
        <w:rPr>
          <w:rFonts w:ascii="Times New Roman" w:hAnsi="Times New Roman" w:cs="Times New Roman"/>
          <w:sz w:val="24"/>
          <w:szCs w:val="24"/>
        </w:rPr>
        <w:t xml:space="preserve"> cut-offs</w:t>
      </w:r>
      <w:r>
        <w:rPr>
          <w:rFonts w:ascii="Times New Roman" w:hAnsi="Times New Roman" w:cs="Times New Roman"/>
          <w:sz w:val="24"/>
          <w:szCs w:val="24"/>
        </w:rPr>
        <w:t xml:space="preserve"> </w:t>
      </w:r>
      <w:r w:rsidRPr="007C79BC">
        <w:rPr>
          <w:rFonts w:ascii="Times New Roman" w:hAnsi="Times New Roman" w:cs="Times New Roman"/>
          <w:sz w:val="24"/>
          <w:szCs w:val="24"/>
        </w:rPr>
        <w:t xml:space="preserve">Kappa’s measure </w:t>
      </w:r>
      <w:r>
        <w:rPr>
          <w:rFonts w:ascii="Times New Roman" w:hAnsi="Times New Roman" w:cs="Times New Roman"/>
          <w:sz w:val="24"/>
          <w:szCs w:val="24"/>
        </w:rPr>
        <w:t>of agreement was perfect (Kappa statistic = 1</w:t>
      </w:r>
      <w:r w:rsidRPr="007C79BC">
        <w:rPr>
          <w:rFonts w:ascii="Times New Roman" w:hAnsi="Times New Roman" w:cs="Times New Roman"/>
          <w:sz w:val="24"/>
          <w:szCs w:val="24"/>
        </w:rPr>
        <w:t>)</w:t>
      </w:r>
      <w:r>
        <w:rPr>
          <w:rFonts w:ascii="Times New Roman" w:hAnsi="Times New Roman" w:cs="Times New Roman"/>
          <w:sz w:val="24"/>
          <w:szCs w:val="24"/>
        </w:rPr>
        <w:t>.</w:t>
      </w:r>
    </w:p>
    <w:p w14:paraId="2155858A" w14:textId="7777777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The agreement between samples in this study support that storage of serum or clotted blood at room temperature </w:t>
      </w:r>
      <w:r>
        <w:rPr>
          <w:rFonts w:ascii="Times New Roman" w:hAnsi="Times New Roman" w:cs="Times New Roman"/>
          <w:sz w:val="24"/>
          <w:szCs w:val="24"/>
        </w:rPr>
        <w:t>for</w:t>
      </w:r>
      <w:r w:rsidRPr="007C79BC">
        <w:rPr>
          <w:rFonts w:ascii="Times New Roman" w:hAnsi="Times New Roman" w:cs="Times New Roman"/>
          <w:sz w:val="24"/>
          <w:szCs w:val="24"/>
        </w:rPr>
        <w:t xml:space="preserve"> 72 h </w:t>
      </w:r>
      <w:r>
        <w:rPr>
          <w:rFonts w:ascii="Times New Roman" w:hAnsi="Times New Roman" w:cs="Times New Roman"/>
          <w:sz w:val="24"/>
          <w:szCs w:val="24"/>
        </w:rPr>
        <w:t>has</w:t>
      </w:r>
      <w:r w:rsidRPr="007C79BC">
        <w:rPr>
          <w:rFonts w:ascii="Times New Roman" w:hAnsi="Times New Roman" w:cs="Times New Roman"/>
          <w:sz w:val="24"/>
          <w:szCs w:val="24"/>
        </w:rPr>
        <w:t xml:space="preserve"> </w:t>
      </w:r>
      <w:r>
        <w:rPr>
          <w:rFonts w:ascii="Times New Roman" w:hAnsi="Times New Roman" w:cs="Times New Roman"/>
          <w:sz w:val="24"/>
          <w:szCs w:val="24"/>
        </w:rPr>
        <w:t>a clinically insignificant</w:t>
      </w:r>
      <w:r w:rsidRPr="007C79BC">
        <w:rPr>
          <w:rFonts w:ascii="Times New Roman" w:hAnsi="Times New Roman" w:cs="Times New Roman"/>
          <w:sz w:val="24"/>
          <w:szCs w:val="24"/>
        </w:rPr>
        <w:t xml:space="preserve"> effect on serum insulin concentration</w:t>
      </w:r>
      <w:r>
        <w:rPr>
          <w:rFonts w:ascii="Times New Roman" w:hAnsi="Times New Roman" w:cs="Times New Roman"/>
          <w:sz w:val="24"/>
          <w:szCs w:val="24"/>
        </w:rPr>
        <w:t>,</w:t>
      </w:r>
      <w:r w:rsidRPr="007C79BC">
        <w:rPr>
          <w:rFonts w:ascii="Times New Roman" w:hAnsi="Times New Roman" w:cs="Times New Roman"/>
          <w:sz w:val="24"/>
          <w:szCs w:val="24"/>
        </w:rPr>
        <w:t xml:space="preserve"> compared to immediate separation and freezing. </w:t>
      </w:r>
    </w:p>
    <w:p w14:paraId="68F0CABC" w14:textId="77777777" w:rsidR="000C34BF" w:rsidRDefault="000C34BF" w:rsidP="00287E3A">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Although the 95% limits of agreement on Bland-Altman plot</w:t>
      </w:r>
      <w:r>
        <w:rPr>
          <w:rFonts w:ascii="Times New Roman" w:hAnsi="Times New Roman" w:cs="Times New Roman"/>
          <w:sz w:val="24"/>
          <w:szCs w:val="24"/>
        </w:rPr>
        <w:t>s</w:t>
      </w:r>
      <w:r w:rsidRPr="007C79BC">
        <w:rPr>
          <w:rFonts w:ascii="Times New Roman" w:hAnsi="Times New Roman" w:cs="Times New Roman"/>
          <w:sz w:val="24"/>
          <w:szCs w:val="24"/>
        </w:rPr>
        <w:t xml:space="preserve"> were quite wide, the mean differences were very small, and the larger variation was consistently found in horses with much higher insulin concentrations. The greatest variation in serum insulin was detected in one outlier with a high insulin</w:t>
      </w:r>
      <w:r w:rsidR="00DB6AE1">
        <w:rPr>
          <w:rFonts w:ascii="Times New Roman" w:hAnsi="Times New Roman" w:cs="Times New Roman"/>
          <w:sz w:val="24"/>
          <w:szCs w:val="24"/>
        </w:rPr>
        <w:t xml:space="preserve"> concentration of 279-310 µIU/</w:t>
      </w:r>
      <w:proofErr w:type="spellStart"/>
      <w:r w:rsidR="00DB6AE1">
        <w:rPr>
          <w:rFonts w:ascii="Times New Roman" w:hAnsi="Times New Roman" w:cs="Times New Roman"/>
          <w:sz w:val="24"/>
          <w:szCs w:val="24"/>
        </w:rPr>
        <w:t>mL</w:t>
      </w:r>
      <w:r>
        <w:rPr>
          <w:rFonts w:ascii="Times New Roman" w:hAnsi="Times New Roman" w:cs="Times New Roman"/>
          <w:sz w:val="24"/>
          <w:szCs w:val="24"/>
        </w:rPr>
        <w:t>.</w:t>
      </w:r>
      <w:proofErr w:type="spellEnd"/>
      <w:r>
        <w:rPr>
          <w:rFonts w:ascii="Times New Roman" w:hAnsi="Times New Roman" w:cs="Times New Roman"/>
          <w:sz w:val="24"/>
          <w:szCs w:val="24"/>
        </w:rPr>
        <w:t xml:space="preserve"> Variation around the </w:t>
      </w:r>
      <w:r w:rsidRPr="007C79BC">
        <w:rPr>
          <w:rFonts w:ascii="Times New Roman" w:hAnsi="Times New Roman" w:cs="Times New Roman"/>
          <w:sz w:val="24"/>
          <w:szCs w:val="24"/>
        </w:rPr>
        <w:t>diagnost</w:t>
      </w:r>
      <w:r>
        <w:rPr>
          <w:rFonts w:ascii="Times New Roman" w:hAnsi="Times New Roman" w:cs="Times New Roman"/>
          <w:sz w:val="24"/>
          <w:szCs w:val="24"/>
        </w:rPr>
        <w:t>ic cut-</w:t>
      </w:r>
      <w:r w:rsidRPr="007C79BC">
        <w:rPr>
          <w:rFonts w:ascii="Times New Roman" w:hAnsi="Times New Roman" w:cs="Times New Roman"/>
          <w:sz w:val="24"/>
          <w:szCs w:val="24"/>
        </w:rPr>
        <w:t xml:space="preserve">off values, which for this laboratory were 30 and </w:t>
      </w:r>
      <w:proofErr w:type="gramStart"/>
      <w:r w:rsidRPr="007C79BC">
        <w:rPr>
          <w:rFonts w:ascii="Times New Roman" w:hAnsi="Times New Roman" w:cs="Times New Roman"/>
          <w:sz w:val="24"/>
          <w:szCs w:val="24"/>
        </w:rPr>
        <w:t>100 µIU/m</w:t>
      </w:r>
      <w:r w:rsidR="00DB6AE1">
        <w:rPr>
          <w:rFonts w:ascii="Times New Roman" w:hAnsi="Times New Roman" w:cs="Times New Roman"/>
          <w:sz w:val="24"/>
          <w:szCs w:val="24"/>
        </w:rPr>
        <w:t>L</w:t>
      </w:r>
      <w:r>
        <w:rPr>
          <w:rFonts w:ascii="Times New Roman" w:hAnsi="Times New Roman" w:cs="Times New Roman"/>
          <w:sz w:val="24"/>
          <w:szCs w:val="24"/>
        </w:rPr>
        <w:t xml:space="preserve"> for basal and dynamic testi</w:t>
      </w:r>
      <w:r w:rsidR="00305376">
        <w:rPr>
          <w:rFonts w:ascii="Times New Roman" w:hAnsi="Times New Roman" w:cs="Times New Roman"/>
          <w:sz w:val="24"/>
          <w:szCs w:val="24"/>
        </w:rPr>
        <w:t>n</w:t>
      </w:r>
      <w:r>
        <w:rPr>
          <w:rFonts w:ascii="Times New Roman" w:hAnsi="Times New Roman" w:cs="Times New Roman"/>
          <w:sz w:val="24"/>
          <w:szCs w:val="24"/>
        </w:rPr>
        <w:t>g, respectively</w:t>
      </w:r>
      <w:r w:rsidRPr="007C79BC">
        <w:rPr>
          <w:rFonts w:ascii="Times New Roman" w:hAnsi="Times New Roman" w:cs="Times New Roman"/>
          <w:sz w:val="24"/>
          <w:szCs w:val="24"/>
        </w:rPr>
        <w:t>,</w:t>
      </w:r>
      <w:proofErr w:type="gramEnd"/>
      <w:r w:rsidRPr="007C79BC">
        <w:rPr>
          <w:rFonts w:ascii="Times New Roman" w:hAnsi="Times New Roman" w:cs="Times New Roman"/>
          <w:sz w:val="24"/>
          <w:szCs w:val="24"/>
        </w:rPr>
        <w:t xml:space="preserve"> were </w:t>
      </w:r>
      <w:r>
        <w:rPr>
          <w:rFonts w:ascii="Times New Roman" w:hAnsi="Times New Roman" w:cs="Times New Roman"/>
          <w:sz w:val="24"/>
          <w:szCs w:val="24"/>
        </w:rPr>
        <w:t>low</w:t>
      </w:r>
      <w:r w:rsidRPr="007C79BC">
        <w:rPr>
          <w:rFonts w:ascii="Times New Roman" w:hAnsi="Times New Roman" w:cs="Times New Roman"/>
          <w:sz w:val="24"/>
          <w:szCs w:val="24"/>
        </w:rPr>
        <w:t xml:space="preserve"> and support the stability of serum insulin concentrations for clinical diagnostic purposes</w:t>
      </w:r>
      <w:r>
        <w:rPr>
          <w:rFonts w:ascii="Times New Roman" w:hAnsi="Times New Roman" w:cs="Times New Roman"/>
          <w:sz w:val="24"/>
          <w:szCs w:val="24"/>
        </w:rPr>
        <w:t xml:space="preserve"> in horses</w:t>
      </w:r>
      <w:r w:rsidRPr="007C79BC">
        <w:rPr>
          <w:rFonts w:ascii="Times New Roman" w:hAnsi="Times New Roman" w:cs="Times New Roman"/>
          <w:sz w:val="24"/>
          <w:szCs w:val="24"/>
        </w:rPr>
        <w:t xml:space="preserve">. </w:t>
      </w:r>
      <w:r>
        <w:rPr>
          <w:rFonts w:ascii="Times New Roman" w:hAnsi="Times New Roman" w:cs="Times New Roman"/>
          <w:sz w:val="24"/>
          <w:szCs w:val="24"/>
        </w:rPr>
        <w:t>T</w:t>
      </w:r>
      <w:r w:rsidRPr="007C79BC">
        <w:rPr>
          <w:rFonts w:ascii="Times New Roman" w:hAnsi="Times New Roman" w:cs="Times New Roman"/>
          <w:sz w:val="24"/>
          <w:szCs w:val="24"/>
        </w:rPr>
        <w:t xml:space="preserve">he mean difference </w:t>
      </w:r>
      <w:r>
        <w:rPr>
          <w:rFonts w:ascii="Times New Roman" w:hAnsi="Times New Roman" w:cs="Times New Roman"/>
          <w:sz w:val="24"/>
          <w:szCs w:val="24"/>
        </w:rPr>
        <w:t>between</w:t>
      </w:r>
      <w:r w:rsidRPr="007C79BC">
        <w:rPr>
          <w:rFonts w:ascii="Times New Roman" w:hAnsi="Times New Roman" w:cs="Times New Roman"/>
          <w:sz w:val="24"/>
          <w:szCs w:val="24"/>
        </w:rPr>
        <w:t xml:space="preserve"> </w:t>
      </w:r>
      <w:proofErr w:type="spellStart"/>
      <w:r w:rsidRPr="007C79BC">
        <w:rPr>
          <w:rFonts w:ascii="Times New Roman" w:hAnsi="Times New Roman" w:cs="Times New Roman"/>
          <w:sz w:val="24"/>
          <w:szCs w:val="24"/>
        </w:rPr>
        <w:t>CenRT</w:t>
      </w:r>
      <w:proofErr w:type="spellEnd"/>
      <w:r w:rsidRPr="007C79BC">
        <w:rPr>
          <w:rFonts w:ascii="Times New Roman" w:hAnsi="Times New Roman" w:cs="Times New Roman"/>
          <w:sz w:val="24"/>
          <w:szCs w:val="24"/>
        </w:rPr>
        <w:t xml:space="preserve"> and </w:t>
      </w:r>
      <w:proofErr w:type="spellStart"/>
      <w:r w:rsidRPr="007C79BC">
        <w:rPr>
          <w:rFonts w:ascii="Times New Roman" w:hAnsi="Times New Roman" w:cs="Times New Roman"/>
          <w:sz w:val="24"/>
          <w:szCs w:val="24"/>
        </w:rPr>
        <w:t>RTcen</w:t>
      </w:r>
      <w:proofErr w:type="spellEnd"/>
      <w:r w:rsidRPr="007C79BC">
        <w:rPr>
          <w:rFonts w:ascii="Times New Roman" w:hAnsi="Times New Roman" w:cs="Times New Roman"/>
          <w:sz w:val="24"/>
          <w:szCs w:val="24"/>
        </w:rPr>
        <w:t xml:space="preserve"> </w:t>
      </w:r>
      <w:r>
        <w:rPr>
          <w:rFonts w:ascii="Times New Roman" w:hAnsi="Times New Roman" w:cs="Times New Roman"/>
          <w:sz w:val="24"/>
          <w:szCs w:val="24"/>
        </w:rPr>
        <w:t>was detected as a significant effect. T</w:t>
      </w:r>
      <w:r w:rsidRPr="007C79BC">
        <w:rPr>
          <w:rFonts w:ascii="Times New Roman" w:hAnsi="Times New Roman" w:cs="Times New Roman"/>
          <w:sz w:val="24"/>
          <w:szCs w:val="24"/>
        </w:rPr>
        <w:t xml:space="preserve">his was associated with a mean difference </w:t>
      </w:r>
      <w:proofErr w:type="gramStart"/>
      <w:r w:rsidRPr="007C79BC">
        <w:rPr>
          <w:rFonts w:ascii="Times New Roman" w:hAnsi="Times New Roman" w:cs="Times New Roman"/>
          <w:sz w:val="24"/>
          <w:szCs w:val="24"/>
        </w:rPr>
        <w:t>of only 2.16 µIU/m</w:t>
      </w:r>
      <w:r w:rsidR="00DB6AE1">
        <w:rPr>
          <w:rFonts w:ascii="Times New Roman" w:hAnsi="Times New Roman" w:cs="Times New Roman"/>
          <w:sz w:val="24"/>
          <w:szCs w:val="24"/>
        </w:rPr>
        <w:t>L</w:t>
      </w:r>
      <w:r>
        <w:rPr>
          <w:rFonts w:ascii="Times New Roman" w:hAnsi="Times New Roman" w:cs="Times New Roman"/>
          <w:sz w:val="24"/>
          <w:szCs w:val="24"/>
        </w:rPr>
        <w:t>,</w:t>
      </w:r>
      <w:proofErr w:type="gramEnd"/>
      <w:r w:rsidRPr="007C79BC">
        <w:rPr>
          <w:rFonts w:ascii="Times New Roman" w:hAnsi="Times New Roman" w:cs="Times New Roman"/>
          <w:sz w:val="24"/>
          <w:szCs w:val="24"/>
        </w:rPr>
        <w:t xml:space="preserve"> which is unlikely to be of clinical significance. </w:t>
      </w:r>
      <w:r>
        <w:rPr>
          <w:rFonts w:ascii="Times New Roman" w:hAnsi="Times New Roman" w:cs="Times New Roman"/>
          <w:sz w:val="24"/>
          <w:szCs w:val="24"/>
        </w:rPr>
        <w:t>This</w:t>
      </w:r>
      <w:r w:rsidRPr="007C79BC">
        <w:rPr>
          <w:rFonts w:ascii="Times New Roman" w:hAnsi="Times New Roman" w:cs="Times New Roman"/>
          <w:sz w:val="24"/>
          <w:szCs w:val="24"/>
        </w:rPr>
        <w:t xml:space="preserve"> </w:t>
      </w:r>
      <w:r w:rsidRPr="007C79BC">
        <w:rPr>
          <w:rFonts w:ascii="Times New Roman" w:hAnsi="Times New Roman" w:cs="Times New Roman"/>
          <w:sz w:val="24"/>
          <w:szCs w:val="24"/>
        </w:rPr>
        <w:lastRenderedPageBreak/>
        <w:t>difference supports that separation of serum helps prevent degradation of insulin</w:t>
      </w:r>
      <w:r>
        <w:rPr>
          <w:rFonts w:ascii="Times New Roman" w:hAnsi="Times New Roman" w:cs="Times New Roman"/>
          <w:sz w:val="24"/>
          <w:szCs w:val="24"/>
        </w:rPr>
        <w:t xml:space="preserve"> and should be performed when possible. </w:t>
      </w:r>
    </w:p>
    <w:p w14:paraId="789E72B3" w14:textId="77777777" w:rsidR="000C34BF" w:rsidRPr="007C79BC" w:rsidRDefault="000C34BF" w:rsidP="00287E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Significant reductions in human insulin concentration have been demonstrated after storage for less than 24 h at room temperature </w:t>
      </w:r>
      <w:r>
        <w:rPr>
          <w:rFonts w:ascii="Times New Roman" w:hAnsi="Times New Roman" w:cs="Times New Roman"/>
          <w:noProof/>
          <w:sz w:val="24"/>
          <w:szCs w:val="24"/>
        </w:rPr>
        <w:t>(Oddoze et al., 2012)</w:t>
      </w:r>
      <w:r>
        <w:rPr>
          <w:rFonts w:ascii="Times New Roman" w:hAnsi="Times New Roman" w:cs="Times New Roman"/>
          <w:sz w:val="24"/>
          <w:szCs w:val="24"/>
        </w:rPr>
        <w:t xml:space="preserve">. Given that </w:t>
      </w:r>
      <w:r w:rsidR="004C7B3F">
        <w:rPr>
          <w:rFonts w:ascii="Times New Roman" w:hAnsi="Times New Roman" w:cs="Times New Roman"/>
          <w:sz w:val="24"/>
          <w:szCs w:val="24"/>
        </w:rPr>
        <w:t xml:space="preserve">human and horse </w:t>
      </w:r>
      <w:r>
        <w:rPr>
          <w:rFonts w:ascii="Times New Roman" w:hAnsi="Times New Roman" w:cs="Times New Roman"/>
          <w:sz w:val="24"/>
          <w:szCs w:val="24"/>
        </w:rPr>
        <w:t xml:space="preserve">insulin show substantial homology </w:t>
      </w:r>
      <w:r w:rsidR="0095513E">
        <w:rPr>
          <w:rFonts w:ascii="Times New Roman" w:hAnsi="Times New Roman" w:cs="Times New Roman"/>
          <w:sz w:val="24"/>
          <w:szCs w:val="24"/>
        </w:rPr>
        <w:t xml:space="preserve">(Conlon, 2001) </w:t>
      </w:r>
      <w:r>
        <w:rPr>
          <w:rFonts w:ascii="Times New Roman" w:hAnsi="Times New Roman" w:cs="Times New Roman"/>
          <w:sz w:val="24"/>
          <w:szCs w:val="24"/>
        </w:rPr>
        <w:t xml:space="preserve">this apparent discrepancy is most likely explained by </w:t>
      </w:r>
      <w:r w:rsidR="006637A9">
        <w:rPr>
          <w:rFonts w:ascii="Times New Roman" w:hAnsi="Times New Roman" w:cs="Times New Roman"/>
          <w:sz w:val="24"/>
          <w:szCs w:val="24"/>
        </w:rPr>
        <w:t>variation</w:t>
      </w:r>
      <w:r>
        <w:rPr>
          <w:rFonts w:ascii="Times New Roman" w:hAnsi="Times New Roman" w:cs="Times New Roman"/>
          <w:sz w:val="24"/>
          <w:szCs w:val="24"/>
        </w:rPr>
        <w:t xml:space="preserve"> in study design (assay and statistical analysis)</w:t>
      </w:r>
      <w:r w:rsidR="004C7B3F">
        <w:rPr>
          <w:rFonts w:ascii="Times New Roman" w:hAnsi="Times New Roman" w:cs="Times New Roman"/>
          <w:sz w:val="24"/>
          <w:szCs w:val="24"/>
        </w:rPr>
        <w:t>, in</w:t>
      </w:r>
      <w:r w:rsidR="0095513E">
        <w:rPr>
          <w:rFonts w:ascii="Times New Roman" w:hAnsi="Times New Roman" w:cs="Times New Roman"/>
          <w:sz w:val="24"/>
          <w:szCs w:val="24"/>
        </w:rPr>
        <w:t xml:space="preserve"> </w:t>
      </w:r>
      <w:r w:rsidR="00DA005A">
        <w:rPr>
          <w:rFonts w:ascii="Times New Roman" w:hAnsi="Times New Roman" w:cs="Times New Roman"/>
          <w:sz w:val="24"/>
          <w:szCs w:val="24"/>
        </w:rPr>
        <w:t xml:space="preserve">the </w:t>
      </w:r>
      <w:r w:rsidR="004C7B3F">
        <w:rPr>
          <w:rFonts w:ascii="Times New Roman" w:hAnsi="Times New Roman" w:cs="Times New Roman"/>
          <w:sz w:val="24"/>
          <w:szCs w:val="24"/>
        </w:rPr>
        <w:t>secondary, tertiary or quaternary structure</w:t>
      </w:r>
      <w:r w:rsidR="00DA005A">
        <w:rPr>
          <w:rFonts w:ascii="Times New Roman" w:hAnsi="Times New Roman" w:cs="Times New Roman"/>
          <w:sz w:val="24"/>
          <w:szCs w:val="24"/>
        </w:rPr>
        <w:t xml:space="preserve"> of the different insulin molecules,</w:t>
      </w:r>
      <w:r w:rsidR="004C7B3F">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C7B3F">
        <w:rPr>
          <w:rFonts w:ascii="Times New Roman" w:hAnsi="Times New Roman" w:cs="Times New Roman"/>
          <w:sz w:val="24"/>
          <w:szCs w:val="24"/>
        </w:rPr>
        <w:t xml:space="preserve">in </w:t>
      </w:r>
      <w:r w:rsidR="00DA005A">
        <w:rPr>
          <w:rFonts w:ascii="Times New Roman" w:hAnsi="Times New Roman" w:cs="Times New Roman"/>
          <w:sz w:val="24"/>
          <w:szCs w:val="24"/>
        </w:rPr>
        <w:t>insulin</w:t>
      </w:r>
      <w:r w:rsidR="0095513E">
        <w:rPr>
          <w:rFonts w:ascii="Times New Roman" w:hAnsi="Times New Roman" w:cs="Times New Roman"/>
          <w:sz w:val="24"/>
          <w:szCs w:val="24"/>
        </w:rPr>
        <w:t xml:space="preserve"> </w:t>
      </w:r>
      <w:r>
        <w:rPr>
          <w:rFonts w:ascii="Times New Roman" w:hAnsi="Times New Roman" w:cs="Times New Roman"/>
          <w:sz w:val="24"/>
          <w:szCs w:val="24"/>
        </w:rPr>
        <w:t xml:space="preserve">stability </w:t>
      </w:r>
      <w:r w:rsidR="004C7B3F">
        <w:rPr>
          <w:rFonts w:ascii="Times New Roman" w:hAnsi="Times New Roman" w:cs="Times New Roman"/>
          <w:sz w:val="24"/>
          <w:szCs w:val="24"/>
        </w:rPr>
        <w:t>offered by</w:t>
      </w:r>
      <w:r>
        <w:rPr>
          <w:rFonts w:ascii="Times New Roman" w:hAnsi="Times New Roman" w:cs="Times New Roman"/>
          <w:sz w:val="24"/>
          <w:szCs w:val="24"/>
        </w:rPr>
        <w:t xml:space="preserve"> </w:t>
      </w:r>
      <w:r w:rsidR="00DA005A">
        <w:rPr>
          <w:rFonts w:ascii="Times New Roman" w:hAnsi="Times New Roman" w:cs="Times New Roman"/>
          <w:sz w:val="24"/>
          <w:szCs w:val="24"/>
        </w:rPr>
        <w:t xml:space="preserve">human and equine </w:t>
      </w:r>
      <w:r w:rsidR="0095513E">
        <w:rPr>
          <w:rFonts w:ascii="Times New Roman" w:hAnsi="Times New Roman" w:cs="Times New Roman"/>
          <w:sz w:val="24"/>
          <w:szCs w:val="24"/>
        </w:rPr>
        <w:t>ser</w:t>
      </w:r>
      <w:r w:rsidR="004C7B3F">
        <w:rPr>
          <w:rFonts w:ascii="Times New Roman" w:hAnsi="Times New Roman" w:cs="Times New Roman"/>
          <w:sz w:val="24"/>
          <w:szCs w:val="24"/>
        </w:rPr>
        <w:t>um</w:t>
      </w:r>
      <w:r>
        <w:rPr>
          <w:rFonts w:ascii="Times New Roman" w:hAnsi="Times New Roman" w:cs="Times New Roman"/>
          <w:sz w:val="24"/>
          <w:szCs w:val="24"/>
        </w:rPr>
        <w:t>.</w:t>
      </w:r>
    </w:p>
    <w:p w14:paraId="71A32626" w14:textId="77777777" w:rsidR="000C34BF" w:rsidRPr="007C79BC" w:rsidRDefault="000C34BF" w:rsidP="009F3DEF">
      <w:pPr>
        <w:spacing w:after="0" w:line="480" w:lineRule="auto"/>
        <w:ind w:firstLine="720"/>
        <w:rPr>
          <w:rFonts w:ascii="Times New Roman" w:hAnsi="Times New Roman" w:cs="Times New Roman"/>
          <w:sz w:val="24"/>
          <w:szCs w:val="24"/>
        </w:rPr>
      </w:pPr>
      <w:r w:rsidRPr="007C79BC">
        <w:rPr>
          <w:rFonts w:ascii="Times New Roman" w:hAnsi="Times New Roman" w:cs="Times New Roman"/>
          <w:sz w:val="24"/>
          <w:szCs w:val="24"/>
        </w:rPr>
        <w:t xml:space="preserve">Although the gold standard for any laboratory assay would be immediate analysis, this is frequently not available to veterinary surgeons in practice. Storage at room temperature for up to </w:t>
      </w:r>
      <w:r>
        <w:rPr>
          <w:rFonts w:ascii="Times New Roman" w:hAnsi="Times New Roman" w:cs="Times New Roman"/>
          <w:sz w:val="24"/>
          <w:szCs w:val="24"/>
        </w:rPr>
        <w:t>72 h, either as serum or whole blood has</w:t>
      </w:r>
      <w:r w:rsidRPr="007C79BC">
        <w:rPr>
          <w:rFonts w:ascii="Times New Roman" w:hAnsi="Times New Roman" w:cs="Times New Roman"/>
          <w:sz w:val="24"/>
          <w:szCs w:val="24"/>
        </w:rPr>
        <w:t xml:space="preserve"> minimal effect </w:t>
      </w:r>
      <w:r>
        <w:rPr>
          <w:rFonts w:ascii="Times New Roman" w:hAnsi="Times New Roman" w:cs="Times New Roman"/>
          <w:sz w:val="24"/>
          <w:szCs w:val="24"/>
        </w:rPr>
        <w:t>on serum insulin concentration compared to immediate separation and freezing. Immediate s</w:t>
      </w:r>
      <w:r w:rsidRPr="007C79BC">
        <w:rPr>
          <w:rFonts w:ascii="Times New Roman" w:hAnsi="Times New Roman" w:cs="Times New Roman"/>
          <w:sz w:val="24"/>
          <w:szCs w:val="24"/>
        </w:rPr>
        <w:t xml:space="preserve">eparation of </w:t>
      </w:r>
      <w:r>
        <w:rPr>
          <w:rFonts w:ascii="Times New Roman" w:hAnsi="Times New Roman" w:cs="Times New Roman"/>
          <w:sz w:val="24"/>
          <w:szCs w:val="24"/>
        </w:rPr>
        <w:t>serum is recommended to prevent a small reduction in measured insulin concentration.</w:t>
      </w:r>
    </w:p>
    <w:p w14:paraId="1AFB7A04" w14:textId="77777777" w:rsidR="000C34BF" w:rsidRDefault="000C34BF" w:rsidP="00E05E6F">
      <w:pPr>
        <w:rPr>
          <w:rFonts w:ascii="Times New Roman" w:hAnsi="Times New Roman" w:cs="Times New Roman"/>
          <w:b/>
          <w:sz w:val="24"/>
          <w:szCs w:val="24"/>
        </w:rPr>
      </w:pPr>
    </w:p>
    <w:p w14:paraId="3C84A8D2" w14:textId="77777777" w:rsidR="000C34BF" w:rsidRPr="0095513E" w:rsidRDefault="000C34BF" w:rsidP="00E05E6F">
      <w:pPr>
        <w:spacing w:line="480" w:lineRule="auto"/>
        <w:rPr>
          <w:rFonts w:ascii="Times New Roman" w:hAnsi="Times New Roman" w:cs="Times New Roman"/>
          <w:b/>
          <w:sz w:val="24"/>
          <w:szCs w:val="24"/>
        </w:rPr>
      </w:pPr>
      <w:r w:rsidRPr="0095513E">
        <w:rPr>
          <w:rFonts w:ascii="Times New Roman" w:hAnsi="Times New Roman" w:cs="Times New Roman"/>
          <w:b/>
          <w:sz w:val="24"/>
          <w:szCs w:val="24"/>
        </w:rPr>
        <w:t>Conflict of interest statement</w:t>
      </w:r>
    </w:p>
    <w:p w14:paraId="484D5110" w14:textId="77777777" w:rsidR="000C34BF" w:rsidRPr="0095513E" w:rsidRDefault="000C34BF" w:rsidP="0095513E">
      <w:pPr>
        <w:spacing w:line="480" w:lineRule="auto"/>
        <w:ind w:firstLine="720"/>
        <w:rPr>
          <w:rFonts w:ascii="Times New Roman" w:hAnsi="Times New Roman" w:cs="Times New Roman"/>
          <w:sz w:val="24"/>
          <w:szCs w:val="24"/>
        </w:rPr>
      </w:pPr>
      <w:r w:rsidRPr="0095513E">
        <w:rPr>
          <w:rFonts w:ascii="Times New Roman" w:hAnsi="Times New Roman" w:cs="Times New Roman"/>
          <w:sz w:val="24"/>
          <w:szCs w:val="24"/>
        </w:rPr>
        <w:t>None of the authors of this paper has a financial or personal relationship with other people or organisations that could inappropriately influence or bias the content of the paper.</w:t>
      </w:r>
    </w:p>
    <w:p w14:paraId="592BA54F" w14:textId="77777777" w:rsidR="000C34BF" w:rsidRPr="007C79BC" w:rsidRDefault="000C34BF" w:rsidP="0095513E">
      <w:pPr>
        <w:spacing w:line="480" w:lineRule="auto"/>
        <w:rPr>
          <w:rFonts w:ascii="Times New Roman" w:hAnsi="Times New Roman" w:cs="Times New Roman"/>
          <w:b/>
          <w:sz w:val="24"/>
          <w:szCs w:val="24"/>
        </w:rPr>
      </w:pPr>
    </w:p>
    <w:p w14:paraId="7A71A103" w14:textId="77777777" w:rsidR="000C34BF" w:rsidRDefault="000C34BF" w:rsidP="0095513E">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743ADDB5" w14:textId="77777777" w:rsidR="0095513E" w:rsidRPr="0095513E" w:rsidRDefault="0095513E" w:rsidP="0095513E">
      <w:pPr>
        <w:spacing w:after="0" w:line="240" w:lineRule="auto"/>
        <w:rPr>
          <w:rFonts w:ascii="Times New Roman" w:hAnsi="Times New Roman" w:cs="Times New Roman"/>
          <w:noProof/>
          <w:sz w:val="24"/>
          <w:szCs w:val="24"/>
        </w:rPr>
      </w:pPr>
    </w:p>
    <w:p w14:paraId="11585F12" w14:textId="77777777" w:rsidR="0095513E" w:rsidRDefault="0095513E" w:rsidP="0095513E">
      <w:pPr>
        <w:spacing w:after="0" w:line="240" w:lineRule="auto"/>
        <w:ind w:left="720" w:hanging="720"/>
        <w:rPr>
          <w:rFonts w:ascii="Times New Roman" w:hAnsi="Times New Roman" w:cs="Times New Roman"/>
          <w:noProof/>
          <w:sz w:val="24"/>
          <w:szCs w:val="24"/>
        </w:rPr>
      </w:pPr>
      <w:r w:rsidRPr="0095513E">
        <w:rPr>
          <w:rFonts w:ascii="Times New Roman" w:hAnsi="Times New Roman" w:cs="Times New Roman"/>
          <w:noProof/>
          <w:sz w:val="24"/>
          <w:szCs w:val="24"/>
        </w:rPr>
        <w:t>Collicutt, N.B., Garner, B., Berghaus, R.D., Camus, M.S., Hart, K., 2015. Effect of delayed serum separation and storage temperature on serum glucose concentration in horse, dog, alpaca, and sturgeon. Veterinary Clinical Pathology 44, 120-127.</w:t>
      </w:r>
    </w:p>
    <w:p w14:paraId="0643E1D3" w14:textId="77777777" w:rsidR="0095513E" w:rsidRPr="0095513E" w:rsidRDefault="0095513E" w:rsidP="0095513E">
      <w:pPr>
        <w:spacing w:after="0" w:line="240" w:lineRule="auto"/>
        <w:rPr>
          <w:rFonts w:ascii="Times New Roman" w:hAnsi="Times New Roman" w:cs="Times New Roman"/>
          <w:noProof/>
          <w:sz w:val="24"/>
          <w:szCs w:val="24"/>
        </w:rPr>
      </w:pPr>
    </w:p>
    <w:p w14:paraId="753B1C8A" w14:textId="77777777" w:rsidR="0095513E" w:rsidRDefault="0095513E" w:rsidP="0095513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Conlon, J. M., 2001. Evolution of the insulin molecule: insights into struture-activity and phylogenetic relationships. Peptides 22, 1183-1193.</w:t>
      </w:r>
    </w:p>
    <w:p w14:paraId="77C2BF82" w14:textId="77777777" w:rsidR="0095513E" w:rsidRDefault="0095513E" w:rsidP="0095513E">
      <w:pPr>
        <w:spacing w:after="0" w:line="240" w:lineRule="auto"/>
        <w:ind w:left="720" w:hanging="720"/>
        <w:rPr>
          <w:rFonts w:ascii="Times New Roman" w:hAnsi="Times New Roman" w:cs="Times New Roman"/>
          <w:noProof/>
          <w:sz w:val="24"/>
          <w:szCs w:val="24"/>
        </w:rPr>
      </w:pPr>
    </w:p>
    <w:p w14:paraId="0539D54B" w14:textId="77777777" w:rsidR="0095513E" w:rsidRPr="0095513E" w:rsidRDefault="0095513E" w:rsidP="0095513E">
      <w:pPr>
        <w:spacing w:after="0" w:line="240" w:lineRule="auto"/>
        <w:ind w:left="720" w:hanging="720"/>
        <w:rPr>
          <w:rFonts w:ascii="Times New Roman" w:hAnsi="Times New Roman" w:cs="Times New Roman"/>
          <w:noProof/>
          <w:sz w:val="24"/>
          <w:szCs w:val="24"/>
        </w:rPr>
      </w:pPr>
      <w:r w:rsidRPr="0095513E">
        <w:rPr>
          <w:rFonts w:ascii="Times New Roman" w:hAnsi="Times New Roman" w:cs="Times New Roman"/>
          <w:noProof/>
          <w:sz w:val="24"/>
          <w:szCs w:val="24"/>
        </w:rPr>
        <w:lastRenderedPageBreak/>
        <w:t>Durham, A.E., McGowan, C.M., Fey, K., Tamzali, Y., van der Kolk, J.H., 2014. Pituitary pars intermedia dysfunction: Diagnosis and treatment. Equine Veterinary Education 26, 216-223.</w:t>
      </w:r>
    </w:p>
    <w:p w14:paraId="16B8437D" w14:textId="77777777" w:rsidR="0095513E" w:rsidRDefault="0095513E" w:rsidP="0095513E">
      <w:pPr>
        <w:spacing w:after="0" w:line="240" w:lineRule="auto"/>
        <w:rPr>
          <w:rFonts w:ascii="Times New Roman" w:hAnsi="Times New Roman" w:cs="Times New Roman"/>
          <w:noProof/>
          <w:sz w:val="24"/>
          <w:szCs w:val="24"/>
        </w:rPr>
      </w:pPr>
    </w:p>
    <w:p w14:paraId="3601D074"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Karikoski, N.P., Horn, I., McGowan, T.W., McGowan, C.M., 2011. The prevalence of endocrinopathic laminitis among horses presented for laminitis at a first-opinion/referral equine hospital. Domestic Animal Endocrinology 41, 111-117.</w:t>
      </w:r>
    </w:p>
    <w:p w14:paraId="7EA6B4E6" w14:textId="77777777" w:rsidR="0095513E" w:rsidRDefault="0095513E" w:rsidP="0095513E">
      <w:pPr>
        <w:spacing w:after="0" w:line="240" w:lineRule="auto"/>
        <w:ind w:left="709" w:hanging="709"/>
        <w:rPr>
          <w:rFonts w:ascii="Times New Roman" w:hAnsi="Times New Roman" w:cs="Times New Roman"/>
          <w:noProof/>
          <w:sz w:val="24"/>
          <w:szCs w:val="24"/>
        </w:rPr>
      </w:pPr>
    </w:p>
    <w:p w14:paraId="5C76D5B0"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McGowan, T.W., Pinchbeck, G.P., McGowan, C.M., 2013. Prevalence, risk factors and clinical signs predictive for equine pituitary pars intermedia dysfunction in aged horses. Equine Veterinary Journal 45, 74-79.</w:t>
      </w:r>
    </w:p>
    <w:p w14:paraId="55F09DC6" w14:textId="77777777" w:rsidR="0095513E" w:rsidRDefault="0095513E" w:rsidP="0095513E">
      <w:pPr>
        <w:spacing w:after="0" w:line="240" w:lineRule="auto"/>
        <w:ind w:left="709" w:hanging="709"/>
        <w:rPr>
          <w:rFonts w:ascii="Times New Roman" w:hAnsi="Times New Roman" w:cs="Times New Roman"/>
          <w:noProof/>
          <w:sz w:val="24"/>
          <w:szCs w:val="24"/>
        </w:rPr>
      </w:pPr>
    </w:p>
    <w:p w14:paraId="0AE190CC"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Morgan, R., Keen, J., McGowan, C., 2015. Equine metabolic syndrome. The Veterinary record 177, 173-179.</w:t>
      </w:r>
    </w:p>
    <w:p w14:paraId="0A7C89C0" w14:textId="77777777" w:rsidR="0095513E" w:rsidRDefault="0095513E" w:rsidP="0095513E">
      <w:pPr>
        <w:spacing w:after="0" w:line="240" w:lineRule="auto"/>
        <w:ind w:left="709" w:hanging="709"/>
        <w:rPr>
          <w:rFonts w:ascii="Times New Roman" w:hAnsi="Times New Roman" w:cs="Times New Roman"/>
          <w:noProof/>
          <w:sz w:val="24"/>
          <w:szCs w:val="24"/>
        </w:rPr>
      </w:pPr>
    </w:p>
    <w:p w14:paraId="66BD4198"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Morgan, R.A., McGowan, T.W., McGowan, C.M., 2014. Prevalence and risk factors for hyperinsulinaemia in ponies in Queensland, Australia. Australian Veterinary Journal 92, 101-106.</w:t>
      </w:r>
    </w:p>
    <w:p w14:paraId="058A62ED" w14:textId="77777777" w:rsidR="0095513E" w:rsidRDefault="0095513E" w:rsidP="0095513E">
      <w:pPr>
        <w:spacing w:after="0" w:line="240" w:lineRule="auto"/>
        <w:ind w:left="709" w:hanging="709"/>
        <w:rPr>
          <w:rFonts w:ascii="Times New Roman" w:hAnsi="Times New Roman" w:cs="Times New Roman"/>
          <w:noProof/>
          <w:sz w:val="24"/>
          <w:szCs w:val="24"/>
        </w:rPr>
      </w:pPr>
    </w:p>
    <w:p w14:paraId="2901D77F"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Oddoze, C., Lombard, E., Portugal, H., 2012. Stability study of 81 analytes in human whole blood, in serum and in plasma. Clinical Biochemistry 45, 464-469.</w:t>
      </w:r>
    </w:p>
    <w:p w14:paraId="46B4DBDB" w14:textId="77777777" w:rsidR="0095513E" w:rsidRDefault="0095513E" w:rsidP="0095513E">
      <w:pPr>
        <w:spacing w:after="0" w:line="240" w:lineRule="auto"/>
        <w:ind w:left="709" w:hanging="709"/>
        <w:rPr>
          <w:rFonts w:ascii="Times New Roman" w:hAnsi="Times New Roman" w:cs="Times New Roman"/>
          <w:noProof/>
          <w:sz w:val="24"/>
          <w:szCs w:val="24"/>
        </w:rPr>
      </w:pPr>
    </w:p>
    <w:p w14:paraId="23634DA8" w14:textId="77777777" w:rsidR="0095513E" w:rsidRPr="0095513E" w:rsidRDefault="0095513E" w:rsidP="0095513E">
      <w:pPr>
        <w:spacing w:after="0"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Prutton, J.S.W., Kass, P.H., Watson, J.L., Pusterla, N., 2015. Pre-analytical stability of adrenocorticotrophic hormone from healthy horses in whole blood, plasma and frozen plasma samples. Veterinary Journal 204, 123-124.</w:t>
      </w:r>
    </w:p>
    <w:p w14:paraId="33A6EB7E" w14:textId="77777777" w:rsidR="0095513E" w:rsidRDefault="0095513E" w:rsidP="0095513E">
      <w:pPr>
        <w:spacing w:line="240" w:lineRule="auto"/>
        <w:ind w:left="709" w:hanging="709"/>
        <w:rPr>
          <w:rFonts w:ascii="Times New Roman" w:hAnsi="Times New Roman" w:cs="Times New Roman"/>
          <w:noProof/>
          <w:sz w:val="24"/>
          <w:szCs w:val="24"/>
        </w:rPr>
      </w:pPr>
    </w:p>
    <w:p w14:paraId="25A502DD" w14:textId="77777777" w:rsidR="0095513E" w:rsidRPr="0095513E" w:rsidRDefault="0095513E" w:rsidP="0095513E">
      <w:pPr>
        <w:spacing w:line="240" w:lineRule="auto"/>
        <w:ind w:left="709" w:hanging="709"/>
        <w:rPr>
          <w:rFonts w:ascii="Times New Roman" w:hAnsi="Times New Roman" w:cs="Times New Roman"/>
          <w:noProof/>
          <w:sz w:val="24"/>
          <w:szCs w:val="24"/>
        </w:rPr>
      </w:pPr>
      <w:r w:rsidRPr="0095513E">
        <w:rPr>
          <w:rFonts w:ascii="Times New Roman" w:hAnsi="Times New Roman" w:cs="Times New Roman"/>
          <w:noProof/>
          <w:sz w:val="24"/>
          <w:szCs w:val="24"/>
        </w:rPr>
        <w:t>Rendle, D.I., Heller, J., Hughes, K.J., Innocent, G.T., Durham, A.E., 2009. Stability of common biochemistry analytes in equine blood stored at room temperature. Equine Veterinary Journal 41, 428-432.</w:t>
      </w:r>
    </w:p>
    <w:p w14:paraId="466B93B4" w14:textId="77777777" w:rsidR="000C34BF" w:rsidRDefault="000C34BF">
      <w:pPr>
        <w:rPr>
          <w:rFonts w:ascii="Times New Roman" w:hAnsi="Times New Roman" w:cs="Times New Roman"/>
          <w:b/>
          <w:sz w:val="24"/>
          <w:szCs w:val="24"/>
        </w:rPr>
      </w:pPr>
      <w:r>
        <w:rPr>
          <w:rFonts w:ascii="Times New Roman" w:hAnsi="Times New Roman" w:cs="Times New Roman"/>
          <w:b/>
          <w:sz w:val="24"/>
          <w:szCs w:val="24"/>
        </w:rPr>
        <w:br w:type="page"/>
      </w:r>
    </w:p>
    <w:p w14:paraId="280E3BCE" w14:textId="77777777" w:rsidR="000C34BF" w:rsidRDefault="000C34BF" w:rsidP="007C79B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Pr="007C79BC">
        <w:rPr>
          <w:rFonts w:ascii="Times New Roman" w:hAnsi="Times New Roman" w:cs="Times New Roman"/>
          <w:b/>
          <w:sz w:val="24"/>
          <w:szCs w:val="24"/>
        </w:rPr>
        <w:t>ables</w:t>
      </w:r>
    </w:p>
    <w:p w14:paraId="45191864" w14:textId="77777777" w:rsidR="000C34BF" w:rsidRPr="004C7B3F" w:rsidRDefault="000C34BF" w:rsidP="003464DE">
      <w:pPr>
        <w:spacing w:after="0" w:line="360" w:lineRule="auto"/>
        <w:rPr>
          <w:rFonts w:ascii="Times New Roman" w:hAnsi="Times New Roman" w:cs="Times New Roman"/>
          <w:b/>
          <w:sz w:val="24"/>
          <w:szCs w:val="24"/>
        </w:rPr>
      </w:pPr>
      <w:r w:rsidRPr="004C7B3F">
        <w:rPr>
          <w:rFonts w:ascii="Times New Roman" w:hAnsi="Times New Roman" w:cs="Times New Roman"/>
          <w:b/>
          <w:sz w:val="24"/>
          <w:szCs w:val="24"/>
        </w:rPr>
        <w:t>Table 1</w:t>
      </w:r>
    </w:p>
    <w:p w14:paraId="6EC983E6" w14:textId="77777777" w:rsidR="000C34BF" w:rsidRPr="007C79BC" w:rsidRDefault="000C34BF" w:rsidP="003464DE">
      <w:pPr>
        <w:spacing w:after="0" w:line="360" w:lineRule="auto"/>
        <w:rPr>
          <w:rFonts w:ascii="Times New Roman" w:hAnsi="Times New Roman" w:cs="Times New Roman"/>
          <w:sz w:val="24"/>
          <w:szCs w:val="24"/>
        </w:rPr>
      </w:pPr>
      <w:proofErr w:type="gramStart"/>
      <w:r w:rsidRPr="007C79BC">
        <w:rPr>
          <w:rFonts w:ascii="Times New Roman" w:hAnsi="Times New Roman" w:cs="Times New Roman"/>
          <w:sz w:val="24"/>
          <w:szCs w:val="24"/>
        </w:rPr>
        <w:t>Summary of ser</w:t>
      </w:r>
      <w:r>
        <w:rPr>
          <w:rFonts w:ascii="Times New Roman" w:hAnsi="Times New Roman" w:cs="Times New Roman"/>
          <w:sz w:val="24"/>
          <w:szCs w:val="24"/>
        </w:rPr>
        <w:t>um insulin concentration after three</w:t>
      </w:r>
      <w:r w:rsidRPr="007C79BC">
        <w:rPr>
          <w:rFonts w:ascii="Times New Roman" w:hAnsi="Times New Roman" w:cs="Times New Roman"/>
          <w:sz w:val="24"/>
          <w:szCs w:val="24"/>
        </w:rPr>
        <w:t xml:space="preserve"> different storage and handling conditions in 14 horses.</w:t>
      </w:r>
      <w:proofErr w:type="gramEnd"/>
    </w:p>
    <w:tbl>
      <w:tblPr>
        <w:tblStyle w:val="TableGrid"/>
        <w:tblW w:w="0" w:type="auto"/>
        <w:tblLook w:val="04A0" w:firstRow="1" w:lastRow="0" w:firstColumn="1" w:lastColumn="0" w:noHBand="0" w:noVBand="1"/>
      </w:tblPr>
      <w:tblGrid>
        <w:gridCol w:w="1442"/>
        <w:gridCol w:w="1443"/>
        <w:gridCol w:w="1443"/>
        <w:gridCol w:w="1443"/>
      </w:tblGrid>
      <w:tr w:rsidR="000C34BF" w:rsidRPr="007C79BC" w14:paraId="64CB8E88" w14:textId="77777777" w:rsidTr="001F0BFD">
        <w:trPr>
          <w:trHeight w:val="317"/>
        </w:trPr>
        <w:tc>
          <w:tcPr>
            <w:tcW w:w="1442" w:type="dxa"/>
            <w:vMerge w:val="restart"/>
          </w:tcPr>
          <w:p w14:paraId="43D60B03" w14:textId="77777777" w:rsidR="000C34BF" w:rsidRPr="007C79BC" w:rsidRDefault="000C34BF" w:rsidP="001F0BFD">
            <w:pPr>
              <w:spacing w:line="360" w:lineRule="auto"/>
              <w:rPr>
                <w:rFonts w:ascii="Times New Roman" w:hAnsi="Times New Roman" w:cs="Times New Roman"/>
                <w:b/>
                <w:sz w:val="24"/>
                <w:szCs w:val="24"/>
              </w:rPr>
            </w:pPr>
          </w:p>
        </w:tc>
        <w:tc>
          <w:tcPr>
            <w:tcW w:w="4329" w:type="dxa"/>
            <w:gridSpan w:val="3"/>
          </w:tcPr>
          <w:p w14:paraId="057140B2" w14:textId="77777777" w:rsidR="000C34BF" w:rsidRPr="007C79BC" w:rsidRDefault="000C34BF" w:rsidP="00DB6AE1">
            <w:pPr>
              <w:spacing w:line="360" w:lineRule="auto"/>
              <w:jc w:val="center"/>
              <w:rPr>
                <w:rFonts w:ascii="Times New Roman" w:hAnsi="Times New Roman" w:cs="Times New Roman"/>
                <w:b/>
                <w:sz w:val="24"/>
                <w:szCs w:val="24"/>
              </w:rPr>
            </w:pPr>
            <w:r w:rsidRPr="007C79BC">
              <w:rPr>
                <w:rFonts w:ascii="Times New Roman" w:hAnsi="Times New Roman" w:cs="Times New Roman"/>
                <w:b/>
                <w:sz w:val="24"/>
                <w:szCs w:val="24"/>
              </w:rPr>
              <w:t>Serum Insulin (µIU/m</w:t>
            </w:r>
            <w:r w:rsidR="00DB6AE1">
              <w:rPr>
                <w:rFonts w:ascii="Times New Roman" w:hAnsi="Times New Roman" w:cs="Times New Roman"/>
                <w:b/>
                <w:sz w:val="24"/>
                <w:szCs w:val="24"/>
              </w:rPr>
              <w:t>L</w:t>
            </w:r>
            <w:r w:rsidRPr="007C79BC">
              <w:rPr>
                <w:rFonts w:ascii="Times New Roman" w:hAnsi="Times New Roman" w:cs="Times New Roman"/>
                <w:b/>
                <w:sz w:val="24"/>
                <w:szCs w:val="24"/>
              </w:rPr>
              <w:t>)</w:t>
            </w:r>
          </w:p>
        </w:tc>
      </w:tr>
      <w:tr w:rsidR="000C34BF" w:rsidRPr="007C79BC" w14:paraId="1A9F0F1A" w14:textId="77777777" w:rsidTr="001F0BFD">
        <w:trPr>
          <w:trHeight w:val="317"/>
        </w:trPr>
        <w:tc>
          <w:tcPr>
            <w:tcW w:w="1442" w:type="dxa"/>
            <w:vMerge/>
          </w:tcPr>
          <w:p w14:paraId="7027D524" w14:textId="77777777" w:rsidR="000C34BF" w:rsidRPr="007C79BC" w:rsidRDefault="000C34BF" w:rsidP="001F0BFD">
            <w:pPr>
              <w:spacing w:line="360" w:lineRule="auto"/>
              <w:rPr>
                <w:rFonts w:ascii="Times New Roman" w:hAnsi="Times New Roman" w:cs="Times New Roman"/>
                <w:b/>
                <w:sz w:val="24"/>
                <w:szCs w:val="24"/>
              </w:rPr>
            </w:pPr>
          </w:p>
        </w:tc>
        <w:tc>
          <w:tcPr>
            <w:tcW w:w="1443" w:type="dxa"/>
          </w:tcPr>
          <w:p w14:paraId="4328A8D5" w14:textId="77777777" w:rsidR="000C34BF" w:rsidRPr="007C79BC" w:rsidRDefault="000C34BF" w:rsidP="001F0BFD">
            <w:pPr>
              <w:spacing w:line="360" w:lineRule="auto"/>
              <w:rPr>
                <w:rFonts w:ascii="Times New Roman" w:hAnsi="Times New Roman" w:cs="Times New Roman"/>
                <w:b/>
                <w:sz w:val="24"/>
                <w:szCs w:val="24"/>
              </w:rPr>
            </w:pPr>
            <w:proofErr w:type="spellStart"/>
            <w:r w:rsidRPr="007C79BC">
              <w:rPr>
                <w:rFonts w:ascii="Times New Roman" w:hAnsi="Times New Roman" w:cs="Times New Roman"/>
                <w:b/>
                <w:sz w:val="24"/>
                <w:szCs w:val="24"/>
              </w:rPr>
              <w:t>CenFr</w:t>
            </w:r>
            <w:proofErr w:type="spellEnd"/>
          </w:p>
        </w:tc>
        <w:tc>
          <w:tcPr>
            <w:tcW w:w="1443" w:type="dxa"/>
          </w:tcPr>
          <w:p w14:paraId="09E1DCCE" w14:textId="77777777" w:rsidR="000C34BF" w:rsidRPr="007C79BC" w:rsidRDefault="000C34BF" w:rsidP="001F0BFD">
            <w:pPr>
              <w:spacing w:line="360" w:lineRule="auto"/>
              <w:rPr>
                <w:rFonts w:ascii="Times New Roman" w:hAnsi="Times New Roman" w:cs="Times New Roman"/>
                <w:b/>
                <w:sz w:val="24"/>
                <w:szCs w:val="24"/>
              </w:rPr>
            </w:pPr>
            <w:proofErr w:type="spellStart"/>
            <w:r w:rsidRPr="007C79BC">
              <w:rPr>
                <w:rFonts w:ascii="Times New Roman" w:hAnsi="Times New Roman" w:cs="Times New Roman"/>
                <w:b/>
                <w:sz w:val="24"/>
                <w:szCs w:val="24"/>
              </w:rPr>
              <w:t>CenRT</w:t>
            </w:r>
            <w:proofErr w:type="spellEnd"/>
          </w:p>
        </w:tc>
        <w:tc>
          <w:tcPr>
            <w:tcW w:w="1443" w:type="dxa"/>
          </w:tcPr>
          <w:p w14:paraId="38E0941E" w14:textId="77777777" w:rsidR="000C34BF" w:rsidRPr="007C79BC" w:rsidRDefault="000C34BF" w:rsidP="001F0BFD">
            <w:pPr>
              <w:spacing w:line="360" w:lineRule="auto"/>
              <w:rPr>
                <w:rFonts w:ascii="Times New Roman" w:hAnsi="Times New Roman" w:cs="Times New Roman"/>
                <w:b/>
                <w:sz w:val="24"/>
                <w:szCs w:val="24"/>
              </w:rPr>
            </w:pPr>
            <w:proofErr w:type="spellStart"/>
            <w:r w:rsidRPr="007C79BC">
              <w:rPr>
                <w:rFonts w:ascii="Times New Roman" w:hAnsi="Times New Roman" w:cs="Times New Roman"/>
                <w:b/>
                <w:sz w:val="24"/>
                <w:szCs w:val="24"/>
              </w:rPr>
              <w:t>RTCen</w:t>
            </w:r>
            <w:proofErr w:type="spellEnd"/>
          </w:p>
        </w:tc>
      </w:tr>
      <w:tr w:rsidR="000C34BF" w:rsidRPr="007C79BC" w14:paraId="688C8ABF" w14:textId="77777777" w:rsidTr="001F0BFD">
        <w:trPr>
          <w:trHeight w:val="246"/>
        </w:trPr>
        <w:tc>
          <w:tcPr>
            <w:tcW w:w="1442" w:type="dxa"/>
            <w:vAlign w:val="center"/>
          </w:tcPr>
          <w:p w14:paraId="631327DE" w14:textId="77777777" w:rsidR="000C34BF" w:rsidRPr="007C79BC" w:rsidRDefault="000C34BF" w:rsidP="001F0BFD">
            <w:pPr>
              <w:rPr>
                <w:rFonts w:ascii="Times New Roman" w:hAnsi="Times New Roman" w:cs="Times New Roman"/>
                <w:sz w:val="20"/>
                <w:szCs w:val="20"/>
              </w:rPr>
            </w:pPr>
            <w:r w:rsidRPr="007C79BC">
              <w:rPr>
                <w:rFonts w:ascii="Times New Roman" w:hAnsi="Times New Roman" w:cs="Times New Roman"/>
                <w:sz w:val="20"/>
                <w:szCs w:val="20"/>
              </w:rPr>
              <w:t>Median</w:t>
            </w:r>
          </w:p>
        </w:tc>
        <w:tc>
          <w:tcPr>
            <w:tcW w:w="1443" w:type="dxa"/>
            <w:vAlign w:val="center"/>
          </w:tcPr>
          <w:p w14:paraId="70ED5E2A"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49.5</w:t>
            </w:r>
          </w:p>
        </w:tc>
        <w:tc>
          <w:tcPr>
            <w:tcW w:w="1443" w:type="dxa"/>
            <w:vAlign w:val="center"/>
          </w:tcPr>
          <w:p w14:paraId="5D426E63"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50.0</w:t>
            </w:r>
          </w:p>
        </w:tc>
        <w:tc>
          <w:tcPr>
            <w:tcW w:w="1443" w:type="dxa"/>
            <w:vAlign w:val="center"/>
          </w:tcPr>
          <w:p w14:paraId="5891B2FD"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47.0</w:t>
            </w:r>
          </w:p>
        </w:tc>
      </w:tr>
      <w:tr w:rsidR="000C34BF" w:rsidRPr="007C79BC" w14:paraId="1310946C" w14:textId="77777777" w:rsidTr="001F0BFD">
        <w:trPr>
          <w:trHeight w:val="257"/>
        </w:trPr>
        <w:tc>
          <w:tcPr>
            <w:tcW w:w="1442" w:type="dxa"/>
            <w:vAlign w:val="center"/>
          </w:tcPr>
          <w:p w14:paraId="72B39E5F" w14:textId="77777777" w:rsidR="000C34BF" w:rsidRPr="007C79BC" w:rsidRDefault="000C34BF" w:rsidP="001F0BFD">
            <w:pPr>
              <w:rPr>
                <w:rFonts w:ascii="Times New Roman" w:hAnsi="Times New Roman" w:cs="Times New Roman"/>
                <w:sz w:val="20"/>
                <w:szCs w:val="20"/>
              </w:rPr>
            </w:pPr>
            <w:r w:rsidRPr="007C79BC">
              <w:rPr>
                <w:rFonts w:ascii="Times New Roman" w:hAnsi="Times New Roman" w:cs="Times New Roman"/>
                <w:sz w:val="20"/>
                <w:szCs w:val="20"/>
              </w:rPr>
              <w:t>Interquartile range</w:t>
            </w:r>
          </w:p>
        </w:tc>
        <w:tc>
          <w:tcPr>
            <w:tcW w:w="1443" w:type="dxa"/>
            <w:vAlign w:val="center"/>
          </w:tcPr>
          <w:p w14:paraId="6FCF8C4F"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20.3 – 127.8</w:t>
            </w:r>
          </w:p>
        </w:tc>
        <w:tc>
          <w:tcPr>
            <w:tcW w:w="1443" w:type="dxa"/>
            <w:vAlign w:val="center"/>
          </w:tcPr>
          <w:p w14:paraId="08469ED3"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18.7 – 124.8</w:t>
            </w:r>
          </w:p>
        </w:tc>
        <w:tc>
          <w:tcPr>
            <w:tcW w:w="1443" w:type="dxa"/>
            <w:vAlign w:val="center"/>
          </w:tcPr>
          <w:p w14:paraId="1847BC54"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18.5 – 120.8</w:t>
            </w:r>
          </w:p>
        </w:tc>
      </w:tr>
      <w:tr w:rsidR="000C34BF" w:rsidRPr="007C79BC" w14:paraId="321DDC45" w14:textId="77777777" w:rsidTr="001F0BFD">
        <w:trPr>
          <w:trHeight w:val="246"/>
        </w:trPr>
        <w:tc>
          <w:tcPr>
            <w:tcW w:w="1442" w:type="dxa"/>
            <w:vAlign w:val="center"/>
          </w:tcPr>
          <w:p w14:paraId="7E1AA5A8" w14:textId="77777777" w:rsidR="000C34BF" w:rsidRPr="007C79BC" w:rsidRDefault="000C34BF" w:rsidP="001F0BFD">
            <w:pPr>
              <w:rPr>
                <w:rFonts w:ascii="Times New Roman" w:hAnsi="Times New Roman" w:cs="Times New Roman"/>
                <w:sz w:val="20"/>
                <w:szCs w:val="20"/>
              </w:rPr>
            </w:pPr>
            <w:r w:rsidRPr="007C79BC">
              <w:rPr>
                <w:rFonts w:ascii="Times New Roman" w:hAnsi="Times New Roman" w:cs="Times New Roman"/>
                <w:sz w:val="20"/>
                <w:szCs w:val="20"/>
              </w:rPr>
              <w:t>Range</w:t>
            </w:r>
          </w:p>
        </w:tc>
        <w:tc>
          <w:tcPr>
            <w:tcW w:w="1443" w:type="dxa"/>
            <w:vAlign w:val="center"/>
          </w:tcPr>
          <w:p w14:paraId="5F522799"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7.2 - 279</w:t>
            </w:r>
          </w:p>
        </w:tc>
        <w:tc>
          <w:tcPr>
            <w:tcW w:w="1443" w:type="dxa"/>
            <w:vAlign w:val="center"/>
          </w:tcPr>
          <w:p w14:paraId="6DC6054D"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7 - 310</w:t>
            </w:r>
          </w:p>
        </w:tc>
        <w:tc>
          <w:tcPr>
            <w:tcW w:w="1443" w:type="dxa"/>
            <w:vAlign w:val="center"/>
          </w:tcPr>
          <w:p w14:paraId="60C64A50" w14:textId="77777777" w:rsidR="000C34BF" w:rsidRPr="007C79BC" w:rsidRDefault="000C34BF" w:rsidP="001F0BFD">
            <w:pPr>
              <w:spacing w:line="360" w:lineRule="auto"/>
              <w:rPr>
                <w:rFonts w:ascii="Times New Roman" w:hAnsi="Times New Roman" w:cs="Times New Roman"/>
                <w:bCs/>
                <w:sz w:val="24"/>
                <w:szCs w:val="24"/>
              </w:rPr>
            </w:pPr>
            <w:r w:rsidRPr="007C79BC">
              <w:rPr>
                <w:rFonts w:ascii="Times New Roman" w:hAnsi="Times New Roman" w:cs="Times New Roman"/>
                <w:sz w:val="20"/>
                <w:szCs w:val="20"/>
              </w:rPr>
              <w:t>6.6 - 299</w:t>
            </w:r>
          </w:p>
        </w:tc>
      </w:tr>
    </w:tbl>
    <w:p w14:paraId="3E980A8C" w14:textId="77777777" w:rsidR="000C34BF" w:rsidRDefault="000C34BF" w:rsidP="007C79BC">
      <w:pPr>
        <w:spacing w:after="0" w:line="360" w:lineRule="auto"/>
        <w:rPr>
          <w:rFonts w:ascii="Times New Roman" w:hAnsi="Times New Roman" w:cs="Times New Roman"/>
          <w:i/>
          <w:sz w:val="24"/>
          <w:szCs w:val="24"/>
        </w:rPr>
      </w:pPr>
    </w:p>
    <w:p w14:paraId="69D981A3" w14:textId="77777777" w:rsidR="000C34BF" w:rsidRPr="00287E3A" w:rsidRDefault="000C34BF" w:rsidP="007C79BC">
      <w:pPr>
        <w:spacing w:after="0" w:line="360" w:lineRule="auto"/>
        <w:rPr>
          <w:rFonts w:ascii="Times New Roman" w:hAnsi="Times New Roman" w:cs="Times New Roman"/>
          <w:sz w:val="24"/>
          <w:szCs w:val="24"/>
        </w:rPr>
      </w:pPr>
      <w:proofErr w:type="spellStart"/>
      <w:r w:rsidRPr="00287E3A">
        <w:rPr>
          <w:rFonts w:ascii="Times New Roman" w:hAnsi="Times New Roman" w:cs="Times New Roman"/>
          <w:i/>
          <w:sz w:val="24"/>
          <w:szCs w:val="24"/>
        </w:rPr>
        <w:t>CenRT</w:t>
      </w:r>
      <w:proofErr w:type="spellEnd"/>
      <w:r w:rsidRPr="00287E3A">
        <w:rPr>
          <w:rFonts w:ascii="Times New Roman" w:hAnsi="Times New Roman" w:cs="Times New Roman"/>
          <w:i/>
          <w:sz w:val="24"/>
          <w:szCs w:val="24"/>
        </w:rPr>
        <w:t xml:space="preserve">, centrifuged and serum maintained at 22°C for 72 h; </w:t>
      </w:r>
      <w:proofErr w:type="spellStart"/>
      <w:r w:rsidRPr="00287E3A">
        <w:rPr>
          <w:rFonts w:ascii="Times New Roman" w:hAnsi="Times New Roman" w:cs="Times New Roman"/>
          <w:i/>
          <w:sz w:val="24"/>
          <w:szCs w:val="24"/>
        </w:rPr>
        <w:t>CenFr</w:t>
      </w:r>
      <w:proofErr w:type="spellEnd"/>
      <w:r w:rsidRPr="00287E3A">
        <w:rPr>
          <w:rFonts w:ascii="Times New Roman" w:hAnsi="Times New Roman" w:cs="Times New Roman"/>
          <w:i/>
          <w:sz w:val="24"/>
          <w:szCs w:val="24"/>
        </w:rPr>
        <w:t xml:space="preserve"> centrifuged and ser</w:t>
      </w:r>
      <w:r w:rsidR="00305376">
        <w:rPr>
          <w:rFonts w:ascii="Times New Roman" w:hAnsi="Times New Roman" w:cs="Times New Roman"/>
          <w:i/>
          <w:sz w:val="24"/>
          <w:szCs w:val="24"/>
        </w:rPr>
        <w:t>um immediately frozen at -20 °C</w:t>
      </w:r>
      <w:r w:rsidRPr="00287E3A">
        <w:rPr>
          <w:rFonts w:ascii="Times New Roman" w:hAnsi="Times New Roman" w:cs="Times New Roman"/>
          <w:i/>
          <w:sz w:val="24"/>
          <w:szCs w:val="24"/>
        </w:rPr>
        <w:t xml:space="preserve">; </w:t>
      </w:r>
      <w:proofErr w:type="spellStart"/>
      <w:r w:rsidRPr="00287E3A">
        <w:rPr>
          <w:rFonts w:ascii="Times New Roman" w:hAnsi="Times New Roman" w:cs="Times New Roman"/>
          <w:i/>
          <w:sz w:val="24"/>
          <w:szCs w:val="24"/>
        </w:rPr>
        <w:t>RTCen</w:t>
      </w:r>
      <w:proofErr w:type="spellEnd"/>
      <w:r w:rsidRPr="00287E3A">
        <w:rPr>
          <w:rFonts w:ascii="Times New Roman" w:hAnsi="Times New Roman" w:cs="Times New Roman"/>
          <w:i/>
          <w:sz w:val="24"/>
          <w:szCs w:val="24"/>
        </w:rPr>
        <w:t xml:space="preserve"> unseparated sample maintained at 22°C for 72 h</w:t>
      </w:r>
    </w:p>
    <w:p w14:paraId="584F2FD1" w14:textId="77777777" w:rsidR="000C34BF" w:rsidRDefault="000C34BF" w:rsidP="003464DE">
      <w:pPr>
        <w:spacing w:after="0" w:line="360" w:lineRule="auto"/>
        <w:rPr>
          <w:rFonts w:ascii="Times New Roman" w:hAnsi="Times New Roman" w:cs="Times New Roman"/>
          <w:sz w:val="24"/>
          <w:szCs w:val="24"/>
        </w:rPr>
      </w:pPr>
    </w:p>
    <w:p w14:paraId="42360B69" w14:textId="77777777" w:rsidR="003771F7" w:rsidRDefault="003771F7" w:rsidP="003464DE">
      <w:pPr>
        <w:spacing w:after="0" w:line="360" w:lineRule="auto"/>
        <w:rPr>
          <w:rFonts w:ascii="Times New Roman" w:hAnsi="Times New Roman" w:cs="Times New Roman"/>
          <w:sz w:val="24"/>
          <w:szCs w:val="24"/>
        </w:rPr>
      </w:pPr>
    </w:p>
    <w:p w14:paraId="499FFCE7" w14:textId="77777777" w:rsidR="003771F7" w:rsidRDefault="003771F7" w:rsidP="003464DE">
      <w:pPr>
        <w:spacing w:after="0" w:line="360" w:lineRule="auto"/>
        <w:rPr>
          <w:rFonts w:ascii="Times New Roman" w:hAnsi="Times New Roman" w:cs="Times New Roman"/>
          <w:sz w:val="24"/>
          <w:szCs w:val="24"/>
        </w:rPr>
      </w:pPr>
    </w:p>
    <w:p w14:paraId="70EA4A73" w14:textId="77777777" w:rsidR="000C34BF" w:rsidRPr="004C7B3F" w:rsidRDefault="000C34BF" w:rsidP="003464DE">
      <w:pPr>
        <w:spacing w:after="0" w:line="360" w:lineRule="auto"/>
        <w:rPr>
          <w:rFonts w:ascii="Times New Roman" w:hAnsi="Times New Roman" w:cs="Times New Roman"/>
          <w:b/>
          <w:sz w:val="24"/>
          <w:szCs w:val="24"/>
        </w:rPr>
      </w:pPr>
      <w:r w:rsidRPr="004C7B3F">
        <w:rPr>
          <w:rFonts w:ascii="Times New Roman" w:hAnsi="Times New Roman" w:cs="Times New Roman"/>
          <w:b/>
          <w:sz w:val="24"/>
          <w:szCs w:val="24"/>
        </w:rPr>
        <w:t xml:space="preserve">Table 2 </w:t>
      </w:r>
    </w:p>
    <w:p w14:paraId="673722B3" w14:textId="60401F57" w:rsidR="000C34BF" w:rsidRPr="003464DE" w:rsidRDefault="000C34BF" w:rsidP="003464DE">
      <w:pPr>
        <w:spacing w:after="0" w:line="360" w:lineRule="auto"/>
        <w:rPr>
          <w:rFonts w:ascii="Times New Roman" w:hAnsi="Times New Roman" w:cs="Times New Roman"/>
          <w:sz w:val="24"/>
          <w:szCs w:val="24"/>
        </w:rPr>
      </w:pPr>
      <w:r w:rsidRPr="007C79BC">
        <w:rPr>
          <w:rFonts w:ascii="Times New Roman" w:hAnsi="Times New Roman" w:cs="Times New Roman"/>
          <w:sz w:val="24"/>
          <w:szCs w:val="24"/>
        </w:rPr>
        <w:t>Comparison of seru</w:t>
      </w:r>
      <w:r>
        <w:rPr>
          <w:rFonts w:ascii="Times New Roman" w:hAnsi="Times New Roman" w:cs="Times New Roman"/>
          <w:sz w:val="24"/>
          <w:szCs w:val="24"/>
        </w:rPr>
        <w:t>m insulin concentrations after three</w:t>
      </w:r>
      <w:r w:rsidRPr="007C79BC">
        <w:rPr>
          <w:rFonts w:ascii="Times New Roman" w:hAnsi="Times New Roman" w:cs="Times New Roman"/>
          <w:sz w:val="24"/>
          <w:szCs w:val="24"/>
        </w:rPr>
        <w:t xml:space="preserve"> different storage and handling conditions, using Linn’s concordance correlation coefficient, Bland Altman analysis and Kappa’s measure of agreement for cut-offs of 30µIU/ml and 100µIU/ml.</w:t>
      </w:r>
    </w:p>
    <w:tbl>
      <w:tblPr>
        <w:tblStyle w:val="TableGrid"/>
        <w:tblW w:w="0" w:type="auto"/>
        <w:tblLook w:val="04A0" w:firstRow="1" w:lastRow="0" w:firstColumn="1" w:lastColumn="0" w:noHBand="0" w:noVBand="1"/>
      </w:tblPr>
      <w:tblGrid>
        <w:gridCol w:w="1856"/>
        <w:gridCol w:w="1858"/>
        <w:gridCol w:w="1797"/>
        <w:gridCol w:w="1789"/>
        <w:gridCol w:w="1716"/>
      </w:tblGrid>
      <w:tr w:rsidR="000C34BF" w:rsidRPr="007C79BC" w14:paraId="5F701017" w14:textId="77777777" w:rsidTr="003771F7">
        <w:tc>
          <w:tcPr>
            <w:tcW w:w="3714" w:type="dxa"/>
            <w:gridSpan w:val="2"/>
          </w:tcPr>
          <w:p w14:paraId="493B0FDC" w14:textId="77777777" w:rsidR="000C34BF" w:rsidRPr="007C79BC" w:rsidRDefault="000C34BF" w:rsidP="001F0BFD">
            <w:pPr>
              <w:spacing w:line="360" w:lineRule="auto"/>
              <w:rPr>
                <w:rFonts w:ascii="Times New Roman" w:hAnsi="Times New Roman" w:cs="Times New Roman"/>
                <w:b/>
                <w:sz w:val="24"/>
                <w:szCs w:val="24"/>
                <w:u w:val="single"/>
              </w:rPr>
            </w:pPr>
          </w:p>
        </w:tc>
        <w:tc>
          <w:tcPr>
            <w:tcW w:w="1797" w:type="dxa"/>
          </w:tcPr>
          <w:p w14:paraId="79DC34CC" w14:textId="16FF2985" w:rsidR="000C34BF" w:rsidRPr="007C79BC" w:rsidRDefault="00FB16B0" w:rsidP="00FB16B0">
            <w:pPr>
              <w:spacing w:line="360" w:lineRule="auto"/>
              <w:rPr>
                <w:rFonts w:ascii="Times New Roman" w:hAnsi="Times New Roman" w:cs="Times New Roman"/>
                <w:b/>
                <w:sz w:val="24"/>
                <w:szCs w:val="24"/>
                <w:u w:val="single"/>
              </w:rPr>
            </w:pPr>
            <w:proofErr w:type="spellStart"/>
            <w:r w:rsidRPr="007C79BC">
              <w:rPr>
                <w:rFonts w:ascii="Times New Roman" w:hAnsi="Times New Roman" w:cs="Times New Roman"/>
                <w:b/>
                <w:sz w:val="24"/>
                <w:szCs w:val="24"/>
                <w:u w:val="single"/>
              </w:rPr>
              <w:t>CenFr</w:t>
            </w:r>
            <w:proofErr w:type="spellEnd"/>
            <w:r w:rsidRPr="007C79BC">
              <w:rPr>
                <w:rFonts w:ascii="Times New Roman" w:hAnsi="Times New Roman" w:cs="Times New Roman"/>
                <w:b/>
                <w:sz w:val="24"/>
                <w:szCs w:val="24"/>
                <w:u w:val="single"/>
              </w:rPr>
              <w:t xml:space="preserve"> – </w:t>
            </w:r>
            <w:proofErr w:type="spellStart"/>
            <w:r w:rsidRPr="007C79BC">
              <w:rPr>
                <w:rFonts w:ascii="Times New Roman" w:hAnsi="Times New Roman" w:cs="Times New Roman"/>
                <w:b/>
                <w:sz w:val="24"/>
                <w:szCs w:val="24"/>
                <w:u w:val="single"/>
              </w:rPr>
              <w:t>RTCen</w:t>
            </w:r>
            <w:proofErr w:type="spellEnd"/>
            <w:r w:rsidRPr="007C79BC">
              <w:rPr>
                <w:rFonts w:ascii="Times New Roman" w:hAnsi="Times New Roman" w:cs="Times New Roman"/>
                <w:b/>
                <w:sz w:val="24"/>
                <w:szCs w:val="24"/>
                <w:u w:val="single"/>
              </w:rPr>
              <w:t xml:space="preserve"> </w:t>
            </w:r>
          </w:p>
        </w:tc>
        <w:tc>
          <w:tcPr>
            <w:tcW w:w="1789" w:type="dxa"/>
          </w:tcPr>
          <w:p w14:paraId="0FE27A10" w14:textId="55E88FC8" w:rsidR="000C34BF" w:rsidRPr="007C79BC" w:rsidRDefault="00FB16B0" w:rsidP="001F0BFD">
            <w:pPr>
              <w:spacing w:line="360" w:lineRule="auto"/>
              <w:rPr>
                <w:rFonts w:ascii="Times New Roman" w:hAnsi="Times New Roman" w:cs="Times New Roman"/>
                <w:b/>
                <w:sz w:val="24"/>
                <w:szCs w:val="24"/>
                <w:u w:val="single"/>
              </w:rPr>
            </w:pPr>
            <w:r w:rsidRPr="007C79BC">
              <w:rPr>
                <w:rFonts w:ascii="Times New Roman" w:hAnsi="Times New Roman" w:cs="Times New Roman"/>
                <w:b/>
                <w:sz w:val="24"/>
                <w:szCs w:val="24"/>
                <w:u w:val="single"/>
              </w:rPr>
              <w:t xml:space="preserve"> </w:t>
            </w:r>
            <w:proofErr w:type="spellStart"/>
            <w:r w:rsidR="00AC0E9B">
              <w:rPr>
                <w:rFonts w:ascii="Times New Roman" w:hAnsi="Times New Roman" w:cs="Times New Roman"/>
                <w:b/>
                <w:sz w:val="24"/>
                <w:szCs w:val="24"/>
                <w:u w:val="single"/>
              </w:rPr>
              <w:t>CenFR-</w:t>
            </w:r>
            <w:r w:rsidRPr="007C79BC">
              <w:rPr>
                <w:rFonts w:ascii="Times New Roman" w:hAnsi="Times New Roman" w:cs="Times New Roman"/>
                <w:b/>
                <w:sz w:val="24"/>
                <w:szCs w:val="24"/>
                <w:u w:val="single"/>
              </w:rPr>
              <w:t>Ce</w:t>
            </w:r>
            <w:r w:rsidR="00AC0E9B">
              <w:rPr>
                <w:rFonts w:ascii="Times New Roman" w:hAnsi="Times New Roman" w:cs="Times New Roman"/>
                <w:b/>
                <w:sz w:val="24"/>
                <w:szCs w:val="24"/>
                <w:u w:val="single"/>
              </w:rPr>
              <w:t>nRT</w:t>
            </w:r>
            <w:proofErr w:type="spellEnd"/>
            <w:r w:rsidR="00AC0E9B">
              <w:rPr>
                <w:rFonts w:ascii="Times New Roman" w:hAnsi="Times New Roman" w:cs="Times New Roman"/>
                <w:b/>
                <w:sz w:val="24"/>
                <w:szCs w:val="24"/>
                <w:u w:val="single"/>
              </w:rPr>
              <w:t xml:space="preserve"> -</w:t>
            </w:r>
          </w:p>
        </w:tc>
        <w:tc>
          <w:tcPr>
            <w:tcW w:w="1716" w:type="dxa"/>
          </w:tcPr>
          <w:p w14:paraId="7E716657" w14:textId="77777777" w:rsidR="000C34BF" w:rsidRPr="007C79BC" w:rsidRDefault="000C34BF" w:rsidP="001F0BFD">
            <w:pPr>
              <w:spacing w:line="360" w:lineRule="auto"/>
              <w:rPr>
                <w:rFonts w:ascii="Times New Roman" w:hAnsi="Times New Roman" w:cs="Times New Roman"/>
                <w:b/>
                <w:sz w:val="24"/>
                <w:szCs w:val="24"/>
                <w:u w:val="single"/>
              </w:rPr>
            </w:pPr>
            <w:proofErr w:type="spellStart"/>
            <w:r w:rsidRPr="007C79BC">
              <w:rPr>
                <w:rFonts w:ascii="Times New Roman" w:hAnsi="Times New Roman" w:cs="Times New Roman"/>
                <w:b/>
                <w:sz w:val="24"/>
                <w:szCs w:val="24"/>
                <w:u w:val="single"/>
              </w:rPr>
              <w:t>CenRT</w:t>
            </w:r>
            <w:proofErr w:type="spellEnd"/>
            <w:r w:rsidRPr="007C79BC">
              <w:rPr>
                <w:rFonts w:ascii="Times New Roman" w:hAnsi="Times New Roman" w:cs="Times New Roman"/>
                <w:b/>
                <w:sz w:val="24"/>
                <w:szCs w:val="24"/>
                <w:u w:val="single"/>
              </w:rPr>
              <w:t xml:space="preserve"> - </w:t>
            </w:r>
            <w:proofErr w:type="spellStart"/>
            <w:r w:rsidRPr="007C79BC">
              <w:rPr>
                <w:rFonts w:ascii="Times New Roman" w:hAnsi="Times New Roman" w:cs="Times New Roman"/>
                <w:b/>
                <w:sz w:val="24"/>
                <w:szCs w:val="24"/>
                <w:u w:val="single"/>
              </w:rPr>
              <w:t>RTCen</w:t>
            </w:r>
            <w:proofErr w:type="spellEnd"/>
          </w:p>
        </w:tc>
      </w:tr>
      <w:tr w:rsidR="000C34BF" w:rsidRPr="007C79BC" w14:paraId="262DF827" w14:textId="77777777" w:rsidTr="003771F7">
        <w:tc>
          <w:tcPr>
            <w:tcW w:w="3714" w:type="dxa"/>
            <w:gridSpan w:val="2"/>
          </w:tcPr>
          <w:p w14:paraId="69261F30"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Linn’s Concordance Correlation coefficient (95% CI)</w:t>
            </w:r>
          </w:p>
        </w:tc>
        <w:tc>
          <w:tcPr>
            <w:tcW w:w="1797" w:type="dxa"/>
          </w:tcPr>
          <w:p w14:paraId="768776A9"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0.994 (0.983-0.998)</w:t>
            </w:r>
          </w:p>
        </w:tc>
        <w:tc>
          <w:tcPr>
            <w:tcW w:w="1789" w:type="dxa"/>
          </w:tcPr>
          <w:p w14:paraId="45E025C2" w14:textId="55E0DBE6"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0.992 (0.9</w:t>
            </w:r>
            <w:r w:rsidR="00F72753">
              <w:rPr>
                <w:rFonts w:ascii="Times New Roman" w:hAnsi="Times New Roman" w:cs="Times New Roman"/>
                <w:sz w:val="24"/>
                <w:szCs w:val="24"/>
              </w:rPr>
              <w:t>7</w:t>
            </w:r>
            <w:r w:rsidRPr="007C79BC">
              <w:rPr>
                <w:rFonts w:ascii="Times New Roman" w:hAnsi="Times New Roman" w:cs="Times New Roman"/>
                <w:sz w:val="24"/>
                <w:szCs w:val="24"/>
              </w:rPr>
              <w:t>7 – 0.997)</w:t>
            </w:r>
          </w:p>
        </w:tc>
        <w:tc>
          <w:tcPr>
            <w:tcW w:w="1716" w:type="dxa"/>
          </w:tcPr>
          <w:p w14:paraId="431560C3"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0.999 (0.997 – 0.999)</w:t>
            </w:r>
          </w:p>
        </w:tc>
      </w:tr>
      <w:tr w:rsidR="000C34BF" w:rsidRPr="007C79BC" w14:paraId="46111711" w14:textId="77777777" w:rsidTr="003771F7">
        <w:trPr>
          <w:trHeight w:val="1115"/>
        </w:trPr>
        <w:tc>
          <w:tcPr>
            <w:tcW w:w="3714" w:type="dxa"/>
            <w:gridSpan w:val="2"/>
          </w:tcPr>
          <w:p w14:paraId="4C95A571"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Bland Altman Analysis </w:t>
            </w:r>
          </w:p>
          <w:p w14:paraId="23F8BF83" w14:textId="77777777" w:rsidR="000C34BF" w:rsidRPr="007C79BC" w:rsidRDefault="000C34BF" w:rsidP="00DB6AE1">
            <w:pPr>
              <w:spacing w:line="360" w:lineRule="auto"/>
              <w:rPr>
                <w:rFonts w:ascii="Times New Roman" w:hAnsi="Times New Roman" w:cs="Times New Roman"/>
                <w:sz w:val="24"/>
                <w:szCs w:val="24"/>
              </w:rPr>
            </w:pPr>
            <w:r w:rsidRPr="007C79BC">
              <w:rPr>
                <w:rFonts w:ascii="Times New Roman" w:hAnsi="Times New Roman" w:cs="Times New Roman"/>
                <w:sz w:val="24"/>
                <w:szCs w:val="24"/>
              </w:rPr>
              <w:t>Mean difference (µIU/m</w:t>
            </w:r>
            <w:r w:rsidR="00DB6AE1">
              <w:rPr>
                <w:rFonts w:ascii="Times New Roman" w:hAnsi="Times New Roman" w:cs="Times New Roman"/>
                <w:sz w:val="24"/>
                <w:szCs w:val="24"/>
              </w:rPr>
              <w:t>L</w:t>
            </w:r>
            <w:r w:rsidRPr="007C79BC">
              <w:rPr>
                <w:rFonts w:ascii="Times New Roman" w:hAnsi="Times New Roman" w:cs="Times New Roman"/>
                <w:sz w:val="24"/>
                <w:szCs w:val="24"/>
              </w:rPr>
              <w:t>) (95% LOA)</w:t>
            </w:r>
          </w:p>
        </w:tc>
        <w:tc>
          <w:tcPr>
            <w:tcW w:w="1797" w:type="dxa"/>
          </w:tcPr>
          <w:p w14:paraId="18D7C7CE"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1.81 (-14.8 – 18.4)</w:t>
            </w:r>
            <w:r>
              <w:rPr>
                <w:rFonts w:ascii="Times New Roman" w:hAnsi="Times New Roman" w:cs="Times New Roman"/>
                <w:sz w:val="24"/>
                <w:szCs w:val="24"/>
              </w:rPr>
              <w:t xml:space="preserve"> (</w:t>
            </w:r>
            <w:r w:rsidRPr="00287E3A">
              <w:rPr>
                <w:rFonts w:ascii="Times New Roman" w:hAnsi="Times New Roman" w:cs="Times New Roman"/>
                <w:i/>
                <w:sz w:val="24"/>
                <w:szCs w:val="24"/>
              </w:rPr>
              <w:t>P</w:t>
            </w:r>
            <w:r>
              <w:rPr>
                <w:rFonts w:ascii="Times New Roman" w:hAnsi="Times New Roman" w:cs="Times New Roman"/>
                <w:sz w:val="24"/>
                <w:szCs w:val="24"/>
              </w:rPr>
              <w:t>=0.42)</w:t>
            </w:r>
          </w:p>
        </w:tc>
        <w:tc>
          <w:tcPr>
            <w:tcW w:w="1789" w:type="dxa"/>
          </w:tcPr>
          <w:p w14:paraId="2918DAB1"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-0.34 (-21.3 – 20.7)</w:t>
            </w:r>
            <w:r>
              <w:rPr>
                <w:rFonts w:ascii="Times New Roman" w:hAnsi="Times New Roman" w:cs="Times New Roman"/>
                <w:sz w:val="24"/>
                <w:szCs w:val="24"/>
              </w:rPr>
              <w:t xml:space="preserve"> (</w:t>
            </w:r>
            <w:r w:rsidRPr="00287E3A">
              <w:rPr>
                <w:rFonts w:ascii="Times New Roman" w:hAnsi="Times New Roman" w:cs="Times New Roman"/>
                <w:i/>
                <w:sz w:val="24"/>
                <w:szCs w:val="24"/>
              </w:rPr>
              <w:t>P</w:t>
            </w:r>
            <w:r>
              <w:rPr>
                <w:rFonts w:ascii="Times New Roman" w:hAnsi="Times New Roman" w:cs="Times New Roman"/>
                <w:sz w:val="24"/>
                <w:szCs w:val="24"/>
              </w:rPr>
              <w:t xml:space="preserve"> =0.91)</w:t>
            </w:r>
          </w:p>
        </w:tc>
        <w:tc>
          <w:tcPr>
            <w:tcW w:w="1716" w:type="dxa"/>
          </w:tcPr>
          <w:p w14:paraId="398A7C43"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2.16* (-4.99 - 9.3)</w:t>
            </w:r>
            <w:r>
              <w:rPr>
                <w:rFonts w:ascii="Times New Roman" w:hAnsi="Times New Roman" w:cs="Times New Roman"/>
                <w:sz w:val="24"/>
                <w:szCs w:val="24"/>
              </w:rPr>
              <w:t xml:space="preserve"> (</w:t>
            </w:r>
            <w:r w:rsidRPr="00287E3A">
              <w:rPr>
                <w:rFonts w:ascii="Times New Roman" w:hAnsi="Times New Roman" w:cs="Times New Roman"/>
                <w:i/>
                <w:sz w:val="24"/>
                <w:szCs w:val="24"/>
              </w:rPr>
              <w:t>P</w:t>
            </w:r>
            <w:r>
              <w:rPr>
                <w:rFonts w:ascii="Times New Roman" w:hAnsi="Times New Roman" w:cs="Times New Roman"/>
                <w:sz w:val="24"/>
                <w:szCs w:val="24"/>
              </w:rPr>
              <w:t xml:space="preserve"> =0.04)</w:t>
            </w:r>
          </w:p>
          <w:p w14:paraId="10CDE684" w14:textId="77777777" w:rsidR="000C34BF" w:rsidRPr="007C79BC" w:rsidRDefault="000C34BF" w:rsidP="001F0BFD">
            <w:pPr>
              <w:spacing w:line="360" w:lineRule="auto"/>
              <w:rPr>
                <w:rFonts w:ascii="Times New Roman" w:hAnsi="Times New Roman" w:cs="Times New Roman"/>
                <w:sz w:val="24"/>
                <w:szCs w:val="24"/>
              </w:rPr>
            </w:pPr>
          </w:p>
        </w:tc>
      </w:tr>
      <w:tr w:rsidR="000C34BF" w:rsidRPr="007C79BC" w14:paraId="0D861FD2" w14:textId="77777777" w:rsidTr="003771F7">
        <w:trPr>
          <w:trHeight w:val="464"/>
        </w:trPr>
        <w:tc>
          <w:tcPr>
            <w:tcW w:w="3714" w:type="dxa"/>
            <w:gridSpan w:val="2"/>
          </w:tcPr>
          <w:p w14:paraId="18AEBB19" w14:textId="77777777" w:rsidR="000C34BF" w:rsidRPr="007C79BC" w:rsidRDefault="000C34BF" w:rsidP="001F0BFD">
            <w:pPr>
              <w:spacing w:line="360" w:lineRule="auto"/>
              <w:rPr>
                <w:rFonts w:ascii="Times New Roman" w:hAnsi="Times New Roman" w:cs="Times New Roman"/>
                <w:sz w:val="24"/>
                <w:szCs w:val="24"/>
              </w:rPr>
            </w:pPr>
            <w:r>
              <w:rPr>
                <w:rFonts w:ascii="Times New Roman" w:hAnsi="Times New Roman" w:cs="Times New Roman"/>
                <w:sz w:val="24"/>
                <w:szCs w:val="24"/>
              </w:rPr>
              <w:t>Regression R</w:t>
            </w:r>
            <w:r>
              <w:rPr>
                <w:rFonts w:ascii="Times New Roman" w:hAnsi="Times New Roman" w:cs="Times New Roman"/>
                <w:sz w:val="24"/>
                <w:szCs w:val="24"/>
                <w:vertAlign w:val="superscript"/>
              </w:rPr>
              <w:t>2</w:t>
            </w:r>
          </w:p>
        </w:tc>
        <w:tc>
          <w:tcPr>
            <w:tcW w:w="1797" w:type="dxa"/>
          </w:tcPr>
          <w:p w14:paraId="024C7259" w14:textId="77777777" w:rsidR="000C34BF" w:rsidRPr="007C79BC" w:rsidRDefault="000C34BF" w:rsidP="001F0BFD">
            <w:pPr>
              <w:spacing w:line="360" w:lineRule="auto"/>
              <w:rPr>
                <w:rFonts w:ascii="Times New Roman" w:hAnsi="Times New Roman" w:cs="Times New Roman"/>
                <w:sz w:val="24"/>
                <w:szCs w:val="24"/>
              </w:rPr>
            </w:pPr>
            <w:r>
              <w:rPr>
                <w:rFonts w:ascii="Times New Roman" w:hAnsi="Times New Roman" w:cs="Times New Roman"/>
                <w:sz w:val="24"/>
                <w:szCs w:val="24"/>
              </w:rPr>
              <w:t>0.063</w:t>
            </w:r>
          </w:p>
        </w:tc>
        <w:tc>
          <w:tcPr>
            <w:tcW w:w="1789" w:type="dxa"/>
          </w:tcPr>
          <w:p w14:paraId="49CB5FA7" w14:textId="77777777" w:rsidR="000C34BF" w:rsidRPr="007C79BC" w:rsidRDefault="000C34BF" w:rsidP="001F0BFD">
            <w:pPr>
              <w:spacing w:line="360" w:lineRule="auto"/>
              <w:rPr>
                <w:rFonts w:ascii="Times New Roman" w:hAnsi="Times New Roman" w:cs="Times New Roman"/>
                <w:sz w:val="24"/>
                <w:szCs w:val="24"/>
              </w:rPr>
            </w:pPr>
            <w:r>
              <w:rPr>
                <w:rFonts w:ascii="Times New Roman" w:hAnsi="Times New Roman" w:cs="Times New Roman"/>
                <w:sz w:val="24"/>
                <w:szCs w:val="24"/>
              </w:rPr>
              <w:t>0.19</w:t>
            </w:r>
          </w:p>
        </w:tc>
        <w:tc>
          <w:tcPr>
            <w:tcW w:w="1716" w:type="dxa"/>
          </w:tcPr>
          <w:p w14:paraId="1A2160AA" w14:textId="77777777" w:rsidR="000C34BF" w:rsidRPr="007C79BC" w:rsidRDefault="000C34BF" w:rsidP="001F0BFD">
            <w:pPr>
              <w:spacing w:line="360" w:lineRule="auto"/>
              <w:rPr>
                <w:rFonts w:ascii="Times New Roman" w:hAnsi="Times New Roman" w:cs="Times New Roman"/>
                <w:sz w:val="24"/>
                <w:szCs w:val="24"/>
              </w:rPr>
            </w:pPr>
            <w:r>
              <w:rPr>
                <w:rFonts w:ascii="Times New Roman" w:hAnsi="Times New Roman" w:cs="Times New Roman"/>
                <w:sz w:val="24"/>
                <w:szCs w:val="24"/>
              </w:rPr>
              <w:t>0.51</w:t>
            </w:r>
          </w:p>
        </w:tc>
      </w:tr>
      <w:tr w:rsidR="000C34BF" w:rsidRPr="007C79BC" w14:paraId="204D803E" w14:textId="77777777" w:rsidTr="003771F7">
        <w:trPr>
          <w:trHeight w:val="194"/>
        </w:trPr>
        <w:tc>
          <w:tcPr>
            <w:tcW w:w="3714" w:type="dxa"/>
            <w:gridSpan w:val="2"/>
          </w:tcPr>
          <w:p w14:paraId="6D7F6865" w14:textId="77777777" w:rsidR="000C34BF" w:rsidRDefault="000C34BF" w:rsidP="001F0BF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Unstandardised</w:t>
            </w:r>
            <w:proofErr w:type="spellEnd"/>
            <w:r>
              <w:rPr>
                <w:rFonts w:ascii="Times New Roman" w:hAnsi="Times New Roman" w:cs="Times New Roman"/>
                <w:sz w:val="24"/>
                <w:szCs w:val="24"/>
              </w:rPr>
              <w:t xml:space="preserve"> Coefficient</w:t>
            </w:r>
          </w:p>
        </w:tc>
        <w:tc>
          <w:tcPr>
            <w:tcW w:w="1797" w:type="dxa"/>
          </w:tcPr>
          <w:p w14:paraId="4BD4D1DE" w14:textId="77777777" w:rsidR="000C34BF" w:rsidRDefault="000C34BF" w:rsidP="00ED0ECB">
            <w:pPr>
              <w:spacing w:line="360" w:lineRule="auto"/>
              <w:rPr>
                <w:rFonts w:ascii="Times New Roman" w:hAnsi="Times New Roman" w:cs="Times New Roman"/>
                <w:sz w:val="24"/>
                <w:szCs w:val="24"/>
              </w:rPr>
            </w:pPr>
            <w:r>
              <w:rPr>
                <w:rFonts w:ascii="Times New Roman" w:hAnsi="Times New Roman" w:cs="Times New Roman"/>
                <w:sz w:val="24"/>
                <w:szCs w:val="24"/>
              </w:rPr>
              <w:t>-0.03(</w:t>
            </w:r>
            <w:r w:rsidRPr="00287E3A">
              <w:rPr>
                <w:rFonts w:ascii="Times New Roman" w:hAnsi="Times New Roman" w:cs="Times New Roman"/>
                <w:i/>
                <w:sz w:val="24"/>
                <w:szCs w:val="24"/>
              </w:rPr>
              <w:t>P</w:t>
            </w:r>
            <w:r>
              <w:rPr>
                <w:rFonts w:ascii="Times New Roman" w:hAnsi="Times New Roman" w:cs="Times New Roman"/>
                <w:sz w:val="24"/>
                <w:szCs w:val="24"/>
              </w:rPr>
              <w:t xml:space="preserve"> =0.39)</w:t>
            </w:r>
          </w:p>
        </w:tc>
        <w:tc>
          <w:tcPr>
            <w:tcW w:w="1789" w:type="dxa"/>
          </w:tcPr>
          <w:p w14:paraId="3E841022" w14:textId="77777777" w:rsidR="000C34BF" w:rsidRDefault="000C34BF" w:rsidP="00ED0ECB">
            <w:pPr>
              <w:spacing w:line="360" w:lineRule="auto"/>
              <w:rPr>
                <w:rFonts w:ascii="Times New Roman" w:hAnsi="Times New Roman" w:cs="Times New Roman"/>
                <w:sz w:val="24"/>
                <w:szCs w:val="24"/>
              </w:rPr>
            </w:pPr>
            <w:r>
              <w:rPr>
                <w:rFonts w:ascii="Times New Roman" w:hAnsi="Times New Roman" w:cs="Times New Roman"/>
                <w:sz w:val="24"/>
                <w:szCs w:val="24"/>
              </w:rPr>
              <w:t>-0.06 (</w:t>
            </w:r>
            <w:r w:rsidRPr="00287E3A">
              <w:rPr>
                <w:rFonts w:ascii="Times New Roman" w:hAnsi="Times New Roman" w:cs="Times New Roman"/>
                <w:i/>
                <w:sz w:val="24"/>
                <w:szCs w:val="24"/>
              </w:rPr>
              <w:t>P</w:t>
            </w:r>
            <w:r>
              <w:rPr>
                <w:rFonts w:ascii="Times New Roman" w:hAnsi="Times New Roman" w:cs="Times New Roman"/>
                <w:sz w:val="24"/>
                <w:szCs w:val="24"/>
              </w:rPr>
              <w:t xml:space="preserve"> =0.12)</w:t>
            </w:r>
          </w:p>
        </w:tc>
        <w:tc>
          <w:tcPr>
            <w:tcW w:w="1716" w:type="dxa"/>
          </w:tcPr>
          <w:p w14:paraId="6B6BC410" w14:textId="77777777" w:rsidR="000C34BF" w:rsidRDefault="000C34BF" w:rsidP="00ED0ECB">
            <w:pPr>
              <w:spacing w:line="360" w:lineRule="auto"/>
              <w:rPr>
                <w:rFonts w:ascii="Times New Roman" w:hAnsi="Times New Roman" w:cs="Times New Roman"/>
                <w:sz w:val="24"/>
                <w:szCs w:val="24"/>
              </w:rPr>
            </w:pPr>
            <w:r>
              <w:rPr>
                <w:rFonts w:ascii="Times New Roman" w:hAnsi="Times New Roman" w:cs="Times New Roman"/>
                <w:sz w:val="24"/>
                <w:szCs w:val="24"/>
              </w:rPr>
              <w:t>0.03 (</w:t>
            </w:r>
            <w:r w:rsidRPr="00287E3A">
              <w:rPr>
                <w:rFonts w:ascii="Times New Roman" w:hAnsi="Times New Roman" w:cs="Times New Roman"/>
                <w:i/>
                <w:sz w:val="24"/>
                <w:szCs w:val="24"/>
              </w:rPr>
              <w:t>P</w:t>
            </w:r>
            <w:r>
              <w:rPr>
                <w:rFonts w:ascii="Times New Roman" w:hAnsi="Times New Roman" w:cs="Times New Roman"/>
                <w:sz w:val="24"/>
                <w:szCs w:val="24"/>
              </w:rPr>
              <w:t xml:space="preserve"> =0.004)</w:t>
            </w:r>
          </w:p>
        </w:tc>
      </w:tr>
      <w:tr w:rsidR="000C34BF" w:rsidRPr="007C79BC" w14:paraId="7922607B" w14:textId="77777777" w:rsidTr="003771F7">
        <w:trPr>
          <w:trHeight w:val="464"/>
        </w:trPr>
        <w:tc>
          <w:tcPr>
            <w:tcW w:w="1856" w:type="dxa"/>
            <w:vMerge w:val="restart"/>
          </w:tcPr>
          <w:p w14:paraId="583D89B0" w14:textId="77777777" w:rsidR="000C34BF" w:rsidRPr="007C79BC" w:rsidRDefault="000C34BF" w:rsidP="001F0BFD">
            <w:pPr>
              <w:spacing w:line="360" w:lineRule="auto"/>
              <w:rPr>
                <w:rFonts w:ascii="Times New Roman" w:hAnsi="Times New Roman" w:cs="Times New Roman"/>
                <w:sz w:val="24"/>
                <w:szCs w:val="24"/>
              </w:rPr>
            </w:pPr>
            <w:r w:rsidRPr="007C79BC">
              <w:rPr>
                <w:rFonts w:ascii="Times New Roman" w:hAnsi="Times New Roman" w:cs="Times New Roman"/>
                <w:sz w:val="24"/>
                <w:szCs w:val="24"/>
              </w:rPr>
              <w:t>Kappa Measure of agreement value</w:t>
            </w:r>
          </w:p>
        </w:tc>
        <w:tc>
          <w:tcPr>
            <w:tcW w:w="1858" w:type="dxa"/>
          </w:tcPr>
          <w:p w14:paraId="4BD8037F" w14:textId="77777777" w:rsidR="000C34BF" w:rsidRPr="007C79BC" w:rsidRDefault="000C34BF" w:rsidP="00DB6AE1">
            <w:pPr>
              <w:spacing w:line="360" w:lineRule="auto"/>
              <w:rPr>
                <w:rFonts w:ascii="Times New Roman" w:hAnsi="Times New Roman" w:cs="Times New Roman"/>
                <w:sz w:val="24"/>
                <w:szCs w:val="24"/>
              </w:rPr>
            </w:pPr>
            <w:r w:rsidRPr="007C79BC">
              <w:rPr>
                <w:rFonts w:ascii="Times New Roman" w:hAnsi="Times New Roman" w:cs="Times New Roman"/>
                <w:sz w:val="24"/>
                <w:szCs w:val="24"/>
              </w:rPr>
              <w:t>30µIU/m</w:t>
            </w:r>
            <w:r w:rsidR="00DB6AE1">
              <w:rPr>
                <w:rFonts w:ascii="Times New Roman" w:hAnsi="Times New Roman" w:cs="Times New Roman"/>
                <w:sz w:val="24"/>
                <w:szCs w:val="24"/>
              </w:rPr>
              <w:t>L</w:t>
            </w:r>
          </w:p>
        </w:tc>
        <w:tc>
          <w:tcPr>
            <w:tcW w:w="1797" w:type="dxa"/>
          </w:tcPr>
          <w:p w14:paraId="390B01D1"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c>
          <w:tcPr>
            <w:tcW w:w="1789" w:type="dxa"/>
          </w:tcPr>
          <w:p w14:paraId="7651913B"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c>
          <w:tcPr>
            <w:tcW w:w="1716" w:type="dxa"/>
          </w:tcPr>
          <w:p w14:paraId="323D6A43"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r>
      <w:tr w:rsidR="000C34BF" w:rsidRPr="007C79BC" w14:paraId="3435E5AF" w14:textId="77777777" w:rsidTr="003771F7">
        <w:trPr>
          <w:trHeight w:val="463"/>
        </w:trPr>
        <w:tc>
          <w:tcPr>
            <w:tcW w:w="1856" w:type="dxa"/>
            <w:vMerge/>
          </w:tcPr>
          <w:p w14:paraId="36DC4E36" w14:textId="77777777" w:rsidR="000C34BF" w:rsidRPr="007C79BC" w:rsidRDefault="000C34BF" w:rsidP="001F0BFD">
            <w:pPr>
              <w:spacing w:line="360" w:lineRule="auto"/>
              <w:rPr>
                <w:rFonts w:ascii="Times New Roman" w:hAnsi="Times New Roman" w:cs="Times New Roman"/>
                <w:sz w:val="24"/>
                <w:szCs w:val="24"/>
              </w:rPr>
            </w:pPr>
          </w:p>
        </w:tc>
        <w:tc>
          <w:tcPr>
            <w:tcW w:w="1858" w:type="dxa"/>
          </w:tcPr>
          <w:p w14:paraId="3CB14D73" w14:textId="77777777" w:rsidR="000C34BF" w:rsidRPr="007C79BC" w:rsidRDefault="000C34BF" w:rsidP="00DB6AE1">
            <w:pPr>
              <w:spacing w:line="360" w:lineRule="auto"/>
              <w:rPr>
                <w:rFonts w:ascii="Times New Roman" w:hAnsi="Times New Roman" w:cs="Times New Roman"/>
                <w:sz w:val="24"/>
                <w:szCs w:val="24"/>
              </w:rPr>
            </w:pPr>
            <w:r w:rsidRPr="007C79BC">
              <w:rPr>
                <w:rFonts w:ascii="Times New Roman" w:hAnsi="Times New Roman" w:cs="Times New Roman"/>
                <w:sz w:val="24"/>
                <w:szCs w:val="24"/>
              </w:rPr>
              <w:t>100 µIU/m</w:t>
            </w:r>
            <w:r w:rsidR="00DB6AE1">
              <w:rPr>
                <w:rFonts w:ascii="Times New Roman" w:hAnsi="Times New Roman" w:cs="Times New Roman"/>
                <w:sz w:val="24"/>
                <w:szCs w:val="24"/>
              </w:rPr>
              <w:t>L</w:t>
            </w:r>
          </w:p>
        </w:tc>
        <w:tc>
          <w:tcPr>
            <w:tcW w:w="1797" w:type="dxa"/>
          </w:tcPr>
          <w:p w14:paraId="78F51AD4"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c>
          <w:tcPr>
            <w:tcW w:w="1789" w:type="dxa"/>
          </w:tcPr>
          <w:p w14:paraId="6E131FFD"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c>
          <w:tcPr>
            <w:tcW w:w="1716" w:type="dxa"/>
          </w:tcPr>
          <w:p w14:paraId="6EBF192E" w14:textId="77777777" w:rsidR="000C34BF" w:rsidRPr="007C79BC" w:rsidRDefault="000C34BF" w:rsidP="00224AE0">
            <w:pPr>
              <w:spacing w:line="360" w:lineRule="auto"/>
              <w:rPr>
                <w:rFonts w:ascii="Times New Roman" w:hAnsi="Times New Roman" w:cs="Times New Roman"/>
                <w:sz w:val="24"/>
                <w:szCs w:val="24"/>
              </w:rPr>
            </w:pPr>
            <w:r w:rsidRPr="007C79BC">
              <w:rPr>
                <w:rFonts w:ascii="Times New Roman" w:hAnsi="Times New Roman" w:cs="Times New Roman"/>
                <w:sz w:val="24"/>
                <w:szCs w:val="24"/>
              </w:rPr>
              <w:t xml:space="preserve">1.0 </w:t>
            </w:r>
          </w:p>
        </w:tc>
      </w:tr>
    </w:tbl>
    <w:p w14:paraId="758DB7DC" w14:textId="7DEB569A" w:rsidR="003771F7" w:rsidRPr="00287E3A" w:rsidRDefault="00F72753" w:rsidP="003771F7">
      <w:pPr>
        <w:spacing w:after="0" w:line="360" w:lineRule="auto"/>
        <w:rPr>
          <w:rFonts w:ascii="Times New Roman" w:hAnsi="Times New Roman" w:cs="Times New Roman"/>
          <w:sz w:val="24"/>
          <w:szCs w:val="24"/>
        </w:rPr>
      </w:pPr>
      <w:r>
        <w:rPr>
          <w:rFonts w:ascii="Times New Roman" w:hAnsi="Times New Roman" w:cs="Times New Roman"/>
          <w:i/>
          <w:sz w:val="24"/>
          <w:szCs w:val="24"/>
        </w:rPr>
        <w:lastRenderedPageBreak/>
        <w:t>(</w:t>
      </w:r>
      <w:proofErr w:type="spellStart"/>
      <w:r w:rsidR="003771F7" w:rsidRPr="00287E3A">
        <w:rPr>
          <w:rFonts w:ascii="Times New Roman" w:hAnsi="Times New Roman" w:cs="Times New Roman"/>
          <w:i/>
          <w:sz w:val="24"/>
          <w:szCs w:val="24"/>
        </w:rPr>
        <w:t>CenRT</w:t>
      </w:r>
      <w:proofErr w:type="spellEnd"/>
      <w:r w:rsidR="003771F7" w:rsidRPr="00287E3A">
        <w:rPr>
          <w:rFonts w:ascii="Times New Roman" w:hAnsi="Times New Roman" w:cs="Times New Roman"/>
          <w:i/>
          <w:sz w:val="24"/>
          <w:szCs w:val="24"/>
        </w:rPr>
        <w:t xml:space="preserve">, centrifuged and serum maintained at 22°C for 72 h; </w:t>
      </w:r>
      <w:proofErr w:type="spellStart"/>
      <w:r w:rsidR="003771F7" w:rsidRPr="00287E3A">
        <w:rPr>
          <w:rFonts w:ascii="Times New Roman" w:hAnsi="Times New Roman" w:cs="Times New Roman"/>
          <w:i/>
          <w:sz w:val="24"/>
          <w:szCs w:val="24"/>
        </w:rPr>
        <w:t>CenFr</w:t>
      </w:r>
      <w:proofErr w:type="spellEnd"/>
      <w:r w:rsidR="003771F7" w:rsidRPr="00287E3A">
        <w:rPr>
          <w:rFonts w:ascii="Times New Roman" w:hAnsi="Times New Roman" w:cs="Times New Roman"/>
          <w:i/>
          <w:sz w:val="24"/>
          <w:szCs w:val="24"/>
        </w:rPr>
        <w:t xml:space="preserve"> centrifuged and ser</w:t>
      </w:r>
      <w:r w:rsidR="003771F7">
        <w:rPr>
          <w:rFonts w:ascii="Times New Roman" w:hAnsi="Times New Roman" w:cs="Times New Roman"/>
          <w:i/>
          <w:sz w:val="24"/>
          <w:szCs w:val="24"/>
        </w:rPr>
        <w:t>um immediately frozen at -20 °C</w:t>
      </w:r>
      <w:r w:rsidR="003771F7" w:rsidRPr="00287E3A">
        <w:rPr>
          <w:rFonts w:ascii="Times New Roman" w:hAnsi="Times New Roman" w:cs="Times New Roman"/>
          <w:i/>
          <w:sz w:val="24"/>
          <w:szCs w:val="24"/>
        </w:rPr>
        <w:t xml:space="preserve">; </w:t>
      </w:r>
      <w:proofErr w:type="spellStart"/>
      <w:r w:rsidR="003771F7" w:rsidRPr="00287E3A">
        <w:rPr>
          <w:rFonts w:ascii="Times New Roman" w:hAnsi="Times New Roman" w:cs="Times New Roman"/>
          <w:i/>
          <w:sz w:val="24"/>
          <w:szCs w:val="24"/>
        </w:rPr>
        <w:t>RTCen</w:t>
      </w:r>
      <w:proofErr w:type="spellEnd"/>
      <w:r w:rsidR="003771F7" w:rsidRPr="00287E3A">
        <w:rPr>
          <w:rFonts w:ascii="Times New Roman" w:hAnsi="Times New Roman" w:cs="Times New Roman"/>
          <w:i/>
          <w:sz w:val="24"/>
          <w:szCs w:val="24"/>
        </w:rPr>
        <w:t xml:space="preserve"> unseparated sample maintained at 22°C for 72 h</w:t>
      </w:r>
    </w:p>
    <w:p w14:paraId="670CB8FD" w14:textId="77777777" w:rsidR="004C7B3F" w:rsidRDefault="000C34BF" w:rsidP="007C79BC">
      <w:pPr>
        <w:spacing w:after="0" w:line="360" w:lineRule="auto"/>
        <w:rPr>
          <w:rFonts w:ascii="Times New Roman" w:hAnsi="Times New Roman" w:cs="Times New Roman"/>
          <w:i/>
          <w:sz w:val="24"/>
          <w:szCs w:val="24"/>
        </w:rPr>
      </w:pPr>
      <w:r w:rsidRPr="00287E3A">
        <w:rPr>
          <w:rFonts w:ascii="Times New Roman" w:hAnsi="Times New Roman" w:cs="Times New Roman"/>
          <w:i/>
          <w:sz w:val="24"/>
          <w:szCs w:val="24"/>
        </w:rPr>
        <w:t>LOA - limits of agreement</w:t>
      </w:r>
    </w:p>
    <w:p w14:paraId="6E21C050" w14:textId="77777777" w:rsidR="000C34BF" w:rsidRPr="00287E3A" w:rsidRDefault="004C7B3F" w:rsidP="007C79BC">
      <w:pPr>
        <w:spacing w:after="0" w:line="360" w:lineRule="auto"/>
        <w:rPr>
          <w:rFonts w:ascii="Times New Roman" w:hAnsi="Times New Roman" w:cs="Times New Roman"/>
          <w:b/>
          <w:i/>
          <w:sz w:val="24"/>
          <w:szCs w:val="24"/>
        </w:rPr>
      </w:pPr>
      <w:r w:rsidRPr="004C7B3F">
        <w:rPr>
          <w:rFonts w:ascii="Times New Roman" w:hAnsi="Times New Roman" w:cs="Times New Roman"/>
          <w:i/>
          <w:sz w:val="24"/>
          <w:szCs w:val="24"/>
        </w:rPr>
        <w:t>* = mean difference significantly different to 0</w:t>
      </w:r>
      <w:r w:rsidRPr="007C79BC">
        <w:rPr>
          <w:rFonts w:ascii="Times New Roman" w:hAnsi="Times New Roman" w:cs="Times New Roman"/>
          <w:sz w:val="24"/>
          <w:szCs w:val="24"/>
        </w:rPr>
        <w:t>.</w:t>
      </w:r>
    </w:p>
    <w:p w14:paraId="1FDBA750" w14:textId="77777777" w:rsidR="000C34BF" w:rsidRDefault="000C34BF">
      <w:pPr>
        <w:rPr>
          <w:rFonts w:ascii="Times New Roman" w:hAnsi="Times New Roman" w:cs="Times New Roman"/>
          <w:b/>
          <w:sz w:val="24"/>
          <w:szCs w:val="24"/>
        </w:rPr>
      </w:pPr>
      <w:r>
        <w:rPr>
          <w:rFonts w:ascii="Times New Roman" w:hAnsi="Times New Roman" w:cs="Times New Roman"/>
          <w:b/>
          <w:sz w:val="24"/>
          <w:szCs w:val="24"/>
        </w:rPr>
        <w:br w:type="page"/>
      </w:r>
    </w:p>
    <w:p w14:paraId="48AE716B" w14:textId="77777777" w:rsidR="000C34BF" w:rsidRDefault="000C34BF" w:rsidP="007C79B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Figure Legends</w:t>
      </w:r>
    </w:p>
    <w:p w14:paraId="6741E90A" w14:textId="77777777" w:rsidR="000C34BF" w:rsidRDefault="000C34BF" w:rsidP="007C79BC">
      <w:pPr>
        <w:spacing w:after="0" w:line="360" w:lineRule="auto"/>
        <w:rPr>
          <w:rFonts w:ascii="Times New Roman" w:hAnsi="Times New Roman" w:cs="Times New Roman"/>
          <w:b/>
          <w:sz w:val="24"/>
          <w:szCs w:val="24"/>
        </w:rPr>
      </w:pPr>
    </w:p>
    <w:p w14:paraId="360FCF50" w14:textId="77777777" w:rsidR="003771F7" w:rsidRPr="00287E3A" w:rsidRDefault="000C34BF" w:rsidP="003771F7">
      <w:pPr>
        <w:spacing w:after="0" w:line="360" w:lineRule="auto"/>
        <w:rPr>
          <w:rFonts w:ascii="Times New Roman" w:hAnsi="Times New Roman" w:cs="Times New Roman"/>
          <w:sz w:val="24"/>
          <w:szCs w:val="24"/>
        </w:rPr>
      </w:pPr>
      <w:proofErr w:type="gramStart"/>
      <w:r w:rsidRPr="007C79BC">
        <w:rPr>
          <w:rFonts w:ascii="Times New Roman" w:hAnsi="Times New Roman" w:cs="Times New Roman"/>
          <w:sz w:val="24"/>
          <w:szCs w:val="24"/>
        </w:rPr>
        <w:t>Fig. 1.</w:t>
      </w:r>
      <w:proofErr w:type="gramEnd"/>
      <w:r w:rsidRPr="007C79BC">
        <w:rPr>
          <w:rFonts w:ascii="Times New Roman" w:hAnsi="Times New Roman" w:cs="Times New Roman"/>
          <w:sz w:val="24"/>
          <w:szCs w:val="24"/>
        </w:rPr>
        <w:t xml:space="preserve"> Comparison of insulin concentrations in 14 horses after three different storage and handling conditions in low-medium (&lt;</w:t>
      </w:r>
      <w:r>
        <w:rPr>
          <w:rFonts w:ascii="Times New Roman" w:hAnsi="Times New Roman" w:cs="Times New Roman"/>
          <w:sz w:val="24"/>
          <w:szCs w:val="24"/>
        </w:rPr>
        <w:t xml:space="preserve"> </w:t>
      </w:r>
      <w:r w:rsidRPr="007C79BC">
        <w:rPr>
          <w:rFonts w:ascii="Times New Roman" w:hAnsi="Times New Roman" w:cs="Times New Roman"/>
          <w:sz w:val="24"/>
          <w:szCs w:val="24"/>
        </w:rPr>
        <w:t>100</w:t>
      </w:r>
      <w:r>
        <w:rPr>
          <w:rFonts w:ascii="Times New Roman" w:hAnsi="Times New Roman" w:cs="Times New Roman"/>
          <w:sz w:val="24"/>
          <w:szCs w:val="24"/>
        </w:rPr>
        <w:t xml:space="preserve"> </w:t>
      </w:r>
      <w:r w:rsidRPr="007C79BC">
        <w:rPr>
          <w:rFonts w:ascii="Times New Roman" w:hAnsi="Times New Roman" w:cs="Times New Roman"/>
          <w:sz w:val="24"/>
          <w:szCs w:val="24"/>
        </w:rPr>
        <w:t>µIU/m</w:t>
      </w:r>
      <w:r w:rsidR="00DB6AE1">
        <w:rPr>
          <w:rFonts w:ascii="Times New Roman" w:hAnsi="Times New Roman" w:cs="Times New Roman"/>
          <w:sz w:val="24"/>
          <w:szCs w:val="24"/>
        </w:rPr>
        <w:t>L</w:t>
      </w:r>
      <w:r w:rsidRPr="007C79BC">
        <w:rPr>
          <w:rFonts w:ascii="Times New Roman" w:hAnsi="Times New Roman" w:cs="Times New Roman"/>
          <w:sz w:val="24"/>
          <w:szCs w:val="24"/>
        </w:rPr>
        <w:t>, A) and high (&gt;</w:t>
      </w:r>
      <w:r>
        <w:rPr>
          <w:rFonts w:ascii="Times New Roman" w:hAnsi="Times New Roman" w:cs="Times New Roman"/>
          <w:sz w:val="24"/>
          <w:szCs w:val="24"/>
        </w:rPr>
        <w:t xml:space="preserve"> </w:t>
      </w:r>
      <w:r w:rsidRPr="007C79BC">
        <w:rPr>
          <w:rFonts w:ascii="Times New Roman" w:hAnsi="Times New Roman" w:cs="Times New Roman"/>
          <w:sz w:val="24"/>
          <w:szCs w:val="24"/>
        </w:rPr>
        <w:t>100</w:t>
      </w:r>
      <w:r>
        <w:rPr>
          <w:rFonts w:ascii="Times New Roman" w:hAnsi="Times New Roman" w:cs="Times New Roman"/>
          <w:sz w:val="24"/>
          <w:szCs w:val="24"/>
        </w:rPr>
        <w:t xml:space="preserve"> </w:t>
      </w:r>
      <w:r w:rsidRPr="007C79BC">
        <w:rPr>
          <w:rFonts w:ascii="Times New Roman" w:hAnsi="Times New Roman" w:cs="Times New Roman"/>
          <w:sz w:val="24"/>
          <w:szCs w:val="24"/>
        </w:rPr>
        <w:t>µIU/m</w:t>
      </w:r>
      <w:r w:rsidR="00DB6AE1">
        <w:rPr>
          <w:rFonts w:ascii="Times New Roman" w:hAnsi="Times New Roman" w:cs="Times New Roman"/>
          <w:sz w:val="24"/>
          <w:szCs w:val="24"/>
        </w:rPr>
        <w:t>L</w:t>
      </w:r>
      <w:r w:rsidRPr="007C79BC">
        <w:rPr>
          <w:rFonts w:ascii="Times New Roman" w:hAnsi="Times New Roman" w:cs="Times New Roman"/>
          <w:sz w:val="24"/>
          <w:szCs w:val="24"/>
        </w:rPr>
        <w:t>, B) ranges.</w:t>
      </w:r>
      <w:r w:rsidR="003771F7">
        <w:rPr>
          <w:rFonts w:ascii="Times New Roman" w:hAnsi="Times New Roman" w:cs="Times New Roman"/>
          <w:sz w:val="24"/>
          <w:szCs w:val="24"/>
        </w:rPr>
        <w:t xml:space="preserve"> </w:t>
      </w:r>
      <w:proofErr w:type="spellStart"/>
      <w:r w:rsidR="003771F7" w:rsidRPr="00287E3A">
        <w:rPr>
          <w:rFonts w:ascii="Times New Roman" w:hAnsi="Times New Roman" w:cs="Times New Roman"/>
          <w:i/>
          <w:sz w:val="24"/>
          <w:szCs w:val="24"/>
        </w:rPr>
        <w:t>CenRT</w:t>
      </w:r>
      <w:proofErr w:type="spellEnd"/>
      <w:r w:rsidR="003771F7" w:rsidRPr="00287E3A">
        <w:rPr>
          <w:rFonts w:ascii="Times New Roman" w:hAnsi="Times New Roman" w:cs="Times New Roman"/>
          <w:i/>
          <w:sz w:val="24"/>
          <w:szCs w:val="24"/>
        </w:rPr>
        <w:t xml:space="preserve">, centrifuged and serum maintained at 22°C for 72 h; </w:t>
      </w:r>
      <w:proofErr w:type="spellStart"/>
      <w:r w:rsidR="003771F7" w:rsidRPr="00287E3A">
        <w:rPr>
          <w:rFonts w:ascii="Times New Roman" w:hAnsi="Times New Roman" w:cs="Times New Roman"/>
          <w:i/>
          <w:sz w:val="24"/>
          <w:szCs w:val="24"/>
        </w:rPr>
        <w:t>CenFr</w:t>
      </w:r>
      <w:proofErr w:type="spellEnd"/>
      <w:r w:rsidR="003771F7" w:rsidRPr="00287E3A">
        <w:rPr>
          <w:rFonts w:ascii="Times New Roman" w:hAnsi="Times New Roman" w:cs="Times New Roman"/>
          <w:i/>
          <w:sz w:val="24"/>
          <w:szCs w:val="24"/>
        </w:rPr>
        <w:t xml:space="preserve"> centrifuged and ser</w:t>
      </w:r>
      <w:r w:rsidR="003771F7">
        <w:rPr>
          <w:rFonts w:ascii="Times New Roman" w:hAnsi="Times New Roman" w:cs="Times New Roman"/>
          <w:i/>
          <w:sz w:val="24"/>
          <w:szCs w:val="24"/>
        </w:rPr>
        <w:t>um immediately frozen at -20 °C</w:t>
      </w:r>
      <w:r w:rsidR="003771F7" w:rsidRPr="00287E3A">
        <w:rPr>
          <w:rFonts w:ascii="Times New Roman" w:hAnsi="Times New Roman" w:cs="Times New Roman"/>
          <w:i/>
          <w:sz w:val="24"/>
          <w:szCs w:val="24"/>
        </w:rPr>
        <w:t xml:space="preserve">; </w:t>
      </w:r>
      <w:proofErr w:type="spellStart"/>
      <w:r w:rsidR="003771F7" w:rsidRPr="00287E3A">
        <w:rPr>
          <w:rFonts w:ascii="Times New Roman" w:hAnsi="Times New Roman" w:cs="Times New Roman"/>
          <w:i/>
          <w:sz w:val="24"/>
          <w:szCs w:val="24"/>
        </w:rPr>
        <w:t>RTCen</w:t>
      </w:r>
      <w:proofErr w:type="spellEnd"/>
      <w:r w:rsidR="003771F7" w:rsidRPr="00287E3A">
        <w:rPr>
          <w:rFonts w:ascii="Times New Roman" w:hAnsi="Times New Roman" w:cs="Times New Roman"/>
          <w:i/>
          <w:sz w:val="24"/>
          <w:szCs w:val="24"/>
        </w:rPr>
        <w:t xml:space="preserve"> unseparated sample maintained at 22°C for 72 h</w:t>
      </w:r>
    </w:p>
    <w:p w14:paraId="43B05A6E" w14:textId="56FA9FD1" w:rsidR="00E60398" w:rsidRPr="00E60398" w:rsidRDefault="00E60398" w:rsidP="00E60398">
      <w:pPr>
        <w:rPr>
          <w:rFonts w:ascii="Calibri" w:eastAsia="Calibri" w:hAnsi="Calibri" w:cs="Times New Roman"/>
          <w:lang w:eastAsia="en-US"/>
        </w:rPr>
      </w:pPr>
      <w:r w:rsidRPr="00E60398">
        <w:rPr>
          <w:rFonts w:ascii="Calibri" w:eastAsia="Calibri" w:hAnsi="Calibri" w:cs="Times New Roman"/>
          <w:noProof/>
        </w:rPr>
        <w:drawing>
          <wp:anchor distT="0" distB="0" distL="114300" distR="114300" simplePos="0" relativeHeight="251659264" behindDoc="0" locked="0" layoutInCell="1" allowOverlap="1" wp14:anchorId="4544E614" wp14:editId="19109592">
            <wp:simplePos x="0" y="0"/>
            <wp:positionH relativeFrom="margin">
              <wp:posOffset>635</wp:posOffset>
            </wp:positionH>
            <wp:positionV relativeFrom="margin">
              <wp:posOffset>1813560</wp:posOffset>
            </wp:positionV>
            <wp:extent cx="2828290" cy="2993390"/>
            <wp:effectExtent l="0" t="0" r="10160" b="16510"/>
            <wp:wrapSquare wrapText="bothSides"/>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F8A0FAA" w14:textId="6C0355AC" w:rsidR="00E60398" w:rsidRPr="00E60398" w:rsidRDefault="00E60398" w:rsidP="00E60398">
      <w:pPr>
        <w:rPr>
          <w:rFonts w:ascii="Calibri" w:eastAsia="Calibri" w:hAnsi="Calibri" w:cs="Times New Roman"/>
          <w:lang w:eastAsia="en-US"/>
        </w:rPr>
      </w:pPr>
    </w:p>
    <w:p w14:paraId="4E87E791" w14:textId="77777777" w:rsidR="00E60398" w:rsidRPr="00E60398" w:rsidRDefault="00E60398" w:rsidP="00E60398">
      <w:pPr>
        <w:rPr>
          <w:rFonts w:ascii="Calibri" w:eastAsia="Calibri" w:hAnsi="Calibri" w:cs="Times New Roman"/>
          <w:lang w:eastAsia="en-US"/>
        </w:rPr>
      </w:pPr>
    </w:p>
    <w:p w14:paraId="4ECB745A" w14:textId="77777777" w:rsidR="00E60398" w:rsidRPr="00E60398" w:rsidRDefault="00E60398" w:rsidP="00E60398">
      <w:pPr>
        <w:rPr>
          <w:rFonts w:ascii="Calibri" w:eastAsia="Calibri" w:hAnsi="Calibri" w:cs="Times New Roman"/>
          <w:lang w:eastAsia="en-US"/>
        </w:rPr>
      </w:pPr>
    </w:p>
    <w:p w14:paraId="6E3B6FE4" w14:textId="77777777" w:rsidR="00E60398" w:rsidRPr="00E60398" w:rsidRDefault="00E60398" w:rsidP="00E60398">
      <w:pPr>
        <w:rPr>
          <w:rFonts w:ascii="Calibri" w:eastAsia="Calibri" w:hAnsi="Calibri" w:cs="Times New Roman"/>
          <w:lang w:eastAsia="en-US"/>
        </w:rPr>
      </w:pPr>
    </w:p>
    <w:p w14:paraId="79407DCD" w14:textId="77777777" w:rsidR="00E60398" w:rsidRPr="00E60398" w:rsidRDefault="00E60398" w:rsidP="00E60398">
      <w:pPr>
        <w:rPr>
          <w:rFonts w:ascii="Calibri" w:eastAsia="Calibri" w:hAnsi="Calibri" w:cs="Times New Roman"/>
          <w:lang w:eastAsia="en-US"/>
        </w:rPr>
      </w:pPr>
    </w:p>
    <w:p w14:paraId="3A272AF7" w14:textId="77777777" w:rsidR="00E60398" w:rsidRPr="00E60398" w:rsidRDefault="00E60398" w:rsidP="00E60398">
      <w:pPr>
        <w:rPr>
          <w:rFonts w:ascii="Calibri" w:eastAsia="Calibri" w:hAnsi="Calibri" w:cs="Times New Roman"/>
          <w:lang w:eastAsia="en-US"/>
        </w:rPr>
      </w:pPr>
    </w:p>
    <w:p w14:paraId="0BA82B90" w14:textId="77777777" w:rsidR="00E60398" w:rsidRPr="00E60398" w:rsidRDefault="00E60398" w:rsidP="00E60398">
      <w:pPr>
        <w:rPr>
          <w:rFonts w:ascii="Calibri" w:eastAsia="Calibri" w:hAnsi="Calibri" w:cs="Times New Roman"/>
          <w:lang w:eastAsia="en-US"/>
        </w:rPr>
      </w:pPr>
    </w:p>
    <w:p w14:paraId="4D9BE105" w14:textId="77777777" w:rsidR="00E60398" w:rsidRPr="00E60398" w:rsidRDefault="00E60398" w:rsidP="00E60398">
      <w:pPr>
        <w:rPr>
          <w:rFonts w:ascii="Calibri" w:eastAsia="Calibri" w:hAnsi="Calibri" w:cs="Times New Roman"/>
          <w:lang w:eastAsia="en-US"/>
        </w:rPr>
      </w:pPr>
    </w:p>
    <w:p w14:paraId="70144F03" w14:textId="77777777" w:rsidR="00E60398" w:rsidRPr="00E60398" w:rsidRDefault="00E60398" w:rsidP="00E60398">
      <w:pPr>
        <w:rPr>
          <w:rFonts w:ascii="Calibri" w:eastAsia="Calibri" w:hAnsi="Calibri" w:cs="Times New Roman"/>
          <w:lang w:eastAsia="en-US"/>
        </w:rPr>
      </w:pPr>
    </w:p>
    <w:p w14:paraId="562809E5" w14:textId="77777777" w:rsidR="00E60398" w:rsidRPr="00E60398" w:rsidRDefault="00E60398" w:rsidP="00E60398">
      <w:pPr>
        <w:rPr>
          <w:rFonts w:ascii="Calibri" w:eastAsia="Calibri" w:hAnsi="Calibri" w:cs="Times New Roman"/>
          <w:lang w:eastAsia="en-US"/>
        </w:rPr>
      </w:pPr>
    </w:p>
    <w:p w14:paraId="59106DEE" w14:textId="77777777" w:rsidR="00E60398" w:rsidRPr="00E60398" w:rsidRDefault="00E60398" w:rsidP="00E60398">
      <w:pPr>
        <w:rPr>
          <w:rFonts w:ascii="Calibri" w:eastAsia="Calibri" w:hAnsi="Calibri" w:cs="Times New Roman"/>
          <w:lang w:eastAsia="en-US"/>
        </w:rPr>
      </w:pPr>
      <w:r w:rsidRPr="00E60398">
        <w:rPr>
          <w:rFonts w:ascii="Times New Roman" w:eastAsia="Calibri" w:hAnsi="Times New Roman" w:cs="Times New Roman"/>
          <w:noProof/>
        </w:rPr>
        <w:drawing>
          <wp:inline distT="0" distB="0" distL="0" distR="0" wp14:anchorId="261A3B08" wp14:editId="575774DA">
            <wp:extent cx="2880360" cy="3048000"/>
            <wp:effectExtent l="0" t="0" r="1524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563832" w14:textId="77777777" w:rsidR="00E60398" w:rsidRPr="00E60398" w:rsidRDefault="00E60398" w:rsidP="00E60398">
      <w:pPr>
        <w:rPr>
          <w:rFonts w:ascii="Calibri" w:eastAsia="Calibri" w:hAnsi="Calibri" w:cs="Times New Roman"/>
          <w:lang w:eastAsia="en-US"/>
        </w:rPr>
      </w:pPr>
    </w:p>
    <w:p w14:paraId="14B6D638" w14:textId="77777777" w:rsidR="00E60398" w:rsidRPr="00E60398" w:rsidRDefault="00E60398" w:rsidP="00E60398">
      <w:pPr>
        <w:rPr>
          <w:rFonts w:ascii="Calibri" w:eastAsia="Calibri" w:hAnsi="Calibri" w:cs="Times New Roman"/>
          <w:lang w:eastAsia="en-US"/>
        </w:rPr>
      </w:pPr>
    </w:p>
    <w:p w14:paraId="6696164C" w14:textId="054152BD" w:rsidR="000C34BF" w:rsidRPr="007C79BC" w:rsidRDefault="000C34BF" w:rsidP="003464DE">
      <w:pPr>
        <w:spacing w:after="0" w:line="360" w:lineRule="auto"/>
        <w:rPr>
          <w:rFonts w:ascii="Times New Roman" w:hAnsi="Times New Roman" w:cs="Times New Roman"/>
          <w:sz w:val="24"/>
          <w:szCs w:val="24"/>
        </w:rPr>
      </w:pPr>
    </w:p>
    <w:p w14:paraId="26E25081" w14:textId="77777777" w:rsidR="000C34BF" w:rsidRDefault="000C34BF" w:rsidP="007C79BC">
      <w:pPr>
        <w:spacing w:after="0" w:line="360" w:lineRule="auto"/>
        <w:rPr>
          <w:rFonts w:ascii="Times New Roman" w:hAnsi="Times New Roman" w:cs="Times New Roman"/>
          <w:b/>
          <w:sz w:val="24"/>
          <w:szCs w:val="24"/>
        </w:rPr>
      </w:pPr>
    </w:p>
    <w:p w14:paraId="06E4BA37" w14:textId="77777777" w:rsidR="003771F7" w:rsidRPr="00287E3A" w:rsidRDefault="000C34BF" w:rsidP="003771F7">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Fig.</w:t>
      </w:r>
      <w:r w:rsidRPr="007C79BC">
        <w:rPr>
          <w:rFonts w:ascii="Times New Roman" w:hAnsi="Times New Roman" w:cs="Times New Roman"/>
          <w:sz w:val="24"/>
          <w:szCs w:val="24"/>
        </w:rPr>
        <w:t xml:space="preserve"> 2</w:t>
      </w:r>
      <w:r>
        <w:rPr>
          <w:rFonts w:ascii="Times New Roman" w:hAnsi="Times New Roman" w:cs="Times New Roman"/>
          <w:sz w:val="24"/>
          <w:szCs w:val="24"/>
        </w:rPr>
        <w:t>.</w:t>
      </w:r>
      <w:proofErr w:type="gramEnd"/>
      <w:r w:rsidRPr="007C79BC">
        <w:rPr>
          <w:rFonts w:ascii="Times New Roman" w:hAnsi="Times New Roman" w:cs="Times New Roman"/>
          <w:sz w:val="24"/>
          <w:szCs w:val="24"/>
        </w:rPr>
        <w:t xml:space="preserve"> Bland-Altman plots of the difference in serum insulin concentration against the mean for different storage and handling in 14 horses.  The solid line is the average difference and the dotted lines represent 95% </w:t>
      </w:r>
      <w:r>
        <w:rPr>
          <w:rFonts w:ascii="Times New Roman" w:hAnsi="Times New Roman" w:cs="Times New Roman"/>
          <w:sz w:val="24"/>
          <w:szCs w:val="24"/>
        </w:rPr>
        <w:t>limits of agreement (values in T</w:t>
      </w:r>
      <w:r w:rsidRPr="007C79BC">
        <w:rPr>
          <w:rFonts w:ascii="Times New Roman" w:hAnsi="Times New Roman" w:cs="Times New Roman"/>
          <w:sz w:val="24"/>
          <w:szCs w:val="24"/>
        </w:rPr>
        <w:t>able 2).</w:t>
      </w:r>
      <w:r w:rsidR="003771F7">
        <w:rPr>
          <w:rFonts w:ascii="Times New Roman" w:hAnsi="Times New Roman" w:cs="Times New Roman"/>
          <w:sz w:val="24"/>
          <w:szCs w:val="24"/>
        </w:rPr>
        <w:t xml:space="preserve"> </w:t>
      </w:r>
      <w:proofErr w:type="spellStart"/>
      <w:r w:rsidR="003771F7" w:rsidRPr="00287E3A">
        <w:rPr>
          <w:rFonts w:ascii="Times New Roman" w:hAnsi="Times New Roman" w:cs="Times New Roman"/>
          <w:i/>
          <w:sz w:val="24"/>
          <w:szCs w:val="24"/>
        </w:rPr>
        <w:t>CenRT</w:t>
      </w:r>
      <w:proofErr w:type="spellEnd"/>
      <w:r w:rsidR="003771F7" w:rsidRPr="00287E3A">
        <w:rPr>
          <w:rFonts w:ascii="Times New Roman" w:hAnsi="Times New Roman" w:cs="Times New Roman"/>
          <w:i/>
          <w:sz w:val="24"/>
          <w:szCs w:val="24"/>
        </w:rPr>
        <w:t xml:space="preserve">, centrifuged and serum maintained at 22°C for 72 h; </w:t>
      </w:r>
      <w:proofErr w:type="spellStart"/>
      <w:r w:rsidR="003771F7" w:rsidRPr="00287E3A">
        <w:rPr>
          <w:rFonts w:ascii="Times New Roman" w:hAnsi="Times New Roman" w:cs="Times New Roman"/>
          <w:i/>
          <w:sz w:val="24"/>
          <w:szCs w:val="24"/>
        </w:rPr>
        <w:t>CenFr</w:t>
      </w:r>
      <w:proofErr w:type="spellEnd"/>
      <w:r w:rsidR="003771F7" w:rsidRPr="00287E3A">
        <w:rPr>
          <w:rFonts w:ascii="Times New Roman" w:hAnsi="Times New Roman" w:cs="Times New Roman"/>
          <w:i/>
          <w:sz w:val="24"/>
          <w:szCs w:val="24"/>
        </w:rPr>
        <w:t xml:space="preserve"> centrifuged and ser</w:t>
      </w:r>
      <w:r w:rsidR="003771F7">
        <w:rPr>
          <w:rFonts w:ascii="Times New Roman" w:hAnsi="Times New Roman" w:cs="Times New Roman"/>
          <w:i/>
          <w:sz w:val="24"/>
          <w:szCs w:val="24"/>
        </w:rPr>
        <w:t>um immediately frozen at -20 °C</w:t>
      </w:r>
      <w:r w:rsidR="003771F7" w:rsidRPr="00287E3A">
        <w:rPr>
          <w:rFonts w:ascii="Times New Roman" w:hAnsi="Times New Roman" w:cs="Times New Roman"/>
          <w:i/>
          <w:sz w:val="24"/>
          <w:szCs w:val="24"/>
        </w:rPr>
        <w:t xml:space="preserve">; </w:t>
      </w:r>
      <w:proofErr w:type="spellStart"/>
      <w:r w:rsidR="003771F7" w:rsidRPr="00287E3A">
        <w:rPr>
          <w:rFonts w:ascii="Times New Roman" w:hAnsi="Times New Roman" w:cs="Times New Roman"/>
          <w:i/>
          <w:sz w:val="24"/>
          <w:szCs w:val="24"/>
        </w:rPr>
        <w:t>RTCen</w:t>
      </w:r>
      <w:proofErr w:type="spellEnd"/>
      <w:r w:rsidR="003771F7" w:rsidRPr="00287E3A">
        <w:rPr>
          <w:rFonts w:ascii="Times New Roman" w:hAnsi="Times New Roman" w:cs="Times New Roman"/>
          <w:i/>
          <w:sz w:val="24"/>
          <w:szCs w:val="24"/>
        </w:rPr>
        <w:t xml:space="preserve"> unseparated sample maintained at 22°C for 72 h</w:t>
      </w:r>
    </w:p>
    <w:p w14:paraId="13DEE32F" w14:textId="77777777" w:rsidR="00D641AA" w:rsidRDefault="00D641AA"/>
    <w:p w14:paraId="69EA610B" w14:textId="4A47F769" w:rsidR="00141795" w:rsidRDefault="00141795">
      <w:r>
        <w:rPr>
          <w:rFonts w:ascii="Times New Roman" w:hAnsi="Times New Roman" w:cs="Times New Roman"/>
          <w:noProof/>
          <w:sz w:val="24"/>
          <w:szCs w:val="24"/>
        </w:rPr>
        <w:drawing>
          <wp:inline distT="0" distB="0" distL="0" distR="0" wp14:anchorId="45EB600B" wp14:editId="71D06B39">
            <wp:extent cx="5476309" cy="43811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76672" cy="4381460"/>
                    </a:xfrm>
                    <a:prstGeom prst="rect">
                      <a:avLst/>
                    </a:prstGeom>
                    <a:noFill/>
                    <a:ln w="9525">
                      <a:noFill/>
                      <a:miter lim="800000"/>
                      <a:headEnd/>
                      <a:tailEnd/>
                    </a:ln>
                  </pic:spPr>
                </pic:pic>
              </a:graphicData>
            </a:graphic>
          </wp:inline>
        </w:drawing>
      </w:r>
      <w:bookmarkStart w:id="0" w:name="_GoBack"/>
      <w:bookmarkEnd w:id="0"/>
    </w:p>
    <w:sectPr w:rsidR="00141795" w:rsidSect="0095513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2DE"/>
    <w:multiLevelType w:val="hybridMultilevel"/>
    <w:tmpl w:val="0F2A2B40"/>
    <w:lvl w:ilvl="0" w:tplc="EDFA54A8">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34BF"/>
    <w:rsid w:val="0006790A"/>
    <w:rsid w:val="000C34BF"/>
    <w:rsid w:val="000E64E6"/>
    <w:rsid w:val="00141795"/>
    <w:rsid w:val="00190042"/>
    <w:rsid w:val="001973E8"/>
    <w:rsid w:val="0025744A"/>
    <w:rsid w:val="002A0A3F"/>
    <w:rsid w:val="002B613F"/>
    <w:rsid w:val="00305376"/>
    <w:rsid w:val="00352403"/>
    <w:rsid w:val="00354958"/>
    <w:rsid w:val="003771F7"/>
    <w:rsid w:val="00404A5D"/>
    <w:rsid w:val="00431375"/>
    <w:rsid w:val="004C7B3F"/>
    <w:rsid w:val="006637A9"/>
    <w:rsid w:val="006856DA"/>
    <w:rsid w:val="007D7386"/>
    <w:rsid w:val="008E76DD"/>
    <w:rsid w:val="0095513E"/>
    <w:rsid w:val="009D6AB0"/>
    <w:rsid w:val="00AC0E9B"/>
    <w:rsid w:val="00D46858"/>
    <w:rsid w:val="00D641AA"/>
    <w:rsid w:val="00D90507"/>
    <w:rsid w:val="00DA005A"/>
    <w:rsid w:val="00DB6AE1"/>
    <w:rsid w:val="00E60398"/>
    <w:rsid w:val="00F72753"/>
    <w:rsid w:val="00FB16B0"/>
    <w:rsid w:val="00FC3823"/>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B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4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4BF"/>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0C34BF"/>
    <w:rPr>
      <w:sz w:val="16"/>
      <w:szCs w:val="16"/>
    </w:rPr>
  </w:style>
  <w:style w:type="paragraph" w:styleId="CommentText">
    <w:name w:val="annotation text"/>
    <w:basedOn w:val="Normal"/>
    <w:link w:val="CommentTextChar"/>
    <w:uiPriority w:val="99"/>
    <w:semiHidden/>
    <w:unhideWhenUsed/>
    <w:rsid w:val="000C34BF"/>
    <w:pPr>
      <w:spacing w:line="240" w:lineRule="auto"/>
    </w:pPr>
    <w:rPr>
      <w:sz w:val="20"/>
      <w:szCs w:val="20"/>
    </w:rPr>
  </w:style>
  <w:style w:type="character" w:customStyle="1" w:styleId="CommentTextChar">
    <w:name w:val="Comment Text Char"/>
    <w:basedOn w:val="DefaultParagraphFont"/>
    <w:link w:val="CommentText"/>
    <w:uiPriority w:val="99"/>
    <w:semiHidden/>
    <w:rsid w:val="000C34B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34BF"/>
    <w:rPr>
      <w:b/>
      <w:bCs/>
    </w:rPr>
  </w:style>
  <w:style w:type="character" w:customStyle="1" w:styleId="CommentSubjectChar">
    <w:name w:val="Comment Subject Char"/>
    <w:basedOn w:val="CommentTextChar"/>
    <w:link w:val="CommentSubject"/>
    <w:uiPriority w:val="99"/>
    <w:semiHidden/>
    <w:rsid w:val="000C34BF"/>
    <w:rPr>
      <w:rFonts w:eastAsiaTheme="minorEastAsia"/>
      <w:b/>
      <w:bCs/>
      <w:sz w:val="20"/>
      <w:szCs w:val="20"/>
      <w:lang w:eastAsia="en-GB"/>
    </w:rPr>
  </w:style>
  <w:style w:type="character" w:styleId="LineNumber">
    <w:name w:val="line number"/>
    <w:basedOn w:val="DefaultParagraphFont"/>
    <w:uiPriority w:val="99"/>
    <w:semiHidden/>
    <w:unhideWhenUsed/>
    <w:rsid w:val="000C34BF"/>
  </w:style>
  <w:style w:type="paragraph" w:styleId="Revision">
    <w:name w:val="Revision"/>
    <w:hidden/>
    <w:uiPriority w:val="99"/>
    <w:semiHidden/>
    <w:rsid w:val="000C34BF"/>
    <w:pPr>
      <w:spacing w:after="0" w:line="240" w:lineRule="auto"/>
    </w:pPr>
    <w:rPr>
      <w:rFonts w:eastAsiaTheme="minorEastAsia"/>
      <w:lang w:eastAsia="en-GB"/>
    </w:rPr>
  </w:style>
  <w:style w:type="paragraph" w:styleId="NormalWeb">
    <w:name w:val="Normal (Web)"/>
    <w:basedOn w:val="Normal"/>
    <w:uiPriority w:val="99"/>
    <w:semiHidden/>
    <w:unhideWhenUsed/>
    <w:rsid w:val="000C34B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C34BF"/>
    <w:pPr>
      <w:ind w:left="720"/>
      <w:contextualSpacing/>
    </w:pPr>
  </w:style>
  <w:style w:type="character" w:styleId="Hyperlink">
    <w:name w:val="Hyperlink"/>
    <w:basedOn w:val="DefaultParagraphFont"/>
    <w:uiPriority w:val="99"/>
    <w:unhideWhenUsed/>
    <w:rsid w:val="000C3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B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4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4BF"/>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0C34BF"/>
    <w:rPr>
      <w:sz w:val="16"/>
      <w:szCs w:val="16"/>
    </w:rPr>
  </w:style>
  <w:style w:type="paragraph" w:styleId="CommentText">
    <w:name w:val="annotation text"/>
    <w:basedOn w:val="Normal"/>
    <w:link w:val="CommentTextChar"/>
    <w:uiPriority w:val="99"/>
    <w:semiHidden/>
    <w:unhideWhenUsed/>
    <w:rsid w:val="000C34BF"/>
    <w:pPr>
      <w:spacing w:line="240" w:lineRule="auto"/>
    </w:pPr>
    <w:rPr>
      <w:sz w:val="20"/>
      <w:szCs w:val="20"/>
    </w:rPr>
  </w:style>
  <w:style w:type="character" w:customStyle="1" w:styleId="CommentTextChar">
    <w:name w:val="Comment Text Char"/>
    <w:basedOn w:val="DefaultParagraphFont"/>
    <w:link w:val="CommentText"/>
    <w:uiPriority w:val="99"/>
    <w:semiHidden/>
    <w:rsid w:val="000C34B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34BF"/>
    <w:rPr>
      <w:b/>
      <w:bCs/>
    </w:rPr>
  </w:style>
  <w:style w:type="character" w:customStyle="1" w:styleId="CommentSubjectChar">
    <w:name w:val="Comment Subject Char"/>
    <w:basedOn w:val="CommentTextChar"/>
    <w:link w:val="CommentSubject"/>
    <w:uiPriority w:val="99"/>
    <w:semiHidden/>
    <w:rsid w:val="000C34BF"/>
    <w:rPr>
      <w:rFonts w:eastAsiaTheme="minorEastAsia"/>
      <w:b/>
      <w:bCs/>
      <w:sz w:val="20"/>
      <w:szCs w:val="20"/>
      <w:lang w:eastAsia="en-GB"/>
    </w:rPr>
  </w:style>
  <w:style w:type="character" w:styleId="LineNumber">
    <w:name w:val="line number"/>
    <w:basedOn w:val="DefaultParagraphFont"/>
    <w:uiPriority w:val="99"/>
    <w:semiHidden/>
    <w:unhideWhenUsed/>
    <w:rsid w:val="000C34BF"/>
  </w:style>
  <w:style w:type="paragraph" w:styleId="Revision">
    <w:name w:val="Revision"/>
    <w:hidden/>
    <w:uiPriority w:val="99"/>
    <w:semiHidden/>
    <w:rsid w:val="000C34BF"/>
    <w:pPr>
      <w:spacing w:after="0" w:line="240" w:lineRule="auto"/>
    </w:pPr>
    <w:rPr>
      <w:rFonts w:eastAsiaTheme="minorEastAsia"/>
      <w:lang w:eastAsia="en-GB"/>
    </w:rPr>
  </w:style>
  <w:style w:type="paragraph" w:styleId="NormalWeb">
    <w:name w:val="Normal (Web)"/>
    <w:basedOn w:val="Normal"/>
    <w:uiPriority w:val="99"/>
    <w:semiHidden/>
    <w:unhideWhenUsed/>
    <w:rsid w:val="000C34B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C34BF"/>
    <w:pPr>
      <w:ind w:left="720"/>
      <w:contextualSpacing/>
    </w:pPr>
  </w:style>
  <w:style w:type="character" w:styleId="Hyperlink">
    <w:name w:val="Hyperlink"/>
    <w:basedOn w:val="DefaultParagraphFont"/>
    <w:uiPriority w:val="99"/>
    <w:unhideWhenUsed/>
    <w:rsid w:val="000C3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hbc@liverpool.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ropbox\Harry\Liverpool\PhD%20EMS\insulin%20storage%20study\original%20data\Insulin%20comparison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hbc\Dropbox\Harry\Liverpool\PhD%20EMS\insulin%20storage%20study\original%20data\Insulin%20comparison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b="1" i="0" baseline="0">
                <a:effectLst/>
              </a:rPr>
              <a:t>Insulin values &lt; 100 µIU/ml</a:t>
            </a:r>
            <a:endParaRPr lang="en-GB" sz="1200">
              <a:effectLst/>
            </a:endParaRPr>
          </a:p>
        </c:rich>
      </c:tx>
      <c:layout>
        <c:manualLayout>
          <c:xMode val="edge"/>
          <c:yMode val="edge"/>
          <c:x val="0.28437491116859492"/>
          <c:y val="4.6858359957401494E-2"/>
        </c:manualLayout>
      </c:layout>
      <c:overlay val="0"/>
    </c:title>
    <c:autoTitleDeleted val="0"/>
    <c:plotArea>
      <c:layout/>
      <c:lineChart>
        <c:grouping val="standard"/>
        <c:varyColors val="0"/>
        <c:ser>
          <c:idx val="1"/>
          <c:order val="0"/>
          <c:tx>
            <c:strRef>
              <c:f>'Simple horse ID (2)'!$A$4</c:f>
              <c:strCache>
                <c:ptCount val="1"/>
                <c:pt idx="0">
                  <c:v>2</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(2)'!$B$4:$D$4</c:f>
              <c:numCache>
                <c:formatCode>0.0</c:formatCode>
                <c:ptCount val="3"/>
                <c:pt idx="0" formatCode="General">
                  <c:v>7.2</c:v>
                </c:pt>
                <c:pt idx="1">
                  <c:v>7</c:v>
                </c:pt>
                <c:pt idx="2" formatCode="General">
                  <c:v>6.6</c:v>
                </c:pt>
              </c:numCache>
            </c:numRef>
          </c:val>
          <c:smooth val="0"/>
        </c:ser>
        <c:ser>
          <c:idx val="3"/>
          <c:order val="1"/>
          <c:tx>
            <c:strRef>
              <c:f>'Simple horse ID (2)'!$A$6</c:f>
              <c:strCache>
                <c:ptCount val="1"/>
                <c:pt idx="0">
                  <c:v>4</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(2)'!$B$6:$D$6</c:f>
              <c:numCache>
                <c:formatCode>General</c:formatCode>
                <c:ptCount val="3"/>
                <c:pt idx="0">
                  <c:v>27</c:v>
                </c:pt>
                <c:pt idx="1">
                  <c:v>26</c:v>
                </c:pt>
                <c:pt idx="2">
                  <c:v>27</c:v>
                </c:pt>
              </c:numCache>
            </c:numRef>
          </c:val>
          <c:smooth val="0"/>
        </c:ser>
        <c:ser>
          <c:idx val="4"/>
          <c:order val="2"/>
          <c:tx>
            <c:strRef>
              <c:f>'Simple horse ID (2)'!$A$7</c:f>
              <c:strCache>
                <c:ptCount val="1"/>
                <c:pt idx="0">
                  <c:v>5</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(2)'!$B$7:$D$7</c:f>
              <c:numCache>
                <c:formatCode>General</c:formatCode>
                <c:ptCount val="3"/>
                <c:pt idx="0">
                  <c:v>61</c:v>
                </c:pt>
                <c:pt idx="1">
                  <c:v>54</c:v>
                </c:pt>
                <c:pt idx="2">
                  <c:v>53</c:v>
                </c:pt>
              </c:numCache>
            </c:numRef>
          </c:val>
          <c:smooth val="0"/>
        </c:ser>
        <c:ser>
          <c:idx val="5"/>
          <c:order val="3"/>
          <c:tx>
            <c:strRef>
              <c:f>'Simple horse ID (2)'!$A$8</c:f>
              <c:strCache>
                <c:ptCount val="1"/>
                <c:pt idx="0">
                  <c:v>6</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(2)'!$B$8:$D$8</c:f>
              <c:numCache>
                <c:formatCode>General</c:formatCode>
                <c:ptCount val="3"/>
                <c:pt idx="0">
                  <c:v>71</c:v>
                </c:pt>
                <c:pt idx="1">
                  <c:v>80</c:v>
                </c:pt>
                <c:pt idx="2">
                  <c:v>77</c:v>
                </c:pt>
              </c:numCache>
            </c:numRef>
          </c:val>
          <c:smooth val="0"/>
        </c:ser>
        <c:ser>
          <c:idx val="6"/>
          <c:order val="4"/>
          <c:tx>
            <c:strRef>
              <c:f>'Simple horse ID (2)'!$A$9</c:f>
              <c:strCache>
                <c:ptCount val="1"/>
                <c:pt idx="0">
                  <c:v>7</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(2)'!$B$9:$D$9</c:f>
              <c:numCache>
                <c:formatCode>General</c:formatCode>
                <c:ptCount val="3"/>
                <c:pt idx="0">
                  <c:v>50</c:v>
                </c:pt>
                <c:pt idx="1">
                  <c:v>55</c:v>
                </c:pt>
                <c:pt idx="2">
                  <c:v>47</c:v>
                </c:pt>
              </c:numCache>
            </c:numRef>
          </c:val>
          <c:smooth val="0"/>
        </c:ser>
        <c:ser>
          <c:idx val="7"/>
          <c:order val="5"/>
          <c:tx>
            <c:strRef>
              <c:f>'Simple horse ID (2)'!$A$10</c:f>
              <c:strCache>
                <c:ptCount val="1"/>
                <c:pt idx="0">
                  <c:v>8</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(2)'!$B$10:$D$10</c:f>
              <c:numCache>
                <c:formatCode>General</c:formatCode>
                <c:ptCount val="3"/>
                <c:pt idx="0">
                  <c:v>49</c:v>
                </c:pt>
                <c:pt idx="1">
                  <c:v>46</c:v>
                </c:pt>
                <c:pt idx="2">
                  <c:v>47</c:v>
                </c:pt>
              </c:numCache>
            </c:numRef>
          </c:val>
          <c:smooth val="0"/>
        </c:ser>
        <c:ser>
          <c:idx val="8"/>
          <c:order val="6"/>
          <c:tx>
            <c:strRef>
              <c:f>'Simple horse ID (2)'!$A$11</c:f>
              <c:strCache>
                <c:ptCount val="1"/>
                <c:pt idx="0">
                  <c:v>9</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(2)'!$B$11:$D$11</c:f>
              <c:numCache>
                <c:formatCode>General</c:formatCode>
                <c:ptCount val="3"/>
                <c:pt idx="0">
                  <c:v>22</c:v>
                </c:pt>
                <c:pt idx="1">
                  <c:v>20</c:v>
                </c:pt>
                <c:pt idx="2">
                  <c:v>19.7</c:v>
                </c:pt>
              </c:numCache>
            </c:numRef>
          </c:val>
          <c:smooth val="0"/>
        </c:ser>
        <c:ser>
          <c:idx val="9"/>
          <c:order val="7"/>
          <c:tx>
            <c:strRef>
              <c:f>'Simple horse ID (2)'!$A$12</c:f>
              <c:strCache>
                <c:ptCount val="1"/>
                <c:pt idx="0">
                  <c:v>10</c:v>
                </c:pt>
              </c:strCache>
            </c:strRef>
          </c:tx>
          <c:spPr>
            <a:ln w="12700">
              <a:solidFill>
                <a:schemeClr val="tx1"/>
              </a:solidFill>
            </a:ln>
          </c:spPr>
          <c:marker>
            <c:symbol val="none"/>
          </c:marker>
          <c:val>
            <c:numRef>
              <c:f>'Simple horse ID (2)'!$B$12:$D$12</c:f>
              <c:numCache>
                <c:formatCode>General</c:formatCode>
                <c:ptCount val="3"/>
                <c:pt idx="0">
                  <c:v>14.4</c:v>
                </c:pt>
                <c:pt idx="1">
                  <c:v>13.9</c:v>
                </c:pt>
                <c:pt idx="2">
                  <c:v>14.7</c:v>
                </c:pt>
              </c:numCache>
            </c:numRef>
          </c:val>
          <c:smooth val="0"/>
        </c:ser>
        <c:ser>
          <c:idx val="12"/>
          <c:order val="8"/>
          <c:tx>
            <c:strRef>
              <c:f>'Simple horse ID (2)'!$A$15</c:f>
              <c:strCache>
                <c:ptCount val="1"/>
                <c:pt idx="0">
                  <c:v>13</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(2)'!$B$15:$D$15</c:f>
              <c:numCache>
                <c:formatCode>General</c:formatCode>
                <c:ptCount val="3"/>
                <c:pt idx="0">
                  <c:v>30</c:v>
                </c:pt>
                <c:pt idx="1">
                  <c:v>29</c:v>
                </c:pt>
                <c:pt idx="2">
                  <c:v>28</c:v>
                </c:pt>
              </c:numCache>
            </c:numRef>
          </c:val>
          <c:smooth val="0"/>
        </c:ser>
        <c:ser>
          <c:idx val="13"/>
          <c:order val="9"/>
          <c:tx>
            <c:strRef>
              <c:f>'Simple horse ID (2)'!$A$16</c:f>
              <c:strCache>
                <c:ptCount val="1"/>
                <c:pt idx="0">
                  <c:v>14</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(2)'!$B$16:$D$16</c:f>
              <c:numCache>
                <c:formatCode>General</c:formatCode>
                <c:ptCount val="3"/>
                <c:pt idx="0">
                  <c:v>15.4</c:v>
                </c:pt>
                <c:pt idx="1">
                  <c:v>14.9</c:v>
                </c:pt>
                <c:pt idx="2">
                  <c:v>14.6</c:v>
                </c:pt>
              </c:numCache>
            </c:numRef>
          </c:val>
          <c:smooth val="0"/>
        </c:ser>
        <c:dLbls>
          <c:showLegendKey val="0"/>
          <c:showVal val="0"/>
          <c:showCatName val="0"/>
          <c:showSerName val="0"/>
          <c:showPercent val="0"/>
          <c:showBubbleSize val="0"/>
        </c:dLbls>
        <c:marker val="1"/>
        <c:smooth val="0"/>
        <c:axId val="59319808"/>
        <c:axId val="58767552"/>
      </c:lineChart>
      <c:catAx>
        <c:axId val="59319808"/>
        <c:scaling>
          <c:orientation val="minMax"/>
        </c:scaling>
        <c:delete val="0"/>
        <c:axPos val="b"/>
        <c:majorTickMark val="out"/>
        <c:minorTickMark val="none"/>
        <c:tickLblPos val="nextTo"/>
        <c:crossAx val="58767552"/>
        <c:crosses val="autoZero"/>
        <c:auto val="1"/>
        <c:lblAlgn val="ctr"/>
        <c:lblOffset val="100"/>
        <c:noMultiLvlLbl val="0"/>
      </c:catAx>
      <c:valAx>
        <c:axId val="58767552"/>
        <c:scaling>
          <c:orientation val="minMax"/>
        </c:scaling>
        <c:delete val="0"/>
        <c:axPos val="l"/>
        <c:title>
          <c:tx>
            <c:rich>
              <a:bodyPr rot="-5400000" vert="horz"/>
              <a:lstStyle/>
              <a:p>
                <a:pPr>
                  <a:defRPr/>
                </a:pPr>
                <a:r>
                  <a:rPr lang="en-US"/>
                  <a:t>Insulin</a:t>
                </a:r>
                <a:r>
                  <a:rPr lang="en-US" baseline="0"/>
                  <a:t> (µIU/ml)</a:t>
                </a:r>
                <a:endParaRPr lang="en-US"/>
              </a:p>
            </c:rich>
          </c:tx>
          <c:overlay val="0"/>
        </c:title>
        <c:numFmt formatCode="General" sourceLinked="1"/>
        <c:majorTickMark val="out"/>
        <c:minorTickMark val="none"/>
        <c:tickLblPos val="nextTo"/>
        <c:crossAx val="5931980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Insulin values &gt; 100 </a:t>
            </a:r>
            <a:r>
              <a:rPr lang="en-GB" sz="1200">
                <a:latin typeface="Calibri"/>
              </a:rPr>
              <a:t>µIU/ml</a:t>
            </a:r>
            <a:endParaRPr lang="en-GB" sz="1200"/>
          </a:p>
        </c:rich>
      </c:tx>
      <c:layout>
        <c:manualLayout>
          <c:xMode val="edge"/>
          <c:yMode val="edge"/>
          <c:x val="0.30483947243197451"/>
          <c:y val="4.6864732962692765E-2"/>
        </c:manualLayout>
      </c:layout>
      <c:overlay val="0"/>
    </c:title>
    <c:autoTitleDeleted val="0"/>
    <c:plotArea>
      <c:layout/>
      <c:lineChart>
        <c:grouping val="standard"/>
        <c:varyColors val="0"/>
        <c:ser>
          <c:idx val="0"/>
          <c:order val="0"/>
          <c:tx>
            <c:strRef>
              <c:f>'Simple horse ID (2)'!$A$3</c:f>
              <c:strCache>
                <c:ptCount val="1"/>
                <c:pt idx="0">
                  <c:v>1</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(2)'!$B$3:$D$3</c:f>
              <c:numCache>
                <c:formatCode>General</c:formatCode>
                <c:ptCount val="3"/>
                <c:pt idx="0">
                  <c:v>279</c:v>
                </c:pt>
                <c:pt idx="1">
                  <c:v>310</c:v>
                </c:pt>
                <c:pt idx="2">
                  <c:v>299</c:v>
                </c:pt>
              </c:numCache>
            </c:numRef>
          </c:val>
          <c:smooth val="0"/>
        </c:ser>
        <c:ser>
          <c:idx val="20"/>
          <c:order val="1"/>
          <c:tx>
            <c:strRef>
              <c:f>'Simple horse ID (2)'!$A$13</c:f>
              <c:strCache>
                <c:ptCount val="1"/>
                <c:pt idx="0">
                  <c:v>11</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(2)'!$B$13:$D$13</c:f>
              <c:numCache>
                <c:formatCode>General</c:formatCode>
                <c:ptCount val="3"/>
                <c:pt idx="0">
                  <c:v>117</c:v>
                </c:pt>
                <c:pt idx="1">
                  <c:v>116</c:v>
                </c:pt>
                <c:pt idx="2">
                  <c:v>112</c:v>
                </c:pt>
              </c:numCache>
            </c:numRef>
          </c:val>
          <c:smooth val="0"/>
        </c:ser>
        <c:ser>
          <c:idx val="21"/>
          <c:order val="2"/>
          <c:tx>
            <c:strRef>
              <c:f>'Simple horse ID (2)'!$A$14</c:f>
              <c:strCache>
                <c:ptCount val="1"/>
                <c:pt idx="0">
                  <c:v>12</c:v>
                </c:pt>
              </c:strCache>
            </c:strRef>
          </c:tx>
          <c:spPr>
            <a:ln w="12700">
              <a:solidFill>
                <a:schemeClr val="tx1"/>
              </a:solidFill>
            </a:ln>
          </c:spPr>
          <c:marker>
            <c:symbol val="none"/>
          </c:marker>
          <c:cat>
            <c:strRef>
              <c:f>'Simple horse ID (2)'!$B$2:$D$2</c:f>
              <c:strCache>
                <c:ptCount val="3"/>
                <c:pt idx="0">
                  <c:v>CenFr</c:v>
                </c:pt>
                <c:pt idx="1">
                  <c:v>CenRT</c:v>
                </c:pt>
                <c:pt idx="2">
                  <c:v>RTCen</c:v>
                </c:pt>
              </c:strCache>
            </c:strRef>
          </c:cat>
          <c:val>
            <c:numRef>
              <c:f>'Simple horse ID (2)'!$B$14:$D$14</c:f>
              <c:numCache>
                <c:formatCode>General</c:formatCode>
                <c:ptCount val="3"/>
                <c:pt idx="0">
                  <c:v>160</c:v>
                </c:pt>
                <c:pt idx="1">
                  <c:v>151</c:v>
                </c:pt>
                <c:pt idx="2">
                  <c:v>147</c:v>
                </c:pt>
              </c:numCache>
            </c:numRef>
          </c:val>
          <c:smooth val="0"/>
        </c:ser>
        <c:ser>
          <c:idx val="1"/>
          <c:order val="3"/>
          <c:tx>
            <c:strRef>
              <c:f>'Simple horse ID (2)'!$A$5</c:f>
              <c:strCache>
                <c:ptCount val="1"/>
                <c:pt idx="0">
                  <c:v>3</c:v>
                </c:pt>
              </c:strCache>
            </c:strRef>
          </c:tx>
          <c:spPr>
            <a:ln w="12700">
              <a:solidFill>
                <a:schemeClr val="tx1"/>
              </a:solidFill>
            </a:ln>
          </c:spPr>
          <c:marker>
            <c:symbol val="none"/>
          </c:marker>
          <c:val>
            <c:numRef>
              <c:f>'Simple horse ID (2)'!$B$5:$D$5</c:f>
              <c:numCache>
                <c:formatCode>General</c:formatCode>
                <c:ptCount val="3"/>
                <c:pt idx="0">
                  <c:v>181</c:v>
                </c:pt>
                <c:pt idx="1">
                  <c:v>166</c:v>
                </c:pt>
                <c:pt idx="2">
                  <c:v>166</c:v>
                </c:pt>
              </c:numCache>
            </c:numRef>
          </c:val>
          <c:smooth val="0"/>
        </c:ser>
        <c:dLbls>
          <c:showLegendKey val="0"/>
          <c:showVal val="0"/>
          <c:showCatName val="0"/>
          <c:showSerName val="0"/>
          <c:showPercent val="0"/>
          <c:showBubbleSize val="0"/>
        </c:dLbls>
        <c:marker val="1"/>
        <c:smooth val="0"/>
        <c:axId val="129219584"/>
        <c:axId val="129108224"/>
      </c:lineChart>
      <c:catAx>
        <c:axId val="129219584"/>
        <c:scaling>
          <c:orientation val="minMax"/>
        </c:scaling>
        <c:delete val="0"/>
        <c:axPos val="b"/>
        <c:numFmt formatCode="General" sourceLinked="1"/>
        <c:majorTickMark val="out"/>
        <c:minorTickMark val="none"/>
        <c:tickLblPos val="nextTo"/>
        <c:crossAx val="129108224"/>
        <c:crosses val="autoZero"/>
        <c:auto val="1"/>
        <c:lblAlgn val="ctr"/>
        <c:lblOffset val="100"/>
        <c:noMultiLvlLbl val="0"/>
      </c:catAx>
      <c:valAx>
        <c:axId val="129108224"/>
        <c:scaling>
          <c:orientation val="minMax"/>
          <c:min val="100"/>
        </c:scaling>
        <c:delete val="0"/>
        <c:axPos val="l"/>
        <c:title>
          <c:tx>
            <c:rich>
              <a:bodyPr rot="-5400000" vert="horz"/>
              <a:lstStyle/>
              <a:p>
                <a:pPr>
                  <a:defRPr/>
                </a:pPr>
                <a:r>
                  <a:rPr lang="en-US"/>
                  <a:t>Insulin</a:t>
                </a:r>
                <a:r>
                  <a:rPr lang="en-US" baseline="0"/>
                  <a:t> (µIU/ml)</a:t>
                </a:r>
                <a:endParaRPr lang="en-US"/>
              </a:p>
            </c:rich>
          </c:tx>
          <c:overlay val="0"/>
        </c:title>
        <c:numFmt formatCode="General" sourceLinked="1"/>
        <c:majorTickMark val="out"/>
        <c:minorTickMark val="none"/>
        <c:tickLblPos val="nextTo"/>
        <c:crossAx val="129219584"/>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0.01413</cdr:x>
      <cdr:y>0.01867</cdr:y>
    </cdr:from>
    <cdr:to>
      <cdr:x>0.12431</cdr:x>
      <cdr:y>0.12002</cdr:y>
    </cdr:to>
    <cdr:sp macro="" textlink="">
      <cdr:nvSpPr>
        <cdr:cNvPr id="2" name="Text Box 1"/>
        <cdr:cNvSpPr txBox="1"/>
      </cdr:nvSpPr>
      <cdr:spPr>
        <a:xfrm xmlns:a="http://schemas.openxmlformats.org/drawingml/2006/main">
          <a:off x="39757" y="55659"/>
          <a:ext cx="310101" cy="3021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800" b="1"/>
            <a:t>A</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0.06547</cdr:x>
      <cdr:y>0.05171</cdr:y>
    </cdr:from>
    <cdr:to>
      <cdr:x>0.17952</cdr:x>
      <cdr:y>0.15306</cdr:y>
    </cdr:to>
    <cdr:sp macro="" textlink="">
      <cdr:nvSpPr>
        <cdr:cNvPr id="3" name="Text Box 1"/>
        <cdr:cNvSpPr txBox="1"/>
      </cdr:nvSpPr>
      <cdr:spPr>
        <a:xfrm xmlns:a="http://schemas.openxmlformats.org/drawingml/2006/main">
          <a:off x="178021" y="154167"/>
          <a:ext cx="310101" cy="302149"/>
        </a:xfrm>
        <a:prstGeom xmlns:a="http://schemas.openxmlformats.org/drawingml/2006/main" prst="rect">
          <a:avLst/>
        </a:prstGeom>
      </cdr:spPr>
    </cdr:sp>
  </cdr:relSizeAnchor>
  <cdr:relSizeAnchor xmlns:cdr="http://schemas.openxmlformats.org/drawingml/2006/chartDrawing">
    <cdr:from>
      <cdr:x>0.02632</cdr:x>
      <cdr:y>0.024</cdr:y>
    </cdr:from>
    <cdr:to>
      <cdr:x>0.17253</cdr:x>
      <cdr:y>0.14669</cdr:y>
    </cdr:to>
    <cdr:sp macro="" textlink="">
      <cdr:nvSpPr>
        <cdr:cNvPr id="4" name="Text Box 3"/>
        <cdr:cNvSpPr txBox="1"/>
      </cdr:nvSpPr>
      <cdr:spPr>
        <a:xfrm xmlns:a="http://schemas.openxmlformats.org/drawingml/2006/main">
          <a:off x="71561" y="71562"/>
          <a:ext cx="397565" cy="36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800" b="1"/>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2A07-3FCE-42E4-B519-CC866BDA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Carslake, Harry</dc:creator>
  <cp:lastModifiedBy>McGowan, Cathy</cp:lastModifiedBy>
  <cp:revision>3</cp:revision>
  <dcterms:created xsi:type="dcterms:W3CDTF">2016-04-14T11:08:00Z</dcterms:created>
  <dcterms:modified xsi:type="dcterms:W3CDTF">2016-04-14T11:09:00Z</dcterms:modified>
</cp:coreProperties>
</file>