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EDD" w:rsidRPr="00D47427" w:rsidRDefault="0040000F" w:rsidP="006E4730">
      <w:pPr>
        <w:pStyle w:val="BATitle"/>
        <w:spacing w:before="120" w:line="480" w:lineRule="auto"/>
      </w:pPr>
      <w:r w:rsidRPr="00D47427">
        <w:t xml:space="preserve">Mechanistic Insight into the Superoxide Induced Ring Opening in Propylene Carbonate Based Electrolytes </w:t>
      </w:r>
      <w:r w:rsidR="00581EDD" w:rsidRPr="00D47427">
        <w:t>u</w:t>
      </w:r>
      <w:r w:rsidRPr="00D47427">
        <w:t xml:space="preserve">sing </w:t>
      </w:r>
      <w:r w:rsidRPr="00D47427">
        <w:rPr>
          <w:i/>
        </w:rPr>
        <w:t xml:space="preserve">in </w:t>
      </w:r>
      <w:r w:rsidR="00581EDD" w:rsidRPr="00D47427">
        <w:rPr>
          <w:i/>
        </w:rPr>
        <w:t>s</w:t>
      </w:r>
      <w:r w:rsidRPr="00D47427">
        <w:rPr>
          <w:i/>
        </w:rPr>
        <w:t>itu</w:t>
      </w:r>
      <w:r w:rsidRPr="00D47427">
        <w:t xml:space="preserve"> Surface-Enhanced Infrared Spectroscopy</w:t>
      </w:r>
    </w:p>
    <w:p w:rsidR="0095413E" w:rsidRPr="00D47427" w:rsidRDefault="0095413E" w:rsidP="005A0EE4">
      <w:pPr>
        <w:pStyle w:val="BBAuthorName"/>
      </w:pPr>
    </w:p>
    <w:p w:rsidR="00A66EDD" w:rsidRPr="00D47427" w:rsidRDefault="0040000F" w:rsidP="005A0EE4">
      <w:pPr>
        <w:pStyle w:val="BBAuthorName"/>
      </w:pPr>
      <w:r w:rsidRPr="00D47427">
        <w:t xml:space="preserve">J. Padmanabhan </w:t>
      </w:r>
      <w:proofErr w:type="spellStart"/>
      <w:r w:rsidRPr="00D47427">
        <w:t>Vivek</w:t>
      </w:r>
      <w:r w:rsidR="00AE56B8" w:rsidRPr="00D47427">
        <w:rPr>
          <w:vertAlign w:val="superscript"/>
        </w:rPr>
        <w:t>a</w:t>
      </w:r>
      <w:proofErr w:type="spellEnd"/>
      <w:r w:rsidRPr="00D47427">
        <w:t xml:space="preserve">, Neil </w:t>
      </w:r>
      <w:proofErr w:type="spellStart"/>
      <w:r w:rsidRPr="00D47427">
        <w:t>Berry</w:t>
      </w:r>
      <w:r w:rsidR="00AE56B8" w:rsidRPr="00D47427">
        <w:rPr>
          <w:vertAlign w:val="superscript"/>
        </w:rPr>
        <w:t>a</w:t>
      </w:r>
      <w:proofErr w:type="spellEnd"/>
      <w:r w:rsidRPr="00D47427">
        <w:t xml:space="preserve">, </w:t>
      </w:r>
      <w:r w:rsidR="00404E42">
        <w:t xml:space="preserve">Georgios </w:t>
      </w:r>
      <w:proofErr w:type="spellStart"/>
      <w:r w:rsidR="00404E42">
        <w:t>Papageorgiou</w:t>
      </w:r>
      <w:r w:rsidR="00AE56B8" w:rsidRPr="00D47427">
        <w:rPr>
          <w:vertAlign w:val="superscript"/>
        </w:rPr>
        <w:t>b</w:t>
      </w:r>
      <w:proofErr w:type="spellEnd"/>
      <w:r w:rsidR="002446B3" w:rsidRPr="00D47427">
        <w:t xml:space="preserve">, </w:t>
      </w:r>
      <w:r w:rsidRPr="00D47427">
        <w:t xml:space="preserve">Richard J. </w:t>
      </w:r>
      <w:proofErr w:type="spellStart"/>
      <w:r w:rsidRPr="00D47427">
        <w:t>Nichols</w:t>
      </w:r>
      <w:r w:rsidR="00AE56B8" w:rsidRPr="00D47427">
        <w:rPr>
          <w:vertAlign w:val="superscript"/>
        </w:rPr>
        <w:t>a</w:t>
      </w:r>
      <w:proofErr w:type="spellEnd"/>
      <w:r w:rsidRPr="00D47427">
        <w:t xml:space="preserve">, Laurence J. </w:t>
      </w:r>
      <w:proofErr w:type="spellStart"/>
      <w:r w:rsidRPr="00D47427">
        <w:t>Hardwick</w:t>
      </w:r>
      <w:r w:rsidR="00AE56B8" w:rsidRPr="00D47427">
        <w:rPr>
          <w:vertAlign w:val="superscript"/>
        </w:rPr>
        <w:t>a</w:t>
      </w:r>
      <w:proofErr w:type="spellEnd"/>
      <w:r w:rsidR="0095413E" w:rsidRPr="00D47427">
        <w:rPr>
          <w:vertAlign w:val="superscript"/>
        </w:rPr>
        <w:t>*</w:t>
      </w:r>
    </w:p>
    <w:p w:rsidR="00CA540E" w:rsidRPr="00D47427" w:rsidRDefault="00AE56B8" w:rsidP="0095413E">
      <w:pPr>
        <w:pStyle w:val="BCAuthorAddress"/>
        <w:spacing w:line="480" w:lineRule="auto"/>
        <w:rPr>
          <w:rFonts w:ascii="Times New Roman" w:hAnsi="Times New Roman"/>
          <w:sz w:val="22"/>
        </w:rPr>
      </w:pPr>
      <w:proofErr w:type="spellStart"/>
      <w:proofErr w:type="gramStart"/>
      <w:r w:rsidRPr="00D47427">
        <w:rPr>
          <w:rFonts w:ascii="Times New Roman" w:hAnsi="Times New Roman"/>
          <w:sz w:val="22"/>
          <w:vertAlign w:val="superscript"/>
        </w:rPr>
        <w:t>a</w:t>
      </w:r>
      <w:r w:rsidR="0040000F" w:rsidRPr="00D47427">
        <w:rPr>
          <w:rFonts w:ascii="Times New Roman" w:hAnsi="Times New Roman"/>
          <w:sz w:val="22"/>
        </w:rPr>
        <w:t>Department</w:t>
      </w:r>
      <w:proofErr w:type="spellEnd"/>
      <w:proofErr w:type="gramEnd"/>
      <w:r w:rsidR="0040000F" w:rsidRPr="00D47427">
        <w:rPr>
          <w:rFonts w:ascii="Times New Roman" w:hAnsi="Times New Roman"/>
          <w:sz w:val="22"/>
        </w:rPr>
        <w:t xml:space="preserve"> of Chemistry, University of Liverpool, Liverpool L69 7Z</w:t>
      </w:r>
      <w:r w:rsidR="00CA540E" w:rsidRPr="00D47427">
        <w:rPr>
          <w:rFonts w:ascii="Times New Roman" w:hAnsi="Times New Roman"/>
          <w:sz w:val="22"/>
        </w:rPr>
        <w:t>D</w:t>
      </w:r>
      <w:r w:rsidR="0040000F" w:rsidRPr="00D47427">
        <w:rPr>
          <w:rFonts w:ascii="Times New Roman" w:hAnsi="Times New Roman"/>
          <w:sz w:val="22"/>
        </w:rPr>
        <w:t>, United Kingdom</w:t>
      </w:r>
    </w:p>
    <w:p w:rsidR="00A66EDD" w:rsidRPr="00D47427" w:rsidRDefault="00AE56B8" w:rsidP="0095413E">
      <w:pPr>
        <w:pStyle w:val="BCAuthorAddress"/>
        <w:spacing w:line="480" w:lineRule="auto"/>
        <w:rPr>
          <w:rFonts w:ascii="Times New Roman" w:hAnsi="Times New Roman"/>
          <w:sz w:val="22"/>
        </w:rPr>
      </w:pPr>
      <w:proofErr w:type="spellStart"/>
      <w:proofErr w:type="gramStart"/>
      <w:r w:rsidRPr="00D47427">
        <w:rPr>
          <w:rFonts w:ascii="Times New Roman" w:hAnsi="Times New Roman"/>
          <w:sz w:val="22"/>
          <w:vertAlign w:val="superscript"/>
        </w:rPr>
        <w:t>b</w:t>
      </w:r>
      <w:r w:rsidR="00CA540E" w:rsidRPr="00D47427">
        <w:rPr>
          <w:rFonts w:ascii="Times New Roman" w:hAnsi="Times New Roman"/>
          <w:sz w:val="22"/>
        </w:rPr>
        <w:t>Department</w:t>
      </w:r>
      <w:proofErr w:type="spellEnd"/>
      <w:proofErr w:type="gramEnd"/>
      <w:r w:rsidR="00CA540E" w:rsidRPr="00D47427">
        <w:rPr>
          <w:rFonts w:ascii="Times New Roman" w:hAnsi="Times New Roman"/>
          <w:sz w:val="22"/>
        </w:rPr>
        <w:t xml:space="preserve"> of Physics, University of Liverpool, Liverpool L69 7ZF, United Kingdom</w:t>
      </w:r>
    </w:p>
    <w:p w:rsidR="00046572" w:rsidRPr="00D47427" w:rsidRDefault="00046572" w:rsidP="00725A59">
      <w:pPr>
        <w:pStyle w:val="BGKeywords"/>
        <w:rPr>
          <w:rFonts w:ascii="Times New Roman" w:hAnsi="Times New Roman"/>
          <w:sz w:val="22"/>
        </w:rPr>
      </w:pPr>
    </w:p>
    <w:p w:rsidR="007A14DB" w:rsidRPr="00D47427" w:rsidRDefault="007A14DB" w:rsidP="00863299">
      <w:pPr>
        <w:pStyle w:val="TAMainText"/>
      </w:pPr>
    </w:p>
    <w:p w:rsidR="007A14DB" w:rsidRPr="00D47427" w:rsidRDefault="007A14DB" w:rsidP="00863299">
      <w:pPr>
        <w:pStyle w:val="TAMainText"/>
      </w:pPr>
    </w:p>
    <w:p w:rsidR="007A14DB" w:rsidRPr="00D47427" w:rsidRDefault="007A14DB" w:rsidP="00863299">
      <w:pPr>
        <w:pStyle w:val="TAMainText"/>
      </w:pPr>
    </w:p>
    <w:p w:rsidR="0095413E" w:rsidRPr="00D47427" w:rsidRDefault="0095413E" w:rsidP="00863299">
      <w:pPr>
        <w:pStyle w:val="TAMainText"/>
      </w:pPr>
      <w:r w:rsidRPr="00D47427">
        <w:t>AUTHOR INFORMATION</w:t>
      </w:r>
    </w:p>
    <w:p w:rsidR="0095413E" w:rsidRPr="00D47427" w:rsidRDefault="0095413E" w:rsidP="00863299">
      <w:pPr>
        <w:pStyle w:val="TAMainText"/>
      </w:pPr>
      <w:r w:rsidRPr="00D47427">
        <w:t>Corresponding Author</w:t>
      </w:r>
    </w:p>
    <w:p w:rsidR="0095413E" w:rsidRPr="00D47427" w:rsidRDefault="0095413E" w:rsidP="00863299">
      <w:pPr>
        <w:pStyle w:val="TAMainText"/>
      </w:pPr>
      <w:r w:rsidRPr="00D47427">
        <w:t>*hardwick@liverpool.ac.uk</w:t>
      </w:r>
    </w:p>
    <w:p w:rsidR="0095413E" w:rsidRPr="00D47427" w:rsidRDefault="0095413E">
      <w:pPr>
        <w:spacing w:after="0"/>
        <w:jc w:val="left"/>
        <w:rPr>
          <w:rStyle w:val="BDAbstractTitleChar"/>
          <w:rFonts w:ascii="Times New Roman" w:hAnsi="Times New Roman"/>
          <w:sz w:val="22"/>
          <w:szCs w:val="22"/>
        </w:rPr>
      </w:pPr>
      <w:r w:rsidRPr="00D47427">
        <w:rPr>
          <w:rStyle w:val="BDAbstractTitleChar"/>
          <w:rFonts w:ascii="Times New Roman" w:hAnsi="Times New Roman"/>
          <w:sz w:val="22"/>
          <w:szCs w:val="22"/>
        </w:rPr>
        <w:br w:type="page"/>
      </w:r>
    </w:p>
    <w:p w:rsidR="00694506" w:rsidRPr="00D47427" w:rsidRDefault="00694506" w:rsidP="00863299">
      <w:pPr>
        <w:pStyle w:val="TAMainText"/>
      </w:pPr>
      <w:r w:rsidRPr="00D47427">
        <w:lastRenderedPageBreak/>
        <w:t xml:space="preserve">ABSTRACT </w:t>
      </w:r>
    </w:p>
    <w:p w:rsidR="00694506" w:rsidRPr="00D47427" w:rsidRDefault="00694506" w:rsidP="00863299">
      <w:pPr>
        <w:pStyle w:val="TAMainText"/>
      </w:pPr>
      <w:r w:rsidRPr="00D47427">
        <w:t>Understanding the mechanistic details of the superoxide induced solvent degradation, is important in the development of stable electrolytes for lithium-oxygen (Li-O</w:t>
      </w:r>
      <w:r w:rsidRPr="00833A41">
        <w:rPr>
          <w:vertAlign w:val="subscript"/>
        </w:rPr>
        <w:t>2</w:t>
      </w:r>
      <w:r w:rsidRPr="00D47427">
        <w:t>) batteries. Propylene carbonate (PC) d</w:t>
      </w:r>
      <w:r w:rsidRPr="00D47427">
        <w:t>e</w:t>
      </w:r>
      <w:r w:rsidRPr="00D47427">
        <w:t xml:space="preserve">composition on a model electrode surface is studied here using </w:t>
      </w:r>
      <w:r w:rsidRPr="00DD18E6">
        <w:rPr>
          <w:i/>
        </w:rPr>
        <w:t>in situ</w:t>
      </w:r>
      <w:r w:rsidRPr="00D47427">
        <w:t xml:space="preserve"> attenuated total reflectance surface enhanced infrared absorption spectroscopy (ATR-SEIRAS). The sensitivity of the SEIRAS technique to the interfacial region allows investigation of subtle changes in the interface region during electrochemical reactions. Our SEIRAS studies show that the superoxide induced ring opening reaction of PC is dete</w:t>
      </w:r>
      <w:r w:rsidRPr="00D47427">
        <w:t>r</w:t>
      </w:r>
      <w:r w:rsidRPr="00D47427">
        <w:t>mined by the electrolyte cation. Computational modelling of the proposed reaction pathway of superoxide with PC revealed a large difference in the activation energy barriers when Li</w:t>
      </w:r>
      <w:r w:rsidRPr="00833A41">
        <w:rPr>
          <w:vertAlign w:val="superscript"/>
        </w:rPr>
        <w:t>+</w:t>
      </w:r>
      <w:r w:rsidRPr="00D47427">
        <w:t xml:space="preserve"> was the counter cation compared with tetraethyl ammonium (TEA</w:t>
      </w:r>
      <w:r w:rsidRPr="00833A41">
        <w:rPr>
          <w:vertAlign w:val="superscript"/>
        </w:rPr>
        <w:t>+</w:t>
      </w:r>
      <w:r w:rsidRPr="00D47427">
        <w:t>), due to the coordination of Li</w:t>
      </w:r>
      <w:r w:rsidRPr="00833A41">
        <w:rPr>
          <w:vertAlign w:val="superscript"/>
        </w:rPr>
        <w:t>+</w:t>
      </w:r>
      <w:r w:rsidRPr="00D47427">
        <w:t xml:space="preserve"> to the carbonate functionality. While the degradation of cyclic organic carbonates during the Li-O</w:t>
      </w:r>
      <w:r w:rsidRPr="006703B1">
        <w:rPr>
          <w:vertAlign w:val="subscript"/>
        </w:rPr>
        <w:t>2</w:t>
      </w:r>
      <w:r w:rsidRPr="00D47427">
        <w:t xml:space="preserve"> battery </w:t>
      </w:r>
      <w:proofErr w:type="gramStart"/>
      <w:r w:rsidRPr="00D47427">
        <w:t>discharge</w:t>
      </w:r>
      <w:proofErr w:type="gramEnd"/>
      <w:r w:rsidRPr="00D47427">
        <w:t xml:space="preserve"> process is a well-established case, understanding these details are of significant importance towards a rational selection of the Li-O</w:t>
      </w:r>
      <w:r w:rsidRPr="00833A41">
        <w:rPr>
          <w:vertAlign w:val="subscript"/>
        </w:rPr>
        <w:t>2</w:t>
      </w:r>
      <w:r w:rsidRPr="00D47427">
        <w:t xml:space="preserve"> battery electrolytes; our work signifies the use of SEIRAS technique in this direction.</w:t>
      </w:r>
    </w:p>
    <w:p w:rsidR="0072470D" w:rsidRPr="00D47427" w:rsidRDefault="0072470D" w:rsidP="00863299">
      <w:pPr>
        <w:pStyle w:val="TAMainText"/>
      </w:pPr>
    </w:p>
    <w:p w:rsidR="0072470D" w:rsidRPr="00D47427" w:rsidRDefault="0072470D">
      <w:pPr>
        <w:spacing w:after="0"/>
        <w:jc w:val="left"/>
        <w:rPr>
          <w:rFonts w:ascii="Times New Roman" w:eastAsiaTheme="minorHAnsi" w:hAnsi="Times New Roman"/>
          <w:caps/>
          <w:kern w:val="21"/>
          <w:sz w:val="22"/>
          <w:szCs w:val="22"/>
        </w:rPr>
      </w:pPr>
      <w:r w:rsidRPr="00D47427">
        <w:rPr>
          <w:rFonts w:ascii="Times New Roman" w:eastAsiaTheme="minorHAnsi" w:hAnsi="Times New Roman"/>
          <w:caps/>
          <w:sz w:val="22"/>
          <w:szCs w:val="22"/>
        </w:rPr>
        <w:br w:type="page"/>
      </w:r>
    </w:p>
    <w:p w:rsidR="006950DB" w:rsidRPr="00863299" w:rsidRDefault="006950DB" w:rsidP="00863299">
      <w:pPr>
        <w:pStyle w:val="TAMainText"/>
        <w:rPr>
          <w:b/>
        </w:rPr>
      </w:pPr>
      <w:r w:rsidRPr="00863299">
        <w:rPr>
          <w:b/>
        </w:rPr>
        <w:lastRenderedPageBreak/>
        <w:t>Introduction</w:t>
      </w:r>
    </w:p>
    <w:p w:rsidR="006950DB" w:rsidRPr="00D47427" w:rsidRDefault="002F238C" w:rsidP="00863299">
      <w:pPr>
        <w:pStyle w:val="TAMainText"/>
      </w:pPr>
      <w:r w:rsidRPr="00D47427">
        <w:t>Lithium</w:t>
      </w:r>
      <w:r w:rsidR="006950DB" w:rsidRPr="00D47427">
        <w:t xml:space="preserve">–oxygen </w:t>
      </w:r>
      <w:r w:rsidRPr="00D47427">
        <w:t>(Li-O</w:t>
      </w:r>
      <w:r w:rsidRPr="00D47427">
        <w:rPr>
          <w:vertAlign w:val="subscript"/>
        </w:rPr>
        <w:t>2</w:t>
      </w:r>
      <w:r w:rsidRPr="00D47427">
        <w:t xml:space="preserve">) </w:t>
      </w:r>
      <w:r w:rsidR="006950DB" w:rsidRPr="00D47427">
        <w:t xml:space="preserve">batteries have attracted a great deal of research interest in recent years for their promising </w:t>
      </w:r>
      <w:r w:rsidRPr="00D47427">
        <w:t xml:space="preserve">specific </w:t>
      </w:r>
      <w:r w:rsidR="006950DB" w:rsidRPr="00D47427">
        <w:t>energy</w:t>
      </w:r>
      <w:r w:rsidR="00652BE2" w:rsidRPr="00D47427">
        <w:fldChar w:fldCharType="begin" w:fldLock="1"/>
      </w:r>
      <w:r w:rsidR="007E2DD7">
        <w:instrText>ADDIN CSL_CITATION { "citationItems" : [ { "id" : "ITEM-1", "itemData" : { "DOI" : "10.1038/507026a", "ISSN" : "1476-4687", "PMID" : "24598624", "author" : [ { "dropping-particle" : "", "family" : "Noorden", "given" : "Richard", "non-dropping-particle" : "Van", "parse-names" : false, "suffix" : "" } ], "container-title" : "Nature", "id" : "ITEM-1", "issue" : "7490", "issued" : { "date-parts" : [ [ "2014", "3", "6" ] ] }, "page" : "26-8", "title" : "The rechargeable revolution: A better battery.", "type" : "article-journal", "volume" : "507" }, "uris" : [ "http://www.mendeley.com/documents/?uuid=39e09a01-f88d-4bba-8736-2f140f35fa26" ] }, { "id" : "ITEM-2", "itemData" : { "DOI" : "10.1038/nmat3191", "ISSN" : "1476-1122", "PMID" : "22169914", "abstract" : "Li-ion batteries have transformed portable electronics and will play a key role in the electrification of transport. However, the highest energy storage possible for Li-ion batteries is insufficient for the long-term needs of society, for example, extended-range electric vehicles. To go beyond the horizon of Li-ion batteries is a formidable challenge; there are few options. Here we consider two: Li-air (O(2)) and Li-S. The energy that can be stored in Li-air (based on aqueous or non-aqueous electrolytes) and Li-S cells is compared with Li-ion; the operation of the cells is discussed, as are the significant hurdles that will have to be overcome if such batteries are to succeed. Fundamental scientific advances in understanding the reactions occurring in the cells as well as new materials are key to overcoming these obstacles. The potential benefits of Li-air and Li-S justify the continued research effort that will be needed.", "author" : [ { "dropping-particle" : "", "family" : "Bruce", "given" : "Peter G", "non-dropping-particle" : "", "parse-names" : false, "suffix" : "" }, { "dropping-particle" : "", "family" : "Freunberger", "given" : "Stefan A", "non-dropping-particle" : "", "parse-names" : false, "suffix" : "" }, { "dropping-particle" : "", "family" : "Hardwick", "given" : "Laurence J", "non-dropping-particle" : "", "parse-names" : false, "suffix" : "" }, { "dropping-particle" : "", "family" : "Tarascon", "given" : "Jean-Marie", "non-dropping-particle" : "", "parse-names" : false, "suffix" : "" } ], "container-title" : "Nature materials", "id" : "ITEM-2", "issue" : "1", "issued" : { "date-parts" : [ [ "2012", "1" ] ] }, "page" : "19-29", "publisher" : "Nature Publishing Group, a division of Macmillan Publishers Limited. All Rights Reserved.", "title" : "Li-O2 and Li-S batteries with high energy storage.", "title-short" : "Nat Mater", "type" : "article-journal", "volume" : "11" }, "uris" : [ "http://www.mendeley.com/documents/?uuid=994ff19d-8a45-4c8c-98ec-521c4a487eab" ] }, { "id" : "ITEM-3", "itemData" : { "DOI" : "10.1126/science.1223985", "ISBN" : "1095-9203 (Electronic)\\n0036-8075 (Linking)", "ISSN" : "0036-8075", "PMID" : "22821984", "abstract" : "The rechargeable nonaqueous lithium-air (Li-O(2)) battery is receiving a great deal of interest because, theoretically, its specific energy far exceeds the best that can be achieved with lithium-ion cells. Operation of the rechargeable Li-O(2) battery depends critically on repeated and highly reversible formation/decomposition of lithium peroxide (Li(2)O(2)) at the cathode upon cycling. Here, we show that this process is possible with the use of a dimethyl sulfoxide electrolyte and a porous gold electrode (95% capacity retention from cycles 1 to 100), whereas previously only partial Li(2)O(2) formation/decomposition and limited cycling could occur. Furthermore, we present data indicating that the kinetics of Li(2)O(2) oxidation on charge is approximately 10 times faster than on carbon electrodes.", "author" : [ { "dropping-particle" : "", "family" : "Peng", "given" : "Z.", "non-dropping-particle" : "", "parse-names" : false, "suffix" : "" }, { "dropping-particle" : "", "family" : "Freunberger", "given" : "S. a.", "non-dropping-particle" : "", "parse-names" : false, "suffix" : "" }, { "dropping-particle" : "", "family" : "Chen", "given" : "Y.", "non-dropping-particle" : "", "parse-names" : false, "suffix" : "" }, { "dropping-particle" : "", "family" : "Bruce", "given" : "P. G.", "non-dropping-particle" : "", "parse-names" : false, "suffix" : "" } ], "container-title" : "Science", "id" : "ITEM-3", "issue" : "6094", "issued" : { "date-parts" : [ [ "2012" ] ] }, "page" : "563-566", "title" : "A Reversible and Higher-Rate Li-O2 Battery", "type" : "article-journal", "volume" : "337" }, "uris" : [ "http://www.mendeley.com/documents/?uuid=86132ef4-d49f-416e-be37-34732c99c3eb" ] }, { "id" : "ITEM-4", "itemData" : { "DOI" : "10.1002/9781118615515", "ISBN" : "9781118615515", "editor" : [ { "dropping-particle" : "", "family" : "Scrosati", "given" : "Bruno", "non-dropping-particle" : "", "parse-names" : false, "suffix" : "" }, { "dropping-particle" : "", "family" : "Abraham", "given" : "K. M.", "non-dropping-particle" : "", "parse-names" : false, "suffix" : "" }, { "dropping-particle" : "", "family" : "Schalkwijk", "given" : "Walter", "non-dropping-particle" : "Van", "parse-names" : false, "suffix" : "" }, { "dropping-particle" : "", "family" : "Hassoun", "given" : "Jusef", "non-dropping-particle" : "", "parse-names" : false, "suffix" : "" } ], "id" : "ITEM-4", "issued" : { "date-parts" : [ [ "2013", "7", "9" ] ] }, "publisher" : "John Wiley &amp; Sons, Inc.", "publisher-place" : "Hoboken, NJ, USA", "title" : "Lithium Batteries", "type" : "book" }, "uris" : [ "http://www.mendeley.com/documents/?uuid=3026c261-ae28-4392-b4f3-525eef8c0fd0" ] }, { "id" : "ITEM-5", "itemData" : { "DOI" : "10.1021/cr500054y", "ISSN" : "0009-2665", "author" : [ { "dropping-particle" : "", "family" : "Luntz", "given" : "Alan C", "non-dropping-particle" : "", "parse-names" : false, "suffix" : "" }, { "dropping-particle" : "", "family" : "McCloskey", "given" : "Bryan D", "non-dropping-particle" : "", "parse-names" : false, "suffix" : "" } ], "container-title" : "Chemical Reviews", "id" : "ITEM-5", "issue" : "23", "issued" : { "date-parts" : [ [ "2014", "12", "10" ] ] }, "note" : "doi: 10.1021/cr500054y", "page" : "11721-11750", "publisher" : "American Chemical Society", "title" : "Nonaqueous Li\u2013Air Batteries: A Status Report", "type" : "article-journal", "volume" : "114" }, "uris" : [ "http://www.mendeley.com/documents/?uuid=c94bd25e-d87d-4ea3-bb13-46ef83a3ecc2" ] }, { "id" : "ITEM-6", "itemData" : { "DOI" : "10.1021/jz1005384", "ISSN" : "1948-7185", "abstract" : "The lithium?air system captured worldwide attention in 2009 as a possible battery for electric vehicle propulsion applications. If successfully developed, this battery could provide an energy source for electric vehicles rivaling that of gasoline in terms of usable energy density. However, there are numerous scientific and technical challenges that must be overcome if this alluring promise is to turn into reality. The fundamental battery chemistry during discharge is thought to be the electrochemical oxidation of lithium metal at the anode and reduction of oxygen from air at the cathode. With aprotic electrolytes, as used in Li-ion batteries, there is some evidence that the process can be reversed by applying an external potential, i.e., that such a battery can be electrically recharged. This paper summarizes the authors? view of the promise and challenges facing development of practical Li?air batteries and the current understanding of its chemistry. However, it must be appreciated that this perspective represents only a snapshot in a very rapidly evolving picture.\nThe lithium?air system captured worldwide attention in 2009 as a possible battery for electric vehicle propulsion applications. If successfully developed, this battery could provide an energy source for electric vehicles rivaling that of gasoline in terms of usable energy density. However, there are numerous scientific and technical challenges that must be overcome if this alluring promise is to turn into reality. The fundamental battery chemistry during discharge is thought to be the electrochemical oxidation of lithium metal at the anode and reduction of oxygen from air at the cathode. With aprotic electrolytes, as used in Li-ion batteries, there is some evidence that the process can be reversed by applying an external potential, i.e., that such a battery can be electrically recharged. This paper summarizes the authors? view of the promise and challenges facing development of practical Li?air batteries and the current understanding of its chemistry. However, it must be appreciated that this perspective represents only a snapshot in a very rapidly evolving picture.", "author" : [ { "dropping-particle" : "", "family" : "Girishkumar", "given" : "G.", "non-dropping-particle" : "", "parse-names" : false, "suffix" : "" }, { "dropping-particle" : "", "family" : "McCloskey", "given" : "B.", "non-dropping-particle" : "", "parse-names" : false, "suffix" : "" }, { "dropping-particle" : "", "family" : "Luntz", "given" : "A. C.", "non-dropping-particle" : "", "parse-names" : false, "suffix" : "" }, { "dropping-particle" : "", "family" : "Swanson", "given" : "S.", "non-dropping-particle" : "", "parse-names" : false, "suffix" : "" }, { "dropping-particle" : "", "family" : "Wilcke", "given" : "W.", "non-dropping-particle" : "", "parse-names" : false, "suffix" : "" } ], "container-title" : "The Journal of Physical Chemistry Letters", "id" : "ITEM-6", "issue" : "14", "issued" : { "date-parts" : [ [ "2010", "7", "15" ] ] }, "page" : "2193-2203", "publisher" : "American Chemical Society", "title" : "Lithium\u2212Air Battery: Promise and Challenges", "type" : "article-journal", "volume" : "1" }, "uris" : [ "http://www.mendeley.com/documents/?uuid=ff024bf8-6d39-4e2d-a2f6-9dc55f03ef87" ] }, { "id" : "ITEM-7", "itemData" : { "DOI" : "10.1039/C3CP54165G", "ISSN" : "1463-9076", "abstract" : "Metal-air batteries, utilizing the reduction of ambient oxygen, have the highest energy density because most of the cell volume is occupied by the anode while the cathode active material is not stored in the battery. Lithium metal is a tempting anode material for any battery because of its outstanding specific capacity (3842 mA h g-1 for Li vs. 815 mA h g-1 for Zn). Combining the high energy density of Li with ambient oxygen seems to be a promising option. Specifically, in all classes of electrolytes, the transformation from Li-O2 to Li-air is still a major challenge as the presence of moisture and CO2 reduces significantly the cell performance due to their strong reaction with Li metal. Thus, the quest for electrolyte systems capable of providing a solution to the imposed challenges due to the use of metallic Li, exposure to the environment and handling the formation of reactive discharged product is still on. This extended Review provides an expanded insight into electrolytes being suggested and researched and also a future vision on challenges and their possible solutions.", "author" : [ { "dropping-particle" : "", "family" : "Balaish", "given" : "Moran", "non-dropping-particle" : "", "parse-names" : false, "suffix" : "" }, { "dropping-particle" : "", "family" : "Kraytsberg", "given" : "Alexander", "non-dropping-particle" : "", "parse-names" : false, "suffix" : "" }, { "dropping-particle" : "", "family" : "Ein-Eli", "given" : "Yair", "non-dropping-particle" : "", "parse-names" : false, "suffix" : "" } ], "container-title" : "Physical Chemistry Chemical Physics", "id" : "ITEM-7", "issue" : "7", "issued" : { "date-parts" : [ [ "2014" ] ] }, "page" : "2801-2822", "publisher" : "The Royal Society of Chemistry", "title" : "A critical review on lithium-air battery electrolytes", "type" : "article-journal", "volume" : "16" }, "uris" : [ "http://www.mendeley.com/documents/?uuid=10ed9a81-5fc8-445f-a167-1734586c06b9" ] }, { "id" : "ITEM-8", "itemData" : { "DOI" : "10.1149/2.086202jes", "ISBN" : "0013-4651", "ISSN" : "00134651", "abstract" : "Lithiumair batteries, based on their high theoretical specific energy, are an extremely attractive technology for electrical energy storage that could make long-range electric vehicles widely affordable. However, the impact of this technology has so far fallen short of its potential due to several daunting challenges. In nonaqueous Liair cells, reversible chemistry with a high current efficiency over several cycles has not yet been established, and the deposition of an electrically resistive discharge product appears to limit the capacity. Aqueous cells require water-stable lithium-protection membranes that tend to be thick, heavy, and highly resistive. Both types of cell suffer from poor oxygen redox kinetics at the positive electrode and deleterious volume and morphology changes at the negative electrode. Closed Liair systems that include oxygen storage are much larger and heavier than open systems, but so far oxygen- and OH --selective membranes are not effective in preventing contamination of cells. In this review we discuss the most critical challenges to developing robust, high-energy Liair batteries and suggest future research directions to understand and overcome these challenges. We predict that Liair batteries will primarily remain a research topic for the next several years. However, if the fundamental challenges can be met, the Liair battery has the potential to significantly surpass the energy storage capability of todays Li-ion batteries. \u00a9 2011 The Electrochemical Society.", "author" : [ { "dropping-particle" : "", "family" : "Christensen", "given" : "Jake", "non-dropping-particle" : "", "parse-names" : false, "suffix" : "" }, { "dropping-particle" : "", "family" : "Albertus", "given" : "Paul", "non-dropping-particle" : "", "parse-names" : false, "suffix" : "" }, { "dropping-particle" : "", "family" : "Sanchez-Carrera", "given" : "Roel S.", "non-dropping-particle" : "", "parse-names" : false, "suffix" : "" }, { "dropping-particle" : "", "family" : "Lohmann", "given" : "Timm", "non-dropping-particle" : "", "parse-names" : false, "suffix" : "" }, { "dropping-particle" : "", "family" : "Kozinsky", "given" : "Boris", "non-dropping-particle" : "", "parse-names" : false, "suffix" : "" }, { "dropping-particle" : "", "family" : "Liedtke", "given" : "Ralf", "non-dropping-particle" : "", "parse-names" : false, "suffix" : "" }, { "dropping-particle" : "", "family" : "Ahmed", "given" : "Jasim", "non-dropping-particle" : "", "parse-names" : false, "suffix" : "" }, { "dropping-particle" : "", "family" : "Kojic", "given" : "Aleksandar", "non-dropping-particle" : "", "parse-names" : false, "suffix" : "" } ], "container-title" : "Journal of The Electrochemical Society", "id" : "ITEM-8", "issue" : "2", "issued" : { "date-parts" : [ [ "2012" ] ] }, "page" : "R1", "title" : "A Critical Review of Li\u2215Air Batteries", "type" : "article-journal", "volume" : "159" }, "uris" : [ "http://www.mendeley.com/documents/?uuid=22aa42c5-67eb-4428-b9ce-f4567c24f38e" ] }, { "id" : "ITEM-9", "itemData" : { "DOI" : "10.1002/adma.201403064", "ISSN" : "1521-4095", "PMID" : "25645073", "abstract" : "Lithium/air is a fascinating energy storage system. The effective exploitation of air as a battery electrode has been the long-time dream of the battery community. Air is, in principle, a no-cost material characterized by a very high specific capacity value. In the particular case of the lithium/air system, energy levels approaching that of gasoline have been postulated. It is then not surprising that, in the course of the last decade, great attention has been devoted to this battery by various top academic and industrial laboratories worldwide. This intense investigation, however, has soon highlighted a series of issues that prevent a rapid development of the Li/air electrochemical system. Although several breakthroughs have been achieved recently, the question on whether this battery will have an effective economic and societal impact remains. In this review, a critical evaluation of the progress achieved so far is made, together with an attempt to propose future R&amp;D trends. A forecast on whether Li/air may have a role in the next years' battery technology is also postulated.", "author" : [ { "dropping-particle" : "", "family" : "Grande", "given" : "Lorenzo", "non-dropping-particle" : "", "parse-names" : false, "suffix" : "" }, { "dropping-particle" : "", "family" : "Paillard", "given" : "Elie", "non-dropping-particle" : "", "parse-names" : false, "suffix" : "" }, { "dropping-particle" : "", "family" : "Hassoun", "given" : "Jusef", "non-dropping-particle" : "", "parse-names" : false, "suffix" : "" }, { "dropping-particle" : "", "family" : "Park", "given" : "Jin-Bum", "non-dropping-particle" : "", "parse-names" : false, "suffix" : "" }, { "dropping-particle" : "", "family" : "Lee", "given" : "Yung-Jung", "non-dropping-particle" : "", "parse-names" : false, "suffix" : "" }, { "dropping-particle" : "", "family" : "Sun", "given" : "Yang-Kook", "non-dropping-particle" : "", "parse-names" : false, "suffix" : "" }, { "dropping-particle" : "", "family" : "Passerini", "given" : "Stefano", "non-dropping-particle" : "", "parse-names" : false, "suffix" : "" }, { "dropping-particle" : "", "family" : "Scrosati", "given" : "Bruno", "non-dropping-particle" : "", "parse-names" : false, "suffix" : "" } ], "container-title" : "Advanced materials (Deerfield Beach, Fla.)", "id" : "ITEM-9", "issue" : "5", "issued" : { "date-parts" : [ [ "2015", "2", "4" ] ] }, "page" : "784-800", "title" : "The lithium/air battery: still an emerging system or a practical reality?", "type" : "article-journal", "volume" : "27" }, "uris" : [ "http://www.mendeley.com/documents/?uuid=e8d23f0f-6529-44ed-8a5a-6f8d2543ee27" ] } ], "mendeley" : { "formattedCitation" : "[1]\u2013[9]", "plainTextFormattedCitation" : "[1]\u2013[9]", "previouslyFormattedCitation" : "[1]\u2013[9]" }, "properties" : { "noteIndex" : 0 }, "schema" : "https://github.com/citation-style-language/schema/raw/master/csl-citation.json" }</w:instrText>
      </w:r>
      <w:r w:rsidR="00652BE2" w:rsidRPr="00D47427">
        <w:fldChar w:fldCharType="separate"/>
      </w:r>
      <w:r w:rsidR="007E2DD7" w:rsidRPr="007E2DD7">
        <w:rPr>
          <w:noProof/>
        </w:rPr>
        <w:t>[1]–[9]</w:t>
      </w:r>
      <w:r w:rsidR="00652BE2" w:rsidRPr="00D47427">
        <w:fldChar w:fldCharType="end"/>
      </w:r>
      <w:r w:rsidRPr="00D47427">
        <w:t>.</w:t>
      </w:r>
      <w:r w:rsidR="006950DB" w:rsidRPr="00D47427">
        <w:t>The electrolytes used in non-aqueous lithium based batteries are prima</w:t>
      </w:r>
      <w:r w:rsidR="006950DB" w:rsidRPr="00D47427">
        <w:t>r</w:t>
      </w:r>
      <w:r w:rsidR="006950DB" w:rsidRPr="00D47427">
        <w:t>ily mixtures of aprotic organic solvents and lithium salts, the major prerequisite characteristics of the so</w:t>
      </w:r>
      <w:r w:rsidR="006950DB" w:rsidRPr="00D47427">
        <w:t>l</w:t>
      </w:r>
      <w:r w:rsidR="006950DB" w:rsidRPr="00D47427">
        <w:t>vents being lithium transport properties (ionic conductivity) and electrochemical stability (wide electr</w:t>
      </w:r>
      <w:r w:rsidR="006950DB" w:rsidRPr="00D47427">
        <w:t>o</w:t>
      </w:r>
      <w:r w:rsidR="006950DB" w:rsidRPr="00D47427">
        <w:t>chemical window). There is a growing interest in the fundamental aspects of electrode processes in non</w:t>
      </w:r>
      <w:r w:rsidR="00575E8E" w:rsidRPr="00D47427">
        <w:t>-</w:t>
      </w:r>
      <w:r w:rsidR="006950DB" w:rsidRPr="00D47427">
        <w:t xml:space="preserve">aqueous electrolytes because of their wide application in these battery systems. The physical properties of the electrolytes such as viscosity, </w:t>
      </w:r>
      <w:r w:rsidR="00C62214" w:rsidRPr="00D47427">
        <w:t>Li-ion</w:t>
      </w:r>
      <w:r w:rsidR="006950DB" w:rsidRPr="00D47427">
        <w:t xml:space="preserve"> solubility, oxygen solubility, electrode wettability and thermal stability also determine the performance of a battery. Organic carbonate based electrolytes have been a popular choice for </w:t>
      </w:r>
      <w:r w:rsidR="00C62214" w:rsidRPr="00D47427">
        <w:t>Li-ion</w:t>
      </w:r>
      <w:r w:rsidR="006950DB" w:rsidRPr="00D47427">
        <w:t xml:space="preserve"> batteries</w:t>
      </w:r>
      <w:r w:rsidR="006950DB" w:rsidRPr="00D47427">
        <w:rPr>
          <w:vertAlign w:val="superscript"/>
        </w:rPr>
        <w:fldChar w:fldCharType="begin" w:fldLock="1"/>
      </w:r>
      <w:r w:rsidR="007E2DD7">
        <w:rPr>
          <w:vertAlign w:val="superscript"/>
        </w:rPr>
        <w:instrText>ADDIN CSL_CITATION { "citationItems" : [ { "id" : "ITEM-1", "itemData" : { "DOI" : "10.1021/cr030203g", "ISSN" : "0009-2665", "author" : [ { "dropping-particle" : "", "family" : "Xu", "given" : "Kang", "non-dropping-particle" : "", "parse-names" : false, "suffix" : "" } ], "container-title" : "Chemical Reviews", "id" : "ITEM-1", "issue" : "10", "issued" : { "date-parts" : [ [ "2004", "10", "1" ] ] }, "note" : "doi: 10.1021/cr030203g", "page" : "4303-4418", "publisher" : "American Chemical Society", "title" : "Nonaqueous Liquid Electrolytes for Lithium-Based Rechargeable Batteries", "type" : "article-journal", "volume" : "104" }, "uris" : [ "http://www.mendeley.com/documents/?uuid=a8eb9ae0-b45a-4e36-a5fd-77d716635648" ] }, { "id" : "ITEM-2", "itemData" : { "DOI" : "10.1021/cr500003w", "ISSN" : "0009-2665", "author" : [ { "dropping-particle" : "", "family" : "Xu", "given" : "Kang", "non-dropping-particle" : "", "parse-names" : false, "suffix" : "" } ], "container-title" : "Chemical Reviews", "id" : "ITEM-2", "issue" : "23", "issued" : { "date-parts" : [ [ "2014", "12", "10" ] ] }, "note" : "doi: 10.1021/cr500003w", "page" : "11503-11618", "publisher" : "American Chemical Society", "title" : "Electrolytes and Interphases in Li-Ion Batteries and Beyond", "type" : "article-journal", "volume" : "114" }, "uris" : [ "http://www.mendeley.com/documents/?uuid=8a65efb7-90f3-458d-8896-e8431a3856cb" ] }, { "id" : "ITEM-3", "itemData" : { "DOI" : "http://dx.doi.org/10.1016/j.electacta.2014.05.103", "ISSN" : "0013-4686", "abstract" : "Mixed alkyl carbonates are widely used as solvent for a various lithium-ion battery applications. Understanding the behavior of each solvent in the mixed system is crucial for controlling the electrolyte composition. In this paper, we report a systematic electrochemical and spectroscopic comparison of the reduction of propylene carbonate (PC), ethylene carbonate (EC), and diethyl carbonate (DEC) when used as single (PC), binary (EC/PC, EC/DEC), and ternary (EC/PC/DEC) solvent systems. The reduction products are identified based on Fourier transform infrared spectroscopy (FTIR) after employing linear sweep voltammetry to certain potential regions and their possible formation mechanisms are discussed. FTIR analyses revealed that the reduction of EC and PC was not considerably influenced by the presence of other alkyl carbonates. However, DEC exhibited a different reduction product when used in EC/DEC and EC/PC/DEC solvent systems. The reduction of EC occurred before that of PC and DEC and produced a passivating surface film that prevented carbon exfoliation caused by PC. Battery performance test, cyclic voltammetry, electrochemical impedance spectroscopy, and scanning electron microscope is employed to study the surface films formed. The binary EC/DEC solvent system demonstrated more favorable performance, smaller impedance, and higher Li+ ion diffusivity than did the other solvent systems used in this study.", "author" : [ { "dropping-particle" : "", "family" : "Haregewoin", "given" : "Atetegeb Meazah", "non-dropping-particle" : "", "parse-names" : false, "suffix" : "" }, { "dropping-particle" : "", "family" : "Leggesse", "given" : "Ermias Girma", "non-dropping-particle" : "", "parse-names" : false, "suffix" : "" }, { "dropping-particle" : "", "family" : "Jiang", "given" : "Jyh-Chiang", "non-dropping-particle" : "", "parse-names" : false, "suffix" : "" }, { "dropping-particle" : "", "family" : "Wang", "given" : "Fu-Ming", "non-dropping-particle" : "", "parse-names" : false, "suffix" : "" }, { "dropping-particle" : "", "family" : "Hwang", "given" : "Bing-Joe", "non-dropping-particle" : "", "parse-names" : false, "suffix" : "" }, { "dropping-particle" : "", "family" : "Lin", "given" : "Shawn D.", "non-dropping-particle" : "", "parse-names" : false, "suffix" : "" } ], "container-title" : "Electrochimica Acta", "id" : "ITEM-3", "issue" : "0", "issued" : { "date-parts" : [ [ "2014", "8", "1" ] ] }, "page" : "274-285", "publisher" : "Elsevier Ltd", "title" : "Comparative Study on the Solid Electrolyte Interface Formation by the Reduction of Alkyl Carbonates in Lithium ion Battery", "type" : "article-journal", "volume" : "136" }, "uris" : [ "http://www.mendeley.com/documents/?uuid=9e5772aa-465a-462a-80dd-ee80b2ee8d8a" ] }, { "id" : "ITEM-4", "itemData" : { "DOI" : "10.1149/1.2054777", "abstract" : "The correlation between the electrochemical properties of Li carbon intercalation electrodes and their surface chemistry in solutions was investigated. The carbons investigated were primarily graphite and petroleum coke, and the solvent systems included methyl formate (MF), propylene and ethylene carbonates, ethers and their mixtures. The surface chemistry of the electrodes was studied using mainly diffuse reflectance Fourier transform infrared spectroscopy. The following aspects were studied: (i) the effect of temperature on the buildup of the surface films; (ii) the effect of additives (e.g., \n\n, crown ethers), (iii) the behavior when the passive layer is built in one solution followed by cycling in another; and (iv) the effect of cosolvent in MF solutions. The results obtained further prove that the electrochemical behavior of these systems is surface film controlled. An understanding of the surface chemistry of these electrodes enables judicious optimization of carbon\u2010solution systems for use in rechargeable Li batteries.", "author" : [ { "dropping-particle" : "", "family" : "Aurbach", "given" : "Doron", "non-dropping-particle" : "", "parse-names" : false, "suffix" : "" }, { "dropping-particle" : "", "family" : "Ein\u2010Eli", "given" : "Yair", "non-dropping-particle" : "", "parse-names" : false, "suffix" : "" }, { "dropping-particle" : "", "family" : "Chusid (Youngman)", "given" : "Orit", "non-dropping-particle" : "", "parse-names" : false, "suffix" : "" }, { "dropping-particle" : "", "family" : "Carmeli", "given" : "Yaakov", "non-dropping-particle" : "", "parse-names" : false, "suffix" : "" }, { "dropping-particle" : "", "family" : "Babai", "given" : "Matsliach", "non-dropping-particle" : "", "parse-names" : false, "suffix" : "" }, { "dropping-particle" : "", "family" : "Yamin", "given" : "Herzel", "non-dropping-particle" : "", "parse-names" : false, "suffix" : "" } ], "container-title" : "Journal of The Electrochemical Society ", "id" : "ITEM-4", "issue" : "3 ", "issued" : { "date-parts" : [ [ "1994", "3", "1" ] ] }, "note" : "10.1149/1.2054777", "page" : "603-611", "title" : "The Correlation Between the Surface Chemistry and the Performance of Li\u2010Carbon Intercalation Anodes for Rechargeable \u2018Rocking\u2010Chair\u2019 Type Batteries", "type" : "article-journal", "volume" : "141 " }, "uris" : [ "http://www.mendeley.com/documents/?uuid=bb1a350d-f506-491a-aea4-9e22e91fd064" ] } ], "mendeley" : { "formattedCitation" : "[10]\u2013[13]", "plainTextFormattedCitation" : "[10]\u2013[13]", "previouslyFormattedCitation" : "[10]\u2013[13]" }, "properties" : { "noteIndex" : 0 }, "schema" : "https://github.com/citation-style-language/schema/raw/master/csl-citation.json" }</w:instrText>
      </w:r>
      <w:r w:rsidR="006950DB" w:rsidRPr="00D47427">
        <w:rPr>
          <w:vertAlign w:val="superscript"/>
        </w:rPr>
        <w:fldChar w:fldCharType="separate"/>
      </w:r>
      <w:r w:rsidR="007E2DD7" w:rsidRPr="007E2DD7">
        <w:rPr>
          <w:noProof/>
        </w:rPr>
        <w:t>[10]–[13]</w:t>
      </w:r>
      <w:r w:rsidR="006950DB" w:rsidRPr="00D47427">
        <w:rPr>
          <w:vertAlign w:val="superscript"/>
        </w:rPr>
        <w:fldChar w:fldCharType="end"/>
      </w:r>
      <w:r w:rsidR="006950DB" w:rsidRPr="00D47427">
        <w:t xml:space="preserve"> because of their wide electrochemical window and good compatibility with conventional lithium battery electrodes. Organic carbonates have also been tested </w:t>
      </w:r>
      <w:r w:rsidR="00CD04AF" w:rsidRPr="00D47427">
        <w:t xml:space="preserve">for </w:t>
      </w:r>
      <w:r w:rsidR="006950DB" w:rsidRPr="00D47427">
        <w:t>Li-O</w:t>
      </w:r>
      <w:r w:rsidR="006950DB" w:rsidRPr="00D47427">
        <w:rPr>
          <w:vertAlign w:val="subscript"/>
        </w:rPr>
        <w:t>2</w:t>
      </w:r>
      <w:r w:rsidR="006950DB" w:rsidRPr="00D47427">
        <w:t xml:space="preserve"> </w:t>
      </w:r>
      <w:r w:rsidRPr="00D47427">
        <w:t>cells</w:t>
      </w:r>
      <w:r w:rsidR="006950DB" w:rsidRPr="00D47427">
        <w:t xml:space="preserve">, but have been found unsuitable because of their instability in the presence of reduced oxygen </w:t>
      </w:r>
      <w:r w:rsidR="00461422" w:rsidRPr="00D47427">
        <w:t>species</w:t>
      </w:r>
      <w:r w:rsidR="00461422" w:rsidRPr="00D47427">
        <w:fldChar w:fldCharType="begin" w:fldLock="1"/>
      </w:r>
      <w:r w:rsidR="007E2DD7">
        <w:instrText>ADDIN CSL_CITATION { "citationItems" : [ { "id" : "ITEM-1", "itemData" : { "DOI" : "10.1021/cr500054y", "ISSN" : "0009-2665", "author" : [ { "dropping-particle" : "", "family" : "Luntz", "given" : "Alan C", "non-dropping-particle" : "", "parse-names" : false, "suffix" : "" }, { "dropping-particle" : "", "family" : "McCloskey", "given" : "Bryan D", "non-dropping-particle" : "", "parse-names" : false, "suffix" : "" } ], "container-title" : "Chemical Reviews", "id" : "ITEM-1", "issue" : "23", "issued" : { "date-parts" : [ [ "2014", "12", "10" ] ] }, "note" : "doi: 10.1021/cr500054y", "page" : "11721-11750", "publisher" : "American Chemical Society", "title" : "Nonaqueous Li\u2013Air Batteries: A Status Report", "type" : "article-journal", "volume" : "114" }, "uris" : [ "http://www.mendeley.com/documents/?uuid=c94bd25e-d87d-4ea3-bb13-46ef83a3ecc2" ] }, { "id" : "ITEM-2", "itemData" : { "DOI" : "10.1021/ja2021747", "ISSN" : "0002-7863", "author" : [ { "dropping-particle" : "", "family" : "Freunberger", "given" : "Stefan A", "non-dropping-particle" : "", "parse-names" : false, "suffix" : "" }, { "dropping-particle" : "", "family" : "Chen", "given" : "Yuhui", "non-dropping-particle" : "", "parse-names" : false, "suffix" : "" }, { "dropping-particle" : "", "family" : "Peng", "given" : "Zhangquan", "non-dropping-particle" : "", "parse-names" : false, "suffix" : "" }, { "dropping-particle" : "", "family" : "Griffin", "given" : "John M", "non-dropping-particle" : "", "parse-names" : false, "suffix" : "" }, { "dropping-particle" : "", "family" : "Hardwick", "given" : "Laurence J", "non-dropping-particle" : "", "parse-names" : false, "suffix" : "" }, { "dropping-particle" : "", "family" : "Bard\u00e9", "given" : "Fanny", "non-dropping-particle" : "", "parse-names" : false, "suffix" : "" }, { "dropping-particle" : "", "family" : "Nov\u00e1k", "given" : "Petr", "non-dropping-particle" : "", "parse-names" : false, "suffix" : "" }, { "dropping-particle" : "", "family" : "Bruce", "given" : "Peter G", "non-dropping-particle" : "", "parse-names" : false, "suffix" : "" } ], "container-title" : "Journal of the American Chemical Society", "id" : "ITEM-2", "issue" : "20", "issued" : { "date-parts" : [ [ "2011", "5", "25" ] ] }, "note" : "doi: 10.1021/ja2021747", "page" : "8040-8047", "publisher" : "American Chemical Society", "title" : "Reactions in the Rechargeable Lithium\u2013O2 Battery with Alkyl Carbonate Electrolytes", "type" : "article-journal", "volume" : "133" }, "uris" : [ "http://www.mendeley.com/documents/?uuid=e9d1fbb9-3986-40b0-8675-a544b52e90d5" ] }, { "id" : "ITEM-3", "itemData" : { "DOI" : "10.1134/S1023193515020147", "ISSN" : "1023-1935", "author" : [ { "dropping-particle" : "V", "family" : "Tripachev", "given" : "O", "non-dropping-particle" : "", "parse-names" : false, "suffix" : "" }, { "dropping-particle" : "", "family" : "Maleeva", "given" : "E A", "non-dropping-particle" : "", "parse-names" : false, "suffix" : "" }, { "dropping-particle" : "", "family" : "Tarasevich", "given" : "M R", "non-dropping-particle" : "", "parse-names" : false, "suffix" : "" } ], "container-title" : "Russian Journal of Electrochemistry", "id" : "ITEM-3", "issue" : "2", "issued" : { "date-parts" : [ [ "2015" ] ] }, "language" : "English", "page" : "103-111", "publisher" : "Pleiades Publishing", "title" : "Oxygen electroreduction in propylene carbonate solutions", "type" : "article-journal", "volume" : "51" }, "uris" : [ "http://www.mendeley.com/documents/?uuid=aa5fdb40-562d-4d53-ba52-8369ac9b60a7" ] }, { "id" : "ITEM-4", "itemData" : { "DOI" : "10.1021/jp102019y", "ISSN" : "1932-7447", "author" : [ { "dropping-particle" : "", "family" : "Laoire", "given" : "Cormac O", "non-dropping-particle" : "", "parse-names" : false, "suffix" : "" }, { "dropping-particle" : "", "family" : "Mukerjee", "given" : "Sanjeev", "non-dropping-particle" : "", "parse-names" : false, "suffix" : "" }, { "dropping-particle" : "", "family" : "Abraham", "given" : "K M", "non-dropping-particle" : "", "parse-names" : false, "suffix" : "" }, { "dropping-particle" : "", "family" : "Plichta", "given" : "Edward J", "non-dropping-particle" : "", "parse-names" : false, "suffix" : "" }, { "dropping-particle" : "", "family" : "Hendrickson", "given" : "Mary A", "non-dropping-particle" : "", "parse-names" : false, "suffix" : "" } ], "container-title" : "The Journal of Physical Chemistry C", "id" : "ITEM-4", "issue" : "19", "issued" : { "date-parts" : [ [ "2010", "5", "20" ] ] }, "note" : "doi: 10.1021/jp102019y", "page" : "9178-9186", "publisher" : "American Chemical Society", "title" : "Influence of Nonaqueous Solvents on the Electrochemistry of Oxygen in the Rechargeable Lithium\u2212Air Battery", "type" : "article-journal", "volume" : "114" }, "uris" : [ "http://www.mendeley.com/documents/?uuid=8b7e69af-8d5a-40ca-871e-930e033f9ef1" ] } ], "mendeley" : { "formattedCitation" : "[5], [14]\u2013[16]", "plainTextFormattedCitation" : "[5], [14]\u2013[16]", "previouslyFormattedCitation" : "[5], [14]\u2013[16]" }, "properties" : { "noteIndex" : 0 }, "schema" : "https://github.com/citation-style-language/schema/raw/master/csl-citation.json" }</w:instrText>
      </w:r>
      <w:r w:rsidR="00461422" w:rsidRPr="00D47427">
        <w:fldChar w:fldCharType="separate"/>
      </w:r>
      <w:r w:rsidR="007E2DD7" w:rsidRPr="007E2DD7">
        <w:rPr>
          <w:noProof/>
        </w:rPr>
        <w:t>[5], [14]–[16]</w:t>
      </w:r>
      <w:r w:rsidR="00461422" w:rsidRPr="00D47427">
        <w:fldChar w:fldCharType="end"/>
      </w:r>
      <w:r w:rsidR="006950DB" w:rsidRPr="00D47427">
        <w:t xml:space="preserve">. Though the degradation of cyclic organic carbonates used in </w:t>
      </w:r>
      <w:r w:rsidRPr="00D47427">
        <w:t>Li-O</w:t>
      </w:r>
      <w:r w:rsidRPr="00D47427">
        <w:rPr>
          <w:vertAlign w:val="subscript"/>
        </w:rPr>
        <w:t>2</w:t>
      </w:r>
      <w:r w:rsidR="006950DB" w:rsidRPr="00D47427">
        <w:t xml:space="preserve"> battery systems has already been demonstrated</w:t>
      </w:r>
      <w:r w:rsidR="006950DB" w:rsidRPr="00D47427">
        <w:fldChar w:fldCharType="begin" w:fldLock="1"/>
      </w:r>
      <w:r w:rsidR="007E2DD7">
        <w:instrText>ADDIN CSL_CITATION { "citationItems" : [ { "id" : "ITEM-1", "itemData" : { "DOI" : "10.1021/ja2021747", "ISSN" : "0002-7863", "author" : [ { "dropping-particle" : "", "family" : "Freunberger", "given" : "Stefan A", "non-dropping-particle" : "", "parse-names" : false, "suffix" : "" }, { "dropping-particle" : "", "family" : "Chen", "given" : "Yuhui", "non-dropping-particle" : "", "parse-names" : false, "suffix" : "" }, { "dropping-particle" : "", "family" : "Peng", "given" : "Zhangquan", "non-dropping-particle" : "", "parse-names" : false, "suffix" : "" }, { "dropping-particle" : "", "family" : "Griffin", "given" : "John M", "non-dropping-particle" : "", "parse-names" : false, "suffix" : "" }, { "dropping-particle" : "", "family" : "Hardwick", "given" : "Laurence J", "non-dropping-particle" : "", "parse-names" : false, "suffix" : "" }, { "dropping-particle" : "", "family" : "Bard\u00e9", "given" : "Fanny", "non-dropping-particle" : "", "parse-names" : false, "suffix" : "" }, { "dropping-particle" : "", "family" : "Nov\u00e1k", "given" : "Petr", "non-dropping-particle" : "", "parse-names" : false, "suffix" : "" }, { "dropping-particle" : "", "family" : "Bruce", "given" : "Peter G", "non-dropping-particle" : "", "parse-names" : false, "suffix" : "" } ], "container-title" : "Journal of the American Chemical Society", "id" : "ITEM-1", "issue" : "20", "issued" : { "date-parts" : [ [ "2011", "5", "25" ] ] }, "note" : "doi: 10.1021/ja2021747", "page" : "8040-8047", "publisher" : "American Chemical Society", "title" : "Reactions in the Rechargeable Lithium\u2013O2 Battery with Alkyl Carbonate Electrolytes", "type" : "article-journal", "volume" : "133" }, "uris" : [ "http://www.mendeley.com/documents/?uuid=e9d1fbb9-3986-40b0-8675-a544b52e90d5" ] } ], "mendeley" : { "formattedCitation" : "[14]", "plainTextFormattedCitation" : "[14]", "previouslyFormattedCitation" : "[14]" }, "properties" : { "noteIndex" : 0 }, "schema" : "https://github.com/citation-style-language/schema/raw/master/csl-citation.json" }</w:instrText>
      </w:r>
      <w:r w:rsidR="006950DB" w:rsidRPr="00D47427">
        <w:fldChar w:fldCharType="separate"/>
      </w:r>
      <w:r w:rsidR="007E2DD7" w:rsidRPr="007E2DD7">
        <w:rPr>
          <w:noProof/>
        </w:rPr>
        <w:t>[14]</w:t>
      </w:r>
      <w:r w:rsidR="006950DB" w:rsidRPr="00D47427">
        <w:fldChar w:fldCharType="end"/>
      </w:r>
      <w:r w:rsidR="006950DB" w:rsidRPr="00D47427">
        <w:t>, the mechanism of the electrolyte decomposition at the ele</w:t>
      </w:r>
      <w:r w:rsidR="006950DB" w:rsidRPr="00D47427">
        <w:t>c</w:t>
      </w:r>
      <w:r w:rsidR="006950DB" w:rsidRPr="00D47427">
        <w:t xml:space="preserve">trode/electrolyte interface is not clearly </w:t>
      </w:r>
      <w:r w:rsidR="00735CCA" w:rsidRPr="00D47427">
        <w:t>defined</w:t>
      </w:r>
      <w:r w:rsidR="006950DB" w:rsidRPr="00D47427">
        <w:t>; this is largely because of the difficulty in investigating the electrode interfaces while these reactions are happening inside the battery. A mechanistic understan</w:t>
      </w:r>
      <w:r w:rsidR="006950DB" w:rsidRPr="00D47427">
        <w:t>d</w:t>
      </w:r>
      <w:r w:rsidR="006950DB" w:rsidRPr="00D47427">
        <w:t xml:space="preserve">ing of these reactions at the metal/electrolyte interface is a key step in controlling and eliminating the side reactions affecting the performance of the battery. </w:t>
      </w:r>
    </w:p>
    <w:p w:rsidR="006950DB" w:rsidRPr="00D47427" w:rsidRDefault="006950DB" w:rsidP="00863299">
      <w:pPr>
        <w:pStyle w:val="TAMainText"/>
      </w:pPr>
      <w:r w:rsidRPr="00D47427">
        <w:t xml:space="preserve">In spite of the adequate stability of organic carbonate electrolytes in </w:t>
      </w:r>
      <w:r w:rsidR="00FA14FA" w:rsidRPr="00D47427">
        <w:t>Li</w:t>
      </w:r>
      <w:r w:rsidRPr="00D47427">
        <w:t xml:space="preserve">-ion battery </w:t>
      </w:r>
      <w:r w:rsidR="00F45754" w:rsidRPr="00D47427">
        <w:t>systems;</w:t>
      </w:r>
      <w:r w:rsidRPr="00D47427">
        <w:t xml:space="preserve"> their degr</w:t>
      </w:r>
      <w:r w:rsidRPr="00D47427">
        <w:t>a</w:t>
      </w:r>
      <w:r w:rsidRPr="00D47427">
        <w:t>dation in Li-O</w:t>
      </w:r>
      <w:r w:rsidRPr="00D47427">
        <w:rPr>
          <w:vertAlign w:val="subscript"/>
        </w:rPr>
        <w:t>2</w:t>
      </w:r>
      <w:r w:rsidRPr="00D47427">
        <w:t xml:space="preserve"> batteries is believed to be due to the nucleophilic attack of reduced oxygen species, pr</w:t>
      </w:r>
      <w:r w:rsidRPr="00D47427">
        <w:t>i</w:t>
      </w:r>
      <w:r w:rsidRPr="00D47427">
        <w:t>marily superoxide, generated at the cathode</w:t>
      </w:r>
      <w:r w:rsidR="000A311D" w:rsidRPr="00D47427">
        <w:fldChar w:fldCharType="begin" w:fldLock="1"/>
      </w:r>
      <w:r w:rsidR="007E2DD7">
        <w:instrText>ADDIN CSL_CITATION { "citationItems" : [ { "id" : "ITEM-1", "itemData" : { "DOI" : "10.1021/ja2021747", "ISSN" : "0002-7863", "author" : [ { "dropping-particle" : "", "family" : "Freunberger", "given" : "Stefan A", "non-dropping-particle" : "", "parse-names" : false, "suffix" : "" }, { "dropping-particle" : "", "family" : "Chen", "given" : "Yuhui", "non-dropping-particle" : "", "parse-names" : false, "suffix" : "" }, { "dropping-particle" : "", "family" : "Peng", "given" : "Zhangquan", "non-dropping-particle" : "", "parse-names" : false, "suffix" : "" }, { "dropping-particle" : "", "family" : "Griffin", "given" : "John M", "non-dropping-particle" : "", "parse-names" : false, "suffix" : "" }, { "dropping-particle" : "", "family" : "Hardwick", "given" : "Laurence J", "non-dropping-particle" : "", "parse-names" : false, "suffix" : "" }, { "dropping-particle" : "", "family" : "Bard\u00e9", "given" : "Fanny", "non-dropping-particle" : "", "parse-names" : false, "suffix" : "" }, { "dropping-particle" : "", "family" : "Nov\u00e1k", "given" : "Petr", "non-dropping-particle" : "", "parse-names" : false, "suffix" : "" }, { "dropping-particle" : "", "family" : "Bruce", "given" : "Peter G", "non-dropping-particle" : "", "parse-names" : false, "suffix" : "" } ], "container-title" : "Journal of the American Chemical Society", "id" : "ITEM-1", "issue" : "20", "issued" : { "date-parts" : [ [ "2011", "5", "25" ] ] }, "note" : "doi: 10.1021/ja2021747", "page" : "8040-8047", "publisher" : "American Chemical Society", "title" : "Reactions in the Rechargeable Lithium\u2013O2 Battery with Alkyl Carbonate Electrolytes", "type" : "article-journal", "volume" : "133" }, "uris" : [ "http://www.mendeley.com/documents/?uuid=e9d1fbb9-3986-40b0-8675-a544b52e90d5" ] }, { "id" : "ITEM-2", "itemData" : { "DOI" : "10.1038/nmat3191", "ISSN" : "1476-1122", "PMID" : "22169914", "abstract" : "Li-ion batteries have transformed portable electronics and will play a key role in the electrification of transport. However, the highest energy storage possible for Li-ion batteries is insufficient for the long-term needs of society, for example, extended-range electric vehicles. To go beyond the horizon of Li-ion batteries is a formidable challenge; there are few options. Here we consider two: Li-air (O(2)) and Li-S. The energy that can be stored in Li-air (based on aqueous or non-aqueous electrolytes) and Li-S cells is compared with Li-ion; the operation of the cells is discussed, as are the significant hurdles that will have to be overcome if such batteries are to succeed. Fundamental scientific advances in understanding the reactions occurring in the cells as well as new materials are key to overcoming these obstacles. The potential benefits of Li-air and Li-S justify the continued research effort that will be needed.", "author" : [ { "dropping-particle" : "", "family" : "Bruce", "given" : "Peter G", "non-dropping-particle" : "", "parse-names" : false, "suffix" : "" }, { "dropping-particle" : "", "family" : "Freunberger", "given" : "Stefan A", "non-dropping-particle" : "", "parse-names" : false, "suffix" : "" }, { "dropping-particle" : "", "family" : "Hardwick", "given" : "Laurence J", "non-dropping-particle" : "", "parse-names" : false, "suffix" : "" }, { "dropping-particle" : "", "family" : "Tarascon", "given" : "Jean-Marie", "non-dropping-particle" : "", "parse-names" : false, "suffix" : "" } ], "container-title" : "Nature materials", "id" : "ITEM-2", "issue" : "1", "issued" : { "date-parts" : [ [ "2012", "1" ] ] }, "page" : "19-29", "publisher" : "Nature Publishing Group, a division of Macmillan Publishers Limited. All Rights Reserved.", "title" : "Li-O2 and Li-S batteries with high energy storage.", "title-short" : "Nat Mater", "type" : "article-journal", "volume" : "11" }, "uris" : [ "http://www.mendeley.com/documents/?uuid=994ff19d-8a45-4c8c-98ec-521c4a487eab" ] }, { "id" : "ITEM-3", "itemData" : { "DOI" : "10.1038/nmat3737", "ISSN" : "1476-1122", "PMID" : "23995325", "abstract" : "Rechargeable lithium-air (O2) batteries are receiving intense interest because their high theoretical specific energy exceeds that of lithium-ion batteries. If the Li-O2 battery is ever to succeed, highly reversible formation/decomposition of Li2O2 must take place at the cathode on cycling. However, carbon, used ubiquitously as the basis of the cathode, decomposes during Li2O2 oxidation on charge and actively promotes electrolyte decomposition on cycling. Replacing carbon with a nanoporous gold cathode, when in contact with a dimethyl sulphoxide-based electrolyte, does seem to demonstrate better stability. However, nanoporous gold is not a suitable cathode; its high mass destroys the key advantage of Li-O2 over Li ion (specific energy), it is too expensive and too difficult to fabricate. Identifying a suitable cathode material for the Li-O2 cell is one of the greatest challenges at present. Here we show that a TiC-based cathode reduces greatly side reactions (arising from the electrolyte and electrode degradation) compared with carbon and exhibits better reversible formation/decomposition of Li2O2 even than nanoporous gold (&gt;98% capacity retention after 100 cycles, compared with 95% for nanoporous gold); it is also four times lighter, of lower cost and easier to fabricate. The stability may originate from the presence of TiO2 (along with some TiOC) on the surface of TiC. In contrast to carbon or nanoporous gold, TiC seems to represent a more viable, stable, cathode for aprotic Li-O2 cells.", "author" : [ { "dropping-particle" : "", "family" : "Ottakam Thotiyl", "given" : "Muhammed M", "non-dropping-particle" : "", "parse-names" : false, "suffix" : "" }, { "dropping-particle" : "", "family" : "Freunberger", "given" : "Stefan A", "non-dropping-particle" : "", "parse-names" : false, "suffix" : "" }, { "dropping-particle" : "", "family" : "Peng", "given" : "Zhangquan", "non-dropping-particle" : "", "parse-names" : false, "suffix" : "" }, { "dropping-particle" : "", "family" : "Chen", "given" : "Yuhui", "non-dropping-particle" : "", "parse-names" : false, "suffix" : "" }, { "dropping-particle" : "", "family" : "Liu", "given" : "Zheng", "non-dropping-particle" : "", "parse-names" : false, "suffix" : "" }, { "dropping-particle" : "", "family" : "Bruce", "given" : "Peter G", "non-dropping-particle" : "", "parse-names" : false, "suffix" : "" } ], "container-title" : "Nature materials", "id" : "ITEM-3", "issue" : "11", "issued" : { "date-parts" : [ [ "2013", "11" ] ] }, "page" : "1050-6", "publisher" : "Nature Publishing Group", "title" : "A stable cathode for the aprotic Li-O2 battery.", "title-short" : "Nat Mater", "type" : "article-journal", "volume" : "12" }, "uris" : [ "http://www.mendeley.com/documents/?uuid=338409f1-f8f7-46f5-8e86-85bb9aebb55e" ] }, { "id" : "ITEM-4", "itemData" : { "DOI" : "10.1038/ncomms2855", "ISSN" : "2041-1723", "PMID" : "23652005", "abstract" : "Electrolyte degradation, Li dendrite formation and parasitic reactions with H\u2082O and CO\u2082 are all directly correlated to reversibility and cycleability of Li-air batteries when operated in ambient air. Here we replace easily decomposable liquid electrolytes with a solid Li-ion conductor, which acts as both a catholyte and a Li protector. Meanwhile, the conventional solid air cathodes are replaced with a gel cathode, which contacts directly with the solid catholyte to form a closed and sustainable gel/solid interface. The proposed Li-air cell has sustained repeated cycling in ambient air for 100 cycles (~78 days), with discharge capacity of 2,000 mAh g(-1). The recharging is based largely on the reversible reactions of Li\u2082CO\u2083 product, originating from the initial discharge product of Li\u2082O\u2082 instead of electrolyte degradation. Our results demonstrate that a reversible long-life Li-air battery is attainable by coordinated approaches towards the focal issues of electrolytes and Li metal.", "author" : [ { "dropping-particle" : "", "family" : "Zhang", "given" : "Tao", "non-dropping-particle" : "", "parse-names" : false, "suffix" : "" }, { "dropping-particle" : "", "family" : "Zhou", "given" : "Haoshen", "non-dropping-particle" : "", "parse-names" : false, "suffix" : "" } ], "container-title" : "Nature communications", "id" : "ITEM-4", "issued" : { "date-parts" : [ [ "2013", "1", "7" ] ] }, "page" : "1817", "publisher" : "Nature Publishing Group, a division of Macmillan Publishers Limited. All Rights Reserved.", "title" : "A reversible long-life lithium-air battery in ambient air.", "title-short" : "Nat Commun", "type" : "article-journal", "volume" : "4" }, "uris" : [ "http://www.mendeley.com/documents/?uuid=53baeb59-0d8b-462a-9347-a4d8666909b8" ] }, { "id" : "ITEM-5", "itemData" : { "DOI" : "10.1002/aenm.201400867", "ISSN" : "16146832", "author" : [ { "dropping-particle" : "", "family" : "Adams", "given" : "Brian D.", "non-dropping-particle" : "", "parse-names" : false, "suffix" : "" }, { "dropping-particle" : "", "family" : "Black", "given" : "Robert", "non-dropping-particle" : "", "parse-names" : false, "suffix" : "" }, { "dropping-particle" : "", "family" : "Williams", "given" : "Zack", "non-dropping-particle" : "", "parse-names" : false, "suffix" : "" }, { "dropping-particle" : "", "family" : "Fernandes", "given" : "Russel", "non-dropping-particle" : "", "parse-names" : false, "suffix" : "" }, { "dropping-particle" : "", "family" : "Cuisinier", "given" : "Marine", "non-dropping-particle" : "", "parse-names" : false, "suffix" : "" }, { "dropping-particle" : "", "family" : "Berg", "given" : "Erik Jaemstorp", "non-dropping-particle" : "", "parse-names" : false, "suffix" : "" }, { "dropping-particle" : "", "family" : "Novak", "given" : "Petr", "non-dropping-particle" : "", "parse-names" : false, "suffix" : "" }, { "dropping-particle" : "", "family" : "Murphy", "given" : "Graham K.", "non-dropping-particle" : "", "parse-names" : false, "suffix" : "" }, { "dropping-particle" : "", "family" : "Nazar", "given" : "Linda F.", "non-dropping-particle" : "", "parse-names" : false, "suffix" : "" } ], "container-title" : "Advanced Energy Materials", "id" : "ITEM-5", "issue" : "1", "issued" : { "date-parts" : [ [ "2015", "1", "21" ] ] }, "page" : "n/a-n/a", "title" : "Towards a Stable Organic Electrolyte for the Lithium Oxygen Battery", "type" : "article-journal", "volume" : "5" }, "uris" : [ "http://www.mendeley.com/documents/?uuid=6edaa7b4-c25e-467d-b130-98f5d58b618d" ] } ], "mendeley" : { "formattedCitation" : "[2], [14], [17]\u2013[19]", "plainTextFormattedCitation" : "[2], [14], [17]\u2013[19]", "previouslyFormattedCitation" : "[2], [14], [17]\u2013[19]" }, "properties" : { "noteIndex" : 0 }, "schema" : "https://github.com/citation-style-language/schema/raw/master/csl-citation.json" }</w:instrText>
      </w:r>
      <w:r w:rsidR="000A311D" w:rsidRPr="00D47427">
        <w:fldChar w:fldCharType="separate"/>
      </w:r>
      <w:r w:rsidR="007E2DD7" w:rsidRPr="007E2DD7">
        <w:rPr>
          <w:noProof/>
        </w:rPr>
        <w:t>[2], [14], [17]–[19]</w:t>
      </w:r>
      <w:r w:rsidR="000A311D" w:rsidRPr="00D47427">
        <w:fldChar w:fldCharType="end"/>
      </w:r>
      <w:r w:rsidRPr="00D47427">
        <w:t>. Although the degradation products of c</w:t>
      </w:r>
      <w:r w:rsidRPr="00D47427">
        <w:t>y</w:t>
      </w:r>
      <w:r w:rsidRPr="00D47427">
        <w:t>clic organic carbonates such as propylene carbonate (PC) and ethylene carbonate (EC) have been well studied on the Li-O</w:t>
      </w:r>
      <w:r w:rsidRPr="00D47427">
        <w:rPr>
          <w:vertAlign w:val="subscript"/>
        </w:rPr>
        <w:t>2</w:t>
      </w:r>
      <w:r w:rsidRPr="00D47427">
        <w:t xml:space="preserve"> cathode by </w:t>
      </w:r>
      <w:r w:rsidRPr="00D47427">
        <w:rPr>
          <w:i/>
        </w:rPr>
        <w:t>ex situ</w:t>
      </w:r>
      <w:r w:rsidRPr="00D47427">
        <w:t xml:space="preserve"> methods, the proposed reaction mechanisms remain speculative. Because of the challenges in tracing the reaction products and intermediates as they are formed at the i</w:t>
      </w:r>
      <w:r w:rsidRPr="00D47427">
        <w:t>n</w:t>
      </w:r>
      <w:r w:rsidRPr="00D47427">
        <w:t xml:space="preserve">terface of battery electrodes, the reaction mechanisms are generally supported by theoretical predictions. </w:t>
      </w:r>
      <w:r w:rsidRPr="00D47427">
        <w:lastRenderedPageBreak/>
        <w:t>Numerous quantum chemical studies have been reported in recent years on the reductive decomposition of cyclic organic carbonates such as EC and PC</w:t>
      </w:r>
      <w:r w:rsidRPr="00D47427">
        <w:fldChar w:fldCharType="begin" w:fldLock="1"/>
      </w:r>
      <w:r w:rsidR="007E2DD7">
        <w:instrText>ADDIN CSL_CITATION { "citationItems" : [ { "id" : "ITEM-1", "itemData" : { "DOI" : "10.1021/ja0164529", "ISSN" : "0002-7863", "author" : [ { "dropping-particle" : "", "family" : "Wang", "given" : "Yixuan", "non-dropping-particle" : "", "parse-names" : false, "suffix" : "" }, { "dropping-particle" : "", "family" : "Nakamura", "given" : "Shinichiro", "non-dropping-particle" : "", "parse-names" : false, "suffix" : "" }, { "dropping-particle" : "", "family" : "Ue", "given" : "Makoto", "non-dropping-particle" : "", "parse-names" : false, "suffix" : "" }, { "dropping-particle" : "", "family" : "Balbuena", "given" : "Perla B", "non-dropping-particle" : "", "parse-names" : false, "suffix" : "" } ], "container-title" : "Journal of the American Chemical Society", "id" : "ITEM-1", "issue" : "47", "issued" : { "date-parts" : [ [ "2001", "11", "1" ] ] }, "note" : "doi: 10.1021/ja0164529", "page" : "11708-11718", "publisher" : "American Chemical Society", "title" : "Studies To Understand Surface Chemistry on Carbon Anodes for Lithium-Ion Batteries:Theoretical Reduction Mechanisms of Ethylene Carbonate", "type" : "article-journal", "volume" : "123" }, "uris" : [ "http://www.mendeley.com/documents/?uuid=506c5af5-70ef-4fe9-9db1-3a7b380a419c" ] }, { "id" : "ITEM-2", "itemData" : { "DOI" : "10.1021/jp2073914", "ISSN" : "1089-5639", "author" : [ { "dropping-particle" : "", "family" : "Bryantsev", "given" : "Vyacheslav S", "non-dropping-particle" : "", "parse-names" : false, "suffix" : "" }, { "dropping-particle" : "", "family" : "Giordani", "given" : "Vincent", "non-dropping-particle" : "", "parse-names" : false, "suffix" : "" }, { "dropping-particle" : "", "family" : "Walker", "given" : "Wesley", "non-dropping-particle" : "", "parse-names" : false, "suffix" : "" }, { "dropping-particle" : "", "family" : "Blanco", "given" : "Mario", "non-dropping-particle" : "", "parse-names" : false, "suffix" : "" }, { "dropping-particle" : "", "family" : "Zecevic", "given" : "Strahinja", "non-dropping-particle" : "", "parse-names" : false, "suffix" : "" }, { "dropping-particle" : "", "family" : "Sasaki", "given" : "Kenji", "non-dropping-particle" : "", "parse-names" : false, "suffix" : "" }, { "dropping-particle" : "", "family" : "Uddin", "given" : "Jasim", "non-dropping-particle" : "", "parse-names" : false, "suffix" : "" }, { "dropping-particle" : "", "family" : "Addison", "given" : "Dan", "non-dropping-particle" : "", "parse-names" : false, "suffix" : "" }, { "dropping-particle" : "V", "family" : "Chase", "given" : "Gregory", "non-dropping-particle" : "", "parse-names" : false, "suffix" : "" } ], "container-title" : "The Journal of Physical Chemistry A", "id" : "ITEM-2", "issue" : "44", "issued" : { "date-parts" : [ [ "2011", "11", "10" ] ] }, "note" : "doi: 10.1021/jp2073914", "page" : "12399-12409", "publisher" : "American Chemical Society", "title" : "Predicting Solvent Stability in Aprotic Electrolyte Li\u2013Air Batteries: Nucleophilic Substitution by the Superoxide Anion Radical (O2\u2022\u2013)", "type" : "article-journal", "volume" : "115" }, "uris" : [ "http://www.mendeley.com/documents/?uuid=f4e857b3-6da6-4b59-8312-4f30f74b89de" ] }, { "id" : "ITEM-3", "itemData" : { "DOI" : "http://dx.doi.org/10.1016/j.electacta.2014.05.103", "ISSN" : "0013-4686", "abstract" : "Mixed alkyl carbonates are widely used as solvent for a various lithium-ion battery applications. Understanding the behavior of each solvent in the mixed system is crucial for controlling the electrolyte composition. In this paper, we report a systematic electrochemical and spectroscopic comparison of the reduction of propylene carbonate (PC), ethylene carbonate (EC), and diethyl carbonate (DEC) when used as single (PC), binary (EC/PC, EC/DEC), and ternary (EC/PC/DEC) solvent systems. The reduction products are identified based on Fourier transform infrared spectroscopy (FTIR) after employing linear sweep voltammetry to certain potential regions and their possible formation mechanisms are discussed. FTIR analyses revealed that the reduction of EC and PC was not considerably influenced by the presence of other alkyl carbonates. However, DEC exhibited a different reduction product when used in EC/DEC and EC/PC/DEC solvent systems. The reduction of EC occurred before that of PC and DEC and produced a passivating surface film that prevented carbon exfoliation caused by PC. Battery performance test, cyclic voltammetry, electrochemical impedance spectroscopy, and scanning electron microscope is employed to study the surface films formed. The binary EC/DEC solvent system demonstrated more favorable performance, smaller impedance, and higher Li+ ion diffusivity than did the other solvent systems used in this study.", "author" : [ { "dropping-particle" : "", "family" : "Haregewoin", "given" : "Atetegeb Meazah", "non-dropping-particle" : "", "parse-names" : false, "suffix" : "" }, { "dropping-particle" : "", "family" : "Leggesse", "given" : "Ermias Girma", "non-dropping-particle" : "", "parse-names" : false, "suffix" : "" }, { "dropping-particle" : "", "family" : "Jiang", "given" : "Jyh-Chiang", "non-dropping-particle" : "", "parse-names" : false, "suffix" : "" }, { "dropping-particle" : "", "family" : "Wang", "given" : "Fu-Ming", "non-dropping-particle" : "", "parse-names" : false, "suffix" : "" }, { "dropping-particle" : "", "family" : "Hwang", "given" : "Bing-Joe", "non-dropping-particle" : "", "parse-names" : false, "suffix" : "" }, { "dropping-particle" : "", "family" : "Lin", "given" : "Shawn D.", "non-dropping-particle" : "", "parse-names" : false, "suffix" : "" } ], "container-title" : "Electrochimica Acta", "id" : "ITEM-3", "issue" : "0", "issued" : { "date-parts" : [ [ "2014", "8", "1" ] ] }, "page" : "274-285", "publisher" : "Elsevier Ltd", "title" : "Comparative Study on the Solid Electrolyte Interface Formation by the Reduction of Alkyl Carbonates in Lithium ion Battery", "type" : "article-journal", "volume" : "136" }, "uris" : [ "http://www.mendeley.com/documents/?uuid=9e5772aa-465a-462a-80dd-ee80b2ee8d8a" ] }, { "id" : "ITEM-4", "itemData" : { "DOI" : "10.1021/jp506172a", "ISSN" : "1932-7447", "author" : [ { "dropping-particle" : "", "family" : "Coughlin", "given" : "Jessica E", "non-dropping-particle" : "", "parse-names" : false, "suffix" : "" }, { "dropping-particle" : "", "family" : "Zhugayevych", "given" : "Andriy", "non-dropping-particle" : "", "parse-names" : false, "suffix" : "" }, { "dropping-particle" : "", "family" : "Bakus", "given" : "Ronald C", "non-dropping-particle" : "", "parse-names" : false, "suffix" : "" }, { "dropping-particle" : "", "family" : "Poll", "given" : "Thomas S", "non-dropping-particle" : "van der", "parse-names" : false, "suffix" : "" }, { "dropping-particle" : "", "family" : "Welch", "given" : "Gregory C", "non-dropping-particle" : "", "parse-names" : false, "suffix" : "" }, { "dropping-particle" : "", "family" : "Teat", "given" : "Simon J", "non-dropping-particle" : "", "parse-names" : false, "suffix" : "" }, { "dropping-particle" : "", "family" : "Bazan", "given" : "Guillermo C", "non-dropping-particle" : "", "parse-names" : false, "suffix" : "" }, { "dropping-particle" : "", "family" : "Tretiak", "given" : "Sergei", "non-dropping-particle" : "", "parse-names" : false, "suffix" : "" } ], "container-title" : "The Journal of Physical Chemistry C", "id" : "ITEM-4", "issue" : "29", "issued" : { "date-parts" : [ [ "2014", "7", "24" ] ] }, "note" : "doi: 10.1021/jp506172a", "page" : "15610-15623", "publisher" : "American Chemical Society", "title" : "A Combined Experimental and Theoretical Study of Conformational Preferences of Molecular Semiconductors", "type" : "article-journal", "volume" : "118" }, "uris" : [ "http://www.mendeley.com/documents/?uuid=e9697b5b-34ed-4b39-a199-1e982883e1d8" ] } ], "mendeley" : { "formattedCitation" : "[12], [20]\u2013[22]", "plainTextFormattedCitation" : "[12], [20]\u2013[22]", "previouslyFormattedCitation" : "[12], [20]\u2013[22]" }, "properties" : { "noteIndex" : 0 }, "schema" : "https://github.com/citation-style-language/schema/raw/master/csl-citation.json" }</w:instrText>
      </w:r>
      <w:r w:rsidRPr="00D47427">
        <w:fldChar w:fldCharType="separate"/>
      </w:r>
      <w:r w:rsidR="007E2DD7" w:rsidRPr="007E2DD7">
        <w:rPr>
          <w:noProof/>
        </w:rPr>
        <w:t>[12], [20]–[22]</w:t>
      </w:r>
      <w:r w:rsidRPr="00D47427">
        <w:fldChar w:fldCharType="end"/>
      </w:r>
      <w:r w:rsidRPr="00D47427">
        <w:t>, which consider different reaction pat</w:t>
      </w:r>
      <w:r w:rsidRPr="00D47427">
        <w:t>h</w:t>
      </w:r>
      <w:r w:rsidRPr="00D47427">
        <w:t xml:space="preserve">ways of a nucleophile induced decomposition of these solvent molecules. Since these theoretical studies cannot afford the complexities of a real battery electrolyte system, supporting empirical evidence from model systems is preferred. </w:t>
      </w:r>
      <w:r w:rsidRPr="00D47427">
        <w:rPr>
          <w:i/>
        </w:rPr>
        <w:t xml:space="preserve">In situ </w:t>
      </w:r>
      <w:proofErr w:type="spellStart"/>
      <w:r w:rsidRPr="00D47427">
        <w:t>spectroelectrochemistry</w:t>
      </w:r>
      <w:proofErr w:type="spellEnd"/>
      <w:r w:rsidRPr="00D47427">
        <w:t xml:space="preserve"> studies are promising in this direction; </w:t>
      </w:r>
      <w:r w:rsidRPr="00D47427">
        <w:rPr>
          <w:i/>
        </w:rPr>
        <w:t xml:space="preserve">in situ </w:t>
      </w:r>
      <w:r w:rsidRPr="00D47427">
        <w:t>infrared spectroscopy has been employed for studying battery electrolytes by various research groups in the recent years</w:t>
      </w:r>
      <w:r w:rsidRPr="00D47427">
        <w:fldChar w:fldCharType="begin" w:fldLock="1"/>
      </w:r>
      <w:r w:rsidR="007E2DD7">
        <w:instrText>ADDIN CSL_CITATION { "citationItems" : [ { "id" : "ITEM-1", "itemData" : { "DOI" : "10.1021/jp407221c", "ISSN" : "1932-7447", "author" : [ { "dropping-particle" : "", "family" : "Mozhzhukhina", "given" : "Nataliia", "non-dropping-particle" : "", "parse-names" : false, "suffix" : "" }, { "dropping-particle" : "", "family" : "M\u00e9ndez De Leo", "given" : "Lucila P", "non-dropping-particle" : "", "parse-names" : false, "suffix" : "" }, { "dropping-particle" : "", "family" : "Calvo", "given" : "Ernesto Julio", "non-dropping-particle" : "", "parse-names" : false, "suffix" : "" } ], "container-title" : "The Journal of Physical Chemistry C", "id" : "ITEM-1", "issue" : "36", "issued" : { "date-parts" : [ [ "2013", "9", "12" ] ] }, "note" : "doi: 10.1021/jp407221c", "page" : "18375-18380", "publisher" : "American Chemical Society", "title" : "Infrared Spectroscopy Studies on Stability of Dimethyl Sulfoxide for Application in a Li\u2013Air Battery", "type" : "article-journal", "volume" : "117" }, "uris" : [ "http://www.mendeley.com/documents/?uuid=c9ebdc7c-b23c-424b-a566-d8c3a0a641bc" ] }, { "id" : "ITEM-2", "itemData" : { "DOI" : "10.1021/ja5128456", "ISSN" : "0002-7863", "author" : [ { "dropping-particle" : "", "family" : "Shi", "given" : "Feifei", "non-dropping-particle" : "", "parse-names" : false, "suffix" : "" }, { "dropping-particle" : "", "family" : "Ross", "given" : "Philip N", "non-dropping-particle" : "", "parse-names" : false, "suffix" : "" }, { "dropping-particle" : "", "family" : "Zhao", "given" : "Hui", "non-dropping-particle" : "", "parse-names" : false, "suffix" : "" }, { "dropping-particle" : "", "family" : "Liu", "given" : "Gao", "non-dropping-particle" : "", "parse-names" : false, "suffix" : "" }, { "dropping-particle" : "", "family" : "Somorjai", "given" : "Gabor A", "non-dropping-particle" : "", "parse-names" : false, "suffix" : "" }, { "dropping-particle" : "", "family" : "Komvopoulos", "given" : "Kyriakos", "non-dropping-particle" : "", "parse-names" : false, "suffix" : "" } ], "container-title" : "Journal of the American Chemical Society", "id" : "ITEM-2", "issue" : "9", "issued" : { "date-parts" : [ [ "2015", "3", "11" ] ] }, "note" : "doi: 10.1021/ja5128456", "page" : "3181-3184", "publisher" : "American Chemical Society", "title" : "A Catalytic Path for Electrolyte Reduction in Lithium-Ion Cells Revealed by in Situ Attenuated Total Reflection-Fourier Transform Infrared Spectroscopy", "type" : "article-journal", "volume" : "137" }, "uris" : [ "http://www.mendeley.com/documents/?uuid=403f804c-1d0f-4821-9c3c-832d570556dd" ] } ], "mendeley" : { "formattedCitation" : "[23], [24]", "plainTextFormattedCitation" : "[23], [24]", "previouslyFormattedCitation" : "[23], [24]" }, "properties" : { "noteIndex" : 0 }, "schema" : "https://github.com/citation-style-language/schema/raw/master/csl-citation.json" }</w:instrText>
      </w:r>
      <w:r w:rsidRPr="00D47427">
        <w:fldChar w:fldCharType="separate"/>
      </w:r>
      <w:r w:rsidR="007E2DD7" w:rsidRPr="007E2DD7">
        <w:rPr>
          <w:noProof/>
        </w:rPr>
        <w:t>[23], [24]</w:t>
      </w:r>
      <w:r w:rsidRPr="00D47427">
        <w:fldChar w:fldCharType="end"/>
      </w:r>
      <w:r w:rsidRPr="00D47427">
        <w:t>. In this direction, attenuated total reflection surface enhanced infrared spectro</w:t>
      </w:r>
      <w:r w:rsidRPr="00D47427">
        <w:t>s</w:t>
      </w:r>
      <w:r w:rsidRPr="00D47427">
        <w:t xml:space="preserve">copy (ATR-SEIRAS) can offer a rather detailed </w:t>
      </w:r>
      <w:r w:rsidRPr="00D47427">
        <w:rPr>
          <w:i/>
        </w:rPr>
        <w:t>in situ</w:t>
      </w:r>
      <w:r w:rsidRPr="00D47427">
        <w:t xml:space="preserve"> analysis of the interfacial region. The advantage of this internal reflection technique pioneered by </w:t>
      </w:r>
      <w:proofErr w:type="spellStart"/>
      <w:r w:rsidRPr="00D47427">
        <w:t>Osawa</w:t>
      </w:r>
      <w:proofErr w:type="spellEnd"/>
      <w:r w:rsidRPr="00D47427">
        <w:t xml:space="preserve"> and co-workers</w:t>
      </w:r>
      <w:r w:rsidRPr="00D47427">
        <w:fldChar w:fldCharType="begin" w:fldLock="1"/>
      </w:r>
      <w:r w:rsidR="007E2DD7">
        <w:instrText>ADDIN CSL_CITATION { "citationItems" : [ { "id" : "ITEM-1", "itemData" : { "DOI" : "10.1246/bcsj.70.2861", "author" : [ { "dropping-particle" : "", "family" : "Osawa", "given" : "Masatoshi", "non-dropping-particle" : "", "parse-names" : false, "suffix" : "" } ], "container-title" : "Bulletin of the Chemical Society of Japan", "id" : "ITEM-1", "issue" : "12", "issued" : { "date-parts" : [ [ "1997" ] ] }, "page" : "2861-2880", "title" : "Dynamic Processes in Electrochemical Reactions Studied by Surface-Enhanced Infrared Absorption Spectroscopy (SEIRAS)", "type" : "article-journal", "volume" : "70" }, "uris" : [ "http://www.mendeley.com/documents/?uuid=58a83ea3-f14c-47c0-ad7d-255f6fa1d439" ] } ], "mendeley" : { "formattedCitation" : "[25]", "plainTextFormattedCitation" : "[25]", "previouslyFormattedCitation" : "[25]" }, "properties" : { "noteIndex" : 0 }, "schema" : "https://github.com/citation-style-language/schema/raw/master/csl-citation.json" }</w:instrText>
      </w:r>
      <w:r w:rsidRPr="00D47427">
        <w:fldChar w:fldCharType="separate"/>
      </w:r>
      <w:r w:rsidR="007E2DD7" w:rsidRPr="007E2DD7">
        <w:rPr>
          <w:noProof/>
        </w:rPr>
        <w:t>[25]</w:t>
      </w:r>
      <w:r w:rsidRPr="00D47427">
        <w:fldChar w:fldCharType="end"/>
      </w:r>
      <w:r w:rsidRPr="00D47427">
        <w:t>, is its sensitivity to the interf</w:t>
      </w:r>
      <w:r w:rsidRPr="00D47427">
        <w:t>a</w:t>
      </w:r>
      <w:r w:rsidRPr="00D47427">
        <w:t>cial region (</w:t>
      </w:r>
      <w:r w:rsidRPr="00D47427">
        <w:rPr>
          <w:i/>
        </w:rPr>
        <w:t>ca.</w:t>
      </w:r>
      <w:r w:rsidRPr="00D47427">
        <w:t xml:space="preserve"> within 10 nm from the electrode surface) because of the surface enhancement </w:t>
      </w:r>
      <w:r w:rsidR="00341433" w:rsidRPr="00D47427">
        <w:t xml:space="preserve">afforded </w:t>
      </w:r>
      <w:r w:rsidRPr="00D47427">
        <w:t>by the thin gold film electrode as well as the reduction of the bulk electrolyte signal as the infrared beam does not pass through the electrolyte. The evanescent wave propagating along the dielectric interface d</w:t>
      </w:r>
      <w:r w:rsidRPr="00D47427">
        <w:t>e</w:t>
      </w:r>
      <w:r w:rsidRPr="00D47427">
        <w:t xml:space="preserve">cays exponentially from the surface, thus discriminating the interfacial region from the bulk electrolyte.  </w:t>
      </w:r>
    </w:p>
    <w:p w:rsidR="006950DB" w:rsidRPr="00D47427" w:rsidRDefault="006950DB" w:rsidP="00863299">
      <w:pPr>
        <w:pStyle w:val="TAMainText"/>
      </w:pPr>
      <w:r w:rsidRPr="00D47427">
        <w:t xml:space="preserve">We report an </w:t>
      </w:r>
      <w:r w:rsidRPr="00D47427">
        <w:rPr>
          <w:i/>
        </w:rPr>
        <w:t xml:space="preserve">in situ </w:t>
      </w:r>
      <w:r w:rsidRPr="00D47427">
        <w:t>electrochemical ATR-SEIRAS study on the reactivity of PC at a noble metal ele</w:t>
      </w:r>
      <w:r w:rsidRPr="00D47427">
        <w:t>c</w:t>
      </w:r>
      <w:r w:rsidRPr="00D47427">
        <w:t xml:space="preserve">trode interface (gold) in an attempt to evaluate the proposed </w:t>
      </w:r>
      <w:proofErr w:type="spellStart"/>
      <w:r w:rsidRPr="00D47427">
        <w:t>noncatalytic</w:t>
      </w:r>
      <w:proofErr w:type="spellEnd"/>
      <w:r w:rsidRPr="00D47427">
        <w:t xml:space="preserve"> path of superoxide induced d</w:t>
      </w:r>
      <w:r w:rsidRPr="00D47427">
        <w:t>e</w:t>
      </w:r>
      <w:r w:rsidRPr="00D47427">
        <w:t>composition of PC. The primary objective of these measurements has been to study the Au/PC-LiClO</w:t>
      </w:r>
      <w:r w:rsidRPr="00D47427">
        <w:rPr>
          <w:vertAlign w:val="subscript"/>
        </w:rPr>
        <w:t>4</w:t>
      </w:r>
      <w:r w:rsidRPr="00D47427">
        <w:t xml:space="preserve"> electrochemical interface in oxygen saturated as well as deoxygenated conditions. Further, in order to el</w:t>
      </w:r>
      <w:r w:rsidRPr="00D47427">
        <w:t>u</w:t>
      </w:r>
      <w:r w:rsidRPr="00D47427">
        <w:t>cidate the role of lithium in determining the reactions at the in</w:t>
      </w:r>
      <w:r w:rsidR="008D6799" w:rsidRPr="00D47427">
        <w:t xml:space="preserve">terface, </w:t>
      </w:r>
      <w:r w:rsidR="00341433" w:rsidRPr="00D47427">
        <w:t xml:space="preserve">SEIRA spectra </w:t>
      </w:r>
      <w:r w:rsidR="008D6799" w:rsidRPr="00D47427">
        <w:t xml:space="preserve">with electrolytes </w:t>
      </w:r>
      <w:r w:rsidRPr="00D47427">
        <w:t xml:space="preserve">containing </w:t>
      </w:r>
      <w:proofErr w:type="spellStart"/>
      <w:r w:rsidRPr="00D47427">
        <w:t>tetraalkylammonium</w:t>
      </w:r>
      <w:proofErr w:type="spellEnd"/>
      <w:r w:rsidRPr="00D47427">
        <w:t xml:space="preserve"> salt, in place of lithium salt, were also </w:t>
      </w:r>
      <w:r w:rsidR="00341433" w:rsidRPr="00D47427">
        <w:t>recorded</w:t>
      </w:r>
      <w:r w:rsidRPr="00D47427">
        <w:t>. A dramatic difference in the stability of propylene carbonate has been observed between these two systems. Our computational studies revealed that the interactions of the propylene carbonate oxygen atoms with the Li</w:t>
      </w:r>
      <w:r w:rsidRPr="00D47427">
        <w:rPr>
          <w:vertAlign w:val="superscript"/>
        </w:rPr>
        <w:t>+</w:t>
      </w:r>
      <w:r w:rsidRPr="00D47427">
        <w:t xml:space="preserve"> </w:t>
      </w:r>
      <w:proofErr w:type="spellStart"/>
      <w:r w:rsidRPr="00D47427">
        <w:t>cations</w:t>
      </w:r>
      <w:proofErr w:type="spellEnd"/>
      <w:r w:rsidRPr="00D47427">
        <w:t xml:space="preserve"> </w:t>
      </w:r>
      <w:r w:rsidR="00DB3FA6" w:rsidRPr="00D47427">
        <w:t>is</w:t>
      </w:r>
      <w:r w:rsidRPr="00D47427">
        <w:t xml:space="preserve"> cr</w:t>
      </w:r>
      <w:r w:rsidRPr="00D47427">
        <w:t>u</w:t>
      </w:r>
      <w:r w:rsidRPr="00D47427">
        <w:t xml:space="preserve">cial in determining the stability of this molecule </w:t>
      </w:r>
      <w:r w:rsidR="00DB3FA6" w:rsidRPr="00D47427">
        <w:t xml:space="preserve">in </w:t>
      </w:r>
      <w:r w:rsidRPr="00D47427">
        <w:t xml:space="preserve">the presence of superoxide. </w:t>
      </w:r>
    </w:p>
    <w:p w:rsidR="0095413E" w:rsidRPr="00D47427" w:rsidRDefault="0095413E">
      <w:pPr>
        <w:spacing w:after="0"/>
        <w:jc w:val="left"/>
        <w:rPr>
          <w:rFonts w:ascii="Times New Roman" w:eastAsiaTheme="minorHAnsi" w:hAnsi="Times New Roman"/>
          <w:caps/>
          <w:kern w:val="21"/>
          <w:sz w:val="22"/>
          <w:szCs w:val="22"/>
        </w:rPr>
      </w:pPr>
      <w:r w:rsidRPr="00D47427">
        <w:rPr>
          <w:rFonts w:ascii="Times New Roman" w:eastAsiaTheme="minorHAnsi" w:hAnsi="Times New Roman"/>
          <w:caps/>
          <w:sz w:val="22"/>
          <w:szCs w:val="22"/>
        </w:rPr>
        <w:br w:type="page"/>
      </w:r>
    </w:p>
    <w:p w:rsidR="006950DB" w:rsidRPr="00863299" w:rsidRDefault="006950DB" w:rsidP="00863299">
      <w:pPr>
        <w:pStyle w:val="TAMainText"/>
        <w:rPr>
          <w:b/>
        </w:rPr>
      </w:pPr>
      <w:r w:rsidRPr="00863299">
        <w:rPr>
          <w:b/>
        </w:rPr>
        <w:lastRenderedPageBreak/>
        <w:t>Experimental</w:t>
      </w:r>
    </w:p>
    <w:p w:rsidR="008B6079" w:rsidRPr="00D47427" w:rsidRDefault="006950DB" w:rsidP="00863299">
      <w:pPr>
        <w:pStyle w:val="TAMainText"/>
      </w:pPr>
      <w:r w:rsidRPr="00D47427">
        <w:t xml:space="preserve">A schematic view of the SEIRA </w:t>
      </w:r>
      <w:proofErr w:type="spellStart"/>
      <w:r w:rsidRPr="00D47427">
        <w:t>spectroelectrochemical</w:t>
      </w:r>
      <w:proofErr w:type="spellEnd"/>
      <w:r w:rsidRPr="00D47427">
        <w:t xml:space="preserve"> cell is shown in Figure 1. The </w:t>
      </w:r>
      <w:proofErr w:type="spellStart"/>
      <w:r w:rsidRPr="00D47427">
        <w:t>spectroelectr</w:t>
      </w:r>
      <w:r w:rsidRPr="00D47427">
        <w:t>o</w:t>
      </w:r>
      <w:r w:rsidRPr="00D47427">
        <w:t>chemical</w:t>
      </w:r>
      <w:proofErr w:type="spellEnd"/>
      <w:r w:rsidRPr="00D47427">
        <w:t xml:space="preserve"> cell was formed by a Teflon</w:t>
      </w:r>
      <w:r w:rsidR="00F45754" w:rsidRPr="00D47427">
        <w:t>®</w:t>
      </w:r>
      <w:r w:rsidRPr="00D47427">
        <w:t xml:space="preserve"> liquid cup attached on top of an internal reflection element</w:t>
      </w:r>
      <w:r w:rsidR="00571F1B" w:rsidRPr="00D47427">
        <w:t xml:space="preserve"> (IRE)</w:t>
      </w:r>
      <w:r w:rsidR="00FA14FA" w:rsidRPr="00D47427">
        <w:t xml:space="preserve">, </w:t>
      </w:r>
      <w:proofErr w:type="spellStart"/>
      <w:r w:rsidR="00FA14FA" w:rsidRPr="00D47427">
        <w:t>ZnSe</w:t>
      </w:r>
      <w:proofErr w:type="spellEnd"/>
      <w:r w:rsidRPr="00D47427">
        <w:t xml:space="preserve">. </w:t>
      </w:r>
      <w:r w:rsidR="00571F1B" w:rsidRPr="00D47427">
        <w:t xml:space="preserve">This </w:t>
      </w:r>
      <w:proofErr w:type="spellStart"/>
      <w:r w:rsidR="00571F1B" w:rsidRPr="00D47427">
        <w:t>ZnSe</w:t>
      </w:r>
      <w:proofErr w:type="spellEnd"/>
      <w:r w:rsidR="00571F1B" w:rsidRPr="00D47427">
        <w:t xml:space="preserve"> IRE </w:t>
      </w:r>
      <w:proofErr w:type="spellStart"/>
      <w:r w:rsidR="00571F1B" w:rsidRPr="00D47427">
        <w:t>spectroelectrochemical</w:t>
      </w:r>
      <w:proofErr w:type="spellEnd"/>
      <w:r w:rsidR="00571F1B" w:rsidRPr="00D47427">
        <w:t xml:space="preserve"> cell eliminates the large absorption in the lower wav</w:t>
      </w:r>
      <w:r w:rsidR="00571F1B" w:rsidRPr="00D47427">
        <w:t>e</w:t>
      </w:r>
      <w:r w:rsidR="00571F1B" w:rsidRPr="00D47427">
        <w:t xml:space="preserve">number region compared to original Si IRE </w:t>
      </w:r>
      <w:proofErr w:type="spellStart"/>
      <w:r w:rsidR="00571F1B" w:rsidRPr="00D47427">
        <w:t>spectroelectrochemical</w:t>
      </w:r>
      <w:proofErr w:type="spellEnd"/>
      <w:r w:rsidR="00571F1B" w:rsidRPr="00D47427">
        <w:t xml:space="preserve"> cells. </w:t>
      </w:r>
      <w:r w:rsidRPr="00D47427">
        <w:t xml:space="preserve">The </w:t>
      </w:r>
      <w:proofErr w:type="spellStart"/>
      <w:r w:rsidRPr="00D47427">
        <w:t>ZnSe</w:t>
      </w:r>
      <w:proofErr w:type="spellEnd"/>
      <w:r w:rsidRPr="00D47427">
        <w:t xml:space="preserve"> prism used as the </w:t>
      </w:r>
      <w:r w:rsidRPr="00D47427">
        <w:rPr>
          <w:caps/>
        </w:rPr>
        <w:t>atr</w:t>
      </w:r>
      <w:r w:rsidRPr="00D47427">
        <w:t xml:space="preserve"> element was </w:t>
      </w:r>
      <w:r w:rsidR="001A40E7" w:rsidRPr="00D47427">
        <w:t>polished</w:t>
      </w:r>
      <w:r w:rsidRPr="00D47427">
        <w:t xml:space="preserve"> thoroughly cleaned in deionized water followed by sonication in ethanol, then dried. The working electrode was a 15 nm thick Au film deposited on the polished surface of a </w:t>
      </w:r>
      <w:proofErr w:type="spellStart"/>
      <w:r w:rsidRPr="00D47427">
        <w:t>ZnSe</w:t>
      </w:r>
      <w:proofErr w:type="spellEnd"/>
      <w:r w:rsidRPr="00D47427">
        <w:t xml:space="preserve"> prism by thermal evaporation</w:t>
      </w:r>
      <w:r w:rsidRPr="00D47427">
        <w:fldChar w:fldCharType="begin" w:fldLock="1"/>
      </w:r>
      <w:r w:rsidR="007E2DD7">
        <w:instrText>ADDIN CSL_CITATION { "citationItems" : [ { "id" : "ITEM-1", "itemData" : { "DOI" : "10.1021/ac050585l", "ISSN" : "0003-2700", "author" : [ { "dropping-particle" : "", "family" : "Heaps", "given" : "David A", "non-dropping-particle" : "", "parse-names" : false, "suffix" : "" }, { "dropping-particle" : "", "family" : "Griffiths", "given" : "Peter R", "non-dropping-particle" : "", "parse-names" : false, "suffix" : "" } ], "container-title" : "Analytical Chemistry", "id" : "ITEM-1", "issue" : "18", "issued" : { "date-parts" : [ [ "2005", "9", "1" ] ] }, "page" : "5965-5972", "publisher" : "American Chemical Society", "title" : "Reduction of Detection Limits of the Direct Deposition GC/FT-IR Interface by Surface-Enhanced Infrared Absorption", "type" : "article-journal", "volume" : "77" }, "uris" : [ "http://www.mendeley.com/documents/?uuid=80524a42-1727-4b3f-bdd8-0fcf0f3845b8" ] }, { "id" : "ITEM-2", "itemData" : { "DOI" : "10.1021/jp010344r", "ISSN" : "1520-6106", "author" : [ { "dropping-particle" : "", "family" : "Futamata", "given" : "Masayuki", "non-dropping-particle" : "", "parse-names" : false, "suffix" : "" } ], "container-title" : "The Journal of Physical Chemistry B", "id" : "ITEM-2", "issue" : "29", "issued" : { "date-parts" : [ [ "2001", "7", "1" ] ] }, "note" : "doi: 10.1021/jp010344r", "page" : "6933-6942", "publisher" : "American Chemical Society", "title" : "Adsorbed State of 4,4\u2018-BiPy and BiPyH22+ on Au(111) Electrode", "type" : "article-journal", "volume" : "105" }, "uris" : [ "http://www.mendeley.com/documents/?uuid=0f6f1832-38a2-402a-b32d-201e37c82c71" ] } ], "mendeley" : { "formattedCitation" : "[26], [27]", "plainTextFormattedCitation" : "[26], [27]", "previouslyFormattedCitation" : "[26], [27]" }, "properties" : { "noteIndex" : 0 }, "schema" : "https://github.com/citation-style-language/schema/raw/master/csl-citation.json" }</w:instrText>
      </w:r>
      <w:r w:rsidRPr="00D47427">
        <w:fldChar w:fldCharType="separate"/>
      </w:r>
      <w:r w:rsidR="007E2DD7" w:rsidRPr="007E2DD7">
        <w:rPr>
          <w:noProof/>
        </w:rPr>
        <w:t>[26], [27]</w:t>
      </w:r>
      <w:r w:rsidRPr="00D47427">
        <w:fldChar w:fldCharType="end"/>
      </w:r>
      <w:r w:rsidRPr="00D47427">
        <w:t xml:space="preserve">. Electrochemical measurements were performed using Bio-Logic </w:t>
      </w:r>
      <w:proofErr w:type="spellStart"/>
      <w:r w:rsidRPr="00D47427">
        <w:t>potentiostat</w:t>
      </w:r>
      <w:proofErr w:type="spellEnd"/>
      <w:r w:rsidRPr="00D47427">
        <w:t>. A coiled Pt wire was used as the counter electrode and a polished silver wire as the reference electrode; the reference potentials were then adjusted to</w:t>
      </w:r>
      <w:r w:rsidR="00341433" w:rsidRPr="00D47427">
        <w:t xml:space="preserve"> the</w:t>
      </w:r>
      <w:r w:rsidRPr="00D47427">
        <w:t xml:space="preserve"> Li/Li</w:t>
      </w:r>
      <w:r w:rsidRPr="00D47427">
        <w:rPr>
          <w:vertAlign w:val="superscript"/>
        </w:rPr>
        <w:t>+</w:t>
      </w:r>
      <w:r w:rsidRPr="00D47427">
        <w:t xml:space="preserve"> couple for convenience. </w:t>
      </w:r>
    </w:p>
    <w:p w:rsidR="0072470D" w:rsidRPr="00D47427" w:rsidRDefault="0072470D" w:rsidP="0072470D">
      <w:pPr>
        <w:jc w:val="center"/>
        <w:rPr>
          <w:rFonts w:eastAsiaTheme="minorHAnsi"/>
        </w:rPr>
      </w:pPr>
      <w:r w:rsidRPr="00D47427">
        <w:rPr>
          <w:rFonts w:eastAsiaTheme="minorHAnsi"/>
          <w:noProof/>
          <w:lang w:val="en-GB" w:eastAsia="en-GB"/>
        </w:rPr>
        <w:drawing>
          <wp:inline distT="0" distB="0" distL="0" distR="0" wp14:anchorId="318C2C9E" wp14:editId="69987A3E">
            <wp:extent cx="2991600" cy="2422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rotWithShape="1">
                    <a:blip r:embed="rId9" cstate="print">
                      <a:extLst>
                        <a:ext uri="{28A0092B-C50C-407E-A947-70E740481C1C}">
                          <a14:useLocalDpi xmlns:a14="http://schemas.microsoft.com/office/drawing/2010/main" val="0"/>
                        </a:ext>
                      </a:extLst>
                    </a:blip>
                    <a:srcRect l="7366"/>
                    <a:stretch/>
                  </pic:blipFill>
                  <pic:spPr bwMode="auto">
                    <a:xfrm>
                      <a:off x="0" y="0"/>
                      <a:ext cx="2991600" cy="2422800"/>
                    </a:xfrm>
                    <a:prstGeom prst="rect">
                      <a:avLst/>
                    </a:prstGeom>
                    <a:ln>
                      <a:noFill/>
                    </a:ln>
                    <a:extLst>
                      <a:ext uri="{53640926-AAD7-44D8-BBD7-CCE9431645EC}">
                        <a14:shadowObscured xmlns:a14="http://schemas.microsoft.com/office/drawing/2010/main"/>
                      </a:ext>
                    </a:extLst>
                  </pic:spPr>
                </pic:pic>
              </a:graphicData>
            </a:graphic>
          </wp:inline>
        </w:drawing>
      </w:r>
    </w:p>
    <w:p w:rsidR="0072470D" w:rsidRPr="00D47427" w:rsidRDefault="0072470D" w:rsidP="006E4730">
      <w:pPr>
        <w:pStyle w:val="VAFigureCaption"/>
      </w:pPr>
      <w:proofErr w:type="gramStart"/>
      <w:r w:rsidRPr="00D47427">
        <w:t>Figure 1.</w:t>
      </w:r>
      <w:proofErr w:type="gramEnd"/>
      <w:r w:rsidRPr="00D47427">
        <w:t xml:space="preserve"> Schematic of SEIRA </w:t>
      </w:r>
      <w:proofErr w:type="spellStart"/>
      <w:r w:rsidRPr="00D47427">
        <w:t>spectroelectrochemical</w:t>
      </w:r>
      <w:proofErr w:type="spellEnd"/>
      <w:r w:rsidRPr="00D47427">
        <w:t xml:space="preserve"> cell</w:t>
      </w:r>
    </w:p>
    <w:p w:rsidR="0072470D" w:rsidRPr="00D47427" w:rsidRDefault="0072470D" w:rsidP="00863299">
      <w:pPr>
        <w:pStyle w:val="TAMainText"/>
      </w:pPr>
    </w:p>
    <w:p w:rsidR="006950DB" w:rsidRPr="00D47427" w:rsidRDefault="006950DB" w:rsidP="00863299">
      <w:pPr>
        <w:pStyle w:val="TAMainText"/>
      </w:pPr>
      <w:r w:rsidRPr="00D47427">
        <w:t xml:space="preserve">Electrolytes were prepared by mixing anhydrous HPLC grade PC (distilled then dried over activated 4 Å molecular sieves) with either </w:t>
      </w:r>
      <w:proofErr w:type="spellStart"/>
      <w:r w:rsidRPr="00D47427">
        <w:t>tetraethylammonium</w:t>
      </w:r>
      <w:proofErr w:type="spellEnd"/>
      <w:r w:rsidRPr="00D47427">
        <w:t xml:space="preserve"> perchlorate (TEAClO</w:t>
      </w:r>
      <w:r w:rsidRPr="00D47427">
        <w:rPr>
          <w:vertAlign w:val="subscript"/>
        </w:rPr>
        <w:t>4</w:t>
      </w:r>
      <w:r w:rsidRPr="00D47427">
        <w:t>) or lithium perchlorate (LiClO</w:t>
      </w:r>
      <w:r w:rsidRPr="00D47427">
        <w:rPr>
          <w:vertAlign w:val="subscript"/>
        </w:rPr>
        <w:t>4</w:t>
      </w:r>
      <w:r w:rsidRPr="00D47427">
        <w:t xml:space="preserve">) salt. The ATR-SEIRAS cell components and the perchlorate salts were dried at 120 </w:t>
      </w:r>
      <w:proofErr w:type="spellStart"/>
      <w:r w:rsidRPr="00D47427">
        <w:rPr>
          <w:vertAlign w:val="superscript"/>
        </w:rPr>
        <w:t>o</w:t>
      </w:r>
      <w:r w:rsidRPr="00D47427">
        <w:t>C</w:t>
      </w:r>
      <w:proofErr w:type="spellEnd"/>
      <w:r w:rsidRPr="00D47427">
        <w:t xml:space="preserve"> under vacuum for 12 hours. </w:t>
      </w:r>
      <w:r w:rsidR="00F25B2F" w:rsidRPr="00D47427">
        <w:rPr>
          <w:i/>
        </w:rPr>
        <w:t>Caution: Organic perchlorate</w:t>
      </w:r>
      <w:r w:rsidR="00B65C16" w:rsidRPr="00D47427">
        <w:rPr>
          <w:i/>
        </w:rPr>
        <w:t>s</w:t>
      </w:r>
      <w:r w:rsidR="00F25B2F" w:rsidRPr="00D47427">
        <w:rPr>
          <w:i/>
        </w:rPr>
        <w:t xml:space="preserve"> </w:t>
      </w:r>
      <w:r w:rsidR="00A462C3" w:rsidRPr="00D47427">
        <w:rPr>
          <w:i/>
        </w:rPr>
        <w:t>and perchlorate salts of metal ion complexes</w:t>
      </w:r>
      <w:r w:rsidR="00F25B2F" w:rsidRPr="00D47427">
        <w:rPr>
          <w:i/>
        </w:rPr>
        <w:t xml:space="preserve"> are potentially explosive and </w:t>
      </w:r>
      <w:r w:rsidR="00B65C16" w:rsidRPr="00D47427">
        <w:rPr>
          <w:i/>
        </w:rPr>
        <w:t>should be treated with great care</w:t>
      </w:r>
      <w:r w:rsidR="00F04797" w:rsidRPr="00D47427">
        <w:rPr>
          <w:i/>
        </w:rPr>
        <w:t>.</w:t>
      </w:r>
      <w:r w:rsidR="00B65C16" w:rsidRPr="00D47427">
        <w:rPr>
          <w:i/>
        </w:rPr>
        <w:t xml:space="preserve"> </w:t>
      </w:r>
      <w:r w:rsidRPr="00D47427">
        <w:t xml:space="preserve">All solutions were prepared inside an argon-filled glovebox and electrolytes were purged using dry argon or oxygen inside the glovebox. The water </w:t>
      </w:r>
      <w:r w:rsidRPr="00D47427">
        <w:lastRenderedPageBreak/>
        <w:t>content was measured using a Karl Fisher KF Coulometer (</w:t>
      </w:r>
      <w:proofErr w:type="spellStart"/>
      <w:r w:rsidRPr="00D47427">
        <w:t>Metrohm</w:t>
      </w:r>
      <w:proofErr w:type="spellEnd"/>
      <w:r w:rsidRPr="00D47427">
        <w:t>); typically the electrolyte contained less than 1</w:t>
      </w:r>
      <w:r w:rsidR="00575E8E" w:rsidRPr="00D47427">
        <w:t>0</w:t>
      </w:r>
      <w:r w:rsidR="00581EDD" w:rsidRPr="00D47427">
        <w:t xml:space="preserve"> ppm water. </w:t>
      </w:r>
      <w:r w:rsidRPr="00D47427">
        <w:t>The sealed electrochemical cel</w:t>
      </w:r>
      <w:r w:rsidR="00685DE5" w:rsidRPr="00D47427">
        <w:t>l was brought outside the glove</w:t>
      </w:r>
      <w:r w:rsidRPr="00D47427">
        <w:t xml:space="preserve">box for </w:t>
      </w:r>
      <w:r w:rsidRPr="00D47427">
        <w:rPr>
          <w:i/>
        </w:rPr>
        <w:t>in situ</w:t>
      </w:r>
      <w:r w:rsidRPr="00D47427">
        <w:t xml:space="preserve"> SEIRAS measurements. </w:t>
      </w:r>
    </w:p>
    <w:p w:rsidR="00026CFD" w:rsidRPr="00D47427" w:rsidRDefault="006950DB" w:rsidP="00863299">
      <w:pPr>
        <w:pStyle w:val="TAMainText"/>
      </w:pPr>
      <w:r w:rsidRPr="00D47427">
        <w:t xml:space="preserve">The ATR-FTIR measurements were conducted at room temperature </w:t>
      </w:r>
      <w:r w:rsidR="00A95D73" w:rsidRPr="00D47427">
        <w:t>with</w:t>
      </w:r>
      <w:r w:rsidRPr="00D47427">
        <w:t xml:space="preserve"> a Bruker IFS</w:t>
      </w:r>
      <w:r w:rsidR="00A95D73" w:rsidRPr="00D47427">
        <w:t>66v</w:t>
      </w:r>
      <w:r w:rsidRPr="00D47427">
        <w:t xml:space="preserve"> spectrometer equipped with MCT detector. The angle of incidence was set at 65</w:t>
      </w:r>
      <w:r w:rsidRPr="00D47427">
        <w:rPr>
          <w:vertAlign w:val="superscript"/>
        </w:rPr>
        <w:t>o</w:t>
      </w:r>
      <w:r w:rsidRPr="00D47427">
        <w:t xml:space="preserve"> and the spectral acquisition was co</w:t>
      </w:r>
      <w:r w:rsidRPr="00D47427">
        <w:t>n</w:t>
      </w:r>
      <w:r w:rsidRPr="00D47427">
        <w:t>ducted using p-</w:t>
      </w:r>
      <w:r w:rsidR="00A95D73" w:rsidRPr="00D47427">
        <w:t>polarized</w:t>
      </w:r>
      <w:r w:rsidRPr="00D47427">
        <w:t xml:space="preserve"> infrared radiation at 4 cm</w:t>
      </w:r>
      <w:r w:rsidRPr="00D47427">
        <w:rPr>
          <w:vertAlign w:val="superscript"/>
        </w:rPr>
        <w:t>-1</w:t>
      </w:r>
      <w:r w:rsidRPr="00D47427">
        <w:t xml:space="preserve"> resolution. The interferometer was driven by dry air and the specular reflection assembly was also purged with dry air</w:t>
      </w:r>
      <w:r w:rsidR="00872279" w:rsidRPr="00D47427">
        <w:t xml:space="preserve"> (CO</w:t>
      </w:r>
      <w:r w:rsidR="00872279" w:rsidRPr="00D47427">
        <w:rPr>
          <w:vertAlign w:val="subscript"/>
        </w:rPr>
        <w:t>2</w:t>
      </w:r>
      <w:r w:rsidR="00872279" w:rsidRPr="00D47427">
        <w:t xml:space="preserve"> free)</w:t>
      </w:r>
      <w:r w:rsidRPr="00D47427">
        <w:t>. The electrode potential was varied from the open circuit potential to the oxygen reduction region then reversed towards respective positive potentials. Spectra were collected at varying potentials by holding the potentials while collecting the spectral signals for 30 s at 4 cm</w:t>
      </w:r>
      <w:r w:rsidRPr="00D47427">
        <w:rPr>
          <w:vertAlign w:val="superscript"/>
        </w:rPr>
        <w:t>-1</w:t>
      </w:r>
      <w:r w:rsidRPr="00D47427">
        <w:t xml:space="preserve"> resolution. SEIRA spectra were plotted as the relative change in the IR signal at the voltage of interest with respect to the open circuit voltage (OCV) using the formula</w:t>
      </w:r>
      <w:r w:rsidR="00026CFD" w:rsidRPr="00D47427">
        <w:t>:</w:t>
      </w:r>
    </w:p>
    <w:p w:rsidR="00026CFD" w:rsidRPr="00D47427" w:rsidRDefault="006950DB" w:rsidP="00863299">
      <w:pPr>
        <w:pStyle w:val="TAMainText"/>
        <w:rPr>
          <w:rFonts w:eastAsiaTheme="minorEastAsia"/>
        </w:rPr>
      </w:pPr>
      <w:r w:rsidRPr="00D47427">
        <w:t xml:space="preserve"> </w:t>
      </w:r>
      <m:oMath>
        <m:f>
          <m:fPr>
            <m:ctrlPr>
              <w:rPr>
                <w:rFonts w:ascii="Cambria Math" w:hAnsi="Cambria Math"/>
                <w:vertAlign w:val="subscript"/>
              </w:rPr>
            </m:ctrlPr>
          </m:fPr>
          <m:num>
            <m:r>
              <m:rPr>
                <m:sty m:val="p"/>
              </m:rPr>
              <w:rPr>
                <w:rFonts w:ascii="Cambria Math" w:hAnsi="Cambria Math"/>
                <w:vertAlign w:val="subscript"/>
              </w:rPr>
              <m:t>∆</m:t>
            </m:r>
            <m:r>
              <w:rPr>
                <w:rFonts w:ascii="Cambria Math" w:hAnsi="Cambria Math"/>
                <w:vertAlign w:val="subscript"/>
              </w:rPr>
              <m:t>S</m:t>
            </m:r>
          </m:num>
          <m:den>
            <m:r>
              <w:rPr>
                <w:rFonts w:ascii="Cambria Math" w:hAnsi="Cambria Math"/>
                <w:vertAlign w:val="subscript"/>
              </w:rPr>
              <m:t>S</m:t>
            </m:r>
          </m:den>
        </m:f>
        <m:r>
          <m:rPr>
            <m:sty m:val="p"/>
          </m:rPr>
          <w:rPr>
            <w:rFonts w:ascii="Cambria Math" w:hAnsi="Cambria Math"/>
            <w:vertAlign w:val="subscript"/>
          </w:rPr>
          <m:t>=</m:t>
        </m:r>
        <m:f>
          <m:fPr>
            <m:ctrlPr>
              <w:rPr>
                <w:rFonts w:ascii="Cambria Math" w:hAnsi="Cambria Math"/>
                <w:vertAlign w:val="subscript"/>
              </w:rPr>
            </m:ctrlPr>
          </m:fPr>
          <m:num>
            <m:sSub>
              <m:sSubPr>
                <m:ctrlPr>
                  <w:rPr>
                    <w:rFonts w:ascii="Cambria Math" w:hAnsi="Cambria Math"/>
                    <w:vertAlign w:val="subscript"/>
                  </w:rPr>
                </m:ctrlPr>
              </m:sSubPr>
              <m:e>
                <m:r>
                  <w:rPr>
                    <w:rFonts w:ascii="Cambria Math" w:hAnsi="Cambria Math"/>
                    <w:vertAlign w:val="subscript"/>
                  </w:rPr>
                  <m:t>S</m:t>
                </m:r>
              </m:e>
              <m:sub>
                <m:r>
                  <w:rPr>
                    <w:rFonts w:ascii="Cambria Math" w:hAnsi="Cambria Math"/>
                    <w:vertAlign w:val="subscript"/>
                  </w:rPr>
                  <m:t>varible</m:t>
                </m:r>
              </m:sub>
            </m:sSub>
            <m:r>
              <m:rPr>
                <m:sty m:val="p"/>
              </m:rPr>
              <w:rPr>
                <w:rFonts w:ascii="Cambria Math" w:hAnsi="Cambria Math"/>
                <w:vertAlign w:val="subscript"/>
              </w:rPr>
              <m:t>-</m:t>
            </m:r>
            <m:sSub>
              <m:sSubPr>
                <m:ctrlPr>
                  <w:rPr>
                    <w:rFonts w:ascii="Cambria Math" w:hAnsi="Cambria Math"/>
                    <w:vertAlign w:val="subscript"/>
                  </w:rPr>
                </m:ctrlPr>
              </m:sSubPr>
              <m:e>
                <m:r>
                  <w:rPr>
                    <w:rFonts w:ascii="Cambria Math" w:hAnsi="Cambria Math"/>
                    <w:vertAlign w:val="subscript"/>
                  </w:rPr>
                  <m:t>S</m:t>
                </m:r>
              </m:e>
              <m:sub>
                <m:r>
                  <w:rPr>
                    <w:rFonts w:ascii="Cambria Math" w:hAnsi="Cambria Math"/>
                    <w:vertAlign w:val="subscript"/>
                  </w:rPr>
                  <m:t>OCV</m:t>
                </m:r>
              </m:sub>
            </m:sSub>
          </m:num>
          <m:den>
            <m:sSub>
              <m:sSubPr>
                <m:ctrlPr>
                  <w:rPr>
                    <w:rFonts w:ascii="Cambria Math" w:hAnsi="Cambria Math"/>
                    <w:vertAlign w:val="subscript"/>
                  </w:rPr>
                </m:ctrlPr>
              </m:sSubPr>
              <m:e>
                <m:r>
                  <w:rPr>
                    <w:rFonts w:ascii="Cambria Math" w:hAnsi="Cambria Math"/>
                    <w:vertAlign w:val="subscript"/>
                  </w:rPr>
                  <m:t>S</m:t>
                </m:r>
              </m:e>
              <m:sub>
                <m:r>
                  <w:rPr>
                    <w:rFonts w:ascii="Cambria Math" w:hAnsi="Cambria Math"/>
                    <w:vertAlign w:val="subscript"/>
                  </w:rPr>
                  <m:t>OCV</m:t>
                </m:r>
              </m:sub>
            </m:sSub>
          </m:den>
        </m:f>
      </m:oMath>
      <w:r w:rsidRPr="00D47427">
        <w:rPr>
          <w:rFonts w:eastAsiaTheme="minorEastAsia"/>
        </w:rPr>
        <w:t xml:space="preserve"> </w:t>
      </w:r>
      <w:r w:rsidR="00026CFD" w:rsidRPr="00D47427">
        <w:rPr>
          <w:rFonts w:eastAsiaTheme="minorEastAsia"/>
        </w:rPr>
        <w:tab/>
        <w:t>(1)</w:t>
      </w:r>
    </w:p>
    <w:p w:rsidR="006950DB" w:rsidRPr="00D47427" w:rsidRDefault="006950DB" w:rsidP="00863299">
      <w:pPr>
        <w:pStyle w:val="TAMainText"/>
      </w:pPr>
      <w:r w:rsidRPr="00D47427">
        <w:t>In this format, a negative going peak in the spectra indicates an increase in absorbance at the corr</w:t>
      </w:r>
      <w:r w:rsidRPr="00D47427">
        <w:t>e</w:t>
      </w:r>
      <w:r w:rsidRPr="00D47427">
        <w:t xml:space="preserve">sponding wavenumber. </w:t>
      </w:r>
    </w:p>
    <w:p w:rsidR="006950DB" w:rsidRPr="00D47427" w:rsidRDefault="00EC2088" w:rsidP="00863299">
      <w:pPr>
        <w:pStyle w:val="TAMainText"/>
      </w:pPr>
      <w:r w:rsidRPr="00D47427">
        <w:t xml:space="preserve">Computational methods: </w:t>
      </w:r>
      <w:r w:rsidR="006950DB" w:rsidRPr="00D47427">
        <w:t>All stationary points were fully optimized with Gaussian 09</w:t>
      </w:r>
      <w:r w:rsidR="006950DB" w:rsidRPr="00D47427">
        <w:fldChar w:fldCharType="begin" w:fldLock="1"/>
      </w:r>
      <w:r w:rsidR="00730130">
        <w:instrText>ADDIN CSL_CITATION { "citationItems" : [ { "id" : "ITEM-1", "itemData" : { "author" : [ { "dropping-particle" : "", "family" : "M. J. Frisch, G. W. Trucks, H. B. Schlegel, G. E. Scuseria, M. A. Robb, J. R. Cheeseman, G. Scalmani, V. Barone, B. Mennucci, G. A. Petersson, H. Nakatsuji, M. Caricato, X. Li, H. P. Hratchian, A. F. Izmaylov, J. Bloino, G. Zheng, J. L. Sonnenberg, M. Had", "given" : "2010.", "non-dropping-particle" : "", "parse-names" : false, "suffix" : "" } ], "container-title" : "Gaussian Inc., Wallingford, \u2026", "id" : "ITEM-1", "issued" : { "date-parts" : [ [ "2010" ] ] }, "title" : "Gaussian 09, revision B. 01", "type" : "article" }, "uris" : [ "http://www.mendeley.com/documents/?uuid=26d8c0c9-2539-4310-b200-3ec2bc304edf" ] } ], "mendeley" : { "formattedCitation" : "[28]", "plainTextFormattedCitation" : "[28]", "previouslyFormattedCitation" : "[28]" }, "properties" : { "noteIndex" : 0 }, "schema" : "https://github.com/citation-style-language/schema/raw/master/csl-citation.json" }</w:instrText>
      </w:r>
      <w:r w:rsidR="006950DB" w:rsidRPr="00D47427">
        <w:fldChar w:fldCharType="separate"/>
      </w:r>
      <w:r w:rsidR="007E2DD7" w:rsidRPr="007E2DD7">
        <w:rPr>
          <w:noProof/>
        </w:rPr>
        <w:t>[28]</w:t>
      </w:r>
      <w:r w:rsidR="006950DB" w:rsidRPr="00D47427">
        <w:fldChar w:fldCharType="end"/>
      </w:r>
      <w:r w:rsidR="006950DB" w:rsidRPr="00D47427">
        <w:t xml:space="preserve"> using M06-2X/6-311++(</w:t>
      </w:r>
      <w:proofErr w:type="spellStart"/>
      <w:r w:rsidR="006950DB" w:rsidRPr="00D47427">
        <w:t>d.p</w:t>
      </w:r>
      <w:proofErr w:type="spellEnd"/>
      <w:r w:rsidR="006950DB" w:rsidRPr="00D47427">
        <w:t>)</w:t>
      </w:r>
      <w:r w:rsidR="006950DB" w:rsidRPr="00D47427">
        <w:fldChar w:fldCharType="begin" w:fldLock="1"/>
      </w:r>
      <w:r w:rsidR="007E2DD7">
        <w:instrText>ADDIN CSL_CITATION { "citationItems" : [ { "id" : "ITEM-1", "itemData" : { "DOI" : "10.1007/s00214-007-0310-x", "ISSN" : "1432-881X", "author" : [ { "dropping-particle" : "", "family" : "Zhao", "given" : "Yan", "non-dropping-particle" : "", "parse-names" : false, "suffix" : "" }, { "dropping-particle" : "", "family" : "Truhlar", "given" : "Donald G.", "non-dropping-particle" : "", "parse-names" : false, "suffix" : "" } ], "container-title" : "Theoretical Chemistry Accounts", "id" : "ITEM-1", "issue" : "1-3", "issued" : { "date-parts" : [ [ "2007", "7", "12" ] ] }, "page" : "215-241", "title" : "The M06 suite of density functionals for main group thermochemistry, thermochemical kinetics, noncovalent interactions, excited states, and transition elements: two new functionals and systematic testing of four M06-class functionals and 12 other function", "type" : "article-journal", "volume" : "120" }, "uris" : [ "http://www.mendeley.com/documents/?uuid=90cdc40b-0486-4d3a-af6b-abc3f478a45e" ] } ], "mendeley" : { "formattedCitation" : "[29]", "plainTextFormattedCitation" : "[29]", "previouslyFormattedCitation" : "[29]" }, "properties" : { "noteIndex" : 0 }, "schema" : "https://github.com/citation-style-language/schema/raw/master/csl-citation.json" }</w:instrText>
      </w:r>
      <w:r w:rsidR="006950DB" w:rsidRPr="00D47427">
        <w:fldChar w:fldCharType="separate"/>
      </w:r>
      <w:r w:rsidR="007E2DD7" w:rsidRPr="007E2DD7">
        <w:rPr>
          <w:noProof/>
        </w:rPr>
        <w:t>[29]</w:t>
      </w:r>
      <w:r w:rsidR="006950DB" w:rsidRPr="00D47427">
        <w:fldChar w:fldCharType="end"/>
      </w:r>
      <w:r w:rsidR="006950DB" w:rsidRPr="00D47427">
        <w:t>. An ultrafine grid density was used for numerical integration in all DFT calcul</w:t>
      </w:r>
      <w:r w:rsidR="006950DB" w:rsidRPr="00D47427">
        <w:t>a</w:t>
      </w:r>
      <w:r w:rsidR="006950DB" w:rsidRPr="00D47427">
        <w:t>tions. Harmonic vibrational frequencies were computed for all optimized structures to verify that they were either minima or transition states, possessing zero imaginary frequencies and one imaginary fr</w:t>
      </w:r>
      <w:r w:rsidR="006950DB" w:rsidRPr="00D47427">
        <w:t>e</w:t>
      </w:r>
      <w:r w:rsidR="006950DB" w:rsidRPr="00D47427">
        <w:t>quency, respectively. Calculations were performed with M06-2X functional, which is constructed to i</w:t>
      </w:r>
      <w:r w:rsidR="006950DB" w:rsidRPr="00D47427">
        <w:t>n</w:t>
      </w:r>
      <w:r w:rsidR="006950DB" w:rsidRPr="00D47427">
        <w:t xml:space="preserve">clude nonlocal effects of electronic dispersion and is found to give good estimates for reaction enthalpies in bond-forming reactions. Coordinates of the species calculated can be found in the </w:t>
      </w:r>
      <w:r w:rsidR="00FA5153">
        <w:t>supporting</w:t>
      </w:r>
      <w:r w:rsidR="006950DB" w:rsidRPr="00D47427">
        <w:t xml:space="preserve"> info</w:t>
      </w:r>
      <w:r w:rsidR="006950DB" w:rsidRPr="00D47427">
        <w:t>r</w:t>
      </w:r>
      <w:r w:rsidR="006950DB" w:rsidRPr="00D47427">
        <w:t>mation.</w:t>
      </w:r>
    </w:p>
    <w:p w:rsidR="006E4730" w:rsidRPr="00D47427" w:rsidRDefault="006E4730" w:rsidP="00863299">
      <w:pPr>
        <w:pStyle w:val="TAMainText"/>
      </w:pPr>
    </w:p>
    <w:p w:rsidR="002578BE" w:rsidRDefault="002578BE">
      <w:pPr>
        <w:spacing w:after="0"/>
        <w:jc w:val="left"/>
        <w:rPr>
          <w:rFonts w:ascii="Times New Roman" w:eastAsiaTheme="minorEastAsia" w:hAnsi="Times New Roman"/>
          <w:b/>
          <w:kern w:val="21"/>
          <w:sz w:val="22"/>
        </w:rPr>
      </w:pPr>
      <w:r>
        <w:rPr>
          <w:rFonts w:eastAsiaTheme="minorEastAsia"/>
          <w:b/>
        </w:rPr>
        <w:br w:type="page"/>
      </w:r>
    </w:p>
    <w:p w:rsidR="006950DB" w:rsidRPr="00863299" w:rsidRDefault="006950DB" w:rsidP="00863299">
      <w:pPr>
        <w:pStyle w:val="TAMainText"/>
      </w:pPr>
      <w:r w:rsidRPr="00863299">
        <w:lastRenderedPageBreak/>
        <w:t>Results and Discussion</w:t>
      </w:r>
      <w:bookmarkStart w:id="0" w:name="_GoBack"/>
      <w:bookmarkEnd w:id="0"/>
    </w:p>
    <w:p w:rsidR="00841ABF" w:rsidRPr="00D47427" w:rsidRDefault="006950DB" w:rsidP="00863299">
      <w:pPr>
        <w:pStyle w:val="TAMainText"/>
      </w:pPr>
      <w:r w:rsidRPr="00856183">
        <w:t>Figure 2a shows</w:t>
      </w:r>
      <w:r w:rsidRPr="00D47427">
        <w:t xml:space="preserve"> cyclic </w:t>
      </w:r>
      <w:proofErr w:type="spellStart"/>
      <w:r w:rsidRPr="00D47427">
        <w:t>voltammograms</w:t>
      </w:r>
      <w:proofErr w:type="spellEnd"/>
      <w:r w:rsidRPr="00D47427">
        <w:t xml:space="preserve"> on </w:t>
      </w:r>
      <w:proofErr w:type="spellStart"/>
      <w:proofErr w:type="gramStart"/>
      <w:r w:rsidRPr="00D47427">
        <w:t>a</w:t>
      </w:r>
      <w:proofErr w:type="spellEnd"/>
      <w:proofErr w:type="gramEnd"/>
      <w:r w:rsidRPr="00D47427">
        <w:t xml:space="preserve"> Au thin film electrode at 0.1 V/s scan rate in the typical ORR/OER potential region, recorded in deoxygenated as well as oxygen saturated 0.1 M TEAClO</w:t>
      </w:r>
      <w:r w:rsidRPr="00D47427">
        <w:rPr>
          <w:vertAlign w:val="subscript"/>
        </w:rPr>
        <w:t>4</w:t>
      </w:r>
      <w:r w:rsidRPr="00D47427">
        <w:t xml:space="preserve">/PC electrolyte.  </w:t>
      </w:r>
      <w:r w:rsidR="00DB3FA6" w:rsidRPr="00D47427">
        <w:t xml:space="preserve">The </w:t>
      </w:r>
      <w:proofErr w:type="spellStart"/>
      <w:r w:rsidR="00DB3FA6" w:rsidRPr="00D47427">
        <w:t>voltammogram</w:t>
      </w:r>
      <w:proofErr w:type="spellEnd"/>
      <w:r w:rsidR="00DB3FA6" w:rsidRPr="00D47427">
        <w:t xml:space="preserve"> </w:t>
      </w:r>
      <w:r w:rsidRPr="00D47427">
        <w:t>of the deoxygenated electrolyte shows no faradaic current, indicating a stable potential window; a negative going current peak seen in oxygenated electrolyte (red) indicates r</w:t>
      </w:r>
      <w:r w:rsidRPr="00D47427">
        <w:t>e</w:t>
      </w:r>
      <w:r w:rsidRPr="00D47427">
        <w:t xml:space="preserve">duction of oxygen. The reduced oxygen species (presumably superoxide) does not appear to be </w:t>
      </w:r>
      <w:proofErr w:type="spellStart"/>
      <w:r w:rsidRPr="00D47427">
        <w:t>reoxidiz</w:t>
      </w:r>
      <w:r w:rsidRPr="00D47427">
        <w:t>a</w:t>
      </w:r>
      <w:r w:rsidRPr="00D47427">
        <w:t>ble</w:t>
      </w:r>
      <w:proofErr w:type="spellEnd"/>
      <w:r w:rsidRPr="00D47427">
        <w:t xml:space="preserve"> as only a very small anodic peak is observed at this scan rate. </w:t>
      </w:r>
      <w:r w:rsidR="00DB3FA6" w:rsidRPr="00D47427">
        <w:t xml:space="preserve">The </w:t>
      </w:r>
      <w:proofErr w:type="spellStart"/>
      <w:r w:rsidR="00DB3FA6" w:rsidRPr="00D47427">
        <w:t>tetraalkylammonium</w:t>
      </w:r>
      <w:proofErr w:type="spellEnd"/>
      <w:r w:rsidR="00DB3FA6" w:rsidRPr="00D47427">
        <w:t xml:space="preserve"> </w:t>
      </w:r>
      <w:r w:rsidRPr="00D47427">
        <w:t>cation gene</w:t>
      </w:r>
      <w:r w:rsidRPr="00D47427">
        <w:t>r</w:t>
      </w:r>
      <w:r w:rsidRPr="00D47427">
        <w:t>ally stabilizes the superoxide anion, enabling the lat</w:t>
      </w:r>
      <w:r w:rsidR="00A43207" w:rsidRPr="004D73F1">
        <w:rPr>
          <w:highlight w:val="yellow"/>
        </w:rPr>
        <w:t>t</w:t>
      </w:r>
      <w:r w:rsidRPr="00D47427">
        <w:t xml:space="preserve">er to be </w:t>
      </w:r>
      <w:proofErr w:type="spellStart"/>
      <w:r w:rsidRPr="00D47427">
        <w:t>reoxidized</w:t>
      </w:r>
      <w:proofErr w:type="spellEnd"/>
      <w:r w:rsidRPr="00D47427">
        <w:t xml:space="preserve"> during the reverse potential sweep; ORR in electrolytes comprising </w:t>
      </w:r>
      <w:proofErr w:type="spellStart"/>
      <w:r w:rsidRPr="00D47427">
        <w:t>tetraalkylammonium</w:t>
      </w:r>
      <w:proofErr w:type="spellEnd"/>
      <w:r w:rsidRPr="00D47427">
        <w:t xml:space="preserve"> salts </w:t>
      </w:r>
      <w:r w:rsidR="00293BFC" w:rsidRPr="00D47427">
        <w:t>and relatively stable solvents such as acetonitrile and dime</w:t>
      </w:r>
      <w:r w:rsidRPr="00D47427">
        <w:t xml:space="preserve">thyl </w:t>
      </w:r>
      <w:proofErr w:type="spellStart"/>
      <w:r w:rsidRPr="00D47427">
        <w:t>sulfoxide</w:t>
      </w:r>
      <w:proofErr w:type="spellEnd"/>
      <w:r w:rsidRPr="00D47427">
        <w:t xml:space="preserve"> are known to be </w:t>
      </w:r>
      <w:r w:rsidR="00FB1C12" w:rsidRPr="00D47427">
        <w:t>pseudo-</w:t>
      </w:r>
      <w:r w:rsidRPr="00D47427">
        <w:t>reversible</w:t>
      </w:r>
      <w:r w:rsidRPr="00D47427">
        <w:fldChar w:fldCharType="begin" w:fldLock="1"/>
      </w:r>
      <w:r w:rsidR="007E2DD7">
        <w:instrText>ADDIN CSL_CITATION { "citationItems" : [ { "id" : "ITEM-1", "itemData" : { "DOI" : "10.1021/jp102019y", "ISSN" : "1932-7447", "author" : [ { "dropping-particle" : "", "family" : "Laoire", "given" : "Cormac O", "non-dropping-particle" : "", "parse-names" : false, "suffix" : "" }, { "dropping-particle" : "", "family" : "Mukerjee", "given" : "Sanjeev", "non-dropping-particle" : "", "parse-names" : false, "suffix" : "" }, { "dropping-particle" : "", "family" : "Abraham", "given" : "K M", "non-dropping-particle" : "", "parse-names" : false, "suffix" : "" }, { "dropping-particle" : "", "family" : "Plichta", "given" : "Edward J", "non-dropping-particle" : "", "parse-names" : false, "suffix" : "" }, { "dropping-particle" : "", "family" : "Hendrickson", "given" : "Mary A", "non-dropping-particle" : "", "parse-names" : false, "suffix" : "" } ], "container-title" : "The Journal of Physical Chemistry C", "id" : "ITEM-1", "issue" : "19", "issued" : { "date-parts" : [ [ "2010", "5", "20" ] ] }, "note" : "doi: 10.1021/jp102019y", "page" : "9178-9186", "publisher" : "American Chemical Society", "title" : "Influence of Nonaqueous Solvents on the Electrochemistry of Oxygen in the Rechargeable Lithium\u2212Air Battery", "type" : "article-journal", "volume" : "114" }, "uris" : [ "http://www.mendeley.com/documents/?uuid=8b7e69af-8d5a-40ca-871e-930e033f9ef1" ] } ], "mendeley" : { "formattedCitation" : "[16]", "plainTextFormattedCitation" : "[16]", "previouslyFormattedCitation" : "[16]" }, "properties" : { "noteIndex" : 0 }, "schema" : "https://github.com/citation-style-language/schema/raw/master/csl-citation.json" }</w:instrText>
      </w:r>
      <w:r w:rsidRPr="00D47427">
        <w:fldChar w:fldCharType="separate"/>
      </w:r>
      <w:r w:rsidR="007E2DD7" w:rsidRPr="007E2DD7">
        <w:rPr>
          <w:noProof/>
        </w:rPr>
        <w:t>[16]</w:t>
      </w:r>
      <w:r w:rsidRPr="00D47427">
        <w:fldChar w:fldCharType="end"/>
      </w:r>
      <w:r w:rsidRPr="00D47427">
        <w:t xml:space="preserve">. </w:t>
      </w:r>
    </w:p>
    <w:p w:rsidR="006E4730" w:rsidRPr="00D47427" w:rsidRDefault="006E4730">
      <w:pPr>
        <w:spacing w:after="0"/>
        <w:jc w:val="left"/>
        <w:rPr>
          <w:rFonts w:ascii="Times New Roman" w:eastAsiaTheme="minorHAnsi" w:hAnsi="Times New Roman"/>
          <w:kern w:val="21"/>
          <w:sz w:val="22"/>
        </w:rPr>
      </w:pPr>
      <w:r w:rsidRPr="00D47427">
        <w:rPr>
          <w:rFonts w:eastAsiaTheme="minorHAnsi"/>
        </w:rPr>
        <w:br w:type="page"/>
      </w:r>
    </w:p>
    <w:p w:rsidR="00841ABF" w:rsidRPr="00D47427" w:rsidRDefault="00841ABF" w:rsidP="00841ABF">
      <w:pPr>
        <w:jc w:val="center"/>
      </w:pPr>
      <w:r w:rsidRPr="00D47427">
        <w:rPr>
          <w:noProof/>
          <w:lang w:val="en-GB" w:eastAsia="en-GB"/>
        </w:rPr>
        <w:lastRenderedPageBreak/>
        <w:drawing>
          <wp:inline distT="0" distB="0" distL="0" distR="0" wp14:anchorId="19969C5B" wp14:editId="41F8FDE4">
            <wp:extent cx="3045600" cy="2224800"/>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10" cstate="print">
                      <a:extLst>
                        <a:ext uri="{28A0092B-C50C-407E-A947-70E740481C1C}">
                          <a14:useLocalDpi xmlns:a14="http://schemas.microsoft.com/office/drawing/2010/main" val="0"/>
                        </a:ext>
                      </a:extLst>
                    </a:blip>
                    <a:srcRect l="3938" t="10019" r="13545" b="9548"/>
                    <a:stretch/>
                  </pic:blipFill>
                  <pic:spPr bwMode="auto">
                    <a:xfrm>
                      <a:off x="0" y="0"/>
                      <a:ext cx="3045600" cy="2224800"/>
                    </a:xfrm>
                    <a:prstGeom prst="rect">
                      <a:avLst/>
                    </a:prstGeom>
                    <a:ln>
                      <a:noFill/>
                    </a:ln>
                    <a:extLst>
                      <a:ext uri="{53640926-AAD7-44D8-BBD7-CCE9431645EC}">
                        <a14:shadowObscured xmlns:a14="http://schemas.microsoft.com/office/drawing/2010/main"/>
                      </a:ext>
                    </a:extLst>
                  </pic:spPr>
                </pic:pic>
              </a:graphicData>
            </a:graphic>
          </wp:inline>
        </w:drawing>
      </w:r>
    </w:p>
    <w:p w:rsidR="00841ABF" w:rsidRPr="00D47427" w:rsidRDefault="00841ABF" w:rsidP="00841ABF">
      <w:pPr>
        <w:jc w:val="center"/>
      </w:pPr>
      <w:r w:rsidRPr="00D47427">
        <w:rPr>
          <w:noProof/>
          <w:lang w:val="en-GB" w:eastAsia="en-GB"/>
        </w:rPr>
        <w:drawing>
          <wp:inline distT="0" distB="0" distL="0" distR="0" wp14:anchorId="0830DB77" wp14:editId="55600A38">
            <wp:extent cx="2980800" cy="224280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rotWithShape="1">
                    <a:blip r:embed="rId11" cstate="print">
                      <a:extLst>
                        <a:ext uri="{28A0092B-C50C-407E-A947-70E740481C1C}">
                          <a14:useLocalDpi xmlns:a14="http://schemas.microsoft.com/office/drawing/2010/main" val="0"/>
                        </a:ext>
                      </a:extLst>
                    </a:blip>
                    <a:srcRect l="5728" t="10019" r="13366" b="8831"/>
                    <a:stretch/>
                  </pic:blipFill>
                  <pic:spPr bwMode="auto">
                    <a:xfrm>
                      <a:off x="0" y="0"/>
                      <a:ext cx="2980800" cy="2242800"/>
                    </a:xfrm>
                    <a:prstGeom prst="rect">
                      <a:avLst/>
                    </a:prstGeom>
                    <a:ln>
                      <a:noFill/>
                    </a:ln>
                    <a:extLst>
                      <a:ext uri="{53640926-AAD7-44D8-BBD7-CCE9431645EC}">
                        <a14:shadowObscured xmlns:a14="http://schemas.microsoft.com/office/drawing/2010/main"/>
                      </a:ext>
                    </a:extLst>
                  </pic:spPr>
                </pic:pic>
              </a:graphicData>
            </a:graphic>
          </wp:inline>
        </w:drawing>
      </w:r>
    </w:p>
    <w:p w:rsidR="00841ABF" w:rsidRPr="00D47427" w:rsidRDefault="00841ABF" w:rsidP="006E4730">
      <w:pPr>
        <w:pStyle w:val="VAFigureCaption"/>
      </w:pPr>
      <w:proofErr w:type="gramStart"/>
      <w:r w:rsidRPr="00D47427">
        <w:t>Figure 2.</w:t>
      </w:r>
      <w:proofErr w:type="gramEnd"/>
      <w:r w:rsidRPr="00D47427">
        <w:t xml:space="preserve"> Cyclic </w:t>
      </w:r>
      <w:proofErr w:type="spellStart"/>
      <w:r w:rsidRPr="00D47427">
        <w:t>voltammograms</w:t>
      </w:r>
      <w:proofErr w:type="spellEnd"/>
      <w:r w:rsidRPr="00D47427">
        <w:t xml:space="preserve"> (a) the reduction of oxygen (red) and the argon background (black) in 0.1 M TEAClO</w:t>
      </w:r>
      <w:r w:rsidRPr="00D47427">
        <w:rPr>
          <w:vertAlign w:val="subscript"/>
        </w:rPr>
        <w:t>4</w:t>
      </w:r>
      <w:r w:rsidRPr="00D47427">
        <w:t xml:space="preserve">/PC, at 0.1 V/s scan rate. (b) </w:t>
      </w:r>
      <w:proofErr w:type="gramStart"/>
      <w:r w:rsidRPr="00D47427">
        <w:t>for</w:t>
      </w:r>
      <w:proofErr w:type="gramEnd"/>
      <w:r w:rsidRPr="00D47427">
        <w:t xml:space="preserve"> the </w:t>
      </w:r>
      <w:r w:rsidR="00102E43" w:rsidRPr="00115531">
        <w:rPr>
          <w:highlight w:val="yellow"/>
        </w:rPr>
        <w:t>oxygen reduction</w:t>
      </w:r>
      <w:r w:rsidR="00102E43" w:rsidRPr="00D47427">
        <w:t xml:space="preserve"> </w:t>
      </w:r>
      <w:r w:rsidRPr="00D47427">
        <w:t>reaction in 0.1 M TEAClO</w:t>
      </w:r>
      <w:r w:rsidRPr="00D47427">
        <w:rPr>
          <w:vertAlign w:val="subscript"/>
        </w:rPr>
        <w:t>4</w:t>
      </w:r>
      <w:r w:rsidRPr="00D47427">
        <w:t xml:space="preserve">/PC, at 4 different scan rates. </w:t>
      </w:r>
    </w:p>
    <w:p w:rsidR="006E4730" w:rsidRPr="00D47427" w:rsidRDefault="006E4730" w:rsidP="00863299">
      <w:pPr>
        <w:pStyle w:val="TAMainText"/>
      </w:pPr>
    </w:p>
    <w:p w:rsidR="00EC2F46" w:rsidRPr="00D47427" w:rsidRDefault="006950DB" w:rsidP="00863299">
      <w:pPr>
        <w:pStyle w:val="TAMainText"/>
        <w:rPr>
          <w:rFonts w:eastAsiaTheme="minorEastAsia"/>
          <w:lang w:val="en-GB"/>
        </w:rPr>
      </w:pPr>
      <w:r w:rsidRPr="00D47427">
        <w:t>The irreversibility of oxygen reduction in PC containing electrolytes indicates the instability of supe</w:t>
      </w:r>
      <w:r w:rsidRPr="00D47427">
        <w:t>r</w:t>
      </w:r>
      <w:r w:rsidRPr="00D47427">
        <w:t xml:space="preserve">oxide in this solvent. It is generally </w:t>
      </w:r>
      <w:r w:rsidR="0060353D" w:rsidRPr="00D47427">
        <w:t>understoo</w:t>
      </w:r>
      <w:r w:rsidRPr="00D47427">
        <w:t>d that O</w:t>
      </w:r>
      <w:r w:rsidRPr="00D47427">
        <w:rPr>
          <w:vertAlign w:val="subscript"/>
        </w:rPr>
        <w:t>2</w:t>
      </w:r>
      <w:r w:rsidRPr="00D47427">
        <w:rPr>
          <w:vertAlign w:val="superscript"/>
        </w:rPr>
        <w:t>-</w:t>
      </w:r>
      <w:r w:rsidRPr="00D47427">
        <w:t xml:space="preserve"> preferentially attacks the less hindered ethereal carbon of cyclic carbonates, leading to a ring </w:t>
      </w:r>
      <w:r w:rsidRPr="00242805">
        <w:t xml:space="preserve">opening reaction (Scheme 1). </w:t>
      </w:r>
      <w:r w:rsidR="00EC2F46" w:rsidRPr="00242805">
        <w:rPr>
          <w:rFonts w:eastAsiaTheme="minorEastAsia"/>
        </w:rPr>
        <w:t>Interestingly</w:t>
      </w:r>
      <w:r w:rsidR="00EC2F46" w:rsidRPr="00D47427">
        <w:rPr>
          <w:rFonts w:eastAsiaTheme="minorEastAsia"/>
        </w:rPr>
        <w:t>, the anodic peak corresponding to the oxidation of superoxide in PC/TEAClO</w:t>
      </w:r>
      <w:r w:rsidR="00EC2F46" w:rsidRPr="00D47427">
        <w:rPr>
          <w:rFonts w:eastAsiaTheme="minorEastAsia"/>
          <w:vertAlign w:val="subscript"/>
        </w:rPr>
        <w:t>4</w:t>
      </w:r>
      <w:r w:rsidR="00EC2F46" w:rsidRPr="00D47427">
        <w:rPr>
          <w:rFonts w:eastAsiaTheme="minorEastAsia"/>
        </w:rPr>
        <w:t xml:space="preserve"> is stronger and the superoxide formed is more reversible at higher scan rates (Figure 2b). This implies that the superoxide generated at the inte</w:t>
      </w:r>
      <w:r w:rsidR="00EC2F46" w:rsidRPr="00D47427">
        <w:rPr>
          <w:rFonts w:eastAsiaTheme="minorEastAsia"/>
        </w:rPr>
        <w:t>r</w:t>
      </w:r>
      <w:r w:rsidR="00EC2F46" w:rsidRPr="00D47427">
        <w:rPr>
          <w:rFonts w:eastAsiaTheme="minorEastAsia"/>
        </w:rPr>
        <w:t xml:space="preserve">face is stable only for a short period.  </w:t>
      </w:r>
      <w:r w:rsidR="00EC2F46" w:rsidRPr="00D47427">
        <w:rPr>
          <w:rFonts w:eastAsiaTheme="minorEastAsia"/>
          <w:lang w:val="en-GB"/>
        </w:rPr>
        <w:t xml:space="preserve"> </w:t>
      </w:r>
    </w:p>
    <w:p w:rsidR="00360AA5" w:rsidRDefault="00360AA5" w:rsidP="0095413E">
      <w:pPr>
        <w:pStyle w:val="VCSchemeTitle"/>
        <w:spacing w:after="0" w:line="480" w:lineRule="auto"/>
        <w:rPr>
          <w:rFonts w:ascii="Times New Roman" w:hAnsi="Times New Roman"/>
          <w:sz w:val="22"/>
          <w:szCs w:val="22"/>
        </w:rPr>
      </w:pPr>
    </w:p>
    <w:p w:rsidR="002578BE" w:rsidRPr="002578BE" w:rsidRDefault="002578BE" w:rsidP="002578BE"/>
    <w:p w:rsidR="008D6799" w:rsidRPr="00D47427" w:rsidRDefault="008D6799" w:rsidP="0095413E">
      <w:pPr>
        <w:pStyle w:val="VCSchemeTitle"/>
        <w:spacing w:after="0" w:line="480" w:lineRule="auto"/>
        <w:rPr>
          <w:rFonts w:ascii="Times New Roman" w:hAnsi="Times New Roman"/>
          <w:sz w:val="22"/>
          <w:szCs w:val="22"/>
        </w:rPr>
      </w:pPr>
      <w:proofErr w:type="gramStart"/>
      <w:r w:rsidRPr="00D47427">
        <w:rPr>
          <w:rFonts w:ascii="Times New Roman" w:hAnsi="Times New Roman"/>
          <w:sz w:val="22"/>
          <w:szCs w:val="22"/>
        </w:rPr>
        <w:lastRenderedPageBreak/>
        <w:t>Scheme 1</w:t>
      </w:r>
      <w:r w:rsidR="00C97258" w:rsidRPr="00D47427">
        <w:rPr>
          <w:rFonts w:ascii="Times New Roman" w:hAnsi="Times New Roman"/>
          <w:sz w:val="22"/>
          <w:szCs w:val="22"/>
        </w:rPr>
        <w:t>.</w:t>
      </w:r>
      <w:proofErr w:type="gramEnd"/>
      <w:r w:rsidR="00C97258" w:rsidRPr="00D47427">
        <w:rPr>
          <w:rFonts w:ascii="Times New Roman" w:hAnsi="Times New Roman"/>
          <w:sz w:val="22"/>
          <w:szCs w:val="22"/>
        </w:rPr>
        <w:t xml:space="preserve"> Superoxide induced ring opening in PC</w:t>
      </w:r>
    </w:p>
    <w:p w:rsidR="006950DB" w:rsidRPr="00D47427" w:rsidRDefault="00234933" w:rsidP="00863299">
      <w:pPr>
        <w:pStyle w:val="TAMainText"/>
      </w:pPr>
      <w:r w:rsidRPr="00D47427">
        <w:object w:dxaOrig="6897" w:dyaOrig="2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87.75pt" o:ole="">
            <v:imagedata r:id="rId12" o:title=""/>
          </v:shape>
          <o:OLEObject Type="Embed" ProgID="ChemDraw.Document.6.0" ShapeID="_x0000_i1025" DrawAspect="Content" ObjectID="_1515070840" r:id="rId13"/>
        </w:object>
      </w:r>
    </w:p>
    <w:p w:rsidR="00FC268F" w:rsidRPr="00DE5E17" w:rsidRDefault="006950DB" w:rsidP="00D809BD">
      <w:pPr>
        <w:spacing w:line="480" w:lineRule="auto"/>
        <w:rPr>
          <w:sz w:val="22"/>
          <w:szCs w:val="24"/>
        </w:rPr>
      </w:pPr>
      <w:r w:rsidRPr="00242805">
        <w:rPr>
          <w:rFonts w:eastAsiaTheme="minorEastAsia"/>
          <w:sz w:val="22"/>
        </w:rPr>
        <w:t xml:space="preserve"> </w:t>
      </w:r>
      <w:r w:rsidRPr="00242805">
        <w:rPr>
          <w:rFonts w:eastAsiaTheme="minorHAnsi"/>
          <w:sz w:val="22"/>
        </w:rPr>
        <w:t xml:space="preserve"> </w:t>
      </w:r>
      <w:r w:rsidRPr="00242805">
        <w:rPr>
          <w:rFonts w:eastAsiaTheme="minorEastAsia"/>
          <w:sz w:val="22"/>
        </w:rPr>
        <w:t>SEIRA spectra in Figure 3a correspond to the voltammogram in deoxygenated electrolyte (Figure 2a</w:t>
      </w:r>
      <w:r w:rsidR="00CD28B7" w:rsidRPr="00242805">
        <w:rPr>
          <w:rFonts w:eastAsiaTheme="minorEastAsia"/>
          <w:sz w:val="22"/>
        </w:rPr>
        <w:t xml:space="preserve">, </w:t>
      </w:r>
      <w:r w:rsidR="00CD28B7" w:rsidRPr="00242805">
        <w:rPr>
          <w:rFonts w:eastAsiaTheme="minorEastAsia"/>
          <w:sz w:val="22"/>
          <w:highlight w:val="yellow"/>
        </w:rPr>
        <w:t xml:space="preserve">corresponding spectra over a broader range is provided in the supporting information </w:t>
      </w:r>
      <w:r w:rsidR="00CD28B7" w:rsidRPr="00242805">
        <w:rPr>
          <w:rFonts w:eastAsiaTheme="minorEastAsia"/>
          <w:sz w:val="22"/>
        </w:rPr>
        <w:t>Fig</w:t>
      </w:r>
      <w:r w:rsidR="00194474" w:rsidRPr="00242805">
        <w:rPr>
          <w:rFonts w:eastAsiaTheme="minorEastAsia"/>
          <w:sz w:val="22"/>
        </w:rPr>
        <w:t>ure</w:t>
      </w:r>
      <w:r w:rsidR="00CD28B7" w:rsidRPr="00242805">
        <w:rPr>
          <w:rFonts w:eastAsiaTheme="minorEastAsia"/>
          <w:sz w:val="22"/>
        </w:rPr>
        <w:t xml:space="preserve"> S1</w:t>
      </w:r>
      <w:r w:rsidRPr="00242805">
        <w:rPr>
          <w:rFonts w:eastAsiaTheme="minorEastAsia"/>
          <w:sz w:val="22"/>
        </w:rPr>
        <w:t xml:space="preserve">), and </w:t>
      </w:r>
      <w:r w:rsidRPr="00242805">
        <w:rPr>
          <w:rFonts w:ascii="Times New Roman" w:eastAsiaTheme="minorEastAsia" w:hAnsi="Times New Roman"/>
          <w:sz w:val="20"/>
          <w:szCs w:val="22"/>
        </w:rPr>
        <w:t>these</w:t>
      </w:r>
      <w:r w:rsidRPr="00242805">
        <w:rPr>
          <w:rFonts w:eastAsiaTheme="minorEastAsia"/>
          <w:sz w:val="22"/>
        </w:rPr>
        <w:t xml:space="preserve"> show growing downwards-pointing peaks as the electrode potential is made more negative. All these bands resemble typical PC bands, but a shift in the C</w:t>
      </w:r>
      <w:r w:rsidR="00B173B3" w:rsidRPr="00242805">
        <w:rPr>
          <w:rFonts w:ascii="Arial" w:eastAsiaTheme="minorEastAsia" w:hAnsi="Arial" w:cs="Arial"/>
          <w:sz w:val="22"/>
        </w:rPr>
        <w:t>═</w:t>
      </w:r>
      <w:r w:rsidRPr="00242805">
        <w:rPr>
          <w:rFonts w:eastAsiaTheme="minorEastAsia"/>
          <w:sz w:val="22"/>
        </w:rPr>
        <w:t>O stretch to higher wavenumber is observed</w:t>
      </w:r>
      <w:r w:rsidRPr="00242805">
        <w:rPr>
          <w:rFonts w:eastAsiaTheme="minorHAnsi"/>
          <w:sz w:val="22"/>
        </w:rPr>
        <w:t xml:space="preserve"> as the electrode potential is moved towards more negative values. As shown in Table 1, there is a 16 cm</w:t>
      </w:r>
      <w:r w:rsidRPr="00242805">
        <w:rPr>
          <w:rFonts w:eastAsiaTheme="minorHAnsi"/>
          <w:sz w:val="22"/>
          <w:vertAlign w:val="superscript"/>
        </w:rPr>
        <w:t>-1</w:t>
      </w:r>
      <w:r w:rsidRPr="00242805">
        <w:rPr>
          <w:rFonts w:eastAsiaTheme="minorHAnsi"/>
          <w:sz w:val="22"/>
        </w:rPr>
        <w:t xml:space="preserve"> shift in</w:t>
      </w:r>
      <w:r w:rsidR="00872279" w:rsidRPr="00242805">
        <w:rPr>
          <w:rFonts w:eastAsiaTheme="minorHAnsi"/>
          <w:sz w:val="22"/>
        </w:rPr>
        <w:t xml:space="preserve"> the</w:t>
      </w:r>
      <w:r w:rsidRPr="00242805">
        <w:rPr>
          <w:rFonts w:eastAsiaTheme="minorHAnsi"/>
          <w:sz w:val="22"/>
        </w:rPr>
        <w:t xml:space="preserve"> </w:t>
      </w:r>
      <w:r w:rsidRPr="00242805">
        <w:rPr>
          <w:rFonts w:eastAsiaTheme="minorEastAsia"/>
          <w:sz w:val="22"/>
        </w:rPr>
        <w:t>C</w:t>
      </w:r>
      <w:r w:rsidR="00B173B3" w:rsidRPr="00242805">
        <w:rPr>
          <w:rFonts w:ascii="Arial" w:eastAsiaTheme="minorEastAsia" w:hAnsi="Arial" w:cs="Arial"/>
          <w:sz w:val="22"/>
        </w:rPr>
        <w:t>═</w:t>
      </w:r>
      <w:r w:rsidRPr="00242805">
        <w:rPr>
          <w:rFonts w:eastAsiaTheme="minorEastAsia"/>
          <w:sz w:val="22"/>
        </w:rPr>
        <w:t>O stretch</w:t>
      </w:r>
      <w:r w:rsidR="00872279" w:rsidRPr="00242805">
        <w:rPr>
          <w:rFonts w:eastAsiaTheme="minorEastAsia"/>
          <w:sz w:val="22"/>
        </w:rPr>
        <w:t xml:space="preserve"> of PC</w:t>
      </w:r>
      <w:r w:rsidRPr="00242805">
        <w:rPr>
          <w:rFonts w:eastAsiaTheme="minorEastAsia"/>
          <w:sz w:val="22"/>
        </w:rPr>
        <w:t>,</w:t>
      </w:r>
      <w:r w:rsidRPr="00242805">
        <w:rPr>
          <w:rFonts w:eastAsiaTheme="minorHAnsi"/>
          <w:sz w:val="22"/>
        </w:rPr>
        <w:t xml:space="preserve"> on changing the potential from 3.0 V to 1.9 V. This shift may indicate a stron</w:t>
      </w:r>
      <w:r w:rsidRPr="00242805">
        <w:rPr>
          <w:rFonts w:eastAsiaTheme="minorHAnsi"/>
          <w:sz w:val="22"/>
        </w:rPr>
        <w:t>g</w:t>
      </w:r>
      <w:r w:rsidRPr="00242805">
        <w:rPr>
          <w:rFonts w:eastAsiaTheme="minorHAnsi"/>
          <w:sz w:val="22"/>
        </w:rPr>
        <w:t>er intermolecular dipole-dipole interactions or surface-dipole interactions as a result of selective partition or orientation of PC at the interface at these potentials. Apart from the PC</w:t>
      </w:r>
      <w:r w:rsidR="00C014A3" w:rsidRPr="00242805">
        <w:rPr>
          <w:rFonts w:eastAsiaTheme="minorHAnsi"/>
          <w:sz w:val="22"/>
        </w:rPr>
        <w:t xml:space="preserve"> and TEA</w:t>
      </w:r>
      <w:r w:rsidRPr="00242805">
        <w:rPr>
          <w:rFonts w:eastAsiaTheme="minorHAnsi"/>
          <w:sz w:val="22"/>
        </w:rPr>
        <w:t xml:space="preserve"> vibrational bands, no new peaks are observed in this case, indicating that no new species (detectable within this spectral range) are formed at the interface. SEIRAS in </w:t>
      </w:r>
      <w:r w:rsidRPr="00242805">
        <w:rPr>
          <w:rFonts w:eastAsiaTheme="minorEastAsia"/>
          <w:sz w:val="22"/>
        </w:rPr>
        <w:t>Figure 3b corresponds to oxygenated electrolyte, showing very similar features, including the shift (25 cm</w:t>
      </w:r>
      <w:r w:rsidRPr="00242805">
        <w:rPr>
          <w:rFonts w:eastAsiaTheme="minorEastAsia"/>
          <w:sz w:val="22"/>
          <w:vertAlign w:val="superscript"/>
        </w:rPr>
        <w:t>-1</w:t>
      </w:r>
      <w:r w:rsidRPr="00242805">
        <w:rPr>
          <w:rFonts w:eastAsiaTheme="minorEastAsia"/>
          <w:sz w:val="22"/>
        </w:rPr>
        <w:t>) in carbonyl stretch, as in the deoxygenated system. SEIRAS bands of both oxygenated and deoxygenated PC-TEAClO</w:t>
      </w:r>
      <w:r w:rsidRPr="00242805">
        <w:rPr>
          <w:rFonts w:eastAsiaTheme="minorEastAsia"/>
          <w:sz w:val="22"/>
          <w:vertAlign w:val="subscript"/>
        </w:rPr>
        <w:t>4</w:t>
      </w:r>
      <w:r w:rsidRPr="00242805">
        <w:rPr>
          <w:rFonts w:eastAsiaTheme="minorEastAsia"/>
          <w:sz w:val="22"/>
        </w:rPr>
        <w:t xml:space="preserve"> systems at three representative potentials (as the potential is scanned from OCV through 3.0 V to 1.90 V, then reversed the scan towards 3.6 V) </w:t>
      </w:r>
      <w:r w:rsidR="001A181F" w:rsidRPr="00242805">
        <w:rPr>
          <w:rFonts w:eastAsiaTheme="minorEastAsia"/>
          <w:sz w:val="22"/>
        </w:rPr>
        <w:t xml:space="preserve">are listed </w:t>
      </w:r>
      <w:r w:rsidRPr="00242805">
        <w:rPr>
          <w:rFonts w:eastAsiaTheme="minorEastAsia"/>
          <w:sz w:val="22"/>
        </w:rPr>
        <w:t xml:space="preserve">in Table 1. It is rather surprising that even though oxygen reduction is quasireversible, SEIRAS analysis does not indicate any superoxide induced reaction products in the interfacial region; for instance, the ring-opened reaction products of PC. </w:t>
      </w:r>
      <w:r w:rsidR="002D02E3" w:rsidRPr="00242805">
        <w:rPr>
          <w:rFonts w:eastAsiaTheme="minorEastAsia"/>
          <w:sz w:val="22"/>
        </w:rPr>
        <w:t>While</w:t>
      </w:r>
      <w:r w:rsidRPr="00242805">
        <w:rPr>
          <w:rFonts w:eastAsiaTheme="minorEastAsia"/>
          <w:sz w:val="22"/>
        </w:rPr>
        <w:t xml:space="preserve"> parasitic chemical reactions happening in the bulk ele</w:t>
      </w:r>
      <w:r w:rsidRPr="00242805">
        <w:rPr>
          <w:rFonts w:eastAsiaTheme="minorEastAsia"/>
          <w:sz w:val="22"/>
        </w:rPr>
        <w:t>c</w:t>
      </w:r>
      <w:r w:rsidRPr="00242805">
        <w:rPr>
          <w:rFonts w:eastAsiaTheme="minorEastAsia"/>
          <w:sz w:val="22"/>
        </w:rPr>
        <w:t xml:space="preserve">trolyte (away from the interfacial region) will not be observed in SEIRA spectra, our results indicate that no appreciable </w:t>
      </w:r>
      <w:r w:rsidR="005C2E89" w:rsidRPr="00242805">
        <w:rPr>
          <w:rFonts w:eastAsiaTheme="minorEastAsia"/>
          <w:sz w:val="22"/>
        </w:rPr>
        <w:t xml:space="preserve">superoxide induced </w:t>
      </w:r>
      <w:r w:rsidRPr="00242805">
        <w:rPr>
          <w:rFonts w:eastAsiaTheme="minorEastAsia"/>
          <w:sz w:val="22"/>
        </w:rPr>
        <w:t xml:space="preserve">degradation of PC </w:t>
      </w:r>
      <w:r w:rsidR="005C2E89" w:rsidRPr="00242805">
        <w:rPr>
          <w:rFonts w:eastAsiaTheme="minorEastAsia"/>
          <w:sz w:val="22"/>
        </w:rPr>
        <w:t xml:space="preserve">directly </w:t>
      </w:r>
      <w:r w:rsidR="001A181F" w:rsidRPr="00242805">
        <w:rPr>
          <w:rFonts w:eastAsiaTheme="minorEastAsia"/>
          <w:sz w:val="22"/>
        </w:rPr>
        <w:t xml:space="preserve">at the interface </w:t>
      </w:r>
      <w:r w:rsidRPr="00242805">
        <w:rPr>
          <w:rFonts w:eastAsiaTheme="minorEastAsia"/>
          <w:sz w:val="22"/>
        </w:rPr>
        <w:t>happens under these cond</w:t>
      </w:r>
      <w:r w:rsidRPr="00242805">
        <w:rPr>
          <w:rFonts w:eastAsiaTheme="minorEastAsia"/>
          <w:sz w:val="22"/>
        </w:rPr>
        <w:t>i</w:t>
      </w:r>
      <w:r w:rsidRPr="00DE5E17">
        <w:rPr>
          <w:rFonts w:eastAsiaTheme="minorEastAsia"/>
          <w:sz w:val="22"/>
        </w:rPr>
        <w:t>tions.</w:t>
      </w:r>
      <w:r w:rsidR="00B852C8" w:rsidRPr="00DE5E17">
        <w:rPr>
          <w:sz w:val="22"/>
        </w:rPr>
        <w:t xml:space="preserve"> </w:t>
      </w:r>
    </w:p>
    <w:p w:rsidR="00B852C8" w:rsidRPr="00D47427" w:rsidRDefault="00B852C8" w:rsidP="00863299">
      <w:pPr>
        <w:pStyle w:val="TAMainText"/>
      </w:pPr>
    </w:p>
    <w:p w:rsidR="00841ABF" w:rsidRPr="00D47427" w:rsidRDefault="00952BEB" w:rsidP="00841ABF">
      <w:pPr>
        <w:jc w:val="center"/>
      </w:pPr>
      <w:r>
        <w:rPr>
          <w:noProof/>
          <w:lang w:val="en-GB" w:eastAsia="en-GB"/>
        </w:rPr>
        <w:lastRenderedPageBreak/>
        <w:drawing>
          <wp:inline distT="0" distB="0" distL="0" distR="0" wp14:anchorId="6074E3B4" wp14:editId="7F5056AA">
            <wp:extent cx="3150000" cy="2394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rotWithShape="1">
                    <a:blip r:embed="rId14" cstate="print">
                      <a:extLst>
                        <a:ext uri="{28A0092B-C50C-407E-A947-70E740481C1C}">
                          <a14:useLocalDpi xmlns:a14="http://schemas.microsoft.com/office/drawing/2010/main" val="0"/>
                        </a:ext>
                      </a:extLst>
                    </a:blip>
                    <a:srcRect l="9190" t="3464" r="4695" b="9290"/>
                    <a:stretch/>
                  </pic:blipFill>
                  <pic:spPr bwMode="auto">
                    <a:xfrm>
                      <a:off x="0" y="0"/>
                      <a:ext cx="3150000" cy="2394000"/>
                    </a:xfrm>
                    <a:prstGeom prst="rect">
                      <a:avLst/>
                    </a:prstGeom>
                    <a:ln>
                      <a:noFill/>
                    </a:ln>
                    <a:extLst>
                      <a:ext uri="{53640926-AAD7-44D8-BBD7-CCE9431645EC}">
                        <a14:shadowObscured xmlns:a14="http://schemas.microsoft.com/office/drawing/2010/main"/>
                      </a:ext>
                    </a:extLst>
                  </pic:spPr>
                </pic:pic>
              </a:graphicData>
            </a:graphic>
          </wp:inline>
        </w:drawing>
      </w:r>
    </w:p>
    <w:p w:rsidR="00841ABF" w:rsidRPr="00D47427" w:rsidRDefault="00952BEB" w:rsidP="00841ABF">
      <w:pPr>
        <w:jc w:val="center"/>
      </w:pPr>
      <w:r>
        <w:rPr>
          <w:noProof/>
          <w:lang w:val="en-GB" w:eastAsia="en-GB"/>
        </w:rPr>
        <w:drawing>
          <wp:inline distT="0" distB="0" distL="0" distR="0" wp14:anchorId="4819B5A3" wp14:editId="1D5A0E0D">
            <wp:extent cx="3110400" cy="2311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JPG"/>
                    <pic:cNvPicPr/>
                  </pic:nvPicPr>
                  <pic:blipFill rotWithShape="1">
                    <a:blip r:embed="rId15" cstate="print">
                      <a:extLst>
                        <a:ext uri="{28A0092B-C50C-407E-A947-70E740481C1C}">
                          <a14:useLocalDpi xmlns:a14="http://schemas.microsoft.com/office/drawing/2010/main" val="0"/>
                        </a:ext>
                      </a:extLst>
                    </a:blip>
                    <a:srcRect l="9900" t="5328" r="4895" b="10267"/>
                    <a:stretch/>
                  </pic:blipFill>
                  <pic:spPr bwMode="auto">
                    <a:xfrm>
                      <a:off x="0" y="0"/>
                      <a:ext cx="3110400" cy="2311200"/>
                    </a:xfrm>
                    <a:prstGeom prst="rect">
                      <a:avLst/>
                    </a:prstGeom>
                    <a:ln>
                      <a:noFill/>
                    </a:ln>
                    <a:extLst>
                      <a:ext uri="{53640926-AAD7-44D8-BBD7-CCE9431645EC}">
                        <a14:shadowObscured xmlns:a14="http://schemas.microsoft.com/office/drawing/2010/main"/>
                      </a:ext>
                    </a:extLst>
                  </pic:spPr>
                </pic:pic>
              </a:graphicData>
            </a:graphic>
          </wp:inline>
        </w:drawing>
      </w:r>
    </w:p>
    <w:p w:rsidR="00841ABF" w:rsidRPr="00D47427" w:rsidRDefault="00841ABF" w:rsidP="006E4730">
      <w:pPr>
        <w:pStyle w:val="VAFigureCaption"/>
      </w:pPr>
      <w:r w:rsidRPr="00D47427">
        <w:t>Figure 3. SEIRA spectra recorded for a Au thin film electrode in 0.1 M TEAClO</w:t>
      </w:r>
      <w:r w:rsidRPr="00D809BD">
        <w:rPr>
          <w:highlight w:val="yellow"/>
          <w:vertAlign w:val="subscript"/>
        </w:rPr>
        <w:t>4</w:t>
      </w:r>
      <w:r w:rsidRPr="00D47427">
        <w:t>/PC electrolyte at various representative electrode potentials. (a) Deoxygenated electrolyte - corresponds to the black curve in Figure 2a, and (b) oxygen saturated electrolyte – corresponds to the red curve in Figure 2a. The reference spectra were taken at open circuit voltage</w:t>
      </w:r>
      <w:r w:rsidR="00C51C64">
        <w:t xml:space="preserve"> </w:t>
      </w:r>
      <w:r w:rsidR="004B230E" w:rsidRPr="00D809BD">
        <w:rPr>
          <w:highlight w:val="yellow"/>
        </w:rPr>
        <w:t>(3.</w:t>
      </w:r>
      <w:r w:rsidR="00422DB3" w:rsidRPr="00D809BD">
        <w:rPr>
          <w:highlight w:val="yellow"/>
        </w:rPr>
        <w:t>3</w:t>
      </w:r>
      <w:r w:rsidR="00C51C64" w:rsidRPr="00D809BD">
        <w:rPr>
          <w:highlight w:val="yellow"/>
        </w:rPr>
        <w:t xml:space="preserve"> V)</w:t>
      </w:r>
      <w:r w:rsidRPr="00D47427">
        <w:t xml:space="preserve"> before the potential sweep started. </w:t>
      </w:r>
    </w:p>
    <w:p w:rsidR="00841ABF" w:rsidRPr="00D47427" w:rsidRDefault="00841ABF" w:rsidP="00863299">
      <w:pPr>
        <w:pStyle w:val="TAMainText"/>
      </w:pPr>
    </w:p>
    <w:p w:rsidR="0078717D" w:rsidRPr="00D47427" w:rsidRDefault="006950DB" w:rsidP="00863299">
      <w:pPr>
        <w:pStyle w:val="TAMainText"/>
      </w:pPr>
      <w:r w:rsidRPr="00D47427">
        <w:t xml:space="preserve">The presence of ring-opened reaction products of cyclic organic carbonate based electrolytes in both </w:t>
      </w:r>
      <w:r w:rsidR="00C62214" w:rsidRPr="00D47427">
        <w:t>Li-ion</w:t>
      </w:r>
      <w:r w:rsidRPr="00D47427">
        <w:t xml:space="preserve"> battery anode as well as Li-O</w:t>
      </w:r>
      <w:r w:rsidRPr="00D47427">
        <w:rPr>
          <w:vertAlign w:val="subscript"/>
        </w:rPr>
        <w:t>2</w:t>
      </w:r>
      <w:r w:rsidRPr="00D47427">
        <w:t xml:space="preserve"> cathodes have been extensively reported, both in PC and EC based electrolytes</w:t>
      </w:r>
      <w:r w:rsidR="00905A1B" w:rsidRPr="00D47427">
        <w:fldChar w:fldCharType="begin" w:fldLock="1"/>
      </w:r>
      <w:r w:rsidR="007E2DD7">
        <w:instrText>ADDIN CSL_CITATION { "citationItems" : [ { "id" : "ITEM-1", "itemData" : { "DOI" : "10.1021/ja2021747", "ISSN" : "0002-7863", "author" : [ { "dropping-particle" : "", "family" : "Freunberger", "given" : "Stefan A", "non-dropping-particle" : "", "parse-names" : false, "suffix" : "" }, { "dropping-particle" : "", "family" : "Chen", "given" : "Yuhui", "non-dropping-particle" : "", "parse-names" : false, "suffix" : "" }, { "dropping-particle" : "", "family" : "Peng", "given" : "Zhangquan", "non-dropping-particle" : "", "parse-names" : false, "suffix" : "" }, { "dropping-particle" : "", "family" : "Griffin", "given" : "John M", "non-dropping-particle" : "", "parse-names" : false, "suffix" : "" }, { "dropping-particle" : "", "family" : "Hardwick", "given" : "Laurence J", "non-dropping-particle" : "", "parse-names" : false, "suffix" : "" }, { "dropping-particle" : "", "family" : "Bard\u00e9", "given" : "Fanny", "non-dropping-particle" : "", "parse-names" : false, "suffix" : "" }, { "dropping-particle" : "", "family" : "Nov\u00e1k", "given" : "Petr", "non-dropping-particle" : "", "parse-names" : false, "suffix" : "" }, { "dropping-particle" : "", "family" : "Bruce", "given" : "Peter G", "non-dropping-particle" : "", "parse-names" : false, "suffix" : "" } ], "container-title" : "Journal of the American Chemical Society", "id" : "ITEM-1", "issue" : "20", "issued" : { "date-parts" : [ [ "2011", "5", "25" ] ] }, "note" : "doi: 10.1021/ja2021747", "page" : "8040-8047", "publisher" : "American Chemical Society", "title" : "Reactions in the Rechargeable Lithium\u2013O2 Battery with Alkyl Carbonate Electrolytes", "type" : "article-journal", "volume" : "133" }, "uris" : [ "http://www.mendeley.com/documents/?uuid=e9d1fbb9-3986-40b0-8675-a544b52e90d5" ] }, { "id" : "ITEM-2", "itemData" : { "DOI" : "10.1038/nmat3191", "ISSN" : "1476-1122", "PMID" : "22169914", "abstract" : "Li-ion batteries have transformed portable electronics and will play a key role in the electrification of transport. However, the highest energy storage possible for Li-ion batteries is insufficient for the long-term needs of society, for example, extended-range electric vehicles. To go beyond the horizon of Li-ion batteries is a formidable challenge; there are few options. Here we consider two: Li-air (O(2)) and Li-S. The energy that can be stored in Li-air (based on aqueous or non-aqueous electrolytes) and Li-S cells is compared with Li-ion; the operation of the cells is discussed, as are the significant hurdles that will have to be overcome if such batteries are to succeed. Fundamental scientific advances in understanding the reactions occurring in the cells as well as new materials are key to overcoming these obstacles. The potential benefits of Li-air and Li-S justify the continued research effort that will be needed.", "author" : [ { "dropping-particle" : "", "family" : "Bruce", "given" : "Peter G", "non-dropping-particle" : "", "parse-names" : false, "suffix" : "" }, { "dropping-particle" : "", "family" : "Freunberger", "given" : "Stefan A", "non-dropping-particle" : "", "parse-names" : false, "suffix" : "" }, { "dropping-particle" : "", "family" : "Hardwick", "given" : "Laurence J", "non-dropping-particle" : "", "parse-names" : false, "suffix" : "" }, { "dropping-particle" : "", "family" : "Tarascon", "given" : "Jean-Marie", "non-dropping-particle" : "", "parse-names" : false, "suffix" : "" } ], "container-title" : "Nature materials", "id" : "ITEM-2", "issue" : "1", "issued" : { "date-parts" : [ [ "2012", "1" ] ] }, "page" : "19-29", "publisher" : "Nature Publishing Group, a division of Macmillan Publishers Limited. All Rights Reserved.", "title" : "Li-O2 and Li-S batteries with high energy storage.", "title-short" : "Nat Mater", "type" : "article-journal", "volume" : "11" }, "uris" : [ "http://www.mendeley.com/documents/?uuid=994ff19d-8a45-4c8c-98ec-521c4a487eab" ] }, { "id" : "ITEM-3", "itemData" : { "DOI" : "10.1021/jp406274e", "ISSN" : "1932-7447", "author" : [ { "dropping-particle" : "", "family" : "Shkrob", "given" : "Ilya A", "non-dropping-particle" : "", "parse-names" : false, "suffix" : "" }, { "dropping-particle" : "", "family" : "Zhu", "given" : "Ye", "non-dropping-particle" : "", "parse-names" : false, "suffix" : "" }, { "dropping-particle" : "", "family" : "Marin", "given" : "Timothy W", "non-dropping-particle" : "", "parse-names" : false, "suffix" : "" }, { "dropping-particle" : "", "family" : "Abraham", "given" : "Daniel", "non-dropping-particle" : "", "parse-names" : false, "suffix" : "" } ], "container-title" : "The Journal of Physical Chemistry C", "id" : "ITEM-3", "issue" : "38", "issued" : { "date-parts" : [ [ "2013", "9", "26" ] ] }, "note" : "doi: 10.1021/jp406274e", "page" : "19255-19269", "publisher" : "American Chemical Society", "title" : "Reduction of Carbonate Electrolytes and the Formation of Solid-Electrolyte Interface (SEI) in Lithium-Ion Batteries. 1. Spectroscopic Observations of Radical Intermediates Generated in One-Electron Reduction of Carbonates", "type" : "article-journal", "volume" : "117" }, "uris" : [ "http://www.mendeley.com/documents/?uuid=602a0843-f044-4493-bde6-2d320e3bf4b0" ] }, { "id" : "ITEM-4", "itemData" : { "DOI" : "10.1021/jp2043015", "ISSN" : "1932-7447", "abstract" : "Raman, infrared, and X-ray photoelectron spectroscopies were used to characterize the thick coating of reaction products on carbon and MnO2-coated carbon cathodes produced during discharge of Li?air cells. The results show that neither Li2O2 nor Li2O are major components of the insoluble discharge products; instead, the products are composed primarily of fluorine, lithium, and carbon, with surprisingly little oxygen. The complex reaction chemistry also appears to involve the formation of ethers or alkoxide products at the expense of the carbonate solvent molecules (ethylene carbonate and dimethyl carbonate). The irreversible discharge reaction is likely electrochemically promoted with Li+, anions, and dissolved oxygen. Exactly how the molecular O2 participates in the reaction is unclear and requires further study. The addition of a conformal coating of MnO2 on the carbon lowers the cell?s operating voltage but does not alter the overall discharge chemistry.\nRaman, infrared, and X-ray photoelectron spectroscopies were used to characterize the thick coating of reaction products on carbon and MnO2-coated carbon cathodes produced during discharge of Li?air cells. The results show that neither Li2O2 nor Li2O are major components of the insoluble discharge products; instead, the products are composed primarily of fluorine, lithium, and carbon, with surprisingly little oxygen. The complex reaction chemistry also appears to involve the formation of ethers or alkoxide products at the expense of the carbonate solvent molecules (ethylene carbonate and dimethyl carbonate). The irreversible discharge reaction is likely electrochemically promoted with Li+, anions, and dissolved oxygen. Exactly how the molecular O2 participates in the reaction is unclear and requires further study. The addition of a conformal coating of MnO2 on the carbon lowers the cell?s operating voltage but does not alter the overall discharge chemistry.", "author" : [ { "dropping-particle" : "", "family" : "Veith", "given" : "Gabriel M.", "non-dropping-particle" : "", "parse-names" : false, "suffix" : "" }, { "dropping-particle" : "", "family" : "Dudney", "given" : "Nancy J.", "non-dropping-particle" : "", "parse-names" : false, "suffix" : "" }, { "dropping-particle" : "", "family" : "Howe", "given" : "Jane", "non-dropping-particle" : "", "parse-names" : false, "suffix" : "" }, { "dropping-particle" : "", "family" : "Nanda", "given" : "Jagjit", "non-dropping-particle" : "", "parse-names" : false, "suffix" : "" } ], "container-title" : "The Journal of Physical Chemistry C", "id" : "ITEM-4", "issue" : "29", "issued" : { "date-parts" : [ [ "2011", "7", "28" ] ] }, "page" : "14325-14333", "publisher" : "American Chemical Society", "title" : "Spectroscopic Characterization of Solid Discharge Products in Li\u2013Air Cells with Aprotic Carbonate Electrolytes", "type" : "article-journal", "volume" : "115" }, "uris" : [ "http://www.mendeley.com/documents/?uuid=7403f9c0-9348-43c9-a111-e45aa90677b1" ] }, { "id" : "ITEM-5", "itemData" : { "DOI" : "http://dx.doi.org/10.1016/j.electacta.2014.05.103", "ISSN" : "0013-4686", "abstract" : "Mixed alkyl carbonates are widely used as solvent for a various lithium-ion battery applications. Understanding the behavior of each solvent in the mixed system is crucial for controlling the electrolyte composition. In this paper, we report a systematic electrochemical and spectroscopic comparison of the reduction of propylene carbonate (PC), ethylene carbonate (EC), and diethyl carbonate (DEC) when used as single (PC), binary (EC/PC, EC/DEC), and ternary (EC/PC/DEC) solvent systems. The reduction products are identified based on Fourier transform infrared spectroscopy (FTIR) after employing linear sweep voltammetry to certain potential regions and their possible formation mechanisms are discussed. FTIR analyses revealed that the reduction of EC and PC was not considerably influenced by the presence of other alkyl carbonates. However, DEC exhibited a different reduction product when used in EC/DEC and EC/PC/DEC solvent systems. The reduction of EC occurred before that of PC and DEC and produced a passivating surface film that prevented carbon exfoliation caused by PC. Battery performance test, cyclic voltammetry, electrochemical impedance spectroscopy, and scanning electron microscope is employed to study the surface films formed. The binary EC/DEC solvent system demonstrated more favorable performance, smaller impedance, and higher Li+ ion diffusivity than did the other solvent systems used in this study.", "author" : [ { "dropping-particle" : "", "family" : "Haregewoin", "given" : "Atetegeb Meazah", "non-dropping-particle" : "", "parse-names" : false, "suffix" : "" }, { "dropping-particle" : "", "family" : "Leggesse", "given" : "Ermias Girma", "non-dropping-particle" : "", "parse-names" : false, "suffix" : "" }, { "dropping-particle" : "", "family" : "Jiang", "given" : "Jyh-Chiang", "non-dropping-particle" : "", "parse-names" : false, "suffix" : "" }, { "dropping-particle" : "", "family" : "Wang", "given" : "Fu-Ming", "non-dropping-particle" : "", "parse-names" : false, "suffix" : "" }, { "dropping-particle" : "", "family" : "Hwang", "given" : "Bing-Joe", "non-dropping-particle" : "", "parse-names" : false, "suffix" : "" }, { "dropping-particle" : "", "family" : "Lin", "given" : "Shawn D.", "non-dropping-particle" : "", "parse-names" : false, "suffix" : "" } ], "container-title" : "Electrochimica Acta", "id" : "ITEM-5", "issue" : "0", "issued" : { "date-parts" : [ [ "2014", "8", "1" ] ] }, "page" : "274-285", "publisher" : "Elsevier Ltd", "title" : "Comparative Study on the Solid Electrolyte Interface Formation by the Reduction of Alkyl Carbonates in Lithium ion Battery", "type" : "article-journal", "volume" : "136" }, "uris" : [ "http://www.mendeley.com/documents/?uuid=9e5772aa-465a-462a-80dd-ee80b2ee8d8a" ] }, { "id" : "ITEM-6", "itemData" : { "DOI" : "10.1021/cr800344k", "ISBN" : "1520-6890", "ISSN" : "1520-6890", "PMID" : "19921829", "abstract" : "This review is focused on key issues and trends in Raman research on materials usable as negative or positive electrodes in secondary Li and Li ion batteries.", "author" : [ { "dropping-particle" : "", "family" : "Baddour-hadjean", "given" : "Rita", "non-dropping-particle" : "", "parse-names" : false, "suffix" : "" }, { "dropping-particle" : "", "family" : "Pereira-Ramos", "given" : "Jean-Pierre", "non-dropping-particle" : "", "parse-names" : false, "suffix" : "" } ], "container-title" : "Chem. Rev.", "id" : "ITEM-6", "issued" : { "date-parts" : [ [ "2010" ] ] }, "page" : "1278-1319", "title" : "Raman Microspectrometry Applied to the Study of Electrode Materials for Lithium Batteries", "type" : "article-journal", "volume" : "110" }, "uris" : [ "http://www.mendeley.com/documents/?uuid=ab3db02d-9214-4299-9a11-27dd5ce404ea" ] }, { "id" : "ITEM-7", "itemData" : { "DOI" : "10.1134/S1023193515020147", "ISSN" : "1023-1935", "author" : [ { "dropping-particle" : "V", "family" : "Tripachev", "given" : "O", "non-dropping-particle" : "", "parse-names" : false, "suffix" : "" }, { "dropping-particle" : "", "family" : "Maleeva", "given" : "E A", "non-dropping-particle" : "", "parse-names" : false, "suffix" : "" }, { "dropping-particle" : "", "family" : "Tarasevich", "given" : "M R", "non-dropping-particle" : "", "parse-names" : false, "suffix" : "" } ], "container-title" : "Russian Journal of Electrochemistry", "id" : "ITEM-7", "issue" : "2", "issued" : { "date-parts" : [ [ "2015" ] ] }, "language" : "English", "page" : "103-111", "publisher" : "Pleiades Publishing", "title" : "Oxygen electroreduction in propylene carbonate solutions", "type" : "article-journal", "volume" : "51" }, "uris" : [ "http://www.mendeley.com/documents/?uuid=aa5fdb40-562d-4d53-ba52-8369ac9b60a7" ] } ], "mendeley" : { "formattedCitation" : "[2], [12], [14], [15], [30]\u2013[32]", "plainTextFormattedCitation" : "[2], [12], [14], [15], [30]\u2013[32]", "previouslyFormattedCitation" : "[2], [12], [14], [15], [30]\u2013[32]" }, "properties" : { "noteIndex" : 0 }, "schema" : "https://github.com/citation-style-language/schema/raw/master/csl-citation.json" }</w:instrText>
      </w:r>
      <w:r w:rsidR="00905A1B" w:rsidRPr="00D47427">
        <w:fldChar w:fldCharType="separate"/>
      </w:r>
      <w:r w:rsidR="007E2DD7" w:rsidRPr="007E2DD7">
        <w:rPr>
          <w:noProof/>
        </w:rPr>
        <w:t>[2], [12], [14], [15], [30]–[32]</w:t>
      </w:r>
      <w:r w:rsidR="00905A1B" w:rsidRPr="00D47427">
        <w:fldChar w:fldCharType="end"/>
      </w:r>
      <w:r w:rsidRPr="00D47427">
        <w:t>. There have been several theoretical studies using quantum chemical methods, providing mechanistic insight into the ring opening reactions of cyclic carbonates in lithium ion batteries. It has been proposed that electron attack at the less hindered ethereal carbon is r</w:t>
      </w:r>
      <w:r w:rsidRPr="00D47427">
        <w:t>e</w:t>
      </w:r>
      <w:r w:rsidRPr="00D47427">
        <w:t xml:space="preserve">sponsible </w:t>
      </w:r>
      <w:r w:rsidR="00242805">
        <w:t>for the solid electrolyte interph</w:t>
      </w:r>
      <w:r w:rsidRPr="00D47427">
        <w:t>a</w:t>
      </w:r>
      <w:r w:rsidR="00242805">
        <w:t>s</w:t>
      </w:r>
      <w:r w:rsidRPr="00D47427">
        <w:t>e (SEI) layer formation</w:t>
      </w:r>
      <w:r w:rsidRPr="00D47427">
        <w:rPr>
          <w:vertAlign w:val="superscript"/>
        </w:rPr>
        <w:fldChar w:fldCharType="begin" w:fldLock="1"/>
      </w:r>
      <w:r w:rsidR="007E2DD7">
        <w:rPr>
          <w:vertAlign w:val="superscript"/>
        </w:rPr>
        <w:instrText>ADDIN CSL_CITATION { "citationItems" : [ { "id" : "ITEM-1", "itemData" : { "DOI" : "10.1021/jp014371t", "ISSN" : "1520-6106", "author" : [ { "dropping-particle" : "", "family" : "Wang", "given" : "Yixuan", "non-dropping-particle" : "", "parse-names" : false, "suffix" : "" }, { "dropping-particle" : "", "family" : "Balbuena", "given" : "Perla B", "non-dropping-particle" : "", "parse-names" : false, "suffix" : "" } ], "container-title" : "The Journal of Physical Chemistry B", "id" : "ITEM-1", "issue" : "17", "issued" : { "date-parts" : [ [ "2002", "5", "1" ] ] }, "note" : "doi: 10.1021/jp014371t", "page" : "4486-4495", "publisher" : "American Chemical Society", "title" : "Theoretical Insights into the Reductive Decompositions of Propylene Carbonate and Vinylene Carbonate:\u2009 Density Functional Theory Studies", "type" : "article-journal", "volume" : "106" }, "uris" : [ "http://www.mendeley.com/documents/?uuid=3708467c-1aec-47eb-b3ee-b3a3c424e4fa" ] }, { "id" : "ITEM-2", "itemData" : { "DOI" : "10.1021/jp506172a", "ISSN" : "1932-7447", "author" : [ { "dropping-particle" : "", "family" : "Coughlin", "given" : "Jessica E", "non-dropping-particle" : "", "parse-names" : false, "suffix" : "" }, { "dropping-particle" : "", "family" : "Zhugayevych", "given" : "Andriy", "non-dropping-particle" : "", "parse-names" : false, "suffix" : "" }, { "dropping-particle" : "", "family" : "Bakus", "given" : "Ronald C", "non-dropping-particle" : "", "parse-names" : false, "suffix" : "" }, { "dropping-particle" : "", "family" : "Poll", "given" : "Thomas S", "non-dropping-particle" : "van der", "parse-names" : false, "suffix" : "" }, { "dropping-particle" : "", "family" : "Welch", "given" : "Gregory C", "non-dropping-particle" : "", "parse-names" : false, "suffix" : "" }, { "dropping-particle" : "", "family" : "Teat", "given" : "Simon J", "non-dropping-particle" : "", "parse-names" : false, "suffix" : "" }, { "dropping-particle" : "", "family" : "Bazan", "given" : "Guillermo C", "non-dropping-particle" : "", "parse-names" : false, "suffix" : "" }, { "dropping-particle" : "", "family" : "Tretiak", "given" : "Sergei", "non-dropping-particle" : "", "parse-names" : false, "suffix" : "" } ], "container-title" : "The Journal of Physical Chemistry C", "id" : "ITEM-2", "issue" : "29", "issued" : { "date-parts" : [ [ "2014", "7", "24" ] ] }, "note" : "doi: 10.1021/jp506172a", "page" : "15610-15623", "publisher" : "American Chemical Society", "title" : "A Combined Experimental and Theoretical Study of Conformational Preferences of Molecular Semiconductors", "type" : "article-journal", "volume" : "118" }, "uris" : [ "http://www.mendeley.com/documents/?uuid=e9697b5b-34ed-4b39-a199-1e982883e1d8" ] }, { "id" : "ITEM-3", "itemData" : { "DOI" : "http://dx.doi.org/10.1016/j.electacta.2014.05.103", "ISSN" : "0013-4686", "abstract" : "Mixed alkyl carbonates are widely used as solvent for a various lithium-ion battery applications. Understanding the behavior of each solvent in the mixed system is crucial for controlling the electrolyte composition. In this paper, we report a systematic electrochemical and spectroscopic comparison of the reduction of propylene carbonate (PC), ethylene carbonate (EC), and diethyl carbonate (DEC) when used as single (PC), binary (EC/PC, EC/DEC), and ternary (EC/PC/DEC) solvent systems. The reduction products are identified based on Fourier transform infrared spectroscopy (FTIR) after employing linear sweep voltammetry to certain potential regions and their possible formation mechanisms are discussed. FTIR analyses revealed that the reduction of EC and PC was not considerably influenced by the presence of other alkyl carbonates. However, DEC exhibited a different reduction product when used in EC/DEC and EC/PC/DEC solvent systems. The reduction of EC occurred before that of PC and DEC and produced a passivating surface film that prevented carbon exfoliation caused by PC. Battery performance test, cyclic voltammetry, electrochemical impedance spectroscopy, and scanning electron microscope is employed to study the surface films formed. The binary EC/DEC solvent system demonstrated more favorable performance, smaller impedance, and higher Li+ ion diffusivity than did the other solvent systems used in this study.", "author" : [ { "dropping-particle" : "", "family" : "Haregewoin", "given" : "Atetegeb Meazah", "non-dropping-particle" : "", "parse-names" : false, "suffix" : "" }, { "dropping-particle" : "", "family" : "Leggesse", "given" : "Ermias Girma", "non-dropping-particle" : "", "parse-names" : false, "suffix" : "" }, { "dropping-particle" : "", "family" : "Jiang", "given" : "Jyh-Chiang", "non-dropping-particle" : "", "parse-names" : false, "suffix" : "" }, { "dropping-particle" : "", "family" : "Wang", "given" : "Fu-Ming", "non-dropping-particle" : "", "parse-names" : false, "suffix" : "" }, { "dropping-particle" : "", "family" : "Hwang", "given" : "Bing-Joe", "non-dropping-particle" : "", "parse-names" : false, "suffix" : "" }, { "dropping-particle" : "", "family" : "Lin", "given" : "Shawn D.", "non-dropping-particle" : "", "parse-names" : false, "suffix" : "" } ], "container-title" : "Electrochimica Acta", "id" : "ITEM-3", "issue" : "0", "issued" : { "date-parts" : [ [ "2014", "8", "1" ] ] }, "page" : "274-285", "publisher" : "Elsevier Ltd", "title" : "Comparative Study on the Solid Electrolyte Interface Formation by the Reduction of Alkyl Carbonates in Lithium ion Battery", "type" : "article-journal", "volume" : "136" }, "uris" : [ "http://www.mendeley.com/documents/?uuid=9e5772aa-465a-462a-80dd-ee80b2ee8d8a" ] } ], "mendeley" : { "formattedCitation" : "[12], [22], [33]", "plainTextFormattedCitation" : "[12], [22], [33]", "previouslyFormattedCitation" : "[12], [22], [33]" }, "properties" : { "noteIndex" : 0 }, "schema" : "https://github.com/citation-style-language/schema/raw/master/csl-citation.json" }</w:instrText>
      </w:r>
      <w:r w:rsidRPr="00D47427">
        <w:rPr>
          <w:vertAlign w:val="superscript"/>
        </w:rPr>
        <w:fldChar w:fldCharType="separate"/>
      </w:r>
      <w:r w:rsidR="007E2DD7" w:rsidRPr="007E2DD7">
        <w:rPr>
          <w:noProof/>
        </w:rPr>
        <w:t>[12], [22], [33]</w:t>
      </w:r>
      <w:r w:rsidRPr="00D47427">
        <w:rPr>
          <w:vertAlign w:val="superscript"/>
        </w:rPr>
        <w:fldChar w:fldCharType="end"/>
      </w:r>
      <w:r w:rsidRPr="00D47427">
        <w:t>, and a similar nucle</w:t>
      </w:r>
      <w:r w:rsidRPr="00D47427">
        <w:t>o</w:t>
      </w:r>
      <w:r w:rsidRPr="00D47427">
        <w:t xml:space="preserve">philic attack by superoxide species generated at the </w:t>
      </w:r>
      <w:r w:rsidR="002D02E3" w:rsidRPr="00D47427">
        <w:t>Li-O</w:t>
      </w:r>
      <w:r w:rsidR="002D02E3" w:rsidRPr="00D47427">
        <w:rPr>
          <w:vertAlign w:val="subscript"/>
        </w:rPr>
        <w:t>2</w:t>
      </w:r>
      <w:r w:rsidR="002D02E3" w:rsidRPr="00D47427">
        <w:t xml:space="preserve"> cathode </w:t>
      </w:r>
      <w:r w:rsidRPr="00D47427">
        <w:t xml:space="preserve">is believed to be responsible for the </w:t>
      </w:r>
      <w:r w:rsidRPr="00D47427">
        <w:lastRenderedPageBreak/>
        <w:t>ring opening reactions of PC</w:t>
      </w:r>
      <w:r w:rsidR="002D02E3" w:rsidRPr="00D47427">
        <w:fldChar w:fldCharType="begin" w:fldLock="1"/>
      </w:r>
      <w:r w:rsidR="007E2DD7">
        <w:instrText>ADDIN CSL_CITATION { "citationItems" : [ { "id" : "ITEM-1", "itemData" : { "DOI" : "10.1021/ja2021747", "ISSN" : "0002-7863", "author" : [ { "dropping-particle" : "", "family" : "Freunberger", "given" : "Stefan A", "non-dropping-particle" : "", "parse-names" : false, "suffix" : "" }, { "dropping-particle" : "", "family" : "Chen", "given" : "Yuhui", "non-dropping-particle" : "", "parse-names" : false, "suffix" : "" }, { "dropping-particle" : "", "family" : "Peng", "given" : "Zhangquan", "non-dropping-particle" : "", "parse-names" : false, "suffix" : "" }, { "dropping-particle" : "", "family" : "Griffin", "given" : "John M", "non-dropping-particle" : "", "parse-names" : false, "suffix" : "" }, { "dropping-particle" : "", "family" : "Hardwick", "given" : "Laurence J", "non-dropping-particle" : "", "parse-names" : false, "suffix" : "" }, { "dropping-particle" : "", "family" : "Bard\u00e9", "given" : "Fanny", "non-dropping-particle" : "", "parse-names" : false, "suffix" : "" }, { "dropping-particle" : "", "family" : "Nov\u00e1k", "given" : "Petr", "non-dropping-particle" : "", "parse-names" : false, "suffix" : "" }, { "dropping-particle" : "", "family" : "Bruce", "given" : "Peter G", "non-dropping-particle" : "", "parse-names" : false, "suffix" : "" } ], "container-title" : "Journal of the American Chemical Society", "id" : "ITEM-1", "issue" : "20", "issued" : { "date-parts" : [ [ "2011", "5", "25" ] ] }, "note" : "doi: 10.1021/ja2021747", "page" : "8040-8047", "publisher" : "American Chemical Society", "title" : "Reactions in the Rechargeable Lithium\u2013O2 Battery with Alkyl Carbonate Electrolytes", "type" : "article-journal", "volume" : "133" }, "uris" : [ "http://www.mendeley.com/documents/?uuid=e9d1fbb9-3986-40b0-8675-a544b52e90d5" ] }, { "id" : "ITEM-2", "itemData" : { "DOI" : "10.1039/C3CP54165G", "ISSN" : "1463-9076", "abstract" : "Metal-air batteries, utilizing the reduction of ambient oxygen, have the highest energy density because most of the cell volume is occupied by the anode while the cathode active material is not stored in the battery. Lithium metal is a tempting anode material for any battery because of its outstanding specific capacity (3842 mA h g-1 for Li vs. 815 mA h g-1 for Zn). Combining the high energy density of Li with ambient oxygen seems to be a promising option. Specifically, in all classes of electrolytes, the transformation from Li-O2 to Li-air is still a major challenge as the presence of moisture and CO2 reduces significantly the cell performance due to their strong reaction with Li metal. Thus, the quest for electrolyte systems capable of providing a solution to the imposed challenges due to the use of metallic Li, exposure to the environment and handling the formation of reactive discharged product is still on. This extended Review provides an expanded insight into electrolytes being suggested and researched and also a future vision on challenges and their possible solutions.", "author" : [ { "dropping-particle" : "", "family" : "Balaish", "given" : "Moran", "non-dropping-particle" : "", "parse-names" : false, "suffix" : "" }, { "dropping-particle" : "", "family" : "Kraytsberg", "given" : "Alexander", "non-dropping-particle" : "", "parse-names" : false, "suffix" : "" }, { "dropping-particle" : "", "family" : "Ein-Eli", "given" : "Yair", "non-dropping-particle" : "", "parse-names" : false, "suffix" : "" } ], "container-title" : "Physical Chemistry Chemical Physics", "id" : "ITEM-2", "issue" : "7", "issued" : { "date-parts" : [ [ "2014" ] ] }, "page" : "2801-2822", "publisher" : "The Royal Society of Chemistry", "title" : "A critical review on lithium-air battery electrolytes", "type" : "article-journal", "volume" : "16" }, "uris" : [ "http://www.mendeley.com/documents/?uuid=10ed9a81-5fc8-445f-a167-1734586c06b9" ] }, { "id" : "ITEM-3", "itemData" : { "DOI" : "http://dx.doi.org/10.1016/j.jpowsour.2013.01.030", "ISSN" : "0378-7753", "abstract" : "Combining experimental and computational techniques can provide a better understanding of surface film formation processes that occur in the lithium-ion battery. In this paper, we show that this joint approach can provide a mechanistic understanding of the effect of oxygen in the reduction of propylene carbonate (PC). We perform FTIR analysis, inside a glove box, after conducting linear sweep voltammetry (LSV) from an open-circuit voltage (OCV) to selected potential regions; subtraction between two successive IR spectra has been made to identify the reduction products formed within each potential range. FTIR analysis in the potential range from OCV to \u22120.1\u00a0V, in conjunction with density functional theory (DFT) calculations, confirm the formation of solvated Li2CO3 and (PC)2LiOC(O)OCH(CH3)CH2OLi(PC) due to PC reduction. Our experimental results and DFT calculations suggest that in the potential range from OCV to 1.6\u00a0V, PC, in the presence of O2, can easily decompose by the superoxide ion through a nucleophilic attack at the ethereal carbon atom.", "author" : [ { "dropping-particle" : "", "family" : "Haregewoin", "given" : "Atetegeb Meazah", "non-dropping-particle" : "", "parse-names" : false, "suffix" : "" }, { "dropping-particle" : "", "family" : "Leggesse", "given" : "Ermias Girma", "non-dropping-particle" : "", "parse-names" : false, "suffix" : "" }, { "dropping-particle" : "", "family" : "Jiang", "given" : "Jyh-Chiang", "non-dropping-particle" : "", "parse-names" : false, "suffix" : "" }, { "dropping-particle" : "", "family" : "Wang", "given" : "Fu-Ming", "non-dropping-particle" : "", "parse-names" : false, "suffix" : "" }, { "dropping-particle" : "", "family" : "Hwang", "given" : "Bing-Joe", "non-dropping-particle" : "", "parse-names" : false, "suffix" : "" }, { "dropping-particle" : "", "family" : "Lin", "given" : "Shawn D", "non-dropping-particle" : "", "parse-names" : false, "suffix" : "" } ], "container-title" : "Journal of Power Sources", "id" : "ITEM-3", "issued" : { "date-parts" : [ [ "2013", "12", "15" ] ] }, "page" : "318-327", "title" : "A combined experimental and theoretical study of surface film formation: Effect of oxygen on the reduction mechanism of propylene carbonate", "type" : "article-journal", "volume" : "244" }, "uris" : [ "http://www.mendeley.com/documents/?uuid=274459b9-671e-4b56-a39e-c2cb07f92868" ] } ], "mendeley" : { "formattedCitation" : "[7], [14], [34]", "plainTextFormattedCitation" : "[7], [14], [34]", "previouslyFormattedCitation" : "[7], [14], [34]" }, "properties" : { "noteIndex" : 0 }, "schema" : "https://github.com/citation-style-language/schema/raw/master/csl-citation.json" }</w:instrText>
      </w:r>
      <w:r w:rsidR="002D02E3" w:rsidRPr="00D47427">
        <w:fldChar w:fldCharType="separate"/>
      </w:r>
      <w:r w:rsidR="007E2DD7" w:rsidRPr="007E2DD7">
        <w:rPr>
          <w:noProof/>
        </w:rPr>
        <w:t>[7], [14], [34]</w:t>
      </w:r>
      <w:r w:rsidR="002D02E3" w:rsidRPr="00D47427">
        <w:fldChar w:fldCharType="end"/>
      </w:r>
      <w:r w:rsidR="002D02E3" w:rsidRPr="00D47427">
        <w:t xml:space="preserve"> </w:t>
      </w:r>
      <w:r w:rsidRPr="00D47427">
        <w:t xml:space="preserve">(Scheme 1).  Furthermore, the effect of the </w:t>
      </w:r>
      <w:r w:rsidR="00C62214" w:rsidRPr="00D47427">
        <w:t>Li-ion</w:t>
      </w:r>
      <w:r w:rsidRPr="00D47427">
        <w:t xml:space="preserve"> in the ring opening reaction has also been addressed using quantum chemical methods and some of these studies i</w:t>
      </w:r>
      <w:r w:rsidRPr="00D47427">
        <w:t>n</w:t>
      </w:r>
      <w:r w:rsidRPr="00D47427">
        <w:t>dicated that the presence of Li</w:t>
      </w:r>
      <w:r w:rsidRPr="00D47427">
        <w:rPr>
          <w:vertAlign w:val="superscript"/>
        </w:rPr>
        <w:t>+</w:t>
      </w:r>
      <w:r w:rsidRPr="00D47427">
        <w:t xml:space="preserve"> cation does not have a significant effect in the overall reaction</w:t>
      </w:r>
      <w:r w:rsidR="00BF1354" w:rsidRPr="00D47427">
        <w:t xml:space="preserve"> in Li-ion battery environment</w:t>
      </w:r>
      <w:r w:rsidRPr="00D47427">
        <w:fldChar w:fldCharType="begin" w:fldLock="1"/>
      </w:r>
      <w:r w:rsidR="007E2DD7">
        <w:instrText>ADDIN CSL_CITATION { "citationItems" : [ { "id" : "ITEM-1", "itemData" : { "DOI" : "10.1021/ja0164529", "ISSN" : "0002-7863", "author" : [ { "dropping-particle" : "", "family" : "Wang", "given" : "Yixuan", "non-dropping-particle" : "", "parse-names" : false, "suffix" : "" }, { "dropping-particle" : "", "family" : "Nakamura", "given" : "Shinichiro", "non-dropping-particle" : "", "parse-names" : false, "suffix" : "" }, { "dropping-particle" : "", "family" : "Ue", "given" : "Makoto", "non-dropping-particle" : "", "parse-names" : false, "suffix" : "" }, { "dropping-particle" : "", "family" : "Balbuena", "given" : "Perla B", "non-dropping-particle" : "", "parse-names" : false, "suffix" : "" } ], "container-title" : "Journal of the American Chemical Society", "id" : "ITEM-1", "issue" : "47", "issued" : { "date-parts" : [ [ "2001", "11", "1" ] ] }, "note" : "doi: 10.1021/ja0164529", "page" : "11708-11718", "publisher" : "American Chemical Society", "title" : "Studies To Understand Surface Chemistry on Carbon Anodes for Lithium-Ion Batteries:Theoretical Reduction Mechanisms of Ethylene Carbonate", "type" : "article-journal", "volume" : "123" }, "uris" : [ "http://www.mendeley.com/documents/?uuid=506c5af5-70ef-4fe9-9db1-3a7b380a419c" ] }, { "id" : "ITEM-2", "itemData" : { "DOI" : "10.1149/1.1633765", "abstract" : "Quantum chemical methods have been used to study reduction mechanisms of ethylene carbonate (EC), propylene carbonate (PC), and vinylethylene carbonate (VEC), in electrolyte solutions. The feasibility of direct two-electron reduction of these species was assessed, and no barrier to reaction was found for the formation of \n\nLi\n\n2\n\n\n\nCO\n\n3\n\n\n\n\nand 1,4-butadiene from VEC. In contrast EC and PC have barriers to reaction on the order of 0.5 eV. The ready formation of\n\nLi\n\n2\n\n\n\nCO\n\n3\n\n\n\n\nwhen VEC is reduced may explain why it acts as a good passivating agent in lithium-ion cells. \u00a9 2003 The Electrochemical Society. All rights reserved.", "author" : [ { "dropping-particle" : "", "family" : "Vollmer", "given" : "James M", "non-dropping-particle" : "", "parse-names" : false, "suffix" : "" }, { "dropping-particle" : "", "family" : "Curtiss", "given" : "Larry A", "non-dropping-particle" : "", "parse-names" : false, "suffix" : "" }, { "dropping-particle" : "", "family" : "Vissers", "given" : "Donald R", "non-dropping-particle" : "", "parse-names" : false, "suffix" : "" }, { "dropping-particle" : "", "family" : "Amine", "given" : "Khalil", "non-dropping-particle" : "", "parse-names" : false, "suffix" : "" } ], "container-title" : "Journal of The Electrochemical Society ", "id" : "ITEM-2", "issue" : "1 ", "issued" : { "date-parts" : [ [ "2004", "1", "1" ] ] }, "note" : "10.1149/1.1633765", "page" : "A178-A183", "title" : "Reduction Mechanisms of Ethylene, Propylene, and Vinylethylene Carbonates: A Quantum Chemical Study ", "type" : "article-journal", "volume" : "151 " }, "uris" : [ "http://www.mendeley.com/documents/?uuid=afb064b1-05dc-42c1-8c24-4c338a8caff5" ] } ], "mendeley" : { "formattedCitation" : "[20], [35]", "plainTextFormattedCitation" : "[20], [35]", "previouslyFormattedCitation" : "[20], [35]" }, "properties" : { "noteIndex" : 0 }, "schema" : "https://github.com/citation-style-language/schema/raw/master/csl-citation.json" }</w:instrText>
      </w:r>
      <w:r w:rsidRPr="00D47427">
        <w:fldChar w:fldCharType="separate"/>
      </w:r>
      <w:r w:rsidR="007E2DD7" w:rsidRPr="007E2DD7">
        <w:rPr>
          <w:noProof/>
        </w:rPr>
        <w:t>[20], [35]</w:t>
      </w:r>
      <w:r w:rsidRPr="00D47427">
        <w:fldChar w:fldCharType="end"/>
      </w:r>
      <w:r w:rsidRPr="00D47427">
        <w:t xml:space="preserve">. As our SEIRAS studies </w:t>
      </w:r>
      <w:r w:rsidR="00BC28D9" w:rsidRPr="00D47427">
        <w:t xml:space="preserve">of the </w:t>
      </w:r>
      <w:r w:rsidRPr="00D47427">
        <w:t>PC-TEAClO</w:t>
      </w:r>
      <w:r w:rsidRPr="00D47427">
        <w:rPr>
          <w:vertAlign w:val="subscript"/>
        </w:rPr>
        <w:t>4</w:t>
      </w:r>
      <w:r w:rsidRPr="00D47427">
        <w:t xml:space="preserve"> system indicate no major chemical change happening to PC at the interface</w:t>
      </w:r>
      <w:r w:rsidR="00BF1354" w:rsidRPr="00D47427">
        <w:t xml:space="preserve"> in either oxygenated or deoxygenated environment</w:t>
      </w:r>
      <w:r w:rsidRPr="00D47427">
        <w:t>, we extend our SEIRAS analysis to Li</w:t>
      </w:r>
      <w:r w:rsidRPr="00D47427">
        <w:rPr>
          <w:vertAlign w:val="superscript"/>
        </w:rPr>
        <w:t>+</w:t>
      </w:r>
      <w:r w:rsidRPr="00D47427">
        <w:t xml:space="preserve"> ion containing PC electrolytes. </w:t>
      </w:r>
    </w:p>
    <w:p w:rsidR="00645B6F" w:rsidRPr="00D47427" w:rsidRDefault="006950DB" w:rsidP="00863299">
      <w:pPr>
        <w:pStyle w:val="TAMainText"/>
      </w:pPr>
      <w:r w:rsidRPr="00D47427">
        <w:t>The voltammogram of the electrode in deoxygenated 0.1 M LiClO</w:t>
      </w:r>
      <w:r w:rsidRPr="00D47427">
        <w:rPr>
          <w:vertAlign w:val="subscript"/>
        </w:rPr>
        <w:t>4</w:t>
      </w:r>
      <w:r w:rsidRPr="00D47427">
        <w:t xml:space="preserve"> containing PC shown in Figure 4 indicates the absence of any </w:t>
      </w:r>
      <w:r w:rsidR="00645B6F" w:rsidRPr="00D47427">
        <w:t xml:space="preserve">reversible </w:t>
      </w:r>
      <w:r w:rsidRPr="00D47427">
        <w:t>redox reaction. Corresponding SEIRA spectra in Figure 5a also show only PC vibrational bands, but the intensity of the peaks and the shift of C</w:t>
      </w:r>
      <w:r w:rsidR="00B173B3" w:rsidRPr="00D47427">
        <w:t>═</w:t>
      </w:r>
      <w:r w:rsidRPr="00D47427">
        <w:t xml:space="preserve">O </w:t>
      </w:r>
      <w:r w:rsidR="001A40E7" w:rsidRPr="00D47427">
        <w:t>stretch with potential is</w:t>
      </w:r>
      <w:r w:rsidRPr="00D47427">
        <w:t xml:space="preserve"> considerably lower when compared to </w:t>
      </w:r>
      <w:r w:rsidR="00BC28D9" w:rsidRPr="00D47427">
        <w:t xml:space="preserve">the </w:t>
      </w:r>
      <w:r w:rsidRPr="00D47427">
        <w:t>PC-TEAClO</w:t>
      </w:r>
      <w:r w:rsidRPr="00D47427">
        <w:rPr>
          <w:vertAlign w:val="subscript"/>
        </w:rPr>
        <w:t>4</w:t>
      </w:r>
      <w:r w:rsidRPr="00D47427">
        <w:t xml:space="preserve"> system. This may indicate that the interaction of PC with the electrode surface is affected by the presence of Li</w:t>
      </w:r>
      <w:r w:rsidRPr="00D47427">
        <w:rPr>
          <w:vertAlign w:val="superscript"/>
        </w:rPr>
        <w:t>+</w:t>
      </w:r>
      <w:r w:rsidRPr="00D47427">
        <w:t xml:space="preserve"> ions at the interfacial region. The cyclic voltammogram of oxygen reduction in PC-LiClO</w:t>
      </w:r>
      <w:r w:rsidRPr="00D47427">
        <w:rPr>
          <w:vertAlign w:val="subscript"/>
        </w:rPr>
        <w:t>4</w:t>
      </w:r>
      <w:r w:rsidRPr="00D47427">
        <w:t xml:space="preserve"> is significantly different from the PC-TEAClO</w:t>
      </w:r>
      <w:r w:rsidRPr="00D47427">
        <w:rPr>
          <w:vertAlign w:val="subscript"/>
        </w:rPr>
        <w:t>4</w:t>
      </w:r>
      <w:r w:rsidRPr="00D47427">
        <w:t xml:space="preserve"> sy</w:t>
      </w:r>
      <w:r w:rsidRPr="00D47427">
        <w:t>s</w:t>
      </w:r>
      <w:r w:rsidRPr="00D47427">
        <w:t>tem</w:t>
      </w:r>
      <w:r w:rsidRPr="00D47427">
        <w:rPr>
          <w:vertAlign w:val="subscript"/>
        </w:rPr>
        <w:t>.</w:t>
      </w:r>
      <w:r w:rsidR="005E53F9">
        <w:t xml:space="preserve"> </w:t>
      </w:r>
      <w:r w:rsidR="009901F5" w:rsidRPr="005E53F9">
        <w:rPr>
          <w:color w:val="000099"/>
          <w:szCs w:val="24"/>
          <w:highlight w:val="yellow"/>
        </w:rPr>
        <w:t>A positive shift in the oxidation peak indicates that the presence of lithium influences the reversibi</w:t>
      </w:r>
      <w:r w:rsidR="009901F5" w:rsidRPr="005E53F9">
        <w:rPr>
          <w:color w:val="000099"/>
          <w:szCs w:val="24"/>
          <w:highlight w:val="yellow"/>
        </w:rPr>
        <w:t>l</w:t>
      </w:r>
      <w:r w:rsidR="009901F5" w:rsidRPr="005E53F9">
        <w:rPr>
          <w:color w:val="000099"/>
          <w:szCs w:val="24"/>
          <w:highlight w:val="yellow"/>
        </w:rPr>
        <w:t xml:space="preserve">ity of oxygen reduction. </w:t>
      </w:r>
      <w:r w:rsidR="005E53F9">
        <w:rPr>
          <w:color w:val="000099"/>
          <w:szCs w:val="24"/>
          <w:highlight w:val="yellow"/>
        </w:rPr>
        <w:t>As shown by previous authors</w:t>
      </w:r>
      <w:r w:rsidR="00505837">
        <w:rPr>
          <w:color w:val="000099"/>
          <w:szCs w:val="24"/>
          <w:highlight w:val="yellow"/>
        </w:rPr>
        <w:t>,</w:t>
      </w:r>
      <w:r w:rsidR="005E53F9">
        <w:rPr>
          <w:color w:val="000099"/>
          <w:szCs w:val="24"/>
          <w:highlight w:val="yellow"/>
        </w:rPr>
        <w:t xml:space="preserve"> t</w:t>
      </w:r>
      <w:r w:rsidR="002350BF" w:rsidRPr="005E53F9">
        <w:rPr>
          <w:color w:val="000099"/>
          <w:szCs w:val="24"/>
          <w:highlight w:val="yellow"/>
        </w:rPr>
        <w:t xml:space="preserve">his </w:t>
      </w:r>
      <w:r w:rsidR="00505837" w:rsidRPr="005E53F9">
        <w:rPr>
          <w:color w:val="000099"/>
          <w:szCs w:val="24"/>
          <w:highlight w:val="yellow"/>
        </w:rPr>
        <w:t>p</w:t>
      </w:r>
      <w:r w:rsidR="00505837">
        <w:rPr>
          <w:color w:val="000099"/>
          <w:szCs w:val="24"/>
          <w:highlight w:val="yellow"/>
        </w:rPr>
        <w:t>eak</w:t>
      </w:r>
      <w:r w:rsidR="005E53F9">
        <w:rPr>
          <w:color w:val="000099"/>
          <w:szCs w:val="24"/>
          <w:highlight w:val="yellow"/>
        </w:rPr>
        <w:t xml:space="preserve"> can be related to the oxidation of so</w:t>
      </w:r>
      <w:r w:rsidR="005E53F9">
        <w:rPr>
          <w:color w:val="000099"/>
          <w:szCs w:val="24"/>
          <w:highlight w:val="yellow"/>
        </w:rPr>
        <w:t>l</w:t>
      </w:r>
      <w:r w:rsidR="005E53F9">
        <w:rPr>
          <w:color w:val="000099"/>
          <w:szCs w:val="24"/>
          <w:highlight w:val="yellow"/>
        </w:rPr>
        <w:t>vent decomposition products</w:t>
      </w:r>
      <w:r w:rsidR="00632873">
        <w:rPr>
          <w:color w:val="000099"/>
          <w:szCs w:val="24"/>
          <w:highlight w:val="yellow"/>
        </w:rPr>
        <w:fldChar w:fldCharType="begin" w:fldLock="1"/>
      </w:r>
      <w:r w:rsidR="00632873">
        <w:rPr>
          <w:color w:val="000099"/>
          <w:szCs w:val="24"/>
          <w:highlight w:val="yellow"/>
        </w:rPr>
        <w:instrText>ADDIN CSL_CITATION { "citationItems" : [ { "id" : "ITEM-1", "itemData" : { "DOI" : "10.1021/ja2021747", "ISSN" : "0002-7863", "author" : [ { "dropping-particle" : "", "family" : "Freunberger", "given" : "Stefan A", "non-dropping-particle" : "", "parse-names" : false, "suffix" : "" }, { "dropping-particle" : "", "family" : "Chen", "given" : "Yuhui", "non-dropping-particle" : "", "parse-names" : false, "suffix" : "" }, { "dropping-particle" : "", "family" : "Peng", "given" : "Zhangquan", "non-dropping-particle" : "", "parse-names" : false, "suffix" : "" }, { "dropping-particle" : "", "family" : "Griffin", "given" : "John M", "non-dropping-particle" : "", "parse-names" : false, "suffix" : "" }, { "dropping-particle" : "", "family" : "Hardwick", "given" : "Laurence J", "non-dropping-particle" : "", "parse-names" : false, "suffix" : "" }, { "dropping-particle" : "", "family" : "Bard\u00e9", "given" : "Fanny", "non-dropping-particle" : "", "parse-names" : false, "suffix" : "" }, { "dropping-particle" : "", "family" : "Nov\u00e1k", "given" : "Petr", "non-dropping-particle" : "", "parse-names" : false, "suffix" : "" }, { "dropping-particle" : "", "family" : "Bruce", "given" : "Peter G", "non-dropping-particle" : "", "parse-names" : false, "suffix" : "" } ], "container-title" : "Journal of the American Chemical Society", "id" : "ITEM-1", "issue" : "20", "issued" : { "date-parts" : [ [ "2011", "5", "25" ] ] }, "note" : "doi: 10.1021/ja2021747", "page" : "8040-8047", "publisher" : "American Chemical Society", "title" : "Reactions in the Rechargeable Lithium\u2013O2 Battery with Alkyl Carbonate Electrolytes", "type" : "article-journal", "volume" : "133" }, "uris" : [ "http://www.mendeley.com/documents/?uuid=e9d1fbb9-3986-40b0-8675-a544b52e90d5" ] } ], "mendeley" : { "formattedCitation" : "[14]", "plainTextFormattedCitation" : "[14]" }, "properties" : { "noteIndex" : 0 }, "schema" : "https://github.com/citation-style-language/schema/raw/master/csl-citation.json" }</w:instrText>
      </w:r>
      <w:r w:rsidR="00632873">
        <w:rPr>
          <w:color w:val="000099"/>
          <w:szCs w:val="24"/>
          <w:highlight w:val="yellow"/>
        </w:rPr>
        <w:fldChar w:fldCharType="separate"/>
      </w:r>
      <w:r w:rsidR="00632873" w:rsidRPr="00632873">
        <w:rPr>
          <w:noProof/>
          <w:color w:val="000099"/>
          <w:szCs w:val="24"/>
          <w:highlight w:val="yellow"/>
        </w:rPr>
        <w:t>[14]</w:t>
      </w:r>
      <w:r w:rsidR="00632873">
        <w:rPr>
          <w:color w:val="000099"/>
          <w:szCs w:val="24"/>
          <w:highlight w:val="yellow"/>
        </w:rPr>
        <w:fldChar w:fldCharType="end"/>
      </w:r>
      <w:r w:rsidR="002350BF" w:rsidRPr="005E53F9">
        <w:rPr>
          <w:color w:val="000099"/>
          <w:szCs w:val="24"/>
          <w:highlight w:val="yellow"/>
        </w:rPr>
        <w:t xml:space="preserve">. </w:t>
      </w:r>
      <w:r w:rsidR="002350BF" w:rsidRPr="005E53F9">
        <w:rPr>
          <w:i/>
          <w:color w:val="000099"/>
          <w:szCs w:val="24"/>
          <w:highlight w:val="yellow"/>
        </w:rPr>
        <w:t>In situ</w:t>
      </w:r>
      <w:r w:rsidR="002350BF" w:rsidRPr="005E53F9">
        <w:rPr>
          <w:color w:val="000099"/>
          <w:szCs w:val="24"/>
          <w:highlight w:val="yellow"/>
        </w:rPr>
        <w:t xml:space="preserve"> SEIRA analysis </w:t>
      </w:r>
      <w:r w:rsidR="00FA0BB7" w:rsidRPr="005E53F9">
        <w:rPr>
          <w:color w:val="000099"/>
          <w:szCs w:val="24"/>
          <w:highlight w:val="yellow"/>
        </w:rPr>
        <w:t>has been</w:t>
      </w:r>
      <w:r w:rsidR="002350BF" w:rsidRPr="005E53F9">
        <w:rPr>
          <w:color w:val="000099"/>
          <w:szCs w:val="24"/>
          <w:highlight w:val="yellow"/>
        </w:rPr>
        <w:t xml:space="preserve"> carried out </w:t>
      </w:r>
      <w:r w:rsidR="00FA0BB7" w:rsidRPr="005E53F9">
        <w:rPr>
          <w:color w:val="000099"/>
          <w:szCs w:val="24"/>
          <w:highlight w:val="yellow"/>
        </w:rPr>
        <w:t xml:space="preserve">to understand the </w:t>
      </w:r>
      <w:r w:rsidR="002350BF" w:rsidRPr="005E53F9">
        <w:rPr>
          <w:color w:val="000099"/>
          <w:szCs w:val="24"/>
          <w:highlight w:val="yellow"/>
        </w:rPr>
        <w:t>supero</w:t>
      </w:r>
      <w:r w:rsidR="002350BF" w:rsidRPr="005E53F9">
        <w:rPr>
          <w:color w:val="000099"/>
          <w:szCs w:val="24"/>
          <w:highlight w:val="yellow"/>
        </w:rPr>
        <w:t>x</w:t>
      </w:r>
      <w:r w:rsidR="002350BF" w:rsidRPr="005E53F9">
        <w:rPr>
          <w:color w:val="000099"/>
          <w:szCs w:val="24"/>
          <w:highlight w:val="yellow"/>
        </w:rPr>
        <w:t>ide induced changes to the interface relating to the difference in reversibility observed in the CVs</w:t>
      </w:r>
      <w:r w:rsidR="002C2C6D" w:rsidRPr="005E53F9">
        <w:rPr>
          <w:color w:val="000099"/>
          <w:szCs w:val="24"/>
        </w:rPr>
        <w:t>.</w:t>
      </w:r>
    </w:p>
    <w:p w:rsidR="00645B6F" w:rsidRPr="00D47427" w:rsidRDefault="00645B6F" w:rsidP="00645B6F">
      <w:pPr>
        <w:jc w:val="center"/>
      </w:pPr>
      <w:r w:rsidRPr="00D47427">
        <w:rPr>
          <w:noProof/>
          <w:lang w:val="en-GB" w:eastAsia="en-GB"/>
        </w:rPr>
        <w:drawing>
          <wp:inline distT="0" distB="0" distL="0" distR="0" wp14:anchorId="7DEB3DF7" wp14:editId="44B53267">
            <wp:extent cx="3056400" cy="223920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rotWithShape="1">
                    <a:blip r:embed="rId16" cstate="print">
                      <a:extLst>
                        <a:ext uri="{28A0092B-C50C-407E-A947-70E740481C1C}">
                          <a14:useLocalDpi xmlns:a14="http://schemas.microsoft.com/office/drawing/2010/main" val="0"/>
                        </a:ext>
                      </a:extLst>
                    </a:blip>
                    <a:srcRect l="4253" t="8507" r="12955" b="10586"/>
                    <a:stretch/>
                  </pic:blipFill>
                  <pic:spPr bwMode="auto">
                    <a:xfrm>
                      <a:off x="0" y="0"/>
                      <a:ext cx="3056400" cy="2239200"/>
                    </a:xfrm>
                    <a:prstGeom prst="rect">
                      <a:avLst/>
                    </a:prstGeom>
                    <a:ln>
                      <a:noFill/>
                    </a:ln>
                    <a:extLst>
                      <a:ext uri="{53640926-AAD7-44D8-BBD7-CCE9431645EC}">
                        <a14:shadowObscured xmlns:a14="http://schemas.microsoft.com/office/drawing/2010/main"/>
                      </a:ext>
                    </a:extLst>
                  </pic:spPr>
                </pic:pic>
              </a:graphicData>
            </a:graphic>
          </wp:inline>
        </w:drawing>
      </w:r>
    </w:p>
    <w:p w:rsidR="00645B6F" w:rsidRPr="00D47427" w:rsidRDefault="00645B6F" w:rsidP="006E4730">
      <w:pPr>
        <w:pStyle w:val="VAFigureCaption"/>
      </w:pPr>
      <w:r w:rsidRPr="00D47427">
        <w:t>Figure 4. Cyclic voltammograms for the reduction of oxygen (red) and the argon background (black) in 0.1 M LiClO</w:t>
      </w:r>
      <w:r w:rsidRPr="00D47427">
        <w:rPr>
          <w:vertAlign w:val="subscript"/>
        </w:rPr>
        <w:t>4</w:t>
      </w:r>
      <w:r w:rsidRPr="00D47427">
        <w:t>/PC, at 0.1 V/s scan rate.</w:t>
      </w:r>
    </w:p>
    <w:p w:rsidR="00645B6F" w:rsidRPr="00D47427" w:rsidRDefault="00645B6F" w:rsidP="00863299">
      <w:pPr>
        <w:pStyle w:val="TAMainText"/>
      </w:pPr>
    </w:p>
    <w:p w:rsidR="006E4730" w:rsidRPr="00D47427" w:rsidRDefault="006950DB" w:rsidP="00863299">
      <w:pPr>
        <w:pStyle w:val="TAMainText"/>
      </w:pPr>
      <w:r w:rsidRPr="00176590">
        <w:rPr>
          <w:szCs w:val="22"/>
        </w:rPr>
        <w:lastRenderedPageBreak/>
        <w:t>Corresponding SEIRA spectra in Figure 5b show strong positive as well as negative bands as the ele</w:t>
      </w:r>
      <w:r w:rsidRPr="00176590">
        <w:rPr>
          <w:szCs w:val="22"/>
        </w:rPr>
        <w:t>c</w:t>
      </w:r>
      <w:r w:rsidRPr="00176590">
        <w:rPr>
          <w:szCs w:val="22"/>
        </w:rPr>
        <w:t>trode is negatively polarized</w:t>
      </w:r>
      <w:r w:rsidR="00CD6C1F" w:rsidRPr="00176590">
        <w:rPr>
          <w:color w:val="0000FF"/>
          <w:szCs w:val="22"/>
          <w:highlight w:val="yellow"/>
        </w:rPr>
        <w:t xml:space="preserve"> </w:t>
      </w:r>
      <w:r w:rsidR="00CD6C1F" w:rsidRPr="00176590">
        <w:rPr>
          <w:szCs w:val="22"/>
          <w:highlight w:val="yellow"/>
        </w:rPr>
        <w:t>(</w:t>
      </w:r>
      <w:r w:rsidR="00397276" w:rsidRPr="00176590">
        <w:rPr>
          <w:szCs w:val="22"/>
          <w:highlight w:val="yellow"/>
        </w:rPr>
        <w:t xml:space="preserve">the same </w:t>
      </w:r>
      <w:r w:rsidR="00176590" w:rsidRPr="00176590">
        <w:rPr>
          <w:szCs w:val="22"/>
          <w:highlight w:val="yellow"/>
        </w:rPr>
        <w:t>spectra over a broader range are</w:t>
      </w:r>
      <w:r w:rsidR="00CD6C1F" w:rsidRPr="00176590">
        <w:rPr>
          <w:szCs w:val="22"/>
          <w:highlight w:val="yellow"/>
        </w:rPr>
        <w:t xml:space="preserve"> provided in the supporting info</w:t>
      </w:r>
      <w:r w:rsidR="00CD6C1F" w:rsidRPr="00176590">
        <w:rPr>
          <w:szCs w:val="22"/>
          <w:highlight w:val="yellow"/>
        </w:rPr>
        <w:t>r</w:t>
      </w:r>
      <w:r w:rsidR="00CD6C1F" w:rsidRPr="00176590">
        <w:rPr>
          <w:szCs w:val="22"/>
          <w:highlight w:val="yellow"/>
        </w:rPr>
        <w:t>mation (Fig</w:t>
      </w:r>
      <w:r w:rsidR="00194474" w:rsidRPr="00176590">
        <w:rPr>
          <w:szCs w:val="22"/>
          <w:highlight w:val="yellow"/>
        </w:rPr>
        <w:t>ure</w:t>
      </w:r>
      <w:r w:rsidR="00CD6C1F" w:rsidRPr="00176590">
        <w:rPr>
          <w:szCs w:val="22"/>
          <w:highlight w:val="yellow"/>
        </w:rPr>
        <w:t xml:space="preserve"> S2))</w:t>
      </w:r>
      <w:r w:rsidRPr="00176590">
        <w:rPr>
          <w:szCs w:val="22"/>
        </w:rPr>
        <w:t>. Upward going bands indicate the loss of PC at the interface, while strong downward bands indicate the formation of ring-opened carbonate species, ROCO</w:t>
      </w:r>
      <w:r w:rsidRPr="00176590">
        <w:rPr>
          <w:szCs w:val="22"/>
          <w:vertAlign w:val="subscript"/>
        </w:rPr>
        <w:t>2</w:t>
      </w:r>
      <w:r w:rsidRPr="00176590">
        <w:rPr>
          <w:szCs w:val="22"/>
        </w:rPr>
        <w:t xml:space="preserve">Li. All the downward going bands </w:t>
      </w:r>
      <w:r w:rsidR="002D02E3" w:rsidRPr="00176590">
        <w:rPr>
          <w:szCs w:val="22"/>
        </w:rPr>
        <w:t>appear</w:t>
      </w:r>
      <w:r w:rsidR="00DB3FA6" w:rsidRPr="00176590">
        <w:rPr>
          <w:szCs w:val="22"/>
        </w:rPr>
        <w:t>ing at</w:t>
      </w:r>
      <w:r w:rsidR="002D02E3" w:rsidRPr="00176590">
        <w:rPr>
          <w:szCs w:val="22"/>
        </w:rPr>
        <w:t xml:space="preserve"> the </w:t>
      </w:r>
      <w:r w:rsidR="00A43207" w:rsidRPr="00176590">
        <w:rPr>
          <w:szCs w:val="22"/>
          <w:highlight w:val="yellow"/>
        </w:rPr>
        <w:t>less positive</w:t>
      </w:r>
      <w:r w:rsidR="00A43207" w:rsidRPr="00176590">
        <w:rPr>
          <w:szCs w:val="22"/>
        </w:rPr>
        <w:t xml:space="preserve"> </w:t>
      </w:r>
      <w:r w:rsidR="002D02E3" w:rsidRPr="00176590">
        <w:rPr>
          <w:szCs w:val="22"/>
        </w:rPr>
        <w:t xml:space="preserve">potentials </w:t>
      </w:r>
      <w:r w:rsidRPr="00176590">
        <w:rPr>
          <w:szCs w:val="22"/>
        </w:rPr>
        <w:t>remain stable</w:t>
      </w:r>
      <w:r w:rsidR="003B4F36" w:rsidRPr="00176590">
        <w:rPr>
          <w:szCs w:val="22"/>
        </w:rPr>
        <w:t>,</w:t>
      </w:r>
      <w:r w:rsidRPr="00176590">
        <w:rPr>
          <w:szCs w:val="22"/>
        </w:rPr>
        <w:t xml:space="preserve"> even at </w:t>
      </w:r>
      <w:r w:rsidR="00A43207" w:rsidRPr="00176590">
        <w:rPr>
          <w:szCs w:val="22"/>
          <w:highlight w:val="yellow"/>
        </w:rPr>
        <w:t>the most</w:t>
      </w:r>
      <w:r w:rsidR="00A43207" w:rsidRPr="00176590">
        <w:rPr>
          <w:szCs w:val="22"/>
        </w:rPr>
        <w:t xml:space="preserve"> </w:t>
      </w:r>
      <w:r w:rsidRPr="00176590">
        <w:rPr>
          <w:szCs w:val="22"/>
        </w:rPr>
        <w:t>anodic polarizations, indicating that the surface layer formed is relatively stable. SEIRAS bands for PC-LiClO</w:t>
      </w:r>
      <w:r w:rsidRPr="00176590">
        <w:rPr>
          <w:szCs w:val="22"/>
          <w:vertAlign w:val="subscript"/>
        </w:rPr>
        <w:t>4</w:t>
      </w:r>
      <w:r w:rsidRPr="00176590">
        <w:rPr>
          <w:szCs w:val="22"/>
        </w:rPr>
        <w:t xml:space="preserve"> oxygenated as well as d</w:t>
      </w:r>
      <w:r w:rsidRPr="00176590">
        <w:rPr>
          <w:szCs w:val="22"/>
        </w:rPr>
        <w:t>e</w:t>
      </w:r>
      <w:r w:rsidRPr="00176590">
        <w:rPr>
          <w:szCs w:val="22"/>
        </w:rPr>
        <w:t xml:space="preserve">oxygenated systems in the reduction as well as oxidations regions (2.12 V and 3.7 V respectively) are also </w:t>
      </w:r>
      <w:r w:rsidR="00DB3FA6" w:rsidRPr="00176590">
        <w:rPr>
          <w:szCs w:val="22"/>
        </w:rPr>
        <w:t>summarized</w:t>
      </w:r>
      <w:r w:rsidRPr="00176590">
        <w:rPr>
          <w:szCs w:val="22"/>
        </w:rPr>
        <w:t xml:space="preserve"> in Table 1</w:t>
      </w:r>
      <w:r w:rsidR="00DD4C6F" w:rsidRPr="00176590">
        <w:rPr>
          <w:szCs w:val="22"/>
        </w:rPr>
        <w:t xml:space="preserve"> </w:t>
      </w:r>
      <w:r w:rsidR="00DD4C6F" w:rsidRPr="00176590">
        <w:rPr>
          <w:szCs w:val="22"/>
          <w:highlight w:val="yellow"/>
        </w:rPr>
        <w:t>(please also see su</w:t>
      </w:r>
      <w:r w:rsidR="00FA5153" w:rsidRPr="00176590">
        <w:rPr>
          <w:szCs w:val="22"/>
          <w:highlight w:val="yellow"/>
        </w:rPr>
        <w:t>pplementary table S</w:t>
      </w:r>
      <w:r w:rsidR="00DD4C6F" w:rsidRPr="00176590">
        <w:rPr>
          <w:szCs w:val="22"/>
          <w:highlight w:val="yellow"/>
        </w:rPr>
        <w:t>1</w:t>
      </w:r>
      <w:r w:rsidR="00DD4C6F" w:rsidRPr="00DD4C6F">
        <w:rPr>
          <w:highlight w:val="yellow"/>
        </w:rPr>
        <w:t>)</w:t>
      </w:r>
      <w:r w:rsidRPr="00DD4C6F">
        <w:rPr>
          <w:highlight w:val="yellow"/>
        </w:rPr>
        <w:t>.</w:t>
      </w:r>
      <w:r w:rsidRPr="00D47427">
        <w:t xml:space="preserve"> The PC ring-opened species observed here is in line with the surface film observed on Li-O</w:t>
      </w:r>
      <w:r w:rsidRPr="00D47427">
        <w:rPr>
          <w:vertAlign w:val="subscript"/>
        </w:rPr>
        <w:t>2</w:t>
      </w:r>
      <w:r w:rsidRPr="00D47427">
        <w:t xml:space="preserve"> cathodes cycled in PC electrolyte</w:t>
      </w:r>
      <w:r w:rsidRPr="00D47427">
        <w:fldChar w:fldCharType="begin" w:fldLock="1"/>
      </w:r>
      <w:r w:rsidR="007E2DD7">
        <w:instrText>ADDIN CSL_CITATION { "citationItems" : [ { "id" : "ITEM-1", "itemData" : { "DOI" : "10.1021/ja2021747", "ISSN" : "0002-7863", "author" : [ { "dropping-particle" : "", "family" : "Freunberger", "given" : "Stefan A", "non-dropping-particle" : "", "parse-names" : false, "suffix" : "" }, { "dropping-particle" : "", "family" : "Chen", "given" : "Yuhui", "non-dropping-particle" : "", "parse-names" : false, "suffix" : "" }, { "dropping-particle" : "", "family" : "Peng", "given" : "Zhangquan", "non-dropping-particle" : "", "parse-names" : false, "suffix" : "" }, { "dropping-particle" : "", "family" : "Griffin", "given" : "John M", "non-dropping-particle" : "", "parse-names" : false, "suffix" : "" }, { "dropping-particle" : "", "family" : "Hardwick", "given" : "Laurence J", "non-dropping-particle" : "", "parse-names" : false, "suffix" : "" }, { "dropping-particle" : "", "family" : "Bard\u00e9", "given" : "Fanny", "non-dropping-particle" : "", "parse-names" : false, "suffix" : "" }, { "dropping-particle" : "", "family" : "Nov\u00e1k", "given" : "Petr", "non-dropping-particle" : "", "parse-names" : false, "suffix" : "" }, { "dropping-particle" : "", "family" : "Bruce", "given" : "Peter G", "non-dropping-particle" : "", "parse-names" : false, "suffix" : "" } ], "container-title" : "Journal of the American Chemical Society", "id" : "ITEM-1", "issue" : "20", "issued" : { "date-parts" : [ [ "2011", "5", "25" ] ] }, "note" : "doi: 10.1021/ja2021747", "page" : "8040-8047", "publisher" : "American Chemical Society", "title" : "Reactions in the Rechargeable Lithium\u2013O2 Battery with Alkyl Carbonate Electrolytes", "type" : "article-journal", "volume" : "133" }, "uris" : [ "http://www.mendeley.com/documents/?uuid=e9d1fbb9-3986-40b0-8675-a544b52e90d5" ] }, { "id" : "ITEM-2", "itemData" : { "DOI" : "http://dx.doi.org/10.1016/j.jpowsour.2013.01.030", "ISSN" : "0378-7753", "abstract" : "Combining experimental and computational techniques can provide a better understanding of surface film formation processes that occur in the lithium-ion battery. In this paper, we show that this joint approach can provide a mechanistic understanding of the effect of oxygen in the reduction of propylene carbonate (PC). We perform FTIR analysis, inside a glove box, after conducting linear sweep voltammetry (LSV) from an open-circuit voltage (OCV) to selected potential regions; subtraction between two successive IR spectra has been made to identify the reduction products formed within each potential range. FTIR analysis in the potential range from OCV to \u22120.1\u00a0V, in conjunction with density functional theory (DFT) calculations, confirm the formation of solvated Li2CO3 and (PC)2LiOC(O)OCH(CH3)CH2OLi(PC) due to PC reduction. Our experimental results and DFT calculations suggest that in the potential range from OCV to 1.6\u00a0V, PC, in the presence of O2, can easily decompose by the superoxide ion through a nucleophilic attack at the ethereal carbon atom.", "author" : [ { "dropping-particle" : "", "family" : "Haregewoin", "given" : "Atetegeb Meazah", "non-dropping-particle" : "", "parse-names" : false, "suffix" : "" }, { "dropping-particle" : "", "family" : "Leggesse", "given" : "Ermias Girma", "non-dropping-particle" : "", "parse-names" : false, "suffix" : "" }, { "dropping-particle" : "", "family" : "Jiang", "given" : "Jyh-Chiang", "non-dropping-particle" : "", "parse-names" : false, "suffix" : "" }, { "dropping-particle" : "", "family" : "Wang", "given" : "Fu-Ming", "non-dropping-particle" : "", "parse-names" : false, "suffix" : "" }, { "dropping-particle" : "", "family" : "Hwang", "given" : "Bing-Joe", "non-dropping-particle" : "", "parse-names" : false, "suffix" : "" }, { "dropping-particle" : "", "family" : "Lin", "given" : "Shawn D", "non-dropping-particle" : "", "parse-names" : false, "suffix" : "" } ], "container-title" : "Journal of Power Sources", "id" : "ITEM-2", "issued" : { "date-parts" : [ [ "2013", "12", "15" ] ] }, "page" : "318-327", "title" : "A combined experimental and theoretical study of surface film formation: Effect of oxygen on the reduction mechanism of propylene carbonate", "type" : "article-journal", "volume" : "244" }, "uris" : [ "http://www.mendeley.com/documents/?uuid=274459b9-671e-4b56-a39e-c2cb07f92868" ] } ], "mendeley" : { "formattedCitation" : "[14], [34]", "plainTextFormattedCitation" : "[14], [34]", "previouslyFormattedCitation" : "[14], [34]" }, "properties" : { "noteIndex" : 0 }, "schema" : "https://github.com/citation-style-language/schema/raw/master/csl-citation.json" }</w:instrText>
      </w:r>
      <w:r w:rsidRPr="00D47427">
        <w:fldChar w:fldCharType="separate"/>
      </w:r>
      <w:r w:rsidR="007E2DD7" w:rsidRPr="007E2DD7">
        <w:rPr>
          <w:noProof/>
        </w:rPr>
        <w:t>[14], [34]</w:t>
      </w:r>
      <w:r w:rsidRPr="00D47427">
        <w:fldChar w:fldCharType="end"/>
      </w:r>
      <w:r w:rsidRPr="00D47427">
        <w:t>. Supe</w:t>
      </w:r>
      <w:r w:rsidRPr="00D47427">
        <w:t>r</w:t>
      </w:r>
      <w:r w:rsidRPr="00D47427">
        <w:t xml:space="preserve">oxide species generated during the reduction of oxygen at the cathode </w:t>
      </w:r>
      <w:r w:rsidR="003C0F19" w:rsidRPr="00D47427">
        <w:t xml:space="preserve">are </w:t>
      </w:r>
      <w:r w:rsidRPr="00D47427">
        <w:t>believed to be responsible for this degradation reaction</w:t>
      </w:r>
      <w:r w:rsidRPr="00D47427">
        <w:fldChar w:fldCharType="begin" w:fldLock="1"/>
      </w:r>
      <w:r w:rsidR="007E2DD7">
        <w:instrText>ADDIN CSL_CITATION { "citationItems" : [ { "id" : "ITEM-1", "itemData" : { "DOI" : "10.1021/ja2021747", "ISSN" : "0002-7863", "author" : [ { "dropping-particle" : "", "family" : "Freunberger", "given" : "Stefan A", "non-dropping-particle" : "", "parse-names" : false, "suffix" : "" }, { "dropping-particle" : "", "family" : "Chen", "given" : "Yuhui", "non-dropping-particle" : "", "parse-names" : false, "suffix" : "" }, { "dropping-particle" : "", "family" : "Peng", "given" : "Zhangquan", "non-dropping-particle" : "", "parse-names" : false, "suffix" : "" }, { "dropping-particle" : "", "family" : "Griffin", "given" : "John M", "non-dropping-particle" : "", "parse-names" : false, "suffix" : "" }, { "dropping-particle" : "", "family" : "Hardwick", "given" : "Laurence J", "non-dropping-particle" : "", "parse-names" : false, "suffix" : "" }, { "dropping-particle" : "", "family" : "Bard\u00e9", "given" : "Fanny", "non-dropping-particle" : "", "parse-names" : false, "suffix" : "" }, { "dropping-particle" : "", "family" : "Nov\u00e1k", "given" : "Petr", "non-dropping-particle" : "", "parse-names" : false, "suffix" : "" }, { "dropping-particle" : "", "family" : "Bruce", "given" : "Peter G", "non-dropping-particle" : "", "parse-names" : false, "suffix" : "" } ], "container-title" : "Journal of the American Chemical Society", "id" : "ITEM-1", "issue" : "20", "issued" : { "date-parts" : [ [ "2011", "5", "25" ] ] }, "note" : "doi: 10.1021/ja2021747", "page" : "8040-8047", "publisher" : "American Chemical Society", "title" : "Reactions in the Rechargeable Lithium\u2013O2 Battery with Alkyl Carbonate Electrolytes", "type" : "article-journal", "volume" : "133" }, "uris" : [ "http://www.mendeley.com/documents/?uuid=e9d1fbb9-3986-40b0-8675-a544b52e90d5" ] }, { "id" : "ITEM-2", "itemData" : { "DOI" : "10.1039/C3CP54165G", "ISSN" : "1463-9076", "abstract" : "Metal-air batteries, utilizing the reduction of ambient oxygen, have the highest energy density because most of the cell volume is occupied by the anode while the cathode active material is not stored in the battery. Lithium metal is a tempting anode material for any battery because of its outstanding specific capacity (3842 mA h g-1 for Li vs. 815 mA h g-1 for Zn). Combining the high energy density of Li with ambient oxygen seems to be a promising option. Specifically, in all classes of electrolytes, the transformation from Li-O2 to Li-air is still a major challenge as the presence of moisture and CO2 reduces significantly the cell performance due to their strong reaction with Li metal. Thus, the quest for electrolyte systems capable of providing a solution to the imposed challenges due to the use of metallic Li, exposure to the environment and handling the formation of reactive discharged product is still on. This extended Review provides an expanded insight into electrolytes being suggested and researched and also a future vision on challenges and their possible solutions.", "author" : [ { "dropping-particle" : "", "family" : "Balaish", "given" : "Moran", "non-dropping-particle" : "", "parse-names" : false, "suffix" : "" }, { "dropping-particle" : "", "family" : "Kraytsberg", "given" : "Alexander", "non-dropping-particle" : "", "parse-names" : false, "suffix" : "" }, { "dropping-particle" : "", "family" : "Ein-Eli", "given" : "Yair", "non-dropping-particle" : "", "parse-names" : false, "suffix" : "" } ], "container-title" : "Physical Chemistry Chemical Physics", "id" : "ITEM-2", "issue" : "7", "issued" : { "date-parts" : [ [ "2014" ] ] }, "page" : "2801-2822", "publisher" : "The Royal Society of Chemistry", "title" : "A critical review on lithium-air battery electrolytes", "type" : "article-journal", "volume" : "16" }, "uris" : [ "http://www.mendeley.com/documents/?uuid=10ed9a81-5fc8-445f-a167-1734586c06b9" ] }, { "id" : "ITEM-3", "itemData" : { "DOI" : "http://dx.doi.org/10.1016/j.jpowsour.2013.01.030", "ISSN" : "0378-7753", "abstract" : "Combining experimental and computational techniques can provide a better understanding of surface film formation processes that occur in the lithium-ion battery. In this paper, we show that this joint approach can provide a mechanistic understanding of the effect of oxygen in the reduction of propylene carbonate (PC). We perform FTIR analysis, inside a glove box, after conducting linear sweep voltammetry (LSV) from an open-circuit voltage (OCV) to selected potential regions; subtraction between two successive IR spectra has been made to identify the reduction products formed within each potential range. FTIR analysis in the potential range from OCV to \u22120.1\u00a0V, in conjunction with density functional theory (DFT) calculations, confirm the formation of solvated Li2CO3 and (PC)2LiOC(O)OCH(CH3)CH2OLi(PC) due to PC reduction. Our experimental results and DFT calculations suggest that in the potential range from OCV to 1.6\u00a0V, PC, in the presence of O2, can easily decompose by the superoxide ion through a nucleophilic attack at the ethereal carbon atom.", "author" : [ { "dropping-particle" : "", "family" : "Haregewoin", "given" : "Atetegeb Meazah", "non-dropping-particle" : "", "parse-names" : false, "suffix" : "" }, { "dropping-particle" : "", "family" : "Leggesse", "given" : "Ermias Girma", "non-dropping-particle" : "", "parse-names" : false, "suffix" : "" }, { "dropping-particle" : "", "family" : "Jiang", "given" : "Jyh-Chiang", "non-dropping-particle" : "", "parse-names" : false, "suffix" : "" }, { "dropping-particle" : "", "family" : "Wang", "given" : "Fu-Ming", "non-dropping-particle" : "", "parse-names" : false, "suffix" : "" }, { "dropping-particle" : "", "family" : "Hwang", "given" : "Bing-Joe", "non-dropping-particle" : "", "parse-names" : false, "suffix" : "" }, { "dropping-particle" : "", "family" : "Lin", "given" : "Shawn D", "non-dropping-particle" : "", "parse-names" : false, "suffix" : "" } ], "container-title" : "Journal of Power Sources", "id" : "ITEM-3", "issued" : { "date-parts" : [ [ "2013", "12", "15" ] ] }, "page" : "318-327", "title" : "A combined experimental and theoretical study of surface film formation: Effect of oxygen on the reduction mechanism of propylene carbonate", "type" : "article-journal", "volume" : "244" }, "uris" : [ "http://www.mendeley.com/documents/?uuid=274459b9-671e-4b56-a39e-c2cb07f92868" ] } ], "mendeley" : { "formattedCitation" : "[7], [14], [34]", "plainTextFormattedCitation" : "[7], [14], [34]", "previouslyFormattedCitation" : "[7], [14], [34]" }, "properties" : { "noteIndex" : 0 }, "schema" : "https://github.com/citation-style-language/schema/raw/master/csl-citation.json" }</w:instrText>
      </w:r>
      <w:r w:rsidRPr="00D47427">
        <w:fldChar w:fldCharType="separate"/>
      </w:r>
      <w:r w:rsidR="007E2DD7" w:rsidRPr="007E2DD7">
        <w:rPr>
          <w:noProof/>
        </w:rPr>
        <w:t>[7], [14], [34]</w:t>
      </w:r>
      <w:r w:rsidRPr="00D47427">
        <w:fldChar w:fldCharType="end"/>
      </w:r>
      <w:r w:rsidRPr="00D47427">
        <w:t xml:space="preserve">. </w:t>
      </w:r>
      <w:r w:rsidR="00CE2DC6" w:rsidRPr="00D47427">
        <w:t>We have left a moderate downward going peak seen around 1094 cm</w:t>
      </w:r>
      <w:r w:rsidR="00CE2DC6" w:rsidRPr="00D47427">
        <w:rPr>
          <w:vertAlign w:val="superscript"/>
        </w:rPr>
        <w:t xml:space="preserve">-1 </w:t>
      </w:r>
      <w:r w:rsidR="00CE2DC6" w:rsidRPr="00D47427">
        <w:t>unassigned; this band may be related to a coordinated superoxide species</w:t>
      </w:r>
      <w:r w:rsidR="00CE2DC6" w:rsidRPr="00D47427">
        <w:fldChar w:fldCharType="begin" w:fldLock="1"/>
      </w:r>
      <w:r w:rsidR="0042526A">
        <w:instrText>ADDIN CSL_CITATION { "citationItems" : [ { "id" : "ITEM-1", "itemData" : { "DOI" : "10.1063/1.4811697", "ISSN" : "1089-7690", "PMID" : "23822298", "abstract" : "Vibrational properties of the superoxide radical anion (O2(-\u25cf) in liquid water have been experimentally investigated for the first time. The stretching frequency, its shift from the gas-phase to aqueous solution, anharmonicity constant, and the Raman bandwidths provide an insight into the radical-water interactions and the hydration cage. In view of the spectroscopic information obtained in this work, the structural models based on molecular dynamics simulation in solution and gas-phase infrared studies of the water molecules bound to O2(-\u25cf) are critically examined.", "author" : [ { "dropping-particle" : "", "family" : "Janik", "given" : "Ireneusz", "non-dropping-particle" : "", "parse-names" : false, "suffix" : "" }, { "dropping-particle" : "", "family" : "Tripathi", "given" : "G N R", "non-dropping-particle" : "", "parse-names" : false, "suffix" : "" } ], "container-title" : "The Journal of chemical physics", "id" : "ITEM-1", "issue" : "1", "issued" : { "date-parts" : [ [ "2013", "7", "7" ] ] }, "page" : "014302", "publisher" : "AIP Publishing", "title" : "The nature of the superoxide radical anion in water.", "type" : "article-journal", "volume" : "139" }, "uris" : [ "http://www.mendeley.com/documents/?uuid=3d0da300-b08e-4197-96cf-db1e4d34a0db" ] } ], "mendeley" : { "formattedCitation" : "[36]", "plainTextFormattedCitation" : "[36]", "previouslyFormattedCitation" : "[36]" }, "properties" : { "noteIndex" : 0 }, "schema" : "https://github.com/citation-style-language/schema/raw/master/csl-citation.json" }</w:instrText>
      </w:r>
      <w:r w:rsidR="00CE2DC6" w:rsidRPr="00D47427">
        <w:fldChar w:fldCharType="separate"/>
      </w:r>
      <w:r w:rsidR="00730130" w:rsidRPr="00730130">
        <w:rPr>
          <w:noProof/>
        </w:rPr>
        <w:t>[36]</w:t>
      </w:r>
      <w:r w:rsidR="00CE2DC6" w:rsidRPr="00D47427">
        <w:fldChar w:fldCharType="end"/>
      </w:r>
      <w:r w:rsidR="00CE2DC6" w:rsidRPr="00D47427">
        <w:t>, but a detailed invest</w:t>
      </w:r>
      <w:r w:rsidR="00CE2DC6" w:rsidRPr="00D47427">
        <w:t>i</w:t>
      </w:r>
      <w:r w:rsidR="00CE2DC6" w:rsidRPr="00D47427">
        <w:t xml:space="preserve">gation is required before assigning this to superoxide because other species such as perchlorate also </w:t>
      </w:r>
      <w:r w:rsidR="003B4F36" w:rsidRPr="00D47427">
        <w:t xml:space="preserve">have </w:t>
      </w:r>
      <w:r w:rsidR="00CE2DC6" w:rsidRPr="00D47427">
        <w:t xml:space="preserve">infrared </w:t>
      </w:r>
      <w:r w:rsidR="003B4F36" w:rsidRPr="00D47427">
        <w:t xml:space="preserve">absorbance </w:t>
      </w:r>
      <w:r w:rsidR="00CE2DC6" w:rsidRPr="00D47427">
        <w:t>in this region.</w:t>
      </w:r>
    </w:p>
    <w:p w:rsidR="006E4730" w:rsidRPr="00D47427" w:rsidRDefault="006E4730" w:rsidP="006E4730">
      <w:pPr>
        <w:pStyle w:val="BBAuthorName"/>
        <w:rPr>
          <w:rFonts w:eastAsiaTheme="minorEastAsia"/>
          <w:kern w:val="21"/>
          <w:sz w:val="22"/>
        </w:rPr>
      </w:pPr>
      <w:r w:rsidRPr="00D47427">
        <w:rPr>
          <w:rFonts w:eastAsiaTheme="minorEastAsia"/>
        </w:rPr>
        <w:br w:type="page"/>
      </w:r>
    </w:p>
    <w:p w:rsidR="00645B6F" w:rsidRPr="00D47427" w:rsidRDefault="00952BEB" w:rsidP="00645B6F">
      <w:pPr>
        <w:jc w:val="center"/>
      </w:pPr>
      <w:r>
        <w:rPr>
          <w:noProof/>
          <w:lang w:val="en-GB" w:eastAsia="en-GB"/>
        </w:rPr>
        <w:lastRenderedPageBreak/>
        <w:drawing>
          <wp:inline distT="0" distB="0" distL="0" distR="0" wp14:anchorId="1A222762" wp14:editId="2B4D98CB">
            <wp:extent cx="3175200" cy="2419200"/>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JPG"/>
                    <pic:cNvPicPr/>
                  </pic:nvPicPr>
                  <pic:blipFill rotWithShape="1">
                    <a:blip r:embed="rId17" cstate="print">
                      <a:extLst>
                        <a:ext uri="{28A0092B-C50C-407E-A947-70E740481C1C}">
                          <a14:useLocalDpi xmlns:a14="http://schemas.microsoft.com/office/drawing/2010/main" val="0"/>
                        </a:ext>
                      </a:extLst>
                    </a:blip>
                    <a:srcRect l="8867" t="2792" r="4311" b="9031"/>
                    <a:stretch/>
                  </pic:blipFill>
                  <pic:spPr bwMode="auto">
                    <a:xfrm>
                      <a:off x="0" y="0"/>
                      <a:ext cx="3175200" cy="2419200"/>
                    </a:xfrm>
                    <a:prstGeom prst="rect">
                      <a:avLst/>
                    </a:prstGeom>
                    <a:ln>
                      <a:noFill/>
                    </a:ln>
                    <a:extLst>
                      <a:ext uri="{53640926-AAD7-44D8-BBD7-CCE9431645EC}">
                        <a14:shadowObscured xmlns:a14="http://schemas.microsoft.com/office/drawing/2010/main"/>
                      </a:ext>
                    </a:extLst>
                  </pic:spPr>
                </pic:pic>
              </a:graphicData>
            </a:graphic>
          </wp:inline>
        </w:drawing>
      </w:r>
    </w:p>
    <w:p w:rsidR="00645B6F" w:rsidRPr="00D47427" w:rsidRDefault="00952BEB" w:rsidP="00645B6F">
      <w:pPr>
        <w:jc w:val="center"/>
      </w:pPr>
      <w:r>
        <w:rPr>
          <w:noProof/>
          <w:lang w:val="en-GB" w:eastAsia="en-GB"/>
        </w:rPr>
        <w:drawing>
          <wp:inline distT="0" distB="0" distL="0" distR="0" wp14:anchorId="5AEB7471" wp14:editId="15DF04F2">
            <wp:extent cx="3135600" cy="24012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JPG"/>
                    <pic:cNvPicPr/>
                  </pic:nvPicPr>
                  <pic:blipFill rotWithShape="1">
                    <a:blip r:embed="rId18" cstate="print">
                      <a:extLst>
                        <a:ext uri="{28A0092B-C50C-407E-A947-70E740481C1C}">
                          <a14:useLocalDpi xmlns:a14="http://schemas.microsoft.com/office/drawing/2010/main" val="0"/>
                        </a:ext>
                      </a:extLst>
                    </a:blip>
                    <a:srcRect l="9483" t="2956" r="4803" b="9524"/>
                    <a:stretch/>
                  </pic:blipFill>
                  <pic:spPr bwMode="auto">
                    <a:xfrm>
                      <a:off x="0" y="0"/>
                      <a:ext cx="3135600" cy="2401200"/>
                    </a:xfrm>
                    <a:prstGeom prst="rect">
                      <a:avLst/>
                    </a:prstGeom>
                    <a:ln>
                      <a:noFill/>
                    </a:ln>
                    <a:extLst>
                      <a:ext uri="{53640926-AAD7-44D8-BBD7-CCE9431645EC}">
                        <a14:shadowObscured xmlns:a14="http://schemas.microsoft.com/office/drawing/2010/main"/>
                      </a:ext>
                    </a:extLst>
                  </pic:spPr>
                </pic:pic>
              </a:graphicData>
            </a:graphic>
          </wp:inline>
        </w:drawing>
      </w:r>
    </w:p>
    <w:p w:rsidR="00645B6F" w:rsidRPr="00D47427" w:rsidRDefault="00645B6F" w:rsidP="006E4730">
      <w:pPr>
        <w:pStyle w:val="VAFigureCaption"/>
      </w:pPr>
      <w:r w:rsidRPr="00D47427">
        <w:t xml:space="preserve">Figure 5. SEIRA spectra recorded for Au thin film electrode in deoxygenated 0.1 M </w:t>
      </w:r>
      <w:r w:rsidR="00A43207" w:rsidRPr="00D809BD">
        <w:rPr>
          <w:highlight w:val="yellow"/>
        </w:rPr>
        <w:t>LiClO</w:t>
      </w:r>
      <w:r w:rsidR="00A43207" w:rsidRPr="00D809BD">
        <w:rPr>
          <w:highlight w:val="yellow"/>
          <w:vertAlign w:val="subscript"/>
        </w:rPr>
        <w:t>4</w:t>
      </w:r>
      <w:r w:rsidRPr="00D47427">
        <w:t>/PC electrolyte at various representative electrode potentials. (a) Deoxygenated electrolyte - corresponds to the black curve in Figure 4, and (b) oxygen saturated electrolyte – corresponds to the red curve in Figure 4.  The reference spe</w:t>
      </w:r>
      <w:r w:rsidRPr="00D47427">
        <w:t>c</w:t>
      </w:r>
      <w:r w:rsidRPr="00D47427">
        <w:t xml:space="preserve">tra were taken at the OCV </w:t>
      </w:r>
      <w:r w:rsidR="00C51C64" w:rsidRPr="00D809BD">
        <w:rPr>
          <w:highlight w:val="yellow"/>
        </w:rPr>
        <w:t>(</w:t>
      </w:r>
      <w:r w:rsidR="004B230E" w:rsidRPr="00D809BD">
        <w:rPr>
          <w:highlight w:val="yellow"/>
        </w:rPr>
        <w:t>3.</w:t>
      </w:r>
      <w:r w:rsidR="00422DB3" w:rsidRPr="00D809BD">
        <w:rPr>
          <w:highlight w:val="yellow"/>
        </w:rPr>
        <w:t>1</w:t>
      </w:r>
      <w:r w:rsidR="00C51C64" w:rsidRPr="00D809BD">
        <w:rPr>
          <w:highlight w:val="yellow"/>
        </w:rPr>
        <w:t xml:space="preserve"> V)</w:t>
      </w:r>
      <w:r w:rsidR="004B230E">
        <w:t xml:space="preserve"> </w:t>
      </w:r>
      <w:r w:rsidRPr="00D47427">
        <w:t xml:space="preserve">before the potential sweep started. </w:t>
      </w:r>
    </w:p>
    <w:p w:rsidR="006E4730" w:rsidRPr="00D47427" w:rsidRDefault="006E4730">
      <w:pPr>
        <w:spacing w:after="0"/>
        <w:jc w:val="left"/>
        <w:rPr>
          <w:rFonts w:ascii="Times New Roman" w:eastAsiaTheme="minorEastAsia" w:hAnsi="Times New Roman"/>
          <w:kern w:val="21"/>
          <w:sz w:val="22"/>
        </w:rPr>
      </w:pPr>
      <w:r w:rsidRPr="00D47427">
        <w:rPr>
          <w:rFonts w:eastAsiaTheme="minorEastAsia"/>
        </w:rPr>
        <w:br w:type="page"/>
      </w:r>
    </w:p>
    <w:p w:rsidR="00645B6F" w:rsidRPr="00D47427" w:rsidRDefault="00645B6F" w:rsidP="00863299">
      <w:pPr>
        <w:pStyle w:val="TAMainText"/>
      </w:pPr>
    </w:p>
    <w:p w:rsidR="00645B6F" w:rsidRPr="00D47427" w:rsidRDefault="00645B6F" w:rsidP="00645B6F">
      <w:pPr>
        <w:pStyle w:val="VDTableTitle"/>
      </w:pPr>
      <w:r w:rsidRPr="00D47427">
        <w:t>Table 1. SEIRAS band assignments of PC-TEAClO4</w:t>
      </w:r>
    </w:p>
    <w:tbl>
      <w:tblPr>
        <w:tblStyle w:val="TableGrid"/>
        <w:tblW w:w="0" w:type="auto"/>
        <w:jc w:val="center"/>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3"/>
        <w:gridCol w:w="1274"/>
        <w:gridCol w:w="355"/>
        <w:gridCol w:w="752"/>
        <w:gridCol w:w="1002"/>
        <w:gridCol w:w="2505"/>
        <w:gridCol w:w="1127"/>
      </w:tblGrid>
      <w:tr w:rsidR="00645B6F" w:rsidRPr="00D47427" w:rsidTr="00D809BD">
        <w:trPr>
          <w:trHeight w:val="388"/>
          <w:jc w:val="center"/>
        </w:trPr>
        <w:tc>
          <w:tcPr>
            <w:tcW w:w="1503" w:type="dxa"/>
            <w:vMerge w:val="restart"/>
            <w:vAlign w:val="center"/>
          </w:tcPr>
          <w:p w:rsidR="00645B6F" w:rsidRPr="00D47427" w:rsidRDefault="00645B6F" w:rsidP="00D809BD">
            <w:pPr>
              <w:pStyle w:val="TCTableBody"/>
              <w:rPr>
                <w:lang w:val="en-US"/>
              </w:rPr>
            </w:pPr>
          </w:p>
        </w:tc>
        <w:tc>
          <w:tcPr>
            <w:tcW w:w="3383" w:type="dxa"/>
            <w:gridSpan w:val="4"/>
            <w:tcBorders>
              <w:bottom w:val="single" w:sz="4" w:space="0" w:color="auto"/>
            </w:tcBorders>
            <w:vAlign w:val="center"/>
          </w:tcPr>
          <w:p w:rsidR="00645B6F" w:rsidRPr="00D47427" w:rsidRDefault="00645B6F" w:rsidP="00D809BD">
            <w:pPr>
              <w:pStyle w:val="StyleTCTableBodyBold"/>
              <w:rPr>
                <w:lang w:val="en-US"/>
              </w:rPr>
            </w:pPr>
            <w:r w:rsidRPr="00D47427">
              <w:rPr>
                <w:lang w:val="en-US"/>
              </w:rPr>
              <w:t>Bands at representative potentials</w:t>
            </w:r>
          </w:p>
        </w:tc>
        <w:tc>
          <w:tcPr>
            <w:tcW w:w="3632" w:type="dxa"/>
            <w:gridSpan w:val="2"/>
            <w:tcBorders>
              <w:bottom w:val="single" w:sz="4" w:space="0" w:color="auto"/>
            </w:tcBorders>
            <w:vAlign w:val="center"/>
          </w:tcPr>
          <w:p w:rsidR="00645B6F" w:rsidRPr="00D47427" w:rsidRDefault="00645B6F" w:rsidP="00D809BD">
            <w:pPr>
              <w:pStyle w:val="StyleTCTableBodyBold"/>
              <w:rPr>
                <w:lang w:val="en-US"/>
              </w:rPr>
            </w:pPr>
            <w:r w:rsidRPr="00D47427">
              <w:rPr>
                <w:lang w:val="en-US"/>
              </w:rPr>
              <w:t>Assignment*</w:t>
            </w:r>
          </w:p>
        </w:tc>
      </w:tr>
      <w:tr w:rsidR="00645B6F" w:rsidRPr="00D47427" w:rsidTr="00D809BD">
        <w:trPr>
          <w:trHeight w:val="388"/>
          <w:jc w:val="center"/>
        </w:trPr>
        <w:tc>
          <w:tcPr>
            <w:tcW w:w="1503" w:type="dxa"/>
            <w:vMerge/>
            <w:tcBorders>
              <w:bottom w:val="single" w:sz="4" w:space="0" w:color="auto"/>
            </w:tcBorders>
          </w:tcPr>
          <w:p w:rsidR="00645B6F" w:rsidRPr="00D47427" w:rsidRDefault="00645B6F" w:rsidP="00D809BD">
            <w:pPr>
              <w:pStyle w:val="TCTableBody"/>
              <w:rPr>
                <w:lang w:val="en-US"/>
              </w:rPr>
            </w:pPr>
          </w:p>
        </w:tc>
        <w:tc>
          <w:tcPr>
            <w:tcW w:w="1274" w:type="dxa"/>
            <w:tcBorders>
              <w:top w:val="single" w:sz="4" w:space="0" w:color="auto"/>
              <w:bottom w:val="single" w:sz="4" w:space="0" w:color="auto"/>
            </w:tcBorders>
            <w:vAlign w:val="center"/>
          </w:tcPr>
          <w:p w:rsidR="00645B6F" w:rsidRPr="00D47427" w:rsidRDefault="00645B6F" w:rsidP="00D809BD">
            <w:pPr>
              <w:pStyle w:val="StyleTCTableBodyBold"/>
              <w:rPr>
                <w:lang w:val="en-US"/>
              </w:rPr>
            </w:pPr>
            <w:r w:rsidRPr="00D47427">
              <w:rPr>
                <w:lang w:val="en-US"/>
              </w:rPr>
              <w:t>3.0 V</w:t>
            </w:r>
          </w:p>
        </w:tc>
        <w:tc>
          <w:tcPr>
            <w:tcW w:w="1107" w:type="dxa"/>
            <w:gridSpan w:val="2"/>
            <w:tcBorders>
              <w:top w:val="single" w:sz="4" w:space="0" w:color="auto"/>
              <w:bottom w:val="single" w:sz="4" w:space="0" w:color="auto"/>
            </w:tcBorders>
            <w:vAlign w:val="center"/>
          </w:tcPr>
          <w:p w:rsidR="00645B6F" w:rsidRPr="00D47427" w:rsidRDefault="00645B6F" w:rsidP="00D809BD">
            <w:pPr>
              <w:pStyle w:val="StyleTCTableBodyBold"/>
              <w:rPr>
                <w:lang w:val="en-US"/>
              </w:rPr>
            </w:pPr>
            <w:r w:rsidRPr="00D47427">
              <w:rPr>
                <w:lang w:val="en-US"/>
              </w:rPr>
              <w:t>1.90 V</w:t>
            </w:r>
          </w:p>
        </w:tc>
        <w:tc>
          <w:tcPr>
            <w:tcW w:w="1002" w:type="dxa"/>
            <w:tcBorders>
              <w:top w:val="single" w:sz="4" w:space="0" w:color="auto"/>
              <w:bottom w:val="single" w:sz="4" w:space="0" w:color="auto"/>
            </w:tcBorders>
            <w:vAlign w:val="center"/>
          </w:tcPr>
          <w:p w:rsidR="00645B6F" w:rsidRPr="00D47427" w:rsidRDefault="00645B6F" w:rsidP="00D809BD">
            <w:pPr>
              <w:pStyle w:val="StyleTCTableBodyBold"/>
              <w:rPr>
                <w:lang w:val="en-US"/>
              </w:rPr>
            </w:pPr>
            <w:r w:rsidRPr="00D47427">
              <w:rPr>
                <w:lang w:val="en-US"/>
              </w:rPr>
              <w:t>3.6 V</w:t>
            </w:r>
          </w:p>
        </w:tc>
        <w:tc>
          <w:tcPr>
            <w:tcW w:w="2505" w:type="dxa"/>
            <w:tcBorders>
              <w:top w:val="single" w:sz="4" w:space="0" w:color="auto"/>
              <w:bottom w:val="single" w:sz="4" w:space="0" w:color="auto"/>
            </w:tcBorders>
          </w:tcPr>
          <w:p w:rsidR="00645B6F" w:rsidRPr="00D47427" w:rsidRDefault="00645B6F" w:rsidP="00D809BD">
            <w:pPr>
              <w:pStyle w:val="StyleTCTableBodyBold"/>
              <w:rPr>
                <w:lang w:val="en-US"/>
              </w:rPr>
            </w:pPr>
            <w:r w:rsidRPr="00D47427">
              <w:rPr>
                <w:lang w:val="en-US"/>
              </w:rPr>
              <w:t xml:space="preserve">Vibration </w:t>
            </w:r>
          </w:p>
        </w:tc>
        <w:tc>
          <w:tcPr>
            <w:tcW w:w="1127" w:type="dxa"/>
            <w:tcBorders>
              <w:top w:val="single" w:sz="4" w:space="0" w:color="auto"/>
              <w:bottom w:val="single" w:sz="4" w:space="0" w:color="auto"/>
            </w:tcBorders>
          </w:tcPr>
          <w:p w:rsidR="00645B6F" w:rsidRPr="00D47427" w:rsidRDefault="00645B6F" w:rsidP="00D809BD">
            <w:pPr>
              <w:pStyle w:val="StyleTCTableBodyBold"/>
              <w:rPr>
                <w:lang w:val="en-US"/>
              </w:rPr>
            </w:pPr>
            <w:r w:rsidRPr="00D47427">
              <w:rPr>
                <w:lang w:val="en-US"/>
              </w:rPr>
              <w:t>Species</w:t>
            </w:r>
          </w:p>
        </w:tc>
      </w:tr>
      <w:tr w:rsidR="00645B6F" w:rsidRPr="00D47427" w:rsidTr="00D809BD">
        <w:trPr>
          <w:trHeight w:val="238"/>
          <w:jc w:val="center"/>
        </w:trPr>
        <w:tc>
          <w:tcPr>
            <w:tcW w:w="1503" w:type="dxa"/>
            <w:tcBorders>
              <w:top w:val="single" w:sz="4" w:space="0" w:color="auto"/>
            </w:tcBorders>
          </w:tcPr>
          <w:p w:rsidR="00645B6F" w:rsidRPr="00D47427" w:rsidRDefault="00645B6F" w:rsidP="00D809BD">
            <w:pPr>
              <w:pStyle w:val="TCTableBody"/>
              <w:rPr>
                <w:lang w:val="en-US"/>
              </w:rPr>
            </w:pPr>
          </w:p>
        </w:tc>
        <w:tc>
          <w:tcPr>
            <w:tcW w:w="1274" w:type="dxa"/>
            <w:tcBorders>
              <w:top w:val="single" w:sz="4" w:space="0" w:color="auto"/>
            </w:tcBorders>
          </w:tcPr>
          <w:p w:rsidR="00645B6F" w:rsidRPr="00D47427" w:rsidRDefault="00645B6F" w:rsidP="00D809BD">
            <w:pPr>
              <w:pStyle w:val="TCTableBody"/>
              <w:rPr>
                <w:lang w:val="en-US"/>
              </w:rPr>
            </w:pPr>
          </w:p>
        </w:tc>
        <w:tc>
          <w:tcPr>
            <w:tcW w:w="1107" w:type="dxa"/>
            <w:gridSpan w:val="2"/>
            <w:tcBorders>
              <w:top w:val="single" w:sz="4" w:space="0" w:color="auto"/>
            </w:tcBorders>
          </w:tcPr>
          <w:p w:rsidR="00645B6F" w:rsidRPr="00D47427" w:rsidRDefault="00645B6F" w:rsidP="00D809BD">
            <w:pPr>
              <w:pStyle w:val="TCTableBody"/>
              <w:rPr>
                <w:lang w:val="en-US"/>
              </w:rPr>
            </w:pPr>
          </w:p>
        </w:tc>
        <w:tc>
          <w:tcPr>
            <w:tcW w:w="1002" w:type="dxa"/>
            <w:tcBorders>
              <w:top w:val="single" w:sz="4" w:space="0" w:color="auto"/>
            </w:tcBorders>
          </w:tcPr>
          <w:p w:rsidR="00645B6F" w:rsidRPr="00D47427" w:rsidRDefault="00645B6F" w:rsidP="00D809BD">
            <w:pPr>
              <w:pStyle w:val="TCTableBody"/>
              <w:rPr>
                <w:lang w:val="en-US"/>
              </w:rPr>
            </w:pPr>
          </w:p>
        </w:tc>
        <w:tc>
          <w:tcPr>
            <w:tcW w:w="2505" w:type="dxa"/>
            <w:tcBorders>
              <w:top w:val="single" w:sz="4" w:space="0" w:color="auto"/>
            </w:tcBorders>
          </w:tcPr>
          <w:p w:rsidR="00645B6F" w:rsidRPr="00D47427" w:rsidRDefault="00645B6F" w:rsidP="00D809BD">
            <w:pPr>
              <w:pStyle w:val="TCTableBody"/>
              <w:rPr>
                <w:rFonts w:ascii="Symbol" w:hAnsi="Symbol"/>
                <w:lang w:val="en-US"/>
              </w:rPr>
            </w:pPr>
          </w:p>
        </w:tc>
        <w:tc>
          <w:tcPr>
            <w:tcW w:w="1127" w:type="dxa"/>
            <w:tcBorders>
              <w:top w:val="single" w:sz="4" w:space="0" w:color="auto"/>
            </w:tcBorders>
          </w:tcPr>
          <w:p w:rsidR="00645B6F" w:rsidRPr="00D47427" w:rsidRDefault="00645B6F" w:rsidP="00D809BD">
            <w:pPr>
              <w:pStyle w:val="TCTableBody"/>
              <w:rPr>
                <w:lang w:val="en-US"/>
              </w:rPr>
            </w:pPr>
          </w:p>
        </w:tc>
      </w:tr>
      <w:tr w:rsidR="00645B6F" w:rsidRPr="00D47427" w:rsidTr="00D809BD">
        <w:trPr>
          <w:trHeight w:val="257"/>
          <w:jc w:val="center"/>
        </w:trPr>
        <w:tc>
          <w:tcPr>
            <w:tcW w:w="1503" w:type="dxa"/>
            <w:vMerge w:val="restart"/>
          </w:tcPr>
          <w:p w:rsidR="00645B6F" w:rsidRPr="00D47427" w:rsidRDefault="00645B6F" w:rsidP="00D809BD">
            <w:pPr>
              <w:pStyle w:val="TCTableBody"/>
              <w:rPr>
                <w:lang w:val="en-US"/>
              </w:rPr>
            </w:pPr>
            <w:r w:rsidRPr="00D47427">
              <w:rPr>
                <w:lang w:val="en-US"/>
              </w:rPr>
              <w:t>PC-TEAClO</w:t>
            </w:r>
            <w:r w:rsidRPr="00D47427">
              <w:rPr>
                <w:vertAlign w:val="subscript"/>
                <w:lang w:val="en-US"/>
              </w:rPr>
              <w:t>4</w:t>
            </w:r>
            <w:r w:rsidRPr="00D47427">
              <w:rPr>
                <w:lang w:val="en-US"/>
              </w:rPr>
              <w:t xml:space="preserve"> / Argon</w:t>
            </w:r>
          </w:p>
        </w:tc>
        <w:tc>
          <w:tcPr>
            <w:tcW w:w="1274" w:type="dxa"/>
          </w:tcPr>
          <w:p w:rsidR="00645B6F" w:rsidRPr="00D47427" w:rsidRDefault="00645B6F" w:rsidP="00D809BD">
            <w:pPr>
              <w:pStyle w:val="TCTableBody"/>
              <w:rPr>
                <w:lang w:val="en-US"/>
              </w:rPr>
            </w:pPr>
            <w:r w:rsidRPr="00D47427">
              <w:rPr>
                <w:lang w:val="en-US"/>
              </w:rPr>
              <w:t>1801</w:t>
            </w:r>
          </w:p>
        </w:tc>
        <w:tc>
          <w:tcPr>
            <w:tcW w:w="1107" w:type="dxa"/>
            <w:gridSpan w:val="2"/>
          </w:tcPr>
          <w:p w:rsidR="00645B6F" w:rsidRPr="00D47427" w:rsidRDefault="00645B6F" w:rsidP="00D809BD">
            <w:pPr>
              <w:pStyle w:val="TCTableBody"/>
              <w:rPr>
                <w:lang w:val="en-US"/>
              </w:rPr>
            </w:pPr>
            <w:r w:rsidRPr="00D47427">
              <w:rPr>
                <w:lang w:val="en-US"/>
              </w:rPr>
              <w:t>1817</w:t>
            </w:r>
          </w:p>
        </w:tc>
        <w:tc>
          <w:tcPr>
            <w:tcW w:w="1002" w:type="dxa"/>
          </w:tcPr>
          <w:p w:rsidR="00645B6F" w:rsidRPr="00D47427" w:rsidRDefault="00645B6F" w:rsidP="00D809BD">
            <w:pPr>
              <w:pStyle w:val="TCTableBody"/>
              <w:rPr>
                <w:lang w:val="en-US"/>
              </w:rPr>
            </w:pPr>
            <w:r w:rsidRPr="00D47427">
              <w:rPr>
                <w:lang w:val="en-US"/>
              </w:rPr>
              <w:t>1815</w:t>
            </w:r>
          </w:p>
        </w:tc>
        <w:tc>
          <w:tcPr>
            <w:tcW w:w="2505" w:type="dxa"/>
          </w:tcPr>
          <w:p w:rsidR="00645B6F" w:rsidRPr="00D47427" w:rsidRDefault="00645B6F" w:rsidP="00D809BD">
            <w:pPr>
              <w:pStyle w:val="TCTableBody"/>
              <w:rPr>
                <w:lang w:val="en-US"/>
              </w:rPr>
            </w:pPr>
            <w:r w:rsidRPr="00D47427">
              <w:rPr>
                <w:rFonts w:ascii="Symbol" w:hAnsi="Symbol"/>
                <w:lang w:val="en-US"/>
              </w:rPr>
              <w:t></w:t>
            </w:r>
            <w:r w:rsidRPr="00D47427">
              <w:rPr>
                <w:rFonts w:ascii="Symbol" w:hAnsi="Symbol"/>
                <w:lang w:val="en-US"/>
              </w:rPr>
              <w:t></w:t>
            </w:r>
            <w:r w:rsidRPr="00D47427">
              <w:rPr>
                <w:lang w:val="en-US"/>
              </w:rPr>
              <w:t>C</w:t>
            </w:r>
            <w:r w:rsidRPr="00D47427">
              <w:rPr>
                <w:rFonts w:ascii="Times New Roman" w:hAnsi="Times New Roman" w:cs="Times New Roman"/>
                <w:lang w:val="en-US"/>
              </w:rPr>
              <w:t>═</w:t>
            </w:r>
            <w:r w:rsidRPr="00D47427">
              <w:rPr>
                <w:lang w:val="en-US"/>
              </w:rPr>
              <w:t>O)</w:t>
            </w:r>
          </w:p>
        </w:tc>
        <w:tc>
          <w:tcPr>
            <w:tcW w:w="1127" w:type="dxa"/>
          </w:tcPr>
          <w:p w:rsidR="00645B6F" w:rsidRPr="00D47427" w:rsidRDefault="00645B6F" w:rsidP="00D809BD">
            <w:pPr>
              <w:pStyle w:val="TCTableBody"/>
              <w:rPr>
                <w:lang w:val="en-US"/>
              </w:rPr>
            </w:pPr>
            <w:r w:rsidRPr="00D47427">
              <w:rPr>
                <w:lang w:val="en-US"/>
              </w:rPr>
              <w:t>PC</w:t>
            </w:r>
          </w:p>
        </w:tc>
      </w:tr>
      <w:tr w:rsidR="00645B6F" w:rsidRPr="00D47427" w:rsidTr="00D809BD">
        <w:trPr>
          <w:trHeight w:val="123"/>
          <w:jc w:val="center"/>
        </w:trPr>
        <w:tc>
          <w:tcPr>
            <w:tcW w:w="1503" w:type="dxa"/>
            <w:vMerge/>
          </w:tcPr>
          <w:p w:rsidR="00645B6F" w:rsidRPr="00D47427" w:rsidRDefault="00645B6F" w:rsidP="00D809BD">
            <w:pPr>
              <w:pStyle w:val="TCTableBody"/>
              <w:rPr>
                <w:lang w:val="en-US"/>
              </w:rPr>
            </w:pPr>
          </w:p>
        </w:tc>
        <w:tc>
          <w:tcPr>
            <w:tcW w:w="1274" w:type="dxa"/>
          </w:tcPr>
          <w:p w:rsidR="00645B6F" w:rsidRPr="00D47427" w:rsidRDefault="00645B6F" w:rsidP="00D809BD">
            <w:pPr>
              <w:pStyle w:val="TCTableBody"/>
              <w:rPr>
                <w:lang w:val="en-US"/>
              </w:rPr>
            </w:pPr>
          </w:p>
        </w:tc>
        <w:tc>
          <w:tcPr>
            <w:tcW w:w="1107" w:type="dxa"/>
            <w:gridSpan w:val="2"/>
          </w:tcPr>
          <w:p w:rsidR="00645B6F" w:rsidRPr="00D47427" w:rsidRDefault="00645B6F" w:rsidP="00D809BD">
            <w:pPr>
              <w:pStyle w:val="TCTableBody"/>
              <w:rPr>
                <w:lang w:val="en-US"/>
              </w:rPr>
            </w:pPr>
            <w:r w:rsidRPr="00D47427">
              <w:rPr>
                <w:lang w:val="en-US"/>
              </w:rPr>
              <w:t>1482</w:t>
            </w:r>
          </w:p>
        </w:tc>
        <w:tc>
          <w:tcPr>
            <w:tcW w:w="1002" w:type="dxa"/>
          </w:tcPr>
          <w:p w:rsidR="00645B6F" w:rsidRPr="00D47427" w:rsidRDefault="00645B6F" w:rsidP="00D809BD">
            <w:pPr>
              <w:pStyle w:val="TCTableBody"/>
              <w:rPr>
                <w:lang w:val="en-US"/>
              </w:rPr>
            </w:pPr>
            <w:r w:rsidRPr="00D47427">
              <w:rPr>
                <w:lang w:val="en-US"/>
              </w:rPr>
              <w:t>1482</w:t>
            </w:r>
          </w:p>
        </w:tc>
        <w:tc>
          <w:tcPr>
            <w:tcW w:w="2505" w:type="dxa"/>
          </w:tcPr>
          <w:p w:rsidR="00645B6F" w:rsidRPr="00D47427" w:rsidRDefault="00645B6F" w:rsidP="00D809BD">
            <w:pPr>
              <w:pStyle w:val="TCTableBody"/>
              <w:rPr>
                <w:rFonts w:ascii="Symbol" w:hAnsi="Symbol"/>
                <w:lang w:val="en-US"/>
              </w:rPr>
            </w:pPr>
            <w:r w:rsidRPr="00D47427">
              <w:rPr>
                <w:rFonts w:ascii="Symbol" w:hAnsi="Symbol"/>
                <w:lang w:val="en-US"/>
              </w:rPr>
              <w:t></w:t>
            </w:r>
            <w:r w:rsidRPr="00D47427">
              <w:rPr>
                <w:rFonts w:ascii="Symbol" w:hAnsi="Symbol"/>
                <w:lang w:val="en-US"/>
              </w:rPr>
              <w:t></w:t>
            </w:r>
            <w:r w:rsidRPr="00D47427">
              <w:rPr>
                <w:lang w:val="en-US"/>
              </w:rPr>
              <w:t>CH</w:t>
            </w:r>
            <w:r w:rsidRPr="00D47427">
              <w:rPr>
                <w:vertAlign w:val="subscript"/>
                <w:lang w:val="en-US"/>
              </w:rPr>
              <w:t>2</w:t>
            </w:r>
            <w:r w:rsidRPr="00D47427">
              <w:rPr>
                <w:lang w:val="en-US"/>
              </w:rPr>
              <w:t xml:space="preserve">) + </w:t>
            </w:r>
            <w:r w:rsidRPr="00D47427">
              <w:rPr>
                <w:rFonts w:ascii="Symbol" w:hAnsi="Symbol"/>
                <w:lang w:val="en-US"/>
              </w:rPr>
              <w:t></w:t>
            </w:r>
            <w:r w:rsidRPr="00D47427">
              <w:rPr>
                <w:rFonts w:ascii="Symbol" w:hAnsi="Symbol"/>
                <w:lang w:val="en-US"/>
              </w:rPr>
              <w:t></w:t>
            </w:r>
            <w:r w:rsidRPr="00D47427">
              <w:rPr>
                <w:lang w:val="en-US"/>
              </w:rPr>
              <w:t>C</w:t>
            </w:r>
            <w:r w:rsidRPr="00D47427">
              <w:rPr>
                <w:rFonts w:ascii="Symbol" w:hAnsi="Symbol"/>
                <w:lang w:val="en-US"/>
              </w:rPr>
              <w:t></w:t>
            </w:r>
            <w:r w:rsidRPr="00D47427">
              <w:rPr>
                <w:rFonts w:ascii="Symbol" w:hAnsi="Symbol"/>
                <w:vertAlign w:val="subscript"/>
                <w:lang w:val="en-US"/>
              </w:rPr>
              <w:t></w:t>
            </w:r>
            <w:r w:rsidRPr="00D47427">
              <w:rPr>
                <w:rFonts w:ascii="Symbol" w:hAnsi="Symbol"/>
                <w:lang w:val="en-US"/>
              </w:rPr>
              <w:t></w:t>
            </w:r>
          </w:p>
        </w:tc>
        <w:tc>
          <w:tcPr>
            <w:tcW w:w="1127" w:type="dxa"/>
          </w:tcPr>
          <w:p w:rsidR="00645B6F" w:rsidRPr="00D47427" w:rsidRDefault="00645B6F" w:rsidP="00D809BD">
            <w:pPr>
              <w:pStyle w:val="TCTableBody"/>
              <w:rPr>
                <w:lang w:val="en-US"/>
              </w:rPr>
            </w:pPr>
            <w:r w:rsidRPr="00D47427">
              <w:rPr>
                <w:lang w:val="en-US"/>
              </w:rPr>
              <w:t>PC, TEA</w:t>
            </w:r>
          </w:p>
        </w:tc>
      </w:tr>
      <w:tr w:rsidR="00645B6F" w:rsidRPr="00D47427" w:rsidTr="00D809BD">
        <w:trPr>
          <w:trHeight w:val="123"/>
          <w:jc w:val="center"/>
        </w:trPr>
        <w:tc>
          <w:tcPr>
            <w:tcW w:w="1503" w:type="dxa"/>
            <w:vMerge/>
          </w:tcPr>
          <w:p w:rsidR="00645B6F" w:rsidRPr="00D47427" w:rsidRDefault="00645B6F" w:rsidP="00D809BD">
            <w:pPr>
              <w:pStyle w:val="TCTableBody"/>
              <w:rPr>
                <w:lang w:val="en-US"/>
              </w:rPr>
            </w:pPr>
          </w:p>
        </w:tc>
        <w:tc>
          <w:tcPr>
            <w:tcW w:w="1274" w:type="dxa"/>
          </w:tcPr>
          <w:p w:rsidR="00645B6F" w:rsidRPr="00D47427" w:rsidRDefault="00645B6F" w:rsidP="00D809BD">
            <w:pPr>
              <w:pStyle w:val="TCTableBody"/>
              <w:rPr>
                <w:lang w:val="en-US"/>
              </w:rPr>
            </w:pPr>
          </w:p>
        </w:tc>
        <w:tc>
          <w:tcPr>
            <w:tcW w:w="1107" w:type="dxa"/>
            <w:gridSpan w:val="2"/>
          </w:tcPr>
          <w:p w:rsidR="00645B6F" w:rsidRPr="00D47427" w:rsidRDefault="00645B6F" w:rsidP="00D809BD">
            <w:pPr>
              <w:pStyle w:val="TCTableBody"/>
              <w:rPr>
                <w:lang w:val="en-US"/>
              </w:rPr>
            </w:pPr>
            <w:r w:rsidRPr="00D47427">
              <w:rPr>
                <w:lang w:val="en-US"/>
              </w:rPr>
              <w:t>1391, 1355</w:t>
            </w:r>
          </w:p>
        </w:tc>
        <w:tc>
          <w:tcPr>
            <w:tcW w:w="1002" w:type="dxa"/>
          </w:tcPr>
          <w:p w:rsidR="00645B6F" w:rsidRPr="00D47427" w:rsidRDefault="00645B6F" w:rsidP="00D809BD">
            <w:pPr>
              <w:pStyle w:val="TCTableBody"/>
              <w:rPr>
                <w:lang w:val="en-US"/>
              </w:rPr>
            </w:pPr>
            <w:r w:rsidRPr="00D47427">
              <w:rPr>
                <w:lang w:val="en-US"/>
              </w:rPr>
              <w:t>1398, 1355</w:t>
            </w:r>
          </w:p>
        </w:tc>
        <w:tc>
          <w:tcPr>
            <w:tcW w:w="2505" w:type="dxa"/>
          </w:tcPr>
          <w:p w:rsidR="00645B6F" w:rsidRPr="00D47427" w:rsidRDefault="00645B6F" w:rsidP="008C69AB">
            <w:pPr>
              <w:pStyle w:val="TCTableBody"/>
              <w:rPr>
                <w:rFonts w:ascii="Symbol" w:hAnsi="Symbol"/>
                <w:lang w:val="en-US"/>
              </w:rPr>
            </w:pPr>
            <w:r w:rsidRPr="00D47427">
              <w:rPr>
                <w:rFonts w:ascii="Symbol" w:hAnsi="Symbol"/>
                <w:lang w:val="en-US"/>
              </w:rPr>
              <w:t></w:t>
            </w:r>
            <w:r w:rsidRPr="00D47427">
              <w:rPr>
                <w:rFonts w:ascii="Symbol" w:hAnsi="Symbol"/>
                <w:lang w:val="en-US"/>
              </w:rPr>
              <w:t></w:t>
            </w:r>
            <w:r w:rsidRPr="00D47427">
              <w:rPr>
                <w:lang w:val="en-US"/>
              </w:rPr>
              <w:t>C</w:t>
            </w:r>
            <w:r w:rsidRPr="00D47427">
              <w:rPr>
                <w:rFonts w:ascii="Symbol" w:hAnsi="Symbol"/>
                <w:lang w:val="en-US"/>
              </w:rPr>
              <w:t></w:t>
            </w:r>
            <w:r w:rsidRPr="00D47427">
              <w:rPr>
                <w:rFonts w:ascii="Symbol" w:hAnsi="Symbol"/>
                <w:vertAlign w:val="subscript"/>
                <w:lang w:val="en-US"/>
              </w:rPr>
              <w:t></w:t>
            </w:r>
            <w:r w:rsidRPr="00D47427">
              <w:rPr>
                <w:rFonts w:ascii="Symbol" w:hAnsi="Symbol"/>
                <w:lang w:val="en-US"/>
              </w:rPr>
              <w:t></w:t>
            </w:r>
            <w:r w:rsidR="008000F5">
              <w:rPr>
                <w:rFonts w:ascii="Symbol" w:hAnsi="Symbol"/>
                <w:lang w:val="en-US"/>
              </w:rPr>
              <w:t></w:t>
            </w:r>
            <w:r w:rsidR="008C69AB">
              <w:rPr>
                <w:rFonts w:ascii="Symbol" w:hAnsi="Symbol"/>
                <w:lang w:val="en-US"/>
              </w:rPr>
              <w:t></w:t>
            </w:r>
            <w:r w:rsidR="008C69AB" w:rsidRPr="008C69AB">
              <w:rPr>
                <w:vertAlign w:val="subscript"/>
                <w:lang w:val="en-US"/>
              </w:rPr>
              <w:t>ring</w:t>
            </w:r>
            <w:r w:rsidR="00BE671E">
              <w:rPr>
                <w:vertAlign w:val="subscript"/>
                <w:lang w:val="en-US"/>
              </w:rPr>
              <w:t>,</w:t>
            </w:r>
            <w:r w:rsidR="008C69AB" w:rsidRPr="00D47427">
              <w:rPr>
                <w:rFonts w:ascii="Symbol" w:hAnsi="Symbol"/>
                <w:lang w:val="en-US"/>
              </w:rPr>
              <w:t></w:t>
            </w:r>
            <w:r w:rsidR="008000F5" w:rsidRPr="00D47427">
              <w:rPr>
                <w:rFonts w:ascii="Symbol" w:hAnsi="Symbol"/>
                <w:lang w:val="en-US"/>
              </w:rPr>
              <w:t></w:t>
            </w:r>
            <w:r w:rsidR="008000F5" w:rsidRPr="00D47427">
              <w:rPr>
                <w:rFonts w:ascii="Symbol" w:hAnsi="Symbol"/>
                <w:lang w:val="en-US"/>
              </w:rPr>
              <w:t></w:t>
            </w:r>
            <w:r w:rsidR="008000F5" w:rsidRPr="00D47427">
              <w:rPr>
                <w:lang w:val="en-US"/>
              </w:rPr>
              <w:t>CH</w:t>
            </w:r>
            <w:r w:rsidR="008000F5" w:rsidRPr="00D47427">
              <w:rPr>
                <w:vertAlign w:val="subscript"/>
                <w:lang w:val="en-US"/>
              </w:rPr>
              <w:t>2</w:t>
            </w:r>
            <w:r w:rsidR="008000F5" w:rsidRPr="00D47427">
              <w:rPr>
                <w:lang w:val="en-US"/>
              </w:rPr>
              <w:t>)</w:t>
            </w:r>
            <w:r w:rsidR="008000F5">
              <w:rPr>
                <w:lang w:val="en-US"/>
              </w:rPr>
              <w:t xml:space="preserve">, </w:t>
            </w:r>
            <w:r w:rsidR="00901B34" w:rsidRPr="00D47427">
              <w:rPr>
                <w:rFonts w:ascii="Symbol" w:hAnsi="Symbol"/>
                <w:lang w:val="en-US"/>
              </w:rPr>
              <w:t></w:t>
            </w:r>
            <w:r w:rsidR="00901B34" w:rsidRPr="00D47427">
              <w:rPr>
                <w:rFonts w:ascii="Symbol" w:hAnsi="Symbol"/>
                <w:lang w:val="en-US"/>
              </w:rPr>
              <w:t></w:t>
            </w:r>
            <w:r w:rsidR="00901B34" w:rsidRPr="00D47427">
              <w:rPr>
                <w:rFonts w:ascii="Symbol" w:hAnsi="Symbol"/>
                <w:lang w:val="en-US"/>
              </w:rPr>
              <w:t></w:t>
            </w:r>
            <w:r w:rsidR="00901B34" w:rsidRPr="00D47427">
              <w:rPr>
                <w:lang w:val="en-US"/>
              </w:rPr>
              <w:t>−CH</w:t>
            </w:r>
            <w:r w:rsidR="00901B34" w:rsidRPr="00D47427">
              <w:rPr>
                <w:vertAlign w:val="subscript"/>
                <w:lang w:val="en-US"/>
              </w:rPr>
              <w:t>2</w:t>
            </w:r>
            <w:r w:rsidR="00901B34" w:rsidRPr="00D47427">
              <w:rPr>
                <w:lang w:val="en-US"/>
              </w:rPr>
              <w:t>)</w:t>
            </w:r>
          </w:p>
        </w:tc>
        <w:tc>
          <w:tcPr>
            <w:tcW w:w="1127" w:type="dxa"/>
          </w:tcPr>
          <w:p w:rsidR="00645B6F" w:rsidRPr="00D47427" w:rsidRDefault="00645B6F" w:rsidP="00D809BD">
            <w:pPr>
              <w:pStyle w:val="TCTableBody"/>
              <w:rPr>
                <w:lang w:val="en-US"/>
              </w:rPr>
            </w:pPr>
            <w:r w:rsidRPr="00D47427">
              <w:rPr>
                <w:lang w:val="en-US"/>
              </w:rPr>
              <w:t>PC, TEA</w:t>
            </w:r>
          </w:p>
        </w:tc>
      </w:tr>
      <w:tr w:rsidR="00645B6F" w:rsidRPr="00D47427" w:rsidTr="00D809BD">
        <w:trPr>
          <w:trHeight w:val="123"/>
          <w:jc w:val="center"/>
        </w:trPr>
        <w:tc>
          <w:tcPr>
            <w:tcW w:w="1503" w:type="dxa"/>
            <w:vMerge/>
          </w:tcPr>
          <w:p w:rsidR="00645B6F" w:rsidRPr="00D47427" w:rsidRDefault="00645B6F" w:rsidP="00D809BD">
            <w:pPr>
              <w:pStyle w:val="TCTableBody"/>
              <w:rPr>
                <w:lang w:val="en-US"/>
              </w:rPr>
            </w:pPr>
          </w:p>
        </w:tc>
        <w:tc>
          <w:tcPr>
            <w:tcW w:w="1274" w:type="dxa"/>
          </w:tcPr>
          <w:p w:rsidR="00645B6F" w:rsidRPr="00D47427" w:rsidRDefault="00645B6F" w:rsidP="00D809BD">
            <w:pPr>
              <w:pStyle w:val="TCTableBody"/>
              <w:rPr>
                <w:lang w:val="en-US"/>
              </w:rPr>
            </w:pPr>
          </w:p>
        </w:tc>
        <w:tc>
          <w:tcPr>
            <w:tcW w:w="1107" w:type="dxa"/>
            <w:gridSpan w:val="2"/>
          </w:tcPr>
          <w:p w:rsidR="00645B6F" w:rsidRPr="00D47427" w:rsidRDefault="00645B6F" w:rsidP="00D809BD">
            <w:pPr>
              <w:pStyle w:val="TCTableBody"/>
              <w:rPr>
                <w:lang w:val="en-US"/>
              </w:rPr>
            </w:pPr>
            <w:r w:rsidRPr="00D47427">
              <w:rPr>
                <w:lang w:val="en-US"/>
              </w:rPr>
              <w:t>1190, 1122</w:t>
            </w:r>
          </w:p>
        </w:tc>
        <w:tc>
          <w:tcPr>
            <w:tcW w:w="1002" w:type="dxa"/>
          </w:tcPr>
          <w:p w:rsidR="00645B6F" w:rsidRPr="00D47427" w:rsidRDefault="00645B6F" w:rsidP="00D809BD">
            <w:pPr>
              <w:pStyle w:val="TCTableBody"/>
              <w:rPr>
                <w:lang w:val="en-US"/>
              </w:rPr>
            </w:pPr>
            <w:r w:rsidRPr="00D47427">
              <w:rPr>
                <w:lang w:val="en-US"/>
              </w:rPr>
              <w:t>1190, 1122</w:t>
            </w:r>
          </w:p>
        </w:tc>
        <w:tc>
          <w:tcPr>
            <w:tcW w:w="2505" w:type="dxa"/>
          </w:tcPr>
          <w:p w:rsidR="00645B6F" w:rsidRPr="00D47427" w:rsidRDefault="00645B6F" w:rsidP="007E65D1">
            <w:pPr>
              <w:pStyle w:val="TCTableBody"/>
              <w:rPr>
                <w:lang w:val="en-US"/>
              </w:rPr>
            </w:pPr>
            <w:r w:rsidRPr="00D47427">
              <w:rPr>
                <w:rFonts w:ascii="Symbol" w:hAnsi="Symbol"/>
                <w:lang w:val="en-US"/>
              </w:rPr>
              <w:t></w:t>
            </w:r>
            <w:r w:rsidRPr="00D47427">
              <w:rPr>
                <w:vertAlign w:val="subscript"/>
                <w:lang w:val="en-US"/>
              </w:rPr>
              <w:t>s</w:t>
            </w:r>
            <w:r w:rsidRPr="00D47427">
              <w:rPr>
                <w:lang w:val="en-US"/>
              </w:rPr>
              <w:t>(</w:t>
            </w:r>
            <w:r w:rsidR="00B14C90">
              <w:rPr>
                <w:lang w:val="en-US"/>
              </w:rPr>
              <w:t>C</w:t>
            </w:r>
            <w:r w:rsidRPr="00D47427">
              <w:rPr>
                <w:lang w:val="en-US"/>
              </w:rPr>
              <w:t>−</w:t>
            </w:r>
            <w:r w:rsidR="00B14C90">
              <w:rPr>
                <w:lang w:val="en-US"/>
              </w:rPr>
              <w:t>O</w:t>
            </w:r>
            <w:r w:rsidRPr="00D47427">
              <w:rPr>
                <w:lang w:val="en-US"/>
              </w:rPr>
              <w:t>−</w:t>
            </w:r>
            <w:r w:rsidR="00B14C90">
              <w:rPr>
                <w:lang w:val="en-US"/>
              </w:rPr>
              <w:t>C</w:t>
            </w:r>
            <w:r w:rsidRPr="00D47427">
              <w:rPr>
                <w:lang w:val="en-US"/>
              </w:rPr>
              <w:t>)+</w:t>
            </w:r>
            <w:r w:rsidRPr="00D47427">
              <w:rPr>
                <w:rFonts w:ascii="Symbol" w:hAnsi="Symbol"/>
                <w:lang w:val="en-US"/>
              </w:rPr>
              <w:t></w:t>
            </w:r>
            <w:r w:rsidRPr="00D47427">
              <w:rPr>
                <w:rFonts w:ascii="Symbol" w:hAnsi="Symbol"/>
                <w:lang w:val="en-US"/>
              </w:rPr>
              <w:t></w:t>
            </w:r>
            <w:r w:rsidR="008000F5">
              <w:rPr>
                <w:vertAlign w:val="subscript"/>
                <w:lang w:val="en-US"/>
              </w:rPr>
              <w:t>as</w:t>
            </w:r>
            <w:r w:rsidRPr="00D47427">
              <w:rPr>
                <w:lang w:val="en-US"/>
              </w:rPr>
              <w:t>(O−C−O)</w:t>
            </w:r>
            <w:r w:rsidR="00B14C90">
              <w:rPr>
                <w:lang w:val="en-US"/>
              </w:rPr>
              <w:t xml:space="preserve">, </w:t>
            </w:r>
            <w:r w:rsidR="007E65D1" w:rsidRPr="00D47427">
              <w:rPr>
                <w:rFonts w:ascii="Symbol" w:hAnsi="Symbol"/>
                <w:lang w:val="en-US"/>
              </w:rPr>
              <w:t></w:t>
            </w:r>
            <w:r w:rsidR="007E65D1" w:rsidRPr="00D47427">
              <w:rPr>
                <w:vertAlign w:val="subscript"/>
                <w:lang w:val="en-US"/>
              </w:rPr>
              <w:t>s</w:t>
            </w:r>
            <w:r w:rsidR="007E65D1" w:rsidRPr="00D47427">
              <w:rPr>
                <w:lang w:val="en-US"/>
              </w:rPr>
              <w:t>(</w:t>
            </w:r>
            <w:r w:rsidR="007E65D1">
              <w:rPr>
                <w:lang w:val="en-US"/>
              </w:rPr>
              <w:t>CH</w:t>
            </w:r>
            <w:r w:rsidR="007E65D1" w:rsidRPr="00B14C90">
              <w:rPr>
                <w:vertAlign w:val="subscript"/>
                <w:lang w:val="en-US"/>
              </w:rPr>
              <w:t>2</w:t>
            </w:r>
            <w:r w:rsidR="007E65D1" w:rsidRPr="00D47427">
              <w:rPr>
                <w:lang w:val="en-US"/>
              </w:rPr>
              <w:t>−C</w:t>
            </w:r>
            <w:r w:rsidR="007E65D1">
              <w:rPr>
                <w:lang w:val="en-US"/>
              </w:rPr>
              <w:t>H</w:t>
            </w:r>
            <w:r w:rsidR="007E65D1" w:rsidRPr="00D47427">
              <w:rPr>
                <w:lang w:val="en-US"/>
              </w:rPr>
              <w:t>−</w:t>
            </w:r>
            <w:r w:rsidR="007E65D1">
              <w:rPr>
                <w:lang w:val="en-US"/>
              </w:rPr>
              <w:t>CH</w:t>
            </w:r>
            <w:r w:rsidR="007E65D1" w:rsidRPr="00B14C90">
              <w:rPr>
                <w:vertAlign w:val="subscript"/>
                <w:lang w:val="en-US"/>
              </w:rPr>
              <w:t>3</w:t>
            </w:r>
            <w:r w:rsidR="007E65D1" w:rsidRPr="00D47427">
              <w:rPr>
                <w:lang w:val="en-US"/>
              </w:rPr>
              <w:t>)</w:t>
            </w:r>
          </w:p>
        </w:tc>
        <w:tc>
          <w:tcPr>
            <w:tcW w:w="1127" w:type="dxa"/>
          </w:tcPr>
          <w:p w:rsidR="00645B6F" w:rsidRPr="00D47427" w:rsidRDefault="00645B6F" w:rsidP="00D809BD">
            <w:pPr>
              <w:pStyle w:val="TCTableBody"/>
              <w:rPr>
                <w:lang w:val="en-US"/>
              </w:rPr>
            </w:pPr>
            <w:r w:rsidRPr="00D47427">
              <w:rPr>
                <w:lang w:val="en-US"/>
              </w:rPr>
              <w:t>PC</w:t>
            </w:r>
          </w:p>
        </w:tc>
      </w:tr>
      <w:tr w:rsidR="00645B6F" w:rsidRPr="00D47427" w:rsidTr="00D809BD">
        <w:trPr>
          <w:trHeight w:val="123"/>
          <w:jc w:val="center"/>
        </w:trPr>
        <w:tc>
          <w:tcPr>
            <w:tcW w:w="1503" w:type="dxa"/>
            <w:vMerge/>
            <w:tcBorders>
              <w:bottom w:val="single" w:sz="4" w:space="0" w:color="auto"/>
            </w:tcBorders>
          </w:tcPr>
          <w:p w:rsidR="00645B6F" w:rsidRPr="00D47427" w:rsidRDefault="00645B6F" w:rsidP="00D809BD">
            <w:pPr>
              <w:pStyle w:val="TCTableBody"/>
              <w:rPr>
                <w:lang w:val="en-US"/>
              </w:rPr>
            </w:pPr>
          </w:p>
        </w:tc>
        <w:tc>
          <w:tcPr>
            <w:tcW w:w="1274" w:type="dxa"/>
            <w:tcBorders>
              <w:bottom w:val="single" w:sz="4" w:space="0" w:color="auto"/>
            </w:tcBorders>
          </w:tcPr>
          <w:p w:rsidR="00645B6F" w:rsidRPr="00D47427" w:rsidRDefault="00645B6F" w:rsidP="00D809BD">
            <w:pPr>
              <w:pStyle w:val="TCTableBody"/>
              <w:rPr>
                <w:lang w:val="en-US"/>
              </w:rPr>
            </w:pPr>
            <w:r w:rsidRPr="00D47427">
              <w:rPr>
                <w:lang w:val="en-US"/>
              </w:rPr>
              <w:t>1051</w:t>
            </w:r>
          </w:p>
        </w:tc>
        <w:tc>
          <w:tcPr>
            <w:tcW w:w="1107" w:type="dxa"/>
            <w:gridSpan w:val="2"/>
            <w:tcBorders>
              <w:bottom w:val="single" w:sz="4" w:space="0" w:color="auto"/>
            </w:tcBorders>
          </w:tcPr>
          <w:p w:rsidR="00645B6F" w:rsidRPr="00D47427" w:rsidRDefault="00645B6F" w:rsidP="00D809BD">
            <w:pPr>
              <w:pStyle w:val="TCTableBody"/>
              <w:rPr>
                <w:lang w:val="en-US"/>
              </w:rPr>
            </w:pPr>
            <w:r w:rsidRPr="00D47427">
              <w:rPr>
                <w:lang w:val="en-US"/>
              </w:rPr>
              <w:t>1057</w:t>
            </w:r>
          </w:p>
        </w:tc>
        <w:tc>
          <w:tcPr>
            <w:tcW w:w="1002" w:type="dxa"/>
            <w:tcBorders>
              <w:bottom w:val="single" w:sz="4" w:space="0" w:color="auto"/>
            </w:tcBorders>
          </w:tcPr>
          <w:p w:rsidR="00645B6F" w:rsidRPr="00D47427" w:rsidRDefault="00645B6F" w:rsidP="00D809BD">
            <w:pPr>
              <w:pStyle w:val="TCTableBody"/>
              <w:rPr>
                <w:lang w:val="en-US"/>
              </w:rPr>
            </w:pPr>
            <w:r w:rsidRPr="00D47427">
              <w:rPr>
                <w:lang w:val="en-US"/>
              </w:rPr>
              <w:t>1057</w:t>
            </w:r>
          </w:p>
        </w:tc>
        <w:tc>
          <w:tcPr>
            <w:tcW w:w="2505" w:type="dxa"/>
            <w:tcBorders>
              <w:bottom w:val="single" w:sz="4" w:space="0" w:color="auto"/>
            </w:tcBorders>
          </w:tcPr>
          <w:p w:rsidR="00645B6F" w:rsidRPr="00D47427" w:rsidRDefault="00645B6F" w:rsidP="008000F5">
            <w:pPr>
              <w:pStyle w:val="TCTableBody"/>
              <w:rPr>
                <w:rFonts w:ascii="Symbol" w:hAnsi="Symbol"/>
                <w:lang w:val="en-US"/>
              </w:rPr>
            </w:pPr>
            <w:r w:rsidRPr="00D47427">
              <w:rPr>
                <w:rFonts w:ascii="Symbol" w:hAnsi="Symbol"/>
                <w:lang w:val="en-US"/>
              </w:rPr>
              <w:t></w:t>
            </w:r>
            <w:r w:rsidRPr="00D47427">
              <w:rPr>
                <w:vertAlign w:val="subscript"/>
                <w:lang w:val="en-US"/>
              </w:rPr>
              <w:t>s</w:t>
            </w:r>
            <w:r w:rsidRPr="00D47427">
              <w:rPr>
                <w:lang w:val="en-US"/>
              </w:rPr>
              <w:t>(C−O)</w:t>
            </w:r>
            <w:r w:rsidR="008000F5">
              <w:rPr>
                <w:lang w:val="en-US"/>
              </w:rPr>
              <w:t xml:space="preserve">, </w:t>
            </w:r>
            <w:r w:rsidR="008000F5" w:rsidRPr="00D47427">
              <w:rPr>
                <w:rFonts w:ascii="Symbol" w:hAnsi="Symbol"/>
                <w:lang w:val="en-US"/>
              </w:rPr>
              <w:t></w:t>
            </w:r>
            <w:r w:rsidR="008000F5" w:rsidRPr="00D47427">
              <w:rPr>
                <w:vertAlign w:val="subscript"/>
                <w:lang w:val="en-US"/>
              </w:rPr>
              <w:t>s</w:t>
            </w:r>
            <w:r w:rsidR="008000F5" w:rsidRPr="00D47427">
              <w:rPr>
                <w:lang w:val="en-US"/>
              </w:rPr>
              <w:t>(C−</w:t>
            </w:r>
            <w:r w:rsidR="008000F5">
              <w:rPr>
                <w:lang w:val="en-US"/>
              </w:rPr>
              <w:t>CH</w:t>
            </w:r>
            <w:r w:rsidR="008000F5" w:rsidRPr="008000F5">
              <w:rPr>
                <w:vertAlign w:val="subscript"/>
                <w:lang w:val="en-US"/>
              </w:rPr>
              <w:t>3</w:t>
            </w:r>
            <w:r w:rsidR="008000F5" w:rsidRPr="00D47427">
              <w:rPr>
                <w:lang w:val="en-US"/>
              </w:rPr>
              <w:t>)</w:t>
            </w:r>
          </w:p>
        </w:tc>
        <w:tc>
          <w:tcPr>
            <w:tcW w:w="1127" w:type="dxa"/>
            <w:tcBorders>
              <w:bottom w:val="single" w:sz="4" w:space="0" w:color="auto"/>
            </w:tcBorders>
          </w:tcPr>
          <w:p w:rsidR="00645B6F" w:rsidRPr="00D47427" w:rsidRDefault="00645B6F" w:rsidP="00D809BD">
            <w:pPr>
              <w:pStyle w:val="TCTableBody"/>
              <w:rPr>
                <w:lang w:val="en-US"/>
              </w:rPr>
            </w:pPr>
            <w:r w:rsidRPr="00D47427">
              <w:rPr>
                <w:lang w:val="en-US"/>
              </w:rPr>
              <w:t>PC</w:t>
            </w:r>
          </w:p>
        </w:tc>
      </w:tr>
      <w:tr w:rsidR="00645B6F" w:rsidRPr="00D47427" w:rsidTr="00D809BD">
        <w:trPr>
          <w:trHeight w:val="81"/>
          <w:jc w:val="center"/>
        </w:trPr>
        <w:tc>
          <w:tcPr>
            <w:tcW w:w="1503" w:type="dxa"/>
            <w:tcBorders>
              <w:top w:val="single" w:sz="4" w:space="0" w:color="auto"/>
            </w:tcBorders>
          </w:tcPr>
          <w:p w:rsidR="00645B6F" w:rsidRPr="00D47427" w:rsidRDefault="00645B6F" w:rsidP="00D809BD">
            <w:pPr>
              <w:pStyle w:val="TCTableBody"/>
              <w:rPr>
                <w:lang w:val="en-US"/>
              </w:rPr>
            </w:pPr>
          </w:p>
        </w:tc>
        <w:tc>
          <w:tcPr>
            <w:tcW w:w="1274" w:type="dxa"/>
            <w:tcBorders>
              <w:top w:val="single" w:sz="4" w:space="0" w:color="auto"/>
            </w:tcBorders>
          </w:tcPr>
          <w:p w:rsidR="00645B6F" w:rsidRPr="00D47427" w:rsidRDefault="00645B6F" w:rsidP="00D809BD">
            <w:pPr>
              <w:pStyle w:val="TCTableBody"/>
              <w:rPr>
                <w:lang w:val="en-US"/>
              </w:rPr>
            </w:pPr>
          </w:p>
        </w:tc>
        <w:tc>
          <w:tcPr>
            <w:tcW w:w="1107" w:type="dxa"/>
            <w:gridSpan w:val="2"/>
            <w:tcBorders>
              <w:top w:val="single" w:sz="4" w:space="0" w:color="auto"/>
            </w:tcBorders>
          </w:tcPr>
          <w:p w:rsidR="00645B6F" w:rsidRPr="00D47427" w:rsidRDefault="00645B6F" w:rsidP="00D809BD">
            <w:pPr>
              <w:pStyle w:val="TCTableBody"/>
              <w:rPr>
                <w:lang w:val="en-US"/>
              </w:rPr>
            </w:pPr>
          </w:p>
        </w:tc>
        <w:tc>
          <w:tcPr>
            <w:tcW w:w="1002" w:type="dxa"/>
            <w:tcBorders>
              <w:top w:val="single" w:sz="4" w:space="0" w:color="auto"/>
            </w:tcBorders>
          </w:tcPr>
          <w:p w:rsidR="00645B6F" w:rsidRPr="00D47427" w:rsidRDefault="00645B6F" w:rsidP="00D809BD">
            <w:pPr>
              <w:pStyle w:val="TCTableBody"/>
              <w:rPr>
                <w:lang w:val="en-US"/>
              </w:rPr>
            </w:pPr>
          </w:p>
        </w:tc>
        <w:tc>
          <w:tcPr>
            <w:tcW w:w="2505" w:type="dxa"/>
            <w:tcBorders>
              <w:top w:val="single" w:sz="4" w:space="0" w:color="auto"/>
            </w:tcBorders>
          </w:tcPr>
          <w:p w:rsidR="00645B6F" w:rsidRPr="00D47427" w:rsidRDefault="00645B6F" w:rsidP="00D809BD">
            <w:pPr>
              <w:pStyle w:val="TCTableBody"/>
              <w:rPr>
                <w:rFonts w:ascii="Symbol" w:hAnsi="Symbol"/>
                <w:lang w:val="en-US"/>
              </w:rPr>
            </w:pPr>
          </w:p>
        </w:tc>
        <w:tc>
          <w:tcPr>
            <w:tcW w:w="1127" w:type="dxa"/>
            <w:tcBorders>
              <w:top w:val="single" w:sz="4" w:space="0" w:color="auto"/>
            </w:tcBorders>
          </w:tcPr>
          <w:p w:rsidR="00645B6F" w:rsidRPr="00D47427" w:rsidRDefault="00645B6F" w:rsidP="00D809BD">
            <w:pPr>
              <w:pStyle w:val="TCTableBody"/>
              <w:rPr>
                <w:lang w:val="en-US"/>
              </w:rPr>
            </w:pPr>
          </w:p>
        </w:tc>
      </w:tr>
      <w:tr w:rsidR="00645B6F" w:rsidRPr="00D47427" w:rsidTr="00D809BD">
        <w:trPr>
          <w:trHeight w:val="81"/>
          <w:jc w:val="center"/>
        </w:trPr>
        <w:tc>
          <w:tcPr>
            <w:tcW w:w="1503" w:type="dxa"/>
            <w:vMerge w:val="restart"/>
          </w:tcPr>
          <w:p w:rsidR="00645B6F" w:rsidRPr="00D47427" w:rsidRDefault="00645B6F" w:rsidP="00D809BD">
            <w:pPr>
              <w:pStyle w:val="TCTableBody"/>
              <w:rPr>
                <w:lang w:val="en-US"/>
              </w:rPr>
            </w:pPr>
            <w:r w:rsidRPr="00D47427">
              <w:rPr>
                <w:lang w:val="en-US"/>
              </w:rPr>
              <w:t>PC-TEAClO</w:t>
            </w:r>
            <w:r w:rsidRPr="00D47427">
              <w:rPr>
                <w:vertAlign w:val="subscript"/>
                <w:lang w:val="en-US"/>
              </w:rPr>
              <w:t>4</w:t>
            </w:r>
            <w:r w:rsidRPr="00D47427">
              <w:rPr>
                <w:lang w:val="en-US"/>
              </w:rPr>
              <w:t xml:space="preserve"> / Oxygen</w:t>
            </w:r>
          </w:p>
        </w:tc>
        <w:tc>
          <w:tcPr>
            <w:tcW w:w="1274" w:type="dxa"/>
          </w:tcPr>
          <w:p w:rsidR="00645B6F" w:rsidRPr="00D47427" w:rsidRDefault="00645B6F" w:rsidP="00D809BD">
            <w:pPr>
              <w:pStyle w:val="TCTableBody"/>
              <w:rPr>
                <w:lang w:val="en-US"/>
              </w:rPr>
            </w:pPr>
            <w:r w:rsidRPr="00D47427">
              <w:rPr>
                <w:lang w:val="en-US"/>
              </w:rPr>
              <w:t>1788</w:t>
            </w:r>
          </w:p>
        </w:tc>
        <w:tc>
          <w:tcPr>
            <w:tcW w:w="1107" w:type="dxa"/>
            <w:gridSpan w:val="2"/>
          </w:tcPr>
          <w:p w:rsidR="00645B6F" w:rsidRPr="00D47427" w:rsidRDefault="00645B6F" w:rsidP="00D809BD">
            <w:pPr>
              <w:pStyle w:val="TCTableBody"/>
              <w:rPr>
                <w:lang w:val="en-US"/>
              </w:rPr>
            </w:pPr>
            <w:r w:rsidRPr="00D47427">
              <w:rPr>
                <w:lang w:val="en-US"/>
              </w:rPr>
              <w:t>1813</w:t>
            </w:r>
          </w:p>
        </w:tc>
        <w:tc>
          <w:tcPr>
            <w:tcW w:w="1002" w:type="dxa"/>
          </w:tcPr>
          <w:p w:rsidR="00645B6F" w:rsidRPr="00D47427" w:rsidRDefault="00645B6F" w:rsidP="00D809BD">
            <w:pPr>
              <w:pStyle w:val="TCTableBody"/>
              <w:rPr>
                <w:lang w:val="en-US"/>
              </w:rPr>
            </w:pPr>
            <w:r w:rsidRPr="00D47427">
              <w:rPr>
                <w:lang w:val="en-US"/>
              </w:rPr>
              <w:t>1800</w:t>
            </w:r>
          </w:p>
        </w:tc>
        <w:tc>
          <w:tcPr>
            <w:tcW w:w="2505" w:type="dxa"/>
          </w:tcPr>
          <w:p w:rsidR="00645B6F" w:rsidRPr="00D47427" w:rsidRDefault="00645B6F" w:rsidP="00D809BD">
            <w:pPr>
              <w:pStyle w:val="TCTableBody"/>
              <w:rPr>
                <w:lang w:val="en-US"/>
              </w:rPr>
            </w:pPr>
            <w:r w:rsidRPr="00D47427">
              <w:rPr>
                <w:rFonts w:ascii="Symbol" w:hAnsi="Symbol"/>
                <w:lang w:val="en-US"/>
              </w:rPr>
              <w:t></w:t>
            </w:r>
            <w:r w:rsidRPr="00D47427">
              <w:rPr>
                <w:rFonts w:ascii="Symbol" w:hAnsi="Symbol"/>
                <w:lang w:val="en-US"/>
              </w:rPr>
              <w:t></w:t>
            </w:r>
            <w:r w:rsidRPr="00D47427">
              <w:rPr>
                <w:lang w:val="en-US"/>
              </w:rPr>
              <w:t>C</w:t>
            </w:r>
            <w:r w:rsidRPr="00D47427">
              <w:rPr>
                <w:rFonts w:ascii="Times New Roman" w:hAnsi="Times New Roman" w:cs="Times New Roman"/>
                <w:lang w:val="en-US"/>
              </w:rPr>
              <w:t>═</w:t>
            </w:r>
            <w:r w:rsidRPr="00D47427">
              <w:rPr>
                <w:lang w:val="en-US"/>
              </w:rPr>
              <w:t>O)</w:t>
            </w:r>
          </w:p>
        </w:tc>
        <w:tc>
          <w:tcPr>
            <w:tcW w:w="1127" w:type="dxa"/>
          </w:tcPr>
          <w:p w:rsidR="00645B6F" w:rsidRPr="00D47427" w:rsidRDefault="00645B6F" w:rsidP="00D809BD">
            <w:pPr>
              <w:pStyle w:val="TCTableBody"/>
              <w:rPr>
                <w:lang w:val="en-US"/>
              </w:rPr>
            </w:pPr>
            <w:r w:rsidRPr="00D47427">
              <w:rPr>
                <w:lang w:val="en-US"/>
              </w:rPr>
              <w:t>PC</w:t>
            </w:r>
          </w:p>
        </w:tc>
      </w:tr>
      <w:tr w:rsidR="00645B6F" w:rsidRPr="00D47427" w:rsidTr="00D809BD">
        <w:trPr>
          <w:trHeight w:val="81"/>
          <w:jc w:val="center"/>
        </w:trPr>
        <w:tc>
          <w:tcPr>
            <w:tcW w:w="1503" w:type="dxa"/>
            <w:vMerge/>
          </w:tcPr>
          <w:p w:rsidR="00645B6F" w:rsidRPr="00D47427" w:rsidRDefault="00645B6F" w:rsidP="00D809BD">
            <w:pPr>
              <w:pStyle w:val="TCTableBody"/>
              <w:rPr>
                <w:lang w:val="en-US"/>
              </w:rPr>
            </w:pPr>
          </w:p>
        </w:tc>
        <w:tc>
          <w:tcPr>
            <w:tcW w:w="1274" w:type="dxa"/>
          </w:tcPr>
          <w:p w:rsidR="00645B6F" w:rsidRPr="00D47427" w:rsidRDefault="00645B6F" w:rsidP="00D809BD">
            <w:pPr>
              <w:pStyle w:val="TCTableBody"/>
              <w:rPr>
                <w:lang w:val="en-US"/>
              </w:rPr>
            </w:pPr>
            <w:r w:rsidRPr="00D47427">
              <w:rPr>
                <w:lang w:val="en-US"/>
              </w:rPr>
              <w:t>1480</w:t>
            </w:r>
          </w:p>
        </w:tc>
        <w:tc>
          <w:tcPr>
            <w:tcW w:w="1107" w:type="dxa"/>
            <w:gridSpan w:val="2"/>
          </w:tcPr>
          <w:p w:rsidR="00645B6F" w:rsidRPr="00D47427" w:rsidRDefault="00645B6F" w:rsidP="00D809BD">
            <w:pPr>
              <w:pStyle w:val="TCTableBody"/>
              <w:rPr>
                <w:lang w:val="en-US"/>
              </w:rPr>
            </w:pPr>
            <w:r w:rsidRPr="00D47427">
              <w:rPr>
                <w:lang w:val="en-US"/>
              </w:rPr>
              <w:t>1480</w:t>
            </w:r>
          </w:p>
        </w:tc>
        <w:tc>
          <w:tcPr>
            <w:tcW w:w="1002" w:type="dxa"/>
          </w:tcPr>
          <w:p w:rsidR="00645B6F" w:rsidRPr="00D47427" w:rsidRDefault="00645B6F" w:rsidP="00D809BD">
            <w:pPr>
              <w:pStyle w:val="TCTableBody"/>
              <w:rPr>
                <w:lang w:val="en-US"/>
              </w:rPr>
            </w:pPr>
            <w:r w:rsidRPr="00D47427">
              <w:rPr>
                <w:lang w:val="en-US"/>
              </w:rPr>
              <w:t>1480</w:t>
            </w:r>
          </w:p>
        </w:tc>
        <w:tc>
          <w:tcPr>
            <w:tcW w:w="2505" w:type="dxa"/>
          </w:tcPr>
          <w:p w:rsidR="00645B6F" w:rsidRPr="00D47427" w:rsidRDefault="00645B6F" w:rsidP="00D809BD">
            <w:pPr>
              <w:pStyle w:val="TCTableBody"/>
              <w:rPr>
                <w:rFonts w:ascii="Symbol" w:hAnsi="Symbol"/>
                <w:lang w:val="en-US"/>
              </w:rPr>
            </w:pPr>
            <w:r w:rsidRPr="00D47427">
              <w:rPr>
                <w:rFonts w:ascii="Symbol" w:hAnsi="Symbol"/>
                <w:lang w:val="en-US"/>
              </w:rPr>
              <w:t></w:t>
            </w:r>
            <w:r w:rsidRPr="00D47427">
              <w:rPr>
                <w:rFonts w:ascii="Symbol" w:hAnsi="Symbol"/>
                <w:lang w:val="en-US"/>
              </w:rPr>
              <w:t></w:t>
            </w:r>
            <w:r w:rsidRPr="00D47427">
              <w:rPr>
                <w:lang w:val="en-US"/>
              </w:rPr>
              <w:t>CH</w:t>
            </w:r>
            <w:r w:rsidRPr="00D47427">
              <w:rPr>
                <w:vertAlign w:val="subscript"/>
                <w:lang w:val="en-US"/>
              </w:rPr>
              <w:t>2</w:t>
            </w:r>
            <w:r w:rsidRPr="00D47427">
              <w:rPr>
                <w:lang w:val="en-US"/>
              </w:rPr>
              <w:t xml:space="preserve">) + </w:t>
            </w:r>
            <w:r w:rsidRPr="00D47427">
              <w:rPr>
                <w:rFonts w:ascii="Symbol" w:hAnsi="Symbol"/>
                <w:lang w:val="en-US"/>
              </w:rPr>
              <w:t></w:t>
            </w:r>
            <w:r w:rsidRPr="00D47427">
              <w:rPr>
                <w:rFonts w:ascii="Symbol" w:hAnsi="Symbol"/>
                <w:lang w:val="en-US"/>
              </w:rPr>
              <w:t></w:t>
            </w:r>
            <w:r w:rsidRPr="00D47427">
              <w:rPr>
                <w:lang w:val="en-US"/>
              </w:rPr>
              <w:t>C</w:t>
            </w:r>
            <w:r w:rsidRPr="00D47427">
              <w:rPr>
                <w:rFonts w:ascii="Symbol" w:hAnsi="Symbol"/>
                <w:lang w:val="en-US"/>
              </w:rPr>
              <w:t></w:t>
            </w:r>
            <w:r w:rsidRPr="00D47427">
              <w:rPr>
                <w:rFonts w:ascii="Symbol" w:hAnsi="Symbol"/>
                <w:vertAlign w:val="subscript"/>
                <w:lang w:val="en-US"/>
              </w:rPr>
              <w:t></w:t>
            </w:r>
            <w:r w:rsidRPr="00D47427">
              <w:rPr>
                <w:rFonts w:ascii="Symbol" w:hAnsi="Symbol"/>
                <w:lang w:val="en-US"/>
              </w:rPr>
              <w:t></w:t>
            </w:r>
          </w:p>
        </w:tc>
        <w:tc>
          <w:tcPr>
            <w:tcW w:w="1127" w:type="dxa"/>
          </w:tcPr>
          <w:p w:rsidR="00645B6F" w:rsidRPr="00D47427" w:rsidRDefault="00645B6F" w:rsidP="00D809BD">
            <w:pPr>
              <w:pStyle w:val="TCTableBody"/>
              <w:rPr>
                <w:lang w:val="en-US"/>
              </w:rPr>
            </w:pPr>
            <w:r w:rsidRPr="00D47427">
              <w:rPr>
                <w:lang w:val="en-US"/>
              </w:rPr>
              <w:t>PC, TEA</w:t>
            </w:r>
          </w:p>
        </w:tc>
      </w:tr>
      <w:tr w:rsidR="00645B6F" w:rsidRPr="00D47427" w:rsidTr="00D809BD">
        <w:trPr>
          <w:trHeight w:val="81"/>
          <w:jc w:val="center"/>
        </w:trPr>
        <w:tc>
          <w:tcPr>
            <w:tcW w:w="1503" w:type="dxa"/>
            <w:vMerge/>
          </w:tcPr>
          <w:p w:rsidR="00645B6F" w:rsidRPr="00D47427" w:rsidRDefault="00645B6F" w:rsidP="00D809BD">
            <w:pPr>
              <w:pStyle w:val="TCTableBody"/>
              <w:rPr>
                <w:lang w:val="en-US"/>
              </w:rPr>
            </w:pPr>
          </w:p>
        </w:tc>
        <w:tc>
          <w:tcPr>
            <w:tcW w:w="1274" w:type="dxa"/>
          </w:tcPr>
          <w:p w:rsidR="00645B6F" w:rsidRPr="00D47427" w:rsidRDefault="00645B6F" w:rsidP="00D809BD">
            <w:pPr>
              <w:pStyle w:val="TCTableBody"/>
              <w:rPr>
                <w:lang w:val="en-US"/>
              </w:rPr>
            </w:pPr>
            <w:r w:rsidRPr="00D47427">
              <w:rPr>
                <w:lang w:val="en-US"/>
              </w:rPr>
              <w:t>1391</w:t>
            </w:r>
          </w:p>
        </w:tc>
        <w:tc>
          <w:tcPr>
            <w:tcW w:w="1107" w:type="dxa"/>
            <w:gridSpan w:val="2"/>
          </w:tcPr>
          <w:p w:rsidR="00645B6F" w:rsidRPr="00D47427" w:rsidRDefault="00645B6F" w:rsidP="00D809BD">
            <w:pPr>
              <w:pStyle w:val="TCTableBody"/>
              <w:rPr>
                <w:lang w:val="en-US"/>
              </w:rPr>
            </w:pPr>
            <w:r w:rsidRPr="00D47427">
              <w:rPr>
                <w:lang w:val="en-US"/>
              </w:rPr>
              <w:t>1391, 1355</w:t>
            </w:r>
          </w:p>
        </w:tc>
        <w:tc>
          <w:tcPr>
            <w:tcW w:w="1002" w:type="dxa"/>
          </w:tcPr>
          <w:p w:rsidR="00645B6F" w:rsidRPr="00D47427" w:rsidRDefault="00645B6F" w:rsidP="00D809BD">
            <w:pPr>
              <w:pStyle w:val="TCTableBody"/>
              <w:rPr>
                <w:lang w:val="en-US"/>
              </w:rPr>
            </w:pPr>
            <w:r w:rsidRPr="00D47427">
              <w:rPr>
                <w:lang w:val="en-US"/>
              </w:rPr>
              <w:t>1391, 1355</w:t>
            </w:r>
          </w:p>
        </w:tc>
        <w:tc>
          <w:tcPr>
            <w:tcW w:w="2505" w:type="dxa"/>
          </w:tcPr>
          <w:p w:rsidR="00645B6F" w:rsidRPr="00D47427" w:rsidRDefault="00B14C90" w:rsidP="00901B34">
            <w:pPr>
              <w:pStyle w:val="TCTableBody"/>
              <w:rPr>
                <w:rFonts w:ascii="Symbol" w:hAnsi="Symbol"/>
                <w:lang w:val="en-US"/>
              </w:rPr>
            </w:pPr>
            <w:r w:rsidRPr="00D47427">
              <w:rPr>
                <w:rFonts w:ascii="Symbol" w:hAnsi="Symbol"/>
                <w:lang w:val="en-US"/>
              </w:rPr>
              <w:t></w:t>
            </w:r>
            <w:r w:rsidRPr="00D47427">
              <w:rPr>
                <w:rFonts w:ascii="Symbol" w:hAnsi="Symbol"/>
                <w:lang w:val="en-US"/>
              </w:rPr>
              <w:t></w:t>
            </w:r>
            <w:r w:rsidRPr="00D47427">
              <w:rPr>
                <w:lang w:val="en-US"/>
              </w:rPr>
              <w:t>C</w:t>
            </w:r>
            <w:r w:rsidRPr="00D47427">
              <w:rPr>
                <w:rFonts w:ascii="Symbol" w:hAnsi="Symbol"/>
                <w:lang w:val="en-US"/>
              </w:rPr>
              <w:t></w:t>
            </w:r>
            <w:r w:rsidRPr="00D47427">
              <w:rPr>
                <w:rFonts w:ascii="Symbol" w:hAnsi="Symbol"/>
                <w:vertAlign w:val="subscript"/>
                <w:lang w:val="en-US"/>
              </w:rPr>
              <w:t></w:t>
            </w:r>
            <w:r w:rsidRPr="00D47427">
              <w:rPr>
                <w:rFonts w:ascii="Symbol" w:hAnsi="Symbol"/>
                <w:lang w:val="en-US"/>
              </w:rPr>
              <w:t></w:t>
            </w:r>
            <w:r>
              <w:rPr>
                <w:rFonts w:ascii="Symbol" w:hAnsi="Symbol"/>
                <w:lang w:val="en-US"/>
              </w:rPr>
              <w:t></w:t>
            </w:r>
            <w:r w:rsidR="008C69AB">
              <w:rPr>
                <w:rFonts w:ascii="Symbol" w:hAnsi="Symbol"/>
                <w:lang w:val="en-US"/>
              </w:rPr>
              <w:t></w:t>
            </w:r>
            <w:r w:rsidR="008C69AB">
              <w:rPr>
                <w:rFonts w:ascii="Symbol" w:hAnsi="Symbol"/>
                <w:lang w:val="en-US"/>
              </w:rPr>
              <w:t></w:t>
            </w:r>
            <w:r w:rsidR="008C69AB" w:rsidRPr="008C69AB">
              <w:rPr>
                <w:vertAlign w:val="subscript"/>
                <w:lang w:val="en-US"/>
              </w:rPr>
              <w:t>ring</w:t>
            </w:r>
            <w:r w:rsidR="00BE671E">
              <w:rPr>
                <w:vertAlign w:val="subscript"/>
                <w:lang w:val="en-US"/>
              </w:rPr>
              <w:t>,</w:t>
            </w:r>
            <w:r>
              <w:rPr>
                <w:rFonts w:ascii="Symbol" w:hAnsi="Symbol"/>
                <w:lang w:val="en-US"/>
              </w:rPr>
              <w:t></w:t>
            </w:r>
            <w:r w:rsidRPr="00D47427">
              <w:rPr>
                <w:rFonts w:ascii="Symbol" w:hAnsi="Symbol"/>
                <w:lang w:val="en-US"/>
              </w:rPr>
              <w:t></w:t>
            </w:r>
            <w:r w:rsidRPr="00D47427">
              <w:rPr>
                <w:rFonts w:ascii="Symbol" w:hAnsi="Symbol"/>
                <w:lang w:val="en-US"/>
              </w:rPr>
              <w:t></w:t>
            </w:r>
            <w:r w:rsidRPr="00D47427">
              <w:rPr>
                <w:lang w:val="en-US"/>
              </w:rPr>
              <w:t>CH</w:t>
            </w:r>
            <w:r w:rsidRPr="00D47427">
              <w:rPr>
                <w:vertAlign w:val="subscript"/>
                <w:lang w:val="en-US"/>
              </w:rPr>
              <w:t>2</w:t>
            </w:r>
            <w:r w:rsidRPr="00D47427">
              <w:rPr>
                <w:lang w:val="en-US"/>
              </w:rPr>
              <w:t>)</w:t>
            </w:r>
            <w:r>
              <w:rPr>
                <w:lang w:val="en-US"/>
              </w:rPr>
              <w:t xml:space="preserve">, </w:t>
            </w:r>
            <w:r w:rsidR="00901B34" w:rsidRPr="00D47427">
              <w:rPr>
                <w:rFonts w:ascii="Symbol" w:hAnsi="Symbol"/>
                <w:lang w:val="en-US"/>
              </w:rPr>
              <w:t></w:t>
            </w:r>
            <w:r w:rsidR="00901B34" w:rsidRPr="00D47427">
              <w:rPr>
                <w:rFonts w:ascii="Symbol" w:hAnsi="Symbol"/>
                <w:lang w:val="en-US"/>
              </w:rPr>
              <w:t></w:t>
            </w:r>
            <w:r w:rsidR="00901B34" w:rsidRPr="00D47427">
              <w:rPr>
                <w:rFonts w:ascii="Symbol" w:hAnsi="Symbol"/>
                <w:lang w:val="en-US"/>
              </w:rPr>
              <w:t></w:t>
            </w:r>
            <w:r w:rsidR="00901B34" w:rsidRPr="00D47427">
              <w:rPr>
                <w:lang w:val="en-US"/>
              </w:rPr>
              <w:t>−CH</w:t>
            </w:r>
            <w:r w:rsidR="00901B34" w:rsidRPr="00D47427">
              <w:rPr>
                <w:vertAlign w:val="subscript"/>
                <w:lang w:val="en-US"/>
              </w:rPr>
              <w:t>2</w:t>
            </w:r>
            <w:r w:rsidR="00901B34" w:rsidRPr="00D47427">
              <w:rPr>
                <w:lang w:val="en-US"/>
              </w:rPr>
              <w:t>)</w:t>
            </w:r>
          </w:p>
        </w:tc>
        <w:tc>
          <w:tcPr>
            <w:tcW w:w="1127" w:type="dxa"/>
          </w:tcPr>
          <w:p w:rsidR="00645B6F" w:rsidRPr="00D47427" w:rsidRDefault="00645B6F" w:rsidP="00D809BD">
            <w:pPr>
              <w:pStyle w:val="TCTableBody"/>
              <w:rPr>
                <w:lang w:val="en-US"/>
              </w:rPr>
            </w:pPr>
            <w:r w:rsidRPr="00D47427">
              <w:rPr>
                <w:lang w:val="en-US"/>
              </w:rPr>
              <w:t>PC, TEA</w:t>
            </w:r>
          </w:p>
        </w:tc>
      </w:tr>
      <w:tr w:rsidR="00645B6F" w:rsidRPr="00D47427" w:rsidTr="00D809BD">
        <w:trPr>
          <w:trHeight w:val="81"/>
          <w:jc w:val="center"/>
        </w:trPr>
        <w:tc>
          <w:tcPr>
            <w:tcW w:w="1503" w:type="dxa"/>
            <w:vMerge/>
          </w:tcPr>
          <w:p w:rsidR="00645B6F" w:rsidRPr="00D47427" w:rsidRDefault="00645B6F" w:rsidP="00D809BD">
            <w:pPr>
              <w:pStyle w:val="TCTableBody"/>
              <w:rPr>
                <w:lang w:val="en-US"/>
              </w:rPr>
            </w:pPr>
          </w:p>
        </w:tc>
        <w:tc>
          <w:tcPr>
            <w:tcW w:w="1274" w:type="dxa"/>
          </w:tcPr>
          <w:p w:rsidR="00645B6F" w:rsidRPr="00D47427" w:rsidRDefault="00645B6F" w:rsidP="00D809BD">
            <w:pPr>
              <w:pStyle w:val="TCTableBody"/>
              <w:rPr>
                <w:lang w:val="en-US"/>
              </w:rPr>
            </w:pPr>
          </w:p>
        </w:tc>
        <w:tc>
          <w:tcPr>
            <w:tcW w:w="1107" w:type="dxa"/>
            <w:gridSpan w:val="2"/>
          </w:tcPr>
          <w:p w:rsidR="00645B6F" w:rsidRPr="00D47427" w:rsidRDefault="00645B6F" w:rsidP="00D809BD">
            <w:pPr>
              <w:pStyle w:val="TCTableBody"/>
              <w:rPr>
                <w:lang w:val="en-US"/>
              </w:rPr>
            </w:pPr>
            <w:r w:rsidRPr="00D47427">
              <w:rPr>
                <w:lang w:val="en-US"/>
              </w:rPr>
              <w:t>1191</w:t>
            </w:r>
            <w:r w:rsidR="008000F5">
              <w:rPr>
                <w:lang w:val="en-US"/>
              </w:rPr>
              <w:t>,</w:t>
            </w:r>
            <w:r w:rsidRPr="00D47427">
              <w:rPr>
                <w:lang w:val="en-US"/>
              </w:rPr>
              <w:t xml:space="preserve"> 1118</w:t>
            </w:r>
          </w:p>
        </w:tc>
        <w:tc>
          <w:tcPr>
            <w:tcW w:w="1002" w:type="dxa"/>
          </w:tcPr>
          <w:p w:rsidR="00645B6F" w:rsidRPr="00D47427" w:rsidRDefault="00645B6F" w:rsidP="00D809BD">
            <w:pPr>
              <w:pStyle w:val="TCTableBody"/>
              <w:rPr>
                <w:lang w:val="en-US"/>
              </w:rPr>
            </w:pPr>
            <w:r w:rsidRPr="00D47427">
              <w:rPr>
                <w:lang w:val="en-US"/>
              </w:rPr>
              <w:t>1192, 1123</w:t>
            </w:r>
          </w:p>
        </w:tc>
        <w:tc>
          <w:tcPr>
            <w:tcW w:w="2505" w:type="dxa"/>
          </w:tcPr>
          <w:p w:rsidR="00645B6F" w:rsidRPr="00D47427" w:rsidRDefault="00B14C90" w:rsidP="007E65D1">
            <w:pPr>
              <w:pStyle w:val="TCTableBody"/>
              <w:rPr>
                <w:lang w:val="en-US"/>
              </w:rPr>
            </w:pPr>
            <w:r w:rsidRPr="00D47427">
              <w:rPr>
                <w:rFonts w:ascii="Symbol" w:hAnsi="Symbol"/>
                <w:lang w:val="en-US"/>
              </w:rPr>
              <w:t></w:t>
            </w:r>
            <w:r w:rsidRPr="00D47427">
              <w:rPr>
                <w:vertAlign w:val="subscript"/>
                <w:lang w:val="en-US"/>
              </w:rPr>
              <w:t>s</w:t>
            </w:r>
            <w:r w:rsidRPr="00D47427">
              <w:rPr>
                <w:lang w:val="en-US"/>
              </w:rPr>
              <w:t>(</w:t>
            </w:r>
            <w:r>
              <w:rPr>
                <w:lang w:val="en-US"/>
              </w:rPr>
              <w:t>C</w:t>
            </w:r>
            <w:r w:rsidRPr="00D47427">
              <w:rPr>
                <w:lang w:val="en-US"/>
              </w:rPr>
              <w:t>−</w:t>
            </w:r>
            <w:r>
              <w:rPr>
                <w:lang w:val="en-US"/>
              </w:rPr>
              <w:t>O</w:t>
            </w:r>
            <w:r w:rsidRPr="00D47427">
              <w:rPr>
                <w:lang w:val="en-US"/>
              </w:rPr>
              <w:t>−</w:t>
            </w:r>
            <w:r>
              <w:rPr>
                <w:lang w:val="en-US"/>
              </w:rPr>
              <w:t>C</w:t>
            </w:r>
            <w:r w:rsidRPr="00D47427">
              <w:rPr>
                <w:lang w:val="en-US"/>
              </w:rPr>
              <w:t>)+</w:t>
            </w:r>
            <w:r w:rsidRPr="00D47427">
              <w:rPr>
                <w:rFonts w:ascii="Symbol" w:hAnsi="Symbol"/>
                <w:lang w:val="en-US"/>
              </w:rPr>
              <w:t></w:t>
            </w:r>
            <w:r w:rsidRPr="00D47427">
              <w:rPr>
                <w:rFonts w:ascii="Symbol" w:hAnsi="Symbol"/>
                <w:lang w:val="en-US"/>
              </w:rPr>
              <w:t></w:t>
            </w:r>
            <w:r>
              <w:rPr>
                <w:vertAlign w:val="subscript"/>
                <w:lang w:val="en-US"/>
              </w:rPr>
              <w:t>as</w:t>
            </w:r>
            <w:r w:rsidRPr="00D47427">
              <w:rPr>
                <w:lang w:val="en-US"/>
              </w:rPr>
              <w:t>(O−C−O)</w:t>
            </w:r>
            <w:r>
              <w:rPr>
                <w:lang w:val="en-US"/>
              </w:rPr>
              <w:t xml:space="preserve">, </w:t>
            </w:r>
            <w:r w:rsidR="007E65D1" w:rsidRPr="00D47427">
              <w:rPr>
                <w:rFonts w:ascii="Symbol" w:hAnsi="Symbol"/>
                <w:lang w:val="en-US"/>
              </w:rPr>
              <w:t></w:t>
            </w:r>
            <w:r w:rsidR="007E65D1" w:rsidRPr="00D47427">
              <w:rPr>
                <w:vertAlign w:val="subscript"/>
                <w:lang w:val="en-US"/>
              </w:rPr>
              <w:t>s</w:t>
            </w:r>
            <w:r w:rsidR="007E65D1" w:rsidRPr="00D47427">
              <w:rPr>
                <w:lang w:val="en-US"/>
              </w:rPr>
              <w:t>(</w:t>
            </w:r>
            <w:r w:rsidR="007E65D1">
              <w:rPr>
                <w:lang w:val="en-US"/>
              </w:rPr>
              <w:t>CH</w:t>
            </w:r>
            <w:r w:rsidR="007E65D1" w:rsidRPr="00B14C90">
              <w:rPr>
                <w:vertAlign w:val="subscript"/>
                <w:lang w:val="en-US"/>
              </w:rPr>
              <w:t>2</w:t>
            </w:r>
            <w:r w:rsidR="007E65D1" w:rsidRPr="00D47427">
              <w:rPr>
                <w:lang w:val="en-US"/>
              </w:rPr>
              <w:t>−C</w:t>
            </w:r>
            <w:r w:rsidR="007E65D1">
              <w:rPr>
                <w:lang w:val="en-US"/>
              </w:rPr>
              <w:t>H</w:t>
            </w:r>
            <w:r w:rsidR="007E65D1" w:rsidRPr="00D47427">
              <w:rPr>
                <w:lang w:val="en-US"/>
              </w:rPr>
              <w:t>−</w:t>
            </w:r>
            <w:r w:rsidR="007E65D1">
              <w:rPr>
                <w:lang w:val="en-US"/>
              </w:rPr>
              <w:t>CH</w:t>
            </w:r>
            <w:r w:rsidR="007E65D1" w:rsidRPr="00B14C90">
              <w:rPr>
                <w:vertAlign w:val="subscript"/>
                <w:lang w:val="en-US"/>
              </w:rPr>
              <w:t>3</w:t>
            </w:r>
            <w:r w:rsidR="007E65D1" w:rsidRPr="00D47427">
              <w:rPr>
                <w:lang w:val="en-US"/>
              </w:rPr>
              <w:t>)</w:t>
            </w:r>
          </w:p>
        </w:tc>
        <w:tc>
          <w:tcPr>
            <w:tcW w:w="1127" w:type="dxa"/>
          </w:tcPr>
          <w:p w:rsidR="00645B6F" w:rsidRPr="00D47427" w:rsidRDefault="00645B6F" w:rsidP="00D809BD">
            <w:pPr>
              <w:pStyle w:val="TCTableBody"/>
              <w:rPr>
                <w:lang w:val="en-US"/>
              </w:rPr>
            </w:pPr>
            <w:r w:rsidRPr="00D47427">
              <w:rPr>
                <w:lang w:val="en-US"/>
              </w:rPr>
              <w:t>PC</w:t>
            </w:r>
          </w:p>
        </w:tc>
      </w:tr>
      <w:tr w:rsidR="00645B6F" w:rsidRPr="00D47427" w:rsidTr="00D809BD">
        <w:trPr>
          <w:trHeight w:val="81"/>
          <w:jc w:val="center"/>
        </w:trPr>
        <w:tc>
          <w:tcPr>
            <w:tcW w:w="1503" w:type="dxa"/>
            <w:vMerge/>
            <w:tcBorders>
              <w:bottom w:val="double" w:sz="4" w:space="0" w:color="auto"/>
            </w:tcBorders>
          </w:tcPr>
          <w:p w:rsidR="00645B6F" w:rsidRPr="00D47427" w:rsidRDefault="00645B6F" w:rsidP="00D809BD">
            <w:pPr>
              <w:pStyle w:val="TCTableBody"/>
              <w:rPr>
                <w:lang w:val="en-US"/>
              </w:rPr>
            </w:pPr>
          </w:p>
        </w:tc>
        <w:tc>
          <w:tcPr>
            <w:tcW w:w="1274" w:type="dxa"/>
            <w:tcBorders>
              <w:bottom w:val="double" w:sz="4" w:space="0" w:color="auto"/>
            </w:tcBorders>
          </w:tcPr>
          <w:p w:rsidR="00645B6F" w:rsidRPr="00D47427" w:rsidRDefault="00645B6F" w:rsidP="00D809BD">
            <w:pPr>
              <w:pStyle w:val="TCTableBody"/>
              <w:rPr>
                <w:lang w:val="en-US"/>
              </w:rPr>
            </w:pPr>
          </w:p>
        </w:tc>
        <w:tc>
          <w:tcPr>
            <w:tcW w:w="1107" w:type="dxa"/>
            <w:gridSpan w:val="2"/>
            <w:tcBorders>
              <w:bottom w:val="double" w:sz="4" w:space="0" w:color="auto"/>
            </w:tcBorders>
          </w:tcPr>
          <w:p w:rsidR="00645B6F" w:rsidRPr="00D47427" w:rsidRDefault="00645B6F" w:rsidP="00D809BD">
            <w:pPr>
              <w:pStyle w:val="TCTableBody"/>
              <w:rPr>
                <w:lang w:val="en-US"/>
              </w:rPr>
            </w:pPr>
            <w:r w:rsidRPr="00D47427">
              <w:rPr>
                <w:lang w:val="en-US"/>
              </w:rPr>
              <w:t>1064,1041</w:t>
            </w:r>
          </w:p>
        </w:tc>
        <w:tc>
          <w:tcPr>
            <w:tcW w:w="1002" w:type="dxa"/>
            <w:tcBorders>
              <w:bottom w:val="double" w:sz="4" w:space="0" w:color="auto"/>
            </w:tcBorders>
          </w:tcPr>
          <w:p w:rsidR="00645B6F" w:rsidRPr="00D47427" w:rsidRDefault="00645B6F" w:rsidP="00D809BD">
            <w:pPr>
              <w:pStyle w:val="TCTableBody"/>
              <w:rPr>
                <w:lang w:val="en-US"/>
              </w:rPr>
            </w:pPr>
            <w:r w:rsidRPr="00D47427">
              <w:rPr>
                <w:lang w:val="en-US"/>
              </w:rPr>
              <w:t>1041</w:t>
            </w:r>
          </w:p>
        </w:tc>
        <w:tc>
          <w:tcPr>
            <w:tcW w:w="2505" w:type="dxa"/>
            <w:tcBorders>
              <w:bottom w:val="double" w:sz="4" w:space="0" w:color="auto"/>
            </w:tcBorders>
          </w:tcPr>
          <w:p w:rsidR="00645B6F" w:rsidRPr="00D47427" w:rsidRDefault="00645B6F" w:rsidP="00D809BD">
            <w:pPr>
              <w:pStyle w:val="TCTableBody"/>
              <w:rPr>
                <w:lang w:val="en-US"/>
              </w:rPr>
            </w:pPr>
            <w:r w:rsidRPr="00D47427">
              <w:rPr>
                <w:rFonts w:ascii="Symbol" w:hAnsi="Symbol"/>
                <w:lang w:val="en-US"/>
              </w:rPr>
              <w:t></w:t>
            </w:r>
            <w:r w:rsidRPr="00D47427">
              <w:rPr>
                <w:vertAlign w:val="subscript"/>
                <w:lang w:val="en-US"/>
              </w:rPr>
              <w:t>s</w:t>
            </w:r>
            <w:r w:rsidRPr="00D47427">
              <w:rPr>
                <w:lang w:val="en-US"/>
              </w:rPr>
              <w:t>(C−O)</w:t>
            </w:r>
            <w:r w:rsidR="00B14C90">
              <w:rPr>
                <w:lang w:val="en-US"/>
              </w:rPr>
              <w:t xml:space="preserve">, </w:t>
            </w:r>
            <w:r w:rsidR="00B14C90" w:rsidRPr="00D47427">
              <w:rPr>
                <w:rFonts w:ascii="Symbol" w:hAnsi="Symbol"/>
                <w:lang w:val="en-US"/>
              </w:rPr>
              <w:t></w:t>
            </w:r>
            <w:r w:rsidR="00B14C90" w:rsidRPr="00D47427">
              <w:rPr>
                <w:vertAlign w:val="subscript"/>
                <w:lang w:val="en-US"/>
              </w:rPr>
              <w:t>s</w:t>
            </w:r>
            <w:r w:rsidR="00B14C90" w:rsidRPr="00D47427">
              <w:rPr>
                <w:lang w:val="en-US"/>
              </w:rPr>
              <w:t>(C−O)</w:t>
            </w:r>
            <w:r w:rsidR="00B14C90">
              <w:rPr>
                <w:lang w:val="en-US"/>
              </w:rPr>
              <w:t xml:space="preserve">, </w:t>
            </w:r>
            <w:r w:rsidR="00B14C90" w:rsidRPr="00D47427">
              <w:rPr>
                <w:rFonts w:ascii="Symbol" w:hAnsi="Symbol"/>
                <w:lang w:val="en-US"/>
              </w:rPr>
              <w:t></w:t>
            </w:r>
            <w:r w:rsidR="00B14C90" w:rsidRPr="00D47427">
              <w:rPr>
                <w:vertAlign w:val="subscript"/>
                <w:lang w:val="en-US"/>
              </w:rPr>
              <w:t>s</w:t>
            </w:r>
            <w:r w:rsidR="00B14C90" w:rsidRPr="00D47427">
              <w:rPr>
                <w:lang w:val="en-US"/>
              </w:rPr>
              <w:t>(C−</w:t>
            </w:r>
            <w:r w:rsidR="00B14C90">
              <w:rPr>
                <w:lang w:val="en-US"/>
              </w:rPr>
              <w:t>CH</w:t>
            </w:r>
            <w:r w:rsidR="00B14C90" w:rsidRPr="008000F5">
              <w:rPr>
                <w:vertAlign w:val="subscript"/>
                <w:lang w:val="en-US"/>
              </w:rPr>
              <w:t>3</w:t>
            </w:r>
            <w:r w:rsidR="00B14C90" w:rsidRPr="00D47427">
              <w:rPr>
                <w:lang w:val="en-US"/>
              </w:rPr>
              <w:t>)</w:t>
            </w:r>
          </w:p>
        </w:tc>
        <w:tc>
          <w:tcPr>
            <w:tcW w:w="1127" w:type="dxa"/>
            <w:tcBorders>
              <w:bottom w:val="double" w:sz="4" w:space="0" w:color="auto"/>
            </w:tcBorders>
          </w:tcPr>
          <w:p w:rsidR="00645B6F" w:rsidRPr="00D47427" w:rsidRDefault="00645B6F" w:rsidP="00D809BD">
            <w:pPr>
              <w:pStyle w:val="TCTableBody"/>
              <w:rPr>
                <w:lang w:val="en-US"/>
              </w:rPr>
            </w:pPr>
            <w:r w:rsidRPr="00D47427">
              <w:rPr>
                <w:lang w:val="en-US"/>
              </w:rPr>
              <w:t>PC</w:t>
            </w:r>
          </w:p>
        </w:tc>
      </w:tr>
      <w:tr w:rsidR="00645B6F" w:rsidRPr="00D47427" w:rsidTr="00D809BD">
        <w:trPr>
          <w:trHeight w:val="182"/>
          <w:jc w:val="center"/>
        </w:trPr>
        <w:tc>
          <w:tcPr>
            <w:tcW w:w="8518" w:type="dxa"/>
            <w:gridSpan w:val="7"/>
            <w:tcBorders>
              <w:top w:val="double" w:sz="4" w:space="0" w:color="auto"/>
            </w:tcBorders>
          </w:tcPr>
          <w:p w:rsidR="00645B6F" w:rsidRPr="00D47427" w:rsidRDefault="00645B6F" w:rsidP="00D809BD">
            <w:pPr>
              <w:pStyle w:val="TCTableBody"/>
              <w:rPr>
                <w:lang w:val="en-US"/>
              </w:rPr>
            </w:pPr>
          </w:p>
        </w:tc>
      </w:tr>
      <w:tr w:rsidR="00645B6F" w:rsidRPr="00D47427" w:rsidTr="00D809BD">
        <w:trPr>
          <w:trHeight w:val="388"/>
          <w:jc w:val="center"/>
        </w:trPr>
        <w:tc>
          <w:tcPr>
            <w:tcW w:w="1503" w:type="dxa"/>
            <w:vMerge w:val="restart"/>
            <w:vAlign w:val="center"/>
          </w:tcPr>
          <w:p w:rsidR="00645B6F" w:rsidRPr="00D47427" w:rsidRDefault="00645B6F" w:rsidP="00D809BD">
            <w:pPr>
              <w:pStyle w:val="TCTableBody"/>
              <w:rPr>
                <w:lang w:val="en-US"/>
              </w:rPr>
            </w:pPr>
          </w:p>
        </w:tc>
        <w:tc>
          <w:tcPr>
            <w:tcW w:w="3383" w:type="dxa"/>
            <w:gridSpan w:val="4"/>
            <w:tcBorders>
              <w:bottom w:val="single" w:sz="4" w:space="0" w:color="auto"/>
            </w:tcBorders>
          </w:tcPr>
          <w:p w:rsidR="00645B6F" w:rsidRPr="00D47427" w:rsidRDefault="00645B6F" w:rsidP="00D809BD">
            <w:pPr>
              <w:pStyle w:val="StyleTCTableBodyBold"/>
              <w:rPr>
                <w:lang w:val="en-US"/>
              </w:rPr>
            </w:pPr>
            <w:r w:rsidRPr="00D47427">
              <w:rPr>
                <w:lang w:val="en-US"/>
              </w:rPr>
              <w:t>Bands at representative potentials</w:t>
            </w:r>
          </w:p>
        </w:tc>
        <w:tc>
          <w:tcPr>
            <w:tcW w:w="3632" w:type="dxa"/>
            <w:gridSpan w:val="2"/>
            <w:tcBorders>
              <w:bottom w:val="single" w:sz="4" w:space="0" w:color="auto"/>
            </w:tcBorders>
          </w:tcPr>
          <w:p w:rsidR="00645B6F" w:rsidRPr="00D47427" w:rsidRDefault="00645B6F" w:rsidP="00D809BD">
            <w:pPr>
              <w:pStyle w:val="StyleTCTableBodyBold"/>
              <w:rPr>
                <w:lang w:val="en-US"/>
              </w:rPr>
            </w:pPr>
            <w:r w:rsidRPr="00D47427">
              <w:rPr>
                <w:lang w:val="en-US"/>
              </w:rPr>
              <w:t>Assignment*</w:t>
            </w:r>
          </w:p>
        </w:tc>
      </w:tr>
      <w:tr w:rsidR="00645B6F" w:rsidRPr="00D47427" w:rsidTr="00D809BD">
        <w:trPr>
          <w:trHeight w:val="388"/>
          <w:jc w:val="center"/>
        </w:trPr>
        <w:tc>
          <w:tcPr>
            <w:tcW w:w="1503" w:type="dxa"/>
            <w:vMerge/>
            <w:tcBorders>
              <w:bottom w:val="single" w:sz="4" w:space="0" w:color="auto"/>
            </w:tcBorders>
          </w:tcPr>
          <w:p w:rsidR="00645B6F" w:rsidRPr="00D47427" w:rsidRDefault="00645B6F" w:rsidP="00D809BD">
            <w:pPr>
              <w:pStyle w:val="TCTableBody"/>
              <w:rPr>
                <w:lang w:val="en-US"/>
              </w:rPr>
            </w:pPr>
          </w:p>
        </w:tc>
        <w:tc>
          <w:tcPr>
            <w:tcW w:w="1629" w:type="dxa"/>
            <w:gridSpan w:val="2"/>
            <w:tcBorders>
              <w:bottom w:val="single" w:sz="4" w:space="0" w:color="auto"/>
            </w:tcBorders>
            <w:vAlign w:val="center"/>
          </w:tcPr>
          <w:p w:rsidR="00645B6F" w:rsidRPr="00D47427" w:rsidRDefault="00645B6F" w:rsidP="00D809BD">
            <w:pPr>
              <w:pStyle w:val="StyleTCTableBodyBold"/>
              <w:rPr>
                <w:lang w:val="en-US"/>
              </w:rPr>
            </w:pPr>
            <w:r w:rsidRPr="00D47427">
              <w:rPr>
                <w:lang w:val="en-US"/>
              </w:rPr>
              <w:t>2.12 V</w:t>
            </w:r>
          </w:p>
        </w:tc>
        <w:tc>
          <w:tcPr>
            <w:tcW w:w="1754" w:type="dxa"/>
            <w:gridSpan w:val="2"/>
            <w:tcBorders>
              <w:bottom w:val="single" w:sz="4" w:space="0" w:color="auto"/>
            </w:tcBorders>
            <w:vAlign w:val="center"/>
          </w:tcPr>
          <w:p w:rsidR="00645B6F" w:rsidRPr="00D47427" w:rsidRDefault="00645B6F" w:rsidP="00D809BD">
            <w:pPr>
              <w:pStyle w:val="StyleTCTableBodyBold"/>
              <w:rPr>
                <w:lang w:val="en-US"/>
              </w:rPr>
            </w:pPr>
            <w:r w:rsidRPr="00D47427">
              <w:rPr>
                <w:lang w:val="en-US"/>
              </w:rPr>
              <w:t>3.7 V</w:t>
            </w:r>
          </w:p>
        </w:tc>
        <w:tc>
          <w:tcPr>
            <w:tcW w:w="2505" w:type="dxa"/>
            <w:tcBorders>
              <w:bottom w:val="single" w:sz="4" w:space="0" w:color="auto"/>
            </w:tcBorders>
          </w:tcPr>
          <w:p w:rsidR="00645B6F" w:rsidRPr="00D47427" w:rsidRDefault="00645B6F" w:rsidP="00D809BD">
            <w:pPr>
              <w:pStyle w:val="StyleTCTableBodyBold"/>
              <w:rPr>
                <w:lang w:val="en-US"/>
              </w:rPr>
            </w:pPr>
            <w:r w:rsidRPr="00D47427">
              <w:rPr>
                <w:lang w:val="en-US"/>
              </w:rPr>
              <w:t xml:space="preserve">Vibration </w:t>
            </w:r>
          </w:p>
        </w:tc>
        <w:tc>
          <w:tcPr>
            <w:tcW w:w="1127" w:type="dxa"/>
            <w:tcBorders>
              <w:bottom w:val="single" w:sz="4" w:space="0" w:color="auto"/>
            </w:tcBorders>
          </w:tcPr>
          <w:p w:rsidR="00645B6F" w:rsidRPr="00D47427" w:rsidRDefault="00645B6F" w:rsidP="00D809BD">
            <w:pPr>
              <w:pStyle w:val="StyleTCTableBodyBold"/>
              <w:rPr>
                <w:lang w:val="en-US"/>
              </w:rPr>
            </w:pPr>
            <w:r w:rsidRPr="00D47427">
              <w:rPr>
                <w:lang w:val="en-US"/>
              </w:rPr>
              <w:t>Species</w:t>
            </w:r>
          </w:p>
        </w:tc>
      </w:tr>
      <w:tr w:rsidR="00645B6F" w:rsidRPr="00D47427" w:rsidTr="00D809BD">
        <w:trPr>
          <w:trHeight w:val="81"/>
          <w:jc w:val="center"/>
        </w:trPr>
        <w:tc>
          <w:tcPr>
            <w:tcW w:w="1503" w:type="dxa"/>
            <w:tcBorders>
              <w:top w:val="single" w:sz="4" w:space="0" w:color="auto"/>
            </w:tcBorders>
          </w:tcPr>
          <w:p w:rsidR="00645B6F" w:rsidRPr="00D47427" w:rsidRDefault="00645B6F" w:rsidP="00D809BD">
            <w:pPr>
              <w:pStyle w:val="TCTableBody"/>
              <w:rPr>
                <w:lang w:val="en-US"/>
              </w:rPr>
            </w:pPr>
          </w:p>
        </w:tc>
        <w:tc>
          <w:tcPr>
            <w:tcW w:w="1629" w:type="dxa"/>
            <w:gridSpan w:val="2"/>
            <w:tcBorders>
              <w:top w:val="single" w:sz="4" w:space="0" w:color="auto"/>
            </w:tcBorders>
          </w:tcPr>
          <w:p w:rsidR="00645B6F" w:rsidRPr="00D47427" w:rsidRDefault="00645B6F" w:rsidP="00D809BD">
            <w:pPr>
              <w:pStyle w:val="TCTableBody"/>
              <w:rPr>
                <w:lang w:val="en-US"/>
              </w:rPr>
            </w:pPr>
          </w:p>
        </w:tc>
        <w:tc>
          <w:tcPr>
            <w:tcW w:w="1754" w:type="dxa"/>
            <w:gridSpan w:val="2"/>
            <w:tcBorders>
              <w:top w:val="single" w:sz="4" w:space="0" w:color="auto"/>
            </w:tcBorders>
          </w:tcPr>
          <w:p w:rsidR="00645B6F" w:rsidRPr="00D47427" w:rsidRDefault="00645B6F" w:rsidP="00D809BD">
            <w:pPr>
              <w:pStyle w:val="TCTableBody"/>
              <w:rPr>
                <w:lang w:val="en-US"/>
              </w:rPr>
            </w:pPr>
          </w:p>
        </w:tc>
        <w:tc>
          <w:tcPr>
            <w:tcW w:w="2505" w:type="dxa"/>
            <w:tcBorders>
              <w:top w:val="single" w:sz="4" w:space="0" w:color="auto"/>
            </w:tcBorders>
          </w:tcPr>
          <w:p w:rsidR="00645B6F" w:rsidRPr="00D47427" w:rsidRDefault="00645B6F" w:rsidP="00D809BD">
            <w:pPr>
              <w:pStyle w:val="TCTableBody"/>
              <w:rPr>
                <w:rFonts w:ascii="Symbol" w:hAnsi="Symbol"/>
                <w:lang w:val="en-US"/>
              </w:rPr>
            </w:pPr>
          </w:p>
        </w:tc>
        <w:tc>
          <w:tcPr>
            <w:tcW w:w="1127" w:type="dxa"/>
            <w:tcBorders>
              <w:top w:val="single" w:sz="4" w:space="0" w:color="auto"/>
            </w:tcBorders>
          </w:tcPr>
          <w:p w:rsidR="00645B6F" w:rsidRPr="00D47427" w:rsidRDefault="00645B6F" w:rsidP="00D809BD">
            <w:pPr>
              <w:pStyle w:val="TCTableBody"/>
              <w:rPr>
                <w:lang w:val="en-US"/>
              </w:rPr>
            </w:pPr>
          </w:p>
        </w:tc>
      </w:tr>
      <w:tr w:rsidR="00645B6F" w:rsidRPr="00D47427" w:rsidTr="00D809BD">
        <w:trPr>
          <w:trHeight w:val="81"/>
          <w:jc w:val="center"/>
        </w:trPr>
        <w:tc>
          <w:tcPr>
            <w:tcW w:w="1503" w:type="dxa"/>
            <w:tcBorders>
              <w:bottom w:val="single" w:sz="4" w:space="0" w:color="auto"/>
            </w:tcBorders>
          </w:tcPr>
          <w:p w:rsidR="00645B6F" w:rsidRPr="00D47427" w:rsidRDefault="00645B6F" w:rsidP="00D809BD">
            <w:pPr>
              <w:pStyle w:val="TCTableBody"/>
              <w:rPr>
                <w:lang w:val="en-US"/>
              </w:rPr>
            </w:pPr>
            <w:r w:rsidRPr="00D47427">
              <w:rPr>
                <w:lang w:val="en-US"/>
              </w:rPr>
              <w:t>PC-LiClO</w:t>
            </w:r>
            <w:r w:rsidRPr="00D47427">
              <w:rPr>
                <w:vertAlign w:val="subscript"/>
                <w:lang w:val="en-US"/>
              </w:rPr>
              <w:t>4</w:t>
            </w:r>
            <w:r w:rsidRPr="00D47427">
              <w:rPr>
                <w:lang w:val="en-US"/>
              </w:rPr>
              <w:t xml:space="preserve"> / Argon</w:t>
            </w:r>
          </w:p>
        </w:tc>
        <w:tc>
          <w:tcPr>
            <w:tcW w:w="1629" w:type="dxa"/>
            <w:gridSpan w:val="2"/>
            <w:tcBorders>
              <w:bottom w:val="single" w:sz="4" w:space="0" w:color="auto"/>
            </w:tcBorders>
          </w:tcPr>
          <w:p w:rsidR="00645B6F" w:rsidRPr="00D47427" w:rsidRDefault="00645B6F" w:rsidP="00D809BD">
            <w:pPr>
              <w:pStyle w:val="TCTableBody"/>
              <w:rPr>
                <w:lang w:val="en-US"/>
              </w:rPr>
            </w:pPr>
            <w:r w:rsidRPr="00D47427">
              <w:rPr>
                <w:lang w:val="en-US"/>
              </w:rPr>
              <w:t>1803</w:t>
            </w:r>
          </w:p>
        </w:tc>
        <w:tc>
          <w:tcPr>
            <w:tcW w:w="1754" w:type="dxa"/>
            <w:gridSpan w:val="2"/>
            <w:tcBorders>
              <w:bottom w:val="single" w:sz="4" w:space="0" w:color="auto"/>
            </w:tcBorders>
          </w:tcPr>
          <w:p w:rsidR="00645B6F" w:rsidRPr="00D47427" w:rsidRDefault="00645B6F" w:rsidP="00D809BD">
            <w:pPr>
              <w:pStyle w:val="TCTableBody"/>
              <w:rPr>
                <w:lang w:val="en-US"/>
              </w:rPr>
            </w:pPr>
            <w:r w:rsidRPr="00D47427">
              <w:rPr>
                <w:lang w:val="en-US"/>
              </w:rPr>
              <w:t>1817</w:t>
            </w:r>
          </w:p>
        </w:tc>
        <w:tc>
          <w:tcPr>
            <w:tcW w:w="2505" w:type="dxa"/>
            <w:tcBorders>
              <w:bottom w:val="single" w:sz="4" w:space="0" w:color="auto"/>
            </w:tcBorders>
          </w:tcPr>
          <w:p w:rsidR="00645B6F" w:rsidRPr="00D47427" w:rsidRDefault="00645B6F" w:rsidP="00D809BD">
            <w:pPr>
              <w:pStyle w:val="TCTableBody"/>
              <w:rPr>
                <w:lang w:val="en-US"/>
              </w:rPr>
            </w:pPr>
            <w:r w:rsidRPr="00D47427">
              <w:rPr>
                <w:rFonts w:ascii="Symbol" w:hAnsi="Symbol"/>
                <w:lang w:val="en-US"/>
              </w:rPr>
              <w:t></w:t>
            </w:r>
            <w:r w:rsidRPr="00D47427">
              <w:rPr>
                <w:rFonts w:ascii="Symbol" w:hAnsi="Symbol"/>
                <w:lang w:val="en-US"/>
              </w:rPr>
              <w:t></w:t>
            </w:r>
            <w:r w:rsidRPr="00D47427">
              <w:rPr>
                <w:lang w:val="en-US"/>
              </w:rPr>
              <w:t>C</w:t>
            </w:r>
            <w:r w:rsidRPr="00D47427">
              <w:rPr>
                <w:rFonts w:ascii="Times New Roman" w:hAnsi="Times New Roman" w:cs="Times New Roman"/>
                <w:lang w:val="en-US"/>
              </w:rPr>
              <w:t>═</w:t>
            </w:r>
            <w:r w:rsidRPr="00D47427">
              <w:rPr>
                <w:lang w:val="en-US"/>
              </w:rPr>
              <w:t>O)</w:t>
            </w:r>
          </w:p>
        </w:tc>
        <w:tc>
          <w:tcPr>
            <w:tcW w:w="1127" w:type="dxa"/>
            <w:tcBorders>
              <w:bottom w:val="single" w:sz="4" w:space="0" w:color="auto"/>
            </w:tcBorders>
          </w:tcPr>
          <w:p w:rsidR="00645B6F" w:rsidRPr="00D47427" w:rsidRDefault="00645B6F" w:rsidP="00D809BD">
            <w:pPr>
              <w:pStyle w:val="TCTableBody"/>
              <w:rPr>
                <w:lang w:val="en-US"/>
              </w:rPr>
            </w:pPr>
            <w:r w:rsidRPr="00D47427">
              <w:rPr>
                <w:lang w:val="en-US"/>
              </w:rPr>
              <w:t>PC</w:t>
            </w:r>
          </w:p>
          <w:p w:rsidR="00645B6F" w:rsidRPr="00D47427" w:rsidRDefault="00645B6F" w:rsidP="00D809BD">
            <w:pPr>
              <w:pStyle w:val="TCTableBody"/>
              <w:rPr>
                <w:lang w:val="en-US"/>
              </w:rPr>
            </w:pPr>
          </w:p>
        </w:tc>
      </w:tr>
      <w:tr w:rsidR="00645B6F" w:rsidRPr="00D47427" w:rsidTr="00D809BD">
        <w:trPr>
          <w:trHeight w:val="79"/>
          <w:jc w:val="center"/>
        </w:trPr>
        <w:tc>
          <w:tcPr>
            <w:tcW w:w="1503" w:type="dxa"/>
            <w:tcBorders>
              <w:top w:val="single" w:sz="4" w:space="0" w:color="auto"/>
            </w:tcBorders>
          </w:tcPr>
          <w:p w:rsidR="00645B6F" w:rsidRPr="00D47427" w:rsidRDefault="00645B6F" w:rsidP="00D809BD">
            <w:pPr>
              <w:pStyle w:val="TCTableBody"/>
              <w:rPr>
                <w:lang w:val="en-US"/>
              </w:rPr>
            </w:pPr>
          </w:p>
        </w:tc>
        <w:tc>
          <w:tcPr>
            <w:tcW w:w="1629" w:type="dxa"/>
            <w:gridSpan w:val="2"/>
            <w:tcBorders>
              <w:top w:val="single" w:sz="4" w:space="0" w:color="auto"/>
            </w:tcBorders>
          </w:tcPr>
          <w:p w:rsidR="00645B6F" w:rsidRPr="00D47427" w:rsidRDefault="00645B6F" w:rsidP="00D809BD">
            <w:pPr>
              <w:pStyle w:val="TCTableBody"/>
              <w:rPr>
                <w:lang w:val="en-US"/>
              </w:rPr>
            </w:pPr>
          </w:p>
        </w:tc>
        <w:tc>
          <w:tcPr>
            <w:tcW w:w="1754" w:type="dxa"/>
            <w:gridSpan w:val="2"/>
            <w:tcBorders>
              <w:top w:val="single" w:sz="4" w:space="0" w:color="auto"/>
            </w:tcBorders>
          </w:tcPr>
          <w:p w:rsidR="00645B6F" w:rsidRPr="00D47427" w:rsidRDefault="00645B6F" w:rsidP="00D809BD">
            <w:pPr>
              <w:pStyle w:val="TCTableBody"/>
              <w:rPr>
                <w:lang w:val="en-US"/>
              </w:rPr>
            </w:pPr>
          </w:p>
        </w:tc>
        <w:tc>
          <w:tcPr>
            <w:tcW w:w="2505" w:type="dxa"/>
            <w:tcBorders>
              <w:top w:val="single" w:sz="4" w:space="0" w:color="auto"/>
            </w:tcBorders>
          </w:tcPr>
          <w:p w:rsidR="00645B6F" w:rsidRPr="00D47427" w:rsidRDefault="00645B6F" w:rsidP="00D809BD">
            <w:pPr>
              <w:pStyle w:val="TCTableBody"/>
              <w:rPr>
                <w:rFonts w:ascii="Symbol" w:hAnsi="Symbol"/>
                <w:lang w:val="en-US"/>
              </w:rPr>
            </w:pPr>
          </w:p>
        </w:tc>
        <w:tc>
          <w:tcPr>
            <w:tcW w:w="1127" w:type="dxa"/>
            <w:tcBorders>
              <w:top w:val="single" w:sz="4" w:space="0" w:color="auto"/>
            </w:tcBorders>
          </w:tcPr>
          <w:p w:rsidR="00645B6F" w:rsidRPr="00D47427" w:rsidRDefault="00645B6F" w:rsidP="00D809BD">
            <w:pPr>
              <w:pStyle w:val="TCTableBody"/>
              <w:rPr>
                <w:lang w:val="en-US"/>
              </w:rPr>
            </w:pPr>
          </w:p>
        </w:tc>
      </w:tr>
      <w:tr w:rsidR="00645B6F" w:rsidRPr="00D47427" w:rsidTr="00D809BD">
        <w:trPr>
          <w:trHeight w:val="79"/>
          <w:jc w:val="center"/>
        </w:trPr>
        <w:tc>
          <w:tcPr>
            <w:tcW w:w="1503" w:type="dxa"/>
            <w:vMerge w:val="restart"/>
          </w:tcPr>
          <w:p w:rsidR="00645B6F" w:rsidRPr="00D47427" w:rsidRDefault="00645B6F" w:rsidP="00D809BD">
            <w:pPr>
              <w:pStyle w:val="TCTableBody"/>
              <w:rPr>
                <w:lang w:val="en-US"/>
              </w:rPr>
            </w:pPr>
            <w:r w:rsidRPr="00D47427">
              <w:rPr>
                <w:lang w:val="en-US"/>
              </w:rPr>
              <w:t>PC-LiClO</w:t>
            </w:r>
            <w:r w:rsidRPr="00D47427">
              <w:rPr>
                <w:vertAlign w:val="subscript"/>
                <w:lang w:val="en-US"/>
              </w:rPr>
              <w:t>4</w:t>
            </w:r>
            <w:r w:rsidRPr="00D47427">
              <w:rPr>
                <w:lang w:val="en-US"/>
              </w:rPr>
              <w:t xml:space="preserve"> / Oxygen</w:t>
            </w:r>
          </w:p>
        </w:tc>
        <w:tc>
          <w:tcPr>
            <w:tcW w:w="1629" w:type="dxa"/>
            <w:gridSpan w:val="2"/>
          </w:tcPr>
          <w:p w:rsidR="00645B6F" w:rsidRPr="00D47427" w:rsidRDefault="00645B6F" w:rsidP="00D809BD">
            <w:pPr>
              <w:pStyle w:val="TCTableBody"/>
              <w:rPr>
                <w:lang w:val="en-US"/>
              </w:rPr>
            </w:pPr>
            <w:r w:rsidRPr="00D47427">
              <w:rPr>
                <w:lang w:val="en-US"/>
              </w:rPr>
              <w:t>1813(+)**</w:t>
            </w:r>
          </w:p>
        </w:tc>
        <w:tc>
          <w:tcPr>
            <w:tcW w:w="1754" w:type="dxa"/>
            <w:gridSpan w:val="2"/>
          </w:tcPr>
          <w:p w:rsidR="00645B6F" w:rsidRPr="00D47427" w:rsidRDefault="00645B6F" w:rsidP="00D809BD">
            <w:pPr>
              <w:pStyle w:val="TCTableBody"/>
              <w:rPr>
                <w:lang w:val="en-US"/>
              </w:rPr>
            </w:pPr>
            <w:r w:rsidRPr="00D47427">
              <w:rPr>
                <w:lang w:val="en-US"/>
              </w:rPr>
              <w:t>1813(+)</w:t>
            </w:r>
          </w:p>
        </w:tc>
        <w:tc>
          <w:tcPr>
            <w:tcW w:w="2505" w:type="dxa"/>
          </w:tcPr>
          <w:p w:rsidR="00645B6F" w:rsidRPr="00D47427" w:rsidRDefault="00645B6F" w:rsidP="00D809BD">
            <w:pPr>
              <w:pStyle w:val="TCTableBody"/>
              <w:rPr>
                <w:lang w:val="en-US"/>
              </w:rPr>
            </w:pPr>
            <w:r w:rsidRPr="00D47427">
              <w:rPr>
                <w:rFonts w:ascii="Symbol" w:hAnsi="Symbol"/>
                <w:lang w:val="en-US"/>
              </w:rPr>
              <w:t></w:t>
            </w:r>
            <w:r w:rsidRPr="00D47427">
              <w:rPr>
                <w:rFonts w:ascii="Symbol" w:hAnsi="Symbol"/>
                <w:lang w:val="en-US"/>
              </w:rPr>
              <w:t></w:t>
            </w:r>
            <w:r w:rsidRPr="00D47427">
              <w:rPr>
                <w:lang w:val="en-US"/>
              </w:rPr>
              <w:t>C</w:t>
            </w:r>
            <w:r w:rsidRPr="00D47427">
              <w:rPr>
                <w:rFonts w:ascii="Times New Roman" w:hAnsi="Times New Roman" w:cs="Times New Roman"/>
                <w:lang w:val="en-US"/>
              </w:rPr>
              <w:t>═</w:t>
            </w:r>
            <w:r w:rsidRPr="00D47427">
              <w:rPr>
                <w:lang w:val="en-US"/>
              </w:rPr>
              <w:t>O)</w:t>
            </w:r>
          </w:p>
        </w:tc>
        <w:tc>
          <w:tcPr>
            <w:tcW w:w="1127" w:type="dxa"/>
          </w:tcPr>
          <w:p w:rsidR="00645B6F" w:rsidRPr="00D47427" w:rsidRDefault="00645B6F" w:rsidP="00D809BD">
            <w:pPr>
              <w:pStyle w:val="TCTableBody"/>
              <w:rPr>
                <w:lang w:val="en-US"/>
              </w:rPr>
            </w:pPr>
            <w:r w:rsidRPr="00D47427">
              <w:rPr>
                <w:lang w:val="en-US"/>
              </w:rPr>
              <w:t>PC</w:t>
            </w:r>
          </w:p>
        </w:tc>
      </w:tr>
      <w:tr w:rsidR="00645B6F" w:rsidRPr="00D47427" w:rsidTr="00D809BD">
        <w:trPr>
          <w:trHeight w:val="79"/>
          <w:jc w:val="center"/>
        </w:trPr>
        <w:tc>
          <w:tcPr>
            <w:tcW w:w="1503" w:type="dxa"/>
            <w:vMerge/>
          </w:tcPr>
          <w:p w:rsidR="00645B6F" w:rsidRPr="00D47427" w:rsidRDefault="00645B6F" w:rsidP="00D809BD">
            <w:pPr>
              <w:pStyle w:val="TCTableBody"/>
              <w:rPr>
                <w:lang w:val="en-US"/>
              </w:rPr>
            </w:pPr>
          </w:p>
        </w:tc>
        <w:tc>
          <w:tcPr>
            <w:tcW w:w="1629" w:type="dxa"/>
            <w:gridSpan w:val="2"/>
          </w:tcPr>
          <w:p w:rsidR="00645B6F" w:rsidRPr="00D47427" w:rsidRDefault="00645B6F" w:rsidP="00D809BD">
            <w:pPr>
              <w:pStyle w:val="TCTableBody"/>
              <w:rPr>
                <w:lang w:val="en-US"/>
              </w:rPr>
            </w:pPr>
            <w:r w:rsidRPr="00D47427">
              <w:rPr>
                <w:lang w:val="en-US"/>
              </w:rPr>
              <w:t xml:space="preserve">1676 </w:t>
            </w:r>
          </w:p>
        </w:tc>
        <w:tc>
          <w:tcPr>
            <w:tcW w:w="1754" w:type="dxa"/>
            <w:gridSpan w:val="2"/>
          </w:tcPr>
          <w:p w:rsidR="00645B6F" w:rsidRPr="00D47427" w:rsidRDefault="00645B6F" w:rsidP="00D809BD">
            <w:pPr>
              <w:pStyle w:val="TCTableBody"/>
              <w:rPr>
                <w:lang w:val="en-US"/>
              </w:rPr>
            </w:pPr>
            <w:r w:rsidRPr="00D47427">
              <w:rPr>
                <w:lang w:val="en-US"/>
              </w:rPr>
              <w:t xml:space="preserve">1676 </w:t>
            </w:r>
          </w:p>
        </w:tc>
        <w:tc>
          <w:tcPr>
            <w:tcW w:w="2505" w:type="dxa"/>
          </w:tcPr>
          <w:p w:rsidR="00645B6F" w:rsidRPr="00D47427" w:rsidRDefault="00645B6F" w:rsidP="00D809BD">
            <w:pPr>
              <w:pStyle w:val="TCTableBody"/>
              <w:rPr>
                <w:lang w:val="en-US"/>
              </w:rPr>
            </w:pPr>
            <w:r w:rsidRPr="00D47427">
              <w:rPr>
                <w:rFonts w:ascii="Symbol" w:hAnsi="Symbol"/>
                <w:lang w:val="en-US"/>
              </w:rPr>
              <w:t></w:t>
            </w:r>
            <w:r w:rsidRPr="00D47427">
              <w:rPr>
                <w:rFonts w:ascii="Symbol" w:hAnsi="Symbol"/>
                <w:lang w:val="en-US"/>
              </w:rPr>
              <w:t></w:t>
            </w:r>
            <w:r w:rsidRPr="00D47427">
              <w:rPr>
                <w:lang w:val="en-US"/>
              </w:rPr>
              <w:t>C</w:t>
            </w:r>
            <w:r w:rsidRPr="00D47427">
              <w:rPr>
                <w:rFonts w:ascii="Times New Roman" w:hAnsi="Times New Roman" w:cs="Times New Roman"/>
                <w:lang w:val="en-US"/>
              </w:rPr>
              <w:t>═</w:t>
            </w:r>
            <w:r w:rsidRPr="00D47427">
              <w:rPr>
                <w:lang w:val="en-US"/>
              </w:rPr>
              <w:t>O)</w:t>
            </w:r>
          </w:p>
        </w:tc>
        <w:tc>
          <w:tcPr>
            <w:tcW w:w="1127" w:type="dxa"/>
          </w:tcPr>
          <w:p w:rsidR="00645B6F" w:rsidRPr="00D47427" w:rsidRDefault="00645B6F" w:rsidP="00D809BD">
            <w:pPr>
              <w:pStyle w:val="TCTableBody"/>
              <w:rPr>
                <w:vertAlign w:val="superscript"/>
                <w:lang w:val="en-US"/>
              </w:rPr>
            </w:pPr>
            <w:r w:rsidRPr="00D47427">
              <w:rPr>
                <w:lang w:val="en-US"/>
              </w:rPr>
              <w:t>ROCO</w:t>
            </w:r>
            <w:r w:rsidRPr="00D47427">
              <w:rPr>
                <w:vertAlign w:val="subscript"/>
                <w:lang w:val="en-US"/>
              </w:rPr>
              <w:t>2</w:t>
            </w:r>
            <w:r w:rsidRPr="00D47427">
              <w:rPr>
                <w:lang w:val="en-US"/>
              </w:rPr>
              <w:t>Li</w:t>
            </w:r>
          </w:p>
        </w:tc>
      </w:tr>
      <w:tr w:rsidR="00645B6F" w:rsidRPr="00D47427" w:rsidTr="00D809BD">
        <w:trPr>
          <w:trHeight w:val="79"/>
          <w:jc w:val="center"/>
        </w:trPr>
        <w:tc>
          <w:tcPr>
            <w:tcW w:w="1503" w:type="dxa"/>
            <w:vMerge/>
          </w:tcPr>
          <w:p w:rsidR="00645B6F" w:rsidRPr="00D47427" w:rsidRDefault="00645B6F" w:rsidP="00D809BD">
            <w:pPr>
              <w:pStyle w:val="TCTableBody"/>
              <w:rPr>
                <w:lang w:val="en-US"/>
              </w:rPr>
            </w:pPr>
          </w:p>
        </w:tc>
        <w:tc>
          <w:tcPr>
            <w:tcW w:w="1629" w:type="dxa"/>
            <w:gridSpan w:val="2"/>
          </w:tcPr>
          <w:p w:rsidR="00645B6F" w:rsidRPr="00D47427" w:rsidRDefault="00645B6F" w:rsidP="00D809BD">
            <w:pPr>
              <w:pStyle w:val="TCTableBody"/>
              <w:rPr>
                <w:lang w:val="en-US"/>
              </w:rPr>
            </w:pPr>
            <w:r w:rsidRPr="00D47427">
              <w:rPr>
                <w:lang w:val="en-US"/>
              </w:rPr>
              <w:t>1401</w:t>
            </w:r>
          </w:p>
        </w:tc>
        <w:tc>
          <w:tcPr>
            <w:tcW w:w="1754" w:type="dxa"/>
            <w:gridSpan w:val="2"/>
          </w:tcPr>
          <w:p w:rsidR="00645B6F" w:rsidRPr="00D47427" w:rsidRDefault="00645B6F" w:rsidP="00D809BD">
            <w:pPr>
              <w:pStyle w:val="TCTableBody"/>
              <w:rPr>
                <w:lang w:val="en-US"/>
              </w:rPr>
            </w:pPr>
            <w:r w:rsidRPr="00D47427">
              <w:rPr>
                <w:lang w:val="en-US"/>
              </w:rPr>
              <w:t>1401</w:t>
            </w:r>
          </w:p>
        </w:tc>
        <w:tc>
          <w:tcPr>
            <w:tcW w:w="2505" w:type="dxa"/>
          </w:tcPr>
          <w:p w:rsidR="00645B6F" w:rsidRPr="00D47427" w:rsidRDefault="00645B6F" w:rsidP="00D809BD">
            <w:pPr>
              <w:pStyle w:val="TCTableBody"/>
              <w:rPr>
                <w:lang w:val="en-US"/>
              </w:rPr>
            </w:pPr>
            <w:r w:rsidRPr="00D47427">
              <w:rPr>
                <w:rFonts w:ascii="Symbol" w:hAnsi="Symbol"/>
                <w:lang w:val="en-US"/>
              </w:rPr>
              <w:t></w:t>
            </w:r>
            <w:r w:rsidRPr="00D47427">
              <w:rPr>
                <w:rFonts w:ascii="Symbol" w:hAnsi="Symbol"/>
                <w:lang w:val="en-US"/>
              </w:rPr>
              <w:t></w:t>
            </w:r>
            <w:r w:rsidRPr="00D47427">
              <w:rPr>
                <w:lang w:val="en-US"/>
              </w:rPr>
              <w:t>CH</w:t>
            </w:r>
            <w:r w:rsidRPr="00D47427">
              <w:rPr>
                <w:vertAlign w:val="subscript"/>
                <w:lang w:val="en-US"/>
              </w:rPr>
              <w:t>2</w:t>
            </w:r>
            <w:r w:rsidRPr="00D47427">
              <w:rPr>
                <w:lang w:val="en-US"/>
              </w:rPr>
              <w:t xml:space="preserve">) + </w:t>
            </w:r>
            <w:r w:rsidRPr="00D47427">
              <w:rPr>
                <w:rFonts w:ascii="Symbol" w:hAnsi="Symbol"/>
                <w:lang w:val="en-US"/>
              </w:rPr>
              <w:t></w:t>
            </w:r>
            <w:r w:rsidRPr="00D47427">
              <w:rPr>
                <w:rFonts w:ascii="Symbol" w:hAnsi="Symbol"/>
                <w:lang w:val="en-US"/>
              </w:rPr>
              <w:t></w:t>
            </w:r>
            <w:r w:rsidRPr="00D47427">
              <w:rPr>
                <w:rFonts w:ascii="Symbol" w:hAnsi="Symbol"/>
                <w:lang w:val="en-US"/>
              </w:rPr>
              <w:t></w:t>
            </w:r>
            <w:r w:rsidRPr="00D47427">
              <w:rPr>
                <w:lang w:val="en-US"/>
              </w:rPr>
              <w:t>−CH</w:t>
            </w:r>
            <w:r w:rsidRPr="00D47427">
              <w:rPr>
                <w:vertAlign w:val="subscript"/>
                <w:lang w:val="en-US"/>
              </w:rPr>
              <w:t>2</w:t>
            </w:r>
            <w:r w:rsidRPr="00D47427">
              <w:rPr>
                <w:lang w:val="en-US"/>
              </w:rPr>
              <w:t>)</w:t>
            </w:r>
          </w:p>
        </w:tc>
        <w:tc>
          <w:tcPr>
            <w:tcW w:w="1127" w:type="dxa"/>
          </w:tcPr>
          <w:p w:rsidR="00645B6F" w:rsidRPr="00D47427" w:rsidRDefault="00645B6F" w:rsidP="00D809BD">
            <w:pPr>
              <w:pStyle w:val="TCTableBody"/>
              <w:rPr>
                <w:lang w:val="en-US"/>
              </w:rPr>
            </w:pPr>
            <w:r w:rsidRPr="00D47427">
              <w:rPr>
                <w:lang w:val="en-US"/>
              </w:rPr>
              <w:t>ROCO</w:t>
            </w:r>
            <w:r w:rsidRPr="00D47427">
              <w:rPr>
                <w:vertAlign w:val="subscript"/>
                <w:lang w:val="en-US"/>
              </w:rPr>
              <w:t>2</w:t>
            </w:r>
            <w:r w:rsidRPr="00D47427">
              <w:rPr>
                <w:lang w:val="en-US"/>
              </w:rPr>
              <w:t>Li</w:t>
            </w:r>
          </w:p>
        </w:tc>
      </w:tr>
      <w:tr w:rsidR="00645B6F" w:rsidRPr="00D47427" w:rsidTr="00D809BD">
        <w:trPr>
          <w:trHeight w:val="79"/>
          <w:jc w:val="center"/>
        </w:trPr>
        <w:tc>
          <w:tcPr>
            <w:tcW w:w="1503" w:type="dxa"/>
            <w:vMerge/>
          </w:tcPr>
          <w:p w:rsidR="00645B6F" w:rsidRPr="00D47427" w:rsidRDefault="00645B6F" w:rsidP="00D809BD">
            <w:pPr>
              <w:pStyle w:val="TCTableBody"/>
              <w:rPr>
                <w:lang w:val="en-US"/>
              </w:rPr>
            </w:pPr>
          </w:p>
        </w:tc>
        <w:tc>
          <w:tcPr>
            <w:tcW w:w="1629" w:type="dxa"/>
            <w:gridSpan w:val="2"/>
          </w:tcPr>
          <w:p w:rsidR="00645B6F" w:rsidRPr="00D47427" w:rsidRDefault="00645B6F" w:rsidP="00D809BD">
            <w:pPr>
              <w:pStyle w:val="TCTableBody"/>
              <w:rPr>
                <w:lang w:val="en-US"/>
              </w:rPr>
            </w:pPr>
            <w:r w:rsidRPr="00D47427">
              <w:rPr>
                <w:lang w:val="en-US"/>
              </w:rPr>
              <w:t>1375</w:t>
            </w:r>
          </w:p>
        </w:tc>
        <w:tc>
          <w:tcPr>
            <w:tcW w:w="1754" w:type="dxa"/>
            <w:gridSpan w:val="2"/>
          </w:tcPr>
          <w:p w:rsidR="00645B6F" w:rsidRPr="00D47427" w:rsidRDefault="00645B6F" w:rsidP="00D809BD">
            <w:pPr>
              <w:pStyle w:val="TCTableBody"/>
              <w:rPr>
                <w:lang w:val="en-US"/>
              </w:rPr>
            </w:pPr>
            <w:r w:rsidRPr="00D47427">
              <w:rPr>
                <w:lang w:val="en-US"/>
              </w:rPr>
              <w:t>1375</w:t>
            </w:r>
          </w:p>
        </w:tc>
        <w:tc>
          <w:tcPr>
            <w:tcW w:w="2505" w:type="dxa"/>
          </w:tcPr>
          <w:p w:rsidR="00645B6F" w:rsidRPr="00D47427" w:rsidRDefault="00645B6F" w:rsidP="00D809BD">
            <w:pPr>
              <w:pStyle w:val="TCTableBody"/>
              <w:rPr>
                <w:lang w:val="en-US"/>
              </w:rPr>
            </w:pPr>
            <w:r w:rsidRPr="00D47427">
              <w:rPr>
                <w:rFonts w:ascii="Symbol" w:hAnsi="Symbol"/>
                <w:lang w:val="en-US"/>
              </w:rPr>
              <w:t></w:t>
            </w:r>
            <w:r w:rsidRPr="00D47427">
              <w:rPr>
                <w:rFonts w:ascii="Symbol" w:hAnsi="Symbol"/>
                <w:lang w:val="en-US"/>
              </w:rPr>
              <w:t></w:t>
            </w:r>
            <w:r w:rsidRPr="00D47427">
              <w:rPr>
                <w:lang w:val="en-US"/>
              </w:rPr>
              <w:t>C</w:t>
            </w:r>
            <w:r w:rsidRPr="00D47427">
              <w:rPr>
                <w:rFonts w:ascii="Symbol" w:hAnsi="Symbol"/>
                <w:lang w:val="en-US"/>
              </w:rPr>
              <w:t></w:t>
            </w:r>
            <w:r w:rsidRPr="00D47427">
              <w:rPr>
                <w:rFonts w:ascii="Symbol" w:hAnsi="Symbol"/>
                <w:vertAlign w:val="subscript"/>
                <w:lang w:val="en-US"/>
              </w:rPr>
              <w:t></w:t>
            </w:r>
            <w:r w:rsidRPr="00D47427">
              <w:rPr>
                <w:rFonts w:ascii="Symbol" w:hAnsi="Symbol"/>
                <w:lang w:val="en-US"/>
              </w:rPr>
              <w:t></w:t>
            </w:r>
          </w:p>
        </w:tc>
        <w:tc>
          <w:tcPr>
            <w:tcW w:w="1127" w:type="dxa"/>
          </w:tcPr>
          <w:p w:rsidR="00645B6F" w:rsidRPr="00D47427" w:rsidRDefault="00645B6F" w:rsidP="00D809BD">
            <w:pPr>
              <w:pStyle w:val="TCTableBody"/>
              <w:rPr>
                <w:lang w:val="en-US"/>
              </w:rPr>
            </w:pPr>
            <w:r w:rsidRPr="00D47427">
              <w:rPr>
                <w:lang w:val="en-US"/>
              </w:rPr>
              <w:t>ROCO</w:t>
            </w:r>
            <w:r w:rsidRPr="00D47427">
              <w:rPr>
                <w:vertAlign w:val="subscript"/>
                <w:lang w:val="en-US"/>
              </w:rPr>
              <w:t>2</w:t>
            </w:r>
            <w:r w:rsidRPr="00D47427">
              <w:rPr>
                <w:lang w:val="en-US"/>
              </w:rPr>
              <w:t>Li</w:t>
            </w:r>
          </w:p>
        </w:tc>
      </w:tr>
      <w:tr w:rsidR="00645B6F" w:rsidRPr="00D47427" w:rsidTr="00D809BD">
        <w:trPr>
          <w:trHeight w:val="79"/>
          <w:jc w:val="center"/>
        </w:trPr>
        <w:tc>
          <w:tcPr>
            <w:tcW w:w="1503" w:type="dxa"/>
            <w:vMerge/>
          </w:tcPr>
          <w:p w:rsidR="00645B6F" w:rsidRPr="00D47427" w:rsidRDefault="00645B6F" w:rsidP="00D809BD">
            <w:pPr>
              <w:pStyle w:val="TCTableBody"/>
              <w:rPr>
                <w:lang w:val="en-US"/>
              </w:rPr>
            </w:pPr>
          </w:p>
        </w:tc>
        <w:tc>
          <w:tcPr>
            <w:tcW w:w="1629" w:type="dxa"/>
            <w:gridSpan w:val="2"/>
          </w:tcPr>
          <w:p w:rsidR="00645B6F" w:rsidRPr="00D47427" w:rsidRDefault="00645B6F" w:rsidP="00D809BD">
            <w:pPr>
              <w:pStyle w:val="TCTableBody"/>
              <w:rPr>
                <w:lang w:val="en-US"/>
              </w:rPr>
            </w:pPr>
            <w:r w:rsidRPr="00D47427">
              <w:rPr>
                <w:lang w:val="en-US"/>
              </w:rPr>
              <w:t>1315</w:t>
            </w:r>
          </w:p>
        </w:tc>
        <w:tc>
          <w:tcPr>
            <w:tcW w:w="1754" w:type="dxa"/>
            <w:gridSpan w:val="2"/>
          </w:tcPr>
          <w:p w:rsidR="00645B6F" w:rsidRPr="00D47427" w:rsidRDefault="00645B6F" w:rsidP="00D809BD">
            <w:pPr>
              <w:pStyle w:val="TCTableBody"/>
              <w:rPr>
                <w:lang w:val="en-US"/>
              </w:rPr>
            </w:pPr>
            <w:r w:rsidRPr="00D47427">
              <w:rPr>
                <w:lang w:val="en-US"/>
              </w:rPr>
              <w:t>1315</w:t>
            </w:r>
          </w:p>
        </w:tc>
        <w:tc>
          <w:tcPr>
            <w:tcW w:w="2505" w:type="dxa"/>
          </w:tcPr>
          <w:p w:rsidR="00645B6F" w:rsidRPr="00D47427" w:rsidRDefault="00645B6F" w:rsidP="00D809BD">
            <w:pPr>
              <w:pStyle w:val="TCTableBody"/>
              <w:rPr>
                <w:lang w:val="en-US"/>
              </w:rPr>
            </w:pPr>
            <w:r w:rsidRPr="00D47427">
              <w:rPr>
                <w:rFonts w:ascii="Symbol" w:hAnsi="Symbol"/>
                <w:lang w:val="en-US"/>
              </w:rPr>
              <w:t></w:t>
            </w:r>
            <w:r w:rsidRPr="00D47427">
              <w:rPr>
                <w:rFonts w:ascii="Symbol" w:hAnsi="Symbol"/>
                <w:lang w:val="en-US"/>
              </w:rPr>
              <w:t></w:t>
            </w:r>
            <w:r w:rsidRPr="00D47427">
              <w:rPr>
                <w:lang w:val="en-US"/>
              </w:rPr>
              <w:t>CH</w:t>
            </w:r>
            <w:r w:rsidRPr="00D47427">
              <w:rPr>
                <w:vertAlign w:val="subscript"/>
                <w:lang w:val="en-US"/>
              </w:rPr>
              <w:t>2</w:t>
            </w:r>
            <w:r w:rsidRPr="00D47427">
              <w:rPr>
                <w:lang w:val="en-US"/>
              </w:rPr>
              <w:t>)</w:t>
            </w:r>
          </w:p>
        </w:tc>
        <w:tc>
          <w:tcPr>
            <w:tcW w:w="1127" w:type="dxa"/>
          </w:tcPr>
          <w:p w:rsidR="00645B6F" w:rsidRPr="00D47427" w:rsidRDefault="00645B6F" w:rsidP="00D809BD">
            <w:pPr>
              <w:pStyle w:val="TCTableBody"/>
              <w:rPr>
                <w:lang w:val="en-US"/>
              </w:rPr>
            </w:pPr>
            <w:r w:rsidRPr="00D47427">
              <w:rPr>
                <w:lang w:val="en-US"/>
              </w:rPr>
              <w:t>ROCO</w:t>
            </w:r>
            <w:r w:rsidRPr="00D47427">
              <w:rPr>
                <w:vertAlign w:val="subscript"/>
                <w:lang w:val="en-US"/>
              </w:rPr>
              <w:t>2</w:t>
            </w:r>
            <w:r w:rsidRPr="00D47427">
              <w:rPr>
                <w:lang w:val="en-US"/>
              </w:rPr>
              <w:t>Li</w:t>
            </w:r>
          </w:p>
        </w:tc>
      </w:tr>
      <w:tr w:rsidR="00645B6F" w:rsidRPr="00D47427" w:rsidTr="00D809BD">
        <w:trPr>
          <w:trHeight w:val="79"/>
          <w:jc w:val="center"/>
        </w:trPr>
        <w:tc>
          <w:tcPr>
            <w:tcW w:w="1503" w:type="dxa"/>
          </w:tcPr>
          <w:p w:rsidR="00645B6F" w:rsidRPr="00D47427" w:rsidRDefault="00645B6F" w:rsidP="00D809BD">
            <w:pPr>
              <w:pStyle w:val="TCTableBody"/>
              <w:rPr>
                <w:lang w:val="en-US"/>
              </w:rPr>
            </w:pPr>
          </w:p>
        </w:tc>
        <w:tc>
          <w:tcPr>
            <w:tcW w:w="1629" w:type="dxa"/>
            <w:gridSpan w:val="2"/>
          </w:tcPr>
          <w:p w:rsidR="00645B6F" w:rsidRPr="00D47427" w:rsidRDefault="00645B6F" w:rsidP="00D809BD">
            <w:pPr>
              <w:pStyle w:val="TCTableBody"/>
              <w:rPr>
                <w:lang w:val="en-US"/>
              </w:rPr>
            </w:pPr>
            <w:r w:rsidRPr="00D47427">
              <w:rPr>
                <w:lang w:val="en-US"/>
              </w:rPr>
              <w:t>1094</w:t>
            </w:r>
          </w:p>
        </w:tc>
        <w:tc>
          <w:tcPr>
            <w:tcW w:w="1754" w:type="dxa"/>
            <w:gridSpan w:val="2"/>
          </w:tcPr>
          <w:p w:rsidR="00645B6F" w:rsidRPr="00D47427" w:rsidRDefault="00645B6F" w:rsidP="00D809BD">
            <w:pPr>
              <w:pStyle w:val="TCTableBody"/>
              <w:rPr>
                <w:lang w:val="en-US"/>
              </w:rPr>
            </w:pPr>
            <w:r w:rsidRPr="00D47427">
              <w:rPr>
                <w:lang w:val="en-US"/>
              </w:rPr>
              <w:t>1093</w:t>
            </w:r>
          </w:p>
        </w:tc>
        <w:tc>
          <w:tcPr>
            <w:tcW w:w="2505" w:type="dxa"/>
          </w:tcPr>
          <w:p w:rsidR="00645B6F" w:rsidRPr="00D47427" w:rsidRDefault="00645B6F" w:rsidP="00D809BD">
            <w:pPr>
              <w:pStyle w:val="TCTableBody"/>
              <w:rPr>
                <w:lang w:val="en-US"/>
              </w:rPr>
            </w:pPr>
            <w:r w:rsidRPr="00D47427">
              <w:rPr>
                <w:lang w:val="en-US"/>
              </w:rPr>
              <w:t>(unassigned</w:t>
            </w:r>
            <w:r w:rsidRPr="00D47427">
              <w:rPr>
                <w:vertAlign w:val="superscript"/>
                <w:lang w:val="en-US"/>
              </w:rPr>
              <w:t xml:space="preserve"> </w:t>
            </w:r>
            <w:r w:rsidRPr="00D47427">
              <w:rPr>
                <w:lang w:val="en-US"/>
              </w:rPr>
              <w:t>)</w:t>
            </w:r>
          </w:p>
        </w:tc>
        <w:tc>
          <w:tcPr>
            <w:tcW w:w="1127" w:type="dxa"/>
          </w:tcPr>
          <w:p w:rsidR="00645B6F" w:rsidRPr="00D47427" w:rsidRDefault="00645B6F" w:rsidP="00D809BD">
            <w:pPr>
              <w:pStyle w:val="TCTableBody"/>
              <w:rPr>
                <w:lang w:val="en-US"/>
              </w:rPr>
            </w:pPr>
            <w:r w:rsidRPr="00D47427">
              <w:rPr>
                <w:lang w:val="en-US"/>
              </w:rPr>
              <w:t>-</w:t>
            </w:r>
            <w:r w:rsidRPr="00D47427">
              <w:rPr>
                <w:vertAlign w:val="superscript"/>
                <w:lang w:val="en-US"/>
              </w:rPr>
              <w:t xml:space="preserve"> </w:t>
            </w:r>
          </w:p>
        </w:tc>
      </w:tr>
      <w:tr w:rsidR="00645B6F" w:rsidRPr="00D47427" w:rsidTr="00D809BD">
        <w:trPr>
          <w:trHeight w:val="79"/>
          <w:jc w:val="center"/>
        </w:trPr>
        <w:tc>
          <w:tcPr>
            <w:tcW w:w="1503" w:type="dxa"/>
          </w:tcPr>
          <w:p w:rsidR="00645B6F" w:rsidRPr="00D47427" w:rsidRDefault="00645B6F" w:rsidP="00D809BD">
            <w:pPr>
              <w:pStyle w:val="TCTableBody"/>
              <w:rPr>
                <w:lang w:val="en-US"/>
              </w:rPr>
            </w:pPr>
          </w:p>
        </w:tc>
        <w:tc>
          <w:tcPr>
            <w:tcW w:w="1629" w:type="dxa"/>
            <w:gridSpan w:val="2"/>
          </w:tcPr>
          <w:p w:rsidR="00645B6F" w:rsidRPr="00D47427" w:rsidRDefault="00645B6F" w:rsidP="00D809BD">
            <w:pPr>
              <w:pStyle w:val="TCTableBody"/>
              <w:rPr>
                <w:lang w:val="en-US"/>
              </w:rPr>
            </w:pPr>
            <w:r w:rsidRPr="00D47427">
              <w:rPr>
                <w:lang w:val="en-US"/>
              </w:rPr>
              <w:t>1189(+),1121(+)</w:t>
            </w:r>
          </w:p>
        </w:tc>
        <w:tc>
          <w:tcPr>
            <w:tcW w:w="1754" w:type="dxa"/>
            <w:gridSpan w:val="2"/>
          </w:tcPr>
          <w:p w:rsidR="00645B6F" w:rsidRPr="00D47427" w:rsidRDefault="00645B6F" w:rsidP="00D809BD">
            <w:pPr>
              <w:pStyle w:val="TCTableBody"/>
              <w:rPr>
                <w:lang w:val="en-US"/>
              </w:rPr>
            </w:pPr>
            <w:r w:rsidRPr="00D47427">
              <w:rPr>
                <w:lang w:val="en-US"/>
              </w:rPr>
              <w:t xml:space="preserve">1189(+), 1121(+) </w:t>
            </w:r>
          </w:p>
        </w:tc>
        <w:tc>
          <w:tcPr>
            <w:tcW w:w="2505" w:type="dxa"/>
          </w:tcPr>
          <w:p w:rsidR="00645B6F" w:rsidRPr="00D47427" w:rsidRDefault="00B14C90" w:rsidP="007E65D1">
            <w:pPr>
              <w:pStyle w:val="TCTableBody"/>
              <w:rPr>
                <w:lang w:val="en-US"/>
              </w:rPr>
            </w:pPr>
            <w:r w:rsidRPr="00D47427">
              <w:rPr>
                <w:rFonts w:ascii="Symbol" w:hAnsi="Symbol"/>
                <w:lang w:val="en-US"/>
              </w:rPr>
              <w:t></w:t>
            </w:r>
            <w:r w:rsidRPr="00D47427">
              <w:rPr>
                <w:vertAlign w:val="subscript"/>
                <w:lang w:val="en-US"/>
              </w:rPr>
              <w:t>s</w:t>
            </w:r>
            <w:r w:rsidRPr="00D47427">
              <w:rPr>
                <w:lang w:val="en-US"/>
              </w:rPr>
              <w:t>(</w:t>
            </w:r>
            <w:r>
              <w:rPr>
                <w:lang w:val="en-US"/>
              </w:rPr>
              <w:t>C</w:t>
            </w:r>
            <w:r w:rsidRPr="00D47427">
              <w:rPr>
                <w:lang w:val="en-US"/>
              </w:rPr>
              <w:t>−</w:t>
            </w:r>
            <w:r>
              <w:rPr>
                <w:lang w:val="en-US"/>
              </w:rPr>
              <w:t>O</w:t>
            </w:r>
            <w:r w:rsidRPr="00D47427">
              <w:rPr>
                <w:lang w:val="en-US"/>
              </w:rPr>
              <w:t>−</w:t>
            </w:r>
            <w:r>
              <w:rPr>
                <w:lang w:val="en-US"/>
              </w:rPr>
              <w:t>C</w:t>
            </w:r>
            <w:r w:rsidRPr="00D47427">
              <w:rPr>
                <w:lang w:val="en-US"/>
              </w:rPr>
              <w:t>) +</w:t>
            </w:r>
            <w:r w:rsidRPr="00D47427">
              <w:rPr>
                <w:rFonts w:ascii="Symbol" w:hAnsi="Symbol"/>
                <w:lang w:val="en-US"/>
              </w:rPr>
              <w:t></w:t>
            </w:r>
            <w:r w:rsidRPr="00D47427">
              <w:rPr>
                <w:rFonts w:ascii="Symbol" w:hAnsi="Symbol"/>
                <w:lang w:val="en-US"/>
              </w:rPr>
              <w:t></w:t>
            </w:r>
            <w:r>
              <w:rPr>
                <w:vertAlign w:val="subscript"/>
                <w:lang w:val="en-US"/>
              </w:rPr>
              <w:t>as</w:t>
            </w:r>
            <w:r w:rsidRPr="00D47427">
              <w:rPr>
                <w:lang w:val="en-US"/>
              </w:rPr>
              <w:t>(O−C−O)</w:t>
            </w:r>
            <w:r>
              <w:rPr>
                <w:lang w:val="en-US"/>
              </w:rPr>
              <w:t xml:space="preserve">, </w:t>
            </w:r>
            <w:r w:rsidR="007E65D1" w:rsidRPr="00D47427">
              <w:rPr>
                <w:rFonts w:ascii="Symbol" w:hAnsi="Symbol"/>
                <w:lang w:val="en-US"/>
              </w:rPr>
              <w:t></w:t>
            </w:r>
            <w:r w:rsidR="007E65D1" w:rsidRPr="00D47427">
              <w:rPr>
                <w:vertAlign w:val="subscript"/>
                <w:lang w:val="en-US"/>
              </w:rPr>
              <w:t>s</w:t>
            </w:r>
            <w:r w:rsidR="007E65D1" w:rsidRPr="00D47427">
              <w:rPr>
                <w:lang w:val="en-US"/>
              </w:rPr>
              <w:t>(</w:t>
            </w:r>
            <w:r w:rsidR="007E65D1">
              <w:rPr>
                <w:lang w:val="en-US"/>
              </w:rPr>
              <w:t>CH</w:t>
            </w:r>
            <w:r w:rsidR="007E65D1" w:rsidRPr="00B14C90">
              <w:rPr>
                <w:vertAlign w:val="subscript"/>
                <w:lang w:val="en-US"/>
              </w:rPr>
              <w:t>2</w:t>
            </w:r>
            <w:r w:rsidR="007E65D1" w:rsidRPr="00D47427">
              <w:rPr>
                <w:lang w:val="en-US"/>
              </w:rPr>
              <w:t>−C</w:t>
            </w:r>
            <w:r w:rsidR="007E65D1">
              <w:rPr>
                <w:lang w:val="en-US"/>
              </w:rPr>
              <w:t>H</w:t>
            </w:r>
            <w:r w:rsidR="007E65D1" w:rsidRPr="00D47427">
              <w:rPr>
                <w:lang w:val="en-US"/>
              </w:rPr>
              <w:t>−</w:t>
            </w:r>
            <w:r w:rsidR="007E65D1">
              <w:rPr>
                <w:lang w:val="en-US"/>
              </w:rPr>
              <w:t>CH</w:t>
            </w:r>
            <w:r w:rsidR="007E65D1" w:rsidRPr="00B14C90">
              <w:rPr>
                <w:vertAlign w:val="subscript"/>
                <w:lang w:val="en-US"/>
              </w:rPr>
              <w:t>3</w:t>
            </w:r>
            <w:r w:rsidR="007E65D1" w:rsidRPr="00D47427">
              <w:rPr>
                <w:lang w:val="en-US"/>
              </w:rPr>
              <w:t>)</w:t>
            </w:r>
          </w:p>
        </w:tc>
        <w:tc>
          <w:tcPr>
            <w:tcW w:w="1127" w:type="dxa"/>
          </w:tcPr>
          <w:p w:rsidR="00645B6F" w:rsidRPr="00D47427" w:rsidRDefault="00645B6F" w:rsidP="00D809BD">
            <w:pPr>
              <w:pStyle w:val="TCTableBody"/>
              <w:rPr>
                <w:lang w:val="en-US"/>
              </w:rPr>
            </w:pPr>
            <w:r w:rsidRPr="00D47427">
              <w:rPr>
                <w:lang w:val="en-US"/>
              </w:rPr>
              <w:t>PC</w:t>
            </w:r>
          </w:p>
        </w:tc>
      </w:tr>
      <w:tr w:rsidR="00645B6F" w:rsidRPr="00D47427" w:rsidTr="00D809BD">
        <w:trPr>
          <w:trHeight w:val="79"/>
          <w:jc w:val="center"/>
        </w:trPr>
        <w:tc>
          <w:tcPr>
            <w:tcW w:w="1503" w:type="dxa"/>
            <w:tcBorders>
              <w:bottom w:val="single" w:sz="4" w:space="0" w:color="auto"/>
            </w:tcBorders>
          </w:tcPr>
          <w:p w:rsidR="00645B6F" w:rsidRPr="00D47427" w:rsidRDefault="00645B6F" w:rsidP="00D809BD">
            <w:pPr>
              <w:pStyle w:val="TCTableBody"/>
              <w:rPr>
                <w:lang w:val="en-US"/>
              </w:rPr>
            </w:pPr>
          </w:p>
        </w:tc>
        <w:tc>
          <w:tcPr>
            <w:tcW w:w="1629" w:type="dxa"/>
            <w:gridSpan w:val="2"/>
            <w:tcBorders>
              <w:bottom w:val="single" w:sz="4" w:space="0" w:color="auto"/>
            </w:tcBorders>
          </w:tcPr>
          <w:p w:rsidR="00645B6F" w:rsidRPr="00D47427" w:rsidRDefault="00645B6F" w:rsidP="00D809BD">
            <w:pPr>
              <w:pStyle w:val="TCTableBody"/>
              <w:rPr>
                <w:lang w:val="en-US"/>
              </w:rPr>
            </w:pPr>
            <w:r w:rsidRPr="00D47427">
              <w:rPr>
                <w:lang w:val="en-US"/>
              </w:rPr>
              <w:t>1055(+)</w:t>
            </w:r>
          </w:p>
        </w:tc>
        <w:tc>
          <w:tcPr>
            <w:tcW w:w="1754" w:type="dxa"/>
            <w:gridSpan w:val="2"/>
            <w:tcBorders>
              <w:bottom w:val="single" w:sz="4" w:space="0" w:color="auto"/>
            </w:tcBorders>
          </w:tcPr>
          <w:p w:rsidR="00645B6F" w:rsidRPr="00D47427" w:rsidRDefault="00645B6F" w:rsidP="00D809BD">
            <w:pPr>
              <w:pStyle w:val="TCTableBody"/>
              <w:rPr>
                <w:lang w:val="en-US"/>
              </w:rPr>
            </w:pPr>
            <w:r w:rsidRPr="00D47427">
              <w:rPr>
                <w:lang w:val="en-US"/>
              </w:rPr>
              <w:t>1055(+)</w:t>
            </w:r>
          </w:p>
        </w:tc>
        <w:tc>
          <w:tcPr>
            <w:tcW w:w="2505" w:type="dxa"/>
            <w:tcBorders>
              <w:bottom w:val="single" w:sz="4" w:space="0" w:color="auto"/>
            </w:tcBorders>
          </w:tcPr>
          <w:p w:rsidR="00645B6F" w:rsidRPr="00D47427" w:rsidRDefault="00645B6F" w:rsidP="00D809BD">
            <w:pPr>
              <w:pStyle w:val="TCTableBody"/>
              <w:rPr>
                <w:lang w:val="en-US"/>
              </w:rPr>
            </w:pPr>
            <w:r w:rsidRPr="00D47427">
              <w:rPr>
                <w:rFonts w:ascii="Symbol" w:hAnsi="Symbol"/>
                <w:lang w:val="en-US"/>
              </w:rPr>
              <w:t></w:t>
            </w:r>
            <w:r w:rsidRPr="00D47427">
              <w:rPr>
                <w:vertAlign w:val="subscript"/>
                <w:lang w:val="en-US"/>
              </w:rPr>
              <w:t>s</w:t>
            </w:r>
            <w:r w:rsidRPr="00D47427">
              <w:rPr>
                <w:lang w:val="en-US"/>
              </w:rPr>
              <w:t>(C−O)</w:t>
            </w:r>
          </w:p>
        </w:tc>
        <w:tc>
          <w:tcPr>
            <w:tcW w:w="1127" w:type="dxa"/>
            <w:tcBorders>
              <w:bottom w:val="single" w:sz="4" w:space="0" w:color="auto"/>
            </w:tcBorders>
          </w:tcPr>
          <w:p w:rsidR="00645B6F" w:rsidRPr="00D47427" w:rsidRDefault="00645B6F" w:rsidP="00D809BD">
            <w:pPr>
              <w:pStyle w:val="TCTableBody"/>
              <w:rPr>
                <w:lang w:val="en-US"/>
              </w:rPr>
            </w:pPr>
            <w:r w:rsidRPr="00D47427">
              <w:rPr>
                <w:rFonts w:ascii="Symbol" w:hAnsi="Symbol"/>
                <w:lang w:val="en-US"/>
              </w:rPr>
              <w:t></w:t>
            </w:r>
            <w:r w:rsidRPr="00D47427">
              <w:rPr>
                <w:vertAlign w:val="subscript"/>
                <w:lang w:val="en-US"/>
              </w:rPr>
              <w:t>s</w:t>
            </w:r>
            <w:r w:rsidRPr="00D47427">
              <w:rPr>
                <w:lang w:val="en-US"/>
              </w:rPr>
              <w:t>(C−O)</w:t>
            </w:r>
          </w:p>
        </w:tc>
      </w:tr>
    </w:tbl>
    <w:p w:rsidR="00D0348B" w:rsidRPr="00D47427" w:rsidRDefault="00D0348B" w:rsidP="00176590">
      <w:pPr>
        <w:pStyle w:val="TCTableBody"/>
        <w:ind w:left="720"/>
      </w:pPr>
      <w:r w:rsidRPr="00D47427">
        <w:t xml:space="preserve">* </w:t>
      </w:r>
      <w:r w:rsidRPr="00D47427">
        <w:rPr>
          <w:rFonts w:ascii="Symbol" w:hAnsi="Symbol"/>
        </w:rPr>
        <w:t></w:t>
      </w:r>
      <w:r w:rsidR="00176590">
        <w:rPr>
          <w:rFonts w:ascii="Symbol" w:hAnsi="Symbol"/>
        </w:rPr>
        <w:t></w:t>
      </w:r>
      <w:r w:rsidRPr="00D47427">
        <w:rPr>
          <w:rFonts w:ascii="Symbol" w:hAnsi="Symbol"/>
        </w:rPr>
        <w:t></w:t>
      </w:r>
      <w:r w:rsidR="00176590">
        <w:rPr>
          <w:rFonts w:ascii="Symbol" w:hAnsi="Symbol"/>
        </w:rPr>
        <w:t></w:t>
      </w:r>
      <w:r w:rsidRPr="00D47427">
        <w:t xml:space="preserve">stretching, </w:t>
      </w:r>
      <w:r w:rsidRPr="00D47427">
        <w:rPr>
          <w:rFonts w:ascii="Symbol" w:hAnsi="Symbol"/>
        </w:rPr>
        <w:t></w:t>
      </w:r>
      <w:r w:rsidR="00176590">
        <w:rPr>
          <w:rFonts w:ascii="Symbol" w:hAnsi="Symbol"/>
        </w:rPr>
        <w:t></w:t>
      </w:r>
      <w:r w:rsidRPr="00D47427">
        <w:rPr>
          <w:rFonts w:ascii="Symbol" w:hAnsi="Symbol"/>
        </w:rPr>
        <w:t></w:t>
      </w:r>
      <w:r w:rsidR="00176590">
        <w:rPr>
          <w:rFonts w:ascii="Symbol" w:hAnsi="Symbol"/>
        </w:rPr>
        <w:t></w:t>
      </w:r>
      <w:r w:rsidRPr="00D47427">
        <w:t xml:space="preserve">twisting, </w:t>
      </w:r>
      <w:r w:rsidRPr="00D47427">
        <w:rPr>
          <w:rFonts w:ascii="Symbol" w:hAnsi="Symbol"/>
        </w:rPr>
        <w:t></w:t>
      </w:r>
      <w:r w:rsidR="00176590">
        <w:rPr>
          <w:rFonts w:ascii="Symbol" w:hAnsi="Symbol"/>
        </w:rPr>
        <w:t></w:t>
      </w:r>
      <w:r w:rsidRPr="00D47427">
        <w:rPr>
          <w:rFonts w:ascii="Symbol" w:hAnsi="Symbol"/>
        </w:rPr>
        <w:t></w:t>
      </w:r>
      <w:r w:rsidR="00176590">
        <w:rPr>
          <w:rFonts w:ascii="Symbol" w:hAnsi="Symbol"/>
        </w:rPr>
        <w:t></w:t>
      </w:r>
      <w:r w:rsidRPr="00D47427">
        <w:t>scissoring,</w:t>
      </w:r>
      <w:r w:rsidRPr="00D47427">
        <w:rPr>
          <w:rFonts w:ascii="Symbol" w:hAnsi="Symbol"/>
        </w:rPr>
        <w:t></w:t>
      </w:r>
      <w:r w:rsidRPr="00D47427">
        <w:rPr>
          <w:rFonts w:ascii="Symbol" w:hAnsi="Symbol"/>
        </w:rPr>
        <w:t></w:t>
      </w:r>
      <w:r w:rsidR="00176590">
        <w:rPr>
          <w:rFonts w:ascii="Symbol" w:hAnsi="Symbol"/>
        </w:rPr>
        <w:t></w:t>
      </w:r>
      <w:r w:rsidRPr="00D47427">
        <w:rPr>
          <w:rFonts w:ascii="Symbol" w:hAnsi="Symbol"/>
        </w:rPr>
        <w:t></w:t>
      </w:r>
      <w:r w:rsidR="00176590">
        <w:rPr>
          <w:rFonts w:ascii="Symbol" w:hAnsi="Symbol"/>
        </w:rPr>
        <w:t></w:t>
      </w:r>
      <w:r w:rsidRPr="00D47427">
        <w:t>bending,</w:t>
      </w:r>
      <w:r w:rsidRPr="00D47427">
        <w:rPr>
          <w:rFonts w:ascii="Symbol" w:hAnsi="Symbol"/>
        </w:rPr>
        <w:t></w:t>
      </w:r>
      <w:r w:rsidRPr="00D47427">
        <w:rPr>
          <w:rFonts w:ascii="Symbol" w:hAnsi="Symbol"/>
        </w:rPr>
        <w:t></w:t>
      </w:r>
      <w:r w:rsidRPr="00D47427">
        <w:rPr>
          <w:vertAlign w:val="subscript"/>
        </w:rPr>
        <w:t>s</w:t>
      </w:r>
      <w:r w:rsidR="00176590">
        <w:rPr>
          <w:vertAlign w:val="subscript"/>
        </w:rPr>
        <w:t xml:space="preserve"> </w:t>
      </w:r>
      <w:r w:rsidR="00176590">
        <w:t xml:space="preserve">= </w:t>
      </w:r>
      <w:r w:rsidRPr="00D47427">
        <w:t xml:space="preserve">symmetric stretching, </w:t>
      </w:r>
      <w:r w:rsidR="00176590" w:rsidRPr="00D47427">
        <w:rPr>
          <w:rFonts w:ascii="Symbol" w:hAnsi="Symbol"/>
        </w:rPr>
        <w:t></w:t>
      </w:r>
      <w:r w:rsidR="00176590" w:rsidRPr="00176590">
        <w:rPr>
          <w:vertAlign w:val="subscript"/>
        </w:rPr>
        <w:t>as</w:t>
      </w:r>
      <w:r w:rsidR="00176590">
        <w:rPr>
          <w:vertAlign w:val="subscript"/>
        </w:rPr>
        <w:t xml:space="preserve"> </w:t>
      </w:r>
      <w:r w:rsidR="00176590">
        <w:t>= a</w:t>
      </w:r>
      <w:r w:rsidR="00176590" w:rsidRPr="00176590">
        <w:t xml:space="preserve">symmetric stretching </w:t>
      </w:r>
      <w:r w:rsidRPr="00D47427">
        <w:rPr>
          <w:rFonts w:ascii="Symbol" w:hAnsi="Symbol"/>
        </w:rPr>
        <w:t></w:t>
      </w:r>
      <w:r w:rsidRPr="00D47427">
        <w:t xml:space="preserve"> =wagging</w:t>
      </w:r>
    </w:p>
    <w:p w:rsidR="00D0348B" w:rsidRPr="00D47427" w:rsidRDefault="00D0348B" w:rsidP="00D0348B">
      <w:pPr>
        <w:pStyle w:val="TCTableBody"/>
        <w:ind w:firstLine="720"/>
      </w:pPr>
      <w:r w:rsidRPr="00D47427">
        <w:t>** (+) represent upward band indicating loss of species at the interface.</w:t>
      </w:r>
    </w:p>
    <w:p w:rsidR="00645B6F" w:rsidRPr="00D47427" w:rsidRDefault="00D0348B" w:rsidP="00645B6F">
      <w:pPr>
        <w:pStyle w:val="TCTableBody"/>
        <w:ind w:firstLine="720"/>
      </w:pPr>
      <w:r w:rsidRPr="00E23F68">
        <w:rPr>
          <w:highlight w:val="yellow"/>
        </w:rPr>
        <w:t xml:space="preserve">The band assignments were </w:t>
      </w:r>
      <w:r w:rsidR="00C1077B">
        <w:rPr>
          <w:highlight w:val="yellow"/>
        </w:rPr>
        <w:t xml:space="preserve">on the basis of </w:t>
      </w:r>
      <w:r w:rsidR="007E2DD7" w:rsidRPr="00E23F68">
        <w:rPr>
          <w:highlight w:val="yellow"/>
        </w:rPr>
        <w:fldChar w:fldCharType="begin" w:fldLock="1"/>
      </w:r>
      <w:r w:rsidR="00632873">
        <w:rPr>
          <w:highlight w:val="yellow"/>
        </w:rPr>
        <w:instrText>ADDIN CSL_CITATION { "citationItems" : [ { "id" : "ITEM-1", "itemData" : { "DOI" : "http://dx.doi.org/10.1016/j.jpowsour.2013.01.030", "ISSN" : "0378-7753", "abstract" : "Combining experimental and computational techniques can provide a better understanding of surface film formation processes that occur in the lithium-ion battery. In this paper, we show that this joint approach can provide a mechanistic understanding of the effect of oxygen in the reduction of propylene carbonate (PC). We perform FTIR analysis, inside a glove box, after conducting linear sweep voltammetry (LSV) from an open-circuit voltage (OCV) to selected potential regions; subtraction between two successive IR spectra has been made to identify the reduction products formed within each potential range. FTIR analysis in the potential range from OCV to \u22120.1\u00a0V, in conjunction with density functional theory (DFT) calculations, confirm the formation of solvated Li2CO3 and (PC)2LiOC(O)OCH(CH3)CH2OLi(PC) due to PC reduction. Our experimental results and DFT calculations suggest that in the potential range from OCV to 1.6\u00a0V, PC, in the presence of O2, can easily decompose by the superoxide ion through a nucleophilic attack at the ethereal carbon atom.", "author" : [ { "dropping-particle" : "", "family" : "Haregewoin", "given" : "Atetegeb Meazah", "non-dropping-particle" : "", "parse-names" : false, "suffix" : "" }, { "dropping-particle" : "", "family" : "Leggesse", "given" : "Ermias Girma", "non-dropping-particle" : "", "parse-names" : false, "suffix" : "" }, { "dropping-particle" : "", "family" : "Jiang", "given" : "Jyh-Chiang", "non-dropping-particle" : "", "parse-names" : false, "suffix" : "" }, { "dropping-particle" : "", "family" : "Wang", "given" : "Fu-Ming", "non-dropping-particle" : "", "parse-names" : false, "suffix" : "" }, { "dropping-particle" : "", "family" : "Hwang", "given" : "Bing-Joe", "non-dropping-particle" : "", "parse-names" : false, "suffix" : "" }, { "dropping-particle" : "", "family" : "Lin", "given" : "Shawn D", "non-dropping-particle" : "", "parse-names" : false, "suffix" : "" } ], "container-title" : "Journal of Power Sources", "id" : "ITEM-1", "issued" : { "date-parts" : [ [ "2013", "12", "15" ] ] }, "page" : "318-327", "title" : "A combined experimental and theoretical study of surface film formation: Effect of oxygen on the reduction mechanism of propylene carbonate", "type" : "article-journal", "volume" : "244" }, "uris" : [ "http://www.mendeley.com/documents/?uuid=274459b9-671e-4b56-a39e-c2cb07f92868" ] }, { "id" : "ITEM-2", "itemData" : { "DOI" : "10.1021/ja2021747", "ISSN" : "0002-7863", "author" : [ { "dropping-particle" : "", "family" : "Freunberger", "given" : "Stefan A", "non-dropping-particle" : "", "parse-names" : false, "suffix" : "" }, { "dropping-particle" : "", "family" : "Chen", "given" : "Yuhui", "non-dropping-particle" : "", "parse-names" : false, "suffix" : "" }, { "dropping-particle" : "", "family" : "Peng", "given" : "Zhangquan", "non-dropping-particle" : "", "parse-names" : false, "suffix" : "" }, { "dropping-particle" : "", "family" : "Griffin", "given" : "John M", "non-dropping-particle" : "", "parse-names" : false, "suffix" : "" }, { "dropping-particle" : "", "family" : "Hardwick", "given" : "Laurence J", "non-dropping-particle" : "", "parse-names" : false, "suffix" : "" }, { "dropping-particle" : "", "family" : "Bard\u00e9", "given" : "Fanny", "non-dropping-particle" : "", "parse-names" : false, "suffix" : "" }, { "dropping-particle" : "", "family" : "Nov\u00e1k", "given" : "Petr", "non-dropping-particle" : "", "parse-names" : false, "suffix" : "" }, { "dropping-particle" : "", "family" : "Bruce", "given" : "Peter G", "non-dropping-particle" : "", "parse-names" : false, "suffix" : "" } ], "container-title" : "Journal of the American Chemical Society", "id" : "ITEM-2", "issue" : "20", "issued" : { "date-parts" : [ [ "2011", "5", "25" ] ] }, "note" : "doi: 10.1021/ja2021747", "page" : "8040-8047", "publisher" : "American Chemical Society", "title" : "Reactions in the Rechargeable Lithium\u2013O2 Battery with Alkyl Carbonate Electrolytes", "type" : "article-journal", "volume" : "133" }, "uris" : [ "http://www.mendeley.com/documents/?uuid=e9d1fbb9-3986-40b0-8675-a544b52e90d5" ] }, { "id" : "ITEM-3", "itemData" : { "DOI" : "10.1016/0584-8539(81)80156-0", "ISSN" : "05848539", "abstract" : "The vibrational spectra of (C2H5)4NSbF6 (I) at ambient temperature are compatible with cubic symmetry but there are signs that the symmetry of the crystal is lower than Fm3m-O5h, the space group predicted from X-ray powder diffraction methods. Torsional modes of the methyl groups have been identified but could not be assigned unambiguously. A rotational barrier of approximately 2kcal/mol has been calculated for the threefold reorientational motions of these groups. These motions change very little when the phase transition temperature (\u223c26O K) is traversed. In (C2H5)4NSbF6 (II) most of the degenerate -CH2, -CH3, C\ue5f8C and Sb\ue5f8F modes are split into two components. The interionic lattice modes reflect the disorder which exists in the crystal at \u223c300 K but at lower temperatures in (C2H5)4NSbF6 (II) well-defined features have been observed.", "author" : [ { "dropping-particle" : "", "family" : "Beer", "given" : "W.H.J.", "non-dropping-particle" : "de", "parse-names" : false, "suffix" : "" }, { "dropping-particle" : "", "family" : "Heyns", "given" : "A.M.", "non-dropping-particle" : "", "parse-names" : false, "suffix" : "" } ], "container-title" : "Spectrochimica Acta Part A: Molecular Spectroscopy", "id" : "ITEM-3", "issue" : "12", "issued" : { "date-parts" : [ [ "1981", "1" ] ] }, "page" : "1099-1107", "title" : "The i.r. and Raman spectra of tetraethylammonium hexafluoroantimonate (C2H5)4NSbF6", "type" : "article-journal", "volume" : "37" }, "uris" : [ "http://www.mendeley.com/documents/?uuid=d03d2011-fc3d-407e-a095-6bfec1e10a10" ] }, { "id" : "ITEM-4", "itemData" : { "DOI" : "10.1149/1.2221034", "ISSN" : "00134651", "author" : [ { "dropping-particle" : "", "family" : "Aurbach", "given" : "Doron", "non-dropping-particle" : "", "parse-names" : false, "suffix" : "" } ], "container-title" : "Journal of The Electrochemical Society", "id" : "ITEM-4", "issue" : "11", "issued" : { "date-parts" : [ [ "1993", "11", "1" ] ] }, "language" : "en", "page" : "L155", "publisher" : "The Electrochemical Society", "title" : "In situ FTIR Spectroelectrochemical Studies of Surface Films Formed on Li and Nonactive Electrodes at Low Potentials in Li Salt Solutions Containing CO[sub 2]", "type" : "article-journal", "volume" : "140" }, "uris" : [ "http://www.mendeley.com/documents/?uuid=ba2a024c-5b56-41f4-8d55-c6346600868a" ] }, { "id" : "ITEM-5", "itemData" : { "DOI" : "10.1016/j.electacta.2006.09.050", "ISSN" : "00134686", "abstract" : "In situ Fourier transform infrared spectroscopy (FTIR) spectra measurements were obtained for a Cu electrode/solution of lithium perchlorate in propylene carbonate (PC). The dependence of potential on the concentration of PC in the vicinity of the electrode was investigated. The bands due to free PC and PC solvated to lithium ions in the solution were distinguished by the single reflection attenuated total reflection (ATR) spectra. In the FTIR spectra, the reversible change in the concentration of free PC and solvated PC in the diffuse double layer was observed to be accompanied by a change in potential. As the potential decreased, the free PC concentration increased, while the concentration of the PC solvated to lithium ions decreased. Thus, it can be concluded that the equilibrium shifts from Li+(PC)4 to Li+(PC)3+PC as the potential decreases. Furthermore, Li+(PC)3 orientates itself so that it is parallel to the electrode surface.", "author" : [ { "dropping-particle" : "", "family" : "Ikezawa", "given" : "Yasunari", "non-dropping-particle" : "", "parse-names" : false, "suffix" : "" }, { "dropping-particle" : "", "family" : "Ariga", "given" : "Toshiyuki", "non-dropping-particle" : "", "parse-names" : false, "suffix" : "" } ], "container-title" : "Electrochimica Acta", "id" : "ITEM-5", "issue" : "7", "issued" : { "date-parts" : [ [ "2007", "2" ] ] }, "page" : "2710-2715", "title" : "In situ FTIR spectra at the Cu electrode/propylene carbonate solution interface", "type" : "article-journal", "volume" : "52" }, "uris" : [ "http://www.mendeley.com/documents/?uuid=ccc74ed9-986d-4dac-8181-2e5a5e68c89c" ] }, { "id" : "ITEM-6", "itemData" : { "DOI" : "10.1007/s002160051135", "ISSN" : "0937-0633", "author" : [ { "dropping-particle" : "", "family" : "Pyun", "given" : "S.-I.", "non-dropping-particle" : "", "parse-names" : false, "suffix" : "" } ], "container-title" : "Fresenius' Journal of Analytical Chemistry", "id" : "ITEM-6", "issue" : "1", "issued" : { "date-parts" : [ [ "1999", "1", "14" ] ] }, "page" : "38-45", "title" : "In-situ spectroelectrochemical analysis of the passivating surface film formed on a carbon film electrode as a function of the water content in 1 M LiPF 6 -EC/DEC solution", "type" : "article-journal", "volume" : "363" }, "uris" : [ "http://www.mendeley.com/documents/?uuid=fedcf69f-ba61-4f37-bcfd-a9d14c32953b" ] }, { "id" : "ITEM-7", "itemData" : { "DOI" : "10.1016/0924-2031(96)00033-1", "ISSN" : "09242031", "abstract" : "The FT-IR spectra (7000-50 cm\u22121) and the Raman spectra (3500-70 cm\u22121) of (CH3)4NSbCl6 (TMASbCl6), (C2H5)4NSbCl6 (TEASbCl6) and (CH3)2NH2SbCl6 (DMASbCl6) are investigated at 295 K. The vibrational data suggest that the distortion of the octahedral symmetry of SbCl6\u2212 increases in the order TMASbCl6 &lt; TEASbCl6 &lt; DMASbCl6. The splittings of the rocking modes of the NH2+ and CH3 groups and of the deformation mode of the NH2+ group in DMASbCl6 suggest that even at 295 K the rotational motions are frozen and these spectroscopic data are consistent with the absence of low temperature phase transition.", "author" : [ { "dropping-particle" : "", "family" : "Zeegers-Huyskens", "given" : "Th.", "non-dropping-particle" : "", "parse-names" : false, "suffix" : "" }, { "dropping-particle" : "", "family" : "Bator", "given" : "G.", "non-dropping-particle" : "", "parse-names" : false, "suffix" : "" } ], "container-title" : "Vibrational Spectroscopy", "id" : "ITEM-7", "issue" : "1", "issued" : { "date-parts" : [ [ "1996", "12" ] ] }, "page" : "41-49", "title" : "Fourier transform infrared and Fourier transform Raman investigation of alkylammonium hexachloroantimonates", "type" : "article-journal", "volume" : "13" }, "uris" : [ "http://www.mendeley.com/documents/?uuid=ae44e48e-5e63-4e91-b066-8f1829d25597" ] } ], "mendeley" : { "formattedCitation" : "[14], [34], [37]\u2013[41]", "plainTextFormattedCitation" : "[14], [34], [37]\u2013[41]", "previouslyFormattedCitation" : "[14], [34], [37]\u2013[41]" }, "properties" : { "noteIndex" : 0 }, "schema" : "https://github.com/citation-style-language/schema/raw/master/csl-citation.json" }</w:instrText>
      </w:r>
      <w:r w:rsidR="007E2DD7" w:rsidRPr="00E23F68">
        <w:rPr>
          <w:highlight w:val="yellow"/>
        </w:rPr>
        <w:fldChar w:fldCharType="separate"/>
      </w:r>
      <w:r w:rsidR="0042526A" w:rsidRPr="0042526A">
        <w:rPr>
          <w:noProof/>
          <w:highlight w:val="yellow"/>
        </w:rPr>
        <w:t>[14], [34], [37]–[41]</w:t>
      </w:r>
      <w:r w:rsidR="007E2DD7" w:rsidRPr="00E23F68">
        <w:rPr>
          <w:highlight w:val="yellow"/>
        </w:rPr>
        <w:fldChar w:fldCharType="end"/>
      </w:r>
    </w:p>
    <w:p w:rsidR="006E4730" w:rsidRPr="00D47427" w:rsidRDefault="006E4730">
      <w:pPr>
        <w:spacing w:after="0"/>
        <w:jc w:val="left"/>
        <w:rPr>
          <w:rFonts w:ascii="Times New Roman" w:eastAsiaTheme="minorEastAsia" w:hAnsi="Times New Roman"/>
          <w:kern w:val="21"/>
          <w:sz w:val="22"/>
        </w:rPr>
      </w:pPr>
      <w:r w:rsidRPr="00D47427">
        <w:rPr>
          <w:rFonts w:eastAsiaTheme="minorEastAsia"/>
        </w:rPr>
        <w:br w:type="page"/>
      </w:r>
    </w:p>
    <w:p w:rsidR="00FC43CE" w:rsidRDefault="006950DB" w:rsidP="00863299">
      <w:pPr>
        <w:pStyle w:val="TAMainText"/>
      </w:pPr>
      <w:r w:rsidRPr="00D47427">
        <w:lastRenderedPageBreak/>
        <w:t xml:space="preserve">Even though </w:t>
      </w:r>
      <w:r w:rsidR="00685DE5" w:rsidRPr="00D47427">
        <w:t xml:space="preserve">the reduction of molecular oxygen produces superoxide </w:t>
      </w:r>
      <w:r w:rsidR="002E5DDD" w:rsidRPr="00D47427">
        <w:t xml:space="preserve">in both </w:t>
      </w:r>
      <w:r w:rsidRPr="00D47427">
        <w:t>PC-TEAClO</w:t>
      </w:r>
      <w:r w:rsidRPr="00D47427">
        <w:rPr>
          <w:vertAlign w:val="subscript"/>
        </w:rPr>
        <w:t>4</w:t>
      </w:r>
      <w:r w:rsidRPr="00D47427">
        <w:t xml:space="preserve"> and PC-</w:t>
      </w:r>
      <w:r w:rsidRPr="005D77C8">
        <w:t>LiClO</w:t>
      </w:r>
      <w:r w:rsidRPr="005D77C8">
        <w:rPr>
          <w:vertAlign w:val="subscript"/>
        </w:rPr>
        <w:t>4</w:t>
      </w:r>
      <w:r w:rsidRPr="005D77C8">
        <w:t xml:space="preserve"> systems, </w:t>
      </w:r>
      <w:r w:rsidR="00685DE5" w:rsidRPr="005D77C8">
        <w:t xml:space="preserve">interestingly </w:t>
      </w:r>
      <w:r w:rsidRPr="005D77C8">
        <w:t>there is no indication of a ring opened species in</w:t>
      </w:r>
      <w:r w:rsidR="00685DE5" w:rsidRPr="005D77C8">
        <w:t xml:space="preserve"> oxygenated</w:t>
      </w:r>
      <w:r w:rsidRPr="005D77C8">
        <w:t xml:space="preserve"> PC-TEAClO</w:t>
      </w:r>
      <w:r w:rsidRPr="005D77C8">
        <w:rPr>
          <w:vertAlign w:val="subscript"/>
        </w:rPr>
        <w:t>4</w:t>
      </w:r>
      <w:r w:rsidRPr="005D77C8">
        <w:t xml:space="preserve"> investigated here. This suggests that the presence of Li</w:t>
      </w:r>
      <w:r w:rsidRPr="005D77C8">
        <w:rPr>
          <w:vertAlign w:val="superscript"/>
        </w:rPr>
        <w:t>+</w:t>
      </w:r>
      <w:r w:rsidRPr="005D77C8">
        <w:t xml:space="preserve"> cation is important in inducing the ring opening reaction</w:t>
      </w:r>
      <w:r w:rsidR="001A02D6" w:rsidRPr="005D77C8">
        <w:t xml:space="preserve"> of PC leading to significant surface film </w:t>
      </w:r>
      <w:r w:rsidR="001A40E7" w:rsidRPr="005D77C8">
        <w:t>formation that</w:t>
      </w:r>
      <w:r w:rsidR="001A02D6" w:rsidRPr="005D77C8">
        <w:t xml:space="preserve"> eventually leads to </w:t>
      </w:r>
      <w:r w:rsidR="00685DE5" w:rsidRPr="005D77C8">
        <w:t>Li-O</w:t>
      </w:r>
      <w:r w:rsidR="00685DE5" w:rsidRPr="005D77C8">
        <w:rPr>
          <w:vertAlign w:val="subscript"/>
        </w:rPr>
        <w:t xml:space="preserve">2 </w:t>
      </w:r>
      <w:r w:rsidR="001A02D6" w:rsidRPr="005D77C8">
        <w:t>cell failure.</w:t>
      </w:r>
      <w:r w:rsidRPr="005D77C8">
        <w:t xml:space="preserve"> We re-examined the behavior of oxygen reduction reaction on</w:t>
      </w:r>
      <w:r w:rsidR="005902D7" w:rsidRPr="005D77C8">
        <w:t xml:space="preserve"> a</w:t>
      </w:r>
      <w:r w:rsidRPr="005D77C8">
        <w:t xml:space="preserve"> Au electrode in PC-LiClO</w:t>
      </w:r>
      <w:r w:rsidRPr="005D77C8">
        <w:rPr>
          <w:vertAlign w:val="subscript"/>
        </w:rPr>
        <w:t>4</w:t>
      </w:r>
      <w:r w:rsidRPr="005D77C8">
        <w:t xml:space="preserve"> by cyclic vol</w:t>
      </w:r>
      <w:r w:rsidRPr="005D77C8">
        <w:t>t</w:t>
      </w:r>
      <w:r w:rsidRPr="005D77C8">
        <w:t>ammetry at 0.1 V/s scan rate for an extended period (15 cycles) in a conventional three electrode cell. Representative cycles of this measurement shown in Figure 6a clearly demonstrate that the oxygen redu</w:t>
      </w:r>
      <w:r w:rsidRPr="005D77C8">
        <w:t>c</w:t>
      </w:r>
      <w:r w:rsidRPr="005D77C8">
        <w:t>tion peak has been greatly attenuated by the 15</w:t>
      </w:r>
      <w:r w:rsidRPr="005D77C8">
        <w:rPr>
          <w:vertAlign w:val="superscript"/>
        </w:rPr>
        <w:t>th</w:t>
      </w:r>
      <w:r w:rsidRPr="005D77C8">
        <w:t xml:space="preserve"> cycle. We repeated the same set of experiments in PC-TEAClO</w:t>
      </w:r>
      <w:r w:rsidRPr="005D77C8">
        <w:rPr>
          <w:vertAlign w:val="subscript"/>
        </w:rPr>
        <w:t>4</w:t>
      </w:r>
      <w:r w:rsidRPr="005D77C8">
        <w:t xml:space="preserve">; the redox process is only slightly changed even after 15 cycles (Figure 6b). </w:t>
      </w:r>
      <w:r w:rsidR="008C69C1" w:rsidRPr="005D77C8">
        <w:t>Voltammograms at a faster scan rate (1 V/s) shown in the inset of Figure 6b</w:t>
      </w:r>
      <w:r w:rsidR="008C69C1" w:rsidRPr="00D47427">
        <w:t xml:space="preserve"> demonstrates the reversibility of the oxygen r</w:t>
      </w:r>
      <w:r w:rsidR="008C69C1" w:rsidRPr="00D47427">
        <w:t>e</w:t>
      </w:r>
      <w:r w:rsidR="008C69C1" w:rsidRPr="00D47427">
        <w:t>dox chemistry in TEA</w:t>
      </w:r>
      <w:r w:rsidR="008C69C1" w:rsidRPr="00D47427">
        <w:rPr>
          <w:vertAlign w:val="superscript"/>
        </w:rPr>
        <w:t>+</w:t>
      </w:r>
      <w:r w:rsidR="008C69C1" w:rsidRPr="00D47427">
        <w:t xml:space="preserve"> even after several cycles. </w:t>
      </w:r>
      <w:r w:rsidRPr="00D47427">
        <w:t>A comparison of the cyclic voltammograms of Li</w:t>
      </w:r>
      <w:r w:rsidRPr="00D47427">
        <w:rPr>
          <w:vertAlign w:val="superscript"/>
        </w:rPr>
        <w:t>+</w:t>
      </w:r>
      <w:r w:rsidRPr="00D47427">
        <w:t xml:space="preserve"> and TEA</w:t>
      </w:r>
      <w:r w:rsidRPr="00D47427">
        <w:rPr>
          <w:vertAlign w:val="superscript"/>
        </w:rPr>
        <w:t>+</w:t>
      </w:r>
      <w:r w:rsidRPr="00D47427">
        <w:t xml:space="preserve"> electrolytes clearly demonstrate that cationic species in the battery electrolyte </w:t>
      </w:r>
      <w:r w:rsidR="008C5B3F" w:rsidRPr="00D47427">
        <w:t xml:space="preserve">plays </w:t>
      </w:r>
      <w:r w:rsidRPr="00D47427">
        <w:t xml:space="preserve">a major role in the degradation of solvent at the interface.  </w:t>
      </w:r>
      <w:r w:rsidR="009B357F" w:rsidRPr="00D47427">
        <w:t xml:space="preserve">This </w:t>
      </w:r>
      <w:r w:rsidR="00C435CC" w:rsidRPr="00D47427">
        <w:t>understanding</w:t>
      </w:r>
      <w:r w:rsidR="009B357F" w:rsidRPr="00D47427">
        <w:t xml:space="preserve"> is particularly important </w:t>
      </w:r>
      <w:r w:rsidR="00C435CC" w:rsidRPr="00D47427">
        <w:t>for</w:t>
      </w:r>
      <w:r w:rsidR="009B357F" w:rsidRPr="00D47427">
        <w:t xml:space="preserve"> </w:t>
      </w:r>
      <w:r w:rsidR="00C435CC" w:rsidRPr="00D47427">
        <w:t>the develo</w:t>
      </w:r>
      <w:r w:rsidR="00C435CC" w:rsidRPr="00D47427">
        <w:t>p</w:t>
      </w:r>
      <w:r w:rsidR="00C435CC" w:rsidRPr="00D47427">
        <w:t>ment of electrolyte systems for Li-O</w:t>
      </w:r>
      <w:r w:rsidR="00C435CC" w:rsidRPr="00D47427">
        <w:rPr>
          <w:vertAlign w:val="subscript"/>
        </w:rPr>
        <w:t>2</w:t>
      </w:r>
      <w:r w:rsidR="00645B6F" w:rsidRPr="00D47427">
        <w:t xml:space="preserve"> batteries.</w:t>
      </w:r>
    </w:p>
    <w:p w:rsidR="006E4730" w:rsidRPr="00D47427" w:rsidRDefault="006E4730" w:rsidP="00863299">
      <w:pPr>
        <w:pStyle w:val="TAMainText"/>
      </w:pPr>
      <w:r w:rsidRPr="00D47427">
        <w:br w:type="page"/>
      </w:r>
    </w:p>
    <w:p w:rsidR="006E4730" w:rsidRPr="00D47427" w:rsidRDefault="00FC43CE" w:rsidP="00863299">
      <w:pPr>
        <w:pStyle w:val="TAMainText"/>
        <w:jc w:val="center"/>
      </w:pPr>
      <w:r>
        <w:rPr>
          <w:noProof/>
          <w:lang w:val="en-GB" w:eastAsia="en-GB"/>
        </w:rPr>
        <w:lastRenderedPageBreak/>
        <w:drawing>
          <wp:inline distT="0" distB="0" distL="0" distR="0" wp14:anchorId="71FA81E6" wp14:editId="32563643">
            <wp:extent cx="2901600" cy="219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a.JPG"/>
                    <pic:cNvPicPr/>
                  </pic:nvPicPr>
                  <pic:blipFill rotWithShape="1">
                    <a:blip r:embed="rId19" cstate="print">
                      <a:extLst>
                        <a:ext uri="{28A0092B-C50C-407E-A947-70E740481C1C}">
                          <a14:useLocalDpi xmlns:a14="http://schemas.microsoft.com/office/drawing/2010/main" val="0"/>
                        </a:ext>
                      </a:extLst>
                    </a:blip>
                    <a:srcRect l="6593" t="8662" r="14108" b="11210"/>
                    <a:stretch/>
                  </pic:blipFill>
                  <pic:spPr bwMode="auto">
                    <a:xfrm>
                      <a:off x="0" y="0"/>
                      <a:ext cx="2901600" cy="2199600"/>
                    </a:xfrm>
                    <a:prstGeom prst="rect">
                      <a:avLst/>
                    </a:prstGeom>
                    <a:ln>
                      <a:noFill/>
                    </a:ln>
                    <a:extLst>
                      <a:ext uri="{53640926-AAD7-44D8-BBD7-CCE9431645EC}">
                        <a14:shadowObscured xmlns:a14="http://schemas.microsoft.com/office/drawing/2010/main"/>
                      </a:ext>
                    </a:extLst>
                  </pic:spPr>
                </pic:pic>
              </a:graphicData>
            </a:graphic>
          </wp:inline>
        </w:drawing>
      </w:r>
    </w:p>
    <w:p w:rsidR="00645B6F" w:rsidRPr="00D47427" w:rsidRDefault="00FC43CE" w:rsidP="00645B6F">
      <w:pPr>
        <w:jc w:val="center"/>
      </w:pPr>
      <w:r>
        <w:rPr>
          <w:noProof/>
          <w:lang w:val="en-GB" w:eastAsia="en-GB"/>
        </w:rPr>
        <w:drawing>
          <wp:inline distT="0" distB="0" distL="0" distR="0" wp14:anchorId="306C7CC9" wp14:editId="4CFBF9B2">
            <wp:extent cx="2919600" cy="2203200"/>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b.jpg"/>
                    <pic:cNvPicPr/>
                  </pic:nvPicPr>
                  <pic:blipFill rotWithShape="1">
                    <a:blip r:embed="rId20" cstate="print">
                      <a:extLst>
                        <a:ext uri="{28A0092B-C50C-407E-A947-70E740481C1C}">
                          <a14:useLocalDpi xmlns:a14="http://schemas.microsoft.com/office/drawing/2010/main" val="0"/>
                        </a:ext>
                      </a:extLst>
                    </a:blip>
                    <a:srcRect l="6305" t="10573" r="13918" b="9172"/>
                    <a:stretch/>
                  </pic:blipFill>
                  <pic:spPr bwMode="auto">
                    <a:xfrm>
                      <a:off x="0" y="0"/>
                      <a:ext cx="2919600" cy="2203200"/>
                    </a:xfrm>
                    <a:prstGeom prst="rect">
                      <a:avLst/>
                    </a:prstGeom>
                    <a:ln>
                      <a:noFill/>
                    </a:ln>
                    <a:extLst>
                      <a:ext uri="{53640926-AAD7-44D8-BBD7-CCE9431645EC}">
                        <a14:shadowObscured xmlns:a14="http://schemas.microsoft.com/office/drawing/2010/main"/>
                      </a:ext>
                    </a:extLst>
                  </pic:spPr>
                </pic:pic>
              </a:graphicData>
            </a:graphic>
          </wp:inline>
        </w:drawing>
      </w:r>
    </w:p>
    <w:p w:rsidR="00645B6F" w:rsidRPr="00D47427" w:rsidRDefault="00645B6F" w:rsidP="006E4730">
      <w:pPr>
        <w:pStyle w:val="VAFigureCaption"/>
      </w:pPr>
      <w:r w:rsidRPr="00D47427">
        <w:t>Figure 6. Representative voltammograms for extended oxygen reduction cycles in (a) 0.1 M LiClO</w:t>
      </w:r>
      <w:r w:rsidRPr="00D47427">
        <w:rPr>
          <w:vertAlign w:val="subscript"/>
        </w:rPr>
        <w:t>4</w:t>
      </w:r>
      <w:r w:rsidRPr="00D47427">
        <w:t>/PC and (b) in 0.1 M TEAClO</w:t>
      </w:r>
      <w:r w:rsidRPr="00D47427">
        <w:rPr>
          <w:vertAlign w:val="subscript"/>
        </w:rPr>
        <w:t>4</w:t>
      </w:r>
      <w:r w:rsidRPr="00D47427">
        <w:t>/PC, at 0.1 V/s scan rate. The inset of (b) shows oxygen reduction in TEAClO</w:t>
      </w:r>
      <w:r w:rsidRPr="00D47427">
        <w:rPr>
          <w:vertAlign w:val="subscript"/>
        </w:rPr>
        <w:t>4</w:t>
      </w:r>
      <w:r w:rsidRPr="00D47427">
        <w:t>/PC, at 1 V/s scan rate.</w:t>
      </w:r>
    </w:p>
    <w:p w:rsidR="00645B6F" w:rsidRPr="00D47427" w:rsidRDefault="00645B6F" w:rsidP="00863299">
      <w:pPr>
        <w:pStyle w:val="TAMainText"/>
      </w:pPr>
    </w:p>
    <w:p w:rsidR="00BE7A3D" w:rsidRDefault="006950DB" w:rsidP="00863299">
      <w:pPr>
        <w:pStyle w:val="TAMainText"/>
      </w:pPr>
      <w:r w:rsidRPr="00D47427">
        <w:t xml:space="preserve">Oxygen reduction in PC containing </w:t>
      </w:r>
      <w:r w:rsidR="00830F25" w:rsidRPr="00D47427">
        <w:t xml:space="preserve">a larger </w:t>
      </w:r>
      <w:r w:rsidRPr="00D47427">
        <w:t>alkali metal cati</w:t>
      </w:r>
      <w:r w:rsidR="00830F25" w:rsidRPr="00D47427">
        <w:t xml:space="preserve">on, </w:t>
      </w:r>
      <w:r w:rsidRPr="00D47427">
        <w:t>Cs</w:t>
      </w:r>
      <w:r w:rsidRPr="00D47427">
        <w:rPr>
          <w:vertAlign w:val="superscript"/>
        </w:rPr>
        <w:t>+</w:t>
      </w:r>
      <w:r w:rsidRPr="00D47427">
        <w:t xml:space="preserve"> also results in downward band at ~1670 cm</w:t>
      </w:r>
      <w:r w:rsidRPr="00D47427">
        <w:rPr>
          <w:vertAlign w:val="superscript"/>
        </w:rPr>
        <w:t>-1</w:t>
      </w:r>
      <w:r w:rsidRPr="00D47427">
        <w:t xml:space="preserve"> [</w:t>
      </w:r>
      <w:r w:rsidRPr="005D77C8">
        <w:t xml:space="preserve">Supplementary </w:t>
      </w:r>
      <w:r w:rsidR="00BB13D9" w:rsidRPr="005D77C8">
        <w:t>F</w:t>
      </w:r>
      <w:r w:rsidRPr="005D77C8">
        <w:t xml:space="preserve">igure </w:t>
      </w:r>
      <w:r w:rsidR="00DD18E6" w:rsidRPr="005D77C8">
        <w:t>S3</w:t>
      </w:r>
      <w:r w:rsidRPr="00D47427">
        <w:t>]. This indicates that rather than the chemical nature or the size of the cationic species, the coordination of cations to the carbonyl group is significant in superoxide induced ring opening reactions of cyclic carbonate solvents. As bulky tetraalkylammonium cations cannot coord</w:t>
      </w:r>
      <w:r w:rsidRPr="00D47427">
        <w:t>i</w:t>
      </w:r>
      <w:r w:rsidRPr="00D47427">
        <w:t>nate to the carbonyl group of PC because of steric hindrance, superoxide attack on the ethereal carbon is not favored in the PC-TEA</w:t>
      </w:r>
      <w:r w:rsidRPr="00D47427">
        <w:rPr>
          <w:vertAlign w:val="superscript"/>
        </w:rPr>
        <w:t>+</w:t>
      </w:r>
      <w:r w:rsidRPr="00D47427">
        <w:t xml:space="preserve"> system. Additionally, </w:t>
      </w:r>
      <w:r w:rsidR="00830F25" w:rsidRPr="00D47427">
        <w:t xml:space="preserve">some </w:t>
      </w:r>
      <w:r w:rsidRPr="00D47427">
        <w:t>previous spectroscopic studies of lithium oxygen cathode discharge in PC based electrolytes have shown lithium carbonate along with the ring opened lit</w:t>
      </w:r>
      <w:r w:rsidRPr="00D47427">
        <w:t>h</w:t>
      </w:r>
      <w:r w:rsidRPr="00D47427">
        <w:lastRenderedPageBreak/>
        <w:t>ium alkyl carbonates</w:t>
      </w:r>
      <w:r w:rsidR="00905A1B" w:rsidRPr="00D47427">
        <w:fldChar w:fldCharType="begin" w:fldLock="1"/>
      </w:r>
      <w:r w:rsidR="007E2DD7">
        <w:instrText>ADDIN CSL_CITATION { "citationItems" : [ { "id" : "ITEM-1", "itemData" : { "DOI" : "10.1021/ja2021747", "ISSN" : "0002-7863", "author" : [ { "dropping-particle" : "", "family" : "Freunberger", "given" : "Stefan A", "non-dropping-particle" : "", "parse-names" : false, "suffix" : "" }, { "dropping-particle" : "", "family" : "Chen", "given" : "Yuhui", "non-dropping-particle" : "", "parse-names" : false, "suffix" : "" }, { "dropping-particle" : "", "family" : "Peng", "given" : "Zhangquan", "non-dropping-particle" : "", "parse-names" : false, "suffix" : "" }, { "dropping-particle" : "", "family" : "Griffin", "given" : "John M", "non-dropping-particle" : "", "parse-names" : false, "suffix" : "" }, { "dropping-particle" : "", "family" : "Hardwick", "given" : "Laurence J", "non-dropping-particle" : "", "parse-names" : false, "suffix" : "" }, { "dropping-particle" : "", "family" : "Bard\u00e9", "given" : "Fanny", "non-dropping-particle" : "", "parse-names" : false, "suffix" : "" }, { "dropping-particle" : "", "family" : "Nov\u00e1k", "given" : "Petr", "non-dropping-particle" : "", "parse-names" : false, "suffix" : "" }, { "dropping-particle" : "", "family" : "Bruce", "given" : "Peter G", "non-dropping-particle" : "", "parse-names" : false, "suffix" : "" } ], "container-title" : "Journal of the American Chemical Society", "id" : "ITEM-1", "issue" : "20", "issued" : { "date-parts" : [ [ "2011", "5", "25" ] ] }, "note" : "doi: 10.1021/ja2021747", "page" : "8040-8047", "publisher" : "American Chemical Society", "title" : "Reactions in the Rechargeable Lithium\u2013O2 Battery with Alkyl Carbonate Electrolytes", "type" : "article-journal", "volume" : "133" }, "uris" : [ "http://www.mendeley.com/documents/?uuid=e9d1fbb9-3986-40b0-8675-a544b52e90d5" ] }, { "id" : "ITEM-2", "itemData" : { "DOI" : "10.1038/ncomms2855", "ISSN" : "2041-1723", "PMID" : "23652005", "abstract" : "Electrolyte degradation, Li dendrite formation and parasitic reactions with H\u2082O and CO\u2082 are all directly correlated to reversibility and cycleability of Li-air batteries when operated in ambient air. Here we replace easily decomposable liquid electrolytes with a solid Li-ion conductor, which acts as both a catholyte and a Li protector. Meanwhile, the conventional solid air cathodes are replaced with a gel cathode, which contacts directly with the solid catholyte to form a closed and sustainable gel/solid interface. The proposed Li-air cell has sustained repeated cycling in ambient air for 100 cycles (~78 days), with discharge capacity of 2,000 mAh g(-1). The recharging is based largely on the reversible reactions of Li\u2082CO\u2083 product, originating from the initial discharge product of Li\u2082O\u2082 instead of electrolyte degradation. Our results demonstrate that a reversible long-life Li-air battery is attainable by coordinated approaches towards the focal issues of electrolytes and Li metal.", "author" : [ { "dropping-particle" : "", "family" : "Zhang", "given" : "Tao", "non-dropping-particle" : "", "parse-names" : false, "suffix" : "" }, { "dropping-particle" : "", "family" : "Zhou", "given" : "Haoshen", "non-dropping-particle" : "", "parse-names" : false, "suffix" : "" } ], "container-title" : "Nature communications", "id" : "ITEM-2", "issued" : { "date-parts" : [ [ "2013", "1", "7" ] ] }, "page" : "1817", "publisher" : "Nature Publishing Group, a division of Macmillan Publishers Limited. All Rights Reserved.", "title" : "A reversible long-life lithium-air battery in ambient air.", "title-short" : "Nat Commun", "type" : "article-journal", "volume" : "4" }, "uris" : [ "http://www.mendeley.com/documents/?uuid=53baeb59-0d8b-462a-9347-a4d8666909b8" ] } ], "mendeley" : { "formattedCitation" : "[14], [18]", "plainTextFormattedCitation" : "[14], [18]", "previouslyFormattedCitation" : "[14], [18]" }, "properties" : { "noteIndex" : 0 }, "schema" : "https://github.com/citation-style-language/schema/raw/master/csl-citation.json" }</w:instrText>
      </w:r>
      <w:r w:rsidR="00905A1B" w:rsidRPr="00D47427">
        <w:fldChar w:fldCharType="separate"/>
      </w:r>
      <w:r w:rsidR="007E2DD7" w:rsidRPr="007E2DD7">
        <w:rPr>
          <w:noProof/>
        </w:rPr>
        <w:t>[14], [18]</w:t>
      </w:r>
      <w:r w:rsidR="00905A1B" w:rsidRPr="00D47427">
        <w:fldChar w:fldCharType="end"/>
      </w:r>
      <w:r w:rsidRPr="00D47427">
        <w:t>, but we did not observe vibrational bands correspond to Li</w:t>
      </w:r>
      <w:r w:rsidRPr="00D47427">
        <w:rPr>
          <w:vertAlign w:val="subscript"/>
        </w:rPr>
        <w:t>2</w:t>
      </w:r>
      <w:r w:rsidRPr="00D47427">
        <w:t>CO</w:t>
      </w:r>
      <w:r w:rsidRPr="00D47427">
        <w:rPr>
          <w:vertAlign w:val="subscript"/>
        </w:rPr>
        <w:t>3</w:t>
      </w:r>
      <w:r w:rsidR="00D020DE" w:rsidRPr="00D47427">
        <w:rPr>
          <w:vertAlign w:val="subscript"/>
        </w:rPr>
        <w:t xml:space="preserve"> </w:t>
      </w:r>
      <w:r w:rsidR="00D020DE" w:rsidRPr="00D47427">
        <w:t>that would result from the further reaction of ring opened products of PC</w:t>
      </w:r>
      <w:r w:rsidRPr="00D47427">
        <w:t xml:space="preserve">. </w:t>
      </w:r>
    </w:p>
    <w:p w:rsidR="00BE7A3D" w:rsidRPr="00193E5F" w:rsidRDefault="0074178F" w:rsidP="00863299">
      <w:pPr>
        <w:pStyle w:val="TAMainText"/>
      </w:pPr>
      <w:r>
        <w:rPr>
          <w:highlight w:val="yellow"/>
        </w:rPr>
        <w:t xml:space="preserve">We </w:t>
      </w:r>
      <w:r w:rsidRPr="00193E5F">
        <w:rPr>
          <w:rFonts w:eastAsiaTheme="minorEastAsia"/>
          <w:highlight w:val="yellow"/>
        </w:rPr>
        <w:t>have also looked at the generality of the superoxide induced ring opening in organic carbonate ele</w:t>
      </w:r>
      <w:r w:rsidRPr="00193E5F">
        <w:rPr>
          <w:rFonts w:eastAsiaTheme="minorEastAsia"/>
          <w:highlight w:val="yellow"/>
        </w:rPr>
        <w:t>c</w:t>
      </w:r>
      <w:r w:rsidRPr="005E06FF">
        <w:rPr>
          <w:rFonts w:eastAsiaTheme="minorEastAsia"/>
          <w:highlight w:val="yellow"/>
        </w:rPr>
        <w:t>trolyte</w:t>
      </w:r>
      <w:r>
        <w:rPr>
          <w:rFonts w:eastAsiaTheme="minorEastAsia"/>
          <w:highlight w:val="yellow"/>
        </w:rPr>
        <w:t>s</w:t>
      </w:r>
      <w:r w:rsidRPr="005E06FF">
        <w:rPr>
          <w:rFonts w:eastAsiaTheme="minorEastAsia"/>
          <w:highlight w:val="yellow"/>
        </w:rPr>
        <w:t xml:space="preserve"> by carrying out similar SEIRAS analysis of another popular battery electrolyte </w:t>
      </w:r>
      <w:r w:rsidRPr="00193E5F">
        <w:rPr>
          <w:rFonts w:eastAsiaTheme="minorEastAsia"/>
          <w:highlight w:val="yellow"/>
        </w:rPr>
        <w:t xml:space="preserve">solvent EC. As </w:t>
      </w:r>
      <w:r w:rsidRPr="00CE4AC1">
        <w:rPr>
          <w:rFonts w:eastAsiaTheme="minorEastAsia"/>
          <w:highlight w:val="yellow"/>
        </w:rPr>
        <w:t xml:space="preserve">shown in </w:t>
      </w:r>
      <w:r w:rsidRPr="00BA1B0A">
        <w:rPr>
          <w:rFonts w:eastAsiaTheme="minorEastAsia"/>
          <w:highlight w:val="yellow"/>
        </w:rPr>
        <w:t>Fig</w:t>
      </w:r>
      <w:r w:rsidR="00194474" w:rsidRPr="00BA1B0A">
        <w:rPr>
          <w:rFonts w:eastAsiaTheme="minorEastAsia"/>
          <w:highlight w:val="yellow"/>
        </w:rPr>
        <w:t>ure</w:t>
      </w:r>
      <w:r w:rsidRPr="00BA1B0A">
        <w:rPr>
          <w:rFonts w:eastAsiaTheme="minorEastAsia"/>
          <w:highlight w:val="yellow"/>
        </w:rPr>
        <w:t xml:space="preserve"> S4</w:t>
      </w:r>
      <w:r w:rsidRPr="00CE4AC1">
        <w:rPr>
          <w:rFonts w:eastAsiaTheme="minorEastAsia"/>
          <w:highlight w:val="yellow"/>
        </w:rPr>
        <w:t xml:space="preserve">, </w:t>
      </w:r>
      <w:r>
        <w:rPr>
          <w:highlight w:val="yellow"/>
        </w:rPr>
        <w:t>the SEIRA</w:t>
      </w:r>
      <w:r w:rsidRPr="00CE4AC1">
        <w:rPr>
          <w:highlight w:val="yellow"/>
        </w:rPr>
        <w:t xml:space="preserve"> spectrum is similar to PC and shows a similar </w:t>
      </w:r>
      <w:r w:rsidR="004D73F1">
        <w:rPr>
          <w:highlight w:val="yellow"/>
        </w:rPr>
        <w:t>downward band that corr</w:t>
      </w:r>
      <w:r w:rsidR="004D73F1">
        <w:rPr>
          <w:highlight w:val="yellow"/>
        </w:rPr>
        <w:t>e</w:t>
      </w:r>
      <w:r w:rsidR="004D73F1">
        <w:rPr>
          <w:highlight w:val="yellow"/>
        </w:rPr>
        <w:t>sponds to the</w:t>
      </w:r>
      <w:r w:rsidR="004D73F1" w:rsidRPr="00CE4AC1">
        <w:rPr>
          <w:highlight w:val="yellow"/>
        </w:rPr>
        <w:t xml:space="preserve"> </w:t>
      </w:r>
      <w:r w:rsidRPr="00CE4AC1">
        <w:rPr>
          <w:highlight w:val="yellow"/>
        </w:rPr>
        <w:t>ring opened species after reaction with superoxide. This measurement was carried out at 40</w:t>
      </w:r>
      <w:r>
        <w:rPr>
          <w:highlight w:val="yellow"/>
        </w:rPr>
        <w:t xml:space="preserve"> </w:t>
      </w:r>
      <w:r w:rsidRPr="00CE4AC1">
        <w:rPr>
          <w:highlight w:val="yellow"/>
          <w:vertAlign w:val="superscript"/>
        </w:rPr>
        <w:t>o</w:t>
      </w:r>
      <w:r w:rsidRPr="00CE4AC1">
        <w:rPr>
          <w:highlight w:val="yellow"/>
        </w:rPr>
        <w:t>C in order for EC/0.1M LiClO</w:t>
      </w:r>
      <w:r w:rsidRPr="00CE4AC1">
        <w:rPr>
          <w:highlight w:val="yellow"/>
          <w:vertAlign w:val="subscript"/>
        </w:rPr>
        <w:t>4</w:t>
      </w:r>
      <w:r w:rsidRPr="00CE4AC1">
        <w:rPr>
          <w:highlight w:val="yellow"/>
        </w:rPr>
        <w:t xml:space="preserve"> to be in the liquid state. Unlike PC and EC, solvents like dimethyl su</w:t>
      </w:r>
      <w:r w:rsidRPr="00CE4AC1">
        <w:rPr>
          <w:highlight w:val="yellow"/>
        </w:rPr>
        <w:t>l</w:t>
      </w:r>
      <w:r w:rsidRPr="00CE4AC1">
        <w:rPr>
          <w:highlight w:val="yellow"/>
        </w:rPr>
        <w:t xml:space="preserve">foxide (DMSO) are </w:t>
      </w:r>
      <w:r>
        <w:rPr>
          <w:highlight w:val="yellow"/>
        </w:rPr>
        <w:t xml:space="preserve">relatively </w:t>
      </w:r>
      <w:r w:rsidRPr="00CE4AC1">
        <w:rPr>
          <w:highlight w:val="yellow"/>
        </w:rPr>
        <w:t xml:space="preserve">stable in the presence of superoxide. A similar SEIRA analysis of DMSO under </w:t>
      </w:r>
      <w:r w:rsidRPr="00BA1B0A">
        <w:rPr>
          <w:highlight w:val="yellow"/>
        </w:rPr>
        <w:t>analogous conditions (i.e., oxygen reduction in the presence of Li</w:t>
      </w:r>
      <w:r w:rsidRPr="00BA1B0A">
        <w:rPr>
          <w:highlight w:val="yellow"/>
          <w:vertAlign w:val="superscript"/>
        </w:rPr>
        <w:t>+</w:t>
      </w:r>
      <w:r w:rsidRPr="00BA1B0A">
        <w:rPr>
          <w:highlight w:val="yellow"/>
        </w:rPr>
        <w:t>) is also included in the suppor</w:t>
      </w:r>
      <w:r w:rsidRPr="00BA1B0A">
        <w:rPr>
          <w:highlight w:val="yellow"/>
        </w:rPr>
        <w:t>t</w:t>
      </w:r>
      <w:r w:rsidRPr="00BA1B0A">
        <w:rPr>
          <w:highlight w:val="yellow"/>
        </w:rPr>
        <w:t>ing information (</w:t>
      </w:r>
      <w:r w:rsidR="00194474" w:rsidRPr="00BA1B0A">
        <w:rPr>
          <w:highlight w:val="yellow"/>
        </w:rPr>
        <w:t>Figure</w:t>
      </w:r>
      <w:r w:rsidRPr="00BA1B0A">
        <w:rPr>
          <w:highlight w:val="yellow"/>
        </w:rPr>
        <w:t xml:space="preserve"> S7); the spectra do not show any </w:t>
      </w:r>
      <w:r w:rsidR="004D73F1" w:rsidRPr="00BA1B0A">
        <w:rPr>
          <w:highlight w:val="yellow"/>
        </w:rPr>
        <w:t>appreciable</w:t>
      </w:r>
      <w:r w:rsidRPr="00BA1B0A">
        <w:rPr>
          <w:highlight w:val="yellow"/>
        </w:rPr>
        <w:t xml:space="preserve"> downward band other than the bands of DMSO, indicating that this solvent </w:t>
      </w:r>
      <w:r w:rsidRPr="000A5C64">
        <w:rPr>
          <w:highlight w:val="yellow"/>
        </w:rPr>
        <w:t>is relatively stable.</w:t>
      </w:r>
      <w:r w:rsidRPr="000A5C64">
        <w:t xml:space="preserve"> </w:t>
      </w:r>
      <w:r w:rsidRPr="00193E5F">
        <w:rPr>
          <w:highlight w:val="yellow"/>
        </w:rPr>
        <w:t>The stability of DMSO</w:t>
      </w:r>
      <w:r>
        <w:rPr>
          <w:highlight w:val="yellow"/>
        </w:rPr>
        <w:t>/Li</w:t>
      </w:r>
      <w:r w:rsidRPr="000A5C64">
        <w:rPr>
          <w:highlight w:val="yellow"/>
          <w:vertAlign w:val="superscript"/>
        </w:rPr>
        <w:t>+</w:t>
      </w:r>
      <w:r w:rsidRPr="00193E5F">
        <w:rPr>
          <w:highlight w:val="yellow"/>
        </w:rPr>
        <w:t xml:space="preserve"> in the oxygen reduction environment and </w:t>
      </w:r>
      <w:r>
        <w:rPr>
          <w:highlight w:val="yellow"/>
        </w:rPr>
        <w:t xml:space="preserve">the </w:t>
      </w:r>
      <w:r w:rsidRPr="00193E5F">
        <w:rPr>
          <w:highlight w:val="yellow"/>
        </w:rPr>
        <w:t xml:space="preserve">surface reactions probed in </w:t>
      </w:r>
      <w:r>
        <w:rPr>
          <w:highlight w:val="yellow"/>
        </w:rPr>
        <w:t>PC/Li</w:t>
      </w:r>
      <w:r w:rsidRPr="0083584F">
        <w:rPr>
          <w:highlight w:val="yellow"/>
          <w:vertAlign w:val="superscript"/>
        </w:rPr>
        <w:t>+</w:t>
      </w:r>
      <w:r w:rsidRPr="00193E5F">
        <w:rPr>
          <w:highlight w:val="yellow"/>
        </w:rPr>
        <w:t xml:space="preserve"> </w:t>
      </w:r>
      <w:r>
        <w:rPr>
          <w:highlight w:val="yellow"/>
        </w:rPr>
        <w:t>and EC/Li</w:t>
      </w:r>
      <w:r w:rsidRPr="0083584F">
        <w:rPr>
          <w:highlight w:val="yellow"/>
          <w:vertAlign w:val="superscript"/>
        </w:rPr>
        <w:t>+</w:t>
      </w:r>
      <w:r>
        <w:rPr>
          <w:highlight w:val="yellow"/>
        </w:rPr>
        <w:t xml:space="preserve"> electrolytes under the same conditions</w:t>
      </w:r>
      <w:r w:rsidRPr="00193E5F">
        <w:rPr>
          <w:highlight w:val="yellow"/>
        </w:rPr>
        <w:t>, can be related to the failure of Li-O</w:t>
      </w:r>
      <w:r w:rsidRPr="00193E5F">
        <w:rPr>
          <w:highlight w:val="yellow"/>
          <w:vertAlign w:val="subscript"/>
        </w:rPr>
        <w:t>2</w:t>
      </w:r>
      <w:r w:rsidRPr="00193E5F">
        <w:rPr>
          <w:highlight w:val="yellow"/>
        </w:rPr>
        <w:t xml:space="preserve"> batteries </w:t>
      </w:r>
      <w:r>
        <w:rPr>
          <w:highlight w:val="yellow"/>
        </w:rPr>
        <w:t xml:space="preserve">in organic carbonate electrolytes </w:t>
      </w:r>
      <w:r w:rsidRPr="00193E5F">
        <w:rPr>
          <w:highlight w:val="yellow"/>
        </w:rPr>
        <w:t>and superior performance of</w:t>
      </w:r>
      <w:r>
        <w:rPr>
          <w:highlight w:val="yellow"/>
        </w:rPr>
        <w:t xml:space="preserve"> </w:t>
      </w:r>
      <w:r w:rsidRPr="00193E5F">
        <w:rPr>
          <w:highlight w:val="yellow"/>
        </w:rPr>
        <w:t xml:space="preserve"> Li-O</w:t>
      </w:r>
      <w:r w:rsidRPr="00193E5F">
        <w:rPr>
          <w:highlight w:val="yellow"/>
          <w:vertAlign w:val="subscript"/>
        </w:rPr>
        <w:t>2</w:t>
      </w:r>
      <w:r w:rsidRPr="00193E5F">
        <w:rPr>
          <w:highlight w:val="yellow"/>
        </w:rPr>
        <w:t xml:space="preserve"> batteries</w:t>
      </w:r>
      <w:r>
        <w:rPr>
          <w:highlight w:val="yellow"/>
        </w:rPr>
        <w:t xml:space="preserve"> when DMSO was used as the solvent </w:t>
      </w:r>
      <w:r>
        <w:rPr>
          <w:highlight w:val="yellow"/>
        </w:rPr>
        <w:fldChar w:fldCharType="begin" w:fldLock="1"/>
      </w:r>
      <w:r>
        <w:rPr>
          <w:highlight w:val="yellow"/>
        </w:rPr>
        <w:instrText>ADDIN CSL_CITATION { "citationItems" : [ { "id" : "ITEM-1", "itemData" : { "DOI" : "10.1126/science.1223985", "ISBN" : "1095-9203 (Electronic)\\n0036-8075 (Linking)", "ISSN" : "0036-8075", "PMID" : "22821984", "abstract" : "The rechargeable nonaqueous lithium-air (Li-O(2)) battery is receiving a great deal of interest because, theoretically, its specific energy far exceeds the best that can be achieved with lithium-ion cells. Operation of the rechargeable Li-O(2) battery depends critically on repeated and highly reversible formation/decomposition of lithium peroxide (Li(2)O(2)) at the cathode upon cycling. Here, we show that this process is possible with the use of a dimethyl sulfoxide electrolyte and a porous gold electrode (95% capacity retention from cycles 1 to 100), whereas previously only partial Li(2)O(2) formation/decomposition and limited cycling could occur. Furthermore, we present data indicating that the kinetics of Li(2)O(2) oxidation on charge is approximately 10 times faster than on carbon electrodes.", "author" : [ { "dropping-particle" : "", "family" : "Peng", "given" : "Z.", "non-dropping-particle" : "", "parse-names" : false, "suffix" : "" }, { "dropping-particle" : "", "family" : "Freunberger", "given" : "S. a.", "non-dropping-particle" : "", "parse-names" : false, "suffix" : "" }, { "dropping-particle" : "", "family" : "Chen", "given" : "Y.", "non-dropping-particle" : "", "parse-names" : false, "suffix" : "" }, { "dropping-particle" : "", "family" : "Bruce", "given" : "P. G.", "non-dropping-particle" : "", "parse-names" : false, "suffix" : "" } ], "container-title" : "Science", "id" : "ITEM-1", "issue" : "6094", "issued" : { "date-parts" : [ [ "2012" ] ] }, "page" : "563-566", "title" : "A Reversible and Higher-Rate Li-O2 Battery", "type" : "article-journal", "volume" : "337" }, "uris" : [ "http://www.mendeley.com/documents/?uuid=86132ef4-d49f-416e-be37-34732c99c3eb" ] } ], "mendeley" : { "formattedCitation" : "[3]", "plainTextFormattedCitation" : "[3]", "previouslyFormattedCitation" : "[3]" }, "properties" : { "noteIndex" : 0 }, "schema" : "https://github.com/citation-style-language/schema/raw/master/csl-citation.json" }</w:instrText>
      </w:r>
      <w:r>
        <w:rPr>
          <w:highlight w:val="yellow"/>
        </w:rPr>
        <w:fldChar w:fldCharType="separate"/>
      </w:r>
      <w:r w:rsidRPr="00730130">
        <w:rPr>
          <w:noProof/>
          <w:highlight w:val="yellow"/>
        </w:rPr>
        <w:t>[3]</w:t>
      </w:r>
      <w:r>
        <w:rPr>
          <w:highlight w:val="yellow"/>
        </w:rPr>
        <w:fldChar w:fldCharType="end"/>
      </w:r>
      <w:r w:rsidRPr="00193E5F">
        <w:rPr>
          <w:highlight w:val="yellow"/>
        </w:rPr>
        <w:t xml:space="preserve">. </w:t>
      </w:r>
      <w:r>
        <w:rPr>
          <w:highlight w:val="yellow"/>
        </w:rPr>
        <w:t>Alt</w:t>
      </w:r>
      <w:r w:rsidRPr="00193E5F">
        <w:rPr>
          <w:highlight w:val="yellow"/>
        </w:rPr>
        <w:t>hough the electrodes used in real Li-O</w:t>
      </w:r>
      <w:r w:rsidRPr="00193E5F">
        <w:rPr>
          <w:highlight w:val="yellow"/>
          <w:vertAlign w:val="subscript"/>
        </w:rPr>
        <w:t>2</w:t>
      </w:r>
      <w:r w:rsidRPr="00193E5F">
        <w:rPr>
          <w:highlight w:val="yellow"/>
        </w:rPr>
        <w:t xml:space="preserve"> batter</w:t>
      </w:r>
      <w:r>
        <w:rPr>
          <w:highlight w:val="yellow"/>
        </w:rPr>
        <w:t>ies</w:t>
      </w:r>
      <w:r w:rsidRPr="00193E5F">
        <w:rPr>
          <w:highlight w:val="yellow"/>
        </w:rPr>
        <w:t xml:space="preserve"> would be different from the </w:t>
      </w:r>
      <w:r>
        <w:rPr>
          <w:highlight w:val="yellow"/>
        </w:rPr>
        <w:t xml:space="preserve">gold </w:t>
      </w:r>
      <w:r w:rsidRPr="00193E5F">
        <w:rPr>
          <w:highlight w:val="yellow"/>
        </w:rPr>
        <w:t>electrode used in our SEIRAS studies, the insights obtained through our approach is relevant because once superoxide has been generated its</w:t>
      </w:r>
      <w:r w:rsidR="00D915FA">
        <w:rPr>
          <w:highlight w:val="yellow"/>
        </w:rPr>
        <w:t xml:space="preserve"> subsequent</w:t>
      </w:r>
      <w:r w:rsidRPr="00193E5F">
        <w:rPr>
          <w:highlight w:val="yellow"/>
        </w:rPr>
        <w:t xml:space="preserve"> i</w:t>
      </w:r>
      <w:r w:rsidRPr="00193E5F">
        <w:rPr>
          <w:highlight w:val="yellow"/>
        </w:rPr>
        <w:t>n</w:t>
      </w:r>
      <w:r w:rsidRPr="00193E5F">
        <w:rPr>
          <w:highlight w:val="yellow"/>
        </w:rPr>
        <w:t>teraction with solvent molecule</w:t>
      </w:r>
      <w:r>
        <w:rPr>
          <w:highlight w:val="yellow"/>
        </w:rPr>
        <w:t>s</w:t>
      </w:r>
      <w:r w:rsidR="0081448B">
        <w:rPr>
          <w:highlight w:val="yellow"/>
        </w:rPr>
        <w:t xml:space="preserve"> and cations</w:t>
      </w:r>
      <w:r w:rsidRPr="00193E5F">
        <w:rPr>
          <w:highlight w:val="yellow"/>
        </w:rPr>
        <w:t xml:space="preserve"> is independent of the electrode substrate the superoxide was generated</w:t>
      </w:r>
      <w:r>
        <w:rPr>
          <w:highlight w:val="yellow"/>
        </w:rPr>
        <w:t xml:space="preserve"> upon</w:t>
      </w:r>
      <w:r w:rsidR="00F93B6A" w:rsidRPr="00193E5F">
        <w:rPr>
          <w:color w:val="0000FF"/>
          <w:highlight w:val="yellow"/>
        </w:rPr>
        <w:t>.</w:t>
      </w:r>
    </w:p>
    <w:p w:rsidR="006950DB" w:rsidRDefault="006950DB" w:rsidP="005D2FAE">
      <w:pPr>
        <w:pStyle w:val="TAMainText"/>
        <w:spacing w:after="240"/>
      </w:pPr>
      <w:r w:rsidRPr="00D47427">
        <w:t>Computational studies using density function theory (M06-2x/6-311++(d,p))</w:t>
      </w:r>
      <w:r w:rsidRPr="00D47427">
        <w:fldChar w:fldCharType="begin" w:fldLock="1"/>
      </w:r>
      <w:r w:rsidR="00730130">
        <w:instrText>ADDIN CSL_CITATION { "citationItems" : [ { "id" : "ITEM-1", "itemData" : { "author" : [ { "dropping-particle" : "", "family" : "M. J. Frisch, G. W. Trucks, H. B. Schlegel, G. E. Scuseria, M. A. Robb, J. R. Cheeseman, G. Scalmani, V. Barone, B. Mennucci, G. A. Petersson, H. Nakatsuji, M. Caricato, X. Li, H. P. Hratchian, A. F. Izmaylov, J. Bloino, G. Zheng, J. L. Sonnenberg, M. Had", "given" : "2010.", "non-dropping-particle" : "", "parse-names" : false, "suffix" : "" } ], "container-title" : "Gaussian Inc., Wallingford, \u2026", "id" : "ITEM-1", "issued" : { "date-parts" : [ [ "2010" ] ] }, "title" : "Gaussian 09, revision B. 01", "type" : "article" }, "uris" : [ "http://www.mendeley.com/documents/?uuid=26d8c0c9-2539-4310-b200-3ec2bc304edf" ] }, { "id" : "ITEM-2", "itemData" : { "DOI" : "10.1007/s00214-007-0310-x", "ISSN" : "1432-881X", "author" : [ { "dropping-particle" : "", "family" : "Zhao", "given" : "Yan", "non-dropping-particle" : "", "parse-names" : false, "suffix" : "" }, { "dropping-particle" : "", "family" : "Truhlar", "given" : "Donald G.", "non-dropping-particle" : "", "parse-names" : false, "suffix" : "" } ], "container-title" : "Theoretical Chemistry Accounts", "id" : "ITEM-2", "issue" : "1-3", "issued" : { "date-parts" : [ [ "2007", "7", "12" ] ] }, "page" : "215-241", "title" : "The M06 suite of density functionals for main group thermochemistry, thermochemical kinetics, noncovalent interactions, excited states, and transition elements: two new functionals and systematic testing of four M06-class functionals and 12 other function", "type" : "article-journal", "volume" : "120" }, "uris" : [ "http://www.mendeley.com/documents/?uuid=90cdc40b-0486-4d3a-af6b-abc3f478a45e" ] } ], "mendeley" : { "formattedCitation" : "[28], [29]", "plainTextFormattedCitation" : "[28], [29]", "previouslyFormattedCitation" : "[28], [29]" }, "properties" : { "noteIndex" : 0 }, "schema" : "https://github.com/citation-style-language/schema/raw/master/csl-citation.json" }</w:instrText>
      </w:r>
      <w:r w:rsidRPr="00D47427">
        <w:fldChar w:fldCharType="separate"/>
      </w:r>
      <w:r w:rsidR="007E2DD7" w:rsidRPr="007E2DD7">
        <w:rPr>
          <w:noProof/>
        </w:rPr>
        <w:t>[28], [29]</w:t>
      </w:r>
      <w:r w:rsidRPr="00D47427">
        <w:fldChar w:fldCharType="end"/>
      </w:r>
      <w:r w:rsidRPr="00D47427">
        <w:t xml:space="preserve"> were performed on the reaction of superoxide with PC in the presence of Li</w:t>
      </w:r>
      <w:r w:rsidRPr="00D47427">
        <w:rPr>
          <w:vertAlign w:val="superscript"/>
        </w:rPr>
        <w:t>+</w:t>
      </w:r>
      <w:r w:rsidRPr="00D47427">
        <w:t xml:space="preserve"> and TEA</w:t>
      </w:r>
      <w:r w:rsidR="006A3ACE" w:rsidRPr="00D47427">
        <w:rPr>
          <w:vertAlign w:val="superscript"/>
        </w:rPr>
        <w:t>+</w:t>
      </w:r>
      <w:r w:rsidRPr="00D47427">
        <w:t>. The transition state</w:t>
      </w:r>
      <w:r w:rsidR="00E34136" w:rsidRPr="00D47427">
        <w:t xml:space="preserve"> for PC ring opening</w:t>
      </w:r>
      <w:r w:rsidRPr="00D47427">
        <w:t xml:space="preserve"> with Li</w:t>
      </w:r>
      <w:r w:rsidRPr="00D47427">
        <w:rPr>
          <w:vertAlign w:val="superscript"/>
        </w:rPr>
        <w:t>+</w:t>
      </w:r>
      <w:r w:rsidRPr="00D47427">
        <w:t xml:space="preserve"> revealed two favorable interactions between oxygen atoms and the small, hard cation (Figure 7b) of 1.87 Å and 1.92 Å. There is no such coordination interaction observed between TEA</w:t>
      </w:r>
      <w:r w:rsidRPr="00D47427">
        <w:rPr>
          <w:vertAlign w:val="superscript"/>
        </w:rPr>
        <w:t>+</w:t>
      </w:r>
      <w:r w:rsidRPr="00D47427">
        <w:t xml:space="preserve"> and the carbonate functionality (Figure 7c). This difference in coordination is presumably the major reason why a very large difference in activation energies was observed in the two reactions. The activation ene</w:t>
      </w:r>
      <w:r w:rsidRPr="00D47427">
        <w:t>r</w:t>
      </w:r>
      <w:r w:rsidRPr="00D47427">
        <w:lastRenderedPageBreak/>
        <w:t>gy in the presence of Li</w:t>
      </w:r>
      <w:r w:rsidRPr="00D47427">
        <w:rPr>
          <w:vertAlign w:val="superscript"/>
        </w:rPr>
        <w:t>+</w:t>
      </w:r>
      <w:r w:rsidRPr="00D47427">
        <w:t xml:space="preserve"> is 0.64 kcal/mol compared with 17.83 kcal/mol with TEA</w:t>
      </w:r>
      <w:r w:rsidR="00E34136" w:rsidRPr="00D47427">
        <w:rPr>
          <w:vertAlign w:val="superscript"/>
        </w:rPr>
        <w:t>+</w:t>
      </w:r>
      <w:r w:rsidRPr="00D47427">
        <w:t>. This large difference in activation energy is consistent with the experimental findings.</w:t>
      </w:r>
    </w:p>
    <w:p w:rsidR="00645B6F" w:rsidRPr="0040000F" w:rsidRDefault="005D2FAE" w:rsidP="00645B6F">
      <w:pPr>
        <w:jc w:val="center"/>
      </w:pPr>
      <w:r w:rsidRPr="005D2FAE">
        <w:rPr>
          <w:noProof/>
          <w:lang w:val="en-GB" w:eastAsia="en-GB"/>
        </w:rPr>
        <w:drawing>
          <wp:inline distT="0" distB="0" distL="0" distR="0" wp14:anchorId="574827E1" wp14:editId="062EBAEF">
            <wp:extent cx="5032800" cy="3772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32800" cy="3772800"/>
                    </a:xfrm>
                    <a:prstGeom prst="rect">
                      <a:avLst/>
                    </a:prstGeom>
                  </pic:spPr>
                </pic:pic>
              </a:graphicData>
            </a:graphic>
          </wp:inline>
        </w:drawing>
      </w:r>
    </w:p>
    <w:p w:rsidR="00645B6F" w:rsidRPr="0095413E" w:rsidRDefault="00645B6F" w:rsidP="006E4730">
      <w:pPr>
        <w:pStyle w:val="VAFigureCaption"/>
      </w:pPr>
      <w:r w:rsidRPr="00CB0C04">
        <w:t>Figure 7</w:t>
      </w:r>
      <w:r w:rsidRPr="002026C8">
        <w:t>. a</w:t>
      </w:r>
      <w:r w:rsidRPr="001F0456">
        <w:t>) Reaction modelled b) Energy profile and transition states for the reaction of PC with superoxide with Li</w:t>
      </w:r>
      <w:r w:rsidRPr="001F0456">
        <w:rPr>
          <w:vertAlign w:val="superscript"/>
        </w:rPr>
        <w:t>+</w:t>
      </w:r>
      <w:r w:rsidRPr="001F0456">
        <w:t xml:space="preserve"> and TEA</w:t>
      </w:r>
      <w:r w:rsidRPr="00686133">
        <w:rPr>
          <w:vertAlign w:val="superscript"/>
        </w:rPr>
        <w:t>+</w:t>
      </w:r>
      <w:r w:rsidRPr="001F0456">
        <w:t>. Calculated structures of transition states with c) Li</w:t>
      </w:r>
      <w:r w:rsidRPr="001F0456">
        <w:rPr>
          <w:vertAlign w:val="superscript"/>
        </w:rPr>
        <w:t>+</w:t>
      </w:r>
      <w:r w:rsidRPr="001F0456">
        <w:t xml:space="preserve"> and d) TEA</w:t>
      </w:r>
      <w:r w:rsidRPr="00FA6B56">
        <w:rPr>
          <w:vertAlign w:val="superscript"/>
        </w:rPr>
        <w:t>+</w:t>
      </w:r>
      <w:r w:rsidRPr="001F0456">
        <w:t xml:space="preserve"> (carbon — grey, hydr</w:t>
      </w:r>
      <w:r w:rsidRPr="001F0456">
        <w:t>o</w:t>
      </w:r>
      <w:r w:rsidRPr="001F0456">
        <w:t>gen — white, nitrogen – blue, oxygen — red, lithium - purple). Dashed lines represent the bonds being made and broken via the transition state. Dotted lines indicat</w:t>
      </w:r>
      <w:r w:rsidR="00FF4114">
        <w:t>e</w:t>
      </w:r>
      <w:r w:rsidRPr="001F0456">
        <w:t xml:space="preserve"> coordinate bonds. Distances are stated in Å. Graphic generated using CylView </w:t>
      </w:r>
      <w:r w:rsidRPr="00D84AC3">
        <w:rPr>
          <w:sz w:val="14"/>
        </w:rPr>
        <w:t>(</w:t>
      </w:r>
      <w:hyperlink r:id="rId22" w:history="1">
        <w:r w:rsidRPr="00D84AC3">
          <w:rPr>
            <w:rStyle w:val="Hyperlink"/>
          </w:rPr>
          <w:t>http://www.cylview.org/Home.html</w:t>
        </w:r>
      </w:hyperlink>
      <w:r w:rsidRPr="00D84AC3">
        <w:rPr>
          <w:sz w:val="14"/>
        </w:rPr>
        <w:t>)</w:t>
      </w:r>
      <w:r w:rsidRPr="001F0456">
        <w:t>.</w:t>
      </w:r>
      <w:r>
        <w:t xml:space="preserve"> </w:t>
      </w:r>
      <w:r w:rsidRPr="002E5DDD">
        <w:t xml:space="preserve">Coordinates of reactants, transition states and products </w:t>
      </w:r>
      <w:r>
        <w:t>can be found in supporting information</w:t>
      </w:r>
    </w:p>
    <w:p w:rsidR="006E4730" w:rsidRDefault="006E4730">
      <w:pPr>
        <w:spacing w:after="0"/>
        <w:jc w:val="left"/>
        <w:rPr>
          <w:rFonts w:ascii="Times New Roman" w:eastAsiaTheme="minorHAnsi" w:hAnsi="Times New Roman"/>
          <w:kern w:val="21"/>
          <w:sz w:val="22"/>
        </w:rPr>
      </w:pPr>
      <w:r>
        <w:rPr>
          <w:rFonts w:eastAsiaTheme="minorHAnsi"/>
        </w:rPr>
        <w:br w:type="page"/>
      </w:r>
    </w:p>
    <w:p w:rsidR="0060353D" w:rsidRPr="0095413E" w:rsidRDefault="006950DB" w:rsidP="00863299">
      <w:pPr>
        <w:pStyle w:val="TAMainText"/>
      </w:pPr>
      <w:r w:rsidRPr="0095413E">
        <w:lastRenderedPageBreak/>
        <w:t>In conclusion, we have demonstrated the effective use of ATR-SEIRAS technique in studying the inte</w:t>
      </w:r>
      <w:r w:rsidRPr="0095413E">
        <w:t>r</w:t>
      </w:r>
      <w:r w:rsidRPr="0095413E">
        <w:t xml:space="preserve">facial processes relevant to </w:t>
      </w:r>
      <w:r w:rsidR="00BD7705" w:rsidRPr="0095413E">
        <w:t xml:space="preserve">the </w:t>
      </w:r>
      <w:r w:rsidRPr="0095413E">
        <w:t>Li-O</w:t>
      </w:r>
      <w:r w:rsidRPr="0095413E">
        <w:rPr>
          <w:vertAlign w:val="subscript"/>
        </w:rPr>
        <w:t>2</w:t>
      </w:r>
      <w:r w:rsidRPr="0095413E">
        <w:t xml:space="preserve"> battery system. The role of solvent coordinating cationic species in the degradation of </w:t>
      </w:r>
      <w:r w:rsidR="00AB076E" w:rsidRPr="0095413E">
        <w:t>PC solvent</w:t>
      </w:r>
      <w:r w:rsidRPr="0095413E">
        <w:t xml:space="preserve"> in Li-O</w:t>
      </w:r>
      <w:r w:rsidRPr="0095413E">
        <w:rPr>
          <w:vertAlign w:val="subscript"/>
        </w:rPr>
        <w:t>2</w:t>
      </w:r>
      <w:r w:rsidRPr="0095413E">
        <w:t xml:space="preserve"> </w:t>
      </w:r>
      <w:r w:rsidR="00F74501" w:rsidRPr="0095413E">
        <w:t xml:space="preserve">environment </w:t>
      </w:r>
      <w:r w:rsidRPr="0095413E">
        <w:t>has been investigated in this work</w:t>
      </w:r>
      <w:r w:rsidR="00314D2A" w:rsidRPr="0095413E">
        <w:t>, in which the pre</w:t>
      </w:r>
      <w:r w:rsidR="00314D2A" w:rsidRPr="0095413E">
        <w:t>s</w:t>
      </w:r>
      <w:r w:rsidR="00314D2A" w:rsidRPr="0095413E">
        <w:t>ence of a PC coordinating Li</w:t>
      </w:r>
      <w:r w:rsidR="00314D2A" w:rsidRPr="0095413E">
        <w:rPr>
          <w:vertAlign w:val="superscript"/>
        </w:rPr>
        <w:t>+</w:t>
      </w:r>
      <w:r w:rsidR="00314D2A" w:rsidRPr="0095413E">
        <w:t xml:space="preserve"> plays a significant role in lowering the activation barrier for superoxide induced ring opening</w:t>
      </w:r>
      <w:r w:rsidR="00AB076E" w:rsidRPr="0095413E">
        <w:t xml:space="preserve"> reaction</w:t>
      </w:r>
      <w:r w:rsidRPr="0095413E">
        <w:t xml:space="preserve">. </w:t>
      </w:r>
      <w:r w:rsidR="00BD7705" w:rsidRPr="0095413E">
        <w:t>Although our system does not account for a real battery/electrolyte inte</w:t>
      </w:r>
      <w:r w:rsidR="00BD7705" w:rsidRPr="0095413E">
        <w:t>r</w:t>
      </w:r>
      <w:r w:rsidR="00BD7705" w:rsidRPr="0095413E">
        <w:t xml:space="preserve">face; SEIRAS evaluation of battery electrolytes on model 2D noble metal electrodes </w:t>
      </w:r>
      <w:r w:rsidR="00314D2A" w:rsidRPr="0095413E">
        <w:t>has</w:t>
      </w:r>
      <w:r w:rsidR="00BD7705" w:rsidRPr="0095413E">
        <w:t xml:space="preserve"> provide</w:t>
      </w:r>
      <w:r w:rsidR="00314D2A" w:rsidRPr="0095413E">
        <w:t>d</w:t>
      </w:r>
      <w:r w:rsidR="00BD7705" w:rsidRPr="0095413E">
        <w:t xml:space="preserve"> </w:t>
      </w:r>
      <w:r w:rsidR="00314D2A" w:rsidRPr="0095413E">
        <w:t xml:space="preserve">direct </w:t>
      </w:r>
      <w:r w:rsidR="00BD7705" w:rsidRPr="0095413E">
        <w:t xml:space="preserve">mechanistic insight into </w:t>
      </w:r>
      <w:r w:rsidR="00AB076E" w:rsidRPr="0095413E">
        <w:t xml:space="preserve">a significant </w:t>
      </w:r>
      <w:r w:rsidR="00BD7705" w:rsidRPr="0095413E">
        <w:t>reaction pathway</w:t>
      </w:r>
      <w:r w:rsidR="00AB076E" w:rsidRPr="0095413E">
        <w:t xml:space="preserve"> and thereby demonstrated as an important analyt</w:t>
      </w:r>
      <w:r w:rsidR="00AB076E" w:rsidRPr="0095413E">
        <w:t>i</w:t>
      </w:r>
      <w:r w:rsidR="00AB076E" w:rsidRPr="0095413E">
        <w:t>cal approach for examining promising Li-O</w:t>
      </w:r>
      <w:r w:rsidR="00AB076E" w:rsidRPr="0095413E">
        <w:rPr>
          <w:vertAlign w:val="subscript"/>
        </w:rPr>
        <w:t>2</w:t>
      </w:r>
      <w:r w:rsidR="00AB076E" w:rsidRPr="0095413E">
        <w:t xml:space="preserve"> battery electrolytes.</w:t>
      </w:r>
    </w:p>
    <w:p w:rsidR="00136687" w:rsidRPr="0095413E" w:rsidRDefault="00136687" w:rsidP="00863299">
      <w:pPr>
        <w:pStyle w:val="TAMainText"/>
      </w:pPr>
    </w:p>
    <w:p w:rsidR="0095413E" w:rsidRDefault="0095413E">
      <w:pPr>
        <w:spacing w:after="0"/>
        <w:jc w:val="left"/>
        <w:rPr>
          <w:rFonts w:ascii="Times New Roman" w:hAnsi="Times New Roman"/>
          <w:b/>
          <w:kern w:val="20"/>
          <w:sz w:val="22"/>
          <w:szCs w:val="22"/>
        </w:rPr>
      </w:pPr>
      <w:r>
        <w:rPr>
          <w:rFonts w:ascii="Times New Roman" w:hAnsi="Times New Roman"/>
          <w:sz w:val="22"/>
          <w:szCs w:val="22"/>
        </w:rPr>
        <w:br w:type="page"/>
      </w:r>
    </w:p>
    <w:p w:rsidR="00136687" w:rsidRPr="0095413E" w:rsidRDefault="00136687" w:rsidP="0095413E">
      <w:pPr>
        <w:pStyle w:val="SectionTitle"/>
        <w:spacing w:before="0" w:after="0" w:line="480" w:lineRule="auto"/>
        <w:rPr>
          <w:rFonts w:ascii="Times New Roman" w:hAnsi="Times New Roman"/>
          <w:sz w:val="22"/>
          <w:szCs w:val="22"/>
        </w:rPr>
      </w:pPr>
      <w:r w:rsidRPr="0095413E">
        <w:rPr>
          <w:rFonts w:ascii="Times New Roman" w:hAnsi="Times New Roman"/>
          <w:sz w:val="22"/>
          <w:szCs w:val="22"/>
        </w:rPr>
        <w:lastRenderedPageBreak/>
        <w:t xml:space="preserve">ASSOCIATED CONTENT </w:t>
      </w:r>
    </w:p>
    <w:p w:rsidR="00136687" w:rsidRPr="0095413E" w:rsidRDefault="00136687" w:rsidP="0095413E">
      <w:pPr>
        <w:pStyle w:val="SectionSubtitle"/>
        <w:spacing w:before="0" w:after="0" w:line="480" w:lineRule="auto"/>
        <w:rPr>
          <w:rFonts w:ascii="Times New Roman" w:hAnsi="Times New Roman"/>
          <w:sz w:val="22"/>
          <w:szCs w:val="22"/>
        </w:rPr>
      </w:pPr>
      <w:r w:rsidRPr="0095413E">
        <w:rPr>
          <w:rFonts w:ascii="Times New Roman" w:hAnsi="Times New Roman"/>
          <w:sz w:val="22"/>
          <w:szCs w:val="22"/>
        </w:rPr>
        <w:t>Supporting Information</w:t>
      </w:r>
    </w:p>
    <w:p w:rsidR="00136687" w:rsidRPr="0095413E" w:rsidRDefault="00136687" w:rsidP="0095413E">
      <w:pPr>
        <w:pStyle w:val="SectionContent"/>
        <w:spacing w:line="480" w:lineRule="auto"/>
        <w:rPr>
          <w:rFonts w:ascii="Times New Roman" w:hAnsi="Times New Roman"/>
          <w:sz w:val="22"/>
          <w:szCs w:val="22"/>
        </w:rPr>
      </w:pPr>
      <w:r w:rsidRPr="0095413E">
        <w:rPr>
          <w:rFonts w:ascii="Times New Roman" w:hAnsi="Times New Roman"/>
          <w:sz w:val="22"/>
          <w:szCs w:val="22"/>
        </w:rPr>
        <w:t>Supplementary figures and coordinates of reactants, transition states and products used in DFT calcul</w:t>
      </w:r>
      <w:r w:rsidRPr="0095413E">
        <w:rPr>
          <w:rFonts w:ascii="Times New Roman" w:hAnsi="Times New Roman"/>
          <w:sz w:val="22"/>
          <w:szCs w:val="22"/>
        </w:rPr>
        <w:t>a</w:t>
      </w:r>
      <w:r w:rsidRPr="0095413E">
        <w:rPr>
          <w:rFonts w:ascii="Times New Roman" w:hAnsi="Times New Roman"/>
          <w:sz w:val="22"/>
          <w:szCs w:val="22"/>
        </w:rPr>
        <w:t xml:space="preserve">tions. “This material is available free of charge via the Internet at http://pubs.acs.org.” </w:t>
      </w:r>
    </w:p>
    <w:p w:rsidR="00136687" w:rsidRPr="0095413E" w:rsidRDefault="00136687" w:rsidP="0095413E">
      <w:pPr>
        <w:pStyle w:val="SectionContent"/>
        <w:spacing w:line="480" w:lineRule="auto"/>
        <w:rPr>
          <w:rFonts w:ascii="Times New Roman" w:hAnsi="Times New Roman"/>
          <w:sz w:val="22"/>
          <w:szCs w:val="22"/>
        </w:rPr>
      </w:pPr>
      <w:r w:rsidRPr="0095413E">
        <w:rPr>
          <w:rFonts w:ascii="Times New Roman" w:hAnsi="Times New Roman"/>
          <w:sz w:val="22"/>
          <w:szCs w:val="22"/>
        </w:rPr>
        <w:t>.</w:t>
      </w:r>
    </w:p>
    <w:p w:rsidR="00136687" w:rsidRPr="0095413E" w:rsidRDefault="00136687" w:rsidP="0095413E">
      <w:pPr>
        <w:pStyle w:val="SectionTitle"/>
        <w:spacing w:before="0" w:after="0" w:line="480" w:lineRule="auto"/>
        <w:rPr>
          <w:rFonts w:ascii="Times New Roman" w:hAnsi="Times New Roman"/>
          <w:sz w:val="22"/>
          <w:szCs w:val="22"/>
        </w:rPr>
      </w:pPr>
      <w:r w:rsidRPr="0095413E">
        <w:rPr>
          <w:rFonts w:ascii="Times New Roman" w:hAnsi="Times New Roman"/>
          <w:sz w:val="22"/>
          <w:szCs w:val="22"/>
        </w:rPr>
        <w:t xml:space="preserve">ACKNOWLEDGMENT </w:t>
      </w:r>
    </w:p>
    <w:p w:rsidR="002446B3" w:rsidRPr="0095413E" w:rsidRDefault="00136687" w:rsidP="0095413E">
      <w:pPr>
        <w:pStyle w:val="SectionContent"/>
        <w:spacing w:line="480" w:lineRule="auto"/>
        <w:rPr>
          <w:rFonts w:ascii="Times New Roman" w:hAnsi="Times New Roman"/>
          <w:sz w:val="22"/>
          <w:szCs w:val="22"/>
        </w:rPr>
      </w:pPr>
      <w:r w:rsidRPr="0095413E">
        <w:rPr>
          <w:rFonts w:ascii="Times New Roman" w:hAnsi="Times New Roman"/>
          <w:sz w:val="22"/>
          <w:szCs w:val="22"/>
        </w:rPr>
        <w:t>We acknowledge the Engineering and Physical Sciences Research Council (EPSRC) for the funding of this research under Grant Number EP/K006835/1.</w:t>
      </w:r>
      <w:r w:rsidR="002446B3" w:rsidRPr="0095413E">
        <w:rPr>
          <w:rFonts w:ascii="Times New Roman" w:hAnsi="Times New Roman"/>
          <w:sz w:val="22"/>
          <w:szCs w:val="22"/>
        </w:rPr>
        <w:t xml:space="preserve"> The authors would like to thank Prof. Ken Durose (University of Liverpool) for the use of the thermal evaporator.</w:t>
      </w:r>
      <w:r w:rsidR="0038069F" w:rsidRPr="0095413E">
        <w:rPr>
          <w:rFonts w:ascii="Times New Roman" w:hAnsi="Times New Roman"/>
          <w:sz w:val="22"/>
          <w:szCs w:val="22"/>
        </w:rPr>
        <w:t xml:space="preserve"> GP acknowledges funding</w:t>
      </w:r>
      <w:r w:rsidR="00416759" w:rsidRPr="0095413E">
        <w:rPr>
          <w:rFonts w:ascii="Times New Roman" w:hAnsi="Times New Roman"/>
          <w:sz w:val="22"/>
          <w:szCs w:val="22"/>
        </w:rPr>
        <w:t xml:space="preserve"> through the</w:t>
      </w:r>
      <w:r w:rsidR="0038069F" w:rsidRPr="0095413E">
        <w:rPr>
          <w:rFonts w:ascii="Times New Roman" w:hAnsi="Times New Roman"/>
          <w:sz w:val="22"/>
          <w:szCs w:val="22"/>
        </w:rPr>
        <w:t xml:space="preserve"> Marie Curie </w:t>
      </w:r>
      <w:r w:rsidR="007C2568" w:rsidRPr="0095413E">
        <w:rPr>
          <w:rFonts w:ascii="Times New Roman" w:hAnsi="Times New Roman"/>
          <w:sz w:val="22"/>
          <w:szCs w:val="22"/>
        </w:rPr>
        <w:t>Innovative</w:t>
      </w:r>
      <w:r w:rsidR="0038069F" w:rsidRPr="0095413E">
        <w:rPr>
          <w:rFonts w:ascii="Times New Roman" w:hAnsi="Times New Roman"/>
          <w:sz w:val="22"/>
          <w:szCs w:val="22"/>
        </w:rPr>
        <w:t xml:space="preserve"> Training Network "NANOEMBRACE".</w:t>
      </w:r>
    </w:p>
    <w:p w:rsidR="00136687" w:rsidRPr="004D5F3A" w:rsidRDefault="00136687" w:rsidP="00136687">
      <w:pPr>
        <w:pStyle w:val="SectionContent"/>
      </w:pPr>
    </w:p>
    <w:p w:rsidR="0095413E" w:rsidRDefault="0095413E">
      <w:pPr>
        <w:spacing w:after="0"/>
        <w:jc w:val="left"/>
        <w:rPr>
          <w:rFonts w:ascii="Arno Pro" w:hAnsi="Arno Pro"/>
          <w:b/>
          <w:kern w:val="20"/>
          <w:sz w:val="22"/>
        </w:rPr>
      </w:pPr>
      <w:r>
        <w:rPr>
          <w:b/>
          <w:sz w:val="22"/>
        </w:rPr>
        <w:br w:type="page"/>
      </w:r>
    </w:p>
    <w:p w:rsidR="00136687" w:rsidRPr="0095413E" w:rsidRDefault="00136687" w:rsidP="00993172">
      <w:pPr>
        <w:pStyle w:val="SectionContent"/>
        <w:rPr>
          <w:b/>
          <w:sz w:val="22"/>
        </w:rPr>
      </w:pPr>
      <w:r w:rsidRPr="0095413E">
        <w:rPr>
          <w:b/>
          <w:sz w:val="22"/>
        </w:rPr>
        <w:lastRenderedPageBreak/>
        <w:t>REFERENCES</w:t>
      </w:r>
    </w:p>
    <w:p w:rsidR="00632873" w:rsidRPr="00632873" w:rsidRDefault="00136687">
      <w:pPr>
        <w:pStyle w:val="NormalWeb"/>
        <w:ind w:left="640" w:hanging="640"/>
        <w:divId w:val="1237667359"/>
        <w:rPr>
          <w:rFonts w:ascii="Arno Pro" w:hAnsi="Arno Pro"/>
          <w:noProof/>
          <w:sz w:val="20"/>
        </w:rPr>
      </w:pPr>
      <w:r w:rsidRPr="0072470D">
        <w:rPr>
          <w:sz w:val="20"/>
        </w:rPr>
        <w:fldChar w:fldCharType="begin" w:fldLock="1"/>
      </w:r>
      <w:r w:rsidRPr="0072470D">
        <w:rPr>
          <w:sz w:val="20"/>
        </w:rPr>
        <w:instrText xml:space="preserve">ADDIN Mendeley Bibliography CSL_BIBLIOGRAPHY </w:instrText>
      </w:r>
      <w:r w:rsidRPr="0072470D">
        <w:rPr>
          <w:sz w:val="20"/>
        </w:rPr>
        <w:fldChar w:fldCharType="separate"/>
      </w:r>
      <w:r w:rsidR="00632873" w:rsidRPr="00632873">
        <w:rPr>
          <w:rFonts w:ascii="Arno Pro" w:hAnsi="Arno Pro"/>
          <w:noProof/>
          <w:sz w:val="20"/>
        </w:rPr>
        <w:t>[1]</w:t>
      </w:r>
      <w:r w:rsidR="00632873" w:rsidRPr="00632873">
        <w:rPr>
          <w:rFonts w:ascii="Arno Pro" w:hAnsi="Arno Pro"/>
          <w:noProof/>
          <w:sz w:val="20"/>
        </w:rPr>
        <w:tab/>
        <w:t xml:space="preserve">R. Van Noorden, “The rechargeable revolution: A better battery.,” </w:t>
      </w:r>
      <w:r w:rsidR="00632873" w:rsidRPr="00632873">
        <w:rPr>
          <w:rFonts w:ascii="Arno Pro" w:hAnsi="Arno Pro"/>
          <w:i/>
          <w:iCs/>
          <w:noProof/>
          <w:sz w:val="20"/>
        </w:rPr>
        <w:t>Nature</w:t>
      </w:r>
      <w:r w:rsidR="00632873" w:rsidRPr="00632873">
        <w:rPr>
          <w:rFonts w:ascii="Arno Pro" w:hAnsi="Arno Pro"/>
          <w:noProof/>
          <w:sz w:val="20"/>
        </w:rPr>
        <w:t>, vol. 507, no. 7490, pp. 26–8, Mar. 2014.</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[2]</w:t>
      </w:r>
      <w:r w:rsidRPr="00632873">
        <w:rPr>
          <w:rFonts w:ascii="Arno Pro" w:hAnsi="Arno Pro"/>
          <w:noProof/>
          <w:sz w:val="20"/>
        </w:rPr>
        <w:tab/>
        <w:t xml:space="preserve">P. G. Bruce, S. A. Freunberger, L. J. Hardwick, and J.-M. Tarascon, “Li-O2 and Li-S batteries with high energy storage.,” </w:t>
      </w:r>
      <w:r w:rsidRPr="00632873">
        <w:rPr>
          <w:rFonts w:ascii="Arno Pro" w:hAnsi="Arno Pro"/>
          <w:i/>
          <w:iCs/>
          <w:noProof/>
          <w:sz w:val="20"/>
        </w:rPr>
        <w:t>Nat. Mater.</w:t>
      </w:r>
      <w:r w:rsidRPr="00632873">
        <w:rPr>
          <w:rFonts w:ascii="Arno Pro" w:hAnsi="Arno Pro"/>
          <w:noProof/>
          <w:sz w:val="20"/>
        </w:rPr>
        <w:t>, vol. 11, no. 1, pp. 19–29, Jan. 2012.</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[3]</w:t>
      </w:r>
      <w:r w:rsidRPr="00632873">
        <w:rPr>
          <w:rFonts w:ascii="Arno Pro" w:hAnsi="Arno Pro"/>
          <w:noProof/>
          <w:sz w:val="20"/>
        </w:rPr>
        <w:tab/>
        <w:t xml:space="preserve">Z. Peng, S. a. Freunberger, Y. Chen, and P. G. Bruce, “A Reversible and Higher-Rate Li-O2 Battery,” </w:t>
      </w:r>
      <w:r w:rsidRPr="00632873">
        <w:rPr>
          <w:rFonts w:ascii="Arno Pro" w:hAnsi="Arno Pro"/>
          <w:i/>
          <w:iCs/>
          <w:noProof/>
          <w:sz w:val="20"/>
        </w:rPr>
        <w:t>Science (80-. ).</w:t>
      </w:r>
      <w:r w:rsidRPr="00632873">
        <w:rPr>
          <w:rFonts w:ascii="Arno Pro" w:hAnsi="Arno Pro"/>
          <w:noProof/>
          <w:sz w:val="20"/>
        </w:rPr>
        <w:t>, vol. 337, no. 6094, pp. 563–566, 2012.</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[4]</w:t>
      </w:r>
      <w:r w:rsidRPr="00632873">
        <w:rPr>
          <w:rFonts w:ascii="Arno Pro" w:hAnsi="Arno Pro"/>
          <w:noProof/>
          <w:sz w:val="20"/>
        </w:rPr>
        <w:tab/>
        <w:t xml:space="preserve">B. Scrosati, K. M. Abraham, W. Van Schalkwijk, and J. Hassoun, Eds., </w:t>
      </w:r>
      <w:r w:rsidRPr="00632873">
        <w:rPr>
          <w:rFonts w:ascii="Arno Pro" w:hAnsi="Arno Pro"/>
          <w:i/>
          <w:iCs/>
          <w:noProof/>
          <w:sz w:val="20"/>
        </w:rPr>
        <w:t>Lithium Batteries</w:t>
      </w:r>
      <w:r w:rsidRPr="00632873">
        <w:rPr>
          <w:rFonts w:ascii="Arno Pro" w:hAnsi="Arno Pro"/>
          <w:noProof/>
          <w:sz w:val="20"/>
        </w:rPr>
        <w:t>. Hoboken, NJ, USA: John Wiley &amp; Sons, Inc., 2013.</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[5]</w:t>
      </w:r>
      <w:r w:rsidRPr="00632873">
        <w:rPr>
          <w:rFonts w:ascii="Arno Pro" w:hAnsi="Arno Pro"/>
          <w:noProof/>
          <w:sz w:val="20"/>
        </w:rPr>
        <w:tab/>
        <w:t xml:space="preserve">A. C. Luntz and B. D. McCloskey, “Nonaqueous Li–Air Batteries: A Status Report,” </w:t>
      </w:r>
      <w:r w:rsidRPr="00632873">
        <w:rPr>
          <w:rFonts w:ascii="Arno Pro" w:hAnsi="Arno Pro"/>
          <w:i/>
          <w:iCs/>
          <w:noProof/>
          <w:sz w:val="20"/>
        </w:rPr>
        <w:t>Chem. Rev.</w:t>
      </w:r>
      <w:r w:rsidRPr="00632873">
        <w:rPr>
          <w:rFonts w:ascii="Arno Pro" w:hAnsi="Arno Pro"/>
          <w:noProof/>
          <w:sz w:val="20"/>
        </w:rPr>
        <w:t>, vol. 114, no. 23, pp. 11721–11750, Dec. 2014.</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[6]</w:t>
      </w:r>
      <w:r w:rsidRPr="00632873">
        <w:rPr>
          <w:rFonts w:ascii="Arno Pro" w:hAnsi="Arno Pro"/>
          <w:noProof/>
          <w:sz w:val="20"/>
        </w:rPr>
        <w:tab/>
        <w:t xml:space="preserve">G. Girishkumar, B. McCloskey, A. C. Luntz, S. Swanson, and W. Wilcke, “Lithium−Air Battery: Promise and Challenges,” </w:t>
      </w:r>
      <w:r w:rsidRPr="00632873">
        <w:rPr>
          <w:rFonts w:ascii="Arno Pro" w:hAnsi="Arno Pro"/>
          <w:i/>
          <w:iCs/>
          <w:noProof/>
          <w:sz w:val="20"/>
        </w:rPr>
        <w:t>J. Phys. Chem. Lett.</w:t>
      </w:r>
      <w:r w:rsidRPr="00632873">
        <w:rPr>
          <w:rFonts w:ascii="Arno Pro" w:hAnsi="Arno Pro"/>
          <w:noProof/>
          <w:sz w:val="20"/>
        </w:rPr>
        <w:t>, vol. 1, no. 14, pp. 2193–2203, Jul. 2010.</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[7]</w:t>
      </w:r>
      <w:r w:rsidRPr="00632873">
        <w:rPr>
          <w:rFonts w:ascii="Arno Pro" w:hAnsi="Arno Pro"/>
          <w:noProof/>
          <w:sz w:val="20"/>
        </w:rPr>
        <w:tab/>
        <w:t xml:space="preserve">M. Balaish, A. Kraytsberg, and Y. Ein-Eli, “A critical review on lithium-air battery electrolytes,” </w:t>
      </w:r>
      <w:r w:rsidRPr="00632873">
        <w:rPr>
          <w:rFonts w:ascii="Arno Pro" w:hAnsi="Arno Pro"/>
          <w:i/>
          <w:iCs/>
          <w:noProof/>
          <w:sz w:val="20"/>
        </w:rPr>
        <w:t>Phys. Chem. Chem. Phys.</w:t>
      </w:r>
      <w:r w:rsidRPr="00632873">
        <w:rPr>
          <w:rFonts w:ascii="Arno Pro" w:hAnsi="Arno Pro"/>
          <w:noProof/>
          <w:sz w:val="20"/>
        </w:rPr>
        <w:t>, vol. 16, no. 7, pp. 2801–2822, 2014.</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[8]</w:t>
      </w:r>
      <w:r w:rsidRPr="00632873">
        <w:rPr>
          <w:rFonts w:ascii="Arno Pro" w:hAnsi="Arno Pro"/>
          <w:noProof/>
          <w:sz w:val="20"/>
        </w:rPr>
        <w:tab/>
        <w:t xml:space="preserve">J. Christensen, P. Albertus, R. S. Sanchez-Carrera, T. Lohmann, B. Kozinsky, R. Liedtke, J. Ahmed, and A. Kojic, “A Critical Review of Li∕Air Batteries,” </w:t>
      </w:r>
      <w:r w:rsidRPr="00632873">
        <w:rPr>
          <w:rFonts w:ascii="Arno Pro" w:hAnsi="Arno Pro"/>
          <w:i/>
          <w:iCs/>
          <w:noProof/>
          <w:sz w:val="20"/>
        </w:rPr>
        <w:t>J. Electrochem. Soc.</w:t>
      </w:r>
      <w:r w:rsidRPr="00632873">
        <w:rPr>
          <w:rFonts w:ascii="Arno Pro" w:hAnsi="Arno Pro"/>
          <w:noProof/>
          <w:sz w:val="20"/>
        </w:rPr>
        <w:t>, vol. 159, no. 2, p. R1, 2012.</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[9]</w:t>
      </w:r>
      <w:r w:rsidRPr="00632873">
        <w:rPr>
          <w:rFonts w:ascii="Arno Pro" w:hAnsi="Arno Pro"/>
          <w:noProof/>
          <w:sz w:val="20"/>
        </w:rPr>
        <w:tab/>
        <w:t xml:space="preserve">L. Grande, E. Paillard, J. Hassoun, J.-B. Park, Y.-J. Lee, Y.-K. Sun, S. Passerini, and B. Scrosati, “The lithium/air battery: still an emerging system or a practical reality?,” </w:t>
      </w:r>
      <w:r w:rsidRPr="00632873">
        <w:rPr>
          <w:rFonts w:ascii="Arno Pro" w:hAnsi="Arno Pro"/>
          <w:i/>
          <w:iCs/>
          <w:noProof/>
          <w:sz w:val="20"/>
        </w:rPr>
        <w:t>Adv. Mater.</w:t>
      </w:r>
      <w:r w:rsidRPr="00632873">
        <w:rPr>
          <w:rFonts w:ascii="Arno Pro" w:hAnsi="Arno Pro"/>
          <w:noProof/>
          <w:sz w:val="20"/>
        </w:rPr>
        <w:t>, vol. 27, no. 5, pp. 784–800, Feb. 2015.</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[10]</w:t>
      </w:r>
      <w:r w:rsidRPr="00632873">
        <w:rPr>
          <w:rFonts w:ascii="Arno Pro" w:hAnsi="Arno Pro"/>
          <w:noProof/>
          <w:sz w:val="20"/>
        </w:rPr>
        <w:tab/>
        <w:t xml:space="preserve">K. Xu, “Nonaqueous Liquid Electrolytes for Lithium-Based Rechargeable Batteries,” </w:t>
      </w:r>
      <w:r w:rsidRPr="00632873">
        <w:rPr>
          <w:rFonts w:ascii="Arno Pro" w:hAnsi="Arno Pro"/>
          <w:i/>
          <w:iCs/>
          <w:noProof/>
          <w:sz w:val="20"/>
        </w:rPr>
        <w:t>Chem. Rev.</w:t>
      </w:r>
      <w:r w:rsidRPr="00632873">
        <w:rPr>
          <w:rFonts w:ascii="Arno Pro" w:hAnsi="Arno Pro"/>
          <w:noProof/>
          <w:sz w:val="20"/>
        </w:rPr>
        <w:t>, vol. 104, no. 10, pp. 4303–4418, Oct. 2004.</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[11]</w:t>
      </w:r>
      <w:r w:rsidRPr="00632873">
        <w:rPr>
          <w:rFonts w:ascii="Arno Pro" w:hAnsi="Arno Pro"/>
          <w:noProof/>
          <w:sz w:val="20"/>
        </w:rPr>
        <w:tab/>
        <w:t xml:space="preserve">K. Xu, “Electrolytes and Interphases in Li-Ion Batteries and Beyond,” </w:t>
      </w:r>
      <w:r w:rsidRPr="00632873">
        <w:rPr>
          <w:rFonts w:ascii="Arno Pro" w:hAnsi="Arno Pro"/>
          <w:i/>
          <w:iCs/>
          <w:noProof/>
          <w:sz w:val="20"/>
        </w:rPr>
        <w:t>Chem. Rev.</w:t>
      </w:r>
      <w:r w:rsidRPr="00632873">
        <w:rPr>
          <w:rFonts w:ascii="Arno Pro" w:hAnsi="Arno Pro"/>
          <w:noProof/>
          <w:sz w:val="20"/>
        </w:rPr>
        <w:t>, vol. 114, no. 23, pp. 11503–11618, Dec. 2014.</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[12]</w:t>
      </w:r>
      <w:r w:rsidRPr="00632873">
        <w:rPr>
          <w:rFonts w:ascii="Arno Pro" w:hAnsi="Arno Pro"/>
          <w:noProof/>
          <w:sz w:val="20"/>
        </w:rPr>
        <w:tab/>
        <w:t xml:space="preserve">A. M. Haregewoin, E. G. Leggesse, J.-C. Jiang, F.-M. Wang, B.-J. Hwang, and S. D. Lin, “Comparative Study on the Solid Electrolyte Interface Formation by the Reduction of Alkyl Carbonates in Lithium ion Battery,” </w:t>
      </w:r>
      <w:r w:rsidRPr="00632873">
        <w:rPr>
          <w:rFonts w:ascii="Arno Pro" w:hAnsi="Arno Pro"/>
          <w:i/>
          <w:iCs/>
          <w:noProof/>
          <w:sz w:val="20"/>
        </w:rPr>
        <w:t>Electrochim. Acta</w:t>
      </w:r>
      <w:r w:rsidRPr="00632873">
        <w:rPr>
          <w:rFonts w:ascii="Arno Pro" w:hAnsi="Arno Pro"/>
          <w:noProof/>
          <w:sz w:val="20"/>
        </w:rPr>
        <w:t>, vol. 136, no. 0, pp. 274–285, Aug. 2014.</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[13]</w:t>
      </w:r>
      <w:r w:rsidRPr="00632873">
        <w:rPr>
          <w:rFonts w:ascii="Arno Pro" w:hAnsi="Arno Pro"/>
          <w:noProof/>
          <w:sz w:val="20"/>
        </w:rPr>
        <w:tab/>
        <w:t xml:space="preserve">D. Aurbach, Y. Ein‐Eli, O. Chusid (Youngman), Y. Carmeli, M. Babai, and H. Yamin, “The Correlation Between the Surface Chemistry and the Performance of Li‐Carbon Intercalation Anodes for Rechargeable ‘Rocking‐Chair’ Type Batteries,” </w:t>
      </w:r>
      <w:r w:rsidRPr="00632873">
        <w:rPr>
          <w:rFonts w:ascii="Arno Pro" w:hAnsi="Arno Pro"/>
          <w:i/>
          <w:iCs/>
          <w:noProof/>
          <w:sz w:val="20"/>
        </w:rPr>
        <w:t xml:space="preserve">J. Electrochem. Soc. </w:t>
      </w:r>
      <w:r w:rsidRPr="00632873">
        <w:rPr>
          <w:rFonts w:ascii="Arno Pro" w:hAnsi="Arno Pro"/>
          <w:noProof/>
          <w:sz w:val="20"/>
        </w:rPr>
        <w:t>, vol. 141 , no. 3 , pp. 603–611, Mar. 1994.</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[14]</w:t>
      </w:r>
      <w:r w:rsidRPr="00632873">
        <w:rPr>
          <w:rFonts w:ascii="Arno Pro" w:hAnsi="Arno Pro"/>
          <w:noProof/>
          <w:sz w:val="20"/>
        </w:rPr>
        <w:tab/>
        <w:t xml:space="preserve">S. A. Freunberger, Y. Chen, Z. Peng, J. M. Griffin, L. J. Hardwick, F. Bardé, P. Novák, and P. G. Bruce, “Reactions in the Rechargeable Lithium–O2 Battery with Alkyl Carbonate Electrolytes,” </w:t>
      </w:r>
      <w:r w:rsidRPr="00632873">
        <w:rPr>
          <w:rFonts w:ascii="Arno Pro" w:hAnsi="Arno Pro"/>
          <w:i/>
          <w:iCs/>
          <w:noProof/>
          <w:sz w:val="20"/>
        </w:rPr>
        <w:t>J. Am. Chem. Soc.</w:t>
      </w:r>
      <w:r w:rsidRPr="00632873">
        <w:rPr>
          <w:rFonts w:ascii="Arno Pro" w:hAnsi="Arno Pro"/>
          <w:noProof/>
          <w:sz w:val="20"/>
        </w:rPr>
        <w:t>, vol. 133, no. 20, pp. 8040–8047, May 2011.</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lastRenderedPageBreak/>
        <w:t>[15]</w:t>
      </w:r>
      <w:r w:rsidRPr="00632873">
        <w:rPr>
          <w:rFonts w:ascii="Arno Pro" w:hAnsi="Arno Pro"/>
          <w:noProof/>
          <w:sz w:val="20"/>
        </w:rPr>
        <w:tab/>
        <w:t xml:space="preserve">O. V Tripachev, E. A. Maleeva, and M. R. Tarasevich, “Oxygen electroreduction in propylene carbonate solutions,” </w:t>
      </w:r>
      <w:r w:rsidRPr="00632873">
        <w:rPr>
          <w:rFonts w:ascii="Arno Pro" w:hAnsi="Arno Pro"/>
          <w:i/>
          <w:iCs/>
          <w:noProof/>
          <w:sz w:val="20"/>
        </w:rPr>
        <w:t>Russ. J. Electrochem.</w:t>
      </w:r>
      <w:r w:rsidRPr="00632873">
        <w:rPr>
          <w:rFonts w:ascii="Arno Pro" w:hAnsi="Arno Pro"/>
          <w:noProof/>
          <w:sz w:val="20"/>
        </w:rPr>
        <w:t>, vol. 51, no. 2, pp. 103–111, 2015.</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[16]</w:t>
      </w:r>
      <w:r w:rsidRPr="00632873">
        <w:rPr>
          <w:rFonts w:ascii="Arno Pro" w:hAnsi="Arno Pro"/>
          <w:noProof/>
          <w:sz w:val="20"/>
        </w:rPr>
        <w:tab/>
        <w:t xml:space="preserve">C. O. Laoire, S. Mukerjee, K. M. Abraham, E. J. Plichta, and M. A. Hendrickson, “Influence of Nonaqueous Solvents on the Electrochemistry of Oxygen in the Rechargeable Lithium−Air Battery,” </w:t>
      </w:r>
      <w:r w:rsidRPr="00632873">
        <w:rPr>
          <w:rFonts w:ascii="Arno Pro" w:hAnsi="Arno Pro"/>
          <w:i/>
          <w:iCs/>
          <w:noProof/>
          <w:sz w:val="20"/>
        </w:rPr>
        <w:t>J. Phys. Chem. C</w:t>
      </w:r>
      <w:r w:rsidRPr="00632873">
        <w:rPr>
          <w:rFonts w:ascii="Arno Pro" w:hAnsi="Arno Pro"/>
          <w:noProof/>
          <w:sz w:val="20"/>
        </w:rPr>
        <w:t>, vol. 114, no. 19, pp. 9178–9186, May 2010.</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[17]</w:t>
      </w:r>
      <w:r w:rsidRPr="00632873">
        <w:rPr>
          <w:rFonts w:ascii="Arno Pro" w:hAnsi="Arno Pro"/>
          <w:noProof/>
          <w:sz w:val="20"/>
        </w:rPr>
        <w:tab/>
        <w:t xml:space="preserve">M. M. Ottakam Thotiyl, S. A. Freunberger, Z. Peng, Y. Chen, Z. Liu, and P. G. Bruce, “A stable cathode for the aprotic Li-O2 battery.,” </w:t>
      </w:r>
      <w:r w:rsidRPr="00632873">
        <w:rPr>
          <w:rFonts w:ascii="Arno Pro" w:hAnsi="Arno Pro"/>
          <w:i/>
          <w:iCs/>
          <w:noProof/>
          <w:sz w:val="20"/>
        </w:rPr>
        <w:t>Nat. Mater.</w:t>
      </w:r>
      <w:r w:rsidRPr="00632873">
        <w:rPr>
          <w:rFonts w:ascii="Arno Pro" w:hAnsi="Arno Pro"/>
          <w:noProof/>
          <w:sz w:val="20"/>
        </w:rPr>
        <w:t>, vol. 12, no. 11, pp. 1050–6, Nov. 2013.</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[18]</w:t>
      </w:r>
      <w:r w:rsidRPr="00632873">
        <w:rPr>
          <w:rFonts w:ascii="Arno Pro" w:hAnsi="Arno Pro"/>
          <w:noProof/>
          <w:sz w:val="20"/>
        </w:rPr>
        <w:tab/>
        <w:t xml:space="preserve">T. Zhang and H. Zhou, “A reversible long-life lithium-air battery in ambient air.,” </w:t>
      </w:r>
      <w:r w:rsidRPr="00632873">
        <w:rPr>
          <w:rFonts w:ascii="Arno Pro" w:hAnsi="Arno Pro"/>
          <w:i/>
          <w:iCs/>
          <w:noProof/>
          <w:sz w:val="20"/>
        </w:rPr>
        <w:t>Nat. Commun.</w:t>
      </w:r>
      <w:r w:rsidRPr="00632873">
        <w:rPr>
          <w:rFonts w:ascii="Arno Pro" w:hAnsi="Arno Pro"/>
          <w:noProof/>
          <w:sz w:val="20"/>
        </w:rPr>
        <w:t>, vol. 4, p. 1817, Jan. 2013.</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[19]</w:t>
      </w:r>
      <w:r w:rsidRPr="00632873">
        <w:rPr>
          <w:rFonts w:ascii="Arno Pro" w:hAnsi="Arno Pro"/>
          <w:noProof/>
          <w:sz w:val="20"/>
        </w:rPr>
        <w:tab/>
        <w:t xml:space="preserve">B. D. Adams, R. Black, Z. Williams, R. Fernandes, M. Cuisinier, E. J. Berg, P. Novak, G. K. Murphy, and L. F. Nazar, “Towards a Stable Organic Electrolyte for the Lithium Oxygen Battery,” </w:t>
      </w:r>
      <w:r w:rsidRPr="00632873">
        <w:rPr>
          <w:rFonts w:ascii="Arno Pro" w:hAnsi="Arno Pro"/>
          <w:i/>
          <w:iCs/>
          <w:noProof/>
          <w:sz w:val="20"/>
        </w:rPr>
        <w:t>Adv. Energy Mater.</w:t>
      </w:r>
      <w:r w:rsidRPr="00632873">
        <w:rPr>
          <w:rFonts w:ascii="Arno Pro" w:hAnsi="Arno Pro"/>
          <w:noProof/>
          <w:sz w:val="20"/>
        </w:rPr>
        <w:t>, vol. 5, no. 1, p. n/a–n/a, Jan. 2015.</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[20]</w:t>
      </w:r>
      <w:r w:rsidRPr="00632873">
        <w:rPr>
          <w:rFonts w:ascii="Arno Pro" w:hAnsi="Arno Pro"/>
          <w:noProof/>
          <w:sz w:val="20"/>
        </w:rPr>
        <w:tab/>
        <w:t xml:space="preserve">Y. Wang, S. Nakamura, M. Ue, and P. B. Balbuena, “Studies To Understand Surface Chemistry on Carbon Anodes for Lithium-Ion Batteries:Theoretical Reduction Mechanisms of Ethylene Carbonate,” </w:t>
      </w:r>
      <w:r w:rsidRPr="00632873">
        <w:rPr>
          <w:rFonts w:ascii="Arno Pro" w:hAnsi="Arno Pro"/>
          <w:i/>
          <w:iCs/>
          <w:noProof/>
          <w:sz w:val="20"/>
        </w:rPr>
        <w:t>J. Am. Chem. Soc.</w:t>
      </w:r>
      <w:r w:rsidRPr="00632873">
        <w:rPr>
          <w:rFonts w:ascii="Arno Pro" w:hAnsi="Arno Pro"/>
          <w:noProof/>
          <w:sz w:val="20"/>
        </w:rPr>
        <w:t>, vol. 123, no. 47, pp. 11708–11718, Nov. 2001.</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[21]</w:t>
      </w:r>
      <w:r w:rsidRPr="00632873">
        <w:rPr>
          <w:rFonts w:ascii="Arno Pro" w:hAnsi="Arno Pro"/>
          <w:noProof/>
          <w:sz w:val="20"/>
        </w:rPr>
        <w:tab/>
        <w:t xml:space="preserve">V. S. Bryantsev, V. Giordani, W. Walker, M. Blanco, S. Zecevic, K. Sasaki, J. Uddin, D. Addison, and G. V Chase, “Predicting Solvent Stability in Aprotic Electrolyte Li–Air Batteries: Nucleophilic Substitution by the Superoxide Anion Radical (O2•–),” </w:t>
      </w:r>
      <w:r w:rsidRPr="00632873">
        <w:rPr>
          <w:rFonts w:ascii="Arno Pro" w:hAnsi="Arno Pro"/>
          <w:i/>
          <w:iCs/>
          <w:noProof/>
          <w:sz w:val="20"/>
        </w:rPr>
        <w:t>J. Phys. Chem. A</w:t>
      </w:r>
      <w:r w:rsidRPr="00632873">
        <w:rPr>
          <w:rFonts w:ascii="Arno Pro" w:hAnsi="Arno Pro"/>
          <w:noProof/>
          <w:sz w:val="20"/>
        </w:rPr>
        <w:t>, vol. 115, no. 44, pp. 12399–12409, Nov. 2011.</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[22]</w:t>
      </w:r>
      <w:r w:rsidRPr="00632873">
        <w:rPr>
          <w:rFonts w:ascii="Arno Pro" w:hAnsi="Arno Pro"/>
          <w:noProof/>
          <w:sz w:val="20"/>
        </w:rPr>
        <w:tab/>
        <w:t xml:space="preserve">J. E. Coughlin, A. Zhugayevych, R. C. Bakus, T. S. van der Poll, G. C. Welch, S. J. Teat, G. C. Bazan, and S. Tretiak, “A Combined Experimental and Theoretical Study of Conformational Preferences of Molecular Semiconductors,” </w:t>
      </w:r>
      <w:r w:rsidRPr="00632873">
        <w:rPr>
          <w:rFonts w:ascii="Arno Pro" w:hAnsi="Arno Pro"/>
          <w:i/>
          <w:iCs/>
          <w:noProof/>
          <w:sz w:val="20"/>
        </w:rPr>
        <w:t>J. Phys. Chem. C</w:t>
      </w:r>
      <w:r w:rsidRPr="00632873">
        <w:rPr>
          <w:rFonts w:ascii="Arno Pro" w:hAnsi="Arno Pro"/>
          <w:noProof/>
          <w:sz w:val="20"/>
        </w:rPr>
        <w:t>, vol. 118, no. 29, pp. 15610–15623, Jul. 2014.</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[23]</w:t>
      </w:r>
      <w:r w:rsidRPr="00632873">
        <w:rPr>
          <w:rFonts w:ascii="Arno Pro" w:hAnsi="Arno Pro"/>
          <w:noProof/>
          <w:sz w:val="20"/>
        </w:rPr>
        <w:tab/>
        <w:t xml:space="preserve">N. Mozhzhukhina, L. P. Méndez De Leo, and E. J. Calvo, “Infrared Spectroscopy Studies on Stability of Dimethyl Sulfoxide for Application in a Li–Air Battery,” </w:t>
      </w:r>
      <w:r w:rsidRPr="00632873">
        <w:rPr>
          <w:rFonts w:ascii="Arno Pro" w:hAnsi="Arno Pro"/>
          <w:i/>
          <w:iCs/>
          <w:noProof/>
          <w:sz w:val="20"/>
        </w:rPr>
        <w:t>J. Phys. Chem. C</w:t>
      </w:r>
      <w:r w:rsidRPr="00632873">
        <w:rPr>
          <w:rFonts w:ascii="Arno Pro" w:hAnsi="Arno Pro"/>
          <w:noProof/>
          <w:sz w:val="20"/>
        </w:rPr>
        <w:t>, vol. 117, no. 36, pp. 18375–18380, Sep. 2013.</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[24]</w:t>
      </w:r>
      <w:r w:rsidRPr="00632873">
        <w:rPr>
          <w:rFonts w:ascii="Arno Pro" w:hAnsi="Arno Pro"/>
          <w:noProof/>
          <w:sz w:val="20"/>
        </w:rPr>
        <w:tab/>
        <w:t xml:space="preserve">F. Shi, P. N. Ross, H. Zhao, G. Liu, G. A. Somorjai, and K. Komvopoulos, “A Catalytic Path for Electrolyte Reduction in Lithium-Ion Cells Revealed by in Situ Attenuated Total Reflection-Fourier Transform Infrared Spectroscopy,” </w:t>
      </w:r>
      <w:r w:rsidRPr="00632873">
        <w:rPr>
          <w:rFonts w:ascii="Arno Pro" w:hAnsi="Arno Pro"/>
          <w:i/>
          <w:iCs/>
          <w:noProof/>
          <w:sz w:val="20"/>
        </w:rPr>
        <w:t>J. Am. Chem. Soc.</w:t>
      </w:r>
      <w:r w:rsidRPr="00632873">
        <w:rPr>
          <w:rFonts w:ascii="Arno Pro" w:hAnsi="Arno Pro"/>
          <w:noProof/>
          <w:sz w:val="20"/>
        </w:rPr>
        <w:t>, vol. 137, no. 9, pp. 3181–3184, Mar. 2015.</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[25]</w:t>
      </w:r>
      <w:r w:rsidRPr="00632873">
        <w:rPr>
          <w:rFonts w:ascii="Arno Pro" w:hAnsi="Arno Pro"/>
          <w:noProof/>
          <w:sz w:val="20"/>
        </w:rPr>
        <w:tab/>
        <w:t xml:space="preserve">M. Osawa, “Dynamic Processes in Electrochemical Reactions Studied by Surface-Enhanced Infrared Absorption Spectroscopy (SEIRAS),” </w:t>
      </w:r>
      <w:r w:rsidRPr="00632873">
        <w:rPr>
          <w:rFonts w:ascii="Arno Pro" w:hAnsi="Arno Pro"/>
          <w:i/>
          <w:iCs/>
          <w:noProof/>
          <w:sz w:val="20"/>
        </w:rPr>
        <w:t>Bull. Chem. Soc. Jpn.</w:t>
      </w:r>
      <w:r w:rsidRPr="00632873">
        <w:rPr>
          <w:rFonts w:ascii="Arno Pro" w:hAnsi="Arno Pro"/>
          <w:noProof/>
          <w:sz w:val="20"/>
        </w:rPr>
        <w:t>, vol. 70, no. 12, pp. 2861–2880, 1997.</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[26]</w:t>
      </w:r>
      <w:r w:rsidRPr="00632873">
        <w:rPr>
          <w:rFonts w:ascii="Arno Pro" w:hAnsi="Arno Pro"/>
          <w:noProof/>
          <w:sz w:val="20"/>
        </w:rPr>
        <w:tab/>
        <w:t xml:space="preserve">D. A. Heaps and P. R. Griffiths, “Reduction of Detection Limits of the Direct Deposition GC/FT-IR Interface by Surface-Enhanced Infrared Absorption,” </w:t>
      </w:r>
      <w:r w:rsidRPr="00632873">
        <w:rPr>
          <w:rFonts w:ascii="Arno Pro" w:hAnsi="Arno Pro"/>
          <w:i/>
          <w:iCs/>
          <w:noProof/>
          <w:sz w:val="20"/>
        </w:rPr>
        <w:t>Anal. Chem.</w:t>
      </w:r>
      <w:r w:rsidRPr="00632873">
        <w:rPr>
          <w:rFonts w:ascii="Arno Pro" w:hAnsi="Arno Pro"/>
          <w:noProof/>
          <w:sz w:val="20"/>
        </w:rPr>
        <w:t>, vol. 77, no. 18, pp. 5965–5972, Sep. 2005.</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[27]</w:t>
      </w:r>
      <w:r w:rsidRPr="00632873">
        <w:rPr>
          <w:rFonts w:ascii="Arno Pro" w:hAnsi="Arno Pro"/>
          <w:noProof/>
          <w:sz w:val="20"/>
        </w:rPr>
        <w:tab/>
        <w:t xml:space="preserve">M. Futamata, “Adsorbed State of 4,4‘-BiPy and BiPyH22+ on Au(111) Electrode,” </w:t>
      </w:r>
      <w:r w:rsidRPr="00632873">
        <w:rPr>
          <w:rFonts w:ascii="Arno Pro" w:hAnsi="Arno Pro"/>
          <w:i/>
          <w:iCs/>
          <w:noProof/>
          <w:sz w:val="20"/>
        </w:rPr>
        <w:t>J. Phys. Chem. B</w:t>
      </w:r>
      <w:r w:rsidRPr="00632873">
        <w:rPr>
          <w:rFonts w:ascii="Arno Pro" w:hAnsi="Arno Pro"/>
          <w:noProof/>
          <w:sz w:val="20"/>
        </w:rPr>
        <w:t>, vol. 105, no. 29, pp. 6933–6942, Jul. 2001.</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[28]</w:t>
      </w:r>
      <w:r w:rsidRPr="00632873">
        <w:rPr>
          <w:rFonts w:ascii="Arno Pro" w:hAnsi="Arno Pro"/>
          <w:noProof/>
          <w:sz w:val="20"/>
        </w:rPr>
        <w:tab/>
      </w:r>
      <w:r w:rsidRPr="001C1B5B">
        <w:rPr>
          <w:rFonts w:ascii="Arno Pro" w:hAnsi="Arno Pro"/>
          <w:noProof/>
          <w:sz w:val="20"/>
        </w:rPr>
        <w:t xml:space="preserve">M. J. Frisch, G. W. Trucks, H. B. Schlegel, G. E. Scuseria, M. A. Robb, J. R. Cheeseman, G. Scalmani, V. Barone, B. Mennucci, G. A. Petersson, H. Nakatsuji, M. Caricato, X. Li, H. P. Hratchian, A. F. Izmaylov, J. Bloino, G. Zheng, J. L. Sonnenberg, M. Hada, M. Ehara, K. Toyota, R. Fukuda, J. </w:t>
      </w:r>
      <w:r w:rsidRPr="001C1B5B">
        <w:rPr>
          <w:rFonts w:ascii="Arno Pro" w:hAnsi="Arno Pro"/>
          <w:noProof/>
          <w:sz w:val="20"/>
        </w:rPr>
        <w:lastRenderedPageBreak/>
        <w:t xml:space="preserve">Hasegawa, M. Ishida, T. Nakajima, Y. Honda, O. Kitao, H. Nakai, T. Vreven, J. A. Montgomery Jr., J. E. Peralta, F. Ogliaro, M. Bearpark, J. J. Heyd, E. Brothers, K. N. Kudin, V. N. Staroverov, T. Keith,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O. Farkas, J. B. Foresman, J. V. Ortiz, J. Cioslowski and D. J. Fox, </w:t>
      </w:r>
      <w:r w:rsidRPr="00243B7F">
        <w:rPr>
          <w:rFonts w:ascii="Arno Pro" w:hAnsi="Arno Pro"/>
          <w:noProof/>
          <w:sz w:val="20"/>
        </w:rPr>
        <w:t xml:space="preserve">“Gaussian 09, revision B. 01,” </w:t>
      </w:r>
      <w:r w:rsidRPr="00243B7F">
        <w:rPr>
          <w:rFonts w:ascii="Arno Pro" w:hAnsi="Arno Pro"/>
          <w:i/>
          <w:iCs/>
          <w:noProof/>
          <w:sz w:val="20"/>
        </w:rPr>
        <w:t>Gaussian Inc., Wallingford, </w:t>
      </w:r>
      <w:r w:rsidRPr="00243B7F">
        <w:rPr>
          <w:rFonts w:ascii="Arno Pro" w:hAnsi="Arno Pro"/>
          <w:noProof/>
          <w:sz w:val="20"/>
        </w:rPr>
        <w:t>2010</w:t>
      </w:r>
      <w:r w:rsidRPr="00632873">
        <w:rPr>
          <w:rFonts w:ascii="Arno Pro" w:hAnsi="Arno Pro"/>
          <w:noProof/>
          <w:sz w:val="20"/>
        </w:rPr>
        <w:t>.</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[29]</w:t>
      </w:r>
      <w:r w:rsidRPr="00632873">
        <w:rPr>
          <w:rFonts w:ascii="Arno Pro" w:hAnsi="Arno Pro"/>
          <w:noProof/>
          <w:sz w:val="20"/>
        </w:rPr>
        <w:tab/>
        <w:t xml:space="preserve">Y. Zhao and D. G. Truhlar, “The M06 suite of density functionals for main group thermochemistry, thermochemical kinetics, noncovalent interactions, excited states, and transition elements: two new functionals and systematic testing of four M06-class functionals and 12 other function,” </w:t>
      </w:r>
      <w:r w:rsidRPr="00632873">
        <w:rPr>
          <w:rFonts w:ascii="Arno Pro" w:hAnsi="Arno Pro"/>
          <w:i/>
          <w:iCs/>
          <w:noProof/>
          <w:sz w:val="20"/>
        </w:rPr>
        <w:t>Theor. Chem. Acc.</w:t>
      </w:r>
      <w:r w:rsidRPr="00632873">
        <w:rPr>
          <w:rFonts w:ascii="Arno Pro" w:hAnsi="Arno Pro"/>
          <w:noProof/>
          <w:sz w:val="20"/>
        </w:rPr>
        <w:t>, vol. 120, no. 1–3, pp. 215–241, Jul. 2007.</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[30]</w:t>
      </w:r>
      <w:r w:rsidRPr="00632873">
        <w:rPr>
          <w:rFonts w:ascii="Arno Pro" w:hAnsi="Arno Pro"/>
          <w:noProof/>
          <w:sz w:val="20"/>
        </w:rPr>
        <w:tab/>
        <w:t xml:space="preserve">I. A. Shkrob, Y. Zhu, T. W. Marin, and D. Abraham, “Reduction of Carbonate Electrolytes and the Formation of Solid-Electrolyte Interface (SEI) in Lithium-Ion Batteries. 1. Spectroscopic Observations of Radical Intermediates Generated in One-Electron Reduction of Carbonates,” </w:t>
      </w:r>
      <w:r w:rsidRPr="00632873">
        <w:rPr>
          <w:rFonts w:ascii="Arno Pro" w:hAnsi="Arno Pro"/>
          <w:i/>
          <w:iCs/>
          <w:noProof/>
          <w:sz w:val="20"/>
        </w:rPr>
        <w:t>J. Phys. Chem. C</w:t>
      </w:r>
      <w:r w:rsidRPr="00632873">
        <w:rPr>
          <w:rFonts w:ascii="Arno Pro" w:hAnsi="Arno Pro"/>
          <w:noProof/>
          <w:sz w:val="20"/>
        </w:rPr>
        <w:t>, vol. 117, no. 38, pp. 19255–19269, Sep. 2013.</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[31]</w:t>
      </w:r>
      <w:r w:rsidRPr="00632873">
        <w:rPr>
          <w:rFonts w:ascii="Arno Pro" w:hAnsi="Arno Pro"/>
          <w:noProof/>
          <w:sz w:val="20"/>
        </w:rPr>
        <w:tab/>
        <w:t xml:space="preserve">G. M. Veith, N. J. Dudney, J. Howe, and J. Nanda, “Spectroscopic Characterization of Solid Discharge Products in Li–Air Cells with Aprotic Carbonate Electrolytes,” </w:t>
      </w:r>
      <w:r w:rsidRPr="00632873">
        <w:rPr>
          <w:rFonts w:ascii="Arno Pro" w:hAnsi="Arno Pro"/>
          <w:i/>
          <w:iCs/>
          <w:noProof/>
          <w:sz w:val="20"/>
        </w:rPr>
        <w:t>J. Phys. Chem. C</w:t>
      </w:r>
      <w:r w:rsidRPr="00632873">
        <w:rPr>
          <w:rFonts w:ascii="Arno Pro" w:hAnsi="Arno Pro"/>
          <w:noProof/>
          <w:sz w:val="20"/>
        </w:rPr>
        <w:t>, vol. 115, no. 29, pp. 14325–14333, Jul. 2011.</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[32]</w:t>
      </w:r>
      <w:r w:rsidRPr="00632873">
        <w:rPr>
          <w:rFonts w:ascii="Arno Pro" w:hAnsi="Arno Pro"/>
          <w:noProof/>
          <w:sz w:val="20"/>
        </w:rPr>
        <w:tab/>
        <w:t xml:space="preserve">R. Baddour-hadjean and J.-P. Pereira-Ramos, “Raman Microspectrometry Applied to the Study of Electrode Materials for Lithium Batteries,” </w:t>
      </w:r>
      <w:r w:rsidRPr="00632873">
        <w:rPr>
          <w:rFonts w:ascii="Arno Pro" w:hAnsi="Arno Pro"/>
          <w:i/>
          <w:iCs/>
          <w:noProof/>
          <w:sz w:val="20"/>
        </w:rPr>
        <w:t>Chem. Rev.</w:t>
      </w:r>
      <w:r w:rsidRPr="00632873">
        <w:rPr>
          <w:rFonts w:ascii="Arno Pro" w:hAnsi="Arno Pro"/>
          <w:noProof/>
          <w:sz w:val="20"/>
        </w:rPr>
        <w:t>, vol. 110, pp. 1278–1319, 2010.</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[33]</w:t>
      </w:r>
      <w:r w:rsidRPr="00632873">
        <w:rPr>
          <w:rFonts w:ascii="Arno Pro" w:hAnsi="Arno Pro"/>
          <w:noProof/>
          <w:sz w:val="20"/>
        </w:rPr>
        <w:tab/>
        <w:t>Y. Wang and P. B. Balbuena, “Theoretical Insights into the Reductive Decompositions of Propylene Carbonate and Vinylene Carbonate:</w:t>
      </w:r>
      <w:r w:rsidRPr="00632873">
        <w:rPr>
          <w:noProof/>
          <w:sz w:val="20"/>
        </w:rPr>
        <w:t> </w:t>
      </w:r>
      <w:r w:rsidRPr="00632873">
        <w:rPr>
          <w:rFonts w:ascii="Arno Pro" w:hAnsi="Arno Pro"/>
          <w:noProof/>
          <w:sz w:val="20"/>
        </w:rPr>
        <w:t xml:space="preserve"> Density Functional Theory Studies,” </w:t>
      </w:r>
      <w:r w:rsidRPr="00632873">
        <w:rPr>
          <w:rFonts w:ascii="Arno Pro" w:hAnsi="Arno Pro"/>
          <w:i/>
          <w:iCs/>
          <w:noProof/>
          <w:sz w:val="20"/>
        </w:rPr>
        <w:t>J. Phys. Chem. B</w:t>
      </w:r>
      <w:r w:rsidRPr="00632873">
        <w:rPr>
          <w:rFonts w:ascii="Arno Pro" w:hAnsi="Arno Pro"/>
          <w:noProof/>
          <w:sz w:val="20"/>
        </w:rPr>
        <w:t>, vol. 106, no. 17, pp. 4486–4495, May 2002.</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[34]</w:t>
      </w:r>
      <w:r w:rsidRPr="00632873">
        <w:rPr>
          <w:rFonts w:ascii="Arno Pro" w:hAnsi="Arno Pro"/>
          <w:noProof/>
          <w:sz w:val="20"/>
        </w:rPr>
        <w:tab/>
        <w:t xml:space="preserve">A. M. Haregewoin, E. G. Leggesse, J.-C. Jiang, F.-M. Wang, B.-J. Hwang, and S. D. Lin, “A combined experimental and theoretical study of surface film formation: Effect of oxygen on the reduction mechanism of propylene carbonate,” </w:t>
      </w:r>
      <w:r w:rsidRPr="00632873">
        <w:rPr>
          <w:rFonts w:ascii="Arno Pro" w:hAnsi="Arno Pro"/>
          <w:i/>
          <w:iCs/>
          <w:noProof/>
          <w:sz w:val="20"/>
        </w:rPr>
        <w:t>J. Power Sources</w:t>
      </w:r>
      <w:r w:rsidRPr="00632873">
        <w:rPr>
          <w:rFonts w:ascii="Arno Pro" w:hAnsi="Arno Pro"/>
          <w:noProof/>
          <w:sz w:val="20"/>
        </w:rPr>
        <w:t>, vol. 244, pp. 318–327, Dec. 2013.</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[35]</w:t>
      </w:r>
      <w:r w:rsidRPr="00632873">
        <w:rPr>
          <w:rFonts w:ascii="Arno Pro" w:hAnsi="Arno Pro"/>
          <w:noProof/>
          <w:sz w:val="20"/>
        </w:rPr>
        <w:tab/>
        <w:t xml:space="preserve">J. M. Vollmer, L. A. Curtiss, D. R. Vissers, and K. Amine, “Reduction Mechanisms of Ethylene, Propylene, and Vinylethylene Carbonates: A Quantum Chemical Study ,” </w:t>
      </w:r>
      <w:r w:rsidRPr="00632873">
        <w:rPr>
          <w:rFonts w:ascii="Arno Pro" w:hAnsi="Arno Pro"/>
          <w:i/>
          <w:iCs/>
          <w:noProof/>
          <w:sz w:val="20"/>
        </w:rPr>
        <w:t xml:space="preserve">J. Electrochem. Soc. </w:t>
      </w:r>
      <w:r w:rsidRPr="00632873">
        <w:rPr>
          <w:rFonts w:ascii="Arno Pro" w:hAnsi="Arno Pro"/>
          <w:noProof/>
          <w:sz w:val="20"/>
        </w:rPr>
        <w:t>, vol. 151 , no. 1 , pp. A178–A183, Jan. 2004.</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[36]</w:t>
      </w:r>
      <w:r w:rsidRPr="00632873">
        <w:rPr>
          <w:rFonts w:ascii="Arno Pro" w:hAnsi="Arno Pro"/>
          <w:noProof/>
          <w:sz w:val="20"/>
        </w:rPr>
        <w:tab/>
        <w:t xml:space="preserve">I. Janik and G. N. R. Tripathi, “The nature of the superoxide radical anion in water.,” </w:t>
      </w:r>
      <w:r w:rsidRPr="00632873">
        <w:rPr>
          <w:rFonts w:ascii="Arno Pro" w:hAnsi="Arno Pro"/>
          <w:i/>
          <w:iCs/>
          <w:noProof/>
          <w:sz w:val="20"/>
        </w:rPr>
        <w:t>J. Chem. Phys.</w:t>
      </w:r>
      <w:r w:rsidRPr="00632873">
        <w:rPr>
          <w:rFonts w:ascii="Arno Pro" w:hAnsi="Arno Pro"/>
          <w:noProof/>
          <w:sz w:val="20"/>
        </w:rPr>
        <w:t>, vol. 139, no. 1, p. 014302, Jul. 2013.</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[37]</w:t>
      </w:r>
      <w:r w:rsidRPr="00632873">
        <w:rPr>
          <w:rFonts w:ascii="Arno Pro" w:hAnsi="Arno Pro"/>
          <w:noProof/>
          <w:sz w:val="20"/>
        </w:rPr>
        <w:tab/>
        <w:t xml:space="preserve">W. H. J. de Beer and A. M. Heyns, “The i.r. and Raman spectra of tetraethylammonium hexafluoroantimonate (C2H5)4NSbF6,” </w:t>
      </w:r>
      <w:r w:rsidRPr="00632873">
        <w:rPr>
          <w:rFonts w:ascii="Arno Pro" w:hAnsi="Arno Pro"/>
          <w:i/>
          <w:iCs/>
          <w:noProof/>
          <w:sz w:val="20"/>
        </w:rPr>
        <w:t>Spectrochim. Acta Part A Mol. Spectrosc.</w:t>
      </w:r>
      <w:r w:rsidRPr="00632873">
        <w:rPr>
          <w:rFonts w:ascii="Arno Pro" w:hAnsi="Arno Pro"/>
          <w:noProof/>
          <w:sz w:val="20"/>
        </w:rPr>
        <w:t>, vol. 37, no. 12, pp. 1099–1107, Jan. 1981.</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[38]</w:t>
      </w:r>
      <w:r w:rsidRPr="00632873">
        <w:rPr>
          <w:rFonts w:ascii="Arno Pro" w:hAnsi="Arno Pro"/>
          <w:noProof/>
          <w:sz w:val="20"/>
        </w:rPr>
        <w:tab/>
        <w:t xml:space="preserve">D. Aurbach, “In situ FTIR Spectroelectrochemical Studies of Surface Films Formed on Li and Nonactive Electrodes at Low Potentials in Li Salt Solutions Containing CO[sub 2],” </w:t>
      </w:r>
      <w:r w:rsidRPr="00632873">
        <w:rPr>
          <w:rFonts w:ascii="Arno Pro" w:hAnsi="Arno Pro"/>
          <w:i/>
          <w:iCs/>
          <w:noProof/>
          <w:sz w:val="20"/>
        </w:rPr>
        <w:t>J. Electrochem. Soc.</w:t>
      </w:r>
      <w:r w:rsidRPr="00632873">
        <w:rPr>
          <w:rFonts w:ascii="Arno Pro" w:hAnsi="Arno Pro"/>
          <w:noProof/>
          <w:sz w:val="20"/>
        </w:rPr>
        <w:t>, vol. 140, no. 11, p. L155, Nov. 1993.</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[39]</w:t>
      </w:r>
      <w:r w:rsidRPr="00632873">
        <w:rPr>
          <w:rFonts w:ascii="Arno Pro" w:hAnsi="Arno Pro"/>
          <w:noProof/>
          <w:sz w:val="20"/>
        </w:rPr>
        <w:tab/>
        <w:t xml:space="preserve">Y. Ikezawa and T. Ariga, “In situ FTIR spectra at the Cu electrode/propylene carbonate solution interface,” </w:t>
      </w:r>
      <w:r w:rsidRPr="00632873">
        <w:rPr>
          <w:rFonts w:ascii="Arno Pro" w:hAnsi="Arno Pro"/>
          <w:i/>
          <w:iCs/>
          <w:noProof/>
          <w:sz w:val="20"/>
        </w:rPr>
        <w:t>Electrochim. Acta</w:t>
      </w:r>
      <w:r w:rsidRPr="00632873">
        <w:rPr>
          <w:rFonts w:ascii="Arno Pro" w:hAnsi="Arno Pro"/>
          <w:noProof/>
          <w:sz w:val="20"/>
        </w:rPr>
        <w:t>, vol. 52, no. 7, pp. 2710–2715, Feb. 2007.</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lastRenderedPageBreak/>
        <w:t>[40]</w:t>
      </w:r>
      <w:r w:rsidRPr="00632873">
        <w:rPr>
          <w:rFonts w:ascii="Arno Pro" w:hAnsi="Arno Pro"/>
          <w:noProof/>
          <w:sz w:val="20"/>
        </w:rPr>
        <w:tab/>
        <w:t xml:space="preserve">S.-I. Pyun, “In-situ spectroelectrochemical analysis of the passivating surface film formed on a carbon film electrode as a function of the water content in 1 M LiPF 6 -EC/DEC solution,” </w:t>
      </w:r>
      <w:r w:rsidRPr="00632873">
        <w:rPr>
          <w:rFonts w:ascii="Arno Pro" w:hAnsi="Arno Pro"/>
          <w:i/>
          <w:iCs/>
          <w:noProof/>
          <w:sz w:val="20"/>
        </w:rPr>
        <w:t>Fresenius. J. Anal. Chem.</w:t>
      </w:r>
      <w:r w:rsidRPr="00632873">
        <w:rPr>
          <w:rFonts w:ascii="Arno Pro" w:hAnsi="Arno Pro"/>
          <w:noProof/>
          <w:sz w:val="20"/>
        </w:rPr>
        <w:t>, vol. 363, no. 1, pp. 38–45, Jan. 1999.</w:t>
      </w:r>
    </w:p>
    <w:p w:rsidR="00632873" w:rsidRPr="00632873" w:rsidRDefault="00632873">
      <w:pPr>
        <w:pStyle w:val="NormalWeb"/>
        <w:ind w:left="640" w:hanging="640"/>
        <w:divId w:val="1237667359"/>
        <w:rPr>
          <w:rFonts w:ascii="Arno Pro" w:hAnsi="Arno Pro"/>
          <w:noProof/>
          <w:sz w:val="20"/>
        </w:rPr>
      </w:pPr>
      <w:r w:rsidRPr="00632873">
        <w:rPr>
          <w:rFonts w:ascii="Arno Pro" w:hAnsi="Arno Pro"/>
          <w:noProof/>
          <w:sz w:val="20"/>
        </w:rPr>
        <w:t>[41]</w:t>
      </w:r>
      <w:r w:rsidRPr="00632873">
        <w:rPr>
          <w:rFonts w:ascii="Arno Pro" w:hAnsi="Arno Pro"/>
          <w:noProof/>
          <w:sz w:val="20"/>
        </w:rPr>
        <w:tab/>
        <w:t xml:space="preserve">T. Zeegers-Huyskens and G. Bator, “Fourier transform infrared and Fourier transform Raman investigation of alkylammonium hexachloroantimonates,” </w:t>
      </w:r>
      <w:r w:rsidRPr="00632873">
        <w:rPr>
          <w:rFonts w:ascii="Arno Pro" w:hAnsi="Arno Pro"/>
          <w:i/>
          <w:iCs/>
          <w:noProof/>
          <w:sz w:val="20"/>
        </w:rPr>
        <w:t>Vib. Spectrosc.</w:t>
      </w:r>
      <w:r w:rsidRPr="00632873">
        <w:rPr>
          <w:rFonts w:ascii="Arno Pro" w:hAnsi="Arno Pro"/>
          <w:noProof/>
          <w:sz w:val="20"/>
        </w:rPr>
        <w:t xml:space="preserve">, vol. 13, no. 1, pp. 41–49, Dec. 1996. </w:t>
      </w:r>
    </w:p>
    <w:p w:rsidR="00645B6F" w:rsidRDefault="00136687" w:rsidP="00632873">
      <w:pPr>
        <w:pStyle w:val="NormalWeb"/>
        <w:ind w:left="640" w:hanging="640"/>
        <w:divId w:val="1443525998"/>
        <w:rPr>
          <w:b/>
        </w:rPr>
      </w:pPr>
      <w:r w:rsidRPr="0072470D">
        <w:rPr>
          <w:sz w:val="32"/>
        </w:rPr>
        <w:fldChar w:fldCharType="end"/>
      </w:r>
    </w:p>
    <w:sectPr w:rsidR="00645B6F" w:rsidSect="006E4730">
      <w:footerReference w:type="even" r:id="rId23"/>
      <w:footerReference w:type="default" r:id="rId2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A19" w:rsidRDefault="009E5A19">
      <w:r>
        <w:separator/>
      </w:r>
    </w:p>
    <w:p w:rsidR="009E5A19" w:rsidRDefault="009E5A19"/>
  </w:endnote>
  <w:endnote w:type="continuationSeparator" w:id="0">
    <w:p w:rsidR="009E5A19" w:rsidRDefault="009E5A19">
      <w:r>
        <w:continuationSeparator/>
      </w:r>
    </w:p>
    <w:p w:rsidR="009E5A19" w:rsidRDefault="009E5A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A214549E-5BEA-4DAE-BAA8-9182D40747B6}"/>
    <w:embedBold r:id="rId2" w:fontKey="{FCD16EF2-32A0-4852-875A-B3BF40E42068}"/>
  </w:font>
  <w:font w:name="Myriad Pro Light">
    <w:altName w:val="Corbel"/>
    <w:panose1 w:val="00000000000000000000"/>
    <w:charset w:val="00"/>
    <w:family w:val="swiss"/>
    <w:notTrueType/>
    <w:pitch w:val="variable"/>
    <w:sig w:usb0="00000001" w:usb1="5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embedRegular r:id="rId3" w:subsetted="1" w:fontKey="{84EBEDCA-F9CA-4C16-9607-95494F0AA0FC}"/>
    <w:embedItalic r:id="rId4" w:subsetted="1" w:fontKey="{1B18FC85-FF5C-424C-AFC1-875D84C3B797}"/>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B7" w:rsidRDefault="00FA0B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A0BB7" w:rsidRDefault="00FA0BB7">
    <w:pPr>
      <w:pStyle w:val="Footer"/>
      <w:ind w:right="360"/>
    </w:pPr>
  </w:p>
  <w:p w:rsidR="00FA0BB7" w:rsidRDefault="00FA0BB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0BB7" w:rsidRDefault="00FA0B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56183">
      <w:rPr>
        <w:rStyle w:val="PageNumber"/>
        <w:noProof/>
      </w:rPr>
      <w:t>24</w:t>
    </w:r>
    <w:r>
      <w:rPr>
        <w:rStyle w:val="PageNumber"/>
      </w:rPr>
      <w:fldChar w:fldCharType="end"/>
    </w:r>
  </w:p>
  <w:p w:rsidR="00FA0BB7" w:rsidRDefault="00FA0BB7">
    <w:pPr>
      <w:pStyle w:val="Footer"/>
      <w:ind w:right="360"/>
    </w:pPr>
  </w:p>
  <w:p w:rsidR="00FA0BB7" w:rsidRDefault="00FA0B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A19" w:rsidRDefault="009E5A19">
      <w:r>
        <w:separator/>
      </w:r>
    </w:p>
    <w:p w:rsidR="009E5A19" w:rsidRDefault="009E5A19"/>
  </w:footnote>
  <w:footnote w:type="continuationSeparator" w:id="0">
    <w:p w:rsidR="009E5A19" w:rsidRDefault="009E5A19">
      <w:r>
        <w:continuationSeparator/>
      </w:r>
    </w:p>
    <w:p w:rsidR="009E5A19" w:rsidRDefault="009E5A1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bordersDoNotSurroundHeader/>
  <w:bordersDoNotSurroundFooter/>
  <w:activeWritingStyle w:appName="MSWord" w:lang="en-US"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Column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286E"/>
    <w:rsid w:val="00004B87"/>
    <w:rsid w:val="00011880"/>
    <w:rsid w:val="000201D0"/>
    <w:rsid w:val="00022FD0"/>
    <w:rsid w:val="00026CFD"/>
    <w:rsid w:val="0003046A"/>
    <w:rsid w:val="00034F10"/>
    <w:rsid w:val="0003609A"/>
    <w:rsid w:val="0004622B"/>
    <w:rsid w:val="00046572"/>
    <w:rsid w:val="000470EE"/>
    <w:rsid w:val="000557FB"/>
    <w:rsid w:val="0006100F"/>
    <w:rsid w:val="000743BD"/>
    <w:rsid w:val="0009307B"/>
    <w:rsid w:val="0009746A"/>
    <w:rsid w:val="000A2E4A"/>
    <w:rsid w:val="000A311D"/>
    <w:rsid w:val="000A5C64"/>
    <w:rsid w:val="000A65BB"/>
    <w:rsid w:val="000A7CE2"/>
    <w:rsid w:val="000B6714"/>
    <w:rsid w:val="000D2D84"/>
    <w:rsid w:val="000D2DAC"/>
    <w:rsid w:val="000E1003"/>
    <w:rsid w:val="000E40A5"/>
    <w:rsid w:val="000E75E3"/>
    <w:rsid w:val="00101D1F"/>
    <w:rsid w:val="001022CC"/>
    <w:rsid w:val="00102E43"/>
    <w:rsid w:val="00115531"/>
    <w:rsid w:val="00136687"/>
    <w:rsid w:val="001379DD"/>
    <w:rsid w:val="00141659"/>
    <w:rsid w:val="00142000"/>
    <w:rsid w:val="00145F57"/>
    <w:rsid w:val="001478B8"/>
    <w:rsid w:val="0015109A"/>
    <w:rsid w:val="00153BF9"/>
    <w:rsid w:val="001566B9"/>
    <w:rsid w:val="00157E12"/>
    <w:rsid w:val="001670B4"/>
    <w:rsid w:val="00171B8F"/>
    <w:rsid w:val="00172B38"/>
    <w:rsid w:val="00176590"/>
    <w:rsid w:val="00185807"/>
    <w:rsid w:val="00190944"/>
    <w:rsid w:val="00193E5F"/>
    <w:rsid w:val="00194474"/>
    <w:rsid w:val="001A02D6"/>
    <w:rsid w:val="001A181F"/>
    <w:rsid w:val="001A40E7"/>
    <w:rsid w:val="001A40E8"/>
    <w:rsid w:val="001A63EE"/>
    <w:rsid w:val="001C1B5B"/>
    <w:rsid w:val="001C3D83"/>
    <w:rsid w:val="001C3F22"/>
    <w:rsid w:val="001E6AB1"/>
    <w:rsid w:val="002026C8"/>
    <w:rsid w:val="002031A2"/>
    <w:rsid w:val="00210237"/>
    <w:rsid w:val="00214073"/>
    <w:rsid w:val="00226538"/>
    <w:rsid w:val="00234933"/>
    <w:rsid w:val="002350BF"/>
    <w:rsid w:val="002407BE"/>
    <w:rsid w:val="00241E1C"/>
    <w:rsid w:val="00242805"/>
    <w:rsid w:val="002436A2"/>
    <w:rsid w:val="00243B7F"/>
    <w:rsid w:val="0024409A"/>
    <w:rsid w:val="002446B3"/>
    <w:rsid w:val="00253FD8"/>
    <w:rsid w:val="002578BE"/>
    <w:rsid w:val="00262CA6"/>
    <w:rsid w:val="002644CA"/>
    <w:rsid w:val="002729FB"/>
    <w:rsid w:val="00293791"/>
    <w:rsid w:val="00293BFC"/>
    <w:rsid w:val="0029615A"/>
    <w:rsid w:val="002A7098"/>
    <w:rsid w:val="002A7D96"/>
    <w:rsid w:val="002C24B6"/>
    <w:rsid w:val="002C2C6D"/>
    <w:rsid w:val="002C3431"/>
    <w:rsid w:val="002D02E3"/>
    <w:rsid w:val="002D0C35"/>
    <w:rsid w:val="002E4F6C"/>
    <w:rsid w:val="002E5DDD"/>
    <w:rsid w:val="002E6934"/>
    <w:rsid w:val="002F10E3"/>
    <w:rsid w:val="002F238C"/>
    <w:rsid w:val="002F4A34"/>
    <w:rsid w:val="002F5ACE"/>
    <w:rsid w:val="00310911"/>
    <w:rsid w:val="00312238"/>
    <w:rsid w:val="0031286E"/>
    <w:rsid w:val="00314D2A"/>
    <w:rsid w:val="00324A54"/>
    <w:rsid w:val="00341433"/>
    <w:rsid w:val="00342B86"/>
    <w:rsid w:val="0035002E"/>
    <w:rsid w:val="003547B0"/>
    <w:rsid w:val="003603CD"/>
    <w:rsid w:val="00360AA5"/>
    <w:rsid w:val="003679A1"/>
    <w:rsid w:val="003739B9"/>
    <w:rsid w:val="0037797F"/>
    <w:rsid w:val="0038069F"/>
    <w:rsid w:val="00382EE7"/>
    <w:rsid w:val="00392484"/>
    <w:rsid w:val="00393CED"/>
    <w:rsid w:val="00397276"/>
    <w:rsid w:val="003A0F5F"/>
    <w:rsid w:val="003B3C38"/>
    <w:rsid w:val="003B4AF3"/>
    <w:rsid w:val="003B4F36"/>
    <w:rsid w:val="003C0F19"/>
    <w:rsid w:val="003C225E"/>
    <w:rsid w:val="003D0569"/>
    <w:rsid w:val="003D43F8"/>
    <w:rsid w:val="003D4DC1"/>
    <w:rsid w:val="003E3941"/>
    <w:rsid w:val="003E5207"/>
    <w:rsid w:val="003F56DE"/>
    <w:rsid w:val="0040000F"/>
    <w:rsid w:val="00404E42"/>
    <w:rsid w:val="00410143"/>
    <w:rsid w:val="0041079D"/>
    <w:rsid w:val="00416759"/>
    <w:rsid w:val="00422950"/>
    <w:rsid w:val="00422DB3"/>
    <w:rsid w:val="004242E2"/>
    <w:rsid w:val="004249C2"/>
    <w:rsid w:val="0042526A"/>
    <w:rsid w:val="00425F6A"/>
    <w:rsid w:val="00427112"/>
    <w:rsid w:val="00430458"/>
    <w:rsid w:val="00432535"/>
    <w:rsid w:val="00436425"/>
    <w:rsid w:val="004452BE"/>
    <w:rsid w:val="0044557C"/>
    <w:rsid w:val="004564CF"/>
    <w:rsid w:val="00461422"/>
    <w:rsid w:val="00471FD2"/>
    <w:rsid w:val="00472112"/>
    <w:rsid w:val="00482ECA"/>
    <w:rsid w:val="004904BF"/>
    <w:rsid w:val="00493CDE"/>
    <w:rsid w:val="00496B72"/>
    <w:rsid w:val="004A31CC"/>
    <w:rsid w:val="004A742B"/>
    <w:rsid w:val="004B1240"/>
    <w:rsid w:val="004B230E"/>
    <w:rsid w:val="004B4B90"/>
    <w:rsid w:val="004D5F3A"/>
    <w:rsid w:val="004D73F1"/>
    <w:rsid w:val="004E1574"/>
    <w:rsid w:val="004E2484"/>
    <w:rsid w:val="004E3E5E"/>
    <w:rsid w:val="004E47ED"/>
    <w:rsid w:val="004E71CA"/>
    <w:rsid w:val="00505837"/>
    <w:rsid w:val="00505DE3"/>
    <w:rsid w:val="00512C53"/>
    <w:rsid w:val="00513318"/>
    <w:rsid w:val="00523F62"/>
    <w:rsid w:val="005327A4"/>
    <w:rsid w:val="0053340E"/>
    <w:rsid w:val="00551789"/>
    <w:rsid w:val="00552573"/>
    <w:rsid w:val="00552A07"/>
    <w:rsid w:val="00557D1B"/>
    <w:rsid w:val="00571F1B"/>
    <w:rsid w:val="005721AA"/>
    <w:rsid w:val="005754B8"/>
    <w:rsid w:val="00575965"/>
    <w:rsid w:val="00575E8E"/>
    <w:rsid w:val="00581EDD"/>
    <w:rsid w:val="005902D7"/>
    <w:rsid w:val="0059195D"/>
    <w:rsid w:val="00591A57"/>
    <w:rsid w:val="00591AC2"/>
    <w:rsid w:val="00592036"/>
    <w:rsid w:val="0059535F"/>
    <w:rsid w:val="005A0EE4"/>
    <w:rsid w:val="005B48D1"/>
    <w:rsid w:val="005B57D6"/>
    <w:rsid w:val="005B5F57"/>
    <w:rsid w:val="005C2434"/>
    <w:rsid w:val="005C2E89"/>
    <w:rsid w:val="005C6C44"/>
    <w:rsid w:val="005D0C10"/>
    <w:rsid w:val="005D2065"/>
    <w:rsid w:val="005D2FAE"/>
    <w:rsid w:val="005D77C8"/>
    <w:rsid w:val="005E06FF"/>
    <w:rsid w:val="005E53F9"/>
    <w:rsid w:val="005E71E3"/>
    <w:rsid w:val="005F3CA6"/>
    <w:rsid w:val="005F587E"/>
    <w:rsid w:val="005F5C5C"/>
    <w:rsid w:val="005F7CFB"/>
    <w:rsid w:val="0060353D"/>
    <w:rsid w:val="00604E00"/>
    <w:rsid w:val="00604F23"/>
    <w:rsid w:val="00611BAA"/>
    <w:rsid w:val="006146FF"/>
    <w:rsid w:val="00614F2E"/>
    <w:rsid w:val="00616D68"/>
    <w:rsid w:val="006204F3"/>
    <w:rsid w:val="00621CCD"/>
    <w:rsid w:val="00624013"/>
    <w:rsid w:val="00631B3F"/>
    <w:rsid w:val="00631E32"/>
    <w:rsid w:val="00632873"/>
    <w:rsid w:val="00633D51"/>
    <w:rsid w:val="00645B6F"/>
    <w:rsid w:val="00652BE2"/>
    <w:rsid w:val="006532A9"/>
    <w:rsid w:val="00653AA5"/>
    <w:rsid w:val="00660623"/>
    <w:rsid w:val="00664B40"/>
    <w:rsid w:val="006703B1"/>
    <w:rsid w:val="0067375D"/>
    <w:rsid w:val="00673B5E"/>
    <w:rsid w:val="00685DE5"/>
    <w:rsid w:val="00686133"/>
    <w:rsid w:val="00690547"/>
    <w:rsid w:val="006910D8"/>
    <w:rsid w:val="00694506"/>
    <w:rsid w:val="006950DB"/>
    <w:rsid w:val="00696FB4"/>
    <w:rsid w:val="006A3ACE"/>
    <w:rsid w:val="006B2581"/>
    <w:rsid w:val="006C4CDE"/>
    <w:rsid w:val="006C643C"/>
    <w:rsid w:val="006C72E3"/>
    <w:rsid w:val="006E0B56"/>
    <w:rsid w:val="006E4730"/>
    <w:rsid w:val="006F07DC"/>
    <w:rsid w:val="006F1890"/>
    <w:rsid w:val="006F268D"/>
    <w:rsid w:val="007009DA"/>
    <w:rsid w:val="0071182A"/>
    <w:rsid w:val="007130C0"/>
    <w:rsid w:val="007179F0"/>
    <w:rsid w:val="00723F42"/>
    <w:rsid w:val="007244E4"/>
    <w:rsid w:val="0072470D"/>
    <w:rsid w:val="00724D37"/>
    <w:rsid w:val="00725A59"/>
    <w:rsid w:val="00725E67"/>
    <w:rsid w:val="00730130"/>
    <w:rsid w:val="007331FF"/>
    <w:rsid w:val="00735CCA"/>
    <w:rsid w:val="0074178F"/>
    <w:rsid w:val="0074260B"/>
    <w:rsid w:val="007455CB"/>
    <w:rsid w:val="00751F26"/>
    <w:rsid w:val="00757737"/>
    <w:rsid w:val="007629D3"/>
    <w:rsid w:val="00765D34"/>
    <w:rsid w:val="00772B6B"/>
    <w:rsid w:val="007822C5"/>
    <w:rsid w:val="0078717D"/>
    <w:rsid w:val="00791531"/>
    <w:rsid w:val="007A14DB"/>
    <w:rsid w:val="007B5883"/>
    <w:rsid w:val="007C1383"/>
    <w:rsid w:val="007C2568"/>
    <w:rsid w:val="007E09FE"/>
    <w:rsid w:val="007E19EA"/>
    <w:rsid w:val="007E2DD7"/>
    <w:rsid w:val="007E65D1"/>
    <w:rsid w:val="007F6792"/>
    <w:rsid w:val="007F68E6"/>
    <w:rsid w:val="008000B2"/>
    <w:rsid w:val="008000F5"/>
    <w:rsid w:val="00803489"/>
    <w:rsid w:val="0081448B"/>
    <w:rsid w:val="00814F13"/>
    <w:rsid w:val="00830F25"/>
    <w:rsid w:val="008339E7"/>
    <w:rsid w:val="00833A41"/>
    <w:rsid w:val="00834605"/>
    <w:rsid w:val="008348A2"/>
    <w:rsid w:val="00835CBD"/>
    <w:rsid w:val="00841ABF"/>
    <w:rsid w:val="00844386"/>
    <w:rsid w:val="00856183"/>
    <w:rsid w:val="00863299"/>
    <w:rsid w:val="00865479"/>
    <w:rsid w:val="008655C0"/>
    <w:rsid w:val="00872279"/>
    <w:rsid w:val="00873870"/>
    <w:rsid w:val="0087791A"/>
    <w:rsid w:val="00880DE3"/>
    <w:rsid w:val="008814F1"/>
    <w:rsid w:val="008B2998"/>
    <w:rsid w:val="008B6079"/>
    <w:rsid w:val="008C5B3F"/>
    <w:rsid w:val="008C69AB"/>
    <w:rsid w:val="008C69C1"/>
    <w:rsid w:val="008D2DFE"/>
    <w:rsid w:val="008D3D15"/>
    <w:rsid w:val="008D567C"/>
    <w:rsid w:val="008D5F40"/>
    <w:rsid w:val="008D6799"/>
    <w:rsid w:val="008E5FEF"/>
    <w:rsid w:val="008F5620"/>
    <w:rsid w:val="00901B34"/>
    <w:rsid w:val="009053C4"/>
    <w:rsid w:val="00905A1B"/>
    <w:rsid w:val="00906708"/>
    <w:rsid w:val="00910D93"/>
    <w:rsid w:val="0092037A"/>
    <w:rsid w:val="009246AD"/>
    <w:rsid w:val="00927CDC"/>
    <w:rsid w:val="00940EA9"/>
    <w:rsid w:val="00941790"/>
    <w:rsid w:val="00942500"/>
    <w:rsid w:val="00942A18"/>
    <w:rsid w:val="00950D59"/>
    <w:rsid w:val="00952BEB"/>
    <w:rsid w:val="0095413E"/>
    <w:rsid w:val="00956EB8"/>
    <w:rsid w:val="00957C0B"/>
    <w:rsid w:val="00962EAD"/>
    <w:rsid w:val="00967927"/>
    <w:rsid w:val="00981B65"/>
    <w:rsid w:val="009829DB"/>
    <w:rsid w:val="00984F9E"/>
    <w:rsid w:val="009865F0"/>
    <w:rsid w:val="009901F5"/>
    <w:rsid w:val="00993172"/>
    <w:rsid w:val="009959EA"/>
    <w:rsid w:val="009968AF"/>
    <w:rsid w:val="009B357F"/>
    <w:rsid w:val="009C0E2F"/>
    <w:rsid w:val="009C147E"/>
    <w:rsid w:val="009C5D45"/>
    <w:rsid w:val="009C6170"/>
    <w:rsid w:val="009E5A19"/>
    <w:rsid w:val="009F3CB3"/>
    <w:rsid w:val="009F3D9D"/>
    <w:rsid w:val="00A00C01"/>
    <w:rsid w:val="00A02D62"/>
    <w:rsid w:val="00A1701C"/>
    <w:rsid w:val="00A20030"/>
    <w:rsid w:val="00A23BDC"/>
    <w:rsid w:val="00A269C9"/>
    <w:rsid w:val="00A26A3D"/>
    <w:rsid w:val="00A2781E"/>
    <w:rsid w:val="00A3044A"/>
    <w:rsid w:val="00A32829"/>
    <w:rsid w:val="00A34E93"/>
    <w:rsid w:val="00A3526B"/>
    <w:rsid w:val="00A43207"/>
    <w:rsid w:val="00A444E1"/>
    <w:rsid w:val="00A460B5"/>
    <w:rsid w:val="00A462C3"/>
    <w:rsid w:val="00A46C91"/>
    <w:rsid w:val="00A47A37"/>
    <w:rsid w:val="00A624A0"/>
    <w:rsid w:val="00A640B8"/>
    <w:rsid w:val="00A66999"/>
    <w:rsid w:val="00A66EDD"/>
    <w:rsid w:val="00A71C00"/>
    <w:rsid w:val="00A72C08"/>
    <w:rsid w:val="00A770BE"/>
    <w:rsid w:val="00A80473"/>
    <w:rsid w:val="00A80D99"/>
    <w:rsid w:val="00A84295"/>
    <w:rsid w:val="00A9596F"/>
    <w:rsid w:val="00A95D73"/>
    <w:rsid w:val="00A973B1"/>
    <w:rsid w:val="00AA7133"/>
    <w:rsid w:val="00AB076E"/>
    <w:rsid w:val="00AC1839"/>
    <w:rsid w:val="00AC22F6"/>
    <w:rsid w:val="00AC5F97"/>
    <w:rsid w:val="00AC6438"/>
    <w:rsid w:val="00AD4AE9"/>
    <w:rsid w:val="00AE4B97"/>
    <w:rsid w:val="00AE56B8"/>
    <w:rsid w:val="00AE74FC"/>
    <w:rsid w:val="00AF2AD1"/>
    <w:rsid w:val="00AF5BA2"/>
    <w:rsid w:val="00B12B3E"/>
    <w:rsid w:val="00B14C90"/>
    <w:rsid w:val="00B173B3"/>
    <w:rsid w:val="00B20491"/>
    <w:rsid w:val="00B30B76"/>
    <w:rsid w:val="00B34BD0"/>
    <w:rsid w:val="00B42C29"/>
    <w:rsid w:val="00B46ED7"/>
    <w:rsid w:val="00B5150C"/>
    <w:rsid w:val="00B51FB6"/>
    <w:rsid w:val="00B54251"/>
    <w:rsid w:val="00B563D9"/>
    <w:rsid w:val="00B631C3"/>
    <w:rsid w:val="00B65C16"/>
    <w:rsid w:val="00B71491"/>
    <w:rsid w:val="00B72CD8"/>
    <w:rsid w:val="00B7618D"/>
    <w:rsid w:val="00B76BC4"/>
    <w:rsid w:val="00B83AC5"/>
    <w:rsid w:val="00B852C8"/>
    <w:rsid w:val="00B85C9E"/>
    <w:rsid w:val="00B875D7"/>
    <w:rsid w:val="00B92C61"/>
    <w:rsid w:val="00B96996"/>
    <w:rsid w:val="00B96ABC"/>
    <w:rsid w:val="00B97259"/>
    <w:rsid w:val="00BA1B0A"/>
    <w:rsid w:val="00BA509A"/>
    <w:rsid w:val="00BB1134"/>
    <w:rsid w:val="00BB13D9"/>
    <w:rsid w:val="00BC28D9"/>
    <w:rsid w:val="00BC3E2A"/>
    <w:rsid w:val="00BD0668"/>
    <w:rsid w:val="00BD36A1"/>
    <w:rsid w:val="00BD3751"/>
    <w:rsid w:val="00BD4430"/>
    <w:rsid w:val="00BD49AE"/>
    <w:rsid w:val="00BD5122"/>
    <w:rsid w:val="00BD7705"/>
    <w:rsid w:val="00BE533F"/>
    <w:rsid w:val="00BE671E"/>
    <w:rsid w:val="00BE7A3D"/>
    <w:rsid w:val="00BF1354"/>
    <w:rsid w:val="00C010B9"/>
    <w:rsid w:val="00C014A3"/>
    <w:rsid w:val="00C06CFC"/>
    <w:rsid w:val="00C1077B"/>
    <w:rsid w:val="00C1394F"/>
    <w:rsid w:val="00C15280"/>
    <w:rsid w:val="00C155F7"/>
    <w:rsid w:val="00C17613"/>
    <w:rsid w:val="00C30403"/>
    <w:rsid w:val="00C42733"/>
    <w:rsid w:val="00C435CC"/>
    <w:rsid w:val="00C45E7B"/>
    <w:rsid w:val="00C4608E"/>
    <w:rsid w:val="00C51C64"/>
    <w:rsid w:val="00C54F1C"/>
    <w:rsid w:val="00C56651"/>
    <w:rsid w:val="00C62214"/>
    <w:rsid w:val="00C67CE0"/>
    <w:rsid w:val="00C72D78"/>
    <w:rsid w:val="00C75E22"/>
    <w:rsid w:val="00C77856"/>
    <w:rsid w:val="00C80259"/>
    <w:rsid w:val="00C878EF"/>
    <w:rsid w:val="00C9140C"/>
    <w:rsid w:val="00C97258"/>
    <w:rsid w:val="00CA15CA"/>
    <w:rsid w:val="00CA540E"/>
    <w:rsid w:val="00CB0C04"/>
    <w:rsid w:val="00CD04AF"/>
    <w:rsid w:val="00CD28B7"/>
    <w:rsid w:val="00CD2A63"/>
    <w:rsid w:val="00CD4635"/>
    <w:rsid w:val="00CD4EA6"/>
    <w:rsid w:val="00CD55E5"/>
    <w:rsid w:val="00CD6C1F"/>
    <w:rsid w:val="00CE1C3F"/>
    <w:rsid w:val="00CE2DC6"/>
    <w:rsid w:val="00CF53D4"/>
    <w:rsid w:val="00CF5F71"/>
    <w:rsid w:val="00D020DE"/>
    <w:rsid w:val="00D0348B"/>
    <w:rsid w:val="00D03918"/>
    <w:rsid w:val="00D04115"/>
    <w:rsid w:val="00D14C51"/>
    <w:rsid w:val="00D14E5E"/>
    <w:rsid w:val="00D279CF"/>
    <w:rsid w:val="00D30A08"/>
    <w:rsid w:val="00D47427"/>
    <w:rsid w:val="00D5001E"/>
    <w:rsid w:val="00D51CE5"/>
    <w:rsid w:val="00D53582"/>
    <w:rsid w:val="00D61DBF"/>
    <w:rsid w:val="00D66756"/>
    <w:rsid w:val="00D7282F"/>
    <w:rsid w:val="00D802AA"/>
    <w:rsid w:val="00D809BD"/>
    <w:rsid w:val="00D84AC3"/>
    <w:rsid w:val="00D86677"/>
    <w:rsid w:val="00D900FB"/>
    <w:rsid w:val="00D915FA"/>
    <w:rsid w:val="00D91BDC"/>
    <w:rsid w:val="00D928D2"/>
    <w:rsid w:val="00D94235"/>
    <w:rsid w:val="00D95C0E"/>
    <w:rsid w:val="00DA010C"/>
    <w:rsid w:val="00DA72A0"/>
    <w:rsid w:val="00DB0B4F"/>
    <w:rsid w:val="00DB35AB"/>
    <w:rsid w:val="00DB3FA6"/>
    <w:rsid w:val="00DD18E6"/>
    <w:rsid w:val="00DD1DDA"/>
    <w:rsid w:val="00DD1EEC"/>
    <w:rsid w:val="00DD29EF"/>
    <w:rsid w:val="00DD4C6F"/>
    <w:rsid w:val="00DE28C6"/>
    <w:rsid w:val="00DE5E17"/>
    <w:rsid w:val="00DE755D"/>
    <w:rsid w:val="00DE78D2"/>
    <w:rsid w:val="00DF59F4"/>
    <w:rsid w:val="00E074F2"/>
    <w:rsid w:val="00E10527"/>
    <w:rsid w:val="00E10C77"/>
    <w:rsid w:val="00E12C44"/>
    <w:rsid w:val="00E1789C"/>
    <w:rsid w:val="00E20BFB"/>
    <w:rsid w:val="00E2340D"/>
    <w:rsid w:val="00E23F68"/>
    <w:rsid w:val="00E32A18"/>
    <w:rsid w:val="00E34136"/>
    <w:rsid w:val="00E404AD"/>
    <w:rsid w:val="00E46BD3"/>
    <w:rsid w:val="00E53BA5"/>
    <w:rsid w:val="00E65825"/>
    <w:rsid w:val="00E6766B"/>
    <w:rsid w:val="00E75388"/>
    <w:rsid w:val="00E7657D"/>
    <w:rsid w:val="00E805EF"/>
    <w:rsid w:val="00E82EEC"/>
    <w:rsid w:val="00E84CB9"/>
    <w:rsid w:val="00E85EBE"/>
    <w:rsid w:val="00E9053E"/>
    <w:rsid w:val="00E93A33"/>
    <w:rsid w:val="00E942B4"/>
    <w:rsid w:val="00E96302"/>
    <w:rsid w:val="00EA44A0"/>
    <w:rsid w:val="00EB11C2"/>
    <w:rsid w:val="00EB3BE0"/>
    <w:rsid w:val="00EB45CC"/>
    <w:rsid w:val="00EB677C"/>
    <w:rsid w:val="00EC2088"/>
    <w:rsid w:val="00EC2F46"/>
    <w:rsid w:val="00ED774E"/>
    <w:rsid w:val="00EE44EF"/>
    <w:rsid w:val="00F04797"/>
    <w:rsid w:val="00F05662"/>
    <w:rsid w:val="00F07993"/>
    <w:rsid w:val="00F103D7"/>
    <w:rsid w:val="00F135C7"/>
    <w:rsid w:val="00F174DA"/>
    <w:rsid w:val="00F25B2F"/>
    <w:rsid w:val="00F3093E"/>
    <w:rsid w:val="00F31CCA"/>
    <w:rsid w:val="00F4320E"/>
    <w:rsid w:val="00F45754"/>
    <w:rsid w:val="00F62778"/>
    <w:rsid w:val="00F74501"/>
    <w:rsid w:val="00F76458"/>
    <w:rsid w:val="00F8537A"/>
    <w:rsid w:val="00F93B6A"/>
    <w:rsid w:val="00F97782"/>
    <w:rsid w:val="00FA0BB7"/>
    <w:rsid w:val="00FA14FA"/>
    <w:rsid w:val="00FA5153"/>
    <w:rsid w:val="00FB1C12"/>
    <w:rsid w:val="00FC268F"/>
    <w:rsid w:val="00FC3B7E"/>
    <w:rsid w:val="00FC43CE"/>
    <w:rsid w:val="00FD529C"/>
    <w:rsid w:val="00FE1ACA"/>
    <w:rsid w:val="00FE3F08"/>
    <w:rsid w:val="00FF41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136687"/>
    <w:pPr>
      <w:spacing w:after="0"/>
    </w:pPr>
    <w:rPr>
      <w:rFonts w:ascii="Arno Pro" w:hAnsi="Arno Pro"/>
      <w:noProof/>
      <w:kern w:val="19"/>
      <w:sz w:val="16"/>
      <w:szCs w:val="14"/>
    </w:rPr>
  </w:style>
  <w:style w:type="paragraph" w:customStyle="1" w:styleId="TAMainText">
    <w:name w:val="TA_Main_Text"/>
    <w:basedOn w:val="Normal"/>
    <w:autoRedefine/>
    <w:rsid w:val="00863299"/>
    <w:pPr>
      <w:spacing w:before="120" w:after="0" w:line="480" w:lineRule="auto"/>
      <w:ind w:firstLine="181"/>
    </w:pPr>
    <w:rPr>
      <w:rFonts w:ascii="Times New Roman" w:eastAsiaTheme="minorHAnsi" w:hAnsi="Times New Roman"/>
      <w:kern w:val="21"/>
      <w:sz w:val="22"/>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5A0EE4"/>
    <w:pPr>
      <w:spacing w:after="180" w:line="480" w:lineRule="auto"/>
      <w:jc w:val="left"/>
    </w:pPr>
    <w:rPr>
      <w:rFonts w:ascii="Times New Roman" w:hAnsi="Times New Roman"/>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Normal"/>
    <w:autoRedefine/>
    <w:rsid w:val="0029615A"/>
    <w:pPr>
      <w:jc w:val="both"/>
    </w:pPr>
  </w:style>
  <w:style w:type="paragraph" w:customStyle="1" w:styleId="VCSchemeTitle">
    <w:name w:val="VC_Scheme_Title"/>
    <w:basedOn w:val="Normal"/>
    <w:next w:val="Normal"/>
    <w:autoRedefine/>
    <w:rsid w:val="00C97258"/>
    <w:pPr>
      <w:spacing w:after="180"/>
    </w:pPr>
    <w:rPr>
      <w:rFonts w:ascii="Arno Pro" w:eastAsiaTheme="minorHAnsi"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6E4730"/>
    <w:pPr>
      <w:spacing w:before="200" w:after="120"/>
      <w:jc w:val="left"/>
    </w:pPr>
    <w:rPr>
      <w:rFonts w:ascii="Times New Roman" w:eastAsiaTheme="minorHAnsi" w:hAnsi="Times New Roman"/>
      <w:b/>
      <w:kern w:val="20"/>
      <w:sz w:val="20"/>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NormalWeb">
    <w:name w:val="Normal (Web)"/>
    <w:basedOn w:val="Normal"/>
    <w:uiPriority w:val="99"/>
    <w:unhideWhenUsed/>
    <w:rsid w:val="00690547"/>
    <w:pPr>
      <w:spacing w:before="100" w:beforeAutospacing="1" w:after="100" w:afterAutospacing="1"/>
      <w:jc w:val="left"/>
    </w:pPr>
    <w:rPr>
      <w:rFonts w:ascii="Times New Roman" w:eastAsiaTheme="minorEastAsia" w:hAnsi="Times New Roman"/>
      <w:szCs w:val="24"/>
      <w:lang w:val="en-GB" w:eastAsia="en-GB"/>
    </w:rPr>
  </w:style>
  <w:style w:type="table" w:styleId="TableGrid">
    <w:name w:val="Table Grid"/>
    <w:basedOn w:val="TableNormal"/>
    <w:uiPriority w:val="59"/>
    <w:rsid w:val="009C0E2F"/>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24013"/>
    <w:pPr>
      <w:jc w:val="left"/>
    </w:pPr>
    <w:rPr>
      <w:rFonts w:asciiTheme="minorHAnsi" w:eastAsiaTheme="minorHAnsi" w:hAnsiTheme="minorHAnsi" w:cstheme="minorBidi"/>
      <w:b/>
      <w:bCs/>
      <w:color w:val="4F81BD" w:themeColor="accent1"/>
      <w:sz w:val="18"/>
      <w:szCs w:val="18"/>
      <w:lang w:val="en-GB"/>
    </w:rPr>
  </w:style>
  <w:style w:type="paragraph" w:styleId="CommentText">
    <w:name w:val="annotation text"/>
    <w:basedOn w:val="Normal"/>
    <w:link w:val="CommentTextChar"/>
    <w:unhideWhenUsed/>
    <w:rsid w:val="00EC2F46"/>
    <w:rPr>
      <w:sz w:val="20"/>
    </w:rPr>
  </w:style>
  <w:style w:type="character" w:customStyle="1" w:styleId="CommentTextChar">
    <w:name w:val="Comment Text Char"/>
    <w:basedOn w:val="DefaultParagraphFont"/>
    <w:link w:val="CommentText"/>
    <w:rsid w:val="00EC2F46"/>
    <w:rPr>
      <w:rFonts w:ascii="Times" w:hAnsi="Times"/>
    </w:rPr>
  </w:style>
  <w:style w:type="character" w:styleId="CommentReference">
    <w:name w:val="annotation reference"/>
    <w:basedOn w:val="DefaultParagraphFont"/>
    <w:unhideWhenUsed/>
    <w:rsid w:val="00EC2F46"/>
    <w:rPr>
      <w:sz w:val="16"/>
      <w:szCs w:val="16"/>
    </w:rPr>
  </w:style>
  <w:style w:type="paragraph" w:styleId="Header">
    <w:name w:val="header"/>
    <w:basedOn w:val="Normal"/>
    <w:link w:val="HeaderChar"/>
    <w:rsid w:val="007244E4"/>
    <w:pPr>
      <w:tabs>
        <w:tab w:val="center" w:pos="4513"/>
        <w:tab w:val="right" w:pos="9026"/>
      </w:tabs>
      <w:spacing w:after="0"/>
    </w:pPr>
  </w:style>
  <w:style w:type="character" w:customStyle="1" w:styleId="HeaderChar">
    <w:name w:val="Header Char"/>
    <w:basedOn w:val="DefaultParagraphFont"/>
    <w:link w:val="Header"/>
    <w:rsid w:val="007244E4"/>
    <w:rPr>
      <w:rFonts w:ascii="Times" w:hAnsi="Times"/>
      <w:sz w:val="24"/>
    </w:rPr>
  </w:style>
  <w:style w:type="character" w:customStyle="1" w:styleId="FooterChar">
    <w:name w:val="Footer Char"/>
    <w:basedOn w:val="DefaultParagraphFont"/>
    <w:link w:val="Footer"/>
    <w:uiPriority w:val="99"/>
    <w:rsid w:val="007244E4"/>
    <w:rPr>
      <w:rFonts w:ascii="Times" w:hAnsi="Times"/>
      <w:sz w:val="24"/>
    </w:rPr>
  </w:style>
  <w:style w:type="paragraph" w:styleId="CommentSubject">
    <w:name w:val="annotation subject"/>
    <w:basedOn w:val="CommentText"/>
    <w:next w:val="CommentText"/>
    <w:link w:val="CommentSubjectChar"/>
    <w:rsid w:val="00341433"/>
    <w:rPr>
      <w:b/>
      <w:bCs/>
    </w:rPr>
  </w:style>
  <w:style w:type="character" w:customStyle="1" w:styleId="CommentSubjectChar">
    <w:name w:val="Comment Subject Char"/>
    <w:basedOn w:val="CommentTextChar"/>
    <w:link w:val="CommentSubject"/>
    <w:rsid w:val="00341433"/>
    <w:rPr>
      <w:rFonts w:ascii="Times" w:hAnsi="Times"/>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136687"/>
    <w:pPr>
      <w:spacing w:after="0"/>
    </w:pPr>
    <w:rPr>
      <w:rFonts w:ascii="Arno Pro" w:hAnsi="Arno Pro"/>
      <w:noProof/>
      <w:kern w:val="19"/>
      <w:sz w:val="16"/>
      <w:szCs w:val="14"/>
    </w:rPr>
  </w:style>
  <w:style w:type="paragraph" w:customStyle="1" w:styleId="TAMainText">
    <w:name w:val="TA_Main_Text"/>
    <w:basedOn w:val="Normal"/>
    <w:autoRedefine/>
    <w:rsid w:val="00863299"/>
    <w:pPr>
      <w:spacing w:before="120" w:after="0" w:line="480" w:lineRule="auto"/>
      <w:ind w:firstLine="181"/>
    </w:pPr>
    <w:rPr>
      <w:rFonts w:ascii="Times New Roman" w:eastAsiaTheme="minorHAnsi" w:hAnsi="Times New Roman"/>
      <w:kern w:val="21"/>
      <w:sz w:val="22"/>
    </w:rPr>
  </w:style>
  <w:style w:type="paragraph" w:customStyle="1" w:styleId="BATitle">
    <w:name w:val="BA_Title"/>
    <w:basedOn w:val="Normal"/>
    <w:next w:val="BBAuthorName"/>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5A0EE4"/>
    <w:pPr>
      <w:spacing w:after="180" w:line="480" w:lineRule="auto"/>
      <w:jc w:val="left"/>
    </w:pPr>
    <w:rPr>
      <w:rFonts w:ascii="Times New Roman" w:hAnsi="Times New Roman"/>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942500"/>
    <w:pPr>
      <w:pBdr>
        <w:top w:val="single" w:sz="4" w:space="1" w:color="auto"/>
        <w:bottom w:val="single" w:sz="4" w:space="1" w:color="auto"/>
      </w:pBdr>
      <w:spacing w:before="100" w:after="600"/>
    </w:pPr>
    <w:rPr>
      <w:rFonts w:ascii="Arno Pro" w:hAnsi="Arno Pro"/>
      <w:kern w:val="21"/>
      <w:sz w:val="18"/>
    </w:rPr>
  </w:style>
  <w:style w:type="paragraph" w:customStyle="1" w:styleId="SectionContent">
    <w:name w:val="Section_Content"/>
    <w:basedOn w:val="StyleFACorrespondingAuthorFootnote"/>
    <w:next w:val="Normal"/>
    <w:autoRedefine/>
    <w:rsid w:val="0029615A"/>
    <w:pPr>
      <w:jc w:val="both"/>
    </w:pPr>
  </w:style>
  <w:style w:type="paragraph" w:customStyle="1" w:styleId="VCSchemeTitle">
    <w:name w:val="VC_Scheme_Title"/>
    <w:basedOn w:val="Normal"/>
    <w:next w:val="Normal"/>
    <w:autoRedefine/>
    <w:rsid w:val="00C97258"/>
    <w:pPr>
      <w:spacing w:after="180"/>
    </w:pPr>
    <w:rPr>
      <w:rFonts w:ascii="Arno Pro" w:eastAsiaTheme="minorHAnsi"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6E4730"/>
    <w:pPr>
      <w:spacing w:before="200" w:after="120"/>
      <w:jc w:val="left"/>
    </w:pPr>
    <w:rPr>
      <w:rFonts w:ascii="Times New Roman" w:eastAsiaTheme="minorHAnsi" w:hAnsi="Times New Roman"/>
      <w:b/>
      <w:kern w:val="20"/>
      <w:sz w:val="20"/>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
    <w:name w:val="Style FA_Corresponding_Author_Footnote"/>
    <w:basedOn w:val="Normal"/>
    <w:next w:val="BGKeywords"/>
    <w:link w:val="StyleFACorrespondingAuthorFootnote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Char">
    <w:name w:val="Style FA_Corresponding_Author_Footnote Char"/>
    <w:link w:val="StyleFACorrespondingAuthorFootnote"/>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942500"/>
    <w:rPr>
      <w:rFonts w:ascii="Arno Pro" w:hAnsi="Arno Pro"/>
      <w:kern w:val="21"/>
      <w:sz w:val="18"/>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SectionTitle">
    <w:name w:val="Section_Title"/>
    <w:basedOn w:val="SectionContent"/>
    <w:autoRedefine/>
    <w:rsid w:val="00942500"/>
    <w:pPr>
      <w:spacing w:before="180" w:after="120"/>
    </w:pPr>
    <w:rPr>
      <w:rFonts w:ascii="Myriad Pro Light" w:hAnsi="Myriad Pro Light"/>
      <w:b/>
      <w:sz w:val="21"/>
      <w:szCs w:val="18"/>
    </w:rPr>
  </w:style>
  <w:style w:type="paragraph" w:customStyle="1" w:styleId="SectionSubtitle">
    <w:name w:val="Section_Subtitle"/>
    <w:basedOn w:val="Normal"/>
    <w:link w:val="SectionSubtitleChar"/>
    <w:autoRedefine/>
    <w:rsid w:val="00591AC2"/>
    <w:pPr>
      <w:spacing w:before="120" w:after="60"/>
    </w:pPr>
    <w:rPr>
      <w:rFonts w:ascii="Myriad Pro Light" w:hAnsi="Myriad Pro Light"/>
      <w:b/>
      <w:kern w:val="21"/>
      <w:sz w:val="19"/>
      <w:szCs w:val="14"/>
    </w:rPr>
  </w:style>
  <w:style w:type="character" w:customStyle="1" w:styleId="SectionSubtitleChar">
    <w:name w:val="Section_Subtitle Char"/>
    <w:link w:val="SectionSubtitle"/>
    <w:rsid w:val="00591AC2"/>
    <w:rPr>
      <w:rFonts w:ascii="Myriad Pro Light" w:hAnsi="Myriad Pro Light"/>
      <w:b/>
      <w:kern w:val="21"/>
      <w:sz w:val="19"/>
      <w:szCs w:val="14"/>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styleId="NormalWeb">
    <w:name w:val="Normal (Web)"/>
    <w:basedOn w:val="Normal"/>
    <w:uiPriority w:val="99"/>
    <w:unhideWhenUsed/>
    <w:rsid w:val="00690547"/>
    <w:pPr>
      <w:spacing w:before="100" w:beforeAutospacing="1" w:after="100" w:afterAutospacing="1"/>
      <w:jc w:val="left"/>
    </w:pPr>
    <w:rPr>
      <w:rFonts w:ascii="Times New Roman" w:eastAsiaTheme="minorEastAsia" w:hAnsi="Times New Roman"/>
      <w:szCs w:val="24"/>
      <w:lang w:val="en-GB" w:eastAsia="en-GB"/>
    </w:rPr>
  </w:style>
  <w:style w:type="table" w:styleId="TableGrid">
    <w:name w:val="Table Grid"/>
    <w:basedOn w:val="TableNormal"/>
    <w:uiPriority w:val="59"/>
    <w:rsid w:val="009C0E2F"/>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24013"/>
    <w:pPr>
      <w:jc w:val="left"/>
    </w:pPr>
    <w:rPr>
      <w:rFonts w:asciiTheme="minorHAnsi" w:eastAsiaTheme="minorHAnsi" w:hAnsiTheme="minorHAnsi" w:cstheme="minorBidi"/>
      <w:b/>
      <w:bCs/>
      <w:color w:val="4F81BD" w:themeColor="accent1"/>
      <w:sz w:val="18"/>
      <w:szCs w:val="18"/>
      <w:lang w:val="en-GB"/>
    </w:rPr>
  </w:style>
  <w:style w:type="paragraph" w:styleId="CommentText">
    <w:name w:val="annotation text"/>
    <w:basedOn w:val="Normal"/>
    <w:link w:val="CommentTextChar"/>
    <w:unhideWhenUsed/>
    <w:rsid w:val="00EC2F46"/>
    <w:rPr>
      <w:sz w:val="20"/>
    </w:rPr>
  </w:style>
  <w:style w:type="character" w:customStyle="1" w:styleId="CommentTextChar">
    <w:name w:val="Comment Text Char"/>
    <w:basedOn w:val="DefaultParagraphFont"/>
    <w:link w:val="CommentText"/>
    <w:rsid w:val="00EC2F46"/>
    <w:rPr>
      <w:rFonts w:ascii="Times" w:hAnsi="Times"/>
    </w:rPr>
  </w:style>
  <w:style w:type="character" w:styleId="CommentReference">
    <w:name w:val="annotation reference"/>
    <w:basedOn w:val="DefaultParagraphFont"/>
    <w:unhideWhenUsed/>
    <w:rsid w:val="00EC2F46"/>
    <w:rPr>
      <w:sz w:val="16"/>
      <w:szCs w:val="16"/>
    </w:rPr>
  </w:style>
  <w:style w:type="paragraph" w:styleId="Header">
    <w:name w:val="header"/>
    <w:basedOn w:val="Normal"/>
    <w:link w:val="HeaderChar"/>
    <w:rsid w:val="007244E4"/>
    <w:pPr>
      <w:tabs>
        <w:tab w:val="center" w:pos="4513"/>
        <w:tab w:val="right" w:pos="9026"/>
      </w:tabs>
      <w:spacing w:after="0"/>
    </w:pPr>
  </w:style>
  <w:style w:type="character" w:customStyle="1" w:styleId="HeaderChar">
    <w:name w:val="Header Char"/>
    <w:basedOn w:val="DefaultParagraphFont"/>
    <w:link w:val="Header"/>
    <w:rsid w:val="007244E4"/>
    <w:rPr>
      <w:rFonts w:ascii="Times" w:hAnsi="Times"/>
      <w:sz w:val="24"/>
    </w:rPr>
  </w:style>
  <w:style w:type="character" w:customStyle="1" w:styleId="FooterChar">
    <w:name w:val="Footer Char"/>
    <w:basedOn w:val="DefaultParagraphFont"/>
    <w:link w:val="Footer"/>
    <w:uiPriority w:val="99"/>
    <w:rsid w:val="007244E4"/>
    <w:rPr>
      <w:rFonts w:ascii="Times" w:hAnsi="Times"/>
      <w:sz w:val="24"/>
    </w:rPr>
  </w:style>
  <w:style w:type="paragraph" w:styleId="CommentSubject">
    <w:name w:val="annotation subject"/>
    <w:basedOn w:val="CommentText"/>
    <w:next w:val="CommentText"/>
    <w:link w:val="CommentSubjectChar"/>
    <w:rsid w:val="00341433"/>
    <w:rPr>
      <w:b/>
      <w:bCs/>
    </w:rPr>
  </w:style>
  <w:style w:type="character" w:customStyle="1" w:styleId="CommentSubjectChar">
    <w:name w:val="Comment Subject Char"/>
    <w:basedOn w:val="CommentTextChar"/>
    <w:link w:val="CommentSubject"/>
    <w:rsid w:val="00341433"/>
    <w:rPr>
      <w:rFonts w:ascii="Times" w:hAnsi="Time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70403">
      <w:bodyDiv w:val="1"/>
      <w:marLeft w:val="0"/>
      <w:marRight w:val="0"/>
      <w:marTop w:val="0"/>
      <w:marBottom w:val="0"/>
      <w:divBdr>
        <w:top w:val="none" w:sz="0" w:space="0" w:color="auto"/>
        <w:left w:val="none" w:sz="0" w:space="0" w:color="auto"/>
        <w:bottom w:val="none" w:sz="0" w:space="0" w:color="auto"/>
        <w:right w:val="none" w:sz="0" w:space="0" w:color="auto"/>
      </w:divBdr>
    </w:div>
    <w:div w:id="172427343">
      <w:bodyDiv w:val="1"/>
      <w:marLeft w:val="0"/>
      <w:marRight w:val="0"/>
      <w:marTop w:val="0"/>
      <w:marBottom w:val="0"/>
      <w:divBdr>
        <w:top w:val="none" w:sz="0" w:space="0" w:color="auto"/>
        <w:left w:val="none" w:sz="0" w:space="0" w:color="auto"/>
        <w:bottom w:val="none" w:sz="0" w:space="0" w:color="auto"/>
        <w:right w:val="none" w:sz="0" w:space="0" w:color="auto"/>
      </w:divBdr>
      <w:divsChild>
        <w:div w:id="478688202">
          <w:marLeft w:val="0"/>
          <w:marRight w:val="0"/>
          <w:marTop w:val="0"/>
          <w:marBottom w:val="0"/>
          <w:divBdr>
            <w:top w:val="none" w:sz="0" w:space="0" w:color="auto"/>
            <w:left w:val="none" w:sz="0" w:space="0" w:color="auto"/>
            <w:bottom w:val="none" w:sz="0" w:space="0" w:color="auto"/>
            <w:right w:val="none" w:sz="0" w:space="0" w:color="auto"/>
          </w:divBdr>
        </w:div>
        <w:div w:id="428280254">
          <w:marLeft w:val="0"/>
          <w:marRight w:val="0"/>
          <w:marTop w:val="0"/>
          <w:marBottom w:val="0"/>
          <w:divBdr>
            <w:top w:val="none" w:sz="0" w:space="0" w:color="auto"/>
            <w:left w:val="none" w:sz="0" w:space="0" w:color="auto"/>
            <w:bottom w:val="none" w:sz="0" w:space="0" w:color="auto"/>
            <w:right w:val="none" w:sz="0" w:space="0" w:color="auto"/>
          </w:divBdr>
        </w:div>
      </w:divsChild>
    </w:div>
    <w:div w:id="203253737">
      <w:bodyDiv w:val="1"/>
      <w:marLeft w:val="0"/>
      <w:marRight w:val="0"/>
      <w:marTop w:val="0"/>
      <w:marBottom w:val="0"/>
      <w:divBdr>
        <w:top w:val="none" w:sz="0" w:space="0" w:color="auto"/>
        <w:left w:val="none" w:sz="0" w:space="0" w:color="auto"/>
        <w:bottom w:val="none" w:sz="0" w:space="0" w:color="auto"/>
        <w:right w:val="none" w:sz="0" w:space="0" w:color="auto"/>
      </w:divBdr>
    </w:div>
    <w:div w:id="239758949">
      <w:bodyDiv w:val="1"/>
      <w:marLeft w:val="0"/>
      <w:marRight w:val="0"/>
      <w:marTop w:val="0"/>
      <w:marBottom w:val="0"/>
      <w:divBdr>
        <w:top w:val="none" w:sz="0" w:space="0" w:color="auto"/>
        <w:left w:val="none" w:sz="0" w:space="0" w:color="auto"/>
        <w:bottom w:val="none" w:sz="0" w:space="0" w:color="auto"/>
        <w:right w:val="none" w:sz="0" w:space="0" w:color="auto"/>
      </w:divBdr>
    </w:div>
    <w:div w:id="298924360">
      <w:bodyDiv w:val="1"/>
      <w:marLeft w:val="0"/>
      <w:marRight w:val="0"/>
      <w:marTop w:val="0"/>
      <w:marBottom w:val="0"/>
      <w:divBdr>
        <w:top w:val="none" w:sz="0" w:space="0" w:color="auto"/>
        <w:left w:val="none" w:sz="0" w:space="0" w:color="auto"/>
        <w:bottom w:val="none" w:sz="0" w:space="0" w:color="auto"/>
        <w:right w:val="none" w:sz="0" w:space="0" w:color="auto"/>
      </w:divBdr>
      <w:divsChild>
        <w:div w:id="242222516">
          <w:marLeft w:val="0"/>
          <w:marRight w:val="0"/>
          <w:marTop w:val="0"/>
          <w:marBottom w:val="0"/>
          <w:divBdr>
            <w:top w:val="none" w:sz="0" w:space="0" w:color="auto"/>
            <w:left w:val="none" w:sz="0" w:space="0" w:color="auto"/>
            <w:bottom w:val="none" w:sz="0" w:space="0" w:color="auto"/>
            <w:right w:val="none" w:sz="0" w:space="0" w:color="auto"/>
          </w:divBdr>
          <w:divsChild>
            <w:div w:id="999120862">
              <w:marLeft w:val="0"/>
              <w:marRight w:val="0"/>
              <w:marTop w:val="0"/>
              <w:marBottom w:val="0"/>
              <w:divBdr>
                <w:top w:val="none" w:sz="0" w:space="0" w:color="auto"/>
                <w:left w:val="none" w:sz="0" w:space="0" w:color="auto"/>
                <w:bottom w:val="none" w:sz="0" w:space="0" w:color="auto"/>
                <w:right w:val="none" w:sz="0" w:space="0" w:color="auto"/>
              </w:divBdr>
            </w:div>
          </w:divsChild>
        </w:div>
        <w:div w:id="685056799">
          <w:marLeft w:val="0"/>
          <w:marRight w:val="0"/>
          <w:marTop w:val="0"/>
          <w:marBottom w:val="0"/>
          <w:divBdr>
            <w:top w:val="none" w:sz="0" w:space="0" w:color="auto"/>
            <w:left w:val="none" w:sz="0" w:space="0" w:color="auto"/>
            <w:bottom w:val="none" w:sz="0" w:space="0" w:color="auto"/>
            <w:right w:val="none" w:sz="0" w:space="0" w:color="auto"/>
          </w:divBdr>
        </w:div>
        <w:div w:id="1473593771">
          <w:marLeft w:val="0"/>
          <w:marRight w:val="0"/>
          <w:marTop w:val="0"/>
          <w:marBottom w:val="0"/>
          <w:divBdr>
            <w:top w:val="none" w:sz="0" w:space="0" w:color="auto"/>
            <w:left w:val="none" w:sz="0" w:space="0" w:color="auto"/>
            <w:bottom w:val="none" w:sz="0" w:space="0" w:color="auto"/>
            <w:right w:val="none" w:sz="0" w:space="0" w:color="auto"/>
          </w:divBdr>
          <w:divsChild>
            <w:div w:id="394477126">
              <w:marLeft w:val="0"/>
              <w:marRight w:val="0"/>
              <w:marTop w:val="0"/>
              <w:marBottom w:val="0"/>
              <w:divBdr>
                <w:top w:val="none" w:sz="0" w:space="0" w:color="auto"/>
                <w:left w:val="none" w:sz="0" w:space="0" w:color="auto"/>
                <w:bottom w:val="none" w:sz="0" w:space="0" w:color="auto"/>
                <w:right w:val="none" w:sz="0" w:space="0" w:color="auto"/>
              </w:divBdr>
              <w:divsChild>
                <w:div w:id="935553524">
                  <w:marLeft w:val="0"/>
                  <w:marRight w:val="0"/>
                  <w:marTop w:val="0"/>
                  <w:marBottom w:val="0"/>
                  <w:divBdr>
                    <w:top w:val="none" w:sz="0" w:space="0" w:color="auto"/>
                    <w:left w:val="none" w:sz="0" w:space="0" w:color="auto"/>
                    <w:bottom w:val="none" w:sz="0" w:space="0" w:color="auto"/>
                    <w:right w:val="none" w:sz="0" w:space="0" w:color="auto"/>
                  </w:divBdr>
                  <w:divsChild>
                    <w:div w:id="17023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97100">
              <w:marLeft w:val="0"/>
              <w:marRight w:val="0"/>
              <w:marTop w:val="0"/>
              <w:marBottom w:val="0"/>
              <w:divBdr>
                <w:top w:val="none" w:sz="0" w:space="0" w:color="auto"/>
                <w:left w:val="none" w:sz="0" w:space="0" w:color="auto"/>
                <w:bottom w:val="none" w:sz="0" w:space="0" w:color="auto"/>
                <w:right w:val="none" w:sz="0" w:space="0" w:color="auto"/>
              </w:divBdr>
              <w:divsChild>
                <w:div w:id="813454036">
                  <w:marLeft w:val="0"/>
                  <w:marRight w:val="0"/>
                  <w:marTop w:val="0"/>
                  <w:marBottom w:val="0"/>
                  <w:divBdr>
                    <w:top w:val="none" w:sz="0" w:space="0" w:color="auto"/>
                    <w:left w:val="none" w:sz="0" w:space="0" w:color="auto"/>
                    <w:bottom w:val="none" w:sz="0" w:space="0" w:color="auto"/>
                    <w:right w:val="none" w:sz="0" w:space="0" w:color="auto"/>
                  </w:divBdr>
                  <w:divsChild>
                    <w:div w:id="51002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235224">
      <w:bodyDiv w:val="1"/>
      <w:marLeft w:val="0"/>
      <w:marRight w:val="0"/>
      <w:marTop w:val="0"/>
      <w:marBottom w:val="0"/>
      <w:divBdr>
        <w:top w:val="none" w:sz="0" w:space="0" w:color="auto"/>
        <w:left w:val="none" w:sz="0" w:space="0" w:color="auto"/>
        <w:bottom w:val="none" w:sz="0" w:space="0" w:color="auto"/>
        <w:right w:val="none" w:sz="0" w:space="0" w:color="auto"/>
      </w:divBdr>
      <w:divsChild>
        <w:div w:id="1267425780">
          <w:marLeft w:val="0"/>
          <w:marRight w:val="0"/>
          <w:marTop w:val="0"/>
          <w:marBottom w:val="0"/>
          <w:divBdr>
            <w:top w:val="none" w:sz="0" w:space="0" w:color="auto"/>
            <w:left w:val="none" w:sz="0" w:space="0" w:color="auto"/>
            <w:bottom w:val="none" w:sz="0" w:space="0" w:color="auto"/>
            <w:right w:val="none" w:sz="0" w:space="0" w:color="auto"/>
          </w:divBdr>
        </w:div>
      </w:divsChild>
    </w:div>
    <w:div w:id="616762966">
      <w:bodyDiv w:val="1"/>
      <w:marLeft w:val="0"/>
      <w:marRight w:val="0"/>
      <w:marTop w:val="0"/>
      <w:marBottom w:val="0"/>
      <w:divBdr>
        <w:top w:val="none" w:sz="0" w:space="0" w:color="auto"/>
        <w:left w:val="none" w:sz="0" w:space="0" w:color="auto"/>
        <w:bottom w:val="none" w:sz="0" w:space="0" w:color="auto"/>
        <w:right w:val="none" w:sz="0" w:space="0" w:color="auto"/>
      </w:divBdr>
    </w:div>
    <w:div w:id="643966293">
      <w:bodyDiv w:val="1"/>
      <w:marLeft w:val="0"/>
      <w:marRight w:val="0"/>
      <w:marTop w:val="0"/>
      <w:marBottom w:val="0"/>
      <w:divBdr>
        <w:top w:val="none" w:sz="0" w:space="0" w:color="auto"/>
        <w:left w:val="none" w:sz="0" w:space="0" w:color="auto"/>
        <w:bottom w:val="none" w:sz="0" w:space="0" w:color="auto"/>
        <w:right w:val="none" w:sz="0" w:space="0" w:color="auto"/>
      </w:divBdr>
    </w:div>
    <w:div w:id="697314206">
      <w:bodyDiv w:val="1"/>
      <w:marLeft w:val="0"/>
      <w:marRight w:val="0"/>
      <w:marTop w:val="0"/>
      <w:marBottom w:val="0"/>
      <w:divBdr>
        <w:top w:val="none" w:sz="0" w:space="0" w:color="auto"/>
        <w:left w:val="none" w:sz="0" w:space="0" w:color="auto"/>
        <w:bottom w:val="none" w:sz="0" w:space="0" w:color="auto"/>
        <w:right w:val="none" w:sz="0" w:space="0" w:color="auto"/>
      </w:divBdr>
    </w:div>
    <w:div w:id="753209668">
      <w:bodyDiv w:val="1"/>
      <w:marLeft w:val="0"/>
      <w:marRight w:val="0"/>
      <w:marTop w:val="0"/>
      <w:marBottom w:val="0"/>
      <w:divBdr>
        <w:top w:val="none" w:sz="0" w:space="0" w:color="auto"/>
        <w:left w:val="none" w:sz="0" w:space="0" w:color="auto"/>
        <w:bottom w:val="none" w:sz="0" w:space="0" w:color="auto"/>
        <w:right w:val="none" w:sz="0" w:space="0" w:color="auto"/>
      </w:divBdr>
    </w:div>
    <w:div w:id="886257324">
      <w:bodyDiv w:val="1"/>
      <w:marLeft w:val="0"/>
      <w:marRight w:val="0"/>
      <w:marTop w:val="0"/>
      <w:marBottom w:val="0"/>
      <w:divBdr>
        <w:top w:val="none" w:sz="0" w:space="0" w:color="auto"/>
        <w:left w:val="none" w:sz="0" w:space="0" w:color="auto"/>
        <w:bottom w:val="none" w:sz="0" w:space="0" w:color="auto"/>
        <w:right w:val="none" w:sz="0" w:space="0" w:color="auto"/>
      </w:divBdr>
    </w:div>
    <w:div w:id="1439910542">
      <w:bodyDiv w:val="1"/>
      <w:marLeft w:val="0"/>
      <w:marRight w:val="0"/>
      <w:marTop w:val="0"/>
      <w:marBottom w:val="0"/>
      <w:divBdr>
        <w:top w:val="none" w:sz="0" w:space="0" w:color="auto"/>
        <w:left w:val="none" w:sz="0" w:space="0" w:color="auto"/>
        <w:bottom w:val="none" w:sz="0" w:space="0" w:color="auto"/>
        <w:right w:val="none" w:sz="0" w:space="0" w:color="auto"/>
      </w:divBdr>
      <w:divsChild>
        <w:div w:id="429588595">
          <w:marLeft w:val="0"/>
          <w:marRight w:val="0"/>
          <w:marTop w:val="0"/>
          <w:marBottom w:val="0"/>
          <w:divBdr>
            <w:top w:val="none" w:sz="0" w:space="0" w:color="auto"/>
            <w:left w:val="none" w:sz="0" w:space="0" w:color="auto"/>
            <w:bottom w:val="none" w:sz="0" w:space="0" w:color="auto"/>
            <w:right w:val="none" w:sz="0" w:space="0" w:color="auto"/>
          </w:divBdr>
          <w:divsChild>
            <w:div w:id="1095705909">
              <w:marLeft w:val="0"/>
              <w:marRight w:val="0"/>
              <w:marTop w:val="0"/>
              <w:marBottom w:val="0"/>
              <w:divBdr>
                <w:top w:val="none" w:sz="0" w:space="0" w:color="auto"/>
                <w:left w:val="none" w:sz="0" w:space="0" w:color="auto"/>
                <w:bottom w:val="none" w:sz="0" w:space="0" w:color="auto"/>
                <w:right w:val="none" w:sz="0" w:space="0" w:color="auto"/>
              </w:divBdr>
              <w:divsChild>
                <w:div w:id="1995376358">
                  <w:marLeft w:val="0"/>
                  <w:marRight w:val="0"/>
                  <w:marTop w:val="0"/>
                  <w:marBottom w:val="0"/>
                  <w:divBdr>
                    <w:top w:val="none" w:sz="0" w:space="0" w:color="auto"/>
                    <w:left w:val="none" w:sz="0" w:space="0" w:color="auto"/>
                    <w:bottom w:val="none" w:sz="0" w:space="0" w:color="auto"/>
                    <w:right w:val="none" w:sz="0" w:space="0" w:color="auto"/>
                  </w:divBdr>
                  <w:divsChild>
                    <w:div w:id="1380785034">
                      <w:marLeft w:val="0"/>
                      <w:marRight w:val="0"/>
                      <w:marTop w:val="0"/>
                      <w:marBottom w:val="0"/>
                      <w:divBdr>
                        <w:top w:val="none" w:sz="0" w:space="0" w:color="auto"/>
                        <w:left w:val="none" w:sz="0" w:space="0" w:color="auto"/>
                        <w:bottom w:val="none" w:sz="0" w:space="0" w:color="auto"/>
                        <w:right w:val="none" w:sz="0" w:space="0" w:color="auto"/>
                      </w:divBdr>
                      <w:divsChild>
                        <w:div w:id="352920610">
                          <w:marLeft w:val="0"/>
                          <w:marRight w:val="0"/>
                          <w:marTop w:val="0"/>
                          <w:marBottom w:val="0"/>
                          <w:divBdr>
                            <w:top w:val="none" w:sz="0" w:space="0" w:color="auto"/>
                            <w:left w:val="none" w:sz="0" w:space="0" w:color="auto"/>
                            <w:bottom w:val="none" w:sz="0" w:space="0" w:color="auto"/>
                            <w:right w:val="none" w:sz="0" w:space="0" w:color="auto"/>
                          </w:divBdr>
                          <w:divsChild>
                            <w:div w:id="937060468">
                              <w:marLeft w:val="0"/>
                              <w:marRight w:val="0"/>
                              <w:marTop w:val="0"/>
                              <w:marBottom w:val="0"/>
                              <w:divBdr>
                                <w:top w:val="none" w:sz="0" w:space="0" w:color="auto"/>
                                <w:left w:val="none" w:sz="0" w:space="0" w:color="auto"/>
                                <w:bottom w:val="none" w:sz="0" w:space="0" w:color="auto"/>
                                <w:right w:val="none" w:sz="0" w:space="0" w:color="auto"/>
                              </w:divBdr>
                              <w:divsChild>
                                <w:div w:id="675619625">
                                  <w:marLeft w:val="0"/>
                                  <w:marRight w:val="0"/>
                                  <w:marTop w:val="0"/>
                                  <w:marBottom w:val="0"/>
                                  <w:divBdr>
                                    <w:top w:val="none" w:sz="0" w:space="0" w:color="auto"/>
                                    <w:left w:val="none" w:sz="0" w:space="0" w:color="auto"/>
                                    <w:bottom w:val="none" w:sz="0" w:space="0" w:color="auto"/>
                                    <w:right w:val="none" w:sz="0" w:space="0" w:color="auto"/>
                                  </w:divBdr>
                                </w:div>
                                <w:div w:id="2089040389">
                                  <w:marLeft w:val="0"/>
                                  <w:marRight w:val="0"/>
                                  <w:marTop w:val="0"/>
                                  <w:marBottom w:val="0"/>
                                  <w:divBdr>
                                    <w:top w:val="none" w:sz="0" w:space="0" w:color="auto"/>
                                    <w:left w:val="none" w:sz="0" w:space="0" w:color="auto"/>
                                    <w:bottom w:val="none" w:sz="0" w:space="0" w:color="auto"/>
                                    <w:right w:val="none" w:sz="0" w:space="0" w:color="auto"/>
                                  </w:divBdr>
                                  <w:divsChild>
                                    <w:div w:id="1765148745">
                                      <w:marLeft w:val="0"/>
                                      <w:marRight w:val="0"/>
                                      <w:marTop w:val="0"/>
                                      <w:marBottom w:val="0"/>
                                      <w:divBdr>
                                        <w:top w:val="none" w:sz="0" w:space="0" w:color="auto"/>
                                        <w:left w:val="none" w:sz="0" w:space="0" w:color="auto"/>
                                        <w:bottom w:val="none" w:sz="0" w:space="0" w:color="auto"/>
                                        <w:right w:val="none" w:sz="0" w:space="0" w:color="auto"/>
                                      </w:divBdr>
                                      <w:divsChild>
                                        <w:div w:id="855342308">
                                          <w:marLeft w:val="0"/>
                                          <w:marRight w:val="0"/>
                                          <w:marTop w:val="0"/>
                                          <w:marBottom w:val="0"/>
                                          <w:divBdr>
                                            <w:top w:val="none" w:sz="0" w:space="0" w:color="auto"/>
                                            <w:left w:val="none" w:sz="0" w:space="0" w:color="auto"/>
                                            <w:bottom w:val="none" w:sz="0" w:space="0" w:color="auto"/>
                                            <w:right w:val="none" w:sz="0" w:space="0" w:color="auto"/>
                                          </w:divBdr>
                                        </w:div>
                                        <w:div w:id="1651712775">
                                          <w:marLeft w:val="0"/>
                                          <w:marRight w:val="0"/>
                                          <w:marTop w:val="0"/>
                                          <w:marBottom w:val="0"/>
                                          <w:divBdr>
                                            <w:top w:val="none" w:sz="0" w:space="0" w:color="auto"/>
                                            <w:left w:val="none" w:sz="0" w:space="0" w:color="auto"/>
                                            <w:bottom w:val="none" w:sz="0" w:space="0" w:color="auto"/>
                                            <w:right w:val="none" w:sz="0" w:space="0" w:color="auto"/>
                                          </w:divBdr>
                                          <w:divsChild>
                                            <w:div w:id="1710639809">
                                              <w:marLeft w:val="0"/>
                                              <w:marRight w:val="0"/>
                                              <w:marTop w:val="0"/>
                                              <w:marBottom w:val="0"/>
                                              <w:divBdr>
                                                <w:top w:val="none" w:sz="0" w:space="0" w:color="auto"/>
                                                <w:left w:val="none" w:sz="0" w:space="0" w:color="auto"/>
                                                <w:bottom w:val="none" w:sz="0" w:space="0" w:color="auto"/>
                                                <w:right w:val="none" w:sz="0" w:space="0" w:color="auto"/>
                                              </w:divBdr>
                                              <w:divsChild>
                                                <w:div w:id="1873033753">
                                                  <w:marLeft w:val="0"/>
                                                  <w:marRight w:val="0"/>
                                                  <w:marTop w:val="0"/>
                                                  <w:marBottom w:val="0"/>
                                                  <w:divBdr>
                                                    <w:top w:val="none" w:sz="0" w:space="0" w:color="auto"/>
                                                    <w:left w:val="none" w:sz="0" w:space="0" w:color="auto"/>
                                                    <w:bottom w:val="none" w:sz="0" w:space="0" w:color="auto"/>
                                                    <w:right w:val="none" w:sz="0" w:space="0" w:color="auto"/>
                                                  </w:divBdr>
                                                </w:div>
                                                <w:div w:id="867065881">
                                                  <w:marLeft w:val="0"/>
                                                  <w:marRight w:val="0"/>
                                                  <w:marTop w:val="0"/>
                                                  <w:marBottom w:val="0"/>
                                                  <w:divBdr>
                                                    <w:top w:val="none" w:sz="0" w:space="0" w:color="auto"/>
                                                    <w:left w:val="none" w:sz="0" w:space="0" w:color="auto"/>
                                                    <w:bottom w:val="none" w:sz="0" w:space="0" w:color="auto"/>
                                                    <w:right w:val="none" w:sz="0" w:space="0" w:color="auto"/>
                                                  </w:divBdr>
                                                  <w:divsChild>
                                                    <w:div w:id="1484350936">
                                                      <w:marLeft w:val="0"/>
                                                      <w:marRight w:val="0"/>
                                                      <w:marTop w:val="0"/>
                                                      <w:marBottom w:val="0"/>
                                                      <w:divBdr>
                                                        <w:top w:val="none" w:sz="0" w:space="0" w:color="auto"/>
                                                        <w:left w:val="none" w:sz="0" w:space="0" w:color="auto"/>
                                                        <w:bottom w:val="none" w:sz="0" w:space="0" w:color="auto"/>
                                                        <w:right w:val="none" w:sz="0" w:space="0" w:color="auto"/>
                                                      </w:divBdr>
                                                      <w:divsChild>
                                                        <w:div w:id="341981502">
                                                          <w:marLeft w:val="0"/>
                                                          <w:marRight w:val="0"/>
                                                          <w:marTop w:val="0"/>
                                                          <w:marBottom w:val="0"/>
                                                          <w:divBdr>
                                                            <w:top w:val="none" w:sz="0" w:space="0" w:color="auto"/>
                                                            <w:left w:val="none" w:sz="0" w:space="0" w:color="auto"/>
                                                            <w:bottom w:val="none" w:sz="0" w:space="0" w:color="auto"/>
                                                            <w:right w:val="none" w:sz="0" w:space="0" w:color="auto"/>
                                                          </w:divBdr>
                                                          <w:divsChild>
                                                            <w:div w:id="1542471542">
                                                              <w:marLeft w:val="0"/>
                                                              <w:marRight w:val="0"/>
                                                              <w:marTop w:val="0"/>
                                                              <w:marBottom w:val="0"/>
                                                              <w:divBdr>
                                                                <w:top w:val="none" w:sz="0" w:space="0" w:color="auto"/>
                                                                <w:left w:val="none" w:sz="0" w:space="0" w:color="auto"/>
                                                                <w:bottom w:val="none" w:sz="0" w:space="0" w:color="auto"/>
                                                                <w:right w:val="none" w:sz="0" w:space="0" w:color="auto"/>
                                                              </w:divBdr>
                                                              <w:divsChild>
                                                                <w:div w:id="1054037602">
                                                                  <w:marLeft w:val="0"/>
                                                                  <w:marRight w:val="0"/>
                                                                  <w:marTop w:val="0"/>
                                                                  <w:marBottom w:val="0"/>
                                                                  <w:divBdr>
                                                                    <w:top w:val="none" w:sz="0" w:space="0" w:color="auto"/>
                                                                    <w:left w:val="none" w:sz="0" w:space="0" w:color="auto"/>
                                                                    <w:bottom w:val="none" w:sz="0" w:space="0" w:color="auto"/>
                                                                    <w:right w:val="none" w:sz="0" w:space="0" w:color="auto"/>
                                                                  </w:divBdr>
                                                                  <w:divsChild>
                                                                    <w:div w:id="1723943779">
                                                                      <w:marLeft w:val="0"/>
                                                                      <w:marRight w:val="0"/>
                                                                      <w:marTop w:val="0"/>
                                                                      <w:marBottom w:val="0"/>
                                                                      <w:divBdr>
                                                                        <w:top w:val="none" w:sz="0" w:space="0" w:color="auto"/>
                                                                        <w:left w:val="none" w:sz="0" w:space="0" w:color="auto"/>
                                                                        <w:bottom w:val="none" w:sz="0" w:space="0" w:color="auto"/>
                                                                        <w:right w:val="none" w:sz="0" w:space="0" w:color="auto"/>
                                                                      </w:divBdr>
                                                                      <w:divsChild>
                                                                        <w:div w:id="40370464">
                                                                          <w:marLeft w:val="0"/>
                                                                          <w:marRight w:val="0"/>
                                                                          <w:marTop w:val="0"/>
                                                                          <w:marBottom w:val="0"/>
                                                                          <w:divBdr>
                                                                            <w:top w:val="none" w:sz="0" w:space="0" w:color="auto"/>
                                                                            <w:left w:val="none" w:sz="0" w:space="0" w:color="auto"/>
                                                                            <w:bottom w:val="none" w:sz="0" w:space="0" w:color="auto"/>
                                                                            <w:right w:val="none" w:sz="0" w:space="0" w:color="auto"/>
                                                                          </w:divBdr>
                                                                          <w:divsChild>
                                                                            <w:div w:id="1613319076">
                                                                              <w:marLeft w:val="0"/>
                                                                              <w:marRight w:val="0"/>
                                                                              <w:marTop w:val="0"/>
                                                                              <w:marBottom w:val="0"/>
                                                                              <w:divBdr>
                                                                                <w:top w:val="none" w:sz="0" w:space="0" w:color="auto"/>
                                                                                <w:left w:val="none" w:sz="0" w:space="0" w:color="auto"/>
                                                                                <w:bottom w:val="none" w:sz="0" w:space="0" w:color="auto"/>
                                                                                <w:right w:val="none" w:sz="0" w:space="0" w:color="auto"/>
                                                                              </w:divBdr>
                                                                              <w:divsChild>
                                                                                <w:div w:id="1443525998">
                                                                                  <w:marLeft w:val="0"/>
                                                                                  <w:marRight w:val="0"/>
                                                                                  <w:marTop w:val="0"/>
                                                                                  <w:marBottom w:val="0"/>
                                                                                  <w:divBdr>
                                                                                    <w:top w:val="none" w:sz="0" w:space="0" w:color="auto"/>
                                                                                    <w:left w:val="none" w:sz="0" w:space="0" w:color="auto"/>
                                                                                    <w:bottom w:val="none" w:sz="0" w:space="0" w:color="auto"/>
                                                                                    <w:right w:val="none" w:sz="0" w:space="0" w:color="auto"/>
                                                                                  </w:divBdr>
                                                                                  <w:divsChild>
                                                                                    <w:div w:id="12376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557191">
      <w:bodyDiv w:val="1"/>
      <w:marLeft w:val="0"/>
      <w:marRight w:val="0"/>
      <w:marTop w:val="0"/>
      <w:marBottom w:val="0"/>
      <w:divBdr>
        <w:top w:val="none" w:sz="0" w:space="0" w:color="auto"/>
        <w:left w:val="none" w:sz="0" w:space="0" w:color="auto"/>
        <w:bottom w:val="none" w:sz="0" w:space="0" w:color="auto"/>
        <w:right w:val="none" w:sz="0" w:space="0" w:color="auto"/>
      </w:divBdr>
    </w:div>
    <w:div w:id="1781412297">
      <w:bodyDiv w:val="1"/>
      <w:marLeft w:val="0"/>
      <w:marRight w:val="0"/>
      <w:marTop w:val="0"/>
      <w:marBottom w:val="0"/>
      <w:divBdr>
        <w:top w:val="none" w:sz="0" w:space="0" w:color="auto"/>
        <w:left w:val="none" w:sz="0" w:space="0" w:color="auto"/>
        <w:bottom w:val="none" w:sz="0" w:space="0" w:color="auto"/>
        <w:right w:val="none" w:sz="0" w:space="0" w:color="auto"/>
      </w:divBdr>
    </w:div>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 w:id="1886794063">
      <w:bodyDiv w:val="1"/>
      <w:marLeft w:val="0"/>
      <w:marRight w:val="0"/>
      <w:marTop w:val="0"/>
      <w:marBottom w:val="0"/>
      <w:divBdr>
        <w:top w:val="none" w:sz="0" w:space="0" w:color="auto"/>
        <w:left w:val="none" w:sz="0" w:space="0" w:color="auto"/>
        <w:bottom w:val="none" w:sz="0" w:space="0" w:color="auto"/>
        <w:right w:val="none" w:sz="0" w:space="0" w:color="auto"/>
      </w:divBdr>
    </w:div>
    <w:div w:id="1922982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9.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8.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hyperlink" Target="http://www.cylview.org/Home.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vivek\AppData\Local\Temp\acscolumnwide_msw2010_jacscomm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54A794-4380-48CA-9437-E21457DCD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acscolumnwide_msw2010_jacscomm_pc.dotx</Template>
  <TotalTime>2</TotalTime>
  <Pages>24</Pages>
  <Words>24007</Words>
  <Characters>136845</Characters>
  <Application>Microsoft Office Word</Application>
  <DocSecurity>0</DocSecurity>
  <Lines>1140</Lines>
  <Paragraphs>321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160531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Padmanabhan, Vivek</dc:creator>
  <cp:lastModifiedBy>Hardwick</cp:lastModifiedBy>
  <cp:revision>3</cp:revision>
  <cp:lastPrinted>2016-01-23T13:24:00Z</cp:lastPrinted>
  <dcterms:created xsi:type="dcterms:W3CDTF">2016-01-23T16:12:00Z</dcterms:created>
  <dcterms:modified xsi:type="dcterms:W3CDTF">2016-01-23T16:13:00Z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jpvivek@gmail.com@www.mendeley.com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