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440225" w14:textId="77777777" w:rsidR="00473B32" w:rsidRPr="00C94ADB" w:rsidRDefault="00473B32" w:rsidP="00F007F5">
      <w:pPr>
        <w:pStyle w:val="Authors"/>
        <w:rPr>
          <w:rFonts w:cs="Arial"/>
          <w:b/>
          <w:sz w:val="32"/>
          <w:szCs w:val="28"/>
          <w:lang w:val="en-US"/>
        </w:rPr>
      </w:pPr>
      <w:r w:rsidRPr="00C94ADB">
        <w:rPr>
          <w:rFonts w:cs="Arial"/>
          <w:b/>
          <w:sz w:val="32"/>
          <w:szCs w:val="28"/>
          <w:lang w:val="en-US"/>
        </w:rPr>
        <w:t xml:space="preserve">Visible Light-Driven </w:t>
      </w:r>
      <w:r w:rsidR="00C94ADB">
        <w:rPr>
          <w:rFonts w:cs="Arial"/>
          <w:b/>
          <w:sz w:val="32"/>
          <w:szCs w:val="28"/>
          <w:lang w:val="en-US"/>
        </w:rPr>
        <w:t>Hydrogen Evolution</w:t>
      </w:r>
      <w:r w:rsidRPr="00C94ADB">
        <w:rPr>
          <w:rFonts w:cs="Arial"/>
          <w:b/>
          <w:sz w:val="32"/>
          <w:szCs w:val="28"/>
          <w:lang w:val="en-US"/>
        </w:rPr>
        <w:t xml:space="preserve"> Using Planarized Conjugated Polymer Photocatalysts</w:t>
      </w:r>
    </w:p>
    <w:p w14:paraId="08133ADC" w14:textId="77777777" w:rsidR="006D4F77" w:rsidRPr="00C94ADB" w:rsidRDefault="00473B32" w:rsidP="006D4F77">
      <w:pPr>
        <w:pStyle w:val="Dedication"/>
        <w:rPr>
          <w:rFonts w:cs="Arial"/>
          <w:noProof/>
          <w:sz w:val="22"/>
          <w:vertAlign w:val="superscript"/>
          <w:lang w:val="en-GB" w:eastAsia="en-GB"/>
        </w:rPr>
        <w:sectPr w:rsidR="006D4F77" w:rsidRPr="00C94ADB" w:rsidSect="00205632">
          <w:headerReference w:type="even" r:id="rId8"/>
          <w:headerReference w:type="default" r:id="rId9"/>
          <w:footerReference w:type="even" r:id="rId10"/>
          <w:footerReference w:type="default" r:id="rId11"/>
          <w:headerReference w:type="first" r:id="rId12"/>
          <w:footerReference w:type="first" r:id="rId13"/>
          <w:pgSz w:w="11906" w:h="16838" w:code="9"/>
          <w:pgMar w:top="1134" w:right="936" w:bottom="1134" w:left="936" w:header="1021" w:footer="0" w:gutter="0"/>
          <w:cols w:space="425"/>
          <w:docGrid w:linePitch="360"/>
        </w:sectPr>
      </w:pPr>
      <w:r w:rsidRPr="00C94ADB">
        <w:rPr>
          <w:rFonts w:cs="Arial"/>
          <w:noProof/>
          <w:sz w:val="22"/>
          <w:lang w:val="en-GB" w:eastAsia="en-GB"/>
        </w:rPr>
        <w:t>Reiner Sebastian Sprick,</w:t>
      </w:r>
      <w:r w:rsidRPr="00C94ADB">
        <w:rPr>
          <w:rFonts w:cs="Arial"/>
          <w:noProof/>
          <w:sz w:val="22"/>
          <w:vertAlign w:val="superscript"/>
          <w:lang w:val="en-GB" w:eastAsia="en-GB"/>
        </w:rPr>
        <w:t>[a]</w:t>
      </w:r>
      <w:r w:rsidRPr="00C94ADB">
        <w:rPr>
          <w:rFonts w:cs="Arial"/>
          <w:noProof/>
          <w:sz w:val="22"/>
          <w:lang w:val="en-GB" w:eastAsia="en-GB"/>
        </w:rPr>
        <w:t xml:space="preserve"> Baltasar Bonillo,</w:t>
      </w:r>
      <w:r w:rsidRPr="00C94ADB">
        <w:rPr>
          <w:rFonts w:cs="Arial"/>
          <w:noProof/>
          <w:sz w:val="22"/>
          <w:vertAlign w:val="superscript"/>
          <w:lang w:val="en-GB" w:eastAsia="en-GB"/>
        </w:rPr>
        <w:t>[a]</w:t>
      </w:r>
      <w:r w:rsidRPr="00C94ADB">
        <w:rPr>
          <w:rFonts w:cs="Arial"/>
          <w:noProof/>
          <w:sz w:val="22"/>
          <w:lang w:val="en-GB" w:eastAsia="en-GB"/>
        </w:rPr>
        <w:t xml:space="preserve"> Rob Clowes,</w:t>
      </w:r>
      <w:r w:rsidRPr="00C94ADB">
        <w:rPr>
          <w:rFonts w:cs="Arial"/>
          <w:noProof/>
          <w:sz w:val="22"/>
          <w:vertAlign w:val="superscript"/>
          <w:lang w:val="en-GB" w:eastAsia="en-GB"/>
        </w:rPr>
        <w:t>[a]</w:t>
      </w:r>
      <w:r w:rsidRPr="00C94ADB">
        <w:rPr>
          <w:rFonts w:cs="Arial"/>
          <w:noProof/>
          <w:sz w:val="22"/>
          <w:lang w:val="en-GB" w:eastAsia="en-GB"/>
        </w:rPr>
        <w:t xml:space="preserve"> Pierre Guiglion,</w:t>
      </w:r>
      <w:r w:rsidRPr="00C94ADB">
        <w:rPr>
          <w:rFonts w:cs="Arial"/>
          <w:noProof/>
          <w:sz w:val="22"/>
          <w:vertAlign w:val="superscript"/>
          <w:lang w:val="en-GB" w:eastAsia="en-GB"/>
        </w:rPr>
        <w:t>[b]</w:t>
      </w:r>
      <w:r w:rsidRPr="00C94ADB">
        <w:rPr>
          <w:rFonts w:cs="Arial"/>
          <w:noProof/>
          <w:sz w:val="22"/>
          <w:lang w:val="en-GB" w:eastAsia="en-GB"/>
        </w:rPr>
        <w:t xml:space="preserve"> </w:t>
      </w:r>
      <w:r w:rsidR="00FC52F9" w:rsidRPr="00C94ADB">
        <w:rPr>
          <w:rFonts w:cs="Arial"/>
          <w:noProof/>
          <w:sz w:val="22"/>
          <w:lang w:val="en-GB" w:eastAsia="en-GB"/>
        </w:rPr>
        <w:t>Nick</w:t>
      </w:r>
      <w:r w:rsidR="007A673E" w:rsidRPr="00C94ADB">
        <w:rPr>
          <w:rFonts w:cs="Arial"/>
          <w:noProof/>
          <w:sz w:val="22"/>
          <w:lang w:val="en-GB" w:eastAsia="en-GB"/>
        </w:rPr>
        <w:t xml:space="preserve"> J.</w:t>
      </w:r>
      <w:r w:rsidR="00FC52F9" w:rsidRPr="00C94ADB">
        <w:rPr>
          <w:rFonts w:cs="Arial"/>
          <w:noProof/>
          <w:sz w:val="22"/>
          <w:lang w:val="en-GB" w:eastAsia="en-GB"/>
        </w:rPr>
        <w:t xml:space="preserve"> Brow</w:t>
      </w:r>
      <w:r w:rsidR="00D00698" w:rsidRPr="00C94ADB">
        <w:rPr>
          <w:rFonts w:cs="Arial"/>
          <w:noProof/>
          <w:sz w:val="22"/>
          <w:lang w:val="en-GB" w:eastAsia="en-GB"/>
        </w:rPr>
        <w:t>n</w:t>
      </w:r>
      <w:r w:rsidR="00FC52F9" w:rsidRPr="00C94ADB">
        <w:rPr>
          <w:rFonts w:cs="Arial"/>
          <w:noProof/>
          <w:sz w:val="22"/>
          <w:lang w:val="en-GB" w:eastAsia="en-GB"/>
        </w:rPr>
        <w:t>bill,</w:t>
      </w:r>
      <w:r w:rsidR="00FC52F9" w:rsidRPr="00C94ADB">
        <w:rPr>
          <w:rFonts w:cs="Arial"/>
          <w:noProof/>
          <w:sz w:val="22"/>
          <w:vertAlign w:val="superscript"/>
          <w:lang w:val="en-GB" w:eastAsia="en-GB"/>
        </w:rPr>
        <w:t>[a]</w:t>
      </w:r>
      <w:r w:rsidR="00D00698" w:rsidRPr="00C94ADB">
        <w:rPr>
          <w:rFonts w:cs="Arial"/>
          <w:noProof/>
          <w:sz w:val="22"/>
          <w:lang w:val="en-GB" w:eastAsia="en-GB"/>
        </w:rPr>
        <w:t xml:space="preserve"> </w:t>
      </w:r>
      <w:r w:rsidR="005A2C9A" w:rsidRPr="00C94ADB">
        <w:rPr>
          <w:rFonts w:cs="Arial"/>
          <w:noProof/>
          <w:sz w:val="22"/>
          <w:lang w:val="en-GB" w:eastAsia="en-GB"/>
        </w:rPr>
        <w:t>Benjamin J. Slater,</w:t>
      </w:r>
      <w:r w:rsidR="005A2C9A" w:rsidRPr="00C94ADB">
        <w:rPr>
          <w:rFonts w:cs="Arial"/>
          <w:noProof/>
          <w:sz w:val="22"/>
          <w:vertAlign w:val="superscript"/>
          <w:lang w:val="en-GB" w:eastAsia="en-GB"/>
        </w:rPr>
        <w:t xml:space="preserve">[a] </w:t>
      </w:r>
      <w:r w:rsidR="00FC52F9" w:rsidRPr="00C94ADB">
        <w:rPr>
          <w:rFonts w:cs="Arial"/>
          <w:noProof/>
          <w:sz w:val="22"/>
          <w:lang w:val="en-GB" w:eastAsia="en-GB"/>
        </w:rPr>
        <w:t>Fr</w:t>
      </w:r>
      <w:r w:rsidR="007A673E" w:rsidRPr="00C94ADB">
        <w:rPr>
          <w:rFonts w:cs="Arial"/>
          <w:noProof/>
          <w:sz w:val="22"/>
          <w:lang w:val="en-GB" w:eastAsia="en-GB"/>
        </w:rPr>
        <w:t>é</w:t>
      </w:r>
      <w:r w:rsidR="00FC52F9" w:rsidRPr="00C94ADB">
        <w:rPr>
          <w:rFonts w:cs="Arial"/>
          <w:noProof/>
          <w:sz w:val="22"/>
          <w:lang w:val="en-GB" w:eastAsia="en-GB"/>
        </w:rPr>
        <w:t>d</w:t>
      </w:r>
      <w:r w:rsidR="007A673E" w:rsidRPr="00C94ADB">
        <w:rPr>
          <w:rFonts w:cs="Arial"/>
          <w:noProof/>
          <w:sz w:val="22"/>
          <w:lang w:val="en-GB" w:eastAsia="en-GB"/>
        </w:rPr>
        <w:t>é</w:t>
      </w:r>
      <w:r w:rsidR="00FC52F9" w:rsidRPr="00C94ADB">
        <w:rPr>
          <w:rFonts w:cs="Arial"/>
          <w:noProof/>
          <w:sz w:val="22"/>
          <w:lang w:val="en-GB" w:eastAsia="en-GB"/>
        </w:rPr>
        <w:t>ric Blanc,</w:t>
      </w:r>
      <w:r w:rsidR="00FC52F9" w:rsidRPr="00C94ADB">
        <w:rPr>
          <w:rFonts w:cs="Arial"/>
          <w:noProof/>
          <w:sz w:val="22"/>
          <w:vertAlign w:val="superscript"/>
          <w:lang w:val="en-GB" w:eastAsia="en-GB"/>
        </w:rPr>
        <w:t>[a]</w:t>
      </w:r>
      <w:r w:rsidR="007A673E" w:rsidRPr="00C94ADB">
        <w:rPr>
          <w:rFonts w:cs="Arial"/>
          <w:noProof/>
          <w:sz w:val="22"/>
          <w:vertAlign w:val="superscript"/>
          <w:lang w:val="en-GB" w:eastAsia="en-GB"/>
        </w:rPr>
        <w:t>,[c]</w:t>
      </w:r>
      <w:r w:rsidR="00FC52F9" w:rsidRPr="00C94ADB">
        <w:rPr>
          <w:rFonts w:cs="Arial"/>
          <w:noProof/>
          <w:sz w:val="22"/>
          <w:lang w:val="en-GB" w:eastAsia="en-GB"/>
        </w:rPr>
        <w:t xml:space="preserve"> </w:t>
      </w:r>
      <w:r w:rsidRPr="00C94ADB">
        <w:rPr>
          <w:rFonts w:cs="Arial"/>
          <w:noProof/>
          <w:sz w:val="22"/>
          <w:lang w:val="en-GB" w:eastAsia="en-GB"/>
        </w:rPr>
        <w:t>Martijn A. Zwijnenburg,</w:t>
      </w:r>
      <w:r w:rsidRPr="00C94ADB">
        <w:rPr>
          <w:rFonts w:cs="Arial"/>
          <w:noProof/>
          <w:sz w:val="22"/>
          <w:vertAlign w:val="superscript"/>
          <w:lang w:val="en-GB" w:eastAsia="en-GB"/>
        </w:rPr>
        <w:t>[b]</w:t>
      </w:r>
      <w:r w:rsidRPr="00C94ADB">
        <w:rPr>
          <w:rFonts w:cs="Arial"/>
          <w:noProof/>
          <w:sz w:val="22"/>
          <w:lang w:val="en-GB" w:eastAsia="en-GB"/>
        </w:rPr>
        <w:t xml:space="preserve"> Dave J. Adams,</w:t>
      </w:r>
      <w:r w:rsidR="00224002" w:rsidRPr="00C94ADB">
        <w:rPr>
          <w:rFonts w:cs="Arial"/>
          <w:noProof/>
          <w:sz w:val="22"/>
          <w:vertAlign w:val="superscript"/>
          <w:lang w:val="en-GB" w:eastAsia="en-GB"/>
        </w:rPr>
        <w:t>*</w:t>
      </w:r>
      <w:r w:rsidRPr="00C94ADB">
        <w:rPr>
          <w:rFonts w:cs="Arial"/>
          <w:noProof/>
          <w:sz w:val="22"/>
          <w:vertAlign w:val="superscript"/>
          <w:lang w:val="en-GB" w:eastAsia="en-GB"/>
        </w:rPr>
        <w:t>[a]</w:t>
      </w:r>
      <w:r w:rsidRPr="00C94ADB">
        <w:rPr>
          <w:rFonts w:cs="Arial"/>
          <w:noProof/>
          <w:sz w:val="22"/>
          <w:lang w:val="en-GB" w:eastAsia="en-GB"/>
        </w:rPr>
        <w:t xml:space="preserve"> and Andrew I. Cooper</w:t>
      </w:r>
      <w:r w:rsidR="00224002" w:rsidRPr="00C94ADB">
        <w:rPr>
          <w:rFonts w:cs="Arial"/>
          <w:noProof/>
          <w:sz w:val="22"/>
          <w:vertAlign w:val="superscript"/>
          <w:lang w:val="en-GB" w:eastAsia="en-GB"/>
        </w:rPr>
        <w:t>*</w:t>
      </w:r>
      <w:r w:rsidR="005D35A9" w:rsidRPr="00C94ADB">
        <w:rPr>
          <w:rFonts w:cs="Arial"/>
          <w:noProof/>
          <w:sz w:val="22"/>
          <w:vertAlign w:val="superscript"/>
          <w:lang w:val="en-GB" w:eastAsia="en-GB"/>
        </w:rPr>
        <w:t>[a]</w:t>
      </w:r>
    </w:p>
    <w:p w14:paraId="64C5AF4F" w14:textId="77777777" w:rsidR="00DD7094" w:rsidRPr="00C94ADB" w:rsidRDefault="002D5B99" w:rsidP="00DD7094">
      <w:pPr>
        <w:pStyle w:val="Abstract"/>
        <w:rPr>
          <w:rFonts w:cs="Arial"/>
        </w:rPr>
      </w:pPr>
      <w:r w:rsidRPr="00C94ADB">
        <w:rPr>
          <w:rFonts w:cs="Arial"/>
          <w:b/>
          <w:lang w:val="en-US"/>
        </w:rPr>
        <w:lastRenderedPageBreak/>
        <w:t>Abstract:</w:t>
      </w:r>
      <w:r w:rsidRPr="00C94ADB">
        <w:rPr>
          <w:rFonts w:cs="Arial"/>
          <w:lang w:val="en-US"/>
        </w:rPr>
        <w:t xml:space="preserve"> </w:t>
      </w:r>
      <w:r w:rsidR="009250ED" w:rsidRPr="00C94ADB">
        <w:rPr>
          <w:rFonts w:cs="Arial"/>
          <w:lang w:val="en-US"/>
        </w:rPr>
        <w:t>Linear poly(</w:t>
      </w:r>
      <w:r w:rsidR="0023256B" w:rsidRPr="00C94ADB">
        <w:rPr>
          <w:rFonts w:cs="Arial"/>
          <w:i/>
          <w:lang w:val="en-US"/>
        </w:rPr>
        <w:t>p</w:t>
      </w:r>
      <w:r w:rsidR="0023256B" w:rsidRPr="00C94ADB">
        <w:rPr>
          <w:rFonts w:cs="Arial"/>
          <w:lang w:val="en-US"/>
        </w:rPr>
        <w:t>-</w:t>
      </w:r>
      <w:r w:rsidR="009250ED" w:rsidRPr="00C94ADB">
        <w:rPr>
          <w:rFonts w:cs="Arial"/>
          <w:lang w:val="en-US"/>
        </w:rPr>
        <w:t xml:space="preserve">phenylene)s are modestly active UV photocatalysts for hydrogen production in the presence of a sacrificial electron donor. Introduction of planarized fluorene, carbazole, </w:t>
      </w:r>
      <w:r w:rsidR="000443D5" w:rsidRPr="00C94ADB">
        <w:rPr>
          <w:rFonts w:cs="Arial"/>
          <w:lang w:val="en-US"/>
        </w:rPr>
        <w:t>dibenzo[</w:t>
      </w:r>
      <w:r w:rsidR="000443D5" w:rsidRPr="00C94ADB">
        <w:rPr>
          <w:rFonts w:cs="Arial"/>
          <w:i/>
          <w:lang w:val="en-US"/>
        </w:rPr>
        <w:t>b</w:t>
      </w:r>
      <w:r w:rsidR="000443D5" w:rsidRPr="00C94ADB">
        <w:rPr>
          <w:rFonts w:cs="Arial"/>
          <w:lang w:val="en-US"/>
        </w:rPr>
        <w:t>,</w:t>
      </w:r>
      <w:r w:rsidR="000443D5" w:rsidRPr="00C94ADB">
        <w:rPr>
          <w:rFonts w:cs="Arial"/>
          <w:i/>
          <w:lang w:val="en-US"/>
        </w:rPr>
        <w:t>d</w:t>
      </w:r>
      <w:r w:rsidR="000443D5" w:rsidRPr="00C94ADB">
        <w:rPr>
          <w:rFonts w:cs="Arial"/>
          <w:lang w:val="en-US"/>
        </w:rPr>
        <w:t xml:space="preserve">]thiophene </w:t>
      </w:r>
      <w:r w:rsidR="009250ED" w:rsidRPr="00C94ADB">
        <w:rPr>
          <w:rFonts w:cs="Arial"/>
          <w:lang w:val="en-US"/>
        </w:rPr>
        <w:t>or dibenzo[</w:t>
      </w:r>
      <w:r w:rsidR="009250ED" w:rsidRPr="00C94ADB">
        <w:rPr>
          <w:rFonts w:cs="Arial"/>
          <w:i/>
          <w:lang w:val="en-US"/>
        </w:rPr>
        <w:t>b</w:t>
      </w:r>
      <w:r w:rsidR="009250ED" w:rsidRPr="00C94ADB">
        <w:rPr>
          <w:rFonts w:cs="Arial"/>
          <w:lang w:val="en-US"/>
        </w:rPr>
        <w:t>,</w:t>
      </w:r>
      <w:r w:rsidR="009250ED" w:rsidRPr="00C94ADB">
        <w:rPr>
          <w:rFonts w:cs="Arial"/>
          <w:i/>
          <w:lang w:val="en-US"/>
        </w:rPr>
        <w:t>d</w:t>
      </w:r>
      <w:r w:rsidR="009250ED" w:rsidRPr="00C94ADB">
        <w:rPr>
          <w:rFonts w:cs="Arial"/>
          <w:lang w:val="en-US"/>
        </w:rPr>
        <w:t>]thiophene</w:t>
      </w:r>
      <w:r w:rsidR="000443D5" w:rsidRPr="00C94ADB">
        <w:rPr>
          <w:rFonts w:cs="Arial"/>
          <w:lang w:val="en-US"/>
        </w:rPr>
        <w:t xml:space="preserve"> sulfone</w:t>
      </w:r>
      <w:r w:rsidR="009250ED" w:rsidRPr="00C94ADB">
        <w:rPr>
          <w:rFonts w:cs="Arial"/>
          <w:lang w:val="en-US"/>
        </w:rPr>
        <w:t xml:space="preserve"> </w:t>
      </w:r>
      <w:r w:rsidR="00665D4A" w:rsidRPr="00C94ADB">
        <w:rPr>
          <w:rFonts w:cs="Arial"/>
          <w:lang w:val="en-US"/>
        </w:rPr>
        <w:t xml:space="preserve">units </w:t>
      </w:r>
      <w:r w:rsidR="009250ED" w:rsidRPr="00C94ADB">
        <w:rPr>
          <w:rFonts w:cs="Arial"/>
          <w:lang w:val="en-US"/>
        </w:rPr>
        <w:t>greatly enhances the H</w:t>
      </w:r>
      <w:r w:rsidR="009250ED" w:rsidRPr="00C94ADB">
        <w:rPr>
          <w:rFonts w:cs="Arial"/>
          <w:vertAlign w:val="subscript"/>
          <w:lang w:val="en-US"/>
        </w:rPr>
        <w:t>2</w:t>
      </w:r>
      <w:r w:rsidR="009250ED" w:rsidRPr="00C94ADB">
        <w:rPr>
          <w:rFonts w:cs="Arial"/>
          <w:lang w:val="en-US"/>
        </w:rPr>
        <w:t xml:space="preserve"> </w:t>
      </w:r>
      <w:r w:rsidR="00450D70" w:rsidRPr="00C94ADB">
        <w:rPr>
          <w:rFonts w:cs="Arial"/>
          <w:lang w:val="en-US"/>
        </w:rPr>
        <w:t xml:space="preserve">evolution </w:t>
      </w:r>
      <w:r w:rsidR="009250ED" w:rsidRPr="00C94ADB">
        <w:rPr>
          <w:rFonts w:cs="Arial"/>
          <w:lang w:val="en-US"/>
        </w:rPr>
        <w:t>rate. The most active dibenzo[</w:t>
      </w:r>
      <w:r w:rsidR="009250ED" w:rsidRPr="00C94ADB">
        <w:rPr>
          <w:rFonts w:cs="Arial"/>
          <w:i/>
          <w:lang w:val="en-US"/>
        </w:rPr>
        <w:t>b</w:t>
      </w:r>
      <w:r w:rsidR="009250ED" w:rsidRPr="00C94ADB">
        <w:rPr>
          <w:rFonts w:cs="Arial"/>
          <w:lang w:val="en-US"/>
        </w:rPr>
        <w:t>,</w:t>
      </w:r>
      <w:r w:rsidR="009250ED" w:rsidRPr="00C94ADB">
        <w:rPr>
          <w:rFonts w:cs="Arial"/>
          <w:i/>
          <w:lang w:val="en-US"/>
        </w:rPr>
        <w:t>d</w:t>
      </w:r>
      <w:r w:rsidR="009250ED" w:rsidRPr="00C94ADB">
        <w:rPr>
          <w:rFonts w:cs="Arial"/>
          <w:lang w:val="en-US"/>
        </w:rPr>
        <w:t xml:space="preserve">]thiophene </w:t>
      </w:r>
      <w:r w:rsidR="000443D5" w:rsidRPr="00C94ADB">
        <w:rPr>
          <w:rFonts w:cs="Arial"/>
          <w:lang w:val="en-US"/>
        </w:rPr>
        <w:t xml:space="preserve">sulfone </w:t>
      </w:r>
      <w:r w:rsidR="009250ED" w:rsidRPr="00C94ADB">
        <w:rPr>
          <w:rFonts w:cs="Arial"/>
          <w:lang w:val="en-US"/>
        </w:rPr>
        <w:t xml:space="preserve">co-polymer has </w:t>
      </w:r>
      <w:r w:rsidR="00EE773C" w:rsidRPr="00C94ADB">
        <w:rPr>
          <w:rFonts w:cs="Arial"/>
          <w:lang w:val="en-US"/>
        </w:rPr>
        <w:t xml:space="preserve">a </w:t>
      </w:r>
      <w:r w:rsidR="009250ED" w:rsidRPr="00C94ADB">
        <w:rPr>
          <w:rFonts w:cs="Arial"/>
          <w:lang w:val="en-US"/>
        </w:rPr>
        <w:t>UV photocatalytic activity that rivals TiO</w:t>
      </w:r>
      <w:r w:rsidR="009250ED" w:rsidRPr="00C94ADB">
        <w:rPr>
          <w:rFonts w:cs="Arial"/>
          <w:vertAlign w:val="subscript"/>
          <w:lang w:val="en-US"/>
        </w:rPr>
        <w:t>2</w:t>
      </w:r>
      <w:r w:rsidR="009250ED" w:rsidRPr="00C94ADB">
        <w:rPr>
          <w:rFonts w:cs="Arial"/>
          <w:lang w:val="en-US"/>
        </w:rPr>
        <w:t xml:space="preserve">, but is much more active under visible light. The </w:t>
      </w:r>
      <w:r w:rsidR="00450D70" w:rsidRPr="00C94ADB">
        <w:rPr>
          <w:rFonts w:cs="Arial"/>
          <w:lang w:val="en-US"/>
        </w:rPr>
        <w:t>dibenzo[</w:t>
      </w:r>
      <w:r w:rsidR="00450D70" w:rsidRPr="00C94ADB">
        <w:rPr>
          <w:rFonts w:cs="Arial"/>
          <w:i/>
          <w:lang w:val="en-US"/>
        </w:rPr>
        <w:t>b</w:t>
      </w:r>
      <w:r w:rsidR="00450D70" w:rsidRPr="00C94ADB">
        <w:rPr>
          <w:rFonts w:cs="Arial"/>
          <w:lang w:val="en-US"/>
        </w:rPr>
        <w:t>,</w:t>
      </w:r>
      <w:r w:rsidR="00450D70" w:rsidRPr="00C94ADB">
        <w:rPr>
          <w:rFonts w:cs="Arial"/>
          <w:i/>
          <w:lang w:val="en-US"/>
        </w:rPr>
        <w:t>d</w:t>
      </w:r>
      <w:r w:rsidR="00450D70" w:rsidRPr="00C94ADB">
        <w:rPr>
          <w:rFonts w:cs="Arial"/>
          <w:lang w:val="en-US"/>
        </w:rPr>
        <w:t xml:space="preserve">]thiophene </w:t>
      </w:r>
      <w:r w:rsidR="000443D5" w:rsidRPr="00C94ADB">
        <w:rPr>
          <w:rFonts w:cs="Arial"/>
          <w:lang w:val="en-US"/>
        </w:rPr>
        <w:t xml:space="preserve">sulfone </w:t>
      </w:r>
      <w:r w:rsidR="009250ED" w:rsidRPr="00C94ADB">
        <w:rPr>
          <w:rFonts w:cs="Arial"/>
          <w:lang w:val="en-US"/>
        </w:rPr>
        <w:t xml:space="preserve">co-polymer </w:t>
      </w:r>
      <w:r w:rsidR="000443D5" w:rsidRPr="00C94ADB">
        <w:rPr>
          <w:rFonts w:cs="Arial"/>
          <w:lang w:val="en-US"/>
        </w:rPr>
        <w:t xml:space="preserve">has an apparent quantum yield of </w:t>
      </w:r>
      <w:r w:rsidR="00C57DBB" w:rsidRPr="00C94ADB">
        <w:rPr>
          <w:rFonts w:cs="Arial"/>
          <w:lang w:val="en-US"/>
        </w:rPr>
        <w:t>2.</w:t>
      </w:r>
      <w:r w:rsidR="000443D5" w:rsidRPr="00C94ADB">
        <w:rPr>
          <w:rFonts w:cs="Arial"/>
          <w:lang w:val="en-US"/>
        </w:rPr>
        <w:t xml:space="preserve">3% </w:t>
      </w:r>
      <w:r w:rsidR="009250ED" w:rsidRPr="00C94ADB">
        <w:rPr>
          <w:rFonts w:cs="Arial"/>
          <w:lang w:val="en-US"/>
        </w:rPr>
        <w:t>at</w:t>
      </w:r>
      <w:r w:rsidR="000443D5" w:rsidRPr="00C94ADB">
        <w:rPr>
          <w:rFonts w:cs="Arial"/>
          <w:lang w:val="en-US"/>
        </w:rPr>
        <w:t xml:space="preserve"> </w:t>
      </w:r>
      <w:r w:rsidR="009250ED" w:rsidRPr="00C94ADB">
        <w:rPr>
          <w:rFonts w:cs="Arial"/>
          <w:lang w:val="en-US"/>
        </w:rPr>
        <w:t xml:space="preserve">420 nm, as compared to </w:t>
      </w:r>
      <w:r w:rsidR="000443D5" w:rsidRPr="00C94ADB">
        <w:rPr>
          <w:rFonts w:cs="Arial"/>
          <w:lang w:val="en-US"/>
        </w:rPr>
        <w:t>0</w:t>
      </w:r>
      <w:r w:rsidR="00C57DBB" w:rsidRPr="00C94ADB">
        <w:rPr>
          <w:rFonts w:cs="Arial"/>
          <w:lang w:val="en-US"/>
        </w:rPr>
        <w:t>.</w:t>
      </w:r>
      <w:r w:rsidR="000443D5" w:rsidRPr="00C94ADB">
        <w:rPr>
          <w:rFonts w:cs="Arial"/>
          <w:lang w:val="en-US"/>
        </w:rPr>
        <w:t xml:space="preserve">1% </w:t>
      </w:r>
      <w:r w:rsidR="009250ED" w:rsidRPr="00C94ADB">
        <w:rPr>
          <w:rFonts w:cs="Arial"/>
          <w:lang w:val="en-US"/>
        </w:rPr>
        <w:t xml:space="preserve">for platinized </w:t>
      </w:r>
      <w:r w:rsidR="000443D5" w:rsidRPr="00C94ADB">
        <w:rPr>
          <w:rFonts w:cs="Arial"/>
          <w:lang w:val="en-US"/>
        </w:rPr>
        <w:t xml:space="preserve">commercial pristine </w:t>
      </w:r>
      <w:r w:rsidR="009250ED" w:rsidRPr="00C94ADB">
        <w:rPr>
          <w:rFonts w:cs="Arial"/>
          <w:lang w:val="en-US"/>
        </w:rPr>
        <w:t>carbon nitride.</w:t>
      </w:r>
    </w:p>
    <w:p w14:paraId="0EE35C0B" w14:textId="77777777" w:rsidR="009250ED" w:rsidRPr="00C94ADB" w:rsidRDefault="009250ED" w:rsidP="009250ED">
      <w:pPr>
        <w:pStyle w:val="P1"/>
        <w:rPr>
          <w:rFonts w:cs="Arial"/>
        </w:rPr>
      </w:pPr>
      <w:r w:rsidRPr="00C94ADB">
        <w:rPr>
          <w:rFonts w:cs="Arial"/>
        </w:rPr>
        <w:t>There has been a surge of interest recently in light-driven water splitting using organic rather than inorganic photocatalysts. The most widely investigated organic material is graphitic carbon nitride (g-C</w:t>
      </w:r>
      <w:r w:rsidRPr="00C94ADB">
        <w:rPr>
          <w:rFonts w:cs="Arial"/>
          <w:vertAlign w:val="subscript"/>
        </w:rPr>
        <w:t>3</w:t>
      </w:r>
      <w:r w:rsidRPr="00C94ADB">
        <w:rPr>
          <w:rFonts w:cs="Arial"/>
        </w:rPr>
        <w:t>N</w:t>
      </w:r>
      <w:r w:rsidRPr="00C94ADB">
        <w:rPr>
          <w:rFonts w:cs="Arial"/>
          <w:vertAlign w:val="subscript"/>
        </w:rPr>
        <w:t>4</w:t>
      </w:r>
      <w:r w:rsidR="00450D70" w:rsidRPr="00C94ADB">
        <w:rPr>
          <w:rFonts w:cs="Arial"/>
        </w:rPr>
        <w:t>)</w:t>
      </w:r>
      <w:r w:rsidRPr="00C94ADB">
        <w:rPr>
          <w:rFonts w:cs="Arial"/>
        </w:rPr>
        <w:t>.</w:t>
      </w:r>
      <w:r w:rsidR="0062494F" w:rsidRPr="00C94ADB">
        <w:rPr>
          <w:rFonts w:cs="Arial"/>
          <w:noProof/>
          <w:vertAlign w:val="superscript"/>
        </w:rPr>
        <w:t>[1–6]</w:t>
      </w:r>
      <w:r w:rsidRPr="00C94ADB">
        <w:rPr>
          <w:rFonts w:cs="Arial"/>
        </w:rPr>
        <w:t xml:space="preserve"> A few other nitrogen-containing organic polymers were also studied, such as doped poly(triazine imide)s,</w:t>
      </w:r>
      <w:r w:rsidR="0062494F" w:rsidRPr="00C94ADB">
        <w:rPr>
          <w:rFonts w:cs="Arial"/>
          <w:noProof/>
          <w:vertAlign w:val="superscript"/>
        </w:rPr>
        <w:t>[7]</w:t>
      </w:r>
      <w:r w:rsidRPr="00C94ADB">
        <w:rPr>
          <w:rFonts w:cs="Arial"/>
        </w:rPr>
        <w:t xml:space="preserve"> heptazine networks,</w:t>
      </w:r>
      <w:r w:rsidR="0062494F" w:rsidRPr="00C94ADB">
        <w:rPr>
          <w:rFonts w:cs="Arial"/>
          <w:noProof/>
          <w:vertAlign w:val="superscript"/>
        </w:rPr>
        <w:t>[8]</w:t>
      </w:r>
      <w:r w:rsidR="0062494F" w:rsidRPr="00C94ADB">
        <w:rPr>
          <w:rFonts w:cs="Arial"/>
        </w:rPr>
        <w:t xml:space="preserve"> poly(azomethine)s,</w:t>
      </w:r>
      <w:r w:rsidR="0062494F" w:rsidRPr="00C94ADB">
        <w:rPr>
          <w:rFonts w:cs="Arial"/>
          <w:noProof/>
          <w:vertAlign w:val="superscript"/>
        </w:rPr>
        <w:t>[9]</w:t>
      </w:r>
      <w:r w:rsidRPr="00C94ADB">
        <w:rPr>
          <w:rFonts w:cs="Arial"/>
        </w:rPr>
        <w:t xml:space="preserve"> hydrazone-based covalent organic frameworks,</w:t>
      </w:r>
      <w:r w:rsidR="0062494F" w:rsidRPr="00C94ADB">
        <w:rPr>
          <w:rFonts w:cs="Arial"/>
          <w:noProof/>
          <w:vertAlign w:val="superscript"/>
        </w:rPr>
        <w:t>[10]</w:t>
      </w:r>
      <w:r w:rsidRPr="00C94ADB">
        <w:rPr>
          <w:rFonts w:cs="Arial"/>
        </w:rPr>
        <w:t xml:space="preserve"> </w:t>
      </w:r>
      <w:r w:rsidR="008842C2" w:rsidRPr="00C94ADB">
        <w:rPr>
          <w:rFonts w:cs="Arial"/>
        </w:rPr>
        <w:t>triazine-based frameworks,</w:t>
      </w:r>
      <w:r w:rsidR="008842C2" w:rsidRPr="00C94ADB">
        <w:rPr>
          <w:rFonts w:cs="Arial"/>
          <w:noProof/>
          <w:vertAlign w:val="superscript"/>
        </w:rPr>
        <w:t>[11,12]</w:t>
      </w:r>
      <w:r w:rsidR="008842C2" w:rsidRPr="00C94ADB">
        <w:rPr>
          <w:rFonts w:cs="Arial"/>
        </w:rPr>
        <w:t xml:space="preserve"> triphenyl-azine frameworks,</w:t>
      </w:r>
      <w:r w:rsidR="008842C2" w:rsidRPr="00C94ADB">
        <w:rPr>
          <w:rFonts w:cs="Arial"/>
          <w:noProof/>
          <w:vertAlign w:val="superscript"/>
        </w:rPr>
        <w:t>[13]</w:t>
      </w:r>
      <w:r w:rsidR="008842C2" w:rsidRPr="00C94ADB">
        <w:rPr>
          <w:rFonts w:cs="Arial"/>
        </w:rPr>
        <w:t xml:space="preserve"> </w:t>
      </w:r>
      <w:r w:rsidRPr="00C94ADB">
        <w:rPr>
          <w:rFonts w:cs="Arial"/>
        </w:rPr>
        <w:t>and an organic push-pull polymer network/rutile composite.</w:t>
      </w:r>
      <w:r w:rsidR="008842C2" w:rsidRPr="00C94ADB">
        <w:rPr>
          <w:rFonts w:cs="Arial"/>
          <w:noProof/>
          <w:vertAlign w:val="superscript"/>
        </w:rPr>
        <w:t>[14]</w:t>
      </w:r>
      <w:r w:rsidRPr="00C94ADB">
        <w:rPr>
          <w:rFonts w:cs="Arial"/>
        </w:rPr>
        <w:t xml:space="preserve"> We recently showed that conjugated microporous polymers (CMPs) also have potential for photocatalytic hydrogen evolution, and in particular that their synthesis lends itself to fine control over photo-physical properties, such as the optical gap.</w:t>
      </w:r>
      <w:r w:rsidR="008842C2" w:rsidRPr="00C94ADB">
        <w:rPr>
          <w:rFonts w:cs="Arial"/>
          <w:noProof/>
          <w:vertAlign w:val="superscript"/>
        </w:rPr>
        <w:t>[15,16]</w:t>
      </w:r>
    </w:p>
    <w:p w14:paraId="434ECC84" w14:textId="77777777" w:rsidR="009250ED" w:rsidRPr="00C94ADB" w:rsidRDefault="009250ED" w:rsidP="00A65ED3">
      <w:pPr>
        <w:pStyle w:val="P1"/>
        <w:ind w:firstLine="180"/>
        <w:rPr>
          <w:rFonts w:cs="Arial"/>
        </w:rPr>
      </w:pPr>
      <w:r w:rsidRPr="00C94ADB">
        <w:rPr>
          <w:rFonts w:cs="Arial"/>
        </w:rPr>
        <w:t>Linear conjugated organic polymers are relatively unexplored for light-driven water splitting, despite the wealth of knowledge that exists in terms of solar energy harvesting in organic photovoltaics. Poly(</w:t>
      </w:r>
      <w:r w:rsidRPr="00C94ADB">
        <w:rPr>
          <w:rFonts w:cs="Arial"/>
          <w:i/>
        </w:rPr>
        <w:t>p</w:t>
      </w:r>
      <w:r w:rsidRPr="00C94ADB">
        <w:rPr>
          <w:rFonts w:cs="Arial"/>
        </w:rPr>
        <w:t>-phenylene) loaded with ruthenium was reported to have modest photocatalytic activity under &gt;</w:t>
      </w:r>
      <w:r w:rsidR="00450D70" w:rsidRPr="00C94ADB">
        <w:rPr>
          <w:rFonts w:cs="Arial"/>
        </w:rPr>
        <w:t> </w:t>
      </w:r>
      <w:r w:rsidRPr="00C94ADB">
        <w:rPr>
          <w:rFonts w:cs="Arial"/>
        </w:rPr>
        <w:t>290</w:t>
      </w:r>
      <w:r w:rsidR="00450D70" w:rsidRPr="00C94ADB">
        <w:rPr>
          <w:rFonts w:cs="Arial"/>
        </w:rPr>
        <w:t> </w:t>
      </w:r>
      <w:r w:rsidRPr="00C94ADB">
        <w:rPr>
          <w:rFonts w:cs="Arial"/>
        </w:rPr>
        <w:t>nm irradiation, and low activity when visible irradiation (&gt;</w:t>
      </w:r>
      <w:r w:rsidR="00450D70" w:rsidRPr="00C94ADB">
        <w:rPr>
          <w:rFonts w:cs="Arial"/>
        </w:rPr>
        <w:t> </w:t>
      </w:r>
      <w:r w:rsidRPr="00C94ADB">
        <w:rPr>
          <w:rFonts w:cs="Arial"/>
        </w:rPr>
        <w:t>400</w:t>
      </w:r>
      <w:r w:rsidR="00450D70" w:rsidRPr="00C94ADB">
        <w:rPr>
          <w:rFonts w:cs="Arial"/>
        </w:rPr>
        <w:t> </w:t>
      </w:r>
      <w:r w:rsidRPr="00C94ADB">
        <w:rPr>
          <w:rFonts w:cs="Arial"/>
        </w:rPr>
        <w:t>nm) was used.</w:t>
      </w:r>
      <w:r w:rsidR="008842C2" w:rsidRPr="00C94ADB">
        <w:rPr>
          <w:rFonts w:cs="Arial"/>
          <w:noProof/>
          <w:vertAlign w:val="superscript"/>
        </w:rPr>
        <w:t>[17]</w:t>
      </w:r>
      <w:r w:rsidRPr="00C94ADB">
        <w:rPr>
          <w:rFonts w:cs="Arial"/>
        </w:rPr>
        <w:t xml:space="preserve"> Poly(3-hexylthiophene) (P3HT) was used in a composite with g-C</w:t>
      </w:r>
      <w:r w:rsidRPr="00C94ADB">
        <w:rPr>
          <w:rFonts w:cs="Arial"/>
          <w:vertAlign w:val="subscript"/>
        </w:rPr>
        <w:t>3</w:t>
      </w:r>
      <w:r w:rsidRPr="00C94ADB">
        <w:rPr>
          <w:rFonts w:cs="Arial"/>
        </w:rPr>
        <w:t>N</w:t>
      </w:r>
      <w:r w:rsidRPr="00C94ADB">
        <w:rPr>
          <w:rFonts w:cs="Arial"/>
          <w:vertAlign w:val="subscript"/>
        </w:rPr>
        <w:t>4</w:t>
      </w:r>
      <w:r w:rsidRPr="00C94ADB">
        <w:rPr>
          <w:rFonts w:cs="Arial"/>
        </w:rPr>
        <w:t>,</w:t>
      </w:r>
      <w:r w:rsidR="008842C2" w:rsidRPr="00C94ADB">
        <w:rPr>
          <w:rFonts w:cs="Arial"/>
          <w:noProof/>
          <w:vertAlign w:val="superscript"/>
        </w:rPr>
        <w:t>[18]</w:t>
      </w:r>
      <w:r w:rsidRPr="00C94ADB">
        <w:rPr>
          <w:rFonts w:cs="Arial"/>
        </w:rPr>
        <w:t xml:space="preserve"> but platinum-loaded P3HT by itself showed very little hydrogen evolution under &gt;</w:t>
      </w:r>
      <w:r w:rsidR="00450D70" w:rsidRPr="00C94ADB">
        <w:rPr>
          <w:rFonts w:cs="Arial"/>
        </w:rPr>
        <w:t> </w:t>
      </w:r>
      <w:r w:rsidRPr="00C94ADB">
        <w:rPr>
          <w:rFonts w:cs="Arial"/>
        </w:rPr>
        <w:t>400</w:t>
      </w:r>
      <w:r w:rsidR="00450D70" w:rsidRPr="00C94ADB">
        <w:rPr>
          <w:rFonts w:cs="Arial"/>
        </w:rPr>
        <w:t> </w:t>
      </w:r>
      <w:r w:rsidRPr="00C94ADB">
        <w:rPr>
          <w:rFonts w:cs="Arial"/>
        </w:rPr>
        <w:t>nm irradiation.</w:t>
      </w:r>
      <w:r w:rsidR="008842C2" w:rsidRPr="00C94ADB">
        <w:rPr>
          <w:rFonts w:cs="Arial"/>
          <w:noProof/>
          <w:vertAlign w:val="superscript"/>
        </w:rPr>
        <w:t>[17,18]</w:t>
      </w:r>
      <w:r w:rsidRPr="00C94ADB">
        <w:rPr>
          <w:rFonts w:cs="Arial"/>
        </w:rPr>
        <w:t xml:space="preserve"> Polyaniline was also studied in a composite with CdS,</w:t>
      </w:r>
      <w:r w:rsidR="008842C2" w:rsidRPr="00C94ADB">
        <w:rPr>
          <w:rFonts w:cs="Arial"/>
          <w:noProof/>
          <w:vertAlign w:val="superscript"/>
        </w:rPr>
        <w:t>[19]</w:t>
      </w:r>
      <w:r w:rsidRPr="00C94ADB">
        <w:rPr>
          <w:rFonts w:cs="Arial"/>
          <w:vertAlign w:val="superscript"/>
        </w:rPr>
        <w:t xml:space="preserve"> </w:t>
      </w:r>
      <w:r w:rsidRPr="00C94ADB">
        <w:rPr>
          <w:rFonts w:cs="Arial"/>
        </w:rPr>
        <w:t xml:space="preserve">which is an active (but unstable) inorganic catalyst for visible </w:t>
      </w:r>
      <w:r w:rsidR="00665D4A" w:rsidRPr="00C94ADB">
        <w:rPr>
          <w:rFonts w:cs="Arial"/>
        </w:rPr>
        <w:t>light-</w:t>
      </w:r>
      <w:r w:rsidRPr="00C94ADB">
        <w:rPr>
          <w:rFonts w:cs="Arial"/>
        </w:rPr>
        <w:t>driven hydrogen evolution.</w:t>
      </w:r>
    </w:p>
    <w:p w14:paraId="4108B879" w14:textId="77777777" w:rsidR="006D4F77" w:rsidRPr="00C94ADB" w:rsidRDefault="004E375E" w:rsidP="00A65ED3">
      <w:pPr>
        <w:pStyle w:val="P1"/>
        <w:ind w:firstLine="180"/>
        <w:rPr>
          <w:rFonts w:cs="Arial"/>
        </w:rPr>
      </w:pPr>
      <w:r w:rsidRPr="00C94ADB">
        <w:rPr>
          <w:rFonts w:cs="Arial"/>
          <w:noProof/>
          <w:lang w:eastAsia="en-US"/>
        </w:rPr>
        <mc:AlternateContent>
          <mc:Choice Requires="wps">
            <w:drawing>
              <wp:anchor distT="180340" distB="0" distL="114300" distR="180340" simplePos="0" relativeHeight="251659776" behindDoc="0" locked="1" layoutInCell="1" allowOverlap="1" wp14:anchorId="455F8102" wp14:editId="7BE506DC">
                <wp:simplePos x="0" y="0"/>
                <wp:positionH relativeFrom="column">
                  <wp:posOffset>-76200</wp:posOffset>
                </wp:positionH>
                <wp:positionV relativeFrom="margin">
                  <wp:posOffset>7728585</wp:posOffset>
                </wp:positionV>
                <wp:extent cx="3150235" cy="1691640"/>
                <wp:effectExtent l="0" t="0" r="0" b="0"/>
                <wp:wrapSquare wrapText="r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691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FBFB4" w14:textId="77777777" w:rsidR="00CD5D29" w:rsidRPr="00F84F20" w:rsidRDefault="00CD5D29" w:rsidP="0002011F">
                            <w:pPr>
                              <w:pStyle w:val="Adress"/>
                              <w:pBdr>
                                <w:top w:val="single" w:sz="4" w:space="1" w:color="000000"/>
                              </w:pBdr>
                              <w:rPr>
                                <w:lang w:val="en-GB"/>
                              </w:rPr>
                            </w:pPr>
                            <w:r w:rsidRPr="00BA06A0">
                              <w:rPr>
                                <w:lang w:val="en-GB"/>
                              </w:rPr>
                              <w:t>[a]</w:t>
                            </w:r>
                            <w:r w:rsidRPr="00BA06A0">
                              <w:rPr>
                                <w:lang w:val="en-GB"/>
                              </w:rPr>
                              <w:tab/>
                            </w:r>
                            <w:r w:rsidRPr="00F84F20">
                              <w:rPr>
                                <w:lang w:val="en-GB"/>
                              </w:rPr>
                              <w:t>Dr. R. S. Sprick, Dr. B. Bonillo, R. Clowes, N. J. Brownbill, Dr. B. J. Slater, Dr. F. Blanc, Prof. D. J. Adams, Prof. A. I. Cooper, Department of Chemistry and Centre for Materials Discovery, University of Liverpool, Crown Street, Liverpool, L69 7ZD, UK. E-mail: djadams@liv.ac.uk, aicooper@liv.ac.uk</w:t>
                            </w:r>
                          </w:p>
                          <w:p w14:paraId="0E6A0E5F" w14:textId="77777777" w:rsidR="00CD5D29" w:rsidRPr="00F84F20" w:rsidRDefault="00CD5D29" w:rsidP="00004C9E">
                            <w:pPr>
                              <w:pStyle w:val="Adress"/>
                              <w:rPr>
                                <w:lang w:val="en-GB"/>
                              </w:rPr>
                            </w:pPr>
                            <w:r w:rsidRPr="00F84F20">
                              <w:rPr>
                                <w:lang w:val="en-GB"/>
                              </w:rPr>
                              <w:t>[b]</w:t>
                            </w:r>
                            <w:r w:rsidRPr="00F84F20">
                              <w:rPr>
                                <w:lang w:val="en-GB"/>
                              </w:rPr>
                              <w:tab/>
                              <w:t>P. Guiglion, Dr. M A. Zwijnenburg, Department of Chemistry, University College London, 20 Gordon Street, London WC1H 0AJ, UK.</w:t>
                            </w:r>
                          </w:p>
                          <w:p w14:paraId="15B60BE9" w14:textId="77777777" w:rsidR="00CD5D29" w:rsidRPr="00F84F20" w:rsidRDefault="00CD5D29">
                            <w:pPr>
                              <w:pStyle w:val="Adress"/>
                              <w:rPr>
                                <w:lang w:val="en-GB"/>
                              </w:rPr>
                            </w:pPr>
                            <w:r w:rsidRPr="00F84F20">
                              <w:rPr>
                                <w:lang w:val="en-GB"/>
                              </w:rPr>
                              <w:t>[c]</w:t>
                            </w:r>
                            <w:r w:rsidRPr="00F84F20">
                              <w:rPr>
                                <w:lang w:val="en-GB"/>
                              </w:rPr>
                              <w:tab/>
                              <w:t xml:space="preserve">Dr. F. Blanc, </w:t>
                            </w:r>
                            <w:r w:rsidRPr="00F84F20">
                              <w:t>Stephenson Institute for Renewable Energy, University of Liverpool, Crown Street, Liverpool, L69 7ZD</w:t>
                            </w:r>
                            <w:r w:rsidRPr="00F84F20">
                              <w:rPr>
                                <w:lang w:val="en-GB"/>
                              </w:rPr>
                              <w:t>, UK.</w:t>
                            </w:r>
                          </w:p>
                          <w:p w14:paraId="03F3A25F" w14:textId="77777777" w:rsidR="00CD5D29" w:rsidRPr="007E3A49" w:rsidRDefault="00CD5D29" w:rsidP="0057477B">
                            <w:pPr>
                              <w:pStyle w:val="Footnote"/>
                              <w:ind w:left="0" w:firstLine="0"/>
                            </w:pPr>
                            <w:r w:rsidRPr="00F84F20">
                              <w:t>Supporting information for this article is given via a link at the end</w:t>
                            </w:r>
                            <w:r>
                              <w:t xml:space="preserve"> of the document.</w:t>
                            </w:r>
                          </w:p>
                          <w:p w14:paraId="34A8B6E2" w14:textId="77777777" w:rsidR="00CD5D29" w:rsidRDefault="00CD5D29" w:rsidP="0057477B">
                            <w:pPr>
                              <w:pStyle w:val="Adress"/>
                              <w:pBdr>
                                <w:top w:val="single" w:sz="4" w:space="1" w:color="000000"/>
                              </w:pBdr>
                              <w:ind w:left="0" w:firstLine="0"/>
                              <w:rPr>
                                <w:lang w:val="en-GB"/>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left:0;text-align:left;margin-left:-5.95pt;margin-top:608.55pt;width:248.05pt;height:133.2pt;z-index:251659776;visibility:visible;mso-wrap-style:square;mso-width-percent:0;mso-height-percent:0;mso-wrap-distance-left:9pt;mso-wrap-distance-top:14.2pt;mso-wrap-distance-right:14.2pt;mso-wrap-distance-bottom:0;mso-position-horizontal:absolute;mso-position-horizontal-relative:text;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" stroked="f">
                <v:fill opacity="0"/>
                <v:textbox style="mso-fit-shape-to-text:t">
                  <w:txbxContent>
                    <w:p w14:paraId="20FFBFB4" w14:textId="77777777" w:rsidR="00CD5D29" w:rsidRPr="00F84F20" w:rsidRDefault="00CD5D29" w:rsidP="0002011F">
                      <w:pPr>
                        <w:pStyle w:val="Adress"/>
                        <w:pBdr>
                          <w:top w:val="single" w:sz="4" w:space="1" w:color="000000"/>
                        </w:pBdr>
                        <w:rPr>
                          <w:lang w:val="en-GB"/>
                        </w:rPr>
                      </w:pPr>
                      <w:r w:rsidRPr="00BA06A0">
                        <w:rPr>
                          <w:lang w:val="en-GB"/>
                        </w:rPr>
                        <w:t>[a]</w:t>
                      </w:r>
                      <w:r w:rsidRPr="00BA06A0">
                        <w:rPr>
                          <w:lang w:val="en-GB"/>
                        </w:rPr>
                        <w:tab/>
                      </w:r>
                      <w:r w:rsidRPr="00F84F20">
                        <w:rPr>
                          <w:lang w:val="en-GB"/>
                        </w:rPr>
                        <w:t>Dr. R. S. Sprick, Dr. B. Bonillo, R. Clowes, N. J. Brownbill, Dr. B. J. Slater, Dr. F. Blanc, Prof. D. J. Adams, Prof. A. I. Cooper, Department of Chemistry and Centre for Materials Discovery, University of Liverpool, Crown Street, Liverpool, L69 7ZD, UK. E-mail: djadams@liv.ac.uk, aicooper@liv.ac.uk</w:t>
                      </w:r>
                    </w:p>
                    <w:p w14:paraId="0E6A0E5F" w14:textId="77777777" w:rsidR="00CD5D29" w:rsidRPr="00F84F20" w:rsidRDefault="00CD5D29" w:rsidP="00004C9E">
                      <w:pPr>
                        <w:pStyle w:val="Adress"/>
                        <w:rPr>
                          <w:lang w:val="en-GB"/>
                        </w:rPr>
                      </w:pPr>
                      <w:r w:rsidRPr="00F84F20">
                        <w:rPr>
                          <w:lang w:val="en-GB"/>
                        </w:rPr>
                        <w:t>[b]</w:t>
                      </w:r>
                      <w:r w:rsidRPr="00F84F20">
                        <w:rPr>
                          <w:lang w:val="en-GB"/>
                        </w:rPr>
                        <w:tab/>
                        <w:t>P. Guiglion, Dr. M A. Zwijnenburg, Department of Chemistry, University College London, 20 Gordon Street, London WC1H 0AJ, UK.</w:t>
                      </w:r>
                    </w:p>
                    <w:p w14:paraId="15B60BE9" w14:textId="77777777" w:rsidR="00CD5D29" w:rsidRPr="00F84F20" w:rsidRDefault="00CD5D29">
                      <w:pPr>
                        <w:pStyle w:val="Adress"/>
                        <w:rPr>
                          <w:lang w:val="en-GB"/>
                        </w:rPr>
                      </w:pPr>
                      <w:r w:rsidRPr="00F84F20">
                        <w:rPr>
                          <w:lang w:val="en-GB"/>
                        </w:rPr>
                        <w:t>[c]</w:t>
                      </w:r>
                      <w:r w:rsidRPr="00F84F20">
                        <w:rPr>
                          <w:lang w:val="en-GB"/>
                        </w:rPr>
                        <w:tab/>
                        <w:t xml:space="preserve">Dr. F. Blanc, </w:t>
                      </w:r>
                      <w:r w:rsidRPr="00F84F20">
                        <w:t>Stephenson Institute for Renewable Energy, University of Liverpool, Crown Street, Liverpool, L69 7ZD</w:t>
                      </w:r>
                      <w:r w:rsidRPr="00F84F20">
                        <w:rPr>
                          <w:lang w:val="en-GB"/>
                        </w:rPr>
                        <w:t>, UK.</w:t>
                      </w:r>
                    </w:p>
                    <w:p w14:paraId="03F3A25F" w14:textId="77777777" w:rsidR="00CD5D29" w:rsidRPr="007E3A49" w:rsidRDefault="00CD5D29" w:rsidP="0057477B">
                      <w:pPr>
                        <w:pStyle w:val="Footnote"/>
                        <w:ind w:left="0" w:firstLine="0"/>
                      </w:pPr>
                      <w:r w:rsidRPr="00F84F20">
                        <w:t>Supporting information for this article is given via a link at the end</w:t>
                      </w:r>
                      <w:r>
                        <w:t xml:space="preserve"> of the document.</w:t>
                      </w:r>
                    </w:p>
                    <w:p w14:paraId="34A8B6E2" w14:textId="77777777" w:rsidR="00CD5D29" w:rsidRDefault="00CD5D29" w:rsidP="0057477B">
                      <w:pPr>
                        <w:pStyle w:val="Adress"/>
                        <w:pBdr>
                          <w:top w:val="single" w:sz="4" w:space="1" w:color="000000"/>
                        </w:pBdr>
                        <w:ind w:left="0" w:firstLine="0"/>
                        <w:rPr>
                          <w:lang w:val="en-GB"/>
                        </w:rPr>
                      </w:pPr>
                    </w:p>
                  </w:txbxContent>
                </v:textbox>
                <w10:wrap type="square" side="right" anchory="margin"/>
                <w10:anchorlock/>
              </v:shape>
            </w:pict>
          </mc:Fallback>
        </mc:AlternateContent>
      </w:r>
      <w:r w:rsidR="009250ED" w:rsidRPr="00C94ADB">
        <w:rPr>
          <w:rFonts w:cs="Arial"/>
        </w:rPr>
        <w:t>To achieve high water splitting activity, a photocatalyst must thermodynamically drive the proton reduction and water oxidation half reactions. Also, photoexcited state lifetimes and charge-carrier mobilities in the catalyst must be sufficient to allow the charge-carriers to migrate to the catalyst surface without recombination.</w:t>
      </w:r>
      <w:r w:rsidR="008842C2" w:rsidRPr="00C94ADB">
        <w:rPr>
          <w:rFonts w:cs="Arial"/>
          <w:noProof/>
          <w:vertAlign w:val="superscript"/>
        </w:rPr>
        <w:t>[20]</w:t>
      </w:r>
      <w:r w:rsidR="009250ED" w:rsidRPr="00C94ADB">
        <w:rPr>
          <w:rFonts w:cs="Arial"/>
        </w:rPr>
        <w:t xml:space="preserve"> Reduction in catalyst particle size or the introduction of porosity should in principle promote charge transport to the catalyst surface, and hence improve </w:t>
      </w:r>
      <w:r w:rsidR="009250ED" w:rsidRPr="00C94ADB">
        <w:rPr>
          <w:rFonts w:cs="Arial"/>
        </w:rPr>
        <w:lastRenderedPageBreak/>
        <w:t>photocatalytic activity. In practice, defects in small particles can act as recombination sites, and excess porosity may decrease charge carrier mobility to the point that this negates any increase in catalyst surface area.</w:t>
      </w:r>
    </w:p>
    <w:p w14:paraId="0699CF9B" w14:textId="77777777" w:rsidR="009250ED" w:rsidRPr="00C94ADB" w:rsidRDefault="00435272" w:rsidP="005B1BB6">
      <w:pPr>
        <w:spacing w:before="360"/>
        <w:jc w:val="center"/>
        <w:rPr>
          <w:rFonts w:ascii="Arial" w:hAnsi="Arial" w:cs="Arial"/>
          <w:sz w:val="14"/>
          <w:szCs w:val="16"/>
          <w:lang w:val="en-GB"/>
        </w:rPr>
      </w:pPr>
      <w:r w:rsidRPr="00C94ADB">
        <w:rPr>
          <w:rFonts w:ascii="Arial" w:hAnsi="Arial" w:cs="Arial"/>
          <w:noProof/>
          <w:sz w:val="14"/>
          <w:szCs w:val="16"/>
          <w:lang w:val="en-US" w:eastAsia="en-US"/>
        </w:rPr>
        <w:drawing>
          <wp:inline distT="0" distB="0" distL="0" distR="0" wp14:anchorId="1C451DA9" wp14:editId="228F9A10">
            <wp:extent cx="2817563" cy="1724400"/>
            <wp:effectExtent l="0" t="0" r="1905" b="9525"/>
            <wp:docPr id="8" name="Picture 8" descr="C:\Users\ssprick\Desktop\Sche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prick\Desktop\Schem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7563" cy="1724400"/>
                    </a:xfrm>
                    <a:prstGeom prst="rect">
                      <a:avLst/>
                    </a:prstGeom>
                    <a:noFill/>
                    <a:ln>
                      <a:noFill/>
                    </a:ln>
                  </pic:spPr>
                </pic:pic>
              </a:graphicData>
            </a:graphic>
          </wp:inline>
        </w:drawing>
      </w:r>
    </w:p>
    <w:p w14:paraId="55BE1206" w14:textId="77777777" w:rsidR="009250ED" w:rsidRPr="00C94ADB" w:rsidRDefault="009250ED" w:rsidP="009250ED">
      <w:pPr>
        <w:pStyle w:val="FigureCaption"/>
        <w:rPr>
          <w:rFonts w:cs="Arial"/>
        </w:rPr>
      </w:pPr>
      <w:r w:rsidRPr="00C94ADB">
        <w:rPr>
          <w:rFonts w:cs="Arial"/>
          <w:b/>
        </w:rPr>
        <w:t>Figure 1.</w:t>
      </w:r>
      <w:r w:rsidRPr="00C94ADB">
        <w:rPr>
          <w:rFonts w:cs="Arial"/>
        </w:rPr>
        <w:t xml:space="preserve"> Structures of conjugated phenylene oligomers (SM1–SM5) and poly(</w:t>
      </w:r>
      <w:r w:rsidR="00B560E5" w:rsidRPr="00C94ADB">
        <w:rPr>
          <w:rFonts w:cs="Arial"/>
          <w:i/>
        </w:rPr>
        <w:t>p</w:t>
      </w:r>
      <w:r w:rsidR="00B560E5" w:rsidRPr="00C94ADB">
        <w:rPr>
          <w:rFonts w:cs="Arial"/>
        </w:rPr>
        <w:t>-</w:t>
      </w:r>
      <w:r w:rsidRPr="00C94ADB">
        <w:rPr>
          <w:rFonts w:cs="Arial"/>
        </w:rPr>
        <w:t>phenylene)s (P1K, P1S; left) and their planarized fluorene-type analogs (FSM1–FSM3, P2–P</w:t>
      </w:r>
      <w:r w:rsidR="00435272" w:rsidRPr="00C94ADB">
        <w:rPr>
          <w:rFonts w:cs="Arial"/>
        </w:rPr>
        <w:t>7</w:t>
      </w:r>
      <w:r w:rsidRPr="00C94ADB">
        <w:rPr>
          <w:rFonts w:cs="Arial"/>
        </w:rPr>
        <w:t>; right).</w:t>
      </w:r>
    </w:p>
    <w:p w14:paraId="77C64A2A" w14:textId="2758442F" w:rsidR="009250ED" w:rsidRPr="00C94ADB" w:rsidRDefault="009250ED" w:rsidP="00A65ED3">
      <w:pPr>
        <w:pStyle w:val="P1"/>
        <w:ind w:firstLine="180"/>
        <w:rPr>
          <w:rFonts w:cs="Arial"/>
        </w:rPr>
      </w:pPr>
      <w:r w:rsidRPr="00C94ADB">
        <w:rPr>
          <w:rFonts w:cs="Arial"/>
        </w:rPr>
        <w:t xml:space="preserve">We first studied a series of </w:t>
      </w:r>
      <w:r w:rsidRPr="00C94ADB">
        <w:rPr>
          <w:rFonts w:cs="Arial"/>
          <w:i/>
        </w:rPr>
        <w:t>para</w:t>
      </w:r>
      <w:r w:rsidRPr="00C94ADB">
        <w:rPr>
          <w:rFonts w:cs="Arial"/>
        </w:rPr>
        <w:t>-substituted low molecular weight oligo(phenylene)s (SM1–SM5). In contrast to previous studies,</w:t>
      </w:r>
      <w:r w:rsidR="008842C2" w:rsidRPr="00C94ADB">
        <w:rPr>
          <w:rFonts w:cs="Arial"/>
          <w:noProof/>
          <w:vertAlign w:val="superscript"/>
        </w:rPr>
        <w:t>[21]</w:t>
      </w:r>
      <w:r w:rsidRPr="00C94ADB">
        <w:rPr>
          <w:rFonts w:cs="Arial"/>
        </w:rPr>
        <w:t xml:space="preserve"> we observed</w:t>
      </w:r>
      <w:r w:rsidR="00EE773C" w:rsidRPr="00C94ADB">
        <w:rPr>
          <w:rFonts w:cs="Arial"/>
        </w:rPr>
        <w:t xml:space="preserve"> </w:t>
      </w:r>
      <w:r w:rsidR="00C94ADB">
        <w:rPr>
          <w:rFonts w:cs="Arial"/>
        </w:rPr>
        <w:t xml:space="preserve">a </w:t>
      </w:r>
      <w:r w:rsidRPr="00C94ADB">
        <w:rPr>
          <w:rFonts w:cs="Arial"/>
        </w:rPr>
        <w:t xml:space="preserve">low level </w:t>
      </w:r>
      <w:r w:rsidR="00C94ADB">
        <w:rPr>
          <w:rFonts w:cs="Arial"/>
        </w:rPr>
        <w:t xml:space="preserve">of </w:t>
      </w:r>
      <w:r w:rsidRPr="00C94ADB">
        <w:rPr>
          <w:rFonts w:cs="Arial"/>
        </w:rPr>
        <w:t xml:space="preserve">hydrogen evolution (up to around </w:t>
      </w:r>
      <w:r w:rsidR="00C57DBB" w:rsidRPr="00C94ADB">
        <w:rPr>
          <w:rFonts w:cs="Arial"/>
        </w:rPr>
        <w:t>0.4</w:t>
      </w:r>
      <w:r w:rsidRPr="00C94ADB">
        <w:rPr>
          <w:rFonts w:cs="Arial"/>
        </w:rPr>
        <w:t xml:space="preserve"> </w:t>
      </w:r>
      <w:r w:rsidR="00932ECA" w:rsidRPr="00C94ADB">
        <w:rPr>
          <w:rFonts w:cs="Arial"/>
        </w:rPr>
        <w:t>μ</w:t>
      </w:r>
      <w:r w:rsidRPr="00C94ADB">
        <w:rPr>
          <w:rFonts w:cs="Arial"/>
        </w:rPr>
        <w:t>mol h</w:t>
      </w:r>
      <w:r w:rsidRPr="00C94ADB">
        <w:rPr>
          <w:rFonts w:cs="Arial"/>
          <w:vertAlign w:val="superscript"/>
        </w:rPr>
        <w:t>-1</w:t>
      </w:r>
      <w:r w:rsidR="00192B5C" w:rsidRPr="00C94ADB">
        <w:rPr>
          <w:rFonts w:cs="Arial"/>
        </w:rPr>
        <w:t xml:space="preserve"> with 25 mg of catalyst) </w:t>
      </w:r>
      <w:r w:rsidR="00EE773C" w:rsidRPr="00C94ADB">
        <w:rPr>
          <w:rFonts w:cs="Arial"/>
        </w:rPr>
        <w:t>under</w:t>
      </w:r>
      <w:r w:rsidRPr="00C94ADB">
        <w:rPr>
          <w:rFonts w:cs="Arial"/>
        </w:rPr>
        <w:t xml:space="preserve"> UV irradiation (&gt; 295 nm) of a water/methanol/triethylamine mixture without the addition of ruthenium nanoparticles (Fig</w:t>
      </w:r>
      <w:r w:rsidR="00F47107" w:rsidRPr="00C94ADB">
        <w:rPr>
          <w:rFonts w:cs="Arial"/>
        </w:rPr>
        <w:t xml:space="preserve">ure </w:t>
      </w:r>
      <w:r w:rsidRPr="00C94ADB">
        <w:rPr>
          <w:rFonts w:cs="Arial"/>
        </w:rPr>
        <w:t>2). The hydrogen evolution rate</w:t>
      </w:r>
      <w:r w:rsidR="00372CA2" w:rsidRPr="00C94ADB">
        <w:rPr>
          <w:rFonts w:cs="Arial"/>
        </w:rPr>
        <w:t xml:space="preserve"> (HER)</w:t>
      </w:r>
      <w:r w:rsidRPr="00C94ADB">
        <w:rPr>
          <w:rFonts w:cs="Arial"/>
        </w:rPr>
        <w:t xml:space="preserve"> increases steadily, in an almost linear fashion, with the decrease in optical gap of the oligomers (see insert, Fig</w:t>
      </w:r>
      <w:r w:rsidR="00F47107" w:rsidRPr="00C94ADB">
        <w:rPr>
          <w:rFonts w:cs="Arial"/>
        </w:rPr>
        <w:t xml:space="preserve">ure </w:t>
      </w:r>
      <w:r w:rsidRPr="00C94ADB">
        <w:rPr>
          <w:rFonts w:cs="Arial"/>
        </w:rPr>
        <w:t xml:space="preserve">2). This suggests that the increase in </w:t>
      </w:r>
      <w:r w:rsidR="000830AD" w:rsidRPr="00C94ADB">
        <w:rPr>
          <w:rFonts w:cs="Arial"/>
        </w:rPr>
        <w:t>HER</w:t>
      </w:r>
      <w:r w:rsidRPr="00C94ADB">
        <w:rPr>
          <w:rFonts w:cs="Arial"/>
        </w:rPr>
        <w:t xml:space="preserve"> with oligomer length arises from the red-shift in optical gap, meaning that more photons are absorbed and more charge carriers are generated for proton reduction and sacrificial donor oxidation. </w:t>
      </w:r>
      <w:r w:rsidR="00872C81" w:rsidRPr="00C94ADB">
        <w:rPr>
          <w:rFonts w:cs="Arial"/>
        </w:rPr>
        <w:t>Time-dependent density functional theory (</w:t>
      </w:r>
      <w:r w:rsidRPr="00C94ADB">
        <w:rPr>
          <w:rFonts w:cs="Arial"/>
        </w:rPr>
        <w:t>TD-DFT</w:t>
      </w:r>
      <w:r w:rsidR="00872C81" w:rsidRPr="00C94ADB">
        <w:rPr>
          <w:rFonts w:cs="Arial"/>
        </w:rPr>
        <w:t>)</w:t>
      </w:r>
      <w:r w:rsidRPr="00C94ADB">
        <w:rPr>
          <w:rFonts w:cs="Arial"/>
        </w:rPr>
        <w:t xml:space="preserve"> cluster calculations</w:t>
      </w:r>
      <w:r w:rsidR="00D64F2D" w:rsidRPr="00C94ADB">
        <w:rPr>
          <w:rFonts w:cs="Arial"/>
          <w:noProof/>
          <w:vertAlign w:val="superscript"/>
        </w:rPr>
        <w:t>[22,23]</w:t>
      </w:r>
      <w:r w:rsidRPr="00C94ADB">
        <w:rPr>
          <w:rFonts w:cs="Arial"/>
        </w:rPr>
        <w:t xml:space="preserve"> (Supporting Information) suggest that the thermodynamic driving force for proton reduction is similarly favorable for all oligomers, and largest for SM1. </w:t>
      </w:r>
    </w:p>
    <w:p w14:paraId="0D18333C" w14:textId="77777777" w:rsidR="009250ED" w:rsidRPr="00C94ADB" w:rsidRDefault="009250ED" w:rsidP="00A65ED3">
      <w:pPr>
        <w:pStyle w:val="P1"/>
        <w:ind w:firstLine="180"/>
        <w:rPr>
          <w:rFonts w:cs="Arial"/>
        </w:rPr>
      </w:pPr>
      <w:r w:rsidRPr="00C94ADB">
        <w:rPr>
          <w:rFonts w:cs="Arial"/>
        </w:rPr>
        <w:t>Fusing of phenylenes by the introduction of a methylene bridge, or other bridging functionality (Fig</w:t>
      </w:r>
      <w:r w:rsidR="00F47107" w:rsidRPr="00C94ADB">
        <w:rPr>
          <w:rFonts w:cs="Arial"/>
        </w:rPr>
        <w:t xml:space="preserve">ure </w:t>
      </w:r>
      <w:r w:rsidRPr="00C94ADB">
        <w:rPr>
          <w:rFonts w:cs="Arial"/>
        </w:rPr>
        <w:t>1), lowers the phenylene–phenylene torsion angle and increases rigidity. For example, fluorene (FSM1) shows a higher degree of conjugation than biphenyl (SM1) due to its more planar conformation.</w:t>
      </w:r>
      <w:r w:rsidR="00D64F2D" w:rsidRPr="00C94ADB">
        <w:rPr>
          <w:rFonts w:cs="Arial"/>
          <w:noProof/>
          <w:vertAlign w:val="superscript"/>
        </w:rPr>
        <w:t>[24]</w:t>
      </w:r>
      <w:r w:rsidRPr="00C94ADB">
        <w:rPr>
          <w:rFonts w:cs="Arial"/>
        </w:rPr>
        <w:t xml:space="preserve"> Extended planarized units in polymers have been shown to decrease the Coulomb binding energy for dissociating electron-hole pairs and hence to increase exciton dissociation yields.</w:t>
      </w:r>
      <w:r w:rsidR="00D64F2D" w:rsidRPr="00C94ADB">
        <w:rPr>
          <w:rFonts w:cs="Arial"/>
          <w:noProof/>
          <w:vertAlign w:val="superscript"/>
        </w:rPr>
        <w:t>[25,26]</w:t>
      </w:r>
      <w:r w:rsidR="00EB3A5D" w:rsidRPr="00C94ADB">
        <w:rPr>
          <w:rFonts w:cs="Arial"/>
          <w:vertAlign w:val="superscript"/>
        </w:rPr>
        <w:t xml:space="preserve"> </w:t>
      </w:r>
      <w:r w:rsidRPr="00C94ADB">
        <w:rPr>
          <w:rFonts w:cs="Arial"/>
        </w:rPr>
        <w:t>Also, an increase in charge carrier mobility was achieved by planarization in amorphous conjugated polymers.</w:t>
      </w:r>
      <w:r w:rsidR="00D64F2D" w:rsidRPr="00C94ADB">
        <w:rPr>
          <w:rFonts w:cs="Arial"/>
          <w:noProof/>
          <w:vertAlign w:val="superscript"/>
        </w:rPr>
        <w:t>[27,28]</w:t>
      </w:r>
    </w:p>
    <w:p w14:paraId="74722F94" w14:textId="77777777" w:rsidR="002C36E0" w:rsidRPr="00C94ADB" w:rsidRDefault="009250ED" w:rsidP="00A65ED3">
      <w:pPr>
        <w:pStyle w:val="P1"/>
        <w:ind w:firstLine="180"/>
        <w:rPr>
          <w:rFonts w:cs="Arial"/>
        </w:rPr>
      </w:pPr>
      <w:r w:rsidRPr="00C94ADB">
        <w:rPr>
          <w:rFonts w:cs="Arial"/>
        </w:rPr>
        <w:t>For the fluorene oligomers FSM1–FSM3, there is again an almost linear relationship between the hydrogen evolution rate and the decreasing optical gap, much as for the SM1–SM5 oligophenylene series (Fig</w:t>
      </w:r>
      <w:r w:rsidR="00F47107" w:rsidRPr="00C94ADB">
        <w:rPr>
          <w:rFonts w:cs="Arial"/>
        </w:rPr>
        <w:t xml:space="preserve">ure </w:t>
      </w:r>
      <w:r w:rsidRPr="00C94ADB">
        <w:rPr>
          <w:rFonts w:cs="Arial"/>
        </w:rPr>
        <w:t xml:space="preserve">2, inset). The optical gaps for </w:t>
      </w:r>
      <w:r w:rsidRPr="00C94ADB">
        <w:rPr>
          <w:rFonts w:cs="Arial"/>
        </w:rPr>
        <w:lastRenderedPageBreak/>
        <w:t>FSM1, FSM2, and FSM3 are always red-shifted relative to their unfused SM equivalents (SM1, SM2, and SM3), in line with the increased conjugation in the fluorene units. However, for pairs of materials with similar optical gaps (</w:t>
      </w:r>
      <w:r w:rsidRPr="00C94ADB">
        <w:rPr>
          <w:rFonts w:cs="Arial"/>
          <w:i/>
        </w:rPr>
        <w:t>e.g.</w:t>
      </w:r>
      <w:r w:rsidRPr="00C94ADB">
        <w:rPr>
          <w:rFonts w:cs="Arial"/>
        </w:rPr>
        <w:t xml:space="preserve">, FSM1 and SM2; FSM2 and SM3; FSM3 and SM4), the fluorene materials always produce more hydrogen. This could be because the predicted </w:t>
      </w:r>
      <w:r w:rsidR="006D215A" w:rsidRPr="00C94ADB">
        <w:rPr>
          <w:rFonts w:cs="Arial"/>
        </w:rPr>
        <w:t xml:space="preserve">ionization </w:t>
      </w:r>
      <w:r w:rsidRPr="00C94ADB">
        <w:rPr>
          <w:rFonts w:cs="Arial"/>
        </w:rPr>
        <w:t>potentials for the fluorene oligomers are always more negative than those of the equivalent phenylene (</w:t>
      </w:r>
      <w:r w:rsidRPr="00C94ADB">
        <w:rPr>
          <w:rFonts w:cs="Arial"/>
          <w:i/>
        </w:rPr>
        <w:t>e.g</w:t>
      </w:r>
      <w:r w:rsidRPr="00C94ADB">
        <w:rPr>
          <w:rFonts w:cs="Arial"/>
        </w:rPr>
        <w:t>., FSM2 = –2.75 V; SM3 = –2.51 V). These oligomeric model compounds suggest that planarization might be a useful strategy for enhanced photocatalytic water splitting in extended conjugated polymers.</w:t>
      </w:r>
    </w:p>
    <w:p w14:paraId="5B98361A" w14:textId="77777777" w:rsidR="00FE5AC2" w:rsidRPr="00C94ADB" w:rsidRDefault="00FE5AC2" w:rsidP="004C3941">
      <w:pPr>
        <w:pStyle w:val="P1"/>
        <w:ind w:firstLine="425"/>
        <w:rPr>
          <w:rFonts w:cs="Arial"/>
        </w:rPr>
      </w:pPr>
    </w:p>
    <w:p w14:paraId="79606EAA" w14:textId="77777777" w:rsidR="003462A2" w:rsidRPr="00C94ADB" w:rsidRDefault="00584A4C" w:rsidP="005B1BB6">
      <w:pPr>
        <w:pStyle w:val="TAMainText"/>
        <w:jc w:val="center"/>
      </w:pPr>
      <w:r w:rsidRPr="00C94ADB">
        <w:rPr>
          <w:lang w:val="en-US" w:eastAsia="en-US"/>
        </w:rPr>
        <w:drawing>
          <wp:inline distT="0" distB="0" distL="0" distR="0" wp14:anchorId="7A161E18" wp14:editId="3D8D6718">
            <wp:extent cx="2690037" cy="2046216"/>
            <wp:effectExtent l="0" t="0" r="0" b="0"/>
            <wp:docPr id="14" name="Picture 14" descr="C:\Users\ssprick\Desktop\Extended Conjugatio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prick\Desktop\Extended Conjugation2.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7922" cy="2059821"/>
                    </a:xfrm>
                    <a:prstGeom prst="rect">
                      <a:avLst/>
                    </a:prstGeom>
                    <a:noFill/>
                    <a:ln>
                      <a:noFill/>
                    </a:ln>
                  </pic:spPr>
                </pic:pic>
              </a:graphicData>
            </a:graphic>
          </wp:inline>
        </w:drawing>
      </w:r>
    </w:p>
    <w:p w14:paraId="03826D31" w14:textId="77777777" w:rsidR="003462A2" w:rsidRPr="00C94ADB" w:rsidRDefault="003462A2" w:rsidP="003462A2">
      <w:pPr>
        <w:pStyle w:val="FigureCaption"/>
        <w:rPr>
          <w:rFonts w:cs="Arial"/>
          <w:lang w:val="en-US"/>
        </w:rPr>
      </w:pPr>
      <w:r w:rsidRPr="00C94ADB">
        <w:rPr>
          <w:rFonts w:cs="Arial"/>
          <w:b/>
          <w:lang w:val="en-US"/>
        </w:rPr>
        <w:t xml:space="preserve">Figure 2. </w:t>
      </w:r>
      <w:r w:rsidRPr="00C94ADB">
        <w:rPr>
          <w:rFonts w:cs="Arial"/>
          <w:lang w:val="en-US"/>
        </w:rPr>
        <w:t>Photocatalytic hydrogen evolution rate (HER) is correlated with the optical gap, both for small molecule oligomers and for conjugated polymers (Cz = 9</w:t>
      </w:r>
      <w:r w:rsidRPr="00C94ADB">
        <w:rPr>
          <w:rFonts w:cs="Arial"/>
          <w:i/>
          <w:lang w:val="en-US"/>
        </w:rPr>
        <w:t>H</w:t>
      </w:r>
      <w:r w:rsidRPr="00C94ADB">
        <w:rPr>
          <w:rFonts w:cs="Arial"/>
          <w:lang w:val="en-US"/>
        </w:rPr>
        <w:t>-carbazole, DBT = dibenzo[</w:t>
      </w:r>
      <w:r w:rsidRPr="00C94ADB">
        <w:rPr>
          <w:rFonts w:cs="Arial"/>
          <w:i/>
          <w:lang w:val="en-US"/>
        </w:rPr>
        <w:t>b</w:t>
      </w:r>
      <w:r w:rsidRPr="00C94ADB">
        <w:rPr>
          <w:rFonts w:cs="Arial"/>
          <w:lang w:val="en-US"/>
        </w:rPr>
        <w:t>,</w:t>
      </w:r>
      <w:r w:rsidRPr="00C94ADB">
        <w:rPr>
          <w:rFonts w:cs="Arial"/>
          <w:i/>
          <w:lang w:val="en-US"/>
        </w:rPr>
        <w:t>d</w:t>
      </w:r>
      <w:r w:rsidRPr="00C94ADB">
        <w:rPr>
          <w:rFonts w:cs="Arial"/>
          <w:lang w:val="en-US"/>
        </w:rPr>
        <w:t>]thiophene). Each measurement was performed with 25 mg catalyst in water/MeOH/triethylamine mixture under broad-spectrum irradiation (λ &gt; 295 nm; see Table 1 for visible light HERs). HER for platinized g-C</w:t>
      </w:r>
      <w:r w:rsidRPr="00C94ADB">
        <w:rPr>
          <w:rFonts w:cs="Arial"/>
          <w:vertAlign w:val="subscript"/>
          <w:lang w:val="en-US"/>
        </w:rPr>
        <w:t>3</w:t>
      </w:r>
      <w:r w:rsidRPr="00C94ADB">
        <w:rPr>
          <w:rFonts w:cs="Arial"/>
          <w:lang w:val="en-US"/>
        </w:rPr>
        <w:t>N</w:t>
      </w:r>
      <w:r w:rsidRPr="00C94ADB">
        <w:rPr>
          <w:rFonts w:cs="Arial"/>
          <w:vertAlign w:val="subscript"/>
          <w:lang w:val="en-US"/>
        </w:rPr>
        <w:t>4</w:t>
      </w:r>
      <w:r w:rsidRPr="00C94ADB">
        <w:rPr>
          <w:rFonts w:cs="Arial"/>
          <w:lang w:val="en-US"/>
        </w:rPr>
        <w:t xml:space="preserve">, as measured on our specific experimental </w:t>
      </w:r>
      <w:r w:rsidR="006D215A" w:rsidRPr="00C94ADB">
        <w:rPr>
          <w:rFonts w:cs="Arial"/>
          <w:lang w:val="en-US"/>
        </w:rPr>
        <w:t>set-</w:t>
      </w:r>
      <w:r w:rsidRPr="00C94ADB">
        <w:rPr>
          <w:rFonts w:cs="Arial"/>
          <w:lang w:val="en-US"/>
        </w:rPr>
        <w:t xml:space="preserve">up. </w:t>
      </w:r>
      <w:r w:rsidR="0002011F" w:rsidRPr="00C94ADB">
        <w:rPr>
          <w:rFonts w:cs="Arial"/>
          <w:lang w:val="en-US"/>
        </w:rPr>
        <w:t>Significantly h</w:t>
      </w:r>
      <w:r w:rsidRPr="00C94ADB">
        <w:rPr>
          <w:rFonts w:cs="Arial"/>
          <w:lang w:val="en-US"/>
        </w:rPr>
        <w:t>igher values are known in the literature for g-C</w:t>
      </w:r>
      <w:r w:rsidRPr="00C94ADB">
        <w:rPr>
          <w:rFonts w:cs="Arial"/>
          <w:vertAlign w:val="subscript"/>
          <w:lang w:val="en-US"/>
        </w:rPr>
        <w:t>3</w:t>
      </w:r>
      <w:r w:rsidRPr="00C94ADB">
        <w:rPr>
          <w:rFonts w:cs="Arial"/>
          <w:lang w:val="en-US"/>
        </w:rPr>
        <w:t>N</w:t>
      </w:r>
      <w:r w:rsidRPr="00C94ADB">
        <w:rPr>
          <w:rFonts w:cs="Arial"/>
          <w:vertAlign w:val="subscript"/>
          <w:lang w:val="en-US"/>
        </w:rPr>
        <w:t>4</w:t>
      </w:r>
      <w:r w:rsidR="00451053" w:rsidRPr="00C94ADB">
        <w:rPr>
          <w:rFonts w:cs="Arial"/>
          <w:lang w:val="en-US"/>
        </w:rPr>
        <w:t>,</w:t>
      </w:r>
      <w:r w:rsidR="00451053" w:rsidRPr="00C94ADB">
        <w:rPr>
          <w:rFonts w:cs="Arial"/>
          <w:noProof/>
          <w:vertAlign w:val="superscript"/>
          <w:lang w:val="en-US"/>
        </w:rPr>
        <w:t>[1]</w:t>
      </w:r>
      <w:r w:rsidRPr="00C94ADB">
        <w:rPr>
          <w:rFonts w:cs="Arial"/>
          <w:lang w:val="en-US"/>
        </w:rPr>
        <w:t xml:space="preserve"> which might be due to differences in the set-ups used.</w:t>
      </w:r>
      <w:r w:rsidR="00D64F2D" w:rsidRPr="00C94ADB">
        <w:rPr>
          <w:rFonts w:cs="Arial"/>
          <w:noProof/>
          <w:vertAlign w:val="superscript"/>
          <w:lang w:val="en-US"/>
        </w:rPr>
        <w:t>[29]</w:t>
      </w:r>
    </w:p>
    <w:p w14:paraId="3DA3A6F9" w14:textId="77777777" w:rsidR="009250ED" w:rsidRPr="00C94ADB" w:rsidRDefault="00450D70" w:rsidP="00A65ED3">
      <w:pPr>
        <w:pStyle w:val="P1"/>
        <w:ind w:firstLine="180"/>
        <w:rPr>
          <w:rFonts w:cs="Arial"/>
        </w:rPr>
      </w:pPr>
      <w:r w:rsidRPr="00C94ADB">
        <w:rPr>
          <w:rFonts w:cs="Arial"/>
        </w:rPr>
        <w:t>W</w:t>
      </w:r>
      <w:r w:rsidR="009250ED" w:rsidRPr="00C94ADB">
        <w:rPr>
          <w:rFonts w:cs="Arial"/>
        </w:rPr>
        <w:t xml:space="preserve">e </w:t>
      </w:r>
      <w:r w:rsidRPr="00C94ADB">
        <w:rPr>
          <w:rFonts w:cs="Arial"/>
        </w:rPr>
        <w:t xml:space="preserve">next </w:t>
      </w:r>
      <w:r w:rsidR="009250ED" w:rsidRPr="00C94ADB">
        <w:rPr>
          <w:rFonts w:cs="Arial"/>
        </w:rPr>
        <w:t>synthesized a series of poly(</w:t>
      </w:r>
      <w:r w:rsidR="009250ED" w:rsidRPr="00C94ADB">
        <w:rPr>
          <w:rFonts w:cs="Arial"/>
          <w:i/>
        </w:rPr>
        <w:t>p</w:t>
      </w:r>
      <w:r w:rsidR="009250ED" w:rsidRPr="00C94ADB">
        <w:rPr>
          <w:rFonts w:cs="Arial"/>
        </w:rPr>
        <w:t>-phenylene)s (P1K, P1S) and analogous conjugated co-polymers that incorporated planarized units; that is, fluorenes (P2, P3), carbazoles (P4, P5) and dibenzo[</w:t>
      </w:r>
      <w:r w:rsidR="009250ED" w:rsidRPr="00C94ADB">
        <w:rPr>
          <w:rFonts w:cs="Arial"/>
          <w:i/>
        </w:rPr>
        <w:t>b</w:t>
      </w:r>
      <w:r w:rsidR="009250ED" w:rsidRPr="00C94ADB">
        <w:rPr>
          <w:rFonts w:cs="Arial"/>
        </w:rPr>
        <w:t>,</w:t>
      </w:r>
      <w:r w:rsidR="009250ED" w:rsidRPr="00C94ADB">
        <w:rPr>
          <w:rFonts w:cs="Arial"/>
          <w:i/>
        </w:rPr>
        <w:t>d</w:t>
      </w:r>
      <w:r w:rsidR="009250ED" w:rsidRPr="00C94ADB">
        <w:rPr>
          <w:rFonts w:cs="Arial"/>
        </w:rPr>
        <w:t>]thiophene (P6). No solubilizing side chains were incorporated in these polymers, and hence the materials were insoluble in common solvents.</w:t>
      </w:r>
      <w:r w:rsidRPr="00C94ADB">
        <w:rPr>
          <w:rFonts w:cs="Arial"/>
        </w:rPr>
        <w:t xml:space="preserve"> Unlike our previous CMP networks,</w:t>
      </w:r>
      <w:r w:rsidR="008842C2" w:rsidRPr="00C94ADB">
        <w:rPr>
          <w:rFonts w:cs="Arial"/>
          <w:noProof/>
          <w:vertAlign w:val="superscript"/>
        </w:rPr>
        <w:t>[15]</w:t>
      </w:r>
      <w:r w:rsidRPr="00C94ADB">
        <w:rPr>
          <w:rFonts w:cs="Arial"/>
        </w:rPr>
        <w:t xml:space="preserve"> these linear polymers showed no microporosity.</w:t>
      </w:r>
      <w:r w:rsidR="005B1BB6" w:rsidRPr="00C94ADB">
        <w:rPr>
          <w:rFonts w:cs="Arial"/>
        </w:rPr>
        <w:t xml:space="preserve"> </w:t>
      </w:r>
      <w:r w:rsidR="009250ED" w:rsidRPr="00C94ADB">
        <w:rPr>
          <w:rFonts w:cs="Arial"/>
        </w:rPr>
        <w:t>Poly(</w:t>
      </w:r>
      <w:r w:rsidR="009250ED" w:rsidRPr="00C94ADB">
        <w:rPr>
          <w:rFonts w:cs="Arial"/>
          <w:i/>
        </w:rPr>
        <w:t>p</w:t>
      </w:r>
      <w:r w:rsidR="009250ED" w:rsidRPr="00C94ADB">
        <w:rPr>
          <w:rFonts w:cs="Arial"/>
        </w:rPr>
        <w:t xml:space="preserve">-phenylene) P1K was synthesized </w:t>
      </w:r>
      <w:r w:rsidR="009250ED" w:rsidRPr="00C94ADB">
        <w:rPr>
          <w:rFonts w:cs="Arial"/>
          <w:i/>
        </w:rPr>
        <w:t>via</w:t>
      </w:r>
      <w:r w:rsidR="009250ED" w:rsidRPr="00C94ADB">
        <w:rPr>
          <w:rFonts w:cs="Arial"/>
        </w:rPr>
        <w:t xml:space="preserve"> Grignard reaction of 1,4-dibromobenzene with Mg followed by a Kumada-type reaction. P1S–P6 were all synthesized via Suzuki-Miyaura-type polycondensation of 1,4-benzene diboronic acid with the corresponding dibromoarene, using</w:t>
      </w:r>
      <w:r w:rsidR="00451053" w:rsidRPr="00C94ADB">
        <w:rPr>
          <w:rFonts w:cs="Arial"/>
        </w:rPr>
        <w:t xml:space="preserve"> conditions reported previously.</w:t>
      </w:r>
      <w:r w:rsidR="00451053" w:rsidRPr="00C94ADB">
        <w:rPr>
          <w:rFonts w:cs="Arial"/>
          <w:noProof/>
          <w:vertAlign w:val="superscript"/>
        </w:rPr>
        <w:t>[15]</w:t>
      </w:r>
      <w:r w:rsidR="009250ED" w:rsidRPr="00C94ADB">
        <w:rPr>
          <w:rFonts w:cs="Arial"/>
        </w:rPr>
        <w:t xml:space="preserve"> Unlike our previously reported CP-CMPs,</w:t>
      </w:r>
      <w:r w:rsidR="008842C2" w:rsidRPr="00C94ADB">
        <w:rPr>
          <w:rFonts w:cs="Arial"/>
          <w:noProof/>
          <w:vertAlign w:val="superscript"/>
        </w:rPr>
        <w:t>[15]</w:t>
      </w:r>
      <w:r w:rsidR="009250ED" w:rsidRPr="00C94ADB">
        <w:rPr>
          <w:rFonts w:cs="Arial"/>
        </w:rPr>
        <w:t xml:space="preserve"> which were amorphous, all of these linear polymers were found by powder X-ray diffraction (PXRD) to be semi-crystalline</w:t>
      </w:r>
      <w:r w:rsidR="00B4001F" w:rsidRPr="00C94ADB">
        <w:rPr>
          <w:rFonts w:cs="Arial"/>
        </w:rPr>
        <w:t>. F</w:t>
      </w:r>
      <w:r w:rsidR="00B6037E" w:rsidRPr="00C94ADB">
        <w:rPr>
          <w:rFonts w:cs="Arial"/>
        </w:rPr>
        <w:t>or P1K the pattern matches the previously reported structure</w:t>
      </w:r>
      <w:r w:rsidR="00D64F2D" w:rsidRPr="00C94ADB">
        <w:rPr>
          <w:rFonts w:cs="Arial"/>
          <w:noProof/>
          <w:vertAlign w:val="superscript"/>
        </w:rPr>
        <w:t>[30]</w:t>
      </w:r>
      <w:r w:rsidR="00B6037E" w:rsidRPr="00C94ADB">
        <w:rPr>
          <w:rFonts w:cs="Arial"/>
        </w:rPr>
        <w:t xml:space="preserve"> and </w:t>
      </w:r>
      <w:r w:rsidR="00EF7F5C" w:rsidRPr="00C94ADB">
        <w:rPr>
          <w:rFonts w:cs="Arial"/>
        </w:rPr>
        <w:t xml:space="preserve">similar patterns were observed </w:t>
      </w:r>
      <w:r w:rsidR="00B6037E" w:rsidRPr="00C94ADB">
        <w:rPr>
          <w:rFonts w:cs="Arial"/>
        </w:rPr>
        <w:t xml:space="preserve">for all other polymers. </w:t>
      </w:r>
      <w:r w:rsidR="000A4431" w:rsidRPr="00C94ADB">
        <w:rPr>
          <w:rFonts w:cs="Arial"/>
        </w:rPr>
        <w:t xml:space="preserve">However, </w:t>
      </w:r>
      <w:r w:rsidR="009250ED" w:rsidRPr="00C94ADB">
        <w:rPr>
          <w:rFonts w:cs="Arial"/>
        </w:rPr>
        <w:t xml:space="preserve">no phase-transitions were observed by differential scanning calorimetry up to </w:t>
      </w:r>
      <w:r w:rsidR="00EF7F5C" w:rsidRPr="00C94ADB">
        <w:rPr>
          <w:rFonts w:cs="Arial"/>
        </w:rPr>
        <w:t>250 </w:t>
      </w:r>
      <w:r w:rsidR="009250ED" w:rsidRPr="00C94ADB">
        <w:rPr>
          <w:rFonts w:cs="Arial"/>
        </w:rPr>
        <w:t>°C. All polymers show very similar absorption on-sets in their UV-visible reflectance spectra, and hence the optical gaps fall in a narrow range (2.72–2.86 eV; Fig</w:t>
      </w:r>
      <w:r w:rsidR="006C11DA" w:rsidRPr="00C94ADB">
        <w:rPr>
          <w:rFonts w:cs="Arial"/>
        </w:rPr>
        <w:t xml:space="preserve">ure </w:t>
      </w:r>
      <w:r w:rsidR="009250ED" w:rsidRPr="00C94ADB">
        <w:rPr>
          <w:rFonts w:cs="Arial"/>
        </w:rPr>
        <w:t xml:space="preserve">2 and Table 1). However, the increased conjugation </w:t>
      </w:r>
      <w:r w:rsidR="009250ED" w:rsidRPr="00C94ADB">
        <w:rPr>
          <w:rFonts w:cs="Arial"/>
        </w:rPr>
        <w:lastRenderedPageBreak/>
        <w:t xml:space="preserve">length in the polymers results in a </w:t>
      </w:r>
      <w:r w:rsidR="005B1BB6" w:rsidRPr="00C94ADB">
        <w:rPr>
          <w:rFonts w:cs="Arial"/>
        </w:rPr>
        <w:t xml:space="preserve">&gt;0.5 eV </w:t>
      </w:r>
      <w:r w:rsidR="009250ED" w:rsidRPr="00C94ADB">
        <w:rPr>
          <w:rFonts w:cs="Arial"/>
        </w:rPr>
        <w:t xml:space="preserve">shift of the </w:t>
      </w:r>
      <w:r w:rsidR="00372CA2" w:rsidRPr="00C94ADB">
        <w:rPr>
          <w:rFonts w:cs="Arial"/>
        </w:rPr>
        <w:t xml:space="preserve">onset of </w:t>
      </w:r>
      <w:r w:rsidR="009250ED" w:rsidRPr="00C94ADB">
        <w:rPr>
          <w:rFonts w:cs="Arial"/>
        </w:rPr>
        <w:t>absorption</w:t>
      </w:r>
      <w:r w:rsidR="00372CA2" w:rsidRPr="00C94ADB">
        <w:rPr>
          <w:rFonts w:cs="Arial"/>
        </w:rPr>
        <w:t xml:space="preserve"> </w:t>
      </w:r>
      <w:r w:rsidR="009250ED" w:rsidRPr="00C94ADB">
        <w:rPr>
          <w:rFonts w:cs="Arial"/>
        </w:rPr>
        <w:t>and hence the optical gap (Fig</w:t>
      </w:r>
      <w:r w:rsidR="00B6589D" w:rsidRPr="00C94ADB">
        <w:rPr>
          <w:rFonts w:cs="Arial"/>
        </w:rPr>
        <w:t xml:space="preserve">ure </w:t>
      </w:r>
      <w:r w:rsidR="009250ED" w:rsidRPr="00C94ADB">
        <w:rPr>
          <w:rFonts w:cs="Arial"/>
        </w:rPr>
        <w:t xml:space="preserve">2) compared to the small molecule oligomers (S1–S5; FSM1–FSM3). </w:t>
      </w:r>
    </w:p>
    <w:p w14:paraId="4A4984CF" w14:textId="77777777" w:rsidR="005B1BB6" w:rsidRPr="00C94ADB" w:rsidRDefault="005B1BB6" w:rsidP="00A65ED3">
      <w:pPr>
        <w:pStyle w:val="P1"/>
        <w:ind w:firstLine="180"/>
        <w:rPr>
          <w:rFonts w:cs="Arial"/>
        </w:rPr>
      </w:pPr>
      <w:r w:rsidRPr="00C94ADB">
        <w:rPr>
          <w:rFonts w:eastAsia="Times New Roman" w:cs="Arial"/>
          <w:kern w:val="21"/>
          <w:szCs w:val="17"/>
          <w:lang w:eastAsia="en-US"/>
        </w:rPr>
        <w:t>The photocatalytic activity was tested for these polymers both under broad-spectrum irradiation (&gt; 295 nm; Fig</w:t>
      </w:r>
      <w:r w:rsidR="00B6589D" w:rsidRPr="00C94ADB">
        <w:rPr>
          <w:rFonts w:eastAsia="Times New Roman" w:cs="Arial"/>
          <w:kern w:val="21"/>
          <w:szCs w:val="17"/>
          <w:lang w:eastAsia="en-US"/>
        </w:rPr>
        <w:t>ure </w:t>
      </w:r>
      <w:r w:rsidRPr="00C94ADB">
        <w:rPr>
          <w:rFonts w:eastAsia="Times New Roman" w:cs="Arial"/>
          <w:kern w:val="21"/>
          <w:szCs w:val="17"/>
          <w:lang w:eastAsia="en-US"/>
        </w:rPr>
        <w:t>2 / Table 1) and under filtered, visible light (&gt; 420 nm; Table 1). Poly(</w:t>
      </w:r>
      <w:r w:rsidRPr="00C94ADB">
        <w:rPr>
          <w:rFonts w:eastAsia="Times New Roman" w:cs="Arial"/>
          <w:i/>
          <w:kern w:val="21"/>
          <w:szCs w:val="17"/>
          <w:lang w:eastAsia="en-US"/>
        </w:rPr>
        <w:t>p</w:t>
      </w:r>
      <w:r w:rsidRPr="00C94ADB">
        <w:rPr>
          <w:rFonts w:eastAsia="Times New Roman" w:cs="Arial"/>
          <w:kern w:val="21"/>
          <w:szCs w:val="17"/>
          <w:lang w:eastAsia="en-US"/>
        </w:rPr>
        <w:t>-phenylene) P1K showed a large increase in HER (</w:t>
      </w:r>
      <w:r w:rsidR="008238D0" w:rsidRPr="00C94ADB">
        <w:rPr>
          <w:rFonts w:eastAsia="Times New Roman" w:cs="Arial"/>
          <w:kern w:val="21"/>
          <w:szCs w:val="17"/>
          <w:lang w:eastAsia="en-US"/>
        </w:rPr>
        <w:t>10.</w:t>
      </w:r>
      <w:r w:rsidR="00192B5C" w:rsidRPr="00C94ADB">
        <w:rPr>
          <w:rFonts w:eastAsia="Times New Roman" w:cs="Arial"/>
          <w:kern w:val="21"/>
          <w:szCs w:val="17"/>
          <w:lang w:eastAsia="en-US"/>
        </w:rPr>
        <w:t>3 </w:t>
      </w:r>
      <w:r w:rsidRPr="00C94ADB">
        <w:rPr>
          <w:rFonts w:eastAsia="Times New Roman" w:cs="Arial"/>
          <w:kern w:val="21"/>
          <w:szCs w:val="17"/>
          <w:lang w:eastAsia="en-US"/>
        </w:rPr>
        <w:t>μmol</w:t>
      </w:r>
      <w:r w:rsidR="008238D0" w:rsidRPr="00C94ADB">
        <w:rPr>
          <w:rFonts w:eastAsia="Times New Roman" w:cs="Arial"/>
          <w:kern w:val="21"/>
          <w:szCs w:val="17"/>
          <w:lang w:eastAsia="en-US"/>
        </w:rPr>
        <w:t xml:space="preserve"> </w:t>
      </w:r>
      <w:r w:rsidRPr="00C94ADB">
        <w:rPr>
          <w:rFonts w:eastAsia="Times New Roman" w:cs="Arial"/>
          <w:kern w:val="21"/>
          <w:szCs w:val="17"/>
          <w:lang w:eastAsia="en-US"/>
        </w:rPr>
        <w:t>h</w:t>
      </w:r>
      <w:r w:rsidRPr="00C94ADB">
        <w:rPr>
          <w:rFonts w:eastAsia="Times New Roman" w:cs="Arial"/>
          <w:kern w:val="21"/>
          <w:szCs w:val="17"/>
          <w:vertAlign w:val="superscript"/>
          <w:lang w:eastAsia="en-US"/>
        </w:rPr>
        <w:t>-1</w:t>
      </w:r>
      <w:r w:rsidRPr="00C94ADB">
        <w:rPr>
          <w:rFonts w:eastAsia="Times New Roman" w:cs="Arial"/>
          <w:kern w:val="21"/>
          <w:szCs w:val="17"/>
          <w:lang w:eastAsia="en-US"/>
        </w:rPr>
        <w:t>) compared to SM5 (</w:t>
      </w:r>
      <w:r w:rsidR="008238D0" w:rsidRPr="00C94ADB">
        <w:rPr>
          <w:rFonts w:eastAsia="Times New Roman" w:cs="Arial"/>
          <w:kern w:val="21"/>
          <w:szCs w:val="17"/>
          <w:lang w:eastAsia="en-US"/>
        </w:rPr>
        <w:t>0.4</w:t>
      </w:r>
      <w:r w:rsidRPr="00C94ADB">
        <w:rPr>
          <w:rFonts w:eastAsia="Times New Roman" w:cs="Arial"/>
          <w:kern w:val="21"/>
          <w:szCs w:val="17"/>
          <w:lang w:eastAsia="en-US"/>
        </w:rPr>
        <w:t xml:space="preserve"> μmol</w:t>
      </w:r>
      <w:r w:rsidR="008238D0" w:rsidRPr="00C94ADB">
        <w:rPr>
          <w:rFonts w:eastAsia="Times New Roman" w:cs="Arial"/>
          <w:kern w:val="21"/>
          <w:szCs w:val="17"/>
          <w:lang w:eastAsia="en-US"/>
        </w:rPr>
        <w:t xml:space="preserve"> </w:t>
      </w:r>
      <w:r w:rsidRPr="00C94ADB">
        <w:rPr>
          <w:rFonts w:eastAsia="Times New Roman" w:cs="Arial"/>
          <w:kern w:val="21"/>
          <w:szCs w:val="17"/>
          <w:lang w:eastAsia="en-US"/>
        </w:rPr>
        <w:t>h</w:t>
      </w:r>
      <w:r w:rsidRPr="00C94ADB">
        <w:rPr>
          <w:rFonts w:eastAsia="Times New Roman" w:cs="Arial"/>
          <w:kern w:val="21"/>
          <w:szCs w:val="17"/>
          <w:vertAlign w:val="superscript"/>
          <w:lang w:eastAsia="en-US"/>
        </w:rPr>
        <w:t>-1</w:t>
      </w:r>
      <w:r w:rsidRPr="00C94ADB">
        <w:rPr>
          <w:rFonts w:eastAsia="Times New Roman" w:cs="Arial"/>
          <w:kern w:val="21"/>
          <w:szCs w:val="17"/>
          <w:lang w:eastAsia="en-US"/>
        </w:rPr>
        <w:t xml:space="preserve">) under UV, but lower activity under visible-light (&gt; 420 nm, </w:t>
      </w:r>
      <w:r w:rsidR="008238D0" w:rsidRPr="00C94ADB">
        <w:rPr>
          <w:rFonts w:eastAsia="Times New Roman" w:cs="Arial"/>
          <w:kern w:val="21"/>
          <w:szCs w:val="17"/>
          <w:lang w:eastAsia="en-US"/>
        </w:rPr>
        <w:t>2.0</w:t>
      </w:r>
      <w:r w:rsidRPr="00C94ADB">
        <w:rPr>
          <w:rFonts w:eastAsia="Times New Roman" w:cs="Arial"/>
          <w:kern w:val="21"/>
          <w:szCs w:val="17"/>
          <w:lang w:eastAsia="en-US"/>
        </w:rPr>
        <w:t> μmol</w:t>
      </w:r>
      <w:r w:rsidR="008238D0" w:rsidRPr="00C94ADB">
        <w:rPr>
          <w:rFonts w:eastAsia="Times New Roman" w:cs="Arial"/>
          <w:kern w:val="21"/>
          <w:szCs w:val="17"/>
          <w:lang w:eastAsia="en-US"/>
        </w:rPr>
        <w:t xml:space="preserve"> </w:t>
      </w:r>
      <w:r w:rsidRPr="00C94ADB">
        <w:rPr>
          <w:rFonts w:eastAsia="Times New Roman" w:cs="Arial"/>
          <w:kern w:val="21"/>
          <w:szCs w:val="17"/>
          <w:lang w:eastAsia="en-US"/>
        </w:rPr>
        <w:t>h</w:t>
      </w:r>
      <w:r w:rsidRPr="00C94ADB">
        <w:rPr>
          <w:rFonts w:eastAsia="Times New Roman" w:cs="Arial"/>
          <w:kern w:val="21"/>
          <w:szCs w:val="17"/>
          <w:vertAlign w:val="superscript"/>
          <w:lang w:eastAsia="en-US"/>
        </w:rPr>
        <w:t>-1</w:t>
      </w:r>
      <w:r w:rsidRPr="00C94ADB">
        <w:rPr>
          <w:rFonts w:eastAsia="Times New Roman" w:cs="Arial"/>
          <w:kern w:val="21"/>
          <w:szCs w:val="17"/>
          <w:lang w:eastAsia="en-US"/>
        </w:rPr>
        <w:t>). We propose that the increase in HER of P1K compared to SM5 is not solely due to the change in optical gap because the amount of hydrogen evolved is far larger than expected from the approximately linear trend observed for the oligomers (see Fig</w:t>
      </w:r>
      <w:r w:rsidR="00B6589D" w:rsidRPr="00C94ADB">
        <w:rPr>
          <w:rFonts w:eastAsia="Times New Roman" w:cs="Arial"/>
          <w:kern w:val="21"/>
          <w:szCs w:val="17"/>
          <w:lang w:eastAsia="en-US"/>
        </w:rPr>
        <w:t>ure </w:t>
      </w:r>
      <w:r w:rsidRPr="00C94ADB">
        <w:rPr>
          <w:rFonts w:eastAsia="Times New Roman" w:cs="Arial"/>
          <w:kern w:val="21"/>
          <w:szCs w:val="17"/>
          <w:lang w:eastAsia="en-US"/>
        </w:rPr>
        <w:t xml:space="preserve">1 inset and ESI). Also, the predicted thermodynamic driving force actually </w:t>
      </w:r>
      <w:r w:rsidRPr="00C94ADB">
        <w:rPr>
          <w:rFonts w:eastAsia="Times New Roman" w:cs="Arial"/>
          <w:i/>
          <w:kern w:val="21"/>
          <w:szCs w:val="17"/>
          <w:lang w:eastAsia="en-US"/>
        </w:rPr>
        <w:t>decreases</w:t>
      </w:r>
      <w:r w:rsidRPr="00C94ADB">
        <w:rPr>
          <w:rFonts w:eastAsia="Times New Roman" w:cs="Arial"/>
          <w:kern w:val="21"/>
          <w:szCs w:val="17"/>
          <w:lang w:eastAsia="en-US"/>
        </w:rPr>
        <w:t xml:space="preserve"> over the SM1–SM5–P1K series. We propose that this large increase in HER stems from longer charge-carrier life-times in the polymer, </w:t>
      </w:r>
      <w:r w:rsidR="00B257FD" w:rsidRPr="00C94ADB">
        <w:rPr>
          <w:rFonts w:eastAsia="Times New Roman" w:cs="Arial"/>
          <w:kern w:val="21"/>
          <w:szCs w:val="17"/>
          <w:lang w:eastAsia="en-US"/>
        </w:rPr>
        <w:t>due to</w:t>
      </w:r>
      <w:r w:rsidRPr="00C94ADB">
        <w:rPr>
          <w:rFonts w:eastAsia="Times New Roman" w:cs="Arial"/>
          <w:kern w:val="21"/>
          <w:szCs w:val="17"/>
          <w:lang w:eastAsia="en-US"/>
        </w:rPr>
        <w:t xml:space="preserve"> an increase in conjugation length. The HERs for P1K and P1S were similar (see ESI), indicating no influence of the synthesis method on the photocatalytic activity.</w:t>
      </w:r>
    </w:p>
    <w:tbl>
      <w:tblPr>
        <w:tblW w:w="5091" w:type="dxa"/>
        <w:tblLook w:val="01E0" w:firstRow="1" w:lastRow="1" w:firstColumn="1" w:lastColumn="1" w:noHBand="0" w:noVBand="0"/>
      </w:tblPr>
      <w:tblGrid>
        <w:gridCol w:w="1054"/>
        <w:gridCol w:w="903"/>
        <w:gridCol w:w="808"/>
        <w:gridCol w:w="1134"/>
        <w:gridCol w:w="1192"/>
      </w:tblGrid>
      <w:tr w:rsidR="00C8278A" w:rsidRPr="00C94ADB" w14:paraId="13F7304A" w14:textId="77777777" w:rsidTr="005D35A9">
        <w:tc>
          <w:tcPr>
            <w:tcW w:w="5091" w:type="dxa"/>
            <w:gridSpan w:val="5"/>
            <w:shd w:val="clear" w:color="auto" w:fill="auto"/>
          </w:tcPr>
          <w:p w14:paraId="0178D7B0" w14:textId="77777777" w:rsidR="00C8278A" w:rsidRPr="00C94ADB" w:rsidRDefault="00C8278A" w:rsidP="000D37AC">
            <w:pPr>
              <w:pStyle w:val="TableSpacer"/>
              <w:spacing w:before="240"/>
              <w:rPr>
                <w:rFonts w:cs="Arial"/>
              </w:rPr>
            </w:pPr>
          </w:p>
        </w:tc>
      </w:tr>
      <w:tr w:rsidR="00C8278A" w:rsidRPr="00C94ADB" w14:paraId="7822A2DE" w14:textId="77777777" w:rsidTr="005D35A9">
        <w:tc>
          <w:tcPr>
            <w:tcW w:w="5091" w:type="dxa"/>
            <w:gridSpan w:val="5"/>
            <w:tcBorders>
              <w:bottom w:val="single" w:sz="8" w:space="0" w:color="000000"/>
            </w:tcBorders>
            <w:shd w:val="clear" w:color="auto" w:fill="auto"/>
          </w:tcPr>
          <w:p w14:paraId="0D0446F3" w14:textId="77777777" w:rsidR="00C8278A" w:rsidRPr="00C94ADB" w:rsidRDefault="00C8278A" w:rsidP="00F271F7">
            <w:pPr>
              <w:pStyle w:val="TableCaption"/>
              <w:rPr>
                <w:rFonts w:cs="Arial"/>
              </w:rPr>
            </w:pPr>
            <w:r w:rsidRPr="00C94ADB">
              <w:rPr>
                <w:rFonts w:cs="Arial"/>
                <w:b/>
              </w:rPr>
              <w:t>Table 1.</w:t>
            </w:r>
            <w:r w:rsidRPr="00C94ADB">
              <w:rPr>
                <w:rFonts w:cs="Arial"/>
              </w:rPr>
              <w:t xml:space="preserve"> </w:t>
            </w:r>
            <w:r w:rsidR="00B96364" w:rsidRPr="00C94ADB">
              <w:rPr>
                <w:rFonts w:cs="Arial"/>
              </w:rPr>
              <w:t xml:space="preserve">Photophysical properties and hydrogen evolution rates </w:t>
            </w:r>
            <w:r w:rsidR="005B1BB6" w:rsidRPr="00C94ADB">
              <w:rPr>
                <w:rFonts w:cs="Arial"/>
              </w:rPr>
              <w:t xml:space="preserve">(HERs) </w:t>
            </w:r>
            <w:r w:rsidR="00B96364" w:rsidRPr="00C94ADB">
              <w:rPr>
                <w:rFonts w:cs="Arial"/>
              </w:rPr>
              <w:t>for the polymer photocatalysts.</w:t>
            </w:r>
          </w:p>
        </w:tc>
      </w:tr>
      <w:tr w:rsidR="00C8278A" w:rsidRPr="00C94ADB" w14:paraId="7DDF9009" w14:textId="77777777" w:rsidTr="005D35A9">
        <w:tc>
          <w:tcPr>
            <w:tcW w:w="1054" w:type="dxa"/>
            <w:tcBorders>
              <w:top w:val="single" w:sz="8" w:space="0" w:color="000000"/>
              <w:bottom w:val="single" w:sz="8" w:space="0" w:color="000000"/>
            </w:tcBorders>
          </w:tcPr>
          <w:p w14:paraId="63CF04E3" w14:textId="77777777" w:rsidR="00C8278A" w:rsidRPr="00C94ADB" w:rsidRDefault="000D35F5" w:rsidP="00F84F20">
            <w:pPr>
              <w:pStyle w:val="TableHead"/>
              <w:jc w:val="center"/>
              <w:rPr>
                <w:rFonts w:eastAsiaTheme="majorEastAsia" w:cs="Arial"/>
                <w:b/>
                <w:bCs/>
                <w:i/>
                <w:iCs/>
              </w:rPr>
            </w:pPr>
            <w:r w:rsidRPr="00C94ADB">
              <w:rPr>
                <w:rFonts w:cs="Arial"/>
              </w:rPr>
              <w:t>Polymer</w:t>
            </w:r>
          </w:p>
        </w:tc>
        <w:tc>
          <w:tcPr>
            <w:tcW w:w="903" w:type="dxa"/>
            <w:tcBorders>
              <w:top w:val="single" w:sz="8" w:space="0" w:color="000000"/>
              <w:bottom w:val="single" w:sz="8" w:space="0" w:color="000000"/>
            </w:tcBorders>
          </w:tcPr>
          <w:p w14:paraId="17FB5FCB" w14:textId="77777777" w:rsidR="00E20F10" w:rsidRPr="00C94ADB" w:rsidRDefault="000D35F5" w:rsidP="000D35F5">
            <w:pPr>
              <w:pStyle w:val="TableHead"/>
              <w:rPr>
                <w:rFonts w:cs="Arial"/>
              </w:rPr>
            </w:pPr>
            <w:r w:rsidRPr="00C94ADB">
              <w:rPr>
                <w:rFonts w:cs="Arial"/>
              </w:rPr>
              <w:t xml:space="preserve">Optical </w:t>
            </w:r>
          </w:p>
          <w:p w14:paraId="2196B4BB" w14:textId="77777777" w:rsidR="000D35F5" w:rsidRPr="00C94ADB" w:rsidRDefault="000D35F5" w:rsidP="000D35F5">
            <w:pPr>
              <w:pStyle w:val="TableHead"/>
              <w:rPr>
                <w:rFonts w:cs="Arial"/>
              </w:rPr>
            </w:pPr>
            <w:r w:rsidRPr="00C94ADB">
              <w:rPr>
                <w:rFonts w:cs="Arial"/>
              </w:rPr>
              <w:t>gap</w:t>
            </w:r>
            <w:r w:rsidRPr="00C94ADB">
              <w:rPr>
                <w:rFonts w:cs="Arial"/>
                <w:vertAlign w:val="superscript"/>
              </w:rPr>
              <w:t>[a]</w:t>
            </w:r>
          </w:p>
          <w:p w14:paraId="2DA03670" w14:textId="77777777" w:rsidR="00C8278A" w:rsidRPr="00C94ADB" w:rsidRDefault="000D35F5" w:rsidP="000D35F5">
            <w:pPr>
              <w:pStyle w:val="TableHead"/>
              <w:rPr>
                <w:rFonts w:cs="Arial"/>
              </w:rPr>
            </w:pPr>
            <w:r w:rsidRPr="00C94ADB">
              <w:rPr>
                <w:rFonts w:cs="Arial"/>
              </w:rPr>
              <w:t>/ eV</w:t>
            </w:r>
          </w:p>
        </w:tc>
        <w:tc>
          <w:tcPr>
            <w:tcW w:w="808" w:type="dxa"/>
            <w:tcBorders>
              <w:top w:val="single" w:sz="8" w:space="0" w:color="000000"/>
              <w:bottom w:val="single" w:sz="8" w:space="0" w:color="000000"/>
            </w:tcBorders>
          </w:tcPr>
          <w:p w14:paraId="76552B9E" w14:textId="77777777" w:rsidR="000D35F5" w:rsidRPr="00C94ADB" w:rsidRDefault="000D35F5" w:rsidP="000D35F5">
            <w:pPr>
              <w:pStyle w:val="TableHead"/>
              <w:rPr>
                <w:rFonts w:cs="Arial"/>
              </w:rPr>
            </w:pPr>
            <w:r w:rsidRPr="00C94ADB">
              <w:rPr>
                <w:rFonts w:cs="Arial"/>
              </w:rPr>
              <w:t>λ</w:t>
            </w:r>
            <w:r w:rsidRPr="00C94ADB">
              <w:rPr>
                <w:rFonts w:cs="Arial"/>
                <w:vertAlign w:val="subscript"/>
              </w:rPr>
              <w:t>em</w:t>
            </w:r>
          </w:p>
          <w:p w14:paraId="3C7750CC" w14:textId="77777777" w:rsidR="00C8278A" w:rsidRPr="00C94ADB" w:rsidRDefault="000D35F5" w:rsidP="000D35F5">
            <w:pPr>
              <w:pStyle w:val="TableHead"/>
              <w:rPr>
                <w:rFonts w:cs="Arial"/>
              </w:rPr>
            </w:pPr>
            <w:r w:rsidRPr="00C94ADB">
              <w:rPr>
                <w:rFonts w:cs="Arial"/>
              </w:rPr>
              <w:t xml:space="preserve">/ nm </w:t>
            </w:r>
            <w:r w:rsidRPr="00C94ADB">
              <w:rPr>
                <w:rFonts w:cs="Arial"/>
                <w:vertAlign w:val="superscript"/>
              </w:rPr>
              <w:t>[b]</w:t>
            </w:r>
          </w:p>
        </w:tc>
        <w:tc>
          <w:tcPr>
            <w:tcW w:w="1134" w:type="dxa"/>
            <w:tcBorders>
              <w:top w:val="single" w:sz="8" w:space="0" w:color="000000"/>
              <w:bottom w:val="single" w:sz="8" w:space="0" w:color="000000"/>
            </w:tcBorders>
          </w:tcPr>
          <w:p w14:paraId="48637A73" w14:textId="77777777" w:rsidR="000D35F5" w:rsidRPr="00C94ADB" w:rsidRDefault="005B1BB6" w:rsidP="000D35F5">
            <w:pPr>
              <w:pStyle w:val="TableHead"/>
              <w:rPr>
                <w:rFonts w:cs="Arial"/>
              </w:rPr>
            </w:pPr>
            <w:r w:rsidRPr="00C94ADB">
              <w:rPr>
                <w:rFonts w:cs="Arial"/>
              </w:rPr>
              <w:t>HER</w:t>
            </w:r>
            <w:r w:rsidR="000D35F5" w:rsidRPr="00C94ADB">
              <w:rPr>
                <w:rFonts w:cs="Arial"/>
              </w:rPr>
              <w:t xml:space="preserve"> </w:t>
            </w:r>
          </w:p>
          <w:p w14:paraId="2B5D6D8A" w14:textId="77777777" w:rsidR="000D35F5" w:rsidRPr="00C94ADB" w:rsidRDefault="000D35F5" w:rsidP="000D35F5">
            <w:pPr>
              <w:pStyle w:val="TableHead"/>
              <w:rPr>
                <w:rFonts w:cs="Arial"/>
              </w:rPr>
            </w:pPr>
            <w:r w:rsidRPr="00C94ADB">
              <w:rPr>
                <w:rFonts w:cs="Arial"/>
              </w:rPr>
              <w:t>&gt; 420 nm</w:t>
            </w:r>
            <w:r w:rsidRPr="00C94ADB">
              <w:rPr>
                <w:rFonts w:cs="Arial"/>
                <w:vertAlign w:val="superscript"/>
              </w:rPr>
              <w:t>[c]</w:t>
            </w:r>
          </w:p>
          <w:p w14:paraId="3A3FFFDB" w14:textId="77777777" w:rsidR="00C8278A" w:rsidRPr="00C94ADB" w:rsidRDefault="00C57DBB" w:rsidP="00C57DBB">
            <w:pPr>
              <w:pStyle w:val="TableHead"/>
              <w:rPr>
                <w:rFonts w:cs="Arial"/>
              </w:rPr>
            </w:pPr>
            <w:r w:rsidRPr="00C94ADB">
              <w:rPr>
                <w:rFonts w:cs="Arial"/>
              </w:rPr>
              <w:t xml:space="preserve">/ μmol </w:t>
            </w:r>
            <w:r w:rsidR="000D35F5" w:rsidRPr="00C94ADB">
              <w:rPr>
                <w:rFonts w:cs="Arial"/>
              </w:rPr>
              <w:t>h</w:t>
            </w:r>
            <w:r w:rsidR="000D35F5" w:rsidRPr="00C94ADB">
              <w:rPr>
                <w:rFonts w:cs="Arial"/>
                <w:vertAlign w:val="superscript"/>
              </w:rPr>
              <w:t>-1</w:t>
            </w:r>
          </w:p>
        </w:tc>
        <w:tc>
          <w:tcPr>
            <w:tcW w:w="1192" w:type="dxa"/>
            <w:tcBorders>
              <w:top w:val="single" w:sz="8" w:space="0" w:color="000000"/>
              <w:bottom w:val="single" w:sz="8" w:space="0" w:color="000000"/>
            </w:tcBorders>
          </w:tcPr>
          <w:p w14:paraId="44473B4A" w14:textId="77777777" w:rsidR="000D35F5" w:rsidRPr="00C94ADB" w:rsidRDefault="005B1BB6" w:rsidP="000D35F5">
            <w:pPr>
              <w:pStyle w:val="TableHead"/>
              <w:rPr>
                <w:rFonts w:cs="Arial"/>
              </w:rPr>
            </w:pPr>
            <w:r w:rsidRPr="00C94ADB">
              <w:rPr>
                <w:rFonts w:cs="Arial"/>
              </w:rPr>
              <w:t>HER</w:t>
            </w:r>
            <w:r w:rsidR="000D35F5" w:rsidRPr="00C94ADB">
              <w:rPr>
                <w:rFonts w:cs="Arial"/>
              </w:rPr>
              <w:t xml:space="preserve"> </w:t>
            </w:r>
          </w:p>
          <w:p w14:paraId="7BBA71B4" w14:textId="77777777" w:rsidR="000D35F5" w:rsidRPr="00C94ADB" w:rsidRDefault="000D35F5" w:rsidP="000D35F5">
            <w:pPr>
              <w:pStyle w:val="TableHead"/>
              <w:rPr>
                <w:rFonts w:cs="Arial"/>
              </w:rPr>
            </w:pPr>
            <w:r w:rsidRPr="00C94ADB">
              <w:rPr>
                <w:rFonts w:cs="Arial"/>
              </w:rPr>
              <w:t>&gt; 295 nm</w:t>
            </w:r>
            <w:r w:rsidRPr="00C94ADB">
              <w:rPr>
                <w:rFonts w:cs="Arial"/>
                <w:vertAlign w:val="superscript"/>
              </w:rPr>
              <w:t>[c]</w:t>
            </w:r>
          </w:p>
          <w:p w14:paraId="3AA8EED7" w14:textId="77777777" w:rsidR="00C8278A" w:rsidRPr="00C94ADB" w:rsidRDefault="00C57DBB" w:rsidP="00C57DBB">
            <w:pPr>
              <w:pStyle w:val="TableHead"/>
              <w:rPr>
                <w:rFonts w:cs="Arial"/>
              </w:rPr>
            </w:pPr>
            <w:r w:rsidRPr="00C94ADB">
              <w:rPr>
                <w:rFonts w:cs="Arial"/>
              </w:rPr>
              <w:t xml:space="preserve">/ μmol </w:t>
            </w:r>
            <w:r w:rsidR="000D35F5" w:rsidRPr="00C94ADB">
              <w:rPr>
                <w:rFonts w:cs="Arial"/>
              </w:rPr>
              <w:t>h</w:t>
            </w:r>
            <w:r w:rsidR="000D35F5" w:rsidRPr="00C94ADB">
              <w:rPr>
                <w:rFonts w:cs="Arial"/>
                <w:vertAlign w:val="superscript"/>
              </w:rPr>
              <w:t>-1</w:t>
            </w:r>
          </w:p>
        </w:tc>
      </w:tr>
      <w:tr w:rsidR="00E20F10" w:rsidRPr="00C94ADB" w14:paraId="07D8AE4D" w14:textId="77777777" w:rsidTr="005D35A9">
        <w:tc>
          <w:tcPr>
            <w:tcW w:w="1054" w:type="dxa"/>
            <w:tcBorders>
              <w:top w:val="single" w:sz="8" w:space="0" w:color="000000"/>
            </w:tcBorders>
          </w:tcPr>
          <w:p w14:paraId="04A5929F" w14:textId="77777777" w:rsidR="00E20F10" w:rsidRPr="00C94ADB" w:rsidRDefault="00E20F10" w:rsidP="00E20F10">
            <w:pPr>
              <w:pStyle w:val="TCTableBody"/>
              <w:rPr>
                <w:rFonts w:ascii="Arial" w:hAnsi="Arial" w:cs="Arial"/>
                <w:sz w:val="14"/>
                <w:szCs w:val="14"/>
              </w:rPr>
            </w:pPr>
            <w:r w:rsidRPr="00C94ADB">
              <w:rPr>
                <w:rFonts w:ascii="Arial" w:hAnsi="Arial" w:cs="Arial"/>
                <w:sz w:val="14"/>
                <w:szCs w:val="14"/>
              </w:rPr>
              <w:t>P1K</w:t>
            </w:r>
          </w:p>
        </w:tc>
        <w:tc>
          <w:tcPr>
            <w:tcW w:w="903" w:type="dxa"/>
            <w:tcBorders>
              <w:top w:val="single" w:sz="8" w:space="0" w:color="000000"/>
            </w:tcBorders>
          </w:tcPr>
          <w:p w14:paraId="5EF6A039" w14:textId="77777777" w:rsidR="00E20F10" w:rsidRPr="00C94ADB" w:rsidRDefault="00E20F10" w:rsidP="00E20F10">
            <w:pPr>
              <w:pStyle w:val="TCTableBody"/>
              <w:rPr>
                <w:rFonts w:ascii="Arial" w:hAnsi="Arial" w:cs="Arial"/>
                <w:sz w:val="14"/>
                <w:szCs w:val="14"/>
              </w:rPr>
            </w:pPr>
            <w:r w:rsidRPr="00C94ADB">
              <w:rPr>
                <w:rFonts w:ascii="Arial" w:hAnsi="Arial" w:cs="Arial"/>
                <w:sz w:val="14"/>
                <w:szCs w:val="14"/>
              </w:rPr>
              <w:t>2.79</w:t>
            </w:r>
          </w:p>
        </w:tc>
        <w:tc>
          <w:tcPr>
            <w:tcW w:w="808" w:type="dxa"/>
            <w:tcBorders>
              <w:top w:val="single" w:sz="8" w:space="0" w:color="000000"/>
            </w:tcBorders>
          </w:tcPr>
          <w:p w14:paraId="366D88F8" w14:textId="77777777" w:rsidR="00E20F10" w:rsidRPr="00C94ADB" w:rsidRDefault="00E20F10" w:rsidP="00E20F10">
            <w:pPr>
              <w:pStyle w:val="TCTableBody"/>
              <w:rPr>
                <w:rFonts w:ascii="Arial" w:hAnsi="Arial" w:cs="Arial"/>
                <w:sz w:val="14"/>
                <w:szCs w:val="14"/>
              </w:rPr>
            </w:pPr>
            <w:r w:rsidRPr="00C94ADB">
              <w:rPr>
                <w:rFonts w:ascii="Arial" w:hAnsi="Arial" w:cs="Arial"/>
                <w:sz w:val="14"/>
                <w:szCs w:val="14"/>
              </w:rPr>
              <w:t>456, 483</w:t>
            </w:r>
          </w:p>
        </w:tc>
        <w:tc>
          <w:tcPr>
            <w:tcW w:w="1134" w:type="dxa"/>
            <w:tcBorders>
              <w:top w:val="single" w:sz="8" w:space="0" w:color="000000"/>
            </w:tcBorders>
          </w:tcPr>
          <w:p w14:paraId="232C58E7" w14:textId="77777777" w:rsidR="00E20F10" w:rsidRPr="00C94ADB" w:rsidRDefault="00C57DBB" w:rsidP="00C57DBB">
            <w:pPr>
              <w:pStyle w:val="TCTableBody"/>
              <w:rPr>
                <w:rFonts w:ascii="Arial" w:hAnsi="Arial" w:cs="Arial"/>
                <w:sz w:val="14"/>
                <w:szCs w:val="14"/>
              </w:rPr>
            </w:pPr>
            <w:r w:rsidRPr="00C94ADB">
              <w:rPr>
                <w:rFonts w:ascii="Arial" w:hAnsi="Arial" w:cs="Arial"/>
                <w:sz w:val="14"/>
                <w:szCs w:val="14"/>
              </w:rPr>
              <w:t xml:space="preserve">2.0 </w:t>
            </w:r>
            <w:r w:rsidR="00E20F10" w:rsidRPr="00C94ADB">
              <w:rPr>
                <w:rFonts w:ascii="Arial" w:hAnsi="Arial" w:cs="Arial"/>
                <w:sz w:val="14"/>
                <w:szCs w:val="14"/>
              </w:rPr>
              <w:t xml:space="preserve">(± </w:t>
            </w:r>
            <w:r w:rsidRPr="00C94ADB">
              <w:rPr>
                <w:rFonts w:ascii="Arial" w:hAnsi="Arial" w:cs="Arial"/>
                <w:sz w:val="14"/>
                <w:szCs w:val="14"/>
              </w:rPr>
              <w:t>0.1</w:t>
            </w:r>
            <w:r w:rsidR="00E20F10" w:rsidRPr="00C94ADB">
              <w:rPr>
                <w:rFonts w:ascii="Arial" w:hAnsi="Arial" w:cs="Arial"/>
                <w:sz w:val="14"/>
                <w:szCs w:val="14"/>
              </w:rPr>
              <w:t>)</w:t>
            </w:r>
          </w:p>
        </w:tc>
        <w:tc>
          <w:tcPr>
            <w:tcW w:w="1192" w:type="dxa"/>
            <w:tcBorders>
              <w:top w:val="single" w:sz="8" w:space="0" w:color="000000"/>
            </w:tcBorders>
          </w:tcPr>
          <w:p w14:paraId="775B6257" w14:textId="77777777" w:rsidR="00E20F10" w:rsidRPr="00C94ADB" w:rsidRDefault="00C57DBB" w:rsidP="00C57DBB">
            <w:pPr>
              <w:pStyle w:val="TCTableBody"/>
              <w:rPr>
                <w:rFonts w:ascii="Arial" w:hAnsi="Arial" w:cs="Arial"/>
                <w:sz w:val="14"/>
                <w:szCs w:val="14"/>
              </w:rPr>
            </w:pPr>
            <w:r w:rsidRPr="00C94ADB">
              <w:rPr>
                <w:rFonts w:ascii="Arial" w:hAnsi="Arial" w:cs="Arial"/>
                <w:sz w:val="14"/>
                <w:szCs w:val="14"/>
              </w:rPr>
              <w:t>10.3</w:t>
            </w:r>
            <w:r w:rsidR="00E20F10" w:rsidRPr="00C94ADB">
              <w:rPr>
                <w:rFonts w:ascii="Arial" w:hAnsi="Arial" w:cs="Arial"/>
                <w:sz w:val="14"/>
                <w:szCs w:val="14"/>
              </w:rPr>
              <w:t xml:space="preserve"> (± </w:t>
            </w:r>
            <w:r w:rsidRPr="00C94ADB">
              <w:rPr>
                <w:rFonts w:ascii="Arial" w:hAnsi="Arial" w:cs="Arial"/>
                <w:sz w:val="14"/>
                <w:szCs w:val="14"/>
              </w:rPr>
              <w:t>0.7</w:t>
            </w:r>
            <w:r w:rsidR="00E20F10" w:rsidRPr="00C94ADB">
              <w:rPr>
                <w:rFonts w:ascii="Arial" w:hAnsi="Arial" w:cs="Arial"/>
                <w:sz w:val="14"/>
                <w:szCs w:val="14"/>
              </w:rPr>
              <w:t>)</w:t>
            </w:r>
          </w:p>
        </w:tc>
      </w:tr>
      <w:tr w:rsidR="00E20F10" w:rsidRPr="00C94ADB" w14:paraId="1D16CC24" w14:textId="77777777" w:rsidTr="005D35A9">
        <w:tc>
          <w:tcPr>
            <w:tcW w:w="1054" w:type="dxa"/>
          </w:tcPr>
          <w:p w14:paraId="1EA37BD8" w14:textId="77777777" w:rsidR="00E20F10" w:rsidRPr="00C94ADB" w:rsidRDefault="00E20F10" w:rsidP="00E20F10">
            <w:pPr>
              <w:pStyle w:val="TCTableBody"/>
              <w:rPr>
                <w:rFonts w:ascii="Arial" w:hAnsi="Arial" w:cs="Arial"/>
                <w:sz w:val="14"/>
                <w:szCs w:val="14"/>
              </w:rPr>
            </w:pPr>
            <w:r w:rsidRPr="00C94ADB">
              <w:rPr>
                <w:rFonts w:ascii="Arial" w:hAnsi="Arial" w:cs="Arial"/>
                <w:sz w:val="14"/>
                <w:szCs w:val="14"/>
              </w:rPr>
              <w:t>P1S</w:t>
            </w:r>
          </w:p>
        </w:tc>
        <w:tc>
          <w:tcPr>
            <w:tcW w:w="903" w:type="dxa"/>
          </w:tcPr>
          <w:p w14:paraId="00D2C5F8" w14:textId="77777777" w:rsidR="00E20F10" w:rsidRPr="00C94ADB" w:rsidRDefault="00E20F10" w:rsidP="00E20F10">
            <w:pPr>
              <w:pStyle w:val="TCTableBody"/>
              <w:rPr>
                <w:rFonts w:ascii="Arial" w:hAnsi="Arial" w:cs="Arial"/>
                <w:sz w:val="14"/>
                <w:szCs w:val="14"/>
              </w:rPr>
            </w:pPr>
            <w:r w:rsidRPr="00C94ADB">
              <w:rPr>
                <w:rFonts w:ascii="Arial" w:hAnsi="Arial" w:cs="Arial"/>
                <w:sz w:val="14"/>
                <w:szCs w:val="14"/>
              </w:rPr>
              <w:t>2.78</w:t>
            </w:r>
          </w:p>
        </w:tc>
        <w:tc>
          <w:tcPr>
            <w:tcW w:w="808" w:type="dxa"/>
          </w:tcPr>
          <w:p w14:paraId="31016CEC" w14:textId="77777777" w:rsidR="00E20F10" w:rsidRPr="00C94ADB" w:rsidRDefault="00E20F10" w:rsidP="00E20F10">
            <w:pPr>
              <w:pStyle w:val="TCTableBody"/>
              <w:rPr>
                <w:rFonts w:ascii="Arial" w:hAnsi="Arial" w:cs="Arial"/>
                <w:sz w:val="14"/>
                <w:szCs w:val="14"/>
              </w:rPr>
            </w:pPr>
            <w:r w:rsidRPr="00C94ADB">
              <w:rPr>
                <w:rFonts w:ascii="Arial" w:hAnsi="Arial" w:cs="Arial"/>
                <w:sz w:val="14"/>
                <w:szCs w:val="14"/>
              </w:rPr>
              <w:t>452, 478</w:t>
            </w:r>
          </w:p>
        </w:tc>
        <w:tc>
          <w:tcPr>
            <w:tcW w:w="1134" w:type="dxa"/>
          </w:tcPr>
          <w:p w14:paraId="1EBC6B8F" w14:textId="77777777" w:rsidR="00E20F10" w:rsidRPr="00C94ADB" w:rsidRDefault="00C57DBB" w:rsidP="00C57DBB">
            <w:pPr>
              <w:pStyle w:val="TCTableBody"/>
              <w:rPr>
                <w:rFonts w:ascii="Arial" w:hAnsi="Arial" w:cs="Arial"/>
                <w:sz w:val="14"/>
                <w:szCs w:val="14"/>
              </w:rPr>
            </w:pPr>
            <w:r w:rsidRPr="00C94ADB">
              <w:rPr>
                <w:rFonts w:ascii="Arial" w:hAnsi="Arial" w:cs="Arial"/>
                <w:sz w:val="14"/>
                <w:szCs w:val="14"/>
              </w:rPr>
              <w:t>3.9</w:t>
            </w:r>
            <w:r w:rsidR="00E20F10" w:rsidRPr="00C94ADB">
              <w:rPr>
                <w:rFonts w:ascii="Arial" w:hAnsi="Arial" w:cs="Arial"/>
                <w:sz w:val="14"/>
                <w:szCs w:val="14"/>
              </w:rPr>
              <w:t xml:space="preserve"> (± </w:t>
            </w:r>
            <w:r w:rsidRPr="00C94ADB">
              <w:rPr>
                <w:rFonts w:ascii="Arial" w:hAnsi="Arial" w:cs="Arial"/>
                <w:sz w:val="14"/>
                <w:szCs w:val="14"/>
              </w:rPr>
              <w:t>0.2</w:t>
            </w:r>
            <w:r w:rsidR="00E20F10" w:rsidRPr="00C94ADB">
              <w:rPr>
                <w:rFonts w:ascii="Arial" w:hAnsi="Arial" w:cs="Arial"/>
                <w:sz w:val="14"/>
                <w:szCs w:val="14"/>
              </w:rPr>
              <w:t>)</w:t>
            </w:r>
          </w:p>
        </w:tc>
        <w:tc>
          <w:tcPr>
            <w:tcW w:w="1192" w:type="dxa"/>
          </w:tcPr>
          <w:p w14:paraId="3D77196A" w14:textId="77777777" w:rsidR="00E20F10" w:rsidRPr="00C94ADB" w:rsidRDefault="00C57DBB" w:rsidP="00C57DBB">
            <w:pPr>
              <w:pStyle w:val="TCTableBody"/>
              <w:rPr>
                <w:rFonts w:ascii="Arial" w:hAnsi="Arial" w:cs="Arial"/>
                <w:sz w:val="14"/>
                <w:szCs w:val="14"/>
              </w:rPr>
            </w:pPr>
            <w:r w:rsidRPr="00C94ADB">
              <w:rPr>
                <w:rFonts w:ascii="Arial" w:hAnsi="Arial" w:cs="Arial"/>
                <w:sz w:val="14"/>
                <w:szCs w:val="14"/>
              </w:rPr>
              <w:t>14.3</w:t>
            </w:r>
            <w:r w:rsidR="00E20F10" w:rsidRPr="00C94ADB">
              <w:rPr>
                <w:rFonts w:ascii="Arial" w:hAnsi="Arial" w:cs="Arial"/>
                <w:sz w:val="14"/>
                <w:szCs w:val="14"/>
              </w:rPr>
              <w:t xml:space="preserve"> (± </w:t>
            </w:r>
            <w:r w:rsidRPr="00C94ADB">
              <w:rPr>
                <w:rFonts w:ascii="Arial" w:hAnsi="Arial" w:cs="Arial"/>
                <w:sz w:val="14"/>
                <w:szCs w:val="14"/>
              </w:rPr>
              <w:t>0.4</w:t>
            </w:r>
            <w:r w:rsidR="00E20F10" w:rsidRPr="00C94ADB">
              <w:rPr>
                <w:rFonts w:ascii="Arial" w:hAnsi="Arial" w:cs="Arial"/>
                <w:sz w:val="14"/>
                <w:szCs w:val="14"/>
              </w:rPr>
              <w:t>)</w:t>
            </w:r>
          </w:p>
        </w:tc>
      </w:tr>
      <w:tr w:rsidR="00E20F10" w:rsidRPr="00C94ADB" w14:paraId="2E0D7DC0" w14:textId="77777777" w:rsidTr="005D35A9">
        <w:tc>
          <w:tcPr>
            <w:tcW w:w="1054" w:type="dxa"/>
          </w:tcPr>
          <w:p w14:paraId="0EA24DF5" w14:textId="77777777" w:rsidR="00E20F10" w:rsidRPr="00C94ADB" w:rsidRDefault="00E20F10" w:rsidP="00E20F10">
            <w:pPr>
              <w:pStyle w:val="TCTableBody"/>
              <w:rPr>
                <w:rFonts w:ascii="Arial" w:hAnsi="Arial" w:cs="Arial"/>
                <w:sz w:val="14"/>
                <w:szCs w:val="14"/>
              </w:rPr>
            </w:pPr>
            <w:r w:rsidRPr="00C94ADB">
              <w:rPr>
                <w:rFonts w:ascii="Arial" w:hAnsi="Arial" w:cs="Arial"/>
                <w:sz w:val="14"/>
                <w:szCs w:val="14"/>
              </w:rPr>
              <w:t>P2</w:t>
            </w:r>
          </w:p>
        </w:tc>
        <w:tc>
          <w:tcPr>
            <w:tcW w:w="903" w:type="dxa"/>
          </w:tcPr>
          <w:p w14:paraId="0395716C" w14:textId="77777777" w:rsidR="00E20F10" w:rsidRPr="00C94ADB" w:rsidRDefault="00E20F10" w:rsidP="00E20F10">
            <w:pPr>
              <w:pStyle w:val="TCTableBody"/>
              <w:rPr>
                <w:rFonts w:ascii="Arial" w:hAnsi="Arial" w:cs="Arial"/>
                <w:sz w:val="14"/>
                <w:szCs w:val="14"/>
              </w:rPr>
            </w:pPr>
            <w:r w:rsidRPr="00C94ADB">
              <w:rPr>
                <w:rFonts w:ascii="Arial" w:hAnsi="Arial" w:cs="Arial"/>
                <w:sz w:val="14"/>
                <w:szCs w:val="14"/>
              </w:rPr>
              <w:t>2.79</w:t>
            </w:r>
          </w:p>
        </w:tc>
        <w:tc>
          <w:tcPr>
            <w:tcW w:w="808" w:type="dxa"/>
          </w:tcPr>
          <w:p w14:paraId="172CDF4E" w14:textId="77777777" w:rsidR="00E20F10" w:rsidRPr="00C94ADB" w:rsidRDefault="00E20F10" w:rsidP="00E20F10">
            <w:pPr>
              <w:pStyle w:val="TCTableBody"/>
              <w:rPr>
                <w:rFonts w:ascii="Arial" w:hAnsi="Arial" w:cs="Arial"/>
                <w:sz w:val="14"/>
                <w:szCs w:val="14"/>
              </w:rPr>
            </w:pPr>
            <w:r w:rsidRPr="00C94ADB">
              <w:rPr>
                <w:rFonts w:ascii="Arial" w:hAnsi="Arial" w:cs="Arial"/>
                <w:sz w:val="14"/>
                <w:szCs w:val="14"/>
              </w:rPr>
              <w:t>446</w:t>
            </w:r>
          </w:p>
        </w:tc>
        <w:tc>
          <w:tcPr>
            <w:tcW w:w="1134" w:type="dxa"/>
          </w:tcPr>
          <w:p w14:paraId="2F7F671D" w14:textId="77777777" w:rsidR="00E20F10" w:rsidRPr="00C94ADB" w:rsidRDefault="00C57DBB" w:rsidP="00C57DBB">
            <w:pPr>
              <w:pStyle w:val="TCTableBody"/>
              <w:rPr>
                <w:rFonts w:ascii="Arial" w:hAnsi="Arial" w:cs="Arial"/>
                <w:sz w:val="14"/>
                <w:szCs w:val="14"/>
              </w:rPr>
            </w:pPr>
            <w:r w:rsidRPr="00C94ADB">
              <w:rPr>
                <w:rFonts w:ascii="Arial" w:hAnsi="Arial" w:cs="Arial"/>
                <w:sz w:val="14"/>
                <w:szCs w:val="14"/>
              </w:rPr>
              <w:t>8.3</w:t>
            </w:r>
            <w:r w:rsidR="00E20F10" w:rsidRPr="00C94ADB">
              <w:rPr>
                <w:rFonts w:ascii="Arial" w:hAnsi="Arial" w:cs="Arial"/>
                <w:sz w:val="14"/>
                <w:szCs w:val="14"/>
              </w:rPr>
              <w:t xml:space="preserve"> (± </w:t>
            </w:r>
            <w:r w:rsidRPr="00C94ADB">
              <w:rPr>
                <w:rFonts w:ascii="Arial" w:hAnsi="Arial" w:cs="Arial"/>
                <w:sz w:val="14"/>
                <w:szCs w:val="14"/>
              </w:rPr>
              <w:t>0.2</w:t>
            </w:r>
            <w:r w:rsidR="00E20F10" w:rsidRPr="00C94ADB">
              <w:rPr>
                <w:rFonts w:ascii="Arial" w:hAnsi="Arial" w:cs="Arial"/>
                <w:sz w:val="14"/>
                <w:szCs w:val="14"/>
              </w:rPr>
              <w:t>)</w:t>
            </w:r>
          </w:p>
        </w:tc>
        <w:tc>
          <w:tcPr>
            <w:tcW w:w="1192" w:type="dxa"/>
          </w:tcPr>
          <w:p w14:paraId="45A38AB8" w14:textId="77777777" w:rsidR="00E20F10" w:rsidRPr="00C94ADB" w:rsidRDefault="00C57DBB" w:rsidP="00C57DBB">
            <w:pPr>
              <w:pStyle w:val="TCTableBody"/>
              <w:rPr>
                <w:rFonts w:ascii="Arial" w:hAnsi="Arial" w:cs="Arial"/>
                <w:sz w:val="14"/>
                <w:szCs w:val="14"/>
              </w:rPr>
            </w:pPr>
            <w:r w:rsidRPr="00C94ADB">
              <w:rPr>
                <w:rFonts w:ascii="Arial" w:hAnsi="Arial" w:cs="Arial"/>
                <w:sz w:val="14"/>
                <w:szCs w:val="14"/>
              </w:rPr>
              <w:t>43.6</w:t>
            </w:r>
            <w:r w:rsidR="00E20F10" w:rsidRPr="00C94ADB">
              <w:rPr>
                <w:rFonts w:ascii="Arial" w:hAnsi="Arial" w:cs="Arial"/>
                <w:sz w:val="14"/>
                <w:szCs w:val="14"/>
              </w:rPr>
              <w:t xml:space="preserve"> (± </w:t>
            </w:r>
            <w:r w:rsidRPr="00C94ADB">
              <w:rPr>
                <w:rFonts w:ascii="Arial" w:hAnsi="Arial" w:cs="Arial"/>
                <w:sz w:val="14"/>
                <w:szCs w:val="14"/>
              </w:rPr>
              <w:t>0.2</w:t>
            </w:r>
            <w:r w:rsidR="00E20F10" w:rsidRPr="00C94ADB">
              <w:rPr>
                <w:rFonts w:ascii="Arial" w:hAnsi="Arial" w:cs="Arial"/>
                <w:sz w:val="14"/>
                <w:szCs w:val="14"/>
              </w:rPr>
              <w:t>)</w:t>
            </w:r>
          </w:p>
        </w:tc>
      </w:tr>
      <w:tr w:rsidR="00E20F10" w:rsidRPr="00C94ADB" w14:paraId="1BAD846E" w14:textId="77777777" w:rsidTr="005D35A9">
        <w:tc>
          <w:tcPr>
            <w:tcW w:w="1054" w:type="dxa"/>
          </w:tcPr>
          <w:p w14:paraId="569DFE79" w14:textId="77777777" w:rsidR="00E20F10" w:rsidRPr="00C94ADB" w:rsidRDefault="00E20F10" w:rsidP="00E20F10">
            <w:pPr>
              <w:pStyle w:val="TCTableBody"/>
              <w:rPr>
                <w:rFonts w:ascii="Arial" w:hAnsi="Arial" w:cs="Arial"/>
                <w:sz w:val="14"/>
                <w:szCs w:val="14"/>
              </w:rPr>
            </w:pPr>
            <w:r w:rsidRPr="00C94ADB">
              <w:rPr>
                <w:rFonts w:ascii="Arial" w:hAnsi="Arial" w:cs="Arial"/>
                <w:sz w:val="14"/>
                <w:szCs w:val="14"/>
              </w:rPr>
              <w:t>P3</w:t>
            </w:r>
          </w:p>
        </w:tc>
        <w:tc>
          <w:tcPr>
            <w:tcW w:w="903" w:type="dxa"/>
          </w:tcPr>
          <w:p w14:paraId="06384BFD" w14:textId="77777777" w:rsidR="00E20F10" w:rsidRPr="00C94ADB" w:rsidRDefault="00E20F10" w:rsidP="00E20F10">
            <w:pPr>
              <w:pStyle w:val="TCTableBody"/>
              <w:rPr>
                <w:rFonts w:ascii="Arial" w:hAnsi="Arial" w:cs="Arial"/>
                <w:sz w:val="14"/>
                <w:szCs w:val="14"/>
              </w:rPr>
            </w:pPr>
            <w:r w:rsidRPr="00C94ADB">
              <w:rPr>
                <w:rFonts w:ascii="Arial" w:hAnsi="Arial" w:cs="Arial"/>
                <w:sz w:val="14"/>
                <w:szCs w:val="14"/>
              </w:rPr>
              <w:t>2.86</w:t>
            </w:r>
          </w:p>
        </w:tc>
        <w:tc>
          <w:tcPr>
            <w:tcW w:w="808" w:type="dxa"/>
          </w:tcPr>
          <w:p w14:paraId="38C7EF32" w14:textId="77777777" w:rsidR="00E20F10" w:rsidRPr="00C94ADB" w:rsidRDefault="00E20F10" w:rsidP="00E20F10">
            <w:pPr>
              <w:pStyle w:val="TCTableBody"/>
              <w:rPr>
                <w:rFonts w:ascii="Arial" w:hAnsi="Arial" w:cs="Arial"/>
                <w:sz w:val="14"/>
                <w:szCs w:val="14"/>
              </w:rPr>
            </w:pPr>
            <w:r w:rsidRPr="00C94ADB">
              <w:rPr>
                <w:rFonts w:ascii="Arial" w:hAnsi="Arial" w:cs="Arial"/>
                <w:sz w:val="14"/>
                <w:szCs w:val="14"/>
              </w:rPr>
              <w:t>458, 525</w:t>
            </w:r>
          </w:p>
        </w:tc>
        <w:tc>
          <w:tcPr>
            <w:tcW w:w="1134" w:type="dxa"/>
          </w:tcPr>
          <w:p w14:paraId="6930132C" w14:textId="77777777" w:rsidR="00E20F10" w:rsidRPr="00C94ADB" w:rsidRDefault="00C57DBB" w:rsidP="00C57DBB">
            <w:pPr>
              <w:pStyle w:val="TCTableBody"/>
              <w:rPr>
                <w:rFonts w:ascii="Arial" w:hAnsi="Arial" w:cs="Arial"/>
                <w:sz w:val="14"/>
                <w:szCs w:val="14"/>
              </w:rPr>
            </w:pPr>
            <w:r w:rsidRPr="00C94ADB">
              <w:rPr>
                <w:rFonts w:ascii="Arial" w:hAnsi="Arial" w:cs="Arial"/>
                <w:sz w:val="14"/>
                <w:szCs w:val="14"/>
              </w:rPr>
              <w:t>0.1</w:t>
            </w:r>
            <w:r w:rsidR="00E20F10" w:rsidRPr="00C94ADB">
              <w:rPr>
                <w:rFonts w:ascii="Arial" w:hAnsi="Arial" w:cs="Arial"/>
                <w:sz w:val="14"/>
                <w:szCs w:val="14"/>
              </w:rPr>
              <w:t xml:space="preserve"> (± </w:t>
            </w:r>
            <w:r w:rsidRPr="00C94ADB">
              <w:rPr>
                <w:rFonts w:ascii="Arial" w:hAnsi="Arial" w:cs="Arial"/>
                <w:sz w:val="14"/>
                <w:szCs w:val="14"/>
              </w:rPr>
              <w:t>0</w:t>
            </w:r>
            <w:r w:rsidR="00E20F10" w:rsidRPr="00C94ADB">
              <w:rPr>
                <w:rFonts w:ascii="Arial" w:hAnsi="Arial" w:cs="Arial"/>
                <w:sz w:val="14"/>
                <w:szCs w:val="14"/>
              </w:rPr>
              <w:t>.</w:t>
            </w:r>
            <w:r w:rsidRPr="00C94ADB">
              <w:rPr>
                <w:rFonts w:ascii="Arial" w:hAnsi="Arial" w:cs="Arial"/>
                <w:sz w:val="14"/>
                <w:szCs w:val="14"/>
              </w:rPr>
              <w:t>04</w:t>
            </w:r>
            <w:r w:rsidR="00E20F10" w:rsidRPr="00C94ADB">
              <w:rPr>
                <w:rFonts w:ascii="Arial" w:hAnsi="Arial" w:cs="Arial"/>
                <w:sz w:val="14"/>
                <w:szCs w:val="14"/>
              </w:rPr>
              <w:t>)</w:t>
            </w:r>
          </w:p>
        </w:tc>
        <w:tc>
          <w:tcPr>
            <w:tcW w:w="1192" w:type="dxa"/>
          </w:tcPr>
          <w:p w14:paraId="745C8028" w14:textId="77777777" w:rsidR="00E20F10" w:rsidRPr="00C94ADB" w:rsidRDefault="00C57DBB" w:rsidP="00C57DBB">
            <w:pPr>
              <w:pStyle w:val="TCTableBody"/>
              <w:rPr>
                <w:rFonts w:ascii="Arial" w:hAnsi="Arial" w:cs="Arial"/>
                <w:sz w:val="14"/>
                <w:szCs w:val="14"/>
              </w:rPr>
            </w:pPr>
            <w:r w:rsidRPr="00C94ADB">
              <w:rPr>
                <w:rFonts w:ascii="Arial" w:hAnsi="Arial" w:cs="Arial"/>
                <w:sz w:val="14"/>
                <w:szCs w:val="14"/>
              </w:rPr>
              <w:t>49.2 (± 0.4</w:t>
            </w:r>
            <w:r w:rsidR="00E20F10" w:rsidRPr="00C94ADB">
              <w:rPr>
                <w:rFonts w:ascii="Arial" w:hAnsi="Arial" w:cs="Arial"/>
                <w:sz w:val="14"/>
                <w:szCs w:val="14"/>
              </w:rPr>
              <w:t>)</w:t>
            </w:r>
          </w:p>
        </w:tc>
      </w:tr>
      <w:tr w:rsidR="00E20F10" w:rsidRPr="00C94ADB" w14:paraId="50F87740" w14:textId="77777777" w:rsidTr="005D35A9">
        <w:tc>
          <w:tcPr>
            <w:tcW w:w="1054" w:type="dxa"/>
          </w:tcPr>
          <w:p w14:paraId="6ABE3A36" w14:textId="77777777" w:rsidR="00E20F10" w:rsidRPr="00C94ADB" w:rsidRDefault="00E20F10" w:rsidP="00E20F10">
            <w:pPr>
              <w:pStyle w:val="TCTableBody"/>
              <w:rPr>
                <w:rFonts w:ascii="Arial" w:hAnsi="Arial" w:cs="Arial"/>
                <w:sz w:val="14"/>
                <w:szCs w:val="14"/>
              </w:rPr>
            </w:pPr>
            <w:r w:rsidRPr="00C94ADB">
              <w:rPr>
                <w:rFonts w:ascii="Arial" w:hAnsi="Arial" w:cs="Arial"/>
                <w:sz w:val="14"/>
                <w:szCs w:val="14"/>
              </w:rPr>
              <w:t>P4</w:t>
            </w:r>
          </w:p>
        </w:tc>
        <w:tc>
          <w:tcPr>
            <w:tcW w:w="903" w:type="dxa"/>
          </w:tcPr>
          <w:p w14:paraId="1ECC2A0C" w14:textId="77777777" w:rsidR="00E20F10" w:rsidRPr="00C94ADB" w:rsidRDefault="00E20F10" w:rsidP="00E20F10">
            <w:pPr>
              <w:pStyle w:val="TCTableBody"/>
              <w:rPr>
                <w:rFonts w:ascii="Arial" w:hAnsi="Arial" w:cs="Arial"/>
                <w:sz w:val="14"/>
                <w:szCs w:val="14"/>
              </w:rPr>
            </w:pPr>
            <w:r w:rsidRPr="00C94ADB">
              <w:rPr>
                <w:rFonts w:ascii="Arial" w:hAnsi="Arial" w:cs="Arial"/>
                <w:sz w:val="14"/>
                <w:szCs w:val="14"/>
              </w:rPr>
              <w:t>2.72</w:t>
            </w:r>
          </w:p>
        </w:tc>
        <w:tc>
          <w:tcPr>
            <w:tcW w:w="808" w:type="dxa"/>
          </w:tcPr>
          <w:p w14:paraId="1975CE93" w14:textId="77777777" w:rsidR="00E20F10" w:rsidRPr="00C94ADB" w:rsidRDefault="00E20F10" w:rsidP="00E20F10">
            <w:pPr>
              <w:pStyle w:val="TCTableBody"/>
              <w:rPr>
                <w:rFonts w:ascii="Arial" w:hAnsi="Arial" w:cs="Arial"/>
                <w:sz w:val="14"/>
                <w:szCs w:val="14"/>
              </w:rPr>
            </w:pPr>
            <w:r w:rsidRPr="00C94ADB">
              <w:rPr>
                <w:rFonts w:ascii="Arial" w:hAnsi="Arial" w:cs="Arial"/>
                <w:sz w:val="14"/>
                <w:szCs w:val="14"/>
              </w:rPr>
              <w:t>434, 452</w:t>
            </w:r>
          </w:p>
        </w:tc>
        <w:tc>
          <w:tcPr>
            <w:tcW w:w="1134" w:type="dxa"/>
          </w:tcPr>
          <w:p w14:paraId="5782AA6D" w14:textId="77777777" w:rsidR="00E20F10" w:rsidRPr="00C94ADB" w:rsidRDefault="00C57DBB" w:rsidP="00C57DBB">
            <w:pPr>
              <w:pStyle w:val="TCTableBody"/>
              <w:rPr>
                <w:rFonts w:ascii="Arial" w:hAnsi="Arial" w:cs="Arial"/>
                <w:sz w:val="14"/>
                <w:szCs w:val="14"/>
              </w:rPr>
            </w:pPr>
            <w:r w:rsidRPr="00C94ADB">
              <w:rPr>
                <w:rFonts w:ascii="Arial" w:hAnsi="Arial" w:cs="Arial"/>
                <w:sz w:val="14"/>
                <w:szCs w:val="14"/>
              </w:rPr>
              <w:t>7.8</w:t>
            </w:r>
            <w:r w:rsidR="00E20F10" w:rsidRPr="00C94ADB">
              <w:rPr>
                <w:rFonts w:ascii="Arial" w:hAnsi="Arial" w:cs="Arial"/>
                <w:sz w:val="14"/>
                <w:szCs w:val="14"/>
              </w:rPr>
              <w:t xml:space="preserve"> (± </w:t>
            </w:r>
            <w:r w:rsidRPr="00C94ADB">
              <w:rPr>
                <w:rFonts w:ascii="Arial" w:hAnsi="Arial" w:cs="Arial"/>
                <w:sz w:val="14"/>
                <w:szCs w:val="14"/>
              </w:rPr>
              <w:t>0.2</w:t>
            </w:r>
            <w:r w:rsidR="00E20F10" w:rsidRPr="00C94ADB">
              <w:rPr>
                <w:rFonts w:ascii="Arial" w:hAnsi="Arial" w:cs="Arial"/>
                <w:sz w:val="14"/>
                <w:szCs w:val="14"/>
              </w:rPr>
              <w:t>)</w:t>
            </w:r>
          </w:p>
        </w:tc>
        <w:tc>
          <w:tcPr>
            <w:tcW w:w="1192" w:type="dxa"/>
          </w:tcPr>
          <w:p w14:paraId="4AD10D4F" w14:textId="77777777" w:rsidR="00E20F10" w:rsidRPr="00C94ADB" w:rsidRDefault="00C57DBB" w:rsidP="00C57DBB">
            <w:pPr>
              <w:pStyle w:val="TCTableBody"/>
              <w:rPr>
                <w:rFonts w:ascii="Arial" w:hAnsi="Arial" w:cs="Arial"/>
                <w:sz w:val="14"/>
                <w:szCs w:val="14"/>
              </w:rPr>
            </w:pPr>
            <w:r w:rsidRPr="00C94ADB">
              <w:rPr>
                <w:rFonts w:ascii="Arial" w:hAnsi="Arial" w:cs="Arial"/>
                <w:sz w:val="14"/>
                <w:szCs w:val="14"/>
              </w:rPr>
              <w:t>35.1</w:t>
            </w:r>
            <w:r w:rsidR="00E20F10" w:rsidRPr="00C94ADB">
              <w:rPr>
                <w:rFonts w:ascii="Arial" w:hAnsi="Arial" w:cs="Arial"/>
                <w:sz w:val="14"/>
                <w:szCs w:val="14"/>
              </w:rPr>
              <w:t xml:space="preserve"> (± </w:t>
            </w:r>
            <w:r w:rsidRPr="00C94ADB">
              <w:rPr>
                <w:rFonts w:ascii="Arial" w:hAnsi="Arial" w:cs="Arial"/>
                <w:sz w:val="14"/>
                <w:szCs w:val="14"/>
              </w:rPr>
              <w:t>1.2</w:t>
            </w:r>
            <w:r w:rsidR="00E20F10" w:rsidRPr="00C94ADB">
              <w:rPr>
                <w:rFonts w:ascii="Arial" w:hAnsi="Arial" w:cs="Arial"/>
                <w:sz w:val="14"/>
                <w:szCs w:val="14"/>
              </w:rPr>
              <w:t>)</w:t>
            </w:r>
          </w:p>
        </w:tc>
      </w:tr>
      <w:tr w:rsidR="00982F40" w:rsidRPr="00C94ADB" w14:paraId="325CD2FD" w14:textId="77777777" w:rsidTr="005D35A9">
        <w:tc>
          <w:tcPr>
            <w:tcW w:w="1054" w:type="dxa"/>
          </w:tcPr>
          <w:p w14:paraId="6703AD23" w14:textId="77777777" w:rsidR="00E20F10" w:rsidRPr="00C94ADB" w:rsidRDefault="00E20F10" w:rsidP="00E20F10">
            <w:pPr>
              <w:pStyle w:val="TCTableBody"/>
              <w:rPr>
                <w:rFonts w:ascii="Arial" w:hAnsi="Arial" w:cs="Arial"/>
                <w:sz w:val="14"/>
                <w:szCs w:val="14"/>
              </w:rPr>
            </w:pPr>
            <w:r w:rsidRPr="00C94ADB">
              <w:rPr>
                <w:rFonts w:ascii="Arial" w:hAnsi="Arial" w:cs="Arial"/>
                <w:sz w:val="14"/>
                <w:szCs w:val="14"/>
              </w:rPr>
              <w:t>P5</w:t>
            </w:r>
          </w:p>
        </w:tc>
        <w:tc>
          <w:tcPr>
            <w:tcW w:w="903" w:type="dxa"/>
          </w:tcPr>
          <w:p w14:paraId="1315FE38" w14:textId="77777777" w:rsidR="00E20F10" w:rsidRPr="00C94ADB" w:rsidRDefault="00E20F10" w:rsidP="00E20F10">
            <w:pPr>
              <w:pStyle w:val="TCTableBody"/>
              <w:rPr>
                <w:rFonts w:ascii="Arial" w:hAnsi="Arial" w:cs="Arial"/>
                <w:sz w:val="14"/>
                <w:szCs w:val="14"/>
              </w:rPr>
            </w:pPr>
            <w:r w:rsidRPr="00C94ADB">
              <w:rPr>
                <w:rFonts w:ascii="Arial" w:hAnsi="Arial" w:cs="Arial"/>
                <w:sz w:val="14"/>
                <w:szCs w:val="14"/>
              </w:rPr>
              <w:t>2.78</w:t>
            </w:r>
          </w:p>
        </w:tc>
        <w:tc>
          <w:tcPr>
            <w:tcW w:w="808" w:type="dxa"/>
          </w:tcPr>
          <w:p w14:paraId="4DC67067" w14:textId="77777777" w:rsidR="00E20F10" w:rsidRPr="00C94ADB" w:rsidRDefault="00E20F10" w:rsidP="00E20F10">
            <w:pPr>
              <w:pStyle w:val="TCTableBody"/>
              <w:rPr>
                <w:rFonts w:ascii="Arial" w:hAnsi="Arial" w:cs="Arial"/>
                <w:sz w:val="14"/>
                <w:szCs w:val="14"/>
              </w:rPr>
            </w:pPr>
            <w:r w:rsidRPr="00C94ADB">
              <w:rPr>
                <w:rFonts w:ascii="Arial" w:hAnsi="Arial" w:cs="Arial"/>
                <w:sz w:val="14"/>
                <w:szCs w:val="14"/>
              </w:rPr>
              <w:t>460</w:t>
            </w:r>
          </w:p>
        </w:tc>
        <w:tc>
          <w:tcPr>
            <w:tcW w:w="1134" w:type="dxa"/>
          </w:tcPr>
          <w:p w14:paraId="50D2F2E3" w14:textId="77777777" w:rsidR="00E20F10" w:rsidRPr="00C94ADB" w:rsidRDefault="00C57DBB" w:rsidP="00C57DBB">
            <w:pPr>
              <w:pStyle w:val="TCTableBody"/>
              <w:rPr>
                <w:rFonts w:ascii="Arial" w:hAnsi="Arial" w:cs="Arial"/>
                <w:sz w:val="14"/>
                <w:szCs w:val="14"/>
              </w:rPr>
            </w:pPr>
            <w:r w:rsidRPr="00C94ADB">
              <w:rPr>
                <w:rFonts w:ascii="Arial" w:hAnsi="Arial" w:cs="Arial"/>
                <w:sz w:val="14"/>
                <w:szCs w:val="14"/>
              </w:rPr>
              <w:t>2.2</w:t>
            </w:r>
            <w:r w:rsidR="00E20F10" w:rsidRPr="00C94ADB">
              <w:rPr>
                <w:rFonts w:ascii="Arial" w:hAnsi="Arial" w:cs="Arial"/>
                <w:sz w:val="14"/>
                <w:szCs w:val="14"/>
              </w:rPr>
              <w:t xml:space="preserve"> (± </w:t>
            </w:r>
            <w:r w:rsidRPr="00C94ADB">
              <w:rPr>
                <w:rFonts w:ascii="Arial" w:hAnsi="Arial" w:cs="Arial"/>
                <w:sz w:val="14"/>
                <w:szCs w:val="14"/>
              </w:rPr>
              <w:t>0.5</w:t>
            </w:r>
            <w:r w:rsidR="00E20F10" w:rsidRPr="00C94ADB">
              <w:rPr>
                <w:rFonts w:ascii="Arial" w:hAnsi="Arial" w:cs="Arial"/>
                <w:sz w:val="14"/>
                <w:szCs w:val="14"/>
              </w:rPr>
              <w:t>)</w:t>
            </w:r>
          </w:p>
        </w:tc>
        <w:tc>
          <w:tcPr>
            <w:tcW w:w="1192" w:type="dxa"/>
          </w:tcPr>
          <w:p w14:paraId="47BCD5A4" w14:textId="77777777" w:rsidR="00E20F10" w:rsidRPr="00C94ADB" w:rsidRDefault="00C57DBB" w:rsidP="00C57DBB">
            <w:pPr>
              <w:pStyle w:val="TCTableBody"/>
              <w:rPr>
                <w:rFonts w:ascii="Arial" w:hAnsi="Arial" w:cs="Arial"/>
                <w:sz w:val="14"/>
                <w:szCs w:val="14"/>
              </w:rPr>
            </w:pPr>
            <w:r w:rsidRPr="00C94ADB">
              <w:rPr>
                <w:rFonts w:ascii="Arial" w:hAnsi="Arial" w:cs="Arial"/>
                <w:sz w:val="14"/>
                <w:szCs w:val="14"/>
              </w:rPr>
              <w:t>27.3</w:t>
            </w:r>
            <w:r w:rsidR="00E20F10" w:rsidRPr="00C94ADB">
              <w:rPr>
                <w:rFonts w:ascii="Arial" w:hAnsi="Arial" w:cs="Arial"/>
                <w:sz w:val="14"/>
                <w:szCs w:val="14"/>
              </w:rPr>
              <w:t xml:space="preserve"> (± </w:t>
            </w:r>
            <w:r w:rsidRPr="00C94ADB">
              <w:rPr>
                <w:rFonts w:ascii="Arial" w:hAnsi="Arial" w:cs="Arial"/>
                <w:sz w:val="14"/>
                <w:szCs w:val="14"/>
              </w:rPr>
              <w:t>0.4</w:t>
            </w:r>
            <w:r w:rsidR="00E20F10" w:rsidRPr="00C94ADB">
              <w:rPr>
                <w:rFonts w:ascii="Arial" w:hAnsi="Arial" w:cs="Arial"/>
                <w:sz w:val="14"/>
                <w:szCs w:val="14"/>
              </w:rPr>
              <w:t>)</w:t>
            </w:r>
          </w:p>
        </w:tc>
      </w:tr>
      <w:tr w:rsidR="009F7243" w:rsidRPr="00C94ADB" w14:paraId="5422EA1E" w14:textId="77777777" w:rsidTr="005D35A9">
        <w:tc>
          <w:tcPr>
            <w:tcW w:w="1054" w:type="dxa"/>
          </w:tcPr>
          <w:p w14:paraId="2E1708A8" w14:textId="77777777" w:rsidR="009F7243" w:rsidRPr="00C94ADB" w:rsidRDefault="009F7243" w:rsidP="00E20F10">
            <w:pPr>
              <w:pStyle w:val="TCTableBody"/>
              <w:rPr>
                <w:rFonts w:ascii="Arial" w:hAnsi="Arial" w:cs="Arial"/>
                <w:sz w:val="14"/>
                <w:szCs w:val="14"/>
              </w:rPr>
            </w:pPr>
            <w:r w:rsidRPr="00C94ADB">
              <w:rPr>
                <w:rFonts w:ascii="Arial" w:hAnsi="Arial" w:cs="Arial"/>
                <w:sz w:val="14"/>
                <w:szCs w:val="14"/>
              </w:rPr>
              <w:t>P6</w:t>
            </w:r>
          </w:p>
        </w:tc>
        <w:tc>
          <w:tcPr>
            <w:tcW w:w="903" w:type="dxa"/>
          </w:tcPr>
          <w:p w14:paraId="44B3D937" w14:textId="77777777" w:rsidR="009F7243" w:rsidRPr="00C94ADB" w:rsidRDefault="009F7243" w:rsidP="00E20F10">
            <w:pPr>
              <w:pStyle w:val="TCTableBody"/>
              <w:rPr>
                <w:rFonts w:ascii="Arial" w:hAnsi="Arial" w:cs="Arial"/>
                <w:sz w:val="14"/>
                <w:szCs w:val="14"/>
              </w:rPr>
            </w:pPr>
            <w:r w:rsidRPr="00C94ADB">
              <w:rPr>
                <w:rFonts w:ascii="Arial" w:hAnsi="Arial" w:cs="Arial"/>
                <w:sz w:val="14"/>
                <w:szCs w:val="14"/>
              </w:rPr>
              <w:t>2.77</w:t>
            </w:r>
          </w:p>
        </w:tc>
        <w:tc>
          <w:tcPr>
            <w:tcW w:w="808" w:type="dxa"/>
          </w:tcPr>
          <w:p w14:paraId="42A0F80F" w14:textId="77777777" w:rsidR="009F7243" w:rsidRPr="00C94ADB" w:rsidRDefault="009F7243" w:rsidP="00E20F10">
            <w:pPr>
              <w:pStyle w:val="TCTableBody"/>
              <w:rPr>
                <w:rFonts w:ascii="Arial" w:hAnsi="Arial" w:cs="Arial"/>
                <w:sz w:val="14"/>
                <w:szCs w:val="14"/>
              </w:rPr>
            </w:pPr>
            <w:r w:rsidRPr="00C94ADB">
              <w:rPr>
                <w:rFonts w:ascii="Arial" w:hAnsi="Arial" w:cs="Arial"/>
                <w:sz w:val="14"/>
                <w:szCs w:val="14"/>
              </w:rPr>
              <w:t>456, 481</w:t>
            </w:r>
          </w:p>
        </w:tc>
        <w:tc>
          <w:tcPr>
            <w:tcW w:w="1134" w:type="dxa"/>
          </w:tcPr>
          <w:p w14:paraId="34593290" w14:textId="77777777" w:rsidR="009F7243" w:rsidRPr="00C94ADB" w:rsidRDefault="009F7243" w:rsidP="00C57DBB">
            <w:pPr>
              <w:pStyle w:val="TCTableBody"/>
              <w:rPr>
                <w:rFonts w:ascii="Arial" w:hAnsi="Arial" w:cs="Arial"/>
                <w:sz w:val="14"/>
                <w:szCs w:val="14"/>
              </w:rPr>
            </w:pPr>
            <w:r w:rsidRPr="00C94ADB">
              <w:rPr>
                <w:rFonts w:ascii="Arial" w:hAnsi="Arial" w:cs="Arial"/>
                <w:sz w:val="14"/>
                <w:szCs w:val="14"/>
              </w:rPr>
              <w:t>26.6 (± 0.3)</w:t>
            </w:r>
          </w:p>
        </w:tc>
        <w:tc>
          <w:tcPr>
            <w:tcW w:w="1192" w:type="dxa"/>
          </w:tcPr>
          <w:p w14:paraId="5CF5935B" w14:textId="77777777" w:rsidR="009F7243" w:rsidRPr="00C94ADB" w:rsidRDefault="009F7243" w:rsidP="00C57DBB">
            <w:pPr>
              <w:pStyle w:val="TCTableBody"/>
              <w:rPr>
                <w:rFonts w:ascii="Arial" w:hAnsi="Arial" w:cs="Arial"/>
                <w:sz w:val="14"/>
                <w:szCs w:val="14"/>
              </w:rPr>
            </w:pPr>
            <w:r w:rsidRPr="00C94ADB">
              <w:rPr>
                <w:rFonts w:ascii="Arial" w:hAnsi="Arial" w:cs="Arial"/>
                <w:sz w:val="14"/>
                <w:szCs w:val="14"/>
              </w:rPr>
              <w:t>102.4 (± 0.7)</w:t>
            </w:r>
          </w:p>
        </w:tc>
      </w:tr>
      <w:tr w:rsidR="009F7243" w:rsidRPr="00C94ADB" w14:paraId="40E7C04A" w14:textId="77777777" w:rsidTr="005D35A9">
        <w:tc>
          <w:tcPr>
            <w:tcW w:w="1054" w:type="dxa"/>
            <w:tcBorders>
              <w:bottom w:val="single" w:sz="8" w:space="0" w:color="000000"/>
            </w:tcBorders>
          </w:tcPr>
          <w:p w14:paraId="5A7C557E" w14:textId="77777777" w:rsidR="009F7243" w:rsidRPr="00C94ADB" w:rsidRDefault="009F7243" w:rsidP="00E20F10">
            <w:pPr>
              <w:pStyle w:val="TCTableBody"/>
              <w:rPr>
                <w:rFonts w:ascii="Arial" w:hAnsi="Arial" w:cs="Arial"/>
                <w:sz w:val="14"/>
                <w:szCs w:val="14"/>
              </w:rPr>
            </w:pPr>
            <w:r w:rsidRPr="00C94ADB">
              <w:rPr>
                <w:rFonts w:ascii="Arial" w:hAnsi="Arial" w:cs="Arial"/>
                <w:sz w:val="14"/>
                <w:szCs w:val="14"/>
              </w:rPr>
              <w:t>P7</w:t>
            </w:r>
          </w:p>
        </w:tc>
        <w:tc>
          <w:tcPr>
            <w:tcW w:w="903" w:type="dxa"/>
            <w:tcBorders>
              <w:bottom w:val="single" w:sz="8" w:space="0" w:color="000000"/>
            </w:tcBorders>
          </w:tcPr>
          <w:p w14:paraId="6EE89F62" w14:textId="77777777" w:rsidR="009F7243" w:rsidRPr="00C94ADB" w:rsidRDefault="007F13E9" w:rsidP="00E20F10">
            <w:pPr>
              <w:pStyle w:val="TCTableBody"/>
              <w:rPr>
                <w:rFonts w:ascii="Arial" w:hAnsi="Arial" w:cs="Arial"/>
                <w:sz w:val="14"/>
                <w:szCs w:val="14"/>
              </w:rPr>
            </w:pPr>
            <w:r w:rsidRPr="00C94ADB">
              <w:rPr>
                <w:rFonts w:ascii="Arial" w:hAnsi="Arial" w:cs="Arial"/>
                <w:sz w:val="14"/>
                <w:szCs w:val="14"/>
              </w:rPr>
              <w:t>2.70</w:t>
            </w:r>
          </w:p>
        </w:tc>
        <w:tc>
          <w:tcPr>
            <w:tcW w:w="808" w:type="dxa"/>
            <w:tcBorders>
              <w:bottom w:val="single" w:sz="8" w:space="0" w:color="000000"/>
            </w:tcBorders>
          </w:tcPr>
          <w:p w14:paraId="6D375FEB" w14:textId="77777777" w:rsidR="009F7243" w:rsidRPr="00C94ADB" w:rsidRDefault="00A43AAF" w:rsidP="00E20F10">
            <w:pPr>
              <w:pStyle w:val="TCTableBody"/>
              <w:rPr>
                <w:rFonts w:ascii="Arial" w:hAnsi="Arial" w:cs="Arial"/>
                <w:sz w:val="14"/>
                <w:szCs w:val="14"/>
              </w:rPr>
            </w:pPr>
            <w:r w:rsidRPr="00C94ADB">
              <w:rPr>
                <w:rFonts w:ascii="Arial" w:hAnsi="Arial" w:cs="Arial"/>
                <w:sz w:val="14"/>
                <w:szCs w:val="14"/>
              </w:rPr>
              <w:t>477</w:t>
            </w:r>
          </w:p>
        </w:tc>
        <w:tc>
          <w:tcPr>
            <w:tcW w:w="1134" w:type="dxa"/>
            <w:tcBorders>
              <w:bottom w:val="single" w:sz="8" w:space="0" w:color="000000"/>
            </w:tcBorders>
          </w:tcPr>
          <w:p w14:paraId="0067BB2D" w14:textId="77777777" w:rsidR="009F7243" w:rsidRPr="00C94ADB" w:rsidRDefault="007F13E9" w:rsidP="00A43AAF">
            <w:pPr>
              <w:pStyle w:val="TCTableBody"/>
              <w:rPr>
                <w:rFonts w:ascii="Arial" w:hAnsi="Arial" w:cs="Arial"/>
                <w:sz w:val="14"/>
                <w:szCs w:val="14"/>
              </w:rPr>
            </w:pPr>
            <w:r w:rsidRPr="00C94ADB">
              <w:rPr>
                <w:rFonts w:ascii="Arial" w:hAnsi="Arial" w:cs="Arial"/>
                <w:sz w:val="14"/>
                <w:szCs w:val="14"/>
              </w:rPr>
              <w:t>92</w:t>
            </w:r>
            <w:r w:rsidR="008A5227" w:rsidRPr="00C94ADB">
              <w:rPr>
                <w:rFonts w:ascii="Arial" w:hAnsi="Arial" w:cs="Arial"/>
                <w:sz w:val="14"/>
                <w:szCs w:val="14"/>
              </w:rPr>
              <w:t>.0</w:t>
            </w:r>
            <w:r w:rsidR="00A43AAF" w:rsidRPr="00C94ADB">
              <w:rPr>
                <w:rFonts w:ascii="Arial" w:hAnsi="Arial" w:cs="Arial"/>
                <w:sz w:val="14"/>
                <w:szCs w:val="14"/>
              </w:rPr>
              <w:t xml:space="preserve"> (± 2.0)</w:t>
            </w:r>
          </w:p>
        </w:tc>
        <w:tc>
          <w:tcPr>
            <w:tcW w:w="1192" w:type="dxa"/>
            <w:tcBorders>
              <w:bottom w:val="single" w:sz="8" w:space="0" w:color="000000"/>
            </w:tcBorders>
          </w:tcPr>
          <w:p w14:paraId="26846A1E" w14:textId="77777777" w:rsidR="009F7243" w:rsidRPr="00C94ADB" w:rsidRDefault="007F13E9" w:rsidP="00A43AAF">
            <w:pPr>
              <w:pStyle w:val="TCTableBody"/>
              <w:rPr>
                <w:rFonts w:ascii="Arial" w:hAnsi="Arial" w:cs="Arial"/>
                <w:sz w:val="14"/>
                <w:szCs w:val="14"/>
              </w:rPr>
            </w:pPr>
            <w:r w:rsidRPr="00C94ADB">
              <w:rPr>
                <w:rFonts w:ascii="Arial" w:hAnsi="Arial" w:cs="Arial"/>
                <w:sz w:val="14"/>
                <w:szCs w:val="14"/>
              </w:rPr>
              <w:t>145</w:t>
            </w:r>
            <w:r w:rsidR="008A5227" w:rsidRPr="00C94ADB">
              <w:rPr>
                <w:rFonts w:ascii="Arial" w:hAnsi="Arial" w:cs="Arial"/>
                <w:sz w:val="14"/>
                <w:szCs w:val="14"/>
              </w:rPr>
              <w:t>.0</w:t>
            </w:r>
            <w:r w:rsidR="00A43AAF" w:rsidRPr="00C94ADB">
              <w:rPr>
                <w:rFonts w:ascii="Arial" w:hAnsi="Arial" w:cs="Arial"/>
                <w:sz w:val="14"/>
                <w:szCs w:val="14"/>
              </w:rPr>
              <w:t xml:space="preserve"> (± 4.7)</w:t>
            </w:r>
          </w:p>
        </w:tc>
      </w:tr>
      <w:tr w:rsidR="009F7243" w:rsidRPr="00C94ADB" w14:paraId="5D79904B" w14:textId="77777777" w:rsidTr="00A65ED3">
        <w:tc>
          <w:tcPr>
            <w:tcW w:w="5091" w:type="dxa"/>
            <w:gridSpan w:val="5"/>
            <w:tcBorders>
              <w:top w:val="single" w:sz="8" w:space="0" w:color="000000"/>
              <w:bottom w:val="single" w:sz="8" w:space="0" w:color="000000"/>
            </w:tcBorders>
          </w:tcPr>
          <w:p w14:paraId="15C8B260" w14:textId="77777777" w:rsidR="009F7243" w:rsidRPr="00C94ADB" w:rsidRDefault="009F7243" w:rsidP="00F271F7">
            <w:pPr>
              <w:pStyle w:val="TableFoot"/>
              <w:rPr>
                <w:rFonts w:cs="Arial"/>
              </w:rPr>
            </w:pPr>
            <w:r w:rsidRPr="00C94ADB">
              <w:rPr>
                <w:rFonts w:cs="Arial"/>
              </w:rPr>
              <w:t>[a] Calculated from the on-set of the absorption spectrum, see discussion in the supporting information; [b] Photoluminescence emission peak of polymer recorded in the solid state; [c] Reaction conditions: 25 mg polymer was suspended in water/MeOH/triethylamine solution, irradiated by 300 W Xe-lamp for 5 hours using a suitable filter.</w:t>
            </w:r>
          </w:p>
          <w:p w14:paraId="4F6FB808" w14:textId="77777777" w:rsidR="0023107B" w:rsidRPr="00C94ADB" w:rsidRDefault="009F7243" w:rsidP="00A65ED3">
            <w:pPr>
              <w:pStyle w:val="P1"/>
              <w:ind w:firstLine="180"/>
              <w:rPr>
                <w:lang w:eastAsia="en-US"/>
              </w:rPr>
            </w:pPr>
            <w:r w:rsidRPr="00C94ADB">
              <w:rPr>
                <w:lang w:eastAsia="en-US"/>
              </w:rPr>
              <w:t>The planarized co-polymers P2–</w:t>
            </w:r>
            <w:r w:rsidR="008848F1" w:rsidRPr="00C94ADB">
              <w:rPr>
                <w:lang w:eastAsia="en-US"/>
              </w:rPr>
              <w:t xml:space="preserve">P7 </w:t>
            </w:r>
            <w:r w:rsidRPr="00C94ADB">
              <w:rPr>
                <w:lang w:eastAsia="en-US"/>
              </w:rPr>
              <w:t>showed greatly enhanced photocatalytic performance compared to poly(</w:t>
            </w:r>
            <w:r w:rsidRPr="00C94ADB">
              <w:rPr>
                <w:i/>
                <w:lang w:eastAsia="en-US"/>
              </w:rPr>
              <w:t>p</w:t>
            </w:r>
            <w:r w:rsidRPr="00C94ADB">
              <w:rPr>
                <w:lang w:eastAsia="en-US"/>
              </w:rPr>
              <w:t>-phenylene)s P1K and P1S. The dimethylfluorene-</w:t>
            </w:r>
            <w:r w:rsidRPr="00C94ADB">
              <w:rPr>
                <w:i/>
                <w:lang w:eastAsia="en-US"/>
              </w:rPr>
              <w:t>co</w:t>
            </w:r>
            <w:r w:rsidRPr="00C94ADB">
              <w:rPr>
                <w:lang w:eastAsia="en-US"/>
              </w:rPr>
              <w:t>-phenylene polymer, P2, showed a 4-fold increase in visible-light activity (&gt; 420 nm, 8.3 μmol h</w:t>
            </w:r>
            <w:r w:rsidRPr="00C94ADB">
              <w:rPr>
                <w:vertAlign w:val="superscript"/>
                <w:lang w:eastAsia="en-US"/>
              </w:rPr>
              <w:t>-1</w:t>
            </w:r>
            <w:r w:rsidRPr="00C94ADB">
              <w:rPr>
                <w:lang w:eastAsia="en-US"/>
              </w:rPr>
              <w:t>) compared to P1K. Also, the HER under broad-spectrum irradiation (&gt; 295 nm) was significantly enhanced (43.6 μmol h</w:t>
            </w:r>
            <w:r w:rsidRPr="00C94ADB">
              <w:rPr>
                <w:vertAlign w:val="superscript"/>
                <w:lang w:eastAsia="en-US"/>
              </w:rPr>
              <w:t>-1</w:t>
            </w:r>
            <w:r w:rsidRPr="00C94ADB">
              <w:rPr>
                <w:lang w:eastAsia="en-US"/>
              </w:rPr>
              <w:t xml:space="preserve">). </w:t>
            </w:r>
            <w:r w:rsidR="008E4544" w:rsidRPr="00C94ADB">
              <w:rPr>
                <w:lang w:eastAsia="en-US"/>
              </w:rPr>
              <w:t xml:space="preserve">The dimethyl side-chains </w:t>
            </w:r>
            <w:r w:rsidR="0023107B" w:rsidRPr="00C94ADB">
              <w:rPr>
                <w:lang w:eastAsia="en-US"/>
              </w:rPr>
              <w:t>not only circumvent the problem of keto-defect formation on the 9-position,</w:t>
            </w:r>
            <w:r w:rsidR="00D64F2D" w:rsidRPr="00C94ADB">
              <w:rPr>
                <w:noProof/>
                <w:vertAlign w:val="superscript"/>
                <w:lang w:eastAsia="en-US"/>
              </w:rPr>
              <w:t>[31]</w:t>
            </w:r>
            <w:r w:rsidR="0023107B" w:rsidRPr="00C94ADB">
              <w:rPr>
                <w:lang w:eastAsia="en-US"/>
              </w:rPr>
              <w:t xml:space="preserve"> </w:t>
            </w:r>
            <w:r w:rsidR="00B4001F" w:rsidRPr="00C94ADB">
              <w:rPr>
                <w:lang w:eastAsia="en-US"/>
              </w:rPr>
              <w:t xml:space="preserve">but </w:t>
            </w:r>
            <w:r w:rsidR="0023107B" w:rsidRPr="00C94ADB">
              <w:rPr>
                <w:lang w:eastAsia="en-US"/>
              </w:rPr>
              <w:t>also the 9</w:t>
            </w:r>
            <w:r w:rsidR="0023107B" w:rsidRPr="00C94ADB">
              <w:rPr>
                <w:i/>
                <w:lang w:eastAsia="en-US"/>
              </w:rPr>
              <w:t>H</w:t>
            </w:r>
            <w:r w:rsidR="0023107B" w:rsidRPr="00C94ADB">
              <w:rPr>
                <w:lang w:eastAsia="en-US"/>
              </w:rPr>
              <w:t>-fluorene co-polymer, P3, showed a blue-shift in</w:t>
            </w:r>
            <w:r w:rsidR="00B31081" w:rsidRPr="00C94ADB">
              <w:rPr>
                <w:lang w:eastAsia="en-US"/>
              </w:rPr>
              <w:t xml:space="preserve"> </w:t>
            </w:r>
            <w:r w:rsidR="0023107B" w:rsidRPr="00C94ADB">
              <w:rPr>
                <w:lang w:eastAsia="en-US"/>
              </w:rPr>
              <w:t>absorption resulting in the near complete loss of visible-light activity (&gt; 420 nm, 0.1 μmol h</w:t>
            </w:r>
            <w:r w:rsidR="0023107B" w:rsidRPr="00C94ADB">
              <w:rPr>
                <w:vertAlign w:val="superscript"/>
                <w:lang w:eastAsia="en-US"/>
              </w:rPr>
              <w:t>-1</w:t>
            </w:r>
            <w:r w:rsidR="0023107B" w:rsidRPr="00C94ADB">
              <w:rPr>
                <w:lang w:eastAsia="en-US"/>
              </w:rPr>
              <w:t>). However, under broad-spectrum irradiation (&gt; 295 nm, 49.2 μmol h</w:t>
            </w:r>
            <w:r w:rsidR="0023107B" w:rsidRPr="00C94ADB">
              <w:rPr>
                <w:vertAlign w:val="superscript"/>
                <w:lang w:eastAsia="en-US"/>
              </w:rPr>
              <w:t>-1</w:t>
            </w:r>
            <w:r w:rsidR="0023107B" w:rsidRPr="00C94ADB">
              <w:rPr>
                <w:lang w:eastAsia="en-US"/>
              </w:rPr>
              <w:t>)</w:t>
            </w:r>
            <w:r w:rsidR="00B4001F" w:rsidRPr="00C94ADB">
              <w:rPr>
                <w:lang w:eastAsia="en-US"/>
              </w:rPr>
              <w:t>,</w:t>
            </w:r>
            <w:r w:rsidR="0023107B" w:rsidRPr="00C94ADB">
              <w:rPr>
                <w:lang w:eastAsia="en-US"/>
              </w:rPr>
              <w:t xml:space="preserve"> P3 </w:t>
            </w:r>
            <w:r w:rsidRPr="00C94ADB">
              <w:rPr>
                <w:lang w:eastAsia="en-US"/>
              </w:rPr>
              <w:t>showed a similar photocatalytic activity</w:t>
            </w:r>
            <w:r w:rsidR="0023107B" w:rsidRPr="00C94ADB">
              <w:rPr>
                <w:lang w:eastAsia="en-US"/>
              </w:rPr>
              <w:t xml:space="preserve">. </w:t>
            </w:r>
          </w:p>
          <w:p w14:paraId="0BF3FCBA" w14:textId="77777777" w:rsidR="009F7243" w:rsidRPr="00C94ADB" w:rsidRDefault="009F7243" w:rsidP="00982F40">
            <w:pPr>
              <w:spacing w:line="225" w:lineRule="exact"/>
              <w:ind w:firstLine="181"/>
              <w:jc w:val="both"/>
              <w:rPr>
                <w:rFonts w:ascii="Arial" w:eastAsia="Times New Roman" w:hAnsi="Arial" w:cs="Arial"/>
                <w:kern w:val="21"/>
                <w:sz w:val="17"/>
                <w:szCs w:val="17"/>
                <w:lang w:val="en-US" w:eastAsia="en-US"/>
              </w:rPr>
            </w:pPr>
            <w:r w:rsidRPr="00C94ADB">
              <w:rPr>
                <w:rFonts w:ascii="Arial" w:eastAsia="Times New Roman" w:hAnsi="Arial" w:cs="Arial"/>
                <w:kern w:val="21"/>
                <w:sz w:val="17"/>
                <w:szCs w:val="17"/>
                <w:lang w:val="en-US" w:eastAsia="en-US"/>
              </w:rPr>
              <w:t>The 9</w:t>
            </w:r>
            <w:r w:rsidRPr="00C94ADB">
              <w:rPr>
                <w:rFonts w:ascii="Arial" w:eastAsia="Times New Roman" w:hAnsi="Arial" w:cs="Arial"/>
                <w:i/>
                <w:kern w:val="21"/>
                <w:sz w:val="17"/>
                <w:szCs w:val="17"/>
                <w:lang w:val="en-US" w:eastAsia="en-US"/>
              </w:rPr>
              <w:t>H</w:t>
            </w:r>
            <w:r w:rsidRPr="00C94ADB">
              <w:rPr>
                <w:rFonts w:ascii="Arial" w:eastAsia="Times New Roman" w:hAnsi="Arial" w:cs="Arial"/>
                <w:kern w:val="21"/>
                <w:sz w:val="17"/>
                <w:szCs w:val="17"/>
                <w:lang w:val="en-US" w:eastAsia="en-US"/>
              </w:rPr>
              <w:t>-carbazole polymer, P4, showed similar visible light (7.8 μmol h</w:t>
            </w:r>
            <w:r w:rsidRPr="00C94ADB">
              <w:rPr>
                <w:rFonts w:ascii="Arial" w:eastAsia="Times New Roman" w:hAnsi="Arial" w:cs="Arial"/>
                <w:kern w:val="21"/>
                <w:sz w:val="17"/>
                <w:szCs w:val="17"/>
                <w:vertAlign w:val="superscript"/>
                <w:lang w:val="en-US" w:eastAsia="en-US"/>
              </w:rPr>
              <w:t>-1</w:t>
            </w:r>
            <w:r w:rsidRPr="00C94ADB">
              <w:rPr>
                <w:rFonts w:ascii="Arial" w:eastAsia="Times New Roman" w:hAnsi="Arial" w:cs="Arial"/>
                <w:kern w:val="21"/>
                <w:sz w:val="17"/>
                <w:szCs w:val="17"/>
                <w:lang w:val="en-US" w:eastAsia="en-US"/>
              </w:rPr>
              <w:t>) and broad spectrum activity (35.1 μmol h</w:t>
            </w:r>
            <w:r w:rsidRPr="00C94ADB">
              <w:rPr>
                <w:rFonts w:ascii="Arial" w:eastAsia="Times New Roman" w:hAnsi="Arial" w:cs="Arial"/>
                <w:kern w:val="21"/>
                <w:sz w:val="17"/>
                <w:szCs w:val="17"/>
                <w:vertAlign w:val="superscript"/>
                <w:lang w:val="en-US" w:eastAsia="en-US"/>
              </w:rPr>
              <w:t>-1</w:t>
            </w:r>
            <w:r w:rsidRPr="00C94ADB">
              <w:rPr>
                <w:rFonts w:ascii="Arial" w:eastAsia="Times New Roman" w:hAnsi="Arial" w:cs="Arial"/>
                <w:kern w:val="21"/>
                <w:sz w:val="17"/>
                <w:szCs w:val="17"/>
                <w:lang w:val="en-US" w:eastAsia="en-US"/>
              </w:rPr>
              <w:t xml:space="preserve">) when compared with the dimethyl fluorene co-polymer, P2. A lower performance was also observed for an analogous carbazole polymer, </w:t>
            </w:r>
            <w:r w:rsidR="00EB3A5D" w:rsidRPr="00C94ADB">
              <w:rPr>
                <w:rFonts w:ascii="Arial" w:eastAsia="Times New Roman" w:hAnsi="Arial" w:cs="Arial"/>
                <w:kern w:val="21"/>
                <w:sz w:val="17"/>
                <w:szCs w:val="17"/>
                <w:lang w:val="en-US" w:eastAsia="en-US"/>
              </w:rPr>
              <w:t>P5, which</w:t>
            </w:r>
            <w:r w:rsidRPr="00C94ADB">
              <w:rPr>
                <w:rFonts w:ascii="Arial" w:eastAsia="Times New Roman" w:hAnsi="Arial" w:cs="Arial"/>
                <w:kern w:val="21"/>
                <w:sz w:val="17"/>
                <w:szCs w:val="17"/>
                <w:lang w:val="en-US" w:eastAsia="en-US"/>
              </w:rPr>
              <w:t xml:space="preserve"> bears methyl groups (</w:t>
            </w:r>
            <w:r w:rsidRPr="00C94ADB">
              <w:rPr>
                <w:rFonts w:ascii="Arial" w:eastAsia="Times New Roman" w:hAnsi="Arial" w:cs="Arial"/>
                <w:i/>
                <w:kern w:val="21"/>
                <w:sz w:val="17"/>
                <w:szCs w:val="17"/>
                <w:lang w:val="en-US" w:eastAsia="en-US"/>
              </w:rPr>
              <w:t>c.f.</w:t>
            </w:r>
            <w:r w:rsidRPr="00C94ADB">
              <w:rPr>
                <w:rFonts w:ascii="Arial" w:eastAsia="Times New Roman" w:hAnsi="Arial" w:cs="Arial"/>
                <w:kern w:val="21"/>
                <w:sz w:val="17"/>
                <w:szCs w:val="17"/>
                <w:lang w:val="en-US" w:eastAsia="en-US"/>
              </w:rPr>
              <w:t xml:space="preserve">, P2 &amp; P3): HERs of </w:t>
            </w:r>
            <w:r w:rsidRPr="00C94ADB">
              <w:rPr>
                <w:rFonts w:ascii="Arial" w:eastAsia="Times New Roman" w:hAnsi="Arial" w:cs="Arial"/>
                <w:kern w:val="21"/>
                <w:sz w:val="17"/>
                <w:szCs w:val="17"/>
                <w:lang w:val="en-US" w:eastAsia="en-US"/>
              </w:rPr>
              <w:lastRenderedPageBreak/>
              <w:t>2.2 μmol h</w:t>
            </w:r>
            <w:r w:rsidRPr="00C94ADB">
              <w:rPr>
                <w:rFonts w:ascii="Arial" w:eastAsia="Times New Roman" w:hAnsi="Arial" w:cs="Arial"/>
                <w:kern w:val="21"/>
                <w:sz w:val="17"/>
                <w:szCs w:val="17"/>
                <w:vertAlign w:val="superscript"/>
                <w:lang w:val="en-US" w:eastAsia="en-US"/>
              </w:rPr>
              <w:t>-1</w:t>
            </w:r>
            <w:r w:rsidRPr="00C94ADB">
              <w:rPr>
                <w:rFonts w:ascii="Arial" w:eastAsia="Times New Roman" w:hAnsi="Arial" w:cs="Arial"/>
                <w:kern w:val="21"/>
                <w:sz w:val="17"/>
                <w:szCs w:val="17"/>
                <w:lang w:val="en-US" w:eastAsia="en-US"/>
              </w:rPr>
              <w:t xml:space="preserve"> and 27.3 μmol h</w:t>
            </w:r>
            <w:r w:rsidRPr="00C94ADB">
              <w:rPr>
                <w:rFonts w:ascii="Arial" w:eastAsia="Times New Roman" w:hAnsi="Arial" w:cs="Arial"/>
                <w:kern w:val="21"/>
                <w:sz w:val="17"/>
                <w:szCs w:val="17"/>
                <w:vertAlign w:val="superscript"/>
                <w:lang w:val="en-US" w:eastAsia="en-US"/>
              </w:rPr>
              <w:t>-1</w:t>
            </w:r>
            <w:r w:rsidRPr="00C94ADB">
              <w:rPr>
                <w:rFonts w:ascii="Arial" w:eastAsia="Times New Roman" w:hAnsi="Arial" w:cs="Arial"/>
                <w:kern w:val="21"/>
                <w:sz w:val="17"/>
                <w:szCs w:val="17"/>
                <w:lang w:val="en-US" w:eastAsia="en-US"/>
              </w:rPr>
              <w:t xml:space="preserve"> were found for P5 for visible and broad-spectrum irradiation, respectively. Again, the lower visible light activity can be rationalized by a blue shift in the absorption spectrum. It is possible for both series (P2/P3 and P4/P5) that differences in the chain packing due to the introduction of the methyl-groups (see PXRD in ESI), or differences in molecular weight, contribute to this blue shift.</w:t>
            </w:r>
          </w:p>
          <w:p w14:paraId="2A331BAD" w14:textId="77777777" w:rsidR="009F7243" w:rsidRPr="00C94ADB" w:rsidRDefault="009F7243" w:rsidP="00982F40">
            <w:pPr>
              <w:spacing w:line="225" w:lineRule="exact"/>
              <w:ind w:firstLine="181"/>
              <w:jc w:val="both"/>
              <w:rPr>
                <w:rFonts w:ascii="Arial" w:eastAsia="Times New Roman" w:hAnsi="Arial" w:cs="Arial"/>
                <w:kern w:val="21"/>
                <w:sz w:val="17"/>
                <w:szCs w:val="17"/>
                <w:lang w:val="en-US" w:eastAsia="en-US"/>
              </w:rPr>
            </w:pPr>
            <w:r w:rsidRPr="00C94ADB">
              <w:rPr>
                <w:rFonts w:ascii="Arial" w:eastAsia="Times New Roman" w:hAnsi="Arial" w:cs="Arial"/>
                <w:kern w:val="21"/>
                <w:sz w:val="17"/>
                <w:szCs w:val="17"/>
                <w:lang w:val="en-US" w:eastAsia="en-US"/>
              </w:rPr>
              <w:t>The co-polymer of dibenzo[</w:t>
            </w:r>
            <w:r w:rsidRPr="00C94ADB">
              <w:rPr>
                <w:rFonts w:ascii="Arial" w:eastAsia="Times New Roman" w:hAnsi="Arial" w:cs="Arial"/>
                <w:i/>
                <w:kern w:val="21"/>
                <w:sz w:val="17"/>
                <w:szCs w:val="17"/>
                <w:lang w:val="en-US" w:eastAsia="en-US"/>
              </w:rPr>
              <w:t>b</w:t>
            </w:r>
            <w:r w:rsidRPr="00C94ADB">
              <w:rPr>
                <w:rFonts w:ascii="Arial" w:eastAsia="Times New Roman" w:hAnsi="Arial" w:cs="Arial"/>
                <w:kern w:val="21"/>
                <w:sz w:val="17"/>
                <w:szCs w:val="17"/>
                <w:lang w:val="en-US" w:eastAsia="en-US"/>
              </w:rPr>
              <w:t>,</w:t>
            </w:r>
            <w:r w:rsidRPr="00C94ADB">
              <w:rPr>
                <w:rFonts w:ascii="Arial" w:eastAsia="Times New Roman" w:hAnsi="Arial" w:cs="Arial"/>
                <w:i/>
                <w:kern w:val="21"/>
                <w:sz w:val="17"/>
                <w:szCs w:val="17"/>
                <w:lang w:val="en-US" w:eastAsia="en-US"/>
              </w:rPr>
              <w:t>d</w:t>
            </w:r>
            <w:r w:rsidRPr="00C94ADB">
              <w:rPr>
                <w:rFonts w:ascii="Arial" w:eastAsia="Times New Roman" w:hAnsi="Arial" w:cs="Arial"/>
                <w:kern w:val="21"/>
                <w:sz w:val="17"/>
                <w:szCs w:val="17"/>
                <w:lang w:val="en-US" w:eastAsia="en-US"/>
              </w:rPr>
              <w:t xml:space="preserve">]thiophene with </w:t>
            </w:r>
            <w:r w:rsidR="00C31E80" w:rsidRPr="00C94ADB">
              <w:rPr>
                <w:rFonts w:ascii="Arial" w:eastAsia="Times New Roman" w:hAnsi="Arial" w:cs="Arial"/>
                <w:kern w:val="21"/>
                <w:sz w:val="17"/>
                <w:szCs w:val="17"/>
                <w:lang w:val="en-US" w:eastAsia="en-US"/>
              </w:rPr>
              <w:t>benzene-1,4-diboronic acid</w:t>
            </w:r>
            <w:r w:rsidRPr="00C94ADB">
              <w:rPr>
                <w:rFonts w:ascii="Arial" w:eastAsia="Times New Roman" w:hAnsi="Arial" w:cs="Arial"/>
                <w:kern w:val="21"/>
                <w:sz w:val="17"/>
                <w:szCs w:val="17"/>
                <w:lang w:val="en-US" w:eastAsia="en-US"/>
              </w:rPr>
              <w:t>, P6, shows a further increase in hydrogen evolution rate compared to the fluorene co-polymers. Under broad spectrum irradiation, a rate of 102.4</w:t>
            </w:r>
            <w:r w:rsidRPr="00C94ADB">
              <w:rPr>
                <w:rFonts w:ascii="Arial" w:eastAsia="Times New Roman" w:hAnsi="Arial" w:cs="Arial"/>
                <w:i/>
                <w:kern w:val="21"/>
                <w:sz w:val="17"/>
                <w:szCs w:val="17"/>
                <w:lang w:val="en-US" w:eastAsia="en-US"/>
              </w:rPr>
              <w:t xml:space="preserve"> </w:t>
            </w:r>
            <w:r w:rsidRPr="00C94ADB">
              <w:rPr>
                <w:rFonts w:ascii="Arial" w:eastAsia="Times New Roman" w:hAnsi="Arial" w:cs="Arial"/>
                <w:kern w:val="21"/>
                <w:sz w:val="17"/>
                <w:szCs w:val="17"/>
                <w:lang w:val="en-US" w:eastAsia="en-US"/>
              </w:rPr>
              <w:t>μmol h</w:t>
            </w:r>
            <w:r w:rsidRPr="00C94ADB">
              <w:rPr>
                <w:rFonts w:ascii="Arial" w:eastAsia="Times New Roman" w:hAnsi="Arial" w:cs="Arial"/>
                <w:kern w:val="21"/>
                <w:sz w:val="17"/>
                <w:szCs w:val="17"/>
                <w:vertAlign w:val="superscript"/>
                <w:lang w:val="en-US" w:eastAsia="en-US"/>
              </w:rPr>
              <w:t>-1</w:t>
            </w:r>
            <w:r w:rsidRPr="00C94ADB">
              <w:rPr>
                <w:rFonts w:ascii="Arial" w:eastAsia="Times New Roman" w:hAnsi="Arial" w:cs="Arial"/>
                <w:kern w:val="21"/>
                <w:sz w:val="17"/>
                <w:szCs w:val="17"/>
                <w:lang w:val="en-US" w:eastAsia="en-US"/>
              </w:rPr>
              <w:t xml:space="preserve"> was observed. More importantly, a greatly improved visible light HER (26.6 μmol h</w:t>
            </w:r>
            <w:r w:rsidRPr="00C94ADB">
              <w:rPr>
                <w:rFonts w:ascii="Arial" w:eastAsia="Times New Roman" w:hAnsi="Arial" w:cs="Arial"/>
                <w:kern w:val="21"/>
                <w:sz w:val="17"/>
                <w:szCs w:val="17"/>
                <w:vertAlign w:val="superscript"/>
                <w:lang w:val="en-US" w:eastAsia="en-US"/>
              </w:rPr>
              <w:t>-1</w:t>
            </w:r>
            <w:r w:rsidRPr="00C94ADB">
              <w:rPr>
                <w:rFonts w:ascii="Arial" w:eastAsia="Times New Roman" w:hAnsi="Arial" w:cs="Arial"/>
                <w:kern w:val="21"/>
                <w:sz w:val="17"/>
                <w:szCs w:val="17"/>
                <w:lang w:val="en-US" w:eastAsia="en-US"/>
              </w:rPr>
              <w:t>) was achieved for the un-platinized, as-synthesized polymer. This hydrogen evolution rate under visible light is almost 20 times higher than for P1K, and a large improvement over platinized commercial g-C</w:t>
            </w:r>
            <w:r w:rsidRPr="00C94ADB">
              <w:rPr>
                <w:rFonts w:ascii="Arial" w:eastAsia="Times New Roman" w:hAnsi="Arial" w:cs="Arial"/>
                <w:kern w:val="21"/>
                <w:sz w:val="17"/>
                <w:szCs w:val="17"/>
                <w:vertAlign w:val="subscript"/>
                <w:lang w:val="en-US" w:eastAsia="en-US"/>
              </w:rPr>
              <w:t>3</w:t>
            </w:r>
            <w:r w:rsidRPr="00C94ADB">
              <w:rPr>
                <w:rFonts w:ascii="Arial" w:eastAsia="Times New Roman" w:hAnsi="Arial" w:cs="Arial"/>
                <w:kern w:val="21"/>
                <w:sz w:val="17"/>
                <w:szCs w:val="17"/>
                <w:lang w:val="en-US" w:eastAsia="en-US"/>
              </w:rPr>
              <w:t>N</w:t>
            </w:r>
            <w:r w:rsidRPr="00C94ADB">
              <w:rPr>
                <w:rFonts w:ascii="Arial" w:eastAsia="Times New Roman" w:hAnsi="Arial" w:cs="Arial"/>
                <w:kern w:val="21"/>
                <w:sz w:val="17"/>
                <w:szCs w:val="17"/>
                <w:vertAlign w:val="subscript"/>
                <w:lang w:val="en-US" w:eastAsia="en-US"/>
              </w:rPr>
              <w:t>4</w:t>
            </w:r>
            <w:r w:rsidR="00B7088A" w:rsidRPr="00C94ADB">
              <w:rPr>
                <w:rFonts w:ascii="Arial" w:eastAsia="Times New Roman" w:hAnsi="Arial" w:cs="Arial"/>
                <w:kern w:val="21"/>
                <w:sz w:val="17"/>
                <w:szCs w:val="17"/>
                <w:vertAlign w:val="subscript"/>
                <w:lang w:val="en-US" w:eastAsia="en-US"/>
              </w:rPr>
              <w:t>,</w:t>
            </w:r>
            <w:r w:rsidR="00B83D9F" w:rsidRPr="00C94ADB">
              <w:rPr>
                <w:rFonts w:ascii="Arial" w:eastAsia="Times New Roman" w:hAnsi="Arial" w:cs="Arial"/>
                <w:noProof/>
                <w:kern w:val="21"/>
                <w:sz w:val="17"/>
                <w:szCs w:val="17"/>
                <w:vertAlign w:val="superscript"/>
                <w:lang w:val="en-US" w:eastAsia="en-US"/>
              </w:rPr>
              <w:t>[1]</w:t>
            </w:r>
            <w:r w:rsidRPr="00C94ADB">
              <w:rPr>
                <w:rFonts w:ascii="Arial" w:eastAsia="Times New Roman" w:hAnsi="Arial" w:cs="Arial"/>
                <w:kern w:val="21"/>
                <w:sz w:val="17"/>
                <w:szCs w:val="17"/>
                <w:lang w:val="en-US" w:eastAsia="en-US"/>
              </w:rPr>
              <w:t xml:space="preserve"> as tested on our set up (&gt; 295 nm = 11.2 μmol h</w:t>
            </w:r>
            <w:r w:rsidRPr="00C94ADB">
              <w:rPr>
                <w:rFonts w:ascii="Arial" w:eastAsia="Times New Roman" w:hAnsi="Arial" w:cs="Arial"/>
                <w:kern w:val="21"/>
                <w:sz w:val="17"/>
                <w:szCs w:val="17"/>
                <w:vertAlign w:val="superscript"/>
                <w:lang w:val="en-US" w:eastAsia="en-US"/>
              </w:rPr>
              <w:t>-1</w:t>
            </w:r>
            <w:r w:rsidRPr="00C94ADB">
              <w:rPr>
                <w:rFonts w:ascii="Arial" w:eastAsia="Times New Roman" w:hAnsi="Arial" w:cs="Arial"/>
                <w:kern w:val="21"/>
                <w:sz w:val="17"/>
                <w:szCs w:val="17"/>
                <w:lang w:val="en-US" w:eastAsia="en-US"/>
              </w:rPr>
              <w:t>; &gt; 420 nm = 2.7 μ</w:t>
            </w:r>
            <w:r w:rsidRPr="00C94ADB">
              <w:rPr>
                <w:rFonts w:ascii="Arial" w:eastAsia="Times New Roman" w:hAnsi="Arial" w:cs="Arial"/>
                <w:i/>
                <w:kern w:val="21"/>
                <w:sz w:val="17"/>
                <w:szCs w:val="17"/>
                <w:lang w:val="en-US" w:eastAsia="en-US"/>
              </w:rPr>
              <w:t>m</w:t>
            </w:r>
            <w:r w:rsidRPr="00C94ADB">
              <w:rPr>
                <w:rFonts w:ascii="Arial" w:eastAsia="Times New Roman" w:hAnsi="Arial" w:cs="Arial"/>
                <w:kern w:val="21"/>
                <w:sz w:val="17"/>
                <w:szCs w:val="17"/>
                <w:lang w:val="en-US" w:eastAsia="en-US"/>
              </w:rPr>
              <w:t>ol h</w:t>
            </w:r>
            <w:r w:rsidRPr="00C94ADB">
              <w:rPr>
                <w:rFonts w:ascii="Arial" w:eastAsia="Times New Roman" w:hAnsi="Arial" w:cs="Arial"/>
                <w:kern w:val="21"/>
                <w:sz w:val="17"/>
                <w:szCs w:val="17"/>
                <w:vertAlign w:val="superscript"/>
                <w:lang w:val="en-US" w:eastAsia="en-US"/>
              </w:rPr>
              <w:t>-1</w:t>
            </w:r>
            <w:r w:rsidRPr="00C94ADB">
              <w:rPr>
                <w:rFonts w:ascii="Arial" w:eastAsia="Times New Roman" w:hAnsi="Arial" w:cs="Arial"/>
                <w:kern w:val="21"/>
                <w:sz w:val="17"/>
                <w:szCs w:val="17"/>
                <w:lang w:val="en-US" w:eastAsia="en-US"/>
              </w:rPr>
              <w:t>. The UV activity for P6 is comparable to commercial rutile (TiO</w:t>
            </w:r>
            <w:r w:rsidRPr="00C94ADB">
              <w:rPr>
                <w:rFonts w:ascii="Arial" w:eastAsia="Times New Roman" w:hAnsi="Arial" w:cs="Arial"/>
                <w:kern w:val="21"/>
                <w:sz w:val="17"/>
                <w:szCs w:val="17"/>
                <w:vertAlign w:val="subscript"/>
                <w:lang w:val="en-US" w:eastAsia="en-US"/>
              </w:rPr>
              <w:t>2</w:t>
            </w:r>
            <w:r w:rsidRPr="00C94ADB">
              <w:rPr>
                <w:rFonts w:ascii="Arial" w:eastAsia="Times New Roman" w:hAnsi="Arial" w:cs="Arial"/>
                <w:kern w:val="21"/>
                <w:sz w:val="17"/>
                <w:szCs w:val="17"/>
                <w:lang w:val="en-US" w:eastAsia="en-US"/>
              </w:rPr>
              <w:t>) loaded with 1 wt</w:t>
            </w:r>
            <w:r w:rsidR="00B513E0" w:rsidRPr="00C94ADB">
              <w:rPr>
                <w:rFonts w:ascii="Arial" w:eastAsia="Times New Roman" w:hAnsi="Arial" w:cs="Arial"/>
                <w:kern w:val="21"/>
                <w:sz w:val="17"/>
                <w:szCs w:val="17"/>
                <w:lang w:val="en-US" w:eastAsia="en-US"/>
              </w:rPr>
              <w:t>.</w:t>
            </w:r>
            <w:r w:rsidRPr="00C94ADB">
              <w:rPr>
                <w:rFonts w:ascii="Arial" w:eastAsia="Times New Roman" w:hAnsi="Arial" w:cs="Arial"/>
                <w:kern w:val="21"/>
                <w:sz w:val="17"/>
                <w:szCs w:val="17"/>
                <w:lang w:val="en-US" w:eastAsia="en-US"/>
              </w:rPr>
              <w:t>% platinum, as tested on our set up (&gt; 295 nm, 107.9</w:t>
            </w:r>
            <w:r w:rsidRPr="00C94ADB">
              <w:rPr>
                <w:rFonts w:ascii="Arial" w:eastAsia="Times New Roman" w:hAnsi="Arial" w:cs="Arial"/>
                <w:i/>
                <w:kern w:val="21"/>
                <w:sz w:val="17"/>
                <w:szCs w:val="17"/>
                <w:lang w:val="en-US" w:eastAsia="en-US"/>
              </w:rPr>
              <w:t> </w:t>
            </w:r>
            <w:r w:rsidRPr="00C94ADB">
              <w:rPr>
                <w:rFonts w:ascii="Arial" w:eastAsia="Times New Roman" w:hAnsi="Arial" w:cs="Arial"/>
                <w:kern w:val="21"/>
                <w:sz w:val="17"/>
                <w:szCs w:val="17"/>
                <w:lang w:val="en-US" w:eastAsia="en-US"/>
              </w:rPr>
              <w:t>μmol h</w:t>
            </w:r>
            <w:r w:rsidRPr="00C94ADB">
              <w:rPr>
                <w:rFonts w:ascii="Arial" w:eastAsia="Times New Roman" w:hAnsi="Arial" w:cs="Arial"/>
                <w:kern w:val="21"/>
                <w:sz w:val="17"/>
                <w:szCs w:val="17"/>
                <w:vertAlign w:val="superscript"/>
                <w:lang w:val="en-US" w:eastAsia="en-US"/>
              </w:rPr>
              <w:t>-1</w:t>
            </w:r>
            <w:r w:rsidRPr="00C94ADB">
              <w:rPr>
                <w:rFonts w:ascii="Arial" w:eastAsia="Times New Roman" w:hAnsi="Arial" w:cs="Arial"/>
                <w:kern w:val="21"/>
                <w:sz w:val="17"/>
                <w:szCs w:val="17"/>
                <w:lang w:val="en-US" w:eastAsia="en-US"/>
              </w:rPr>
              <w:t xml:space="preserve">, see ESI), but unlike P6, rutile shows no visible light activity (see ESI). </w:t>
            </w:r>
            <w:r w:rsidR="008848F1" w:rsidRPr="00C94ADB">
              <w:rPr>
                <w:rFonts w:ascii="Arial" w:eastAsia="Times New Roman" w:hAnsi="Arial" w:cs="Arial"/>
                <w:kern w:val="21"/>
                <w:sz w:val="17"/>
                <w:szCs w:val="17"/>
                <w:lang w:val="en-US" w:eastAsia="en-US"/>
              </w:rPr>
              <w:t>The performance of the polymer could be enhanced further by incorporation of the sulfone of dibenzo[</w:t>
            </w:r>
            <w:r w:rsidR="008848F1" w:rsidRPr="00C94ADB">
              <w:rPr>
                <w:rFonts w:ascii="Arial" w:eastAsia="Times New Roman" w:hAnsi="Arial" w:cs="Arial"/>
                <w:i/>
                <w:kern w:val="21"/>
                <w:sz w:val="17"/>
                <w:szCs w:val="17"/>
                <w:lang w:val="en-US" w:eastAsia="en-US"/>
              </w:rPr>
              <w:t>b</w:t>
            </w:r>
            <w:r w:rsidR="008848F1" w:rsidRPr="00C94ADB">
              <w:rPr>
                <w:rFonts w:ascii="Arial" w:eastAsia="Times New Roman" w:hAnsi="Arial" w:cs="Arial"/>
                <w:kern w:val="21"/>
                <w:sz w:val="17"/>
                <w:szCs w:val="17"/>
                <w:lang w:val="en-US" w:eastAsia="en-US"/>
              </w:rPr>
              <w:t>,</w:t>
            </w:r>
            <w:r w:rsidR="008848F1" w:rsidRPr="00C94ADB">
              <w:rPr>
                <w:rFonts w:ascii="Arial" w:eastAsia="Times New Roman" w:hAnsi="Arial" w:cs="Arial"/>
                <w:i/>
                <w:kern w:val="21"/>
                <w:sz w:val="17"/>
                <w:szCs w:val="17"/>
                <w:lang w:val="en-US" w:eastAsia="en-US"/>
              </w:rPr>
              <w:t>d</w:t>
            </w:r>
            <w:r w:rsidR="008848F1" w:rsidRPr="00C94ADB">
              <w:rPr>
                <w:rFonts w:ascii="Arial" w:eastAsia="Times New Roman" w:hAnsi="Arial" w:cs="Arial"/>
                <w:kern w:val="21"/>
                <w:sz w:val="17"/>
                <w:szCs w:val="17"/>
                <w:lang w:val="en-US" w:eastAsia="en-US"/>
              </w:rPr>
              <w:t xml:space="preserve">]thiophene. Under </w:t>
            </w:r>
            <w:r w:rsidR="0059183D" w:rsidRPr="00C94ADB">
              <w:rPr>
                <w:rFonts w:ascii="Arial" w:eastAsia="Times New Roman" w:hAnsi="Arial" w:cs="Arial"/>
                <w:kern w:val="21"/>
                <w:sz w:val="17"/>
                <w:szCs w:val="17"/>
                <w:lang w:val="en-US" w:eastAsia="en-US"/>
              </w:rPr>
              <w:t>broad-</w:t>
            </w:r>
            <w:r w:rsidR="008848F1" w:rsidRPr="00C94ADB">
              <w:rPr>
                <w:rFonts w:ascii="Arial" w:eastAsia="Times New Roman" w:hAnsi="Arial" w:cs="Arial"/>
                <w:kern w:val="21"/>
                <w:sz w:val="17"/>
                <w:szCs w:val="17"/>
                <w:lang w:val="en-US" w:eastAsia="en-US"/>
              </w:rPr>
              <w:t>spectrum irradiation</w:t>
            </w:r>
            <w:r w:rsidR="00EF7F5C" w:rsidRPr="00C94ADB">
              <w:rPr>
                <w:rFonts w:ascii="Arial" w:eastAsia="Times New Roman" w:hAnsi="Arial" w:cs="Arial"/>
                <w:kern w:val="21"/>
                <w:sz w:val="17"/>
                <w:szCs w:val="17"/>
                <w:lang w:val="en-US" w:eastAsia="en-US"/>
              </w:rPr>
              <w:t>,</w:t>
            </w:r>
            <w:r w:rsidR="008848F1" w:rsidRPr="00C94ADB">
              <w:rPr>
                <w:rFonts w:ascii="Arial" w:eastAsia="Times New Roman" w:hAnsi="Arial" w:cs="Arial"/>
                <w:kern w:val="21"/>
                <w:sz w:val="17"/>
                <w:szCs w:val="17"/>
                <w:lang w:val="en-US" w:eastAsia="en-US"/>
              </w:rPr>
              <w:t xml:space="preserve"> a rate of </w:t>
            </w:r>
            <w:r w:rsidR="00286062" w:rsidRPr="00C94ADB">
              <w:rPr>
                <w:rFonts w:ascii="Arial" w:eastAsia="Times New Roman" w:hAnsi="Arial" w:cs="Arial"/>
                <w:kern w:val="21"/>
                <w:sz w:val="17"/>
                <w:szCs w:val="17"/>
                <w:lang w:val="en-US" w:eastAsia="en-US"/>
              </w:rPr>
              <w:t>145</w:t>
            </w:r>
            <w:r w:rsidR="008848F1" w:rsidRPr="00C94ADB">
              <w:rPr>
                <w:rFonts w:ascii="Arial" w:eastAsia="Times New Roman" w:hAnsi="Arial" w:cs="Arial"/>
                <w:kern w:val="21"/>
                <w:sz w:val="17"/>
                <w:szCs w:val="17"/>
                <w:lang w:val="en-US" w:eastAsia="en-US"/>
              </w:rPr>
              <w:t>.</w:t>
            </w:r>
            <w:r w:rsidR="00286062" w:rsidRPr="00C94ADB">
              <w:rPr>
                <w:rFonts w:ascii="Arial" w:eastAsia="Times New Roman" w:hAnsi="Arial" w:cs="Arial"/>
                <w:kern w:val="21"/>
                <w:sz w:val="17"/>
                <w:szCs w:val="17"/>
                <w:lang w:val="en-US" w:eastAsia="en-US"/>
              </w:rPr>
              <w:t>0</w:t>
            </w:r>
            <w:r w:rsidR="00286062" w:rsidRPr="00C94ADB">
              <w:rPr>
                <w:rFonts w:ascii="Arial" w:eastAsia="Times New Roman" w:hAnsi="Arial" w:cs="Arial"/>
                <w:i/>
                <w:kern w:val="21"/>
                <w:sz w:val="17"/>
                <w:szCs w:val="17"/>
                <w:lang w:val="en-US" w:eastAsia="en-US"/>
              </w:rPr>
              <w:t xml:space="preserve"> </w:t>
            </w:r>
            <w:r w:rsidR="008848F1" w:rsidRPr="00C94ADB">
              <w:rPr>
                <w:rFonts w:ascii="Arial" w:eastAsia="Times New Roman" w:hAnsi="Arial" w:cs="Arial"/>
                <w:kern w:val="21"/>
                <w:sz w:val="17"/>
                <w:szCs w:val="17"/>
                <w:lang w:val="en-US" w:eastAsia="en-US"/>
              </w:rPr>
              <w:t>μmol h</w:t>
            </w:r>
            <w:r w:rsidR="008848F1" w:rsidRPr="00C94ADB">
              <w:rPr>
                <w:rFonts w:ascii="Arial" w:eastAsia="Times New Roman" w:hAnsi="Arial" w:cs="Arial"/>
                <w:kern w:val="21"/>
                <w:sz w:val="17"/>
                <w:szCs w:val="17"/>
                <w:vertAlign w:val="superscript"/>
                <w:lang w:val="en-US" w:eastAsia="en-US"/>
              </w:rPr>
              <w:t>-1</w:t>
            </w:r>
            <w:r w:rsidR="008848F1" w:rsidRPr="00C94ADB">
              <w:rPr>
                <w:rFonts w:ascii="Arial" w:eastAsia="Times New Roman" w:hAnsi="Arial" w:cs="Arial"/>
                <w:kern w:val="21"/>
                <w:sz w:val="17"/>
                <w:szCs w:val="17"/>
                <w:lang w:val="en-US" w:eastAsia="en-US"/>
              </w:rPr>
              <w:t xml:space="preserve"> </w:t>
            </w:r>
            <w:r w:rsidR="00192B5C" w:rsidRPr="00C94ADB">
              <w:rPr>
                <w:rFonts w:ascii="Arial" w:eastAsia="Times New Roman" w:hAnsi="Arial" w:cs="Arial"/>
                <w:kern w:val="21"/>
                <w:sz w:val="17"/>
                <w:szCs w:val="17"/>
                <w:lang w:val="en-US" w:eastAsia="en-US"/>
              </w:rPr>
              <w:t xml:space="preserve">(equivalent to </w:t>
            </w:r>
            <w:r w:rsidR="00286062" w:rsidRPr="00C94ADB">
              <w:rPr>
                <w:rFonts w:ascii="Arial" w:eastAsia="Times New Roman" w:hAnsi="Arial" w:cs="Arial"/>
                <w:kern w:val="21"/>
                <w:sz w:val="17"/>
                <w:szCs w:val="17"/>
                <w:lang w:val="en-US" w:eastAsia="en-US"/>
              </w:rPr>
              <w:t>5800</w:t>
            </w:r>
            <w:r w:rsidR="00192B5C" w:rsidRPr="00C94ADB">
              <w:rPr>
                <w:rFonts w:ascii="Arial" w:eastAsia="Times New Roman" w:hAnsi="Arial" w:cs="Arial"/>
                <w:kern w:val="21"/>
                <w:sz w:val="17"/>
                <w:szCs w:val="17"/>
                <w:lang w:val="en-US" w:eastAsia="en-US"/>
              </w:rPr>
              <w:t> μmol h</w:t>
            </w:r>
            <w:r w:rsidR="00192B5C" w:rsidRPr="00C94ADB">
              <w:rPr>
                <w:rFonts w:ascii="Arial" w:eastAsia="Times New Roman" w:hAnsi="Arial" w:cs="Arial"/>
                <w:kern w:val="21"/>
                <w:sz w:val="17"/>
                <w:szCs w:val="17"/>
                <w:vertAlign w:val="superscript"/>
                <w:lang w:val="en-US" w:eastAsia="en-US"/>
              </w:rPr>
              <w:t>-1</w:t>
            </w:r>
            <w:r w:rsidR="00192B5C" w:rsidRPr="00C94ADB">
              <w:rPr>
                <w:rFonts w:ascii="Arial" w:eastAsia="Times New Roman" w:hAnsi="Arial" w:cs="Arial"/>
                <w:kern w:val="21"/>
                <w:sz w:val="17"/>
                <w:szCs w:val="17"/>
                <w:lang w:val="en-US" w:eastAsia="en-US"/>
              </w:rPr>
              <w:t> g</w:t>
            </w:r>
            <w:r w:rsidR="00192B5C" w:rsidRPr="00C94ADB">
              <w:rPr>
                <w:rFonts w:ascii="Arial" w:eastAsia="Times New Roman" w:hAnsi="Arial" w:cs="Arial"/>
                <w:kern w:val="21"/>
                <w:sz w:val="17"/>
                <w:szCs w:val="17"/>
                <w:vertAlign w:val="superscript"/>
                <w:lang w:val="en-US" w:eastAsia="en-US"/>
              </w:rPr>
              <w:t>-1</w:t>
            </w:r>
            <w:r w:rsidR="00192B5C" w:rsidRPr="00C94ADB">
              <w:rPr>
                <w:rFonts w:ascii="Arial" w:eastAsia="Times New Roman" w:hAnsi="Arial" w:cs="Arial"/>
                <w:kern w:val="21"/>
                <w:sz w:val="17"/>
                <w:szCs w:val="17"/>
                <w:lang w:val="en-US" w:eastAsia="en-US"/>
              </w:rPr>
              <w:t xml:space="preserve">) </w:t>
            </w:r>
            <w:r w:rsidR="008848F1" w:rsidRPr="00C94ADB">
              <w:rPr>
                <w:rFonts w:ascii="Arial" w:eastAsia="Times New Roman" w:hAnsi="Arial" w:cs="Arial"/>
                <w:kern w:val="21"/>
                <w:sz w:val="17"/>
                <w:szCs w:val="17"/>
                <w:lang w:val="en-US" w:eastAsia="en-US"/>
              </w:rPr>
              <w:t>was observed and under visible light a rate of</w:t>
            </w:r>
            <w:r w:rsidR="00F2098C" w:rsidRPr="00C94ADB">
              <w:rPr>
                <w:rFonts w:ascii="Arial" w:eastAsia="Times New Roman" w:hAnsi="Arial" w:cs="Arial"/>
                <w:kern w:val="21"/>
                <w:sz w:val="17"/>
                <w:szCs w:val="17"/>
                <w:lang w:val="en-US" w:eastAsia="en-US"/>
              </w:rPr>
              <w:t xml:space="preserve"> </w:t>
            </w:r>
            <w:r w:rsidR="008848F1" w:rsidRPr="00C94ADB">
              <w:rPr>
                <w:rFonts w:ascii="Arial" w:eastAsia="Times New Roman" w:hAnsi="Arial" w:cs="Arial"/>
                <w:kern w:val="21"/>
                <w:sz w:val="17"/>
                <w:szCs w:val="17"/>
                <w:lang w:val="en-US" w:eastAsia="en-US"/>
              </w:rPr>
              <w:t xml:space="preserve">92 </w:t>
            </w:r>
            <w:r w:rsidR="00F2098C" w:rsidRPr="00C94ADB">
              <w:rPr>
                <w:rFonts w:ascii="Arial" w:eastAsia="Times New Roman" w:hAnsi="Arial" w:cs="Arial"/>
                <w:kern w:val="21"/>
                <w:sz w:val="17"/>
                <w:szCs w:val="17"/>
                <w:lang w:val="en-US" w:eastAsia="en-US"/>
              </w:rPr>
              <w:t>μmol h</w:t>
            </w:r>
            <w:r w:rsidR="00F2098C" w:rsidRPr="00C94ADB">
              <w:rPr>
                <w:rFonts w:ascii="Arial" w:eastAsia="Times New Roman" w:hAnsi="Arial" w:cs="Arial"/>
                <w:kern w:val="21"/>
                <w:sz w:val="17"/>
                <w:szCs w:val="17"/>
                <w:vertAlign w:val="superscript"/>
                <w:lang w:val="en-US" w:eastAsia="en-US"/>
              </w:rPr>
              <w:t>-1</w:t>
            </w:r>
            <w:r w:rsidR="00192B5C" w:rsidRPr="00C94ADB">
              <w:rPr>
                <w:rFonts w:ascii="Arial" w:eastAsia="Times New Roman" w:hAnsi="Arial" w:cs="Arial"/>
                <w:kern w:val="21"/>
                <w:sz w:val="17"/>
                <w:szCs w:val="17"/>
                <w:lang w:val="en-US" w:eastAsia="en-US"/>
              </w:rPr>
              <w:t xml:space="preserve"> (3680 μ</w:t>
            </w:r>
            <w:r w:rsidR="00192B5C" w:rsidRPr="00C94ADB">
              <w:rPr>
                <w:rFonts w:ascii="Arial" w:eastAsia="Times New Roman" w:hAnsi="Arial" w:cs="Arial"/>
                <w:i/>
                <w:kern w:val="21"/>
                <w:sz w:val="17"/>
                <w:szCs w:val="17"/>
                <w:lang w:val="en-US" w:eastAsia="en-US"/>
              </w:rPr>
              <w:t>m</w:t>
            </w:r>
            <w:r w:rsidR="00192B5C" w:rsidRPr="00C94ADB">
              <w:rPr>
                <w:rFonts w:ascii="Arial" w:eastAsia="Times New Roman" w:hAnsi="Arial" w:cs="Arial"/>
                <w:kern w:val="21"/>
                <w:sz w:val="17"/>
                <w:szCs w:val="17"/>
                <w:lang w:val="en-US" w:eastAsia="en-US"/>
              </w:rPr>
              <w:t>ol h</w:t>
            </w:r>
            <w:r w:rsidR="00192B5C" w:rsidRPr="00C94ADB">
              <w:rPr>
                <w:rFonts w:ascii="Arial" w:eastAsia="Times New Roman" w:hAnsi="Arial" w:cs="Arial"/>
                <w:kern w:val="21"/>
                <w:sz w:val="17"/>
                <w:szCs w:val="17"/>
                <w:vertAlign w:val="superscript"/>
                <w:lang w:val="en-US" w:eastAsia="en-US"/>
              </w:rPr>
              <w:t>-1</w:t>
            </w:r>
            <w:r w:rsidR="00192B5C" w:rsidRPr="00C94ADB">
              <w:rPr>
                <w:rFonts w:ascii="Arial" w:eastAsia="Times New Roman" w:hAnsi="Arial" w:cs="Arial"/>
                <w:kern w:val="21"/>
                <w:sz w:val="17"/>
                <w:szCs w:val="17"/>
                <w:lang w:val="en-US" w:eastAsia="en-US"/>
              </w:rPr>
              <w:t> g</w:t>
            </w:r>
            <w:r w:rsidR="00192B5C" w:rsidRPr="00C94ADB">
              <w:rPr>
                <w:rFonts w:ascii="Arial" w:eastAsia="Times New Roman" w:hAnsi="Arial" w:cs="Arial"/>
                <w:kern w:val="21"/>
                <w:sz w:val="17"/>
                <w:szCs w:val="17"/>
                <w:vertAlign w:val="superscript"/>
                <w:lang w:val="en-US" w:eastAsia="en-US"/>
              </w:rPr>
              <w:t>-1</w:t>
            </w:r>
            <w:r w:rsidR="00192B5C" w:rsidRPr="00C94ADB">
              <w:rPr>
                <w:rFonts w:ascii="Arial" w:eastAsia="Times New Roman" w:hAnsi="Arial" w:cs="Arial"/>
                <w:kern w:val="21"/>
                <w:sz w:val="17"/>
                <w:szCs w:val="17"/>
                <w:lang w:val="en-US" w:eastAsia="en-US"/>
              </w:rPr>
              <w:t xml:space="preserve">). </w:t>
            </w:r>
            <w:r w:rsidR="00F2098C" w:rsidRPr="00C94ADB">
              <w:rPr>
                <w:rFonts w:ascii="Arial" w:eastAsia="Times New Roman" w:hAnsi="Arial" w:cs="Arial"/>
                <w:kern w:val="21"/>
                <w:sz w:val="17"/>
                <w:szCs w:val="17"/>
                <w:lang w:val="en-US" w:eastAsia="en-US"/>
              </w:rPr>
              <w:t xml:space="preserve">This increase is substantial and </w:t>
            </w:r>
            <w:r w:rsidR="001A1127" w:rsidRPr="00C94ADB">
              <w:rPr>
                <w:rFonts w:ascii="Arial" w:eastAsia="Times New Roman" w:hAnsi="Arial" w:cs="Arial"/>
                <w:kern w:val="21"/>
                <w:sz w:val="17"/>
                <w:szCs w:val="17"/>
                <w:lang w:val="en-US" w:eastAsia="en-US"/>
              </w:rPr>
              <w:t xml:space="preserve">the </w:t>
            </w:r>
            <w:r w:rsidR="00F2098C" w:rsidRPr="00C94ADB">
              <w:rPr>
                <w:rFonts w:ascii="Arial" w:eastAsia="Times New Roman" w:hAnsi="Arial" w:cs="Arial"/>
                <w:kern w:val="21"/>
                <w:sz w:val="17"/>
                <w:szCs w:val="17"/>
                <w:lang w:val="en-US" w:eastAsia="en-US"/>
              </w:rPr>
              <w:t xml:space="preserve">increased apparent quantum yields of 1.1% for P6 and 2.3% for P7 compared to 0.1% for P1K reflect this. </w:t>
            </w:r>
            <w:r w:rsidRPr="00C94ADB">
              <w:rPr>
                <w:rFonts w:ascii="Arial" w:eastAsia="Times New Roman" w:hAnsi="Arial" w:cs="Arial"/>
                <w:kern w:val="21"/>
                <w:sz w:val="17"/>
                <w:szCs w:val="17"/>
                <w:lang w:val="en-US" w:eastAsia="en-US"/>
              </w:rPr>
              <w:t xml:space="preserve">The incorporation of </w:t>
            </w:r>
            <w:r w:rsidR="00F2098C" w:rsidRPr="00C94ADB">
              <w:rPr>
                <w:rFonts w:ascii="Arial" w:eastAsia="Times New Roman" w:hAnsi="Arial" w:cs="Arial"/>
                <w:kern w:val="21"/>
                <w:sz w:val="17"/>
                <w:szCs w:val="17"/>
                <w:lang w:val="en-US" w:eastAsia="en-US"/>
              </w:rPr>
              <w:t xml:space="preserve">neither the </w:t>
            </w:r>
            <w:r w:rsidRPr="00C94ADB">
              <w:rPr>
                <w:rFonts w:ascii="Arial" w:eastAsia="Times New Roman" w:hAnsi="Arial" w:cs="Arial"/>
                <w:kern w:val="21"/>
                <w:sz w:val="17"/>
                <w:szCs w:val="17"/>
                <w:lang w:val="en-US" w:eastAsia="en-US"/>
              </w:rPr>
              <w:t>dibenzo[</w:t>
            </w:r>
            <w:r w:rsidRPr="00C94ADB">
              <w:rPr>
                <w:rFonts w:ascii="Arial" w:eastAsia="Times New Roman" w:hAnsi="Arial" w:cs="Arial"/>
                <w:i/>
                <w:kern w:val="21"/>
                <w:sz w:val="17"/>
                <w:szCs w:val="17"/>
                <w:lang w:val="en-US" w:eastAsia="en-US"/>
              </w:rPr>
              <w:t>b</w:t>
            </w:r>
            <w:r w:rsidRPr="00C94ADB">
              <w:rPr>
                <w:rFonts w:ascii="Arial" w:eastAsia="Times New Roman" w:hAnsi="Arial" w:cs="Arial"/>
                <w:kern w:val="21"/>
                <w:sz w:val="17"/>
                <w:szCs w:val="17"/>
                <w:lang w:val="en-US" w:eastAsia="en-US"/>
              </w:rPr>
              <w:t>,</w:t>
            </w:r>
            <w:r w:rsidRPr="00C94ADB">
              <w:rPr>
                <w:rFonts w:ascii="Arial" w:eastAsia="Times New Roman" w:hAnsi="Arial" w:cs="Arial"/>
                <w:i/>
                <w:kern w:val="21"/>
                <w:sz w:val="17"/>
                <w:szCs w:val="17"/>
                <w:lang w:val="en-US" w:eastAsia="en-US"/>
              </w:rPr>
              <w:t>d</w:t>
            </w:r>
            <w:r w:rsidRPr="00C94ADB">
              <w:rPr>
                <w:rFonts w:ascii="Arial" w:eastAsia="Times New Roman" w:hAnsi="Arial" w:cs="Arial"/>
                <w:kern w:val="21"/>
                <w:sz w:val="17"/>
                <w:szCs w:val="17"/>
                <w:lang w:val="en-US" w:eastAsia="en-US"/>
              </w:rPr>
              <w:t xml:space="preserve">]thiophene </w:t>
            </w:r>
            <w:r w:rsidR="00F2098C" w:rsidRPr="00C94ADB">
              <w:rPr>
                <w:rFonts w:ascii="Arial" w:eastAsia="Times New Roman" w:hAnsi="Arial" w:cs="Arial"/>
                <w:kern w:val="21"/>
                <w:sz w:val="17"/>
                <w:szCs w:val="17"/>
                <w:lang w:val="en-US" w:eastAsia="en-US"/>
              </w:rPr>
              <w:t>nor the dibenzo[</w:t>
            </w:r>
            <w:r w:rsidR="00F2098C" w:rsidRPr="00C94ADB">
              <w:rPr>
                <w:rFonts w:ascii="Arial" w:eastAsia="Times New Roman" w:hAnsi="Arial" w:cs="Arial"/>
                <w:i/>
                <w:kern w:val="21"/>
                <w:sz w:val="17"/>
                <w:szCs w:val="17"/>
                <w:lang w:val="en-US" w:eastAsia="en-US"/>
              </w:rPr>
              <w:t>b</w:t>
            </w:r>
            <w:r w:rsidR="00F2098C" w:rsidRPr="00C94ADB">
              <w:rPr>
                <w:rFonts w:ascii="Arial" w:eastAsia="Times New Roman" w:hAnsi="Arial" w:cs="Arial"/>
                <w:kern w:val="21"/>
                <w:sz w:val="17"/>
                <w:szCs w:val="17"/>
                <w:lang w:val="en-US" w:eastAsia="en-US"/>
              </w:rPr>
              <w:t>,</w:t>
            </w:r>
            <w:r w:rsidR="00F2098C" w:rsidRPr="00C94ADB">
              <w:rPr>
                <w:rFonts w:ascii="Arial" w:eastAsia="Times New Roman" w:hAnsi="Arial" w:cs="Arial"/>
                <w:i/>
                <w:kern w:val="21"/>
                <w:sz w:val="17"/>
                <w:szCs w:val="17"/>
                <w:lang w:val="en-US" w:eastAsia="en-US"/>
              </w:rPr>
              <w:t>d</w:t>
            </w:r>
            <w:r w:rsidR="00F2098C" w:rsidRPr="00C94ADB">
              <w:rPr>
                <w:rFonts w:ascii="Arial" w:eastAsia="Times New Roman" w:hAnsi="Arial" w:cs="Arial"/>
                <w:kern w:val="21"/>
                <w:sz w:val="17"/>
                <w:szCs w:val="17"/>
                <w:lang w:val="en-US" w:eastAsia="en-US"/>
              </w:rPr>
              <w:t xml:space="preserve">]thiophene sulfone </w:t>
            </w:r>
            <w:r w:rsidRPr="00C94ADB">
              <w:rPr>
                <w:rFonts w:ascii="Arial" w:eastAsia="Times New Roman" w:hAnsi="Arial" w:cs="Arial"/>
                <w:kern w:val="21"/>
                <w:sz w:val="17"/>
                <w:szCs w:val="17"/>
                <w:lang w:val="en-US" w:eastAsia="en-US"/>
              </w:rPr>
              <w:t>unit into P6</w:t>
            </w:r>
            <w:r w:rsidR="00F2098C" w:rsidRPr="00C94ADB">
              <w:rPr>
                <w:rFonts w:ascii="Arial" w:eastAsia="Times New Roman" w:hAnsi="Arial" w:cs="Arial"/>
                <w:kern w:val="21"/>
                <w:sz w:val="17"/>
                <w:szCs w:val="17"/>
                <w:lang w:val="en-US" w:eastAsia="en-US"/>
              </w:rPr>
              <w:t xml:space="preserve"> and P7</w:t>
            </w:r>
            <w:r w:rsidRPr="00C94ADB">
              <w:rPr>
                <w:rFonts w:ascii="Arial" w:eastAsia="Times New Roman" w:hAnsi="Arial" w:cs="Arial"/>
                <w:kern w:val="21"/>
                <w:sz w:val="17"/>
                <w:szCs w:val="17"/>
                <w:lang w:val="en-US" w:eastAsia="en-US"/>
              </w:rPr>
              <w:t xml:space="preserve"> change</w:t>
            </w:r>
            <w:r w:rsidR="001A1127" w:rsidRPr="00C94ADB">
              <w:rPr>
                <w:rFonts w:ascii="Arial" w:eastAsia="Times New Roman" w:hAnsi="Arial" w:cs="Arial"/>
                <w:kern w:val="21"/>
                <w:sz w:val="17"/>
                <w:szCs w:val="17"/>
                <w:lang w:val="en-US" w:eastAsia="en-US"/>
              </w:rPr>
              <w:t>s</w:t>
            </w:r>
            <w:r w:rsidRPr="00C94ADB">
              <w:rPr>
                <w:rFonts w:ascii="Arial" w:eastAsia="Times New Roman" w:hAnsi="Arial" w:cs="Arial"/>
                <w:kern w:val="21"/>
                <w:sz w:val="17"/>
                <w:szCs w:val="17"/>
                <w:lang w:val="en-US" w:eastAsia="en-US"/>
              </w:rPr>
              <w:t xml:space="preserve"> the optical gap significantly with respect to P1K and the other planarized co-polymers, as predicted by (TD-)DFT calculations (see ESI). </w:t>
            </w:r>
            <w:r w:rsidR="00DB5E69" w:rsidRPr="00C94ADB">
              <w:rPr>
                <w:rFonts w:ascii="Arial" w:eastAsia="Times New Roman" w:hAnsi="Arial" w:cs="Arial"/>
                <w:kern w:val="21"/>
                <w:sz w:val="17"/>
                <w:szCs w:val="17"/>
                <w:lang w:val="en-US" w:eastAsia="en-US"/>
              </w:rPr>
              <w:t xml:space="preserve">These </w:t>
            </w:r>
            <w:r w:rsidRPr="00C94ADB">
              <w:rPr>
                <w:rFonts w:ascii="Arial" w:eastAsia="Times New Roman" w:hAnsi="Arial" w:cs="Arial"/>
                <w:kern w:val="21"/>
                <w:sz w:val="17"/>
                <w:szCs w:val="17"/>
                <w:lang w:val="en-US" w:eastAsia="en-US"/>
              </w:rPr>
              <w:t xml:space="preserve">calculations </w:t>
            </w:r>
            <w:r w:rsidR="00DB5E69" w:rsidRPr="00C94ADB">
              <w:rPr>
                <w:rFonts w:ascii="Arial" w:eastAsia="Times New Roman" w:hAnsi="Arial" w:cs="Arial"/>
                <w:kern w:val="21"/>
                <w:sz w:val="17"/>
                <w:szCs w:val="17"/>
                <w:lang w:val="en-US" w:eastAsia="en-US"/>
              </w:rPr>
              <w:t xml:space="preserve">also </w:t>
            </w:r>
            <w:r w:rsidRPr="00C94ADB">
              <w:rPr>
                <w:rFonts w:ascii="Arial" w:eastAsia="Times New Roman" w:hAnsi="Arial" w:cs="Arial"/>
                <w:kern w:val="21"/>
                <w:sz w:val="17"/>
                <w:szCs w:val="17"/>
                <w:lang w:val="en-US" w:eastAsia="en-US"/>
              </w:rPr>
              <w:t>suggest no significant change in the thermodynamic driving force for proton reduction for the various planarized polymers. This su</w:t>
            </w:r>
            <w:r w:rsidR="00B56CE9" w:rsidRPr="00C94ADB">
              <w:rPr>
                <w:rFonts w:ascii="Arial" w:eastAsia="Times New Roman" w:hAnsi="Arial" w:cs="Arial"/>
                <w:kern w:val="21"/>
                <w:sz w:val="17"/>
                <w:szCs w:val="17"/>
                <w:lang w:val="en-US" w:eastAsia="en-US"/>
              </w:rPr>
              <w:t xml:space="preserve">pports </w:t>
            </w:r>
            <w:r w:rsidRPr="00C94ADB">
              <w:rPr>
                <w:rFonts w:ascii="Arial" w:eastAsia="Times New Roman" w:hAnsi="Arial" w:cs="Arial"/>
                <w:kern w:val="21"/>
                <w:sz w:val="17"/>
                <w:szCs w:val="17"/>
                <w:lang w:val="en-US" w:eastAsia="en-US"/>
              </w:rPr>
              <w:t xml:space="preserve">that neither optical gap nor the thermodynamics of proton reduction can explain these large differences in HER. It is therefore likely that the differences can be ascribed to variations in charge-carrier life-time, charge-carrier mobility, specific surface chemistry, or some combination of these factors. </w:t>
            </w:r>
          </w:p>
          <w:p w14:paraId="05B986DB" w14:textId="04C40E2C" w:rsidR="009F7243" w:rsidRPr="00C94ADB" w:rsidRDefault="009F7243" w:rsidP="00982F40">
            <w:pPr>
              <w:spacing w:line="225" w:lineRule="exact"/>
              <w:ind w:firstLine="181"/>
              <w:jc w:val="both"/>
              <w:rPr>
                <w:rFonts w:ascii="Arial" w:eastAsia="Times New Roman" w:hAnsi="Arial" w:cs="Arial"/>
                <w:kern w:val="21"/>
                <w:sz w:val="17"/>
                <w:szCs w:val="17"/>
                <w:lang w:val="en-US" w:eastAsia="en-US"/>
              </w:rPr>
            </w:pPr>
            <w:r w:rsidRPr="00C94ADB">
              <w:rPr>
                <w:rFonts w:ascii="Arial" w:eastAsia="Times New Roman" w:hAnsi="Arial" w:cs="Arial"/>
                <w:kern w:val="21"/>
                <w:sz w:val="17"/>
                <w:szCs w:val="17"/>
                <w:lang w:val="en-US" w:eastAsia="en-US"/>
              </w:rPr>
              <w:t>Unlike most examples in the literature, no additional metal co-catalyst was added to these polymers.</w:t>
            </w:r>
            <w:r w:rsidR="008842C2" w:rsidRPr="00C94ADB">
              <w:rPr>
                <w:rFonts w:ascii="Arial" w:eastAsia="Times New Roman" w:hAnsi="Arial" w:cs="Arial"/>
                <w:noProof/>
                <w:kern w:val="21"/>
                <w:sz w:val="17"/>
                <w:szCs w:val="17"/>
                <w:vertAlign w:val="superscript"/>
                <w:lang w:val="en-US" w:eastAsia="en-US"/>
              </w:rPr>
              <w:t>[15]</w:t>
            </w:r>
            <w:r w:rsidRPr="00C94ADB">
              <w:rPr>
                <w:rFonts w:ascii="Arial" w:eastAsia="Times New Roman" w:hAnsi="Arial" w:cs="Arial"/>
                <w:kern w:val="21"/>
                <w:sz w:val="17"/>
                <w:szCs w:val="17"/>
                <w:lang w:val="en-US" w:eastAsia="en-US"/>
              </w:rPr>
              <w:t xml:space="preserve"> However, all of these materials, except P1K, were made using palladium catalysis, and hence significant levels of residual palladium were found by </w:t>
            </w:r>
            <w:r w:rsidR="00427032" w:rsidRPr="00C94ADB">
              <w:rPr>
                <w:rFonts w:ascii="Arial" w:eastAsia="Times New Roman" w:hAnsi="Arial" w:cs="Arial"/>
                <w:kern w:val="21"/>
                <w:sz w:val="17"/>
                <w:szCs w:val="17"/>
                <w:lang w:val="en-US" w:eastAsia="en-US"/>
              </w:rPr>
              <w:t xml:space="preserve">ICP-OES </w:t>
            </w:r>
            <w:r w:rsidRPr="00C94ADB">
              <w:rPr>
                <w:rFonts w:ascii="Arial" w:eastAsia="Times New Roman" w:hAnsi="Arial" w:cs="Arial"/>
                <w:kern w:val="21"/>
                <w:sz w:val="17"/>
                <w:szCs w:val="17"/>
                <w:lang w:val="en-US" w:eastAsia="en-US"/>
              </w:rPr>
              <w:t>(see ESI). It is therefore possible that residual palladium plays a role in the catalysis, although carbon monoxide poisoning experiments for our earlier CMPs suggested that this was not a major factor for those polymers</w:t>
            </w:r>
            <w:r w:rsidR="00451053" w:rsidRPr="00C94ADB">
              <w:rPr>
                <w:rFonts w:ascii="Arial" w:eastAsia="Times New Roman" w:hAnsi="Arial" w:cs="Arial"/>
                <w:kern w:val="21"/>
                <w:sz w:val="17"/>
                <w:szCs w:val="17"/>
                <w:lang w:val="en-US" w:eastAsia="en-US"/>
              </w:rPr>
              <w:t>.</w:t>
            </w:r>
            <w:r w:rsidR="00451053" w:rsidRPr="00C94ADB">
              <w:rPr>
                <w:rFonts w:ascii="Arial" w:eastAsia="Times New Roman" w:hAnsi="Arial" w:cs="Arial"/>
                <w:noProof/>
                <w:kern w:val="21"/>
                <w:sz w:val="17"/>
                <w:szCs w:val="17"/>
                <w:vertAlign w:val="superscript"/>
                <w:lang w:val="en-US" w:eastAsia="en-US"/>
              </w:rPr>
              <w:t>[15]</w:t>
            </w:r>
            <w:r w:rsidRPr="00C94ADB">
              <w:rPr>
                <w:rFonts w:ascii="Arial" w:eastAsia="Times New Roman" w:hAnsi="Arial" w:cs="Arial"/>
                <w:kern w:val="21"/>
                <w:sz w:val="17"/>
                <w:szCs w:val="17"/>
                <w:lang w:val="en-US" w:eastAsia="en-US"/>
              </w:rPr>
              <w:t xml:space="preserve"> </w:t>
            </w:r>
            <w:r w:rsidR="002A6B7C" w:rsidRPr="00C94ADB">
              <w:rPr>
                <w:rFonts w:ascii="Arial" w:eastAsia="Times New Roman" w:hAnsi="Arial" w:cs="Arial"/>
                <w:kern w:val="21"/>
                <w:sz w:val="17"/>
                <w:szCs w:val="17"/>
                <w:lang w:val="en-US" w:eastAsia="en-US"/>
              </w:rPr>
              <w:t>Additionally</w:t>
            </w:r>
            <w:r w:rsidRPr="00C94ADB">
              <w:rPr>
                <w:rFonts w:ascii="Arial" w:eastAsia="Times New Roman" w:hAnsi="Arial" w:cs="Arial"/>
                <w:kern w:val="21"/>
                <w:sz w:val="17"/>
                <w:szCs w:val="17"/>
                <w:lang w:val="en-US" w:eastAsia="en-US"/>
              </w:rPr>
              <w:t xml:space="preserve">, the Kumada-coupled polymer, P1K, displays moderate HERs under broad-spectrum irradiation (Table 1), </w:t>
            </w:r>
            <w:r w:rsidR="001A1127" w:rsidRPr="00C94ADB">
              <w:rPr>
                <w:rFonts w:ascii="Arial" w:eastAsia="Times New Roman" w:hAnsi="Arial" w:cs="Arial"/>
                <w:kern w:val="21"/>
                <w:sz w:val="17"/>
                <w:szCs w:val="17"/>
                <w:lang w:val="en-US" w:eastAsia="en-US"/>
              </w:rPr>
              <w:t xml:space="preserve">and </w:t>
            </w:r>
            <w:r w:rsidRPr="00C94ADB">
              <w:rPr>
                <w:rFonts w:ascii="Arial" w:eastAsia="Times New Roman" w:hAnsi="Arial" w:cs="Arial"/>
                <w:kern w:val="21"/>
                <w:sz w:val="17"/>
                <w:szCs w:val="17"/>
                <w:lang w:val="en-US" w:eastAsia="en-US"/>
              </w:rPr>
              <w:t>contains no palladium</w:t>
            </w:r>
            <w:r w:rsidR="00427032" w:rsidRPr="00C94ADB">
              <w:rPr>
                <w:rFonts w:ascii="Arial" w:eastAsia="Times New Roman" w:hAnsi="Arial" w:cs="Arial"/>
                <w:kern w:val="21"/>
                <w:sz w:val="17"/>
                <w:szCs w:val="17"/>
                <w:lang w:val="en-US" w:eastAsia="en-US"/>
              </w:rPr>
              <w:t>, but a small amount of residual nickel.</w:t>
            </w:r>
          </w:p>
          <w:p w14:paraId="39772C37" w14:textId="77777777" w:rsidR="009F7243" w:rsidRPr="00C94ADB" w:rsidRDefault="001533C8" w:rsidP="00561836">
            <w:pPr>
              <w:spacing w:line="225" w:lineRule="exact"/>
              <w:ind w:firstLine="181"/>
              <w:jc w:val="both"/>
              <w:rPr>
                <w:rFonts w:ascii="Arial" w:eastAsia="Times New Roman" w:hAnsi="Arial" w:cs="Arial"/>
                <w:kern w:val="21"/>
                <w:sz w:val="17"/>
                <w:szCs w:val="17"/>
                <w:lang w:val="en-US" w:eastAsia="en-US"/>
              </w:rPr>
            </w:pPr>
            <w:r w:rsidRPr="00C94ADB">
              <w:rPr>
                <w:rFonts w:ascii="Arial" w:eastAsia="Times New Roman" w:hAnsi="Arial" w:cs="Arial"/>
                <w:kern w:val="21"/>
                <w:sz w:val="17"/>
                <w:szCs w:val="17"/>
                <w:lang w:val="en-US" w:eastAsia="en-US"/>
              </w:rPr>
              <w:t>Both</w:t>
            </w:r>
            <w:r w:rsidR="009F7243" w:rsidRPr="00C94ADB">
              <w:rPr>
                <w:rFonts w:ascii="Arial" w:eastAsia="Times New Roman" w:hAnsi="Arial" w:cs="Arial"/>
                <w:kern w:val="21"/>
                <w:sz w:val="17"/>
                <w:szCs w:val="17"/>
                <w:lang w:val="en-US" w:eastAsia="en-US"/>
              </w:rPr>
              <w:t xml:space="preserve"> P6</w:t>
            </w:r>
            <w:r w:rsidRPr="00C94ADB">
              <w:rPr>
                <w:rFonts w:ascii="Arial" w:eastAsia="Times New Roman" w:hAnsi="Arial" w:cs="Arial"/>
                <w:kern w:val="21"/>
                <w:sz w:val="17"/>
                <w:szCs w:val="17"/>
                <w:lang w:val="en-US" w:eastAsia="en-US"/>
              </w:rPr>
              <w:t xml:space="preserve"> and P7 show a performance dependency on the wavelength of the light that is used for irradiation.</w:t>
            </w:r>
            <w:r w:rsidR="009F7243" w:rsidRPr="00C94ADB">
              <w:rPr>
                <w:rFonts w:ascii="Arial" w:eastAsia="Times New Roman" w:hAnsi="Arial" w:cs="Arial"/>
                <w:kern w:val="21"/>
                <w:sz w:val="17"/>
                <w:szCs w:val="17"/>
                <w:lang w:val="en-US" w:eastAsia="en-US"/>
              </w:rPr>
              <w:t xml:space="preserve"> This strong dependency on irradiation wavelength would suggest that these systems, like other semiconductor photocatalysts, will be sensitive to the precise </w:t>
            </w:r>
            <w:r w:rsidR="001A1127" w:rsidRPr="00C94ADB">
              <w:rPr>
                <w:rFonts w:ascii="Arial" w:eastAsia="Times New Roman" w:hAnsi="Arial" w:cs="Arial"/>
                <w:kern w:val="21"/>
                <w:sz w:val="17"/>
                <w:szCs w:val="17"/>
                <w:lang w:val="en-US" w:eastAsia="en-US"/>
              </w:rPr>
              <w:t>photocatalysts</w:t>
            </w:r>
            <w:r w:rsidR="001A1127" w:rsidRPr="00C94ADB" w:rsidDel="001A1127">
              <w:rPr>
                <w:rFonts w:ascii="Arial" w:eastAsia="Times New Roman" w:hAnsi="Arial" w:cs="Arial"/>
                <w:kern w:val="21"/>
                <w:sz w:val="17"/>
                <w:szCs w:val="17"/>
                <w:lang w:val="en-US" w:eastAsia="en-US"/>
              </w:rPr>
              <w:t xml:space="preserve"> </w:t>
            </w:r>
            <w:r w:rsidR="009F7243" w:rsidRPr="00C94ADB">
              <w:rPr>
                <w:rFonts w:ascii="Arial" w:eastAsia="Times New Roman" w:hAnsi="Arial" w:cs="Arial"/>
                <w:kern w:val="21"/>
                <w:sz w:val="17"/>
                <w:szCs w:val="17"/>
                <w:lang w:val="en-US" w:eastAsia="en-US"/>
              </w:rPr>
              <w:t>set</w:t>
            </w:r>
            <w:r w:rsidR="001A1127" w:rsidRPr="00C94ADB">
              <w:rPr>
                <w:rFonts w:ascii="Arial" w:eastAsia="Times New Roman" w:hAnsi="Arial" w:cs="Arial"/>
                <w:kern w:val="21"/>
                <w:sz w:val="17"/>
                <w:szCs w:val="17"/>
                <w:lang w:val="en-US" w:eastAsia="en-US"/>
              </w:rPr>
              <w:t>-</w:t>
            </w:r>
            <w:r w:rsidR="009F7243" w:rsidRPr="00C94ADB">
              <w:rPr>
                <w:rFonts w:ascii="Arial" w:eastAsia="Times New Roman" w:hAnsi="Arial" w:cs="Arial"/>
                <w:kern w:val="21"/>
                <w:sz w:val="17"/>
                <w:szCs w:val="17"/>
                <w:lang w:val="en-US" w:eastAsia="en-US"/>
              </w:rPr>
              <w:t>up,</w:t>
            </w:r>
            <w:r w:rsidR="00D64F2D" w:rsidRPr="00C94ADB">
              <w:rPr>
                <w:rFonts w:ascii="Arial" w:eastAsia="Times New Roman" w:hAnsi="Arial" w:cs="Arial"/>
                <w:noProof/>
                <w:kern w:val="21"/>
                <w:sz w:val="17"/>
                <w:szCs w:val="17"/>
                <w:vertAlign w:val="superscript"/>
                <w:lang w:val="en-US" w:eastAsia="en-US"/>
              </w:rPr>
              <w:t>[29]</w:t>
            </w:r>
            <w:r w:rsidR="009F7243" w:rsidRPr="00C94ADB">
              <w:rPr>
                <w:rFonts w:ascii="Arial" w:eastAsia="Times New Roman" w:hAnsi="Arial" w:cs="Arial"/>
                <w:kern w:val="21"/>
                <w:sz w:val="17"/>
                <w:szCs w:val="17"/>
                <w:lang w:val="en-US" w:eastAsia="en-US"/>
              </w:rPr>
              <w:t xml:space="preserve"> and in particular the intensity of the photolysis lamp at a given wavelength. For this reason, all of the comparisons made in Table 1 and Fig</w:t>
            </w:r>
            <w:r w:rsidR="00B7088A" w:rsidRPr="00C94ADB">
              <w:rPr>
                <w:rFonts w:ascii="Arial" w:eastAsia="Times New Roman" w:hAnsi="Arial" w:cs="Arial"/>
                <w:kern w:val="21"/>
                <w:sz w:val="17"/>
                <w:szCs w:val="17"/>
                <w:lang w:val="en-US" w:eastAsia="en-US"/>
              </w:rPr>
              <w:t>ure </w:t>
            </w:r>
            <w:r w:rsidR="009F7243" w:rsidRPr="00C94ADB">
              <w:rPr>
                <w:rFonts w:ascii="Arial" w:eastAsia="Times New Roman" w:hAnsi="Arial" w:cs="Arial"/>
                <w:kern w:val="21"/>
                <w:sz w:val="17"/>
                <w:szCs w:val="17"/>
                <w:lang w:val="en-US" w:eastAsia="en-US"/>
              </w:rPr>
              <w:t xml:space="preserve">2 </w:t>
            </w:r>
            <w:r w:rsidR="009F7243" w:rsidRPr="00C94ADB">
              <w:rPr>
                <w:rFonts w:ascii="Arial" w:eastAsia="Times New Roman" w:hAnsi="Arial" w:cs="Arial"/>
                <w:kern w:val="21"/>
                <w:sz w:val="17"/>
                <w:szCs w:val="17"/>
                <w:lang w:val="en-US" w:eastAsia="en-US"/>
              </w:rPr>
              <w:lastRenderedPageBreak/>
              <w:t>refer to data collected using exactly the same set</w:t>
            </w:r>
            <w:r w:rsidR="001A1127" w:rsidRPr="00C94ADB">
              <w:rPr>
                <w:rFonts w:ascii="Arial" w:eastAsia="Times New Roman" w:hAnsi="Arial" w:cs="Arial"/>
                <w:kern w:val="21"/>
                <w:sz w:val="17"/>
                <w:szCs w:val="17"/>
                <w:lang w:val="en-US" w:eastAsia="en-US"/>
              </w:rPr>
              <w:t>-</w:t>
            </w:r>
            <w:r w:rsidR="009F7243" w:rsidRPr="00C94ADB">
              <w:rPr>
                <w:rFonts w:ascii="Arial" w:eastAsia="Times New Roman" w:hAnsi="Arial" w:cs="Arial"/>
                <w:kern w:val="21"/>
                <w:sz w:val="17"/>
                <w:szCs w:val="17"/>
                <w:lang w:val="en-US" w:eastAsia="en-US"/>
              </w:rPr>
              <w:t xml:space="preserve">up. </w:t>
            </w:r>
          </w:p>
          <w:p w14:paraId="2BE81DB6" w14:textId="77777777" w:rsidR="00004C9E" w:rsidRPr="00C94ADB" w:rsidRDefault="001533C8" w:rsidP="00561836">
            <w:pPr>
              <w:spacing w:line="225" w:lineRule="exact"/>
              <w:ind w:firstLine="181"/>
              <w:jc w:val="both"/>
              <w:rPr>
                <w:rFonts w:ascii="Arial" w:eastAsia="Times New Roman" w:hAnsi="Arial" w:cs="Arial"/>
                <w:kern w:val="21"/>
                <w:sz w:val="17"/>
                <w:szCs w:val="17"/>
                <w:lang w:val="en-US" w:eastAsia="en-US"/>
              </w:rPr>
            </w:pPr>
            <w:r w:rsidRPr="00C94ADB">
              <w:rPr>
                <w:rFonts w:ascii="Arial" w:eastAsia="Times New Roman" w:hAnsi="Arial" w:cs="Arial"/>
                <w:kern w:val="21"/>
                <w:sz w:val="17"/>
                <w:szCs w:val="17"/>
                <w:lang w:val="en-US" w:eastAsia="en-US"/>
              </w:rPr>
              <w:t xml:space="preserve">P7 </w:t>
            </w:r>
            <w:r w:rsidR="009F7243" w:rsidRPr="00C94ADB">
              <w:rPr>
                <w:rFonts w:ascii="Arial" w:eastAsia="Times New Roman" w:hAnsi="Arial" w:cs="Arial"/>
                <w:kern w:val="21"/>
                <w:sz w:val="17"/>
                <w:szCs w:val="17"/>
                <w:lang w:val="en-US" w:eastAsia="en-US"/>
              </w:rPr>
              <w:t xml:space="preserve">was further studied with repeat runs under visible light over a total of </w:t>
            </w:r>
            <w:r w:rsidRPr="00C94ADB">
              <w:rPr>
                <w:rFonts w:ascii="Arial" w:eastAsia="Times New Roman" w:hAnsi="Arial" w:cs="Arial"/>
                <w:kern w:val="21"/>
                <w:sz w:val="17"/>
                <w:szCs w:val="17"/>
                <w:lang w:val="en-US" w:eastAsia="en-US"/>
              </w:rPr>
              <w:t>16 </w:t>
            </w:r>
            <w:r w:rsidR="009F7243" w:rsidRPr="00C94ADB">
              <w:rPr>
                <w:rFonts w:ascii="Arial" w:eastAsia="Times New Roman" w:hAnsi="Arial" w:cs="Arial"/>
                <w:kern w:val="21"/>
                <w:sz w:val="17"/>
                <w:szCs w:val="17"/>
                <w:lang w:val="en-US" w:eastAsia="en-US"/>
              </w:rPr>
              <w:t xml:space="preserve">hours, with degassing after 10 hours (see ESI). The performance is reduced by about </w:t>
            </w:r>
            <w:r w:rsidRPr="00C94ADB">
              <w:rPr>
                <w:rFonts w:ascii="Arial" w:eastAsia="Times New Roman" w:hAnsi="Arial" w:cs="Arial"/>
                <w:kern w:val="21"/>
                <w:sz w:val="17"/>
                <w:szCs w:val="17"/>
                <w:lang w:val="en-US" w:eastAsia="en-US"/>
              </w:rPr>
              <w:t>10</w:t>
            </w:r>
            <w:r w:rsidR="009F7243" w:rsidRPr="00C94ADB">
              <w:rPr>
                <w:rFonts w:ascii="Arial" w:eastAsia="Times New Roman" w:hAnsi="Arial" w:cs="Arial"/>
                <w:kern w:val="21"/>
                <w:sz w:val="17"/>
                <w:szCs w:val="17"/>
                <w:lang w:val="en-US" w:eastAsia="en-US"/>
              </w:rPr>
              <w:t xml:space="preserve">% </w:t>
            </w:r>
            <w:r w:rsidRPr="00C94ADB">
              <w:rPr>
                <w:rFonts w:ascii="Arial" w:eastAsia="Times New Roman" w:hAnsi="Arial" w:cs="Arial"/>
                <w:kern w:val="21"/>
                <w:sz w:val="17"/>
                <w:szCs w:val="17"/>
                <w:lang w:val="en-US" w:eastAsia="en-US"/>
              </w:rPr>
              <w:t>after the 10 hour</w:t>
            </w:r>
            <w:r w:rsidR="009F7243" w:rsidRPr="00C94ADB">
              <w:rPr>
                <w:rFonts w:ascii="Arial" w:eastAsia="Times New Roman" w:hAnsi="Arial" w:cs="Arial"/>
                <w:kern w:val="21"/>
                <w:sz w:val="17"/>
                <w:szCs w:val="17"/>
                <w:lang w:val="en-US" w:eastAsia="en-US"/>
              </w:rPr>
              <w:t xml:space="preserve"> run, but the material was still active when irradiation was continued for a total of 65 hours, and the overall performance and stability was much better than reported for poly(</w:t>
            </w:r>
            <w:r w:rsidR="009F7243" w:rsidRPr="00C94ADB">
              <w:rPr>
                <w:rFonts w:ascii="Arial" w:eastAsia="Times New Roman" w:hAnsi="Arial" w:cs="Arial"/>
                <w:i/>
                <w:kern w:val="21"/>
                <w:sz w:val="17"/>
                <w:szCs w:val="17"/>
                <w:lang w:val="en-US" w:eastAsia="en-US"/>
              </w:rPr>
              <w:t>p</w:t>
            </w:r>
            <w:r w:rsidR="009F7243" w:rsidRPr="00C94ADB">
              <w:rPr>
                <w:rFonts w:ascii="Arial" w:eastAsia="Times New Roman" w:hAnsi="Arial" w:cs="Arial"/>
                <w:kern w:val="21"/>
                <w:sz w:val="17"/>
                <w:szCs w:val="17"/>
                <w:lang w:val="en-US" w:eastAsia="en-US"/>
              </w:rPr>
              <w:t>-phenylene).</w:t>
            </w:r>
            <w:r w:rsidR="00D64F2D" w:rsidRPr="00C94ADB">
              <w:rPr>
                <w:rFonts w:ascii="Arial" w:eastAsia="Times New Roman" w:hAnsi="Arial" w:cs="Arial"/>
                <w:noProof/>
                <w:kern w:val="21"/>
                <w:sz w:val="17"/>
                <w:szCs w:val="17"/>
                <w:vertAlign w:val="superscript"/>
                <w:lang w:val="en-US" w:eastAsia="en-US"/>
              </w:rPr>
              <w:t>[32]</w:t>
            </w:r>
            <w:r w:rsidR="009F7243" w:rsidRPr="00C94ADB">
              <w:rPr>
                <w:rFonts w:ascii="Arial" w:eastAsia="Times New Roman" w:hAnsi="Arial" w:cs="Arial"/>
                <w:kern w:val="21"/>
                <w:sz w:val="17"/>
                <w:szCs w:val="17"/>
                <w:lang w:val="en-US" w:eastAsia="en-US"/>
              </w:rPr>
              <w:t xml:space="preserve"> </w:t>
            </w:r>
            <w:r w:rsidRPr="00C94ADB">
              <w:rPr>
                <w:rFonts w:ascii="Arial" w:eastAsia="Times New Roman" w:hAnsi="Arial" w:cs="Arial"/>
                <w:kern w:val="21"/>
                <w:sz w:val="17"/>
                <w:szCs w:val="17"/>
                <w:lang w:val="en-US" w:eastAsia="en-US"/>
              </w:rPr>
              <w:t xml:space="preserve">P7 </w:t>
            </w:r>
            <w:r w:rsidR="009F7243" w:rsidRPr="00C94ADB">
              <w:rPr>
                <w:rFonts w:ascii="Arial" w:eastAsia="Times New Roman" w:hAnsi="Arial" w:cs="Arial"/>
                <w:kern w:val="21"/>
                <w:sz w:val="17"/>
                <w:szCs w:val="17"/>
                <w:lang w:val="en-US" w:eastAsia="en-US"/>
              </w:rPr>
              <w:t xml:space="preserve">did not show any changes in its UV/vis spectrum, photoluminescence, FT-IR spectrum, or PXRD pattern after 65 hours </w:t>
            </w:r>
            <w:r w:rsidR="001A1127" w:rsidRPr="00C94ADB">
              <w:rPr>
                <w:rFonts w:ascii="Arial" w:eastAsia="Times New Roman" w:hAnsi="Arial" w:cs="Arial"/>
                <w:kern w:val="21"/>
                <w:sz w:val="17"/>
                <w:szCs w:val="17"/>
                <w:lang w:val="en-US" w:eastAsia="en-US"/>
              </w:rPr>
              <w:t xml:space="preserve">of </w:t>
            </w:r>
            <w:r w:rsidR="009F7243" w:rsidRPr="00C94ADB">
              <w:rPr>
                <w:rFonts w:ascii="Arial" w:eastAsia="Times New Roman" w:hAnsi="Arial" w:cs="Arial"/>
                <w:kern w:val="21"/>
                <w:sz w:val="17"/>
                <w:szCs w:val="17"/>
                <w:lang w:val="en-US" w:eastAsia="en-US"/>
              </w:rPr>
              <w:t xml:space="preserve">irradiation. Also, a total of </w:t>
            </w:r>
            <w:r w:rsidRPr="00C94ADB">
              <w:rPr>
                <w:rFonts w:ascii="Arial" w:eastAsia="Times New Roman" w:hAnsi="Arial" w:cs="Arial"/>
                <w:kern w:val="21"/>
                <w:sz w:val="17"/>
                <w:szCs w:val="17"/>
                <w:lang w:val="en-US" w:eastAsia="en-US"/>
              </w:rPr>
              <w:t>3356 </w:t>
            </w:r>
            <w:r w:rsidR="009F7243" w:rsidRPr="00C94ADB">
              <w:rPr>
                <w:rFonts w:ascii="Arial" w:eastAsia="Times New Roman" w:hAnsi="Arial" w:cs="Arial"/>
                <w:kern w:val="21"/>
                <w:sz w:val="17"/>
                <w:szCs w:val="17"/>
                <w:lang w:val="en-US" w:eastAsia="en-US"/>
              </w:rPr>
              <w:t xml:space="preserve">μmol hydrogen was evolved, which is </w:t>
            </w:r>
            <w:r w:rsidR="00107C8D" w:rsidRPr="00C94ADB">
              <w:rPr>
                <w:rFonts w:ascii="Arial" w:eastAsia="Times New Roman" w:hAnsi="Arial" w:cs="Arial"/>
                <w:kern w:val="21"/>
                <w:sz w:val="17"/>
                <w:szCs w:val="17"/>
                <w:lang w:val="en-US" w:eastAsia="en-US"/>
              </w:rPr>
              <w:t xml:space="preserve">almost </w:t>
            </w:r>
            <w:r w:rsidR="009F7243" w:rsidRPr="00C94ADB">
              <w:rPr>
                <w:rFonts w:ascii="Arial" w:eastAsia="Times New Roman" w:hAnsi="Arial" w:cs="Arial"/>
                <w:kern w:val="21"/>
                <w:sz w:val="17"/>
                <w:szCs w:val="17"/>
                <w:lang w:val="en-US" w:eastAsia="en-US"/>
              </w:rPr>
              <w:t xml:space="preserve">more than </w:t>
            </w:r>
            <w:r w:rsidR="00107C8D" w:rsidRPr="00C94ADB">
              <w:rPr>
                <w:rFonts w:ascii="Arial" w:eastAsia="Times New Roman" w:hAnsi="Arial" w:cs="Arial"/>
                <w:kern w:val="21"/>
                <w:sz w:val="17"/>
                <w:szCs w:val="17"/>
                <w:lang w:val="en-US" w:eastAsia="en-US"/>
              </w:rPr>
              <w:t xml:space="preserve">four times </w:t>
            </w:r>
            <w:r w:rsidR="009F7243" w:rsidRPr="00C94ADB">
              <w:rPr>
                <w:rFonts w:ascii="Arial" w:eastAsia="Times New Roman" w:hAnsi="Arial" w:cs="Arial"/>
                <w:kern w:val="21"/>
                <w:sz w:val="17"/>
                <w:szCs w:val="17"/>
                <w:lang w:val="en-US" w:eastAsia="en-US"/>
              </w:rPr>
              <w:t>the amount of hydrogen present in the polymer material, ruling out the polymer itself as the hydrogen source.</w:t>
            </w:r>
          </w:p>
          <w:p w14:paraId="02C89FE5" w14:textId="77777777" w:rsidR="009F7243" w:rsidRPr="00C94ADB" w:rsidRDefault="00004C9E" w:rsidP="00561836">
            <w:pPr>
              <w:spacing w:line="225" w:lineRule="exact"/>
              <w:ind w:firstLine="181"/>
              <w:jc w:val="both"/>
              <w:rPr>
                <w:rFonts w:ascii="Arial" w:eastAsia="Times New Roman" w:hAnsi="Arial" w:cs="Arial"/>
                <w:kern w:val="21"/>
                <w:sz w:val="17"/>
                <w:szCs w:val="17"/>
                <w:lang w:val="en-US" w:eastAsia="en-US"/>
              </w:rPr>
            </w:pPr>
            <w:r w:rsidRPr="00C94ADB">
              <w:rPr>
                <w:rFonts w:ascii="Arial" w:hAnsi="Arial" w:cs="Arial"/>
                <w:sz w:val="17"/>
                <w:szCs w:val="17"/>
              </w:rPr>
              <w:t xml:space="preserve">The </w:t>
            </w:r>
            <w:r w:rsidRPr="00C94ADB">
              <w:rPr>
                <w:rFonts w:ascii="Arial" w:hAnsi="Arial" w:cs="Arial"/>
                <w:sz w:val="17"/>
                <w:szCs w:val="17"/>
                <w:vertAlign w:val="superscript"/>
              </w:rPr>
              <w:t>13</w:t>
            </w:r>
            <w:r w:rsidRPr="00C94ADB">
              <w:rPr>
                <w:rFonts w:ascii="Arial" w:hAnsi="Arial" w:cs="Arial"/>
                <w:sz w:val="17"/>
                <w:szCs w:val="17"/>
              </w:rPr>
              <w:t xml:space="preserve">C cross-polarization (CP) magic angle spinning (MAS) solid state </w:t>
            </w:r>
            <w:r w:rsidR="00B56CE9" w:rsidRPr="00C94ADB">
              <w:rPr>
                <w:rFonts w:ascii="Arial" w:hAnsi="Arial" w:cs="Arial"/>
                <w:sz w:val="17"/>
                <w:szCs w:val="17"/>
              </w:rPr>
              <w:t>nuclear magnetic resonance (</w:t>
            </w:r>
            <w:r w:rsidRPr="00C94ADB">
              <w:rPr>
                <w:rFonts w:ascii="Arial" w:hAnsi="Arial" w:cs="Arial"/>
                <w:sz w:val="17"/>
                <w:szCs w:val="17"/>
              </w:rPr>
              <w:t>NMR</w:t>
            </w:r>
            <w:r w:rsidR="00B56CE9" w:rsidRPr="00C94ADB">
              <w:rPr>
                <w:rFonts w:ascii="Arial" w:hAnsi="Arial" w:cs="Arial"/>
                <w:sz w:val="17"/>
                <w:szCs w:val="17"/>
              </w:rPr>
              <w:t>)</w:t>
            </w:r>
            <w:r w:rsidRPr="00C94ADB">
              <w:rPr>
                <w:rFonts w:ascii="Arial" w:hAnsi="Arial" w:cs="Arial"/>
                <w:sz w:val="17"/>
                <w:szCs w:val="17"/>
              </w:rPr>
              <w:t xml:space="preserve"> spectra of both </w:t>
            </w:r>
            <w:r w:rsidR="00282DBC" w:rsidRPr="00C94ADB">
              <w:rPr>
                <w:rFonts w:ascii="Arial" w:hAnsi="Arial" w:cs="Arial"/>
                <w:sz w:val="17"/>
                <w:szCs w:val="17"/>
              </w:rPr>
              <w:t xml:space="preserve">as-synthesized </w:t>
            </w:r>
            <w:r w:rsidRPr="00C94ADB">
              <w:rPr>
                <w:rFonts w:ascii="Arial" w:hAnsi="Arial" w:cs="Arial"/>
                <w:sz w:val="17"/>
                <w:szCs w:val="17"/>
              </w:rPr>
              <w:t>P6 and P7 polymers</w:t>
            </w:r>
            <w:r w:rsidR="0001396D" w:rsidRPr="00C94ADB">
              <w:rPr>
                <w:rFonts w:ascii="Arial" w:hAnsi="Arial" w:cs="Arial"/>
                <w:sz w:val="17"/>
                <w:szCs w:val="17"/>
              </w:rPr>
              <w:t>,</w:t>
            </w:r>
            <w:r w:rsidRPr="00C94ADB">
              <w:rPr>
                <w:rFonts w:ascii="Arial" w:hAnsi="Arial" w:cs="Arial"/>
                <w:sz w:val="17"/>
                <w:szCs w:val="17"/>
              </w:rPr>
              <w:t xml:space="preserve"> as synthesi</w:t>
            </w:r>
            <w:r w:rsidR="00C8215E" w:rsidRPr="00C94ADB">
              <w:rPr>
                <w:rFonts w:ascii="Arial" w:hAnsi="Arial" w:cs="Arial"/>
                <w:sz w:val="17"/>
                <w:szCs w:val="17"/>
              </w:rPr>
              <w:t>z</w:t>
            </w:r>
            <w:r w:rsidRPr="00C94ADB">
              <w:rPr>
                <w:rFonts w:ascii="Arial" w:hAnsi="Arial" w:cs="Arial"/>
                <w:sz w:val="17"/>
                <w:szCs w:val="17"/>
              </w:rPr>
              <w:t>ed</w:t>
            </w:r>
            <w:r w:rsidR="0001396D" w:rsidRPr="00C94ADB">
              <w:rPr>
                <w:rFonts w:ascii="Arial" w:hAnsi="Arial" w:cs="Arial"/>
                <w:sz w:val="17"/>
                <w:szCs w:val="17"/>
              </w:rPr>
              <w:t>,</w:t>
            </w:r>
            <w:r w:rsidRPr="00C94ADB">
              <w:rPr>
                <w:rFonts w:ascii="Arial" w:hAnsi="Arial" w:cs="Arial"/>
                <w:sz w:val="17"/>
                <w:szCs w:val="17"/>
              </w:rPr>
              <w:t xml:space="preserve"> are given in Figure</w:t>
            </w:r>
            <w:r w:rsidR="00B56CE9" w:rsidRPr="00C94ADB">
              <w:rPr>
                <w:rFonts w:ascii="Arial" w:hAnsi="Arial" w:cs="Arial"/>
                <w:sz w:val="17"/>
                <w:szCs w:val="17"/>
              </w:rPr>
              <w:t>s</w:t>
            </w:r>
            <w:r w:rsidRPr="00C94ADB">
              <w:rPr>
                <w:rFonts w:ascii="Arial" w:hAnsi="Arial" w:cs="Arial"/>
                <w:sz w:val="17"/>
                <w:szCs w:val="17"/>
              </w:rPr>
              <w:t xml:space="preserve"> S</w:t>
            </w:r>
            <w:r w:rsidR="00E81C4C" w:rsidRPr="00C94ADB">
              <w:rPr>
                <w:rFonts w:ascii="Arial" w:hAnsi="Arial" w:cs="Arial"/>
                <w:sz w:val="17"/>
                <w:szCs w:val="17"/>
              </w:rPr>
              <w:t>-22 and S-23</w:t>
            </w:r>
            <w:r w:rsidRPr="00C94ADB">
              <w:rPr>
                <w:rFonts w:ascii="Arial" w:hAnsi="Arial" w:cs="Arial"/>
                <w:sz w:val="17"/>
                <w:szCs w:val="17"/>
              </w:rPr>
              <w:t>. All carbon environments have been identified (Table S</w:t>
            </w:r>
            <w:r w:rsidR="00E81C4C" w:rsidRPr="00C94ADB">
              <w:rPr>
                <w:rFonts w:ascii="Arial" w:hAnsi="Arial" w:cs="Arial"/>
                <w:sz w:val="17"/>
                <w:szCs w:val="17"/>
              </w:rPr>
              <w:t>-1</w:t>
            </w:r>
            <w:r w:rsidRPr="00C94ADB">
              <w:rPr>
                <w:rFonts w:ascii="Arial" w:hAnsi="Arial" w:cs="Arial"/>
                <w:sz w:val="17"/>
                <w:szCs w:val="17"/>
              </w:rPr>
              <w:t>) confirming the structures given in Figure 1</w:t>
            </w:r>
            <w:r w:rsidR="0001396D" w:rsidRPr="00C94ADB">
              <w:rPr>
                <w:rFonts w:ascii="Arial" w:hAnsi="Arial" w:cs="Arial"/>
                <w:sz w:val="17"/>
                <w:szCs w:val="17"/>
              </w:rPr>
              <w:t>,</w:t>
            </w:r>
            <w:r w:rsidRPr="00C94ADB">
              <w:rPr>
                <w:rFonts w:ascii="Arial" w:hAnsi="Arial" w:cs="Arial"/>
                <w:sz w:val="17"/>
                <w:szCs w:val="17"/>
              </w:rPr>
              <w:t xml:space="preserve"> in agreement with the MALDI-TOF data</w:t>
            </w:r>
            <w:r w:rsidR="00282DBC" w:rsidRPr="00C94ADB">
              <w:rPr>
                <w:rFonts w:ascii="Arial" w:hAnsi="Arial" w:cs="Arial"/>
                <w:sz w:val="17"/>
                <w:szCs w:val="17"/>
              </w:rPr>
              <w:t>.</w:t>
            </w:r>
            <w:r w:rsidRPr="00C94ADB">
              <w:rPr>
                <w:rFonts w:ascii="Arial" w:hAnsi="Arial" w:cs="Arial"/>
                <w:sz w:val="17"/>
                <w:szCs w:val="17"/>
              </w:rPr>
              <w:t xml:space="preserve">. Upon irradiation, the </w:t>
            </w:r>
            <w:r w:rsidRPr="00C94ADB">
              <w:rPr>
                <w:rFonts w:ascii="Arial" w:hAnsi="Arial" w:cs="Arial"/>
                <w:sz w:val="17"/>
                <w:szCs w:val="17"/>
                <w:vertAlign w:val="superscript"/>
              </w:rPr>
              <w:t>13</w:t>
            </w:r>
            <w:r w:rsidRPr="00C94ADB">
              <w:rPr>
                <w:rFonts w:ascii="Arial" w:hAnsi="Arial" w:cs="Arial"/>
                <w:sz w:val="17"/>
                <w:szCs w:val="17"/>
              </w:rPr>
              <w:t>C CP MAS spectrum of P6</w:t>
            </w:r>
            <w:r w:rsidR="00282DBC" w:rsidRPr="00C94ADB">
              <w:rPr>
                <w:rFonts w:ascii="Arial" w:hAnsi="Arial" w:cs="Arial"/>
                <w:sz w:val="17"/>
                <w:szCs w:val="17"/>
              </w:rPr>
              <w:t xml:space="preserve"> </w:t>
            </w:r>
            <w:r w:rsidRPr="00C94ADB">
              <w:rPr>
                <w:rFonts w:ascii="Arial" w:hAnsi="Arial" w:cs="Arial"/>
                <w:sz w:val="17"/>
                <w:szCs w:val="17"/>
              </w:rPr>
              <w:t xml:space="preserve">is </w:t>
            </w:r>
            <w:r w:rsidR="00282DBC" w:rsidRPr="00C94ADB">
              <w:rPr>
                <w:rFonts w:ascii="Arial" w:hAnsi="Arial" w:cs="Arial"/>
                <w:sz w:val="17"/>
                <w:szCs w:val="17"/>
              </w:rPr>
              <w:t xml:space="preserve">largely </w:t>
            </w:r>
            <w:r w:rsidRPr="00C94ADB">
              <w:rPr>
                <w:rFonts w:ascii="Arial" w:hAnsi="Arial" w:cs="Arial"/>
                <w:sz w:val="17"/>
                <w:szCs w:val="17"/>
              </w:rPr>
              <w:t>unchanged</w:t>
            </w:r>
            <w:r w:rsidR="00282DBC" w:rsidRPr="00C94ADB">
              <w:rPr>
                <w:rFonts w:ascii="Arial" w:hAnsi="Arial" w:cs="Arial"/>
                <w:sz w:val="17"/>
                <w:szCs w:val="17"/>
              </w:rPr>
              <w:t xml:space="preserve"> with respect to as-synthesized P6</w:t>
            </w:r>
            <w:r w:rsidRPr="00C94ADB">
              <w:rPr>
                <w:rFonts w:ascii="Arial" w:hAnsi="Arial" w:cs="Arial"/>
                <w:sz w:val="17"/>
                <w:szCs w:val="17"/>
              </w:rPr>
              <w:t xml:space="preserve">, showing that the structure of </w:t>
            </w:r>
            <w:r w:rsidR="00282DBC" w:rsidRPr="00C94ADB">
              <w:rPr>
                <w:rFonts w:ascii="Arial" w:hAnsi="Arial" w:cs="Arial"/>
                <w:sz w:val="17"/>
                <w:szCs w:val="17"/>
              </w:rPr>
              <w:t>this polymer</w:t>
            </w:r>
            <w:r w:rsidRPr="00C94ADB">
              <w:rPr>
                <w:rFonts w:ascii="Arial" w:hAnsi="Arial" w:cs="Arial"/>
                <w:sz w:val="17"/>
                <w:szCs w:val="17"/>
              </w:rPr>
              <w:t xml:space="preserve"> is largely unaffected by visible light irradiation. The </w:t>
            </w:r>
            <w:r w:rsidRPr="00C94ADB">
              <w:rPr>
                <w:rFonts w:ascii="Arial" w:hAnsi="Arial" w:cs="Arial"/>
                <w:sz w:val="17"/>
                <w:szCs w:val="17"/>
                <w:vertAlign w:val="superscript"/>
              </w:rPr>
              <w:t>13</w:t>
            </w:r>
            <w:r w:rsidRPr="00C94ADB">
              <w:rPr>
                <w:rFonts w:ascii="Arial" w:hAnsi="Arial" w:cs="Arial"/>
                <w:sz w:val="17"/>
                <w:szCs w:val="17"/>
              </w:rPr>
              <w:t xml:space="preserve">C CP MAS spectrum of P7 after 33 hours of irradiation is exactly superposable with the </w:t>
            </w:r>
            <w:r w:rsidR="0001396D" w:rsidRPr="00C94ADB">
              <w:rPr>
                <w:rFonts w:ascii="Arial" w:hAnsi="Arial" w:cs="Arial"/>
                <w:sz w:val="17"/>
                <w:szCs w:val="17"/>
              </w:rPr>
              <w:t xml:space="preserve">spectrum </w:t>
            </w:r>
            <w:r w:rsidRPr="00C94ADB">
              <w:rPr>
                <w:rFonts w:ascii="Arial" w:hAnsi="Arial" w:cs="Arial"/>
                <w:sz w:val="17"/>
                <w:szCs w:val="17"/>
              </w:rPr>
              <w:t xml:space="preserve">of </w:t>
            </w:r>
            <w:r w:rsidR="0001396D" w:rsidRPr="00C94ADB">
              <w:rPr>
                <w:rFonts w:ascii="Arial" w:hAnsi="Arial" w:cs="Arial"/>
                <w:sz w:val="17"/>
                <w:szCs w:val="17"/>
              </w:rPr>
              <w:t>as-</w:t>
            </w:r>
            <w:r w:rsidRPr="00C94ADB">
              <w:rPr>
                <w:rFonts w:ascii="Arial" w:hAnsi="Arial" w:cs="Arial"/>
                <w:sz w:val="17"/>
                <w:szCs w:val="17"/>
              </w:rPr>
              <w:t>synthesi</w:t>
            </w:r>
            <w:r w:rsidR="00282DBC" w:rsidRPr="00C94ADB">
              <w:rPr>
                <w:rFonts w:ascii="Arial" w:hAnsi="Arial" w:cs="Arial"/>
                <w:sz w:val="17"/>
                <w:szCs w:val="17"/>
              </w:rPr>
              <w:t>z</w:t>
            </w:r>
            <w:r w:rsidRPr="00C94ADB">
              <w:rPr>
                <w:rFonts w:ascii="Arial" w:hAnsi="Arial" w:cs="Arial"/>
                <w:sz w:val="17"/>
                <w:szCs w:val="17"/>
              </w:rPr>
              <w:t xml:space="preserve">ed P7, demonstrating no </w:t>
            </w:r>
            <w:r w:rsidR="0001396D" w:rsidRPr="00C94ADB">
              <w:rPr>
                <w:rFonts w:ascii="Arial" w:hAnsi="Arial" w:cs="Arial"/>
                <w:sz w:val="17"/>
                <w:szCs w:val="17"/>
              </w:rPr>
              <w:t xml:space="preserve">chemical </w:t>
            </w:r>
            <w:r w:rsidRPr="00C94ADB">
              <w:rPr>
                <w:rFonts w:ascii="Arial" w:hAnsi="Arial" w:cs="Arial"/>
                <w:sz w:val="17"/>
                <w:szCs w:val="17"/>
              </w:rPr>
              <w:t xml:space="preserve">change. We note the absence of detectable </w:t>
            </w:r>
            <w:r w:rsidRPr="00C94ADB">
              <w:rPr>
                <w:rFonts w:ascii="Arial" w:hAnsi="Arial" w:cs="Arial"/>
                <w:sz w:val="17"/>
                <w:szCs w:val="17"/>
                <w:vertAlign w:val="superscript"/>
              </w:rPr>
              <w:t>13</w:t>
            </w:r>
            <w:r w:rsidRPr="00C94ADB">
              <w:rPr>
                <w:rFonts w:ascii="Arial" w:hAnsi="Arial" w:cs="Arial"/>
                <w:sz w:val="17"/>
                <w:szCs w:val="17"/>
              </w:rPr>
              <w:t xml:space="preserve">C NMR signals in the aliphatic region of the spectrum (20–60 ppm) suggesting that </w:t>
            </w:r>
            <w:r w:rsidR="007E6145" w:rsidRPr="00C94ADB">
              <w:rPr>
                <w:rFonts w:ascii="Arial" w:hAnsi="Arial" w:cs="Arial"/>
                <w:sz w:val="17"/>
                <w:szCs w:val="17"/>
              </w:rPr>
              <w:t xml:space="preserve">no </w:t>
            </w:r>
            <w:r w:rsidR="00294170" w:rsidRPr="00C94ADB">
              <w:rPr>
                <w:rFonts w:ascii="Arial" w:hAnsi="Arial" w:cs="Arial"/>
                <w:sz w:val="17"/>
                <w:szCs w:val="17"/>
              </w:rPr>
              <w:t xml:space="preserve">hydrogenation of the polymer </w:t>
            </w:r>
            <w:r w:rsidRPr="00C94ADB">
              <w:rPr>
                <w:rFonts w:ascii="Arial" w:hAnsi="Arial" w:cs="Arial"/>
                <w:sz w:val="17"/>
                <w:szCs w:val="17"/>
              </w:rPr>
              <w:t>is taking place.</w:t>
            </w:r>
            <w:r w:rsidR="00D64F2D" w:rsidRPr="00C94ADB">
              <w:rPr>
                <w:rFonts w:ascii="Arial" w:hAnsi="Arial" w:cs="Arial"/>
                <w:noProof/>
                <w:sz w:val="17"/>
                <w:szCs w:val="17"/>
                <w:vertAlign w:val="superscript"/>
              </w:rPr>
              <w:t>[33]</w:t>
            </w:r>
          </w:p>
          <w:p w14:paraId="65AAC052" w14:textId="77777777" w:rsidR="009F7243" w:rsidRPr="00C94ADB" w:rsidRDefault="009F7243" w:rsidP="00982F40">
            <w:pPr>
              <w:spacing w:line="225" w:lineRule="exact"/>
              <w:ind w:firstLine="181"/>
              <w:jc w:val="both"/>
              <w:rPr>
                <w:rFonts w:ascii="Arial" w:eastAsia="Times New Roman" w:hAnsi="Arial" w:cs="Arial"/>
                <w:kern w:val="21"/>
                <w:sz w:val="17"/>
                <w:szCs w:val="17"/>
                <w:lang w:val="en-US" w:eastAsia="en-US"/>
              </w:rPr>
            </w:pPr>
          </w:p>
          <w:p w14:paraId="62A10978" w14:textId="77777777" w:rsidR="009F7243" w:rsidRPr="00C94ADB" w:rsidRDefault="00E22571" w:rsidP="00561836">
            <w:pPr>
              <w:spacing w:after="60"/>
              <w:jc w:val="center"/>
              <w:rPr>
                <w:rFonts w:ascii="Arial" w:eastAsia="Times New Roman" w:hAnsi="Arial" w:cs="Arial"/>
                <w:kern w:val="21"/>
                <w:sz w:val="18"/>
                <w:szCs w:val="20"/>
                <w:lang w:val="en-US" w:eastAsia="en-US"/>
              </w:rPr>
            </w:pPr>
            <w:r w:rsidRPr="00C94ADB">
              <w:rPr>
                <w:rFonts w:ascii="Arial" w:eastAsia="Times New Roman" w:hAnsi="Arial" w:cs="Arial"/>
                <w:noProof/>
                <w:kern w:val="21"/>
                <w:sz w:val="18"/>
                <w:szCs w:val="20"/>
                <w:lang w:val="en-US" w:eastAsia="en-US"/>
              </w:rPr>
              <w:drawing>
                <wp:inline distT="0" distB="0" distL="0" distR="0" wp14:anchorId="74B8DE9B" wp14:editId="7340C6CF">
                  <wp:extent cx="1902710" cy="2843724"/>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P7_extended.tif"/>
                          <pic:cNvPicPr/>
                        </pic:nvPicPr>
                        <pic:blipFill>
                          <a:blip r:embed="rId16">
                            <a:extLst>
                              <a:ext uri="{28A0092B-C50C-407E-A947-70E740481C1C}">
                                <a14:useLocalDpi xmlns:a14="http://schemas.microsoft.com/office/drawing/2010/main" val="0"/>
                              </a:ext>
                            </a:extLst>
                          </a:blip>
                          <a:stretch>
                            <a:fillRect/>
                          </a:stretch>
                        </pic:blipFill>
                        <pic:spPr>
                          <a:xfrm>
                            <a:off x="0" y="0"/>
                            <a:ext cx="1906326" cy="2849128"/>
                          </a:xfrm>
                          <a:prstGeom prst="rect">
                            <a:avLst/>
                          </a:prstGeom>
                        </pic:spPr>
                      </pic:pic>
                    </a:graphicData>
                  </a:graphic>
                </wp:inline>
              </w:drawing>
            </w:r>
          </w:p>
          <w:p w14:paraId="56F51EDA" w14:textId="77777777" w:rsidR="009F7243" w:rsidRPr="00C94ADB" w:rsidRDefault="009F7243" w:rsidP="00561836">
            <w:pPr>
              <w:pStyle w:val="FigureCaption"/>
              <w:rPr>
                <w:rFonts w:cs="Arial"/>
                <w:lang w:val="en-US"/>
              </w:rPr>
            </w:pPr>
            <w:r w:rsidRPr="00C94ADB">
              <w:rPr>
                <w:rFonts w:cs="Arial"/>
                <w:b/>
                <w:lang w:val="en-US"/>
              </w:rPr>
              <w:t>Figure 3.</w:t>
            </w:r>
            <w:r w:rsidRPr="00C94ADB">
              <w:rPr>
                <w:rFonts w:cs="Arial"/>
                <w:lang w:val="en-US"/>
              </w:rPr>
              <w:t xml:space="preserve"> a) </w:t>
            </w:r>
            <w:r w:rsidR="00286062" w:rsidRPr="00C94ADB">
              <w:rPr>
                <w:rFonts w:cs="Arial"/>
                <w:lang w:val="en-US"/>
              </w:rPr>
              <w:t>T</w:t>
            </w:r>
            <w:r w:rsidRPr="00C94ADB">
              <w:rPr>
                <w:rFonts w:cs="Arial"/>
                <w:lang w:val="en-US"/>
              </w:rPr>
              <w:t xml:space="preserve">ime-course for photocatalytic </w:t>
            </w:r>
            <w:r w:rsidR="00286062" w:rsidRPr="00C94ADB">
              <w:rPr>
                <w:rFonts w:cs="Arial"/>
                <w:lang w:val="en-US"/>
              </w:rPr>
              <w:t>H</w:t>
            </w:r>
            <w:r w:rsidR="00286062" w:rsidRPr="00C94ADB">
              <w:rPr>
                <w:rFonts w:cs="Arial"/>
                <w:vertAlign w:val="subscript"/>
                <w:lang w:val="en-US"/>
              </w:rPr>
              <w:t>2</w:t>
            </w:r>
            <w:r w:rsidR="00286062" w:rsidRPr="00C94ADB">
              <w:rPr>
                <w:rFonts w:cs="Arial"/>
                <w:lang w:val="en-US"/>
              </w:rPr>
              <w:t xml:space="preserve"> </w:t>
            </w:r>
            <w:r w:rsidRPr="00C94ADB">
              <w:rPr>
                <w:rFonts w:cs="Arial"/>
                <w:lang w:val="en-US"/>
              </w:rPr>
              <w:t xml:space="preserve">production using </w:t>
            </w:r>
            <w:r w:rsidR="00286062" w:rsidRPr="00C94ADB">
              <w:rPr>
                <w:rFonts w:cs="Arial"/>
                <w:lang w:val="en-US"/>
              </w:rPr>
              <w:t xml:space="preserve">visible light for </w:t>
            </w:r>
            <w:r w:rsidRPr="00C94ADB">
              <w:rPr>
                <w:rFonts w:cs="Arial"/>
                <w:lang w:val="en-US"/>
              </w:rPr>
              <w:t>P1K</w:t>
            </w:r>
            <w:r w:rsidR="00E22571" w:rsidRPr="00C94ADB">
              <w:rPr>
                <w:rFonts w:cs="Arial"/>
                <w:lang w:val="en-US"/>
              </w:rPr>
              <w:t xml:space="preserve">, </w:t>
            </w:r>
            <w:r w:rsidRPr="00C94ADB">
              <w:rPr>
                <w:rFonts w:cs="Arial"/>
                <w:lang w:val="en-US"/>
              </w:rPr>
              <w:t>P6</w:t>
            </w:r>
            <w:r w:rsidR="00286062" w:rsidRPr="00C94ADB">
              <w:rPr>
                <w:rFonts w:cs="Arial"/>
                <w:lang w:val="en-US"/>
              </w:rPr>
              <w:t xml:space="preserve">, </w:t>
            </w:r>
            <w:r w:rsidR="00E22571" w:rsidRPr="00C94ADB">
              <w:rPr>
                <w:rFonts w:cs="Arial"/>
                <w:lang w:val="en-US"/>
              </w:rPr>
              <w:t>and P7</w:t>
            </w:r>
            <w:r w:rsidRPr="00C94ADB">
              <w:rPr>
                <w:rFonts w:cs="Arial"/>
                <w:lang w:val="en-US"/>
              </w:rPr>
              <w:t xml:space="preserve"> (25 mg catalyst in water/MeOH/triethylamine mixture λ &gt; 420 nm); b) P6</w:t>
            </w:r>
            <w:r w:rsidR="00E22571" w:rsidRPr="00C94ADB">
              <w:rPr>
                <w:rFonts w:cs="Arial"/>
                <w:lang w:val="en-US"/>
              </w:rPr>
              <w:t xml:space="preserve"> and P7</w:t>
            </w:r>
            <w:r w:rsidRPr="00C94ADB">
              <w:rPr>
                <w:rFonts w:cs="Arial"/>
                <w:lang w:val="en-US"/>
              </w:rPr>
              <w:t xml:space="preserve"> (25 mg catalyst in water/MeOH/triethylamine mixture</w:t>
            </w:r>
            <w:r w:rsidR="00286062" w:rsidRPr="00C94ADB">
              <w:rPr>
                <w:rFonts w:cs="Arial"/>
                <w:lang w:val="en-US"/>
              </w:rPr>
              <w:t xml:space="preserve">; </w:t>
            </w:r>
            <w:r w:rsidRPr="00C94ADB">
              <w:rPr>
                <w:rFonts w:cs="Arial"/>
                <w:lang w:val="en-US"/>
              </w:rPr>
              <w:t>λ &gt; 420 nm)</w:t>
            </w:r>
            <w:r w:rsidR="00286062" w:rsidRPr="00C94ADB">
              <w:rPr>
                <w:rFonts w:cs="Arial"/>
                <w:lang w:val="en-US"/>
              </w:rPr>
              <w:t xml:space="preserve">, photolysis run </w:t>
            </w:r>
            <w:r w:rsidRPr="00C94ADB">
              <w:rPr>
                <w:rFonts w:cs="Arial"/>
                <w:lang w:val="en-US"/>
              </w:rPr>
              <w:t>for a total of 65 h.</w:t>
            </w:r>
          </w:p>
          <w:p w14:paraId="14AD7E5E" w14:textId="77777777" w:rsidR="009F7243" w:rsidRPr="00C94ADB" w:rsidRDefault="009F7243" w:rsidP="00561836">
            <w:pPr>
              <w:spacing w:line="225" w:lineRule="exact"/>
              <w:ind w:firstLine="181"/>
              <w:jc w:val="both"/>
              <w:rPr>
                <w:rFonts w:ascii="Arial" w:hAnsi="Arial" w:cs="Arial"/>
                <w:sz w:val="17"/>
                <w:szCs w:val="17"/>
              </w:rPr>
            </w:pPr>
            <w:r w:rsidRPr="00C94ADB">
              <w:rPr>
                <w:rFonts w:ascii="Arial" w:hAnsi="Arial" w:cs="Arial"/>
                <w:sz w:val="17"/>
                <w:szCs w:val="17"/>
              </w:rPr>
              <w:t xml:space="preserve">The influence of the hole-scavenger, or sacrificial donor, was explored for P6. Diethylamine gave a lower performance than triethylamine alone, while methanol alone did not act as a </w:t>
            </w:r>
            <w:r w:rsidRPr="00C94ADB">
              <w:rPr>
                <w:rFonts w:ascii="Arial" w:hAnsi="Arial" w:cs="Arial"/>
                <w:sz w:val="17"/>
                <w:szCs w:val="17"/>
              </w:rPr>
              <w:lastRenderedPageBreak/>
              <w:t xml:space="preserve">sacrificial donor. A mixture of triethylamine/methanol gave the best photocatalytic performance. This might be due to methanol acting as a co-solvent that enhances miscibility of the amine with water. Methanol also improves wettability of the polymer particles, and might conceivably contribute to swelling of the hydrophobic polymer. </w:t>
            </w:r>
            <w:r w:rsidR="00AD3D6D" w:rsidRPr="00C94ADB">
              <w:rPr>
                <w:rFonts w:ascii="Arial" w:hAnsi="Arial" w:cs="Arial"/>
                <w:sz w:val="17"/>
                <w:szCs w:val="17"/>
              </w:rPr>
              <w:t xml:space="preserve">Furthermore, a </w:t>
            </w:r>
            <w:r w:rsidRPr="00C94ADB">
              <w:rPr>
                <w:rFonts w:ascii="Arial" w:hAnsi="Arial" w:cs="Arial"/>
                <w:sz w:val="17"/>
                <w:szCs w:val="17"/>
              </w:rPr>
              <w:t>mixture of Na</w:t>
            </w:r>
            <w:r w:rsidRPr="00C94ADB">
              <w:rPr>
                <w:rFonts w:ascii="Arial" w:hAnsi="Arial" w:cs="Arial"/>
                <w:sz w:val="17"/>
                <w:szCs w:val="17"/>
                <w:vertAlign w:val="subscript"/>
              </w:rPr>
              <w:t>2</w:t>
            </w:r>
            <w:r w:rsidRPr="00C94ADB">
              <w:rPr>
                <w:rFonts w:ascii="Arial" w:hAnsi="Arial" w:cs="Arial"/>
                <w:sz w:val="17"/>
                <w:szCs w:val="17"/>
              </w:rPr>
              <w:t>S / Na</w:t>
            </w:r>
            <w:r w:rsidR="00911166" w:rsidRPr="00C94ADB">
              <w:rPr>
                <w:rFonts w:ascii="Arial" w:hAnsi="Arial" w:cs="Arial"/>
                <w:sz w:val="17"/>
                <w:szCs w:val="17"/>
                <w:vertAlign w:val="subscript"/>
              </w:rPr>
              <w:t>2</w:t>
            </w:r>
            <w:r w:rsidRPr="00C94ADB">
              <w:rPr>
                <w:rFonts w:ascii="Arial" w:hAnsi="Arial" w:cs="Arial"/>
                <w:sz w:val="17"/>
                <w:szCs w:val="17"/>
              </w:rPr>
              <w:t>SO</w:t>
            </w:r>
            <w:r w:rsidRPr="00C94ADB">
              <w:rPr>
                <w:rFonts w:ascii="Arial" w:hAnsi="Arial" w:cs="Arial"/>
                <w:sz w:val="17"/>
                <w:szCs w:val="17"/>
                <w:vertAlign w:val="subscript"/>
              </w:rPr>
              <w:t>3</w:t>
            </w:r>
            <w:r w:rsidRPr="00C94ADB">
              <w:rPr>
                <w:rFonts w:ascii="Arial" w:hAnsi="Arial" w:cs="Arial"/>
                <w:sz w:val="17"/>
                <w:szCs w:val="17"/>
              </w:rPr>
              <w:t xml:space="preserve"> in methanol/water showed finite but limited activity with </w:t>
            </w:r>
            <w:r w:rsidR="00AD3D6D" w:rsidRPr="00C94ADB">
              <w:rPr>
                <w:rFonts w:ascii="Arial" w:hAnsi="Arial" w:cs="Arial"/>
                <w:sz w:val="17"/>
                <w:szCs w:val="17"/>
              </w:rPr>
              <w:t xml:space="preserve">both </w:t>
            </w:r>
            <w:r w:rsidRPr="00C94ADB">
              <w:rPr>
                <w:rFonts w:ascii="Arial" w:hAnsi="Arial" w:cs="Arial"/>
                <w:sz w:val="17"/>
                <w:szCs w:val="17"/>
              </w:rPr>
              <w:t>P6</w:t>
            </w:r>
            <w:r w:rsidR="00AD3D6D" w:rsidRPr="00C94ADB">
              <w:rPr>
                <w:rFonts w:ascii="Arial" w:hAnsi="Arial" w:cs="Arial"/>
                <w:sz w:val="17"/>
                <w:szCs w:val="17"/>
              </w:rPr>
              <w:t xml:space="preserve"> and P7</w:t>
            </w:r>
            <w:r w:rsidRPr="00C94ADB">
              <w:rPr>
                <w:rFonts w:ascii="Arial" w:hAnsi="Arial" w:cs="Arial"/>
                <w:sz w:val="17"/>
                <w:szCs w:val="17"/>
              </w:rPr>
              <w:t xml:space="preserve">. Taken together, these data show that hydrogen is evolved </w:t>
            </w:r>
            <w:r w:rsidRPr="00C94ADB">
              <w:rPr>
                <w:rFonts w:ascii="Arial" w:hAnsi="Arial" w:cs="Arial"/>
                <w:i/>
                <w:sz w:val="17"/>
                <w:szCs w:val="17"/>
              </w:rPr>
              <w:t>via</w:t>
            </w:r>
            <w:r w:rsidRPr="00C94ADB">
              <w:rPr>
                <w:rFonts w:ascii="Arial" w:hAnsi="Arial" w:cs="Arial"/>
                <w:sz w:val="17"/>
                <w:szCs w:val="17"/>
              </w:rPr>
              <w:t xml:space="preserve"> an electron transfer process, and not simply as a result of the decomposition of the hydrogen-bearing donor or the polymer. </w:t>
            </w:r>
          </w:p>
          <w:p w14:paraId="5ED5A893" w14:textId="77777777" w:rsidR="009F7243" w:rsidRPr="00C94ADB" w:rsidRDefault="009F7243" w:rsidP="00561836">
            <w:pPr>
              <w:pStyle w:val="TAMainText"/>
              <w:spacing w:after="0" w:line="225" w:lineRule="exact"/>
              <w:rPr>
                <w:sz w:val="17"/>
                <w:szCs w:val="17"/>
              </w:rPr>
            </w:pPr>
            <w:r w:rsidRPr="00C94ADB">
              <w:rPr>
                <w:sz w:val="17"/>
                <w:szCs w:val="17"/>
              </w:rPr>
              <w:t xml:space="preserve">   The performance of P6 </w:t>
            </w:r>
            <w:r w:rsidR="002E12B3" w:rsidRPr="00C94ADB">
              <w:rPr>
                <w:sz w:val="17"/>
                <w:szCs w:val="17"/>
              </w:rPr>
              <w:t xml:space="preserve">and P7 </w:t>
            </w:r>
            <w:r w:rsidRPr="00C94ADB">
              <w:rPr>
                <w:sz w:val="17"/>
                <w:szCs w:val="17"/>
              </w:rPr>
              <w:t>under visible light could also be further enhanced to 38.1 </w:t>
            </w:r>
            <w:r w:rsidR="001533C8" w:rsidRPr="00C94ADB">
              <w:rPr>
                <w:sz w:val="17"/>
                <w:szCs w:val="17"/>
              </w:rPr>
              <w:t>and 116 μmol h</w:t>
            </w:r>
            <w:r w:rsidR="001533C8" w:rsidRPr="00C94ADB">
              <w:rPr>
                <w:sz w:val="17"/>
                <w:szCs w:val="17"/>
                <w:vertAlign w:val="superscript"/>
              </w:rPr>
              <w:t>-1</w:t>
            </w:r>
            <w:r w:rsidR="001533C8" w:rsidRPr="00C94ADB">
              <w:rPr>
                <w:sz w:val="17"/>
                <w:szCs w:val="17"/>
              </w:rPr>
              <w:t>, respectiv</w:t>
            </w:r>
            <w:r w:rsidR="005B625D" w:rsidRPr="00C94ADB">
              <w:rPr>
                <w:sz w:val="17"/>
                <w:szCs w:val="17"/>
              </w:rPr>
              <w:t>e</w:t>
            </w:r>
            <w:r w:rsidR="001533C8" w:rsidRPr="00C94ADB">
              <w:rPr>
                <w:sz w:val="17"/>
                <w:szCs w:val="17"/>
              </w:rPr>
              <w:t>ly</w:t>
            </w:r>
            <w:r w:rsidR="00044883" w:rsidRPr="00C94ADB">
              <w:rPr>
                <w:sz w:val="17"/>
                <w:szCs w:val="17"/>
              </w:rPr>
              <w:t xml:space="preserve"> (from 26.6 and 92.0 μmol h</w:t>
            </w:r>
            <w:r w:rsidR="00044883" w:rsidRPr="00C94ADB">
              <w:rPr>
                <w:sz w:val="17"/>
                <w:szCs w:val="17"/>
                <w:vertAlign w:val="superscript"/>
              </w:rPr>
              <w:t>-1</w:t>
            </w:r>
            <w:r w:rsidR="00044883" w:rsidRPr="00C94ADB">
              <w:rPr>
                <w:sz w:val="17"/>
                <w:szCs w:val="17"/>
              </w:rPr>
              <w:t>, Table 1)</w:t>
            </w:r>
            <w:r w:rsidR="001533C8" w:rsidRPr="00C94ADB">
              <w:rPr>
                <w:sz w:val="17"/>
                <w:szCs w:val="17"/>
              </w:rPr>
              <w:t xml:space="preserve"> </w:t>
            </w:r>
            <w:r w:rsidRPr="00C94ADB">
              <w:rPr>
                <w:sz w:val="17"/>
                <w:szCs w:val="17"/>
              </w:rPr>
              <w:t xml:space="preserve">when preformed Pt nanoparticles were added to the reaction mixture prior </w:t>
            </w:r>
            <w:r w:rsidR="00347E2F" w:rsidRPr="00C94ADB">
              <w:rPr>
                <w:sz w:val="17"/>
                <w:szCs w:val="17"/>
              </w:rPr>
              <w:t xml:space="preserve">to </w:t>
            </w:r>
            <w:r w:rsidRPr="00C94ADB">
              <w:rPr>
                <w:sz w:val="17"/>
                <w:szCs w:val="17"/>
              </w:rPr>
              <w:t>irradiation (see ESI). By comparison, platinized commercial carbon nitride (Nicanite) had a HER of 2.7 μmol h</w:t>
            </w:r>
            <w:r w:rsidRPr="00C94ADB">
              <w:rPr>
                <w:sz w:val="17"/>
                <w:szCs w:val="17"/>
                <w:vertAlign w:val="superscript"/>
              </w:rPr>
              <w:t>-1</w:t>
            </w:r>
            <w:r w:rsidRPr="00C94ADB">
              <w:rPr>
                <w:sz w:val="17"/>
                <w:szCs w:val="17"/>
              </w:rPr>
              <w:t>, as measured using the same set up.</w:t>
            </w:r>
          </w:p>
          <w:p w14:paraId="45B0F3BB" w14:textId="77777777" w:rsidR="009F7243" w:rsidRPr="00C94ADB" w:rsidRDefault="009F7243" w:rsidP="00A65ED3">
            <w:pPr>
              <w:pStyle w:val="TAMainText"/>
              <w:spacing w:after="0" w:line="225" w:lineRule="exact"/>
              <w:ind w:firstLine="180"/>
              <w:rPr>
                <w:sz w:val="17"/>
                <w:szCs w:val="17"/>
              </w:rPr>
            </w:pPr>
            <w:r w:rsidRPr="00C94ADB">
              <w:rPr>
                <w:sz w:val="17"/>
                <w:szCs w:val="17"/>
              </w:rPr>
              <w:t>In summary, planarized conjugated co-polymers show strongly enhanced hydrogen evolution from water in the presence of a sacrificial electron donor. The co-polymer of dibenzo[</w:t>
            </w:r>
            <w:r w:rsidRPr="00C94ADB">
              <w:rPr>
                <w:i/>
                <w:sz w:val="17"/>
                <w:szCs w:val="17"/>
              </w:rPr>
              <w:t>b</w:t>
            </w:r>
            <w:r w:rsidRPr="00C94ADB">
              <w:rPr>
                <w:sz w:val="17"/>
                <w:szCs w:val="17"/>
              </w:rPr>
              <w:t>,</w:t>
            </w:r>
            <w:r w:rsidRPr="00C94ADB">
              <w:rPr>
                <w:i/>
                <w:sz w:val="17"/>
                <w:szCs w:val="17"/>
              </w:rPr>
              <w:t>d</w:t>
            </w:r>
            <w:r w:rsidRPr="00C94ADB">
              <w:rPr>
                <w:sz w:val="17"/>
                <w:szCs w:val="17"/>
              </w:rPr>
              <w:t>]thiophene</w:t>
            </w:r>
            <w:r w:rsidR="001533C8" w:rsidRPr="00C94ADB">
              <w:rPr>
                <w:sz w:val="17"/>
                <w:szCs w:val="17"/>
              </w:rPr>
              <w:t xml:space="preserve"> sulfone</w:t>
            </w:r>
            <w:r w:rsidRPr="00C94ADB">
              <w:rPr>
                <w:sz w:val="17"/>
                <w:szCs w:val="17"/>
              </w:rPr>
              <w:t xml:space="preserve">, </w:t>
            </w:r>
            <w:r w:rsidR="001533C8" w:rsidRPr="00C94ADB">
              <w:rPr>
                <w:sz w:val="17"/>
                <w:szCs w:val="17"/>
              </w:rPr>
              <w:t>P7</w:t>
            </w:r>
            <w:r w:rsidRPr="00C94ADB">
              <w:rPr>
                <w:sz w:val="17"/>
                <w:szCs w:val="17"/>
              </w:rPr>
              <w:t>, shows the highest visible and UV-activity, even though its absorption profile and optical gap are very similar to poly(</w:t>
            </w:r>
            <w:r w:rsidRPr="00C94ADB">
              <w:rPr>
                <w:i/>
                <w:sz w:val="17"/>
                <w:szCs w:val="17"/>
              </w:rPr>
              <w:t>p</w:t>
            </w:r>
            <w:r w:rsidRPr="00C94ADB">
              <w:rPr>
                <w:sz w:val="17"/>
                <w:szCs w:val="17"/>
              </w:rPr>
              <w:t>-phenylene). The UV and visible hydrogen evolution rates are greatly improved with respect to our previous best performing CMP material, CP-CMP10.</w:t>
            </w:r>
            <w:r w:rsidR="008842C2" w:rsidRPr="00C94ADB">
              <w:rPr>
                <w:sz w:val="17"/>
                <w:szCs w:val="17"/>
                <w:vertAlign w:val="superscript"/>
              </w:rPr>
              <w:t>[15]</w:t>
            </w:r>
            <w:r w:rsidRPr="00C94ADB">
              <w:rPr>
                <w:sz w:val="17"/>
                <w:szCs w:val="17"/>
              </w:rPr>
              <w:t xml:space="preserve"> This suggests that planarization and rigidification might be a general strategy for improving photocatalytic water splitting activity in organic polymers where the optical gap can be tuned by composition. Our longer-term goal is to find materials with ionization potentials (HOMO levels) that facilitate overall water splitting using visible light without any sacrificial donors or acceptors.</w:t>
            </w:r>
          </w:p>
          <w:p w14:paraId="30832F17" w14:textId="77777777" w:rsidR="009F7243" w:rsidRPr="00C94ADB" w:rsidRDefault="009F7243" w:rsidP="006F4057">
            <w:pPr>
              <w:spacing w:before="480" w:after="230" w:line="230" w:lineRule="atLeast"/>
              <w:rPr>
                <w:rFonts w:ascii="Arial" w:hAnsi="Arial"/>
                <w:b/>
                <w:i/>
                <w:sz w:val="22"/>
                <w:lang w:val="en-GB"/>
              </w:rPr>
            </w:pPr>
            <w:r w:rsidRPr="00C94ADB">
              <w:rPr>
                <w:rFonts w:ascii="Arial" w:hAnsi="Arial"/>
                <w:b/>
                <w:i/>
                <w:sz w:val="22"/>
                <w:lang w:val="en-GB"/>
              </w:rPr>
              <w:t>Experimental Section</w:t>
            </w:r>
          </w:p>
          <w:p w14:paraId="33B25D3F" w14:textId="77777777" w:rsidR="009F7243" w:rsidRPr="00C94ADB" w:rsidRDefault="009F7243" w:rsidP="004E375E">
            <w:pPr>
              <w:pStyle w:val="TAMainText"/>
              <w:spacing w:after="0" w:line="225" w:lineRule="exact"/>
              <w:rPr>
                <w:sz w:val="17"/>
                <w:szCs w:val="17"/>
              </w:rPr>
            </w:pPr>
            <w:r w:rsidRPr="00C94ADB">
              <w:rPr>
                <w:sz w:val="17"/>
                <w:szCs w:val="17"/>
              </w:rPr>
              <w:t>Polymers were prepared using conditions reported previously.</w:t>
            </w:r>
            <w:r w:rsidR="00F676D8" w:rsidRPr="00C94ADB">
              <w:rPr>
                <w:sz w:val="17"/>
                <w:szCs w:val="17"/>
                <w:vertAlign w:val="superscript"/>
              </w:rPr>
              <w:t>[</w:t>
            </w:r>
            <w:r w:rsidRPr="00C94ADB">
              <w:rPr>
                <w:sz w:val="17"/>
                <w:szCs w:val="17"/>
                <w:vertAlign w:val="superscript"/>
              </w:rPr>
              <w:t>12</w:t>
            </w:r>
            <w:r w:rsidR="00F676D8" w:rsidRPr="00C94ADB">
              <w:rPr>
                <w:sz w:val="17"/>
                <w:szCs w:val="17"/>
                <w:vertAlign w:val="superscript"/>
              </w:rPr>
              <w:t>]</w:t>
            </w:r>
            <w:r w:rsidRPr="00C94ADB">
              <w:rPr>
                <w:sz w:val="17"/>
                <w:szCs w:val="17"/>
              </w:rPr>
              <w:t xml:space="preserve"> All H</w:t>
            </w:r>
            <w:r w:rsidRPr="00C94ADB">
              <w:rPr>
                <w:sz w:val="17"/>
                <w:szCs w:val="17"/>
                <w:vertAlign w:val="subscript"/>
              </w:rPr>
              <w:t>2</w:t>
            </w:r>
            <w:r w:rsidRPr="00C94ADB">
              <w:rPr>
                <w:sz w:val="17"/>
                <w:szCs w:val="17"/>
              </w:rPr>
              <w:t xml:space="preserve"> evolution experiments were carried out on exactly the same photolysis set up (see ESI) to ensure comparability between the HERs. The carbon nitride control material (Nicanite) was purchased from Carbodeon Ltd Oy and then platinized.</w:t>
            </w:r>
            <w:r w:rsidR="00F676D8" w:rsidRPr="00C94ADB">
              <w:rPr>
                <w:sz w:val="17"/>
                <w:szCs w:val="17"/>
                <w:vertAlign w:val="superscript"/>
              </w:rPr>
              <w:t>[</w:t>
            </w:r>
            <w:r w:rsidRPr="00C94ADB">
              <w:rPr>
                <w:sz w:val="17"/>
                <w:szCs w:val="17"/>
                <w:vertAlign w:val="superscript"/>
              </w:rPr>
              <w:t>1</w:t>
            </w:r>
            <w:r w:rsidR="00F676D8" w:rsidRPr="00C94ADB">
              <w:rPr>
                <w:sz w:val="17"/>
                <w:szCs w:val="17"/>
                <w:vertAlign w:val="superscript"/>
              </w:rPr>
              <w:t>]</w:t>
            </w:r>
            <w:r w:rsidRPr="00C94ADB">
              <w:rPr>
                <w:sz w:val="17"/>
                <w:szCs w:val="17"/>
              </w:rPr>
              <w:t xml:space="preserve"> </w:t>
            </w:r>
            <w:r w:rsidR="001F5009" w:rsidRPr="00C94ADB">
              <w:rPr>
                <w:sz w:val="17"/>
                <w:szCs w:val="17"/>
              </w:rPr>
              <w:t>For the  AQY experiments H</w:t>
            </w:r>
            <w:r w:rsidR="001F5009" w:rsidRPr="00C94ADB">
              <w:rPr>
                <w:sz w:val="17"/>
                <w:szCs w:val="17"/>
                <w:vertAlign w:val="subscript"/>
              </w:rPr>
              <w:t>2</w:t>
            </w:r>
            <w:r w:rsidR="001F5009" w:rsidRPr="00C94ADB">
              <w:rPr>
                <w:sz w:val="17"/>
                <w:szCs w:val="17"/>
              </w:rPr>
              <w:t xml:space="preserve"> evolution was me</w:t>
            </w:r>
            <w:r w:rsidR="005D783C" w:rsidRPr="00C94ADB">
              <w:rPr>
                <w:sz w:val="17"/>
                <w:szCs w:val="17"/>
              </w:rPr>
              <w:t>a</w:t>
            </w:r>
            <w:r w:rsidR="001F5009" w:rsidRPr="00C94ADB">
              <w:rPr>
                <w:sz w:val="17"/>
                <w:szCs w:val="17"/>
              </w:rPr>
              <w:t>sured using a λ = 420 nm LED</w:t>
            </w:r>
            <w:r w:rsidR="003926A3" w:rsidRPr="00C94ADB">
              <w:rPr>
                <w:sz w:val="17"/>
                <w:szCs w:val="17"/>
              </w:rPr>
              <w:t xml:space="preserve"> </w:t>
            </w:r>
            <w:r w:rsidR="001F5009" w:rsidRPr="00C94ADB">
              <w:rPr>
                <w:sz w:val="17"/>
                <w:szCs w:val="17"/>
              </w:rPr>
              <w:t>as th</w:t>
            </w:r>
            <w:r w:rsidR="003926A3" w:rsidRPr="00C94ADB">
              <w:rPr>
                <w:sz w:val="17"/>
                <w:szCs w:val="17"/>
              </w:rPr>
              <w:t xml:space="preserve">e light source and estimated as </w:t>
            </w:r>
            <w:r w:rsidR="005F357B" w:rsidRPr="00C94ADB">
              <w:rPr>
                <w:sz w:val="17"/>
                <w:szCs w:val="17"/>
              </w:rPr>
              <w:t>described</w:t>
            </w:r>
            <w:r w:rsidR="003926A3" w:rsidRPr="00C94ADB">
              <w:rPr>
                <w:sz w:val="17"/>
                <w:szCs w:val="17"/>
              </w:rPr>
              <w:t xml:space="preserve"> in the ESI. </w:t>
            </w:r>
            <w:r w:rsidRPr="00C94ADB">
              <w:rPr>
                <w:sz w:val="17"/>
                <w:szCs w:val="17"/>
              </w:rPr>
              <w:t>The (TD-)DFT calculations follow the approach developed in ref. 19.</w:t>
            </w:r>
            <w:r w:rsidR="00CD5D29" w:rsidRPr="00C94ADB">
              <w:rPr>
                <w:sz w:val="17"/>
                <w:szCs w:val="17"/>
              </w:rPr>
              <w:t xml:space="preserve"> All other details are given in the ESI.</w:t>
            </w:r>
          </w:p>
          <w:p w14:paraId="5CB01632" w14:textId="77777777" w:rsidR="009F7243" w:rsidRPr="00C94ADB" w:rsidRDefault="009F7243" w:rsidP="00775E19">
            <w:pPr>
              <w:spacing w:before="480" w:after="230" w:line="230" w:lineRule="atLeast"/>
              <w:rPr>
                <w:rFonts w:ascii="Arial" w:hAnsi="Arial"/>
                <w:b/>
                <w:sz w:val="22"/>
                <w:lang w:val="en-GB"/>
              </w:rPr>
            </w:pPr>
            <w:r w:rsidRPr="00C94ADB">
              <w:rPr>
                <w:rFonts w:ascii="Arial" w:hAnsi="Arial"/>
                <w:b/>
                <w:sz w:val="22"/>
                <w:lang w:val="en-GB"/>
              </w:rPr>
              <w:t>Acknowledgements</w:t>
            </w:r>
          </w:p>
          <w:p w14:paraId="6A5073F9" w14:textId="001F9335" w:rsidR="009F7243" w:rsidRPr="00C94ADB" w:rsidRDefault="009F7243" w:rsidP="008C03A6">
            <w:pPr>
              <w:spacing w:line="225" w:lineRule="exact"/>
              <w:jc w:val="both"/>
              <w:rPr>
                <w:rFonts w:ascii="Arial" w:hAnsi="Arial"/>
                <w:sz w:val="17"/>
              </w:rPr>
            </w:pPr>
            <w:r w:rsidRPr="00C94ADB">
              <w:rPr>
                <w:rFonts w:ascii="Arial" w:hAnsi="Arial"/>
                <w:sz w:val="17"/>
              </w:rPr>
              <w:t>We acknowledge EPSRC (EP/C511794/1</w:t>
            </w:r>
            <w:r w:rsidR="002A6B7C">
              <w:rPr>
                <w:rFonts w:ascii="Arial" w:hAnsi="Arial"/>
                <w:sz w:val="17"/>
              </w:rPr>
              <w:t xml:space="preserve">, </w:t>
            </w:r>
            <w:r w:rsidR="002A6B7C" w:rsidRPr="002A6B7C">
              <w:rPr>
                <w:rFonts w:ascii="Arial" w:hAnsi="Arial"/>
                <w:sz w:val="17"/>
              </w:rPr>
              <w:t>EP/N004884/1</w:t>
            </w:r>
            <w:r w:rsidRPr="00C94ADB">
              <w:rPr>
                <w:rFonts w:ascii="Arial" w:hAnsi="Arial"/>
                <w:sz w:val="17"/>
              </w:rPr>
              <w:t>) for funding, including fellowships for M.A.Z. and D.J.A (EP/I004424/1, EP/ L021978/1)</w:t>
            </w:r>
            <w:r w:rsidR="008D757E" w:rsidRPr="00C94ADB">
              <w:rPr>
                <w:rFonts w:ascii="Arial" w:hAnsi="Arial"/>
                <w:sz w:val="17"/>
              </w:rPr>
              <w:t xml:space="preserve"> and a DTA studentship for NJB.</w:t>
            </w:r>
            <w:r w:rsidRPr="00C94ADB">
              <w:rPr>
                <w:rFonts w:ascii="Arial" w:hAnsi="Arial"/>
                <w:sz w:val="17"/>
              </w:rPr>
              <w:t xml:space="preserve"> We thank B. Kiss for helpful discussions, S. Higgins is acknowledged for help with TGA and DSC and B. Lidster and G. Smith for help with MALDI-TOF MS measurements. We acknowledge computational time on ARCHER, funded by EPSRC (EP/L000202/1), and the EPSRC National Service for </w:t>
            </w:r>
            <w:r w:rsidRPr="00C94ADB">
              <w:rPr>
                <w:rFonts w:ascii="Arial" w:hAnsi="Arial"/>
                <w:sz w:val="17"/>
              </w:rPr>
              <w:lastRenderedPageBreak/>
              <w:t>C</w:t>
            </w:r>
            <w:r w:rsidR="00125FEF" w:rsidRPr="00C94ADB">
              <w:rPr>
                <w:rFonts w:ascii="Arial" w:hAnsi="Arial"/>
                <w:sz w:val="17"/>
              </w:rPr>
              <w:t>omputational Chemistry Software.</w:t>
            </w:r>
          </w:p>
          <w:p w14:paraId="2B7E024E" w14:textId="77777777" w:rsidR="009F7243" w:rsidRPr="00C94ADB" w:rsidRDefault="009F7243" w:rsidP="008C03A6">
            <w:pPr>
              <w:spacing w:before="240" w:after="240" w:line="250" w:lineRule="exact"/>
              <w:jc w:val="both"/>
              <w:rPr>
                <w:rFonts w:ascii="Arial" w:hAnsi="Arial"/>
                <w:sz w:val="17"/>
                <w:szCs w:val="20"/>
                <w:lang w:val="en-GB"/>
              </w:rPr>
            </w:pPr>
            <w:r w:rsidRPr="00C94ADB">
              <w:rPr>
                <w:rFonts w:ascii="Arial" w:hAnsi="Arial"/>
                <w:b/>
                <w:sz w:val="17"/>
                <w:szCs w:val="20"/>
                <w:lang w:val="en-GB"/>
              </w:rPr>
              <w:t>Keywords:</w:t>
            </w:r>
            <w:r w:rsidRPr="00C94ADB">
              <w:rPr>
                <w:rFonts w:ascii="Arial" w:hAnsi="Arial"/>
                <w:sz w:val="17"/>
                <w:szCs w:val="20"/>
                <w:lang w:val="en-GB"/>
              </w:rPr>
              <w:t xml:space="preserve"> water splitting  • photocatalysis • conjugated polymer • extended conjugation • planarization</w:t>
            </w:r>
          </w:p>
          <w:p w14:paraId="1C2B44ED"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[1]</w:t>
            </w:r>
            <w:r w:rsidRPr="00C94ADB">
              <w:rPr>
                <w:rFonts w:ascii="Arial" w:hAnsi="Arial" w:cs="Arial"/>
                <w:noProof/>
                <w:sz w:val="14"/>
              </w:rPr>
              <w:tab/>
              <w:t xml:space="preserve"> X. Wang, K. Maeda, A. Thomas, K. Takanabe, G. Xin, J. M. Carlsson, K. Domen, M. Antonietti, </w:t>
            </w:r>
            <w:r w:rsidRPr="00C94ADB">
              <w:rPr>
                <w:rFonts w:ascii="Arial" w:hAnsi="Arial" w:cs="Arial"/>
                <w:i/>
                <w:iCs/>
                <w:noProof/>
                <w:sz w:val="14"/>
              </w:rPr>
              <w:t>Nat. Mater.</w:t>
            </w:r>
            <w:r w:rsidRPr="00C94ADB">
              <w:rPr>
                <w:rFonts w:ascii="Arial" w:hAnsi="Arial" w:cs="Arial"/>
                <w:noProof/>
                <w:sz w:val="14"/>
              </w:rPr>
              <w:t xml:space="preserve"> </w:t>
            </w:r>
            <w:r w:rsidRPr="00C94ADB">
              <w:rPr>
                <w:rFonts w:ascii="Arial" w:hAnsi="Arial" w:cs="Arial"/>
                <w:b/>
                <w:bCs/>
                <w:noProof/>
                <w:sz w:val="14"/>
              </w:rPr>
              <w:t>2009</w:t>
            </w:r>
            <w:r w:rsidRPr="00C94ADB">
              <w:rPr>
                <w:rFonts w:ascii="Arial" w:hAnsi="Arial" w:cs="Arial"/>
                <w:noProof/>
                <w:sz w:val="14"/>
              </w:rPr>
              <w:t xml:space="preserve">, </w:t>
            </w:r>
            <w:r w:rsidRPr="00C94ADB">
              <w:rPr>
                <w:rFonts w:ascii="Arial" w:hAnsi="Arial" w:cs="Arial"/>
                <w:i/>
                <w:iCs/>
                <w:noProof/>
                <w:sz w:val="14"/>
              </w:rPr>
              <w:t>8</w:t>
            </w:r>
            <w:r w:rsidRPr="00C94ADB">
              <w:rPr>
                <w:rFonts w:ascii="Arial" w:hAnsi="Arial" w:cs="Arial"/>
                <w:noProof/>
                <w:sz w:val="14"/>
              </w:rPr>
              <w:t>, 76–80.</w:t>
            </w:r>
          </w:p>
          <w:p w14:paraId="430002BA"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[2]</w:t>
            </w:r>
            <w:r w:rsidRPr="00C94ADB">
              <w:rPr>
                <w:rFonts w:ascii="Arial" w:hAnsi="Arial" w:cs="Arial"/>
                <w:noProof/>
                <w:sz w:val="14"/>
              </w:rPr>
              <w:tab/>
              <w:t xml:space="preserve"> S. Cao, J. Yu, </w:t>
            </w:r>
            <w:r w:rsidRPr="00C94ADB">
              <w:rPr>
                <w:rFonts w:ascii="Arial" w:hAnsi="Arial" w:cs="Arial"/>
                <w:i/>
                <w:iCs/>
                <w:noProof/>
                <w:sz w:val="14"/>
              </w:rPr>
              <w:t>J. Phys. Chem. Lett.</w:t>
            </w:r>
            <w:r w:rsidRPr="00C94ADB">
              <w:rPr>
                <w:rFonts w:ascii="Arial" w:hAnsi="Arial" w:cs="Arial"/>
                <w:noProof/>
                <w:sz w:val="14"/>
              </w:rPr>
              <w:t xml:space="preserve"> </w:t>
            </w:r>
            <w:r w:rsidRPr="00C94ADB">
              <w:rPr>
                <w:rFonts w:ascii="Arial" w:hAnsi="Arial" w:cs="Arial"/>
                <w:b/>
                <w:bCs/>
                <w:noProof/>
                <w:sz w:val="14"/>
              </w:rPr>
              <w:t>2014</w:t>
            </w:r>
            <w:r w:rsidRPr="00C94ADB">
              <w:rPr>
                <w:rFonts w:ascii="Arial" w:hAnsi="Arial" w:cs="Arial"/>
                <w:noProof/>
                <w:sz w:val="14"/>
              </w:rPr>
              <w:t xml:space="preserve">, </w:t>
            </w:r>
            <w:r w:rsidRPr="00C94ADB">
              <w:rPr>
                <w:rFonts w:ascii="Arial" w:hAnsi="Arial" w:cs="Arial"/>
                <w:i/>
                <w:iCs/>
                <w:noProof/>
                <w:sz w:val="14"/>
              </w:rPr>
              <w:t>5</w:t>
            </w:r>
            <w:r w:rsidRPr="00C94ADB">
              <w:rPr>
                <w:rFonts w:ascii="Arial" w:hAnsi="Arial" w:cs="Arial"/>
                <w:noProof/>
                <w:sz w:val="14"/>
              </w:rPr>
              <w:t>, 2101–2107.</w:t>
            </w:r>
          </w:p>
          <w:p w14:paraId="7275701C"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[3]</w:t>
            </w:r>
            <w:r w:rsidRPr="00C94ADB">
              <w:rPr>
                <w:rFonts w:ascii="Arial" w:hAnsi="Arial" w:cs="Arial"/>
                <w:noProof/>
                <w:sz w:val="14"/>
              </w:rPr>
              <w:tab/>
              <w:t xml:space="preserve"> X. Wang, S. Blechert, M. Antonietti, </w:t>
            </w:r>
            <w:r w:rsidRPr="00C94ADB">
              <w:rPr>
                <w:rFonts w:ascii="Arial" w:hAnsi="Arial" w:cs="Arial"/>
                <w:i/>
                <w:iCs/>
                <w:noProof/>
                <w:sz w:val="14"/>
              </w:rPr>
              <w:t>ACS Catal.</w:t>
            </w:r>
            <w:r w:rsidRPr="00C94ADB">
              <w:rPr>
                <w:rFonts w:ascii="Arial" w:hAnsi="Arial" w:cs="Arial"/>
                <w:noProof/>
                <w:sz w:val="14"/>
              </w:rPr>
              <w:t xml:space="preserve"> </w:t>
            </w:r>
            <w:r w:rsidRPr="00C94ADB">
              <w:rPr>
                <w:rFonts w:ascii="Arial" w:hAnsi="Arial" w:cs="Arial"/>
                <w:b/>
                <w:bCs/>
                <w:noProof/>
                <w:sz w:val="14"/>
              </w:rPr>
              <w:t>2012</w:t>
            </w:r>
            <w:r w:rsidRPr="00C94ADB">
              <w:rPr>
                <w:rFonts w:ascii="Arial" w:hAnsi="Arial" w:cs="Arial"/>
                <w:noProof/>
                <w:sz w:val="14"/>
              </w:rPr>
              <w:t xml:space="preserve">, </w:t>
            </w:r>
            <w:r w:rsidRPr="00C94ADB">
              <w:rPr>
                <w:rFonts w:ascii="Arial" w:hAnsi="Arial" w:cs="Arial"/>
                <w:i/>
                <w:iCs/>
                <w:noProof/>
                <w:sz w:val="14"/>
              </w:rPr>
              <w:t>2</w:t>
            </w:r>
            <w:r w:rsidRPr="00C94ADB">
              <w:rPr>
                <w:rFonts w:ascii="Arial" w:hAnsi="Arial" w:cs="Arial"/>
                <w:noProof/>
                <w:sz w:val="14"/>
              </w:rPr>
              <w:t>, 1596–1606.</w:t>
            </w:r>
          </w:p>
          <w:p w14:paraId="1E5ADA82"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[4]</w:t>
            </w:r>
            <w:r w:rsidRPr="00C94ADB">
              <w:rPr>
                <w:rFonts w:ascii="Arial" w:hAnsi="Arial" w:cs="Arial"/>
                <w:noProof/>
                <w:sz w:val="14"/>
              </w:rPr>
              <w:tab/>
              <w:t xml:space="preserve"> S. Cao, J. Low, J. Yu, M. Jaroniec, </w:t>
            </w:r>
            <w:r w:rsidRPr="00C94ADB">
              <w:rPr>
                <w:rFonts w:ascii="Arial" w:hAnsi="Arial" w:cs="Arial"/>
                <w:i/>
                <w:iCs/>
                <w:noProof/>
                <w:sz w:val="14"/>
              </w:rPr>
              <w:t>Adv. Mater.</w:t>
            </w:r>
            <w:r w:rsidRPr="00C94ADB">
              <w:rPr>
                <w:rFonts w:ascii="Arial" w:hAnsi="Arial" w:cs="Arial"/>
                <w:noProof/>
                <w:sz w:val="14"/>
              </w:rPr>
              <w:t xml:space="preserve"> </w:t>
            </w:r>
            <w:r w:rsidRPr="00C94ADB">
              <w:rPr>
                <w:rFonts w:ascii="Arial" w:hAnsi="Arial" w:cs="Arial"/>
                <w:b/>
                <w:bCs/>
                <w:noProof/>
                <w:sz w:val="14"/>
              </w:rPr>
              <w:t>2015</w:t>
            </w:r>
            <w:r w:rsidRPr="00C94ADB">
              <w:rPr>
                <w:rFonts w:ascii="Arial" w:hAnsi="Arial" w:cs="Arial"/>
                <w:noProof/>
                <w:sz w:val="14"/>
              </w:rPr>
              <w:t xml:space="preserve">, </w:t>
            </w:r>
            <w:r w:rsidRPr="00C94ADB">
              <w:rPr>
                <w:rFonts w:ascii="Arial" w:hAnsi="Arial" w:cs="Arial"/>
                <w:i/>
                <w:iCs/>
                <w:noProof/>
                <w:sz w:val="14"/>
              </w:rPr>
              <w:t>27</w:t>
            </w:r>
            <w:r w:rsidRPr="00C94ADB">
              <w:rPr>
                <w:rFonts w:ascii="Arial" w:hAnsi="Arial" w:cs="Arial"/>
                <w:noProof/>
                <w:sz w:val="14"/>
              </w:rPr>
              <w:t>, 2150–2176.</w:t>
            </w:r>
          </w:p>
          <w:p w14:paraId="1E7D7C47"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[5]</w:t>
            </w:r>
            <w:r w:rsidRPr="00C94ADB">
              <w:rPr>
                <w:rFonts w:ascii="Arial" w:hAnsi="Arial" w:cs="Arial"/>
                <w:noProof/>
                <w:sz w:val="14"/>
              </w:rPr>
              <w:tab/>
              <w:t xml:space="preserve"> Z. Zhao, Y. Sun, F. Dong, </w:t>
            </w:r>
            <w:r w:rsidRPr="00C94ADB">
              <w:rPr>
                <w:rFonts w:ascii="Arial" w:hAnsi="Arial" w:cs="Arial"/>
                <w:i/>
                <w:iCs/>
                <w:noProof/>
                <w:sz w:val="14"/>
              </w:rPr>
              <w:t>Nanoscale</w:t>
            </w:r>
            <w:r w:rsidRPr="00C94ADB">
              <w:rPr>
                <w:rFonts w:ascii="Arial" w:hAnsi="Arial" w:cs="Arial"/>
                <w:noProof/>
                <w:sz w:val="14"/>
              </w:rPr>
              <w:t xml:space="preserve"> </w:t>
            </w:r>
            <w:r w:rsidRPr="00C94ADB">
              <w:rPr>
                <w:rFonts w:ascii="Arial" w:hAnsi="Arial" w:cs="Arial"/>
                <w:b/>
                <w:bCs/>
                <w:noProof/>
                <w:sz w:val="14"/>
              </w:rPr>
              <w:t>2015</w:t>
            </w:r>
            <w:r w:rsidRPr="00C94ADB">
              <w:rPr>
                <w:rFonts w:ascii="Arial" w:hAnsi="Arial" w:cs="Arial"/>
                <w:noProof/>
                <w:sz w:val="14"/>
              </w:rPr>
              <w:t xml:space="preserve">, </w:t>
            </w:r>
            <w:r w:rsidRPr="00C94ADB">
              <w:rPr>
                <w:rFonts w:ascii="Arial" w:hAnsi="Arial" w:cs="Arial"/>
                <w:i/>
                <w:iCs/>
                <w:noProof/>
                <w:sz w:val="14"/>
              </w:rPr>
              <w:t>7</w:t>
            </w:r>
            <w:r w:rsidRPr="00C94ADB">
              <w:rPr>
                <w:rFonts w:ascii="Arial" w:hAnsi="Arial" w:cs="Arial"/>
                <w:noProof/>
                <w:sz w:val="14"/>
              </w:rPr>
              <w:t>, 15–37.</w:t>
            </w:r>
          </w:p>
          <w:p w14:paraId="4F157B78"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[6]</w:t>
            </w:r>
            <w:r w:rsidRPr="00C94ADB">
              <w:rPr>
                <w:rFonts w:ascii="Arial" w:hAnsi="Arial" w:cs="Arial"/>
                <w:noProof/>
                <w:sz w:val="14"/>
              </w:rPr>
              <w:tab/>
              <w:t xml:space="preserve"> J. Liu, Y. Liu, N. Liu, Y. Han, X. Zhang, H. Huang, Y. Lifshitz, S.-T. Lee, J. Zhong, Z. Kang, </w:t>
            </w:r>
            <w:r w:rsidRPr="00C94ADB">
              <w:rPr>
                <w:rFonts w:ascii="Arial" w:hAnsi="Arial" w:cs="Arial"/>
                <w:i/>
                <w:iCs/>
                <w:noProof/>
                <w:sz w:val="14"/>
              </w:rPr>
              <w:t xml:space="preserve">Science </w:t>
            </w:r>
            <w:r w:rsidRPr="00C94ADB">
              <w:rPr>
                <w:rFonts w:ascii="Arial" w:hAnsi="Arial" w:cs="Arial"/>
                <w:b/>
                <w:bCs/>
                <w:noProof/>
                <w:sz w:val="14"/>
              </w:rPr>
              <w:t>2015</w:t>
            </w:r>
            <w:r w:rsidRPr="00C94ADB">
              <w:rPr>
                <w:rFonts w:ascii="Arial" w:hAnsi="Arial" w:cs="Arial"/>
                <w:noProof/>
                <w:sz w:val="14"/>
              </w:rPr>
              <w:t xml:space="preserve">, </w:t>
            </w:r>
            <w:r w:rsidRPr="00C94ADB">
              <w:rPr>
                <w:rFonts w:ascii="Arial" w:hAnsi="Arial" w:cs="Arial"/>
                <w:i/>
                <w:iCs/>
                <w:noProof/>
                <w:sz w:val="14"/>
              </w:rPr>
              <w:t>347</w:t>
            </w:r>
            <w:r w:rsidRPr="00C94ADB">
              <w:rPr>
                <w:rFonts w:ascii="Arial" w:hAnsi="Arial" w:cs="Arial"/>
                <w:noProof/>
                <w:sz w:val="14"/>
              </w:rPr>
              <w:t>, 970–974.</w:t>
            </w:r>
          </w:p>
          <w:p w14:paraId="062E95F8"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[7]</w:t>
            </w:r>
            <w:r w:rsidRPr="00C94ADB">
              <w:rPr>
                <w:rFonts w:ascii="Arial" w:hAnsi="Arial" w:cs="Arial"/>
                <w:noProof/>
                <w:sz w:val="14"/>
              </w:rPr>
              <w:tab/>
              <w:t xml:space="preserve"> K. Schwinghammer, B. Tuffy, M. B. Mesch, E. Wirnhier, C. Martineau, F. Taulelle, W. Schnick, J. Senker, B. V. Lotsch, </w:t>
            </w:r>
            <w:r w:rsidRPr="00C94ADB">
              <w:rPr>
                <w:rFonts w:ascii="Arial" w:hAnsi="Arial" w:cs="Arial"/>
                <w:i/>
                <w:iCs/>
                <w:noProof/>
                <w:sz w:val="14"/>
              </w:rPr>
              <w:t>Angew. Chemie Int. Ed.</w:t>
            </w:r>
            <w:r w:rsidRPr="00C94ADB">
              <w:rPr>
                <w:rFonts w:ascii="Arial" w:hAnsi="Arial" w:cs="Arial"/>
                <w:noProof/>
                <w:sz w:val="14"/>
              </w:rPr>
              <w:t xml:space="preserve"> </w:t>
            </w:r>
            <w:r w:rsidRPr="00C94ADB">
              <w:rPr>
                <w:rFonts w:ascii="Arial" w:hAnsi="Arial" w:cs="Arial"/>
                <w:b/>
                <w:bCs/>
                <w:noProof/>
                <w:sz w:val="14"/>
              </w:rPr>
              <w:t>2013</w:t>
            </w:r>
            <w:r w:rsidRPr="00C94ADB">
              <w:rPr>
                <w:rFonts w:ascii="Arial" w:hAnsi="Arial" w:cs="Arial"/>
                <w:noProof/>
                <w:sz w:val="14"/>
              </w:rPr>
              <w:t xml:space="preserve">, </w:t>
            </w:r>
            <w:r w:rsidRPr="00C94ADB">
              <w:rPr>
                <w:rFonts w:ascii="Arial" w:hAnsi="Arial" w:cs="Arial"/>
                <w:i/>
                <w:iCs/>
                <w:noProof/>
                <w:sz w:val="14"/>
              </w:rPr>
              <w:t>52</w:t>
            </w:r>
            <w:r w:rsidRPr="00C94ADB">
              <w:rPr>
                <w:rFonts w:ascii="Arial" w:hAnsi="Arial" w:cs="Arial"/>
                <w:noProof/>
                <w:sz w:val="14"/>
              </w:rPr>
              <w:t>, 2435–2439.</w:t>
            </w:r>
          </w:p>
          <w:p w14:paraId="443C09BC"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[8]</w:t>
            </w:r>
            <w:r w:rsidRPr="00C94ADB">
              <w:rPr>
                <w:rFonts w:ascii="Arial" w:hAnsi="Arial" w:cs="Arial"/>
                <w:noProof/>
                <w:sz w:val="14"/>
              </w:rPr>
              <w:tab/>
              <w:t xml:space="preserve"> K. Kailasam, J. Schmidt, H. Bildirir, G. Zhang, S. Blechert, X. Wang, A. Thomas, </w:t>
            </w:r>
            <w:r w:rsidRPr="00C94ADB">
              <w:rPr>
                <w:rFonts w:ascii="Arial" w:hAnsi="Arial" w:cs="Arial"/>
                <w:i/>
                <w:iCs/>
                <w:noProof/>
                <w:sz w:val="14"/>
              </w:rPr>
              <w:t>Macromol. Rapid Commun.</w:t>
            </w:r>
            <w:r w:rsidRPr="00C94ADB">
              <w:rPr>
                <w:rFonts w:ascii="Arial" w:hAnsi="Arial" w:cs="Arial"/>
                <w:noProof/>
                <w:sz w:val="14"/>
              </w:rPr>
              <w:t xml:space="preserve"> </w:t>
            </w:r>
            <w:r w:rsidRPr="00C94ADB">
              <w:rPr>
                <w:rFonts w:ascii="Arial" w:hAnsi="Arial" w:cs="Arial"/>
                <w:b/>
                <w:bCs/>
                <w:noProof/>
                <w:sz w:val="14"/>
              </w:rPr>
              <w:t>2013</w:t>
            </w:r>
            <w:r w:rsidRPr="00C94ADB">
              <w:rPr>
                <w:rFonts w:ascii="Arial" w:hAnsi="Arial" w:cs="Arial"/>
                <w:noProof/>
                <w:sz w:val="14"/>
              </w:rPr>
              <w:t xml:space="preserve">, </w:t>
            </w:r>
            <w:r w:rsidRPr="00C94ADB">
              <w:rPr>
                <w:rFonts w:ascii="Arial" w:hAnsi="Arial" w:cs="Arial"/>
                <w:i/>
                <w:iCs/>
                <w:noProof/>
                <w:sz w:val="14"/>
              </w:rPr>
              <w:t>34</w:t>
            </w:r>
            <w:r w:rsidRPr="00C94ADB">
              <w:rPr>
                <w:rFonts w:ascii="Arial" w:hAnsi="Arial" w:cs="Arial"/>
                <w:noProof/>
                <w:sz w:val="14"/>
              </w:rPr>
              <w:t>, 1008–1013.</w:t>
            </w:r>
          </w:p>
          <w:p w14:paraId="4E4E4571"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[9]</w:t>
            </w:r>
            <w:r w:rsidRPr="00C94ADB">
              <w:rPr>
                <w:rFonts w:ascii="Arial" w:hAnsi="Arial" w:cs="Arial"/>
                <w:noProof/>
                <w:sz w:val="14"/>
              </w:rPr>
              <w:tab/>
              <w:t xml:space="preserve"> M. G. Schwab, M. Hamburger, X. Feng, J. Shu, H. W. Spiess, X. Wang, M. Antonietti, K. Müllen, </w:t>
            </w:r>
            <w:r w:rsidRPr="00C94ADB">
              <w:rPr>
                <w:rFonts w:ascii="Arial" w:hAnsi="Arial" w:cs="Arial"/>
                <w:i/>
                <w:iCs/>
                <w:noProof/>
                <w:sz w:val="14"/>
              </w:rPr>
              <w:t>Chem. Commun.</w:t>
            </w:r>
            <w:r w:rsidRPr="00C94ADB">
              <w:rPr>
                <w:rFonts w:ascii="Arial" w:hAnsi="Arial" w:cs="Arial"/>
                <w:noProof/>
                <w:sz w:val="14"/>
              </w:rPr>
              <w:t xml:space="preserve"> </w:t>
            </w:r>
            <w:r w:rsidRPr="00C94ADB">
              <w:rPr>
                <w:rFonts w:ascii="Arial" w:hAnsi="Arial" w:cs="Arial"/>
                <w:b/>
                <w:bCs/>
                <w:noProof/>
                <w:sz w:val="14"/>
              </w:rPr>
              <w:t>2010</w:t>
            </w:r>
            <w:r w:rsidRPr="00C94ADB">
              <w:rPr>
                <w:rFonts w:ascii="Arial" w:hAnsi="Arial" w:cs="Arial"/>
                <w:noProof/>
                <w:sz w:val="14"/>
              </w:rPr>
              <w:t xml:space="preserve">, </w:t>
            </w:r>
            <w:r w:rsidRPr="00C94ADB">
              <w:rPr>
                <w:rFonts w:ascii="Arial" w:hAnsi="Arial" w:cs="Arial"/>
                <w:i/>
                <w:iCs/>
                <w:noProof/>
                <w:sz w:val="14"/>
              </w:rPr>
              <w:t>46</w:t>
            </w:r>
            <w:r w:rsidRPr="00C94ADB">
              <w:rPr>
                <w:rFonts w:ascii="Arial" w:hAnsi="Arial" w:cs="Arial"/>
                <w:noProof/>
                <w:sz w:val="14"/>
              </w:rPr>
              <w:t>, 8932–8934.</w:t>
            </w:r>
          </w:p>
          <w:p w14:paraId="2BCAD938"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[10]</w:t>
            </w:r>
            <w:r w:rsidRPr="00C94ADB">
              <w:rPr>
                <w:rFonts w:ascii="Arial" w:hAnsi="Arial" w:cs="Arial"/>
                <w:noProof/>
                <w:sz w:val="14"/>
              </w:rPr>
              <w:tab/>
              <w:t xml:space="preserve"> L. Stegbauer, K. Schwinghammer, B. V. Lotsch, </w:t>
            </w:r>
            <w:r w:rsidRPr="00C94ADB">
              <w:rPr>
                <w:rFonts w:ascii="Arial" w:hAnsi="Arial" w:cs="Arial"/>
                <w:i/>
                <w:iCs/>
                <w:noProof/>
                <w:sz w:val="14"/>
              </w:rPr>
              <w:t>Chem. Sci.</w:t>
            </w:r>
            <w:r w:rsidRPr="00C94ADB">
              <w:rPr>
                <w:rFonts w:ascii="Arial" w:hAnsi="Arial" w:cs="Arial"/>
                <w:noProof/>
                <w:sz w:val="14"/>
              </w:rPr>
              <w:t xml:space="preserve"> </w:t>
            </w:r>
            <w:r w:rsidRPr="00C94ADB">
              <w:rPr>
                <w:rFonts w:ascii="Arial" w:hAnsi="Arial" w:cs="Arial"/>
                <w:b/>
                <w:bCs/>
                <w:noProof/>
                <w:sz w:val="14"/>
              </w:rPr>
              <w:t>2014</w:t>
            </w:r>
            <w:r w:rsidRPr="00C94ADB">
              <w:rPr>
                <w:rFonts w:ascii="Arial" w:hAnsi="Arial" w:cs="Arial"/>
                <w:noProof/>
                <w:sz w:val="14"/>
              </w:rPr>
              <w:t xml:space="preserve">, </w:t>
            </w:r>
            <w:r w:rsidRPr="00C94ADB">
              <w:rPr>
                <w:rFonts w:ascii="Arial" w:hAnsi="Arial" w:cs="Arial"/>
                <w:i/>
                <w:iCs/>
                <w:noProof/>
                <w:sz w:val="14"/>
              </w:rPr>
              <w:t>5</w:t>
            </w:r>
            <w:r w:rsidRPr="00C94ADB">
              <w:rPr>
                <w:rFonts w:ascii="Arial" w:hAnsi="Arial" w:cs="Arial"/>
                <w:noProof/>
                <w:sz w:val="14"/>
              </w:rPr>
              <w:t>, 2789–2793.</w:t>
            </w:r>
          </w:p>
          <w:p w14:paraId="1FFBF2AB"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[11]</w:t>
            </w:r>
            <w:r w:rsidRPr="00C94ADB">
              <w:rPr>
                <w:rFonts w:ascii="Arial" w:hAnsi="Arial" w:cs="Arial"/>
                <w:noProof/>
                <w:sz w:val="14"/>
              </w:rPr>
              <w:tab/>
              <w:t xml:space="preserve"> J. Bi, W. Fang, L. Li, J. Wang, S. Liang, Y. He, M. Liu, L. Wu, </w:t>
            </w:r>
            <w:r w:rsidRPr="00C94ADB">
              <w:rPr>
                <w:rFonts w:ascii="Arial" w:hAnsi="Arial" w:cs="Arial"/>
                <w:i/>
                <w:iCs/>
                <w:noProof/>
                <w:sz w:val="14"/>
              </w:rPr>
              <w:t>Macromol. Rapid Commun.</w:t>
            </w:r>
            <w:r w:rsidRPr="00C94ADB">
              <w:rPr>
                <w:rFonts w:ascii="Arial" w:hAnsi="Arial" w:cs="Arial"/>
                <w:noProof/>
                <w:sz w:val="14"/>
              </w:rPr>
              <w:t xml:space="preserve"> </w:t>
            </w:r>
            <w:r w:rsidRPr="00C94ADB">
              <w:rPr>
                <w:rFonts w:ascii="Arial" w:hAnsi="Arial" w:cs="Arial"/>
                <w:b/>
                <w:bCs/>
                <w:noProof/>
                <w:sz w:val="14"/>
              </w:rPr>
              <w:t>2015</w:t>
            </w:r>
            <w:r w:rsidRPr="00C94ADB">
              <w:rPr>
                <w:rFonts w:ascii="Arial" w:hAnsi="Arial" w:cs="Arial"/>
                <w:noProof/>
                <w:sz w:val="14"/>
              </w:rPr>
              <w:t xml:space="preserve">, </w:t>
            </w:r>
            <w:r w:rsidRPr="00C94ADB">
              <w:rPr>
                <w:rFonts w:ascii="Arial" w:hAnsi="Arial" w:cs="Arial"/>
                <w:i/>
                <w:iCs/>
                <w:noProof/>
                <w:sz w:val="14"/>
              </w:rPr>
              <w:t>36</w:t>
            </w:r>
            <w:r w:rsidRPr="00C94ADB">
              <w:rPr>
                <w:rFonts w:ascii="Arial" w:hAnsi="Arial" w:cs="Arial"/>
                <w:noProof/>
                <w:sz w:val="14"/>
              </w:rPr>
              <w:t>, 1799–1805.</w:t>
            </w:r>
          </w:p>
          <w:p w14:paraId="1F993BE0"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[12]</w:t>
            </w:r>
            <w:r w:rsidRPr="00C94ADB">
              <w:rPr>
                <w:rFonts w:ascii="Arial" w:hAnsi="Arial" w:cs="Arial"/>
                <w:noProof/>
                <w:sz w:val="14"/>
              </w:rPr>
              <w:tab/>
              <w:t xml:space="preserve"> K. Schwinghammer, S. Hug, M. B. Mesch, J. Senker, B. V. Lotsch, </w:t>
            </w:r>
            <w:r w:rsidRPr="00C94ADB">
              <w:rPr>
                <w:rFonts w:ascii="Arial" w:hAnsi="Arial" w:cs="Arial"/>
                <w:i/>
                <w:iCs/>
                <w:noProof/>
                <w:sz w:val="14"/>
              </w:rPr>
              <w:t>Energy Environ. Sci.</w:t>
            </w:r>
            <w:r w:rsidRPr="00C94ADB">
              <w:rPr>
                <w:rFonts w:ascii="Arial" w:hAnsi="Arial" w:cs="Arial"/>
                <w:noProof/>
                <w:sz w:val="14"/>
              </w:rPr>
              <w:t xml:space="preserve"> </w:t>
            </w:r>
            <w:r w:rsidRPr="00C94ADB">
              <w:rPr>
                <w:rFonts w:ascii="Arial" w:hAnsi="Arial" w:cs="Arial"/>
                <w:b/>
                <w:bCs/>
                <w:noProof/>
                <w:sz w:val="14"/>
              </w:rPr>
              <w:t>2015</w:t>
            </w:r>
            <w:r w:rsidRPr="00C94ADB">
              <w:rPr>
                <w:rFonts w:ascii="Arial" w:hAnsi="Arial" w:cs="Arial"/>
                <w:noProof/>
                <w:sz w:val="14"/>
              </w:rPr>
              <w:t xml:space="preserve">, </w:t>
            </w:r>
            <w:r w:rsidRPr="00C94ADB">
              <w:rPr>
                <w:rFonts w:ascii="Arial" w:hAnsi="Arial" w:cs="Arial"/>
                <w:i/>
                <w:iCs/>
                <w:noProof/>
                <w:sz w:val="14"/>
              </w:rPr>
              <w:t>8</w:t>
            </w:r>
            <w:r w:rsidRPr="00C94ADB">
              <w:rPr>
                <w:rFonts w:ascii="Arial" w:hAnsi="Arial" w:cs="Arial"/>
                <w:noProof/>
                <w:sz w:val="14"/>
              </w:rPr>
              <w:t>, 3345–3353.</w:t>
            </w:r>
          </w:p>
          <w:p w14:paraId="549ACB3A"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[13]</w:t>
            </w:r>
            <w:r w:rsidRPr="00C94ADB">
              <w:rPr>
                <w:rFonts w:ascii="Arial" w:hAnsi="Arial" w:cs="Arial"/>
                <w:noProof/>
                <w:sz w:val="14"/>
              </w:rPr>
              <w:tab/>
              <w:t xml:space="preserve"> V. S. Vyas, F. Haase, L. Stegbauer, G. Savasci, F. Podjaski, C. Ochsenfeld, B. V. Lotsch, </w:t>
            </w:r>
            <w:r w:rsidRPr="00C94ADB">
              <w:rPr>
                <w:rFonts w:ascii="Arial" w:hAnsi="Arial" w:cs="Arial"/>
                <w:i/>
                <w:iCs/>
                <w:noProof/>
                <w:sz w:val="14"/>
              </w:rPr>
              <w:t>Nat. Commun.</w:t>
            </w:r>
            <w:r w:rsidRPr="00C94ADB">
              <w:rPr>
                <w:rFonts w:ascii="Arial" w:hAnsi="Arial" w:cs="Arial"/>
                <w:noProof/>
                <w:sz w:val="14"/>
              </w:rPr>
              <w:t xml:space="preserve"> </w:t>
            </w:r>
            <w:r w:rsidRPr="00C94ADB">
              <w:rPr>
                <w:rFonts w:ascii="Arial" w:hAnsi="Arial" w:cs="Arial"/>
                <w:b/>
                <w:bCs/>
                <w:noProof/>
                <w:sz w:val="14"/>
              </w:rPr>
              <w:t>2015</w:t>
            </w:r>
            <w:r w:rsidRPr="00C94ADB">
              <w:rPr>
                <w:rFonts w:ascii="Arial" w:hAnsi="Arial" w:cs="Arial"/>
                <w:noProof/>
                <w:sz w:val="14"/>
              </w:rPr>
              <w:t xml:space="preserve">, </w:t>
            </w:r>
            <w:r w:rsidRPr="00C94ADB">
              <w:rPr>
                <w:rFonts w:ascii="Arial" w:hAnsi="Arial" w:cs="Arial"/>
                <w:i/>
                <w:iCs/>
                <w:noProof/>
                <w:sz w:val="14"/>
              </w:rPr>
              <w:t>6</w:t>
            </w:r>
            <w:r w:rsidRPr="00C94ADB">
              <w:rPr>
                <w:rFonts w:ascii="Arial" w:hAnsi="Arial" w:cs="Arial"/>
                <w:noProof/>
                <w:sz w:val="14"/>
              </w:rPr>
              <w:t>, 8508.</w:t>
            </w:r>
          </w:p>
          <w:p w14:paraId="51735B84"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[14]</w:t>
            </w:r>
            <w:r w:rsidRPr="00C94ADB">
              <w:rPr>
                <w:rFonts w:ascii="Arial" w:hAnsi="Arial" w:cs="Arial"/>
                <w:noProof/>
                <w:sz w:val="14"/>
              </w:rPr>
              <w:tab/>
              <w:t xml:space="preserve"> J. H. Park, K. C. Ko, N. Park, H.-W. Shin, E. Kim, N. Kang, J. Hong Ko, S. M. Lee, H. J. Kim, T. K. Ahn, et al., </w:t>
            </w:r>
            <w:r w:rsidRPr="00C94ADB">
              <w:rPr>
                <w:rFonts w:ascii="Arial" w:hAnsi="Arial" w:cs="Arial"/>
                <w:i/>
                <w:iCs/>
                <w:noProof/>
                <w:sz w:val="14"/>
              </w:rPr>
              <w:t>J. Mater. Chem. A</w:t>
            </w:r>
            <w:r w:rsidRPr="00C94ADB">
              <w:rPr>
                <w:rFonts w:ascii="Arial" w:hAnsi="Arial" w:cs="Arial"/>
                <w:noProof/>
                <w:sz w:val="14"/>
              </w:rPr>
              <w:t xml:space="preserve"> </w:t>
            </w:r>
            <w:r w:rsidRPr="00C94ADB">
              <w:rPr>
                <w:rFonts w:ascii="Arial" w:hAnsi="Arial" w:cs="Arial"/>
                <w:b/>
                <w:bCs/>
                <w:noProof/>
                <w:sz w:val="14"/>
              </w:rPr>
              <w:t>2014</w:t>
            </w:r>
            <w:r w:rsidRPr="00C94ADB">
              <w:rPr>
                <w:rFonts w:ascii="Arial" w:hAnsi="Arial" w:cs="Arial"/>
                <w:noProof/>
                <w:sz w:val="14"/>
              </w:rPr>
              <w:t xml:space="preserve">, </w:t>
            </w:r>
            <w:r w:rsidRPr="00C94ADB">
              <w:rPr>
                <w:rFonts w:ascii="Arial" w:hAnsi="Arial" w:cs="Arial"/>
                <w:i/>
                <w:iCs/>
                <w:noProof/>
                <w:sz w:val="14"/>
              </w:rPr>
              <w:t>2</w:t>
            </w:r>
            <w:r w:rsidRPr="00C94ADB">
              <w:rPr>
                <w:rFonts w:ascii="Arial" w:hAnsi="Arial" w:cs="Arial"/>
                <w:noProof/>
                <w:sz w:val="14"/>
              </w:rPr>
              <w:t>, 7656.</w:t>
            </w:r>
          </w:p>
          <w:p w14:paraId="518AC2ED"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[15]</w:t>
            </w:r>
            <w:r w:rsidRPr="00C94ADB">
              <w:rPr>
                <w:rFonts w:ascii="Arial" w:hAnsi="Arial" w:cs="Arial"/>
                <w:noProof/>
                <w:sz w:val="14"/>
              </w:rPr>
              <w:tab/>
              <w:t xml:space="preserve"> R. S. Sprick, J.-X. Jiang, B. Bonillo, S. Ren, T. Ratvijitvech, P. Guiglion, M. A. Zwijnenburg, D. J. Adams, A. I. Cooper, </w:t>
            </w:r>
            <w:r w:rsidRPr="00C94ADB">
              <w:rPr>
                <w:rFonts w:ascii="Arial" w:hAnsi="Arial" w:cs="Arial"/>
                <w:i/>
                <w:iCs/>
                <w:noProof/>
                <w:sz w:val="14"/>
              </w:rPr>
              <w:t>J. Am. Chem. Soc.</w:t>
            </w:r>
            <w:r w:rsidRPr="00C94ADB">
              <w:rPr>
                <w:rFonts w:ascii="Arial" w:hAnsi="Arial" w:cs="Arial"/>
                <w:noProof/>
                <w:sz w:val="14"/>
              </w:rPr>
              <w:t xml:space="preserve"> </w:t>
            </w:r>
            <w:r w:rsidRPr="00C94ADB">
              <w:rPr>
                <w:rFonts w:ascii="Arial" w:hAnsi="Arial" w:cs="Arial"/>
                <w:b/>
                <w:bCs/>
                <w:noProof/>
                <w:sz w:val="14"/>
              </w:rPr>
              <w:t>2015</w:t>
            </w:r>
            <w:r w:rsidRPr="00C94ADB">
              <w:rPr>
                <w:rFonts w:ascii="Arial" w:hAnsi="Arial" w:cs="Arial"/>
                <w:noProof/>
                <w:sz w:val="14"/>
              </w:rPr>
              <w:t xml:space="preserve">, </w:t>
            </w:r>
            <w:r w:rsidRPr="00C94ADB">
              <w:rPr>
                <w:rFonts w:ascii="Arial" w:hAnsi="Arial" w:cs="Arial"/>
                <w:i/>
                <w:iCs/>
                <w:noProof/>
                <w:sz w:val="14"/>
              </w:rPr>
              <w:t>137</w:t>
            </w:r>
            <w:r w:rsidRPr="00C94ADB">
              <w:rPr>
                <w:rFonts w:ascii="Arial" w:hAnsi="Arial" w:cs="Arial"/>
                <w:noProof/>
                <w:sz w:val="14"/>
              </w:rPr>
              <w:t>, 3265–3270.</w:t>
            </w:r>
          </w:p>
          <w:p w14:paraId="5364CE1F"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[16]</w:t>
            </w:r>
            <w:r w:rsidRPr="00C94ADB">
              <w:rPr>
                <w:rFonts w:ascii="Arial" w:hAnsi="Arial" w:cs="Arial"/>
                <w:noProof/>
                <w:sz w:val="14"/>
              </w:rPr>
              <w:tab/>
              <w:t xml:space="preserve"> V. S. Vyas, B. V Lotsch, </w:t>
            </w:r>
            <w:r w:rsidRPr="00C94ADB">
              <w:rPr>
                <w:rFonts w:ascii="Arial" w:hAnsi="Arial" w:cs="Arial"/>
                <w:i/>
                <w:iCs/>
                <w:noProof/>
                <w:sz w:val="14"/>
              </w:rPr>
              <w:t>Nature</w:t>
            </w:r>
            <w:r w:rsidRPr="00C94ADB">
              <w:rPr>
                <w:rFonts w:ascii="Arial" w:hAnsi="Arial" w:cs="Arial"/>
                <w:noProof/>
                <w:sz w:val="14"/>
              </w:rPr>
              <w:t xml:space="preserve"> </w:t>
            </w:r>
            <w:r w:rsidRPr="00C94ADB">
              <w:rPr>
                <w:rFonts w:ascii="Arial" w:hAnsi="Arial" w:cs="Arial"/>
                <w:b/>
                <w:bCs/>
                <w:noProof/>
                <w:sz w:val="14"/>
              </w:rPr>
              <w:t>2015</w:t>
            </w:r>
            <w:r w:rsidRPr="00C94ADB">
              <w:rPr>
                <w:rFonts w:ascii="Arial" w:hAnsi="Arial" w:cs="Arial"/>
                <w:noProof/>
                <w:sz w:val="14"/>
              </w:rPr>
              <w:t xml:space="preserve">, </w:t>
            </w:r>
            <w:r w:rsidRPr="00C94ADB">
              <w:rPr>
                <w:rFonts w:ascii="Arial" w:hAnsi="Arial" w:cs="Arial"/>
                <w:i/>
                <w:iCs/>
                <w:noProof/>
                <w:sz w:val="14"/>
              </w:rPr>
              <w:t>521</w:t>
            </w:r>
            <w:r w:rsidRPr="00C94ADB">
              <w:rPr>
                <w:rFonts w:ascii="Arial" w:hAnsi="Arial" w:cs="Arial"/>
                <w:noProof/>
                <w:sz w:val="14"/>
              </w:rPr>
              <w:t>, 41–42.</w:t>
            </w:r>
          </w:p>
          <w:p w14:paraId="5D4454CD"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[17]</w:t>
            </w:r>
            <w:r w:rsidRPr="00C94ADB">
              <w:rPr>
                <w:rFonts w:ascii="Arial" w:hAnsi="Arial" w:cs="Arial"/>
                <w:noProof/>
                <w:sz w:val="14"/>
              </w:rPr>
              <w:tab/>
              <w:t xml:space="preserve"> T. Shibata, A. Kabumoto, T. Shiragami, O. Ishitani, C. Pac, S. Yanagida, </w:t>
            </w:r>
            <w:r w:rsidRPr="00C94ADB">
              <w:rPr>
                <w:rFonts w:ascii="Arial" w:hAnsi="Arial" w:cs="Arial"/>
                <w:i/>
                <w:iCs/>
                <w:noProof/>
                <w:sz w:val="14"/>
              </w:rPr>
              <w:t>J. Phys. Chem.</w:t>
            </w:r>
            <w:r w:rsidRPr="00C94ADB">
              <w:rPr>
                <w:rFonts w:ascii="Arial" w:hAnsi="Arial" w:cs="Arial"/>
                <w:noProof/>
                <w:sz w:val="14"/>
              </w:rPr>
              <w:t xml:space="preserve"> </w:t>
            </w:r>
            <w:r w:rsidRPr="00C94ADB">
              <w:rPr>
                <w:rFonts w:ascii="Arial" w:hAnsi="Arial" w:cs="Arial"/>
                <w:b/>
                <w:bCs/>
                <w:noProof/>
                <w:sz w:val="14"/>
              </w:rPr>
              <w:t>1990</w:t>
            </w:r>
            <w:r w:rsidRPr="00C94ADB">
              <w:rPr>
                <w:rFonts w:ascii="Arial" w:hAnsi="Arial" w:cs="Arial"/>
                <w:noProof/>
                <w:sz w:val="14"/>
              </w:rPr>
              <w:t xml:space="preserve">, </w:t>
            </w:r>
            <w:r w:rsidRPr="00C94ADB">
              <w:rPr>
                <w:rFonts w:ascii="Arial" w:hAnsi="Arial" w:cs="Arial"/>
                <w:i/>
                <w:iCs/>
                <w:noProof/>
                <w:sz w:val="14"/>
              </w:rPr>
              <w:t>94</w:t>
            </w:r>
            <w:r w:rsidRPr="00C94ADB">
              <w:rPr>
                <w:rFonts w:ascii="Arial" w:hAnsi="Arial" w:cs="Arial"/>
                <w:noProof/>
                <w:sz w:val="14"/>
              </w:rPr>
              <w:t>, 2068–2076.</w:t>
            </w:r>
          </w:p>
          <w:p w14:paraId="217618A3"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[18]</w:t>
            </w:r>
            <w:r w:rsidRPr="00C94ADB">
              <w:rPr>
                <w:rFonts w:ascii="Arial" w:hAnsi="Arial" w:cs="Arial"/>
                <w:noProof/>
                <w:sz w:val="14"/>
              </w:rPr>
              <w:tab/>
              <w:t xml:space="preserve"> H. Yan, Y. Huang, </w:t>
            </w:r>
            <w:r w:rsidRPr="00C94ADB">
              <w:rPr>
                <w:rFonts w:ascii="Arial" w:hAnsi="Arial" w:cs="Arial"/>
                <w:i/>
                <w:iCs/>
                <w:noProof/>
                <w:sz w:val="14"/>
              </w:rPr>
              <w:t>Chem. Commun.</w:t>
            </w:r>
            <w:r w:rsidRPr="00C94ADB">
              <w:rPr>
                <w:rFonts w:ascii="Arial" w:hAnsi="Arial" w:cs="Arial"/>
                <w:noProof/>
                <w:sz w:val="14"/>
              </w:rPr>
              <w:t xml:space="preserve"> </w:t>
            </w:r>
            <w:r w:rsidRPr="00C94ADB">
              <w:rPr>
                <w:rFonts w:ascii="Arial" w:hAnsi="Arial" w:cs="Arial"/>
                <w:b/>
                <w:bCs/>
                <w:noProof/>
                <w:sz w:val="14"/>
              </w:rPr>
              <w:t>2011</w:t>
            </w:r>
            <w:r w:rsidRPr="00C94ADB">
              <w:rPr>
                <w:rFonts w:ascii="Arial" w:hAnsi="Arial" w:cs="Arial"/>
                <w:noProof/>
                <w:sz w:val="14"/>
              </w:rPr>
              <w:t xml:space="preserve">, </w:t>
            </w:r>
            <w:r w:rsidRPr="00C94ADB">
              <w:rPr>
                <w:rFonts w:ascii="Arial" w:hAnsi="Arial" w:cs="Arial"/>
                <w:i/>
                <w:iCs/>
                <w:noProof/>
                <w:sz w:val="14"/>
              </w:rPr>
              <w:t>47</w:t>
            </w:r>
            <w:r w:rsidRPr="00C94ADB">
              <w:rPr>
                <w:rFonts w:ascii="Arial" w:hAnsi="Arial" w:cs="Arial"/>
                <w:noProof/>
                <w:sz w:val="14"/>
              </w:rPr>
              <w:t>, 4168.</w:t>
            </w:r>
          </w:p>
          <w:p w14:paraId="4A9BE8BA"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[19]</w:t>
            </w:r>
            <w:r w:rsidRPr="00C94ADB">
              <w:rPr>
                <w:rFonts w:ascii="Arial" w:hAnsi="Arial" w:cs="Arial"/>
                <w:noProof/>
                <w:sz w:val="14"/>
              </w:rPr>
              <w:tab/>
              <w:t xml:space="preserve"> K. He, M. Li, L. Guo, </w:t>
            </w:r>
            <w:r w:rsidRPr="00C94ADB">
              <w:rPr>
                <w:rFonts w:ascii="Arial" w:hAnsi="Arial" w:cs="Arial"/>
                <w:i/>
                <w:iCs/>
                <w:noProof/>
                <w:sz w:val="14"/>
              </w:rPr>
              <w:t xml:space="preserve">Int. J. Hydrogen </w:t>
            </w:r>
            <w:r w:rsidR="005E793D" w:rsidRPr="00C94ADB">
              <w:rPr>
                <w:rFonts w:ascii="Arial" w:hAnsi="Arial" w:cs="Arial"/>
                <w:i/>
                <w:iCs/>
                <w:noProof/>
                <w:sz w:val="14"/>
              </w:rPr>
              <w:t xml:space="preserve">Energ. </w:t>
            </w:r>
            <w:r w:rsidRPr="00C94ADB">
              <w:rPr>
                <w:rFonts w:ascii="Arial" w:hAnsi="Arial" w:cs="Arial"/>
                <w:b/>
                <w:bCs/>
                <w:noProof/>
                <w:sz w:val="14"/>
              </w:rPr>
              <w:t>2012</w:t>
            </w:r>
            <w:r w:rsidRPr="00C94ADB">
              <w:rPr>
                <w:rFonts w:ascii="Arial" w:hAnsi="Arial" w:cs="Arial"/>
                <w:noProof/>
                <w:sz w:val="14"/>
              </w:rPr>
              <w:t xml:space="preserve">, </w:t>
            </w:r>
            <w:r w:rsidRPr="00C94ADB">
              <w:rPr>
                <w:rFonts w:ascii="Arial" w:hAnsi="Arial" w:cs="Arial"/>
                <w:i/>
                <w:iCs/>
                <w:noProof/>
                <w:sz w:val="14"/>
              </w:rPr>
              <w:t>37</w:t>
            </w:r>
            <w:r w:rsidRPr="00C94ADB">
              <w:rPr>
                <w:rFonts w:ascii="Arial" w:hAnsi="Arial" w:cs="Arial"/>
                <w:noProof/>
                <w:sz w:val="14"/>
              </w:rPr>
              <w:t>, 755–759.</w:t>
            </w:r>
          </w:p>
          <w:p w14:paraId="5A3BF44C"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[20]</w:t>
            </w:r>
            <w:r w:rsidRPr="00C94ADB">
              <w:rPr>
                <w:rFonts w:ascii="Arial" w:hAnsi="Arial" w:cs="Arial"/>
                <w:noProof/>
                <w:sz w:val="14"/>
              </w:rPr>
              <w:tab/>
              <w:t xml:space="preserve"> M. Reza Gholipour, C.-T. Dinh, F. Béland, T.-O. Do, </w:t>
            </w:r>
            <w:r w:rsidRPr="00C94ADB">
              <w:rPr>
                <w:rFonts w:ascii="Arial" w:hAnsi="Arial" w:cs="Arial"/>
                <w:i/>
                <w:iCs/>
                <w:noProof/>
                <w:sz w:val="14"/>
              </w:rPr>
              <w:t>Nanoscale</w:t>
            </w:r>
            <w:r w:rsidRPr="00C94ADB">
              <w:rPr>
                <w:rFonts w:ascii="Arial" w:hAnsi="Arial" w:cs="Arial"/>
                <w:noProof/>
                <w:sz w:val="14"/>
              </w:rPr>
              <w:t xml:space="preserve"> </w:t>
            </w:r>
            <w:r w:rsidRPr="00C94ADB">
              <w:rPr>
                <w:rFonts w:ascii="Arial" w:hAnsi="Arial" w:cs="Arial"/>
                <w:b/>
                <w:bCs/>
                <w:noProof/>
                <w:sz w:val="14"/>
              </w:rPr>
              <w:t>2015</w:t>
            </w:r>
            <w:r w:rsidRPr="00C94ADB">
              <w:rPr>
                <w:rFonts w:ascii="Arial" w:hAnsi="Arial" w:cs="Arial"/>
                <w:noProof/>
                <w:sz w:val="14"/>
              </w:rPr>
              <w:t xml:space="preserve">, </w:t>
            </w:r>
            <w:r w:rsidRPr="00C94ADB">
              <w:rPr>
                <w:rFonts w:ascii="Arial" w:hAnsi="Arial" w:cs="Arial"/>
                <w:i/>
                <w:iCs/>
                <w:noProof/>
                <w:sz w:val="14"/>
              </w:rPr>
              <w:t>7</w:t>
            </w:r>
            <w:r w:rsidRPr="00C94ADB">
              <w:rPr>
                <w:rFonts w:ascii="Arial" w:hAnsi="Arial" w:cs="Arial"/>
                <w:noProof/>
                <w:sz w:val="14"/>
              </w:rPr>
              <w:t>, 8187–8208.</w:t>
            </w:r>
          </w:p>
          <w:p w14:paraId="4917E173"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[21]</w:t>
            </w:r>
            <w:r w:rsidRPr="00C94ADB">
              <w:rPr>
                <w:rFonts w:ascii="Arial" w:hAnsi="Arial" w:cs="Arial"/>
                <w:noProof/>
                <w:sz w:val="14"/>
              </w:rPr>
              <w:tab/>
              <w:t xml:space="preserve"> S. Matsuoka, H. Fujii, T. Yamada, C. Pac, A. Ishida, S. Takamuku, M. Kusaba, N. Nakashima, S. Yanagida, </w:t>
            </w:r>
            <w:r w:rsidRPr="00C94ADB">
              <w:rPr>
                <w:rFonts w:ascii="Arial" w:hAnsi="Arial" w:cs="Arial"/>
                <w:i/>
                <w:iCs/>
                <w:noProof/>
                <w:sz w:val="14"/>
              </w:rPr>
              <w:t>J. Phys. Chem.</w:t>
            </w:r>
            <w:r w:rsidRPr="00C94ADB">
              <w:rPr>
                <w:rFonts w:ascii="Arial" w:hAnsi="Arial" w:cs="Arial"/>
                <w:noProof/>
                <w:sz w:val="14"/>
              </w:rPr>
              <w:t xml:space="preserve"> </w:t>
            </w:r>
            <w:r w:rsidRPr="00C94ADB">
              <w:rPr>
                <w:rFonts w:ascii="Arial" w:hAnsi="Arial" w:cs="Arial"/>
                <w:b/>
                <w:bCs/>
                <w:noProof/>
                <w:sz w:val="14"/>
              </w:rPr>
              <w:t>1991</w:t>
            </w:r>
            <w:r w:rsidRPr="00C94ADB">
              <w:rPr>
                <w:rFonts w:ascii="Arial" w:hAnsi="Arial" w:cs="Arial"/>
                <w:noProof/>
                <w:sz w:val="14"/>
              </w:rPr>
              <w:t xml:space="preserve">, </w:t>
            </w:r>
            <w:r w:rsidRPr="00C94ADB">
              <w:rPr>
                <w:rFonts w:ascii="Arial" w:hAnsi="Arial" w:cs="Arial"/>
                <w:i/>
                <w:iCs/>
                <w:noProof/>
                <w:sz w:val="14"/>
              </w:rPr>
              <w:t>95</w:t>
            </w:r>
            <w:r w:rsidRPr="00C94ADB">
              <w:rPr>
                <w:rFonts w:ascii="Arial" w:hAnsi="Arial" w:cs="Arial"/>
                <w:noProof/>
                <w:sz w:val="14"/>
              </w:rPr>
              <w:t>, 5802–5808.</w:t>
            </w:r>
          </w:p>
          <w:p w14:paraId="3430CA73"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[22]</w:t>
            </w:r>
            <w:r w:rsidRPr="00C94ADB">
              <w:rPr>
                <w:rFonts w:ascii="Arial" w:hAnsi="Arial" w:cs="Arial"/>
                <w:noProof/>
                <w:sz w:val="14"/>
              </w:rPr>
              <w:tab/>
              <w:t xml:space="preserve"> P. Guiglion, C. Butchosa, M. A. Zwijnenburg, </w:t>
            </w:r>
            <w:r w:rsidRPr="00C94ADB">
              <w:rPr>
                <w:rFonts w:ascii="Arial" w:hAnsi="Arial" w:cs="Arial"/>
                <w:i/>
                <w:iCs/>
                <w:noProof/>
                <w:sz w:val="14"/>
              </w:rPr>
              <w:t>J. Mater. Chem. A</w:t>
            </w:r>
            <w:r w:rsidRPr="00C94ADB">
              <w:rPr>
                <w:rFonts w:ascii="Arial" w:hAnsi="Arial" w:cs="Arial"/>
                <w:noProof/>
                <w:sz w:val="14"/>
              </w:rPr>
              <w:t xml:space="preserve"> </w:t>
            </w:r>
            <w:r w:rsidRPr="00C94ADB">
              <w:rPr>
                <w:rFonts w:ascii="Arial" w:hAnsi="Arial" w:cs="Arial"/>
                <w:b/>
                <w:bCs/>
                <w:noProof/>
                <w:sz w:val="14"/>
              </w:rPr>
              <w:t>2014</w:t>
            </w:r>
            <w:r w:rsidRPr="00C94ADB">
              <w:rPr>
                <w:rFonts w:ascii="Arial" w:hAnsi="Arial" w:cs="Arial"/>
                <w:noProof/>
                <w:sz w:val="14"/>
              </w:rPr>
              <w:t xml:space="preserve">, </w:t>
            </w:r>
            <w:r w:rsidRPr="00C94ADB">
              <w:rPr>
                <w:rFonts w:ascii="Arial" w:hAnsi="Arial" w:cs="Arial"/>
                <w:i/>
                <w:iCs/>
                <w:noProof/>
                <w:sz w:val="14"/>
              </w:rPr>
              <w:t>2</w:t>
            </w:r>
            <w:r w:rsidRPr="00C94ADB">
              <w:rPr>
                <w:rFonts w:ascii="Arial" w:hAnsi="Arial" w:cs="Arial"/>
                <w:noProof/>
                <w:sz w:val="14"/>
              </w:rPr>
              <w:t>, 11996.</w:t>
            </w:r>
          </w:p>
          <w:p w14:paraId="4ED3772B"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[23]</w:t>
            </w:r>
            <w:r w:rsidRPr="00C94ADB">
              <w:rPr>
                <w:rFonts w:ascii="Arial" w:hAnsi="Arial" w:cs="Arial"/>
                <w:noProof/>
                <w:sz w:val="14"/>
              </w:rPr>
              <w:tab/>
              <w:t xml:space="preserve"> C. Butchosa, P. Guiglion, M. a. Zwijnenburg, </w:t>
            </w:r>
            <w:r w:rsidRPr="00C94ADB">
              <w:rPr>
                <w:rFonts w:ascii="Arial" w:hAnsi="Arial" w:cs="Arial"/>
                <w:i/>
                <w:iCs/>
                <w:noProof/>
                <w:sz w:val="14"/>
              </w:rPr>
              <w:t>J. Phys. Chem. C</w:t>
            </w:r>
            <w:r w:rsidRPr="00C94ADB">
              <w:rPr>
                <w:rFonts w:ascii="Arial" w:hAnsi="Arial" w:cs="Arial"/>
                <w:noProof/>
                <w:sz w:val="14"/>
              </w:rPr>
              <w:t xml:space="preserve"> </w:t>
            </w:r>
            <w:r w:rsidRPr="00C94ADB">
              <w:rPr>
                <w:rFonts w:ascii="Arial" w:hAnsi="Arial" w:cs="Arial"/>
                <w:b/>
                <w:bCs/>
                <w:noProof/>
                <w:sz w:val="14"/>
              </w:rPr>
              <w:t>2014</w:t>
            </w:r>
            <w:r w:rsidRPr="00C94ADB">
              <w:rPr>
                <w:rFonts w:ascii="Arial" w:hAnsi="Arial" w:cs="Arial"/>
                <w:noProof/>
                <w:sz w:val="14"/>
              </w:rPr>
              <w:t xml:space="preserve">, </w:t>
            </w:r>
            <w:r w:rsidRPr="00C94ADB">
              <w:rPr>
                <w:rFonts w:ascii="Arial" w:hAnsi="Arial" w:cs="Arial"/>
                <w:i/>
                <w:iCs/>
                <w:noProof/>
                <w:sz w:val="14"/>
              </w:rPr>
              <w:t>118</w:t>
            </w:r>
            <w:r w:rsidRPr="00C94ADB">
              <w:rPr>
                <w:rFonts w:ascii="Arial" w:hAnsi="Arial" w:cs="Arial"/>
                <w:noProof/>
                <w:sz w:val="14"/>
              </w:rPr>
              <w:t>, 24833–24842.</w:t>
            </w:r>
          </w:p>
          <w:p w14:paraId="218F7AD9"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[24]</w:t>
            </w:r>
            <w:r w:rsidRPr="00C94ADB">
              <w:rPr>
                <w:rFonts w:ascii="Arial" w:hAnsi="Arial" w:cs="Arial"/>
                <w:noProof/>
                <w:sz w:val="14"/>
              </w:rPr>
              <w:tab/>
              <w:t xml:space="preserve"> L. Cuff, M. Kertesz, </w:t>
            </w:r>
            <w:r w:rsidRPr="00C94ADB">
              <w:rPr>
                <w:rFonts w:ascii="Arial" w:hAnsi="Arial" w:cs="Arial"/>
                <w:i/>
                <w:iCs/>
                <w:noProof/>
                <w:sz w:val="14"/>
              </w:rPr>
              <w:t>J. Phys. Chem.</w:t>
            </w:r>
            <w:r w:rsidRPr="00C94ADB">
              <w:rPr>
                <w:rFonts w:ascii="Arial" w:hAnsi="Arial" w:cs="Arial"/>
                <w:noProof/>
                <w:sz w:val="14"/>
              </w:rPr>
              <w:t xml:space="preserve"> </w:t>
            </w:r>
            <w:r w:rsidRPr="00C94ADB">
              <w:rPr>
                <w:rFonts w:ascii="Arial" w:hAnsi="Arial" w:cs="Arial"/>
                <w:b/>
                <w:bCs/>
                <w:noProof/>
                <w:sz w:val="14"/>
              </w:rPr>
              <w:t>1994</w:t>
            </w:r>
            <w:r w:rsidRPr="00C94ADB">
              <w:rPr>
                <w:rFonts w:ascii="Arial" w:hAnsi="Arial" w:cs="Arial"/>
                <w:noProof/>
                <w:sz w:val="14"/>
              </w:rPr>
              <w:t xml:space="preserve">, </w:t>
            </w:r>
            <w:r w:rsidRPr="00C94ADB">
              <w:rPr>
                <w:rFonts w:ascii="Arial" w:hAnsi="Arial" w:cs="Arial"/>
                <w:i/>
                <w:iCs/>
                <w:noProof/>
                <w:sz w:val="14"/>
              </w:rPr>
              <w:t>98</w:t>
            </w:r>
            <w:r w:rsidRPr="00C94ADB">
              <w:rPr>
                <w:rFonts w:ascii="Arial" w:hAnsi="Arial" w:cs="Arial"/>
                <w:noProof/>
                <w:sz w:val="14"/>
              </w:rPr>
              <w:t>, 12223–12231.</w:t>
            </w:r>
          </w:p>
          <w:p w14:paraId="1868A296"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[25]</w:t>
            </w:r>
            <w:r w:rsidRPr="00C94ADB">
              <w:rPr>
                <w:rFonts w:ascii="Arial" w:hAnsi="Arial" w:cs="Arial"/>
                <w:noProof/>
                <w:sz w:val="14"/>
              </w:rPr>
              <w:tab/>
              <w:t xml:space="preserve"> C. Schwarz, H. Bässler, I. Bauer, J.-M. Koenen, E. Preis, U. Scherf, A. Köhler, </w:t>
            </w:r>
            <w:r w:rsidRPr="00C94ADB">
              <w:rPr>
                <w:rFonts w:ascii="Arial" w:hAnsi="Arial" w:cs="Arial"/>
                <w:i/>
                <w:iCs/>
                <w:noProof/>
                <w:sz w:val="14"/>
              </w:rPr>
              <w:t>Adv. Mater.</w:t>
            </w:r>
            <w:r w:rsidRPr="00C94ADB">
              <w:rPr>
                <w:rFonts w:ascii="Arial" w:hAnsi="Arial" w:cs="Arial"/>
                <w:noProof/>
                <w:sz w:val="14"/>
              </w:rPr>
              <w:t xml:space="preserve"> </w:t>
            </w:r>
            <w:r w:rsidRPr="00C94ADB">
              <w:rPr>
                <w:rFonts w:ascii="Arial" w:hAnsi="Arial" w:cs="Arial"/>
                <w:b/>
                <w:bCs/>
                <w:noProof/>
                <w:sz w:val="14"/>
              </w:rPr>
              <w:t>2012</w:t>
            </w:r>
            <w:r w:rsidRPr="00C94ADB">
              <w:rPr>
                <w:rFonts w:ascii="Arial" w:hAnsi="Arial" w:cs="Arial"/>
                <w:noProof/>
                <w:sz w:val="14"/>
              </w:rPr>
              <w:t xml:space="preserve">, </w:t>
            </w:r>
            <w:r w:rsidRPr="00C94ADB">
              <w:rPr>
                <w:rFonts w:ascii="Arial" w:hAnsi="Arial" w:cs="Arial"/>
                <w:i/>
                <w:iCs/>
                <w:noProof/>
                <w:sz w:val="14"/>
              </w:rPr>
              <w:t>24</w:t>
            </w:r>
            <w:r w:rsidRPr="00C94ADB">
              <w:rPr>
                <w:rFonts w:ascii="Arial" w:hAnsi="Arial" w:cs="Arial"/>
                <w:noProof/>
                <w:sz w:val="14"/>
              </w:rPr>
              <w:t>, 922–925.</w:t>
            </w:r>
          </w:p>
          <w:p w14:paraId="01322079"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[26]</w:t>
            </w:r>
            <w:r w:rsidRPr="00C94ADB">
              <w:rPr>
                <w:rFonts w:ascii="Arial" w:hAnsi="Arial" w:cs="Arial"/>
                <w:noProof/>
                <w:sz w:val="14"/>
              </w:rPr>
              <w:tab/>
              <w:t xml:space="preserve"> C. Schwarz, S. Tscheuschner, J. Frisch, S. Winkler, N. Koch, H. Bässler, A. Köhler, </w:t>
            </w:r>
            <w:r w:rsidRPr="00C94ADB">
              <w:rPr>
                <w:rFonts w:ascii="Arial" w:hAnsi="Arial" w:cs="Arial"/>
                <w:i/>
                <w:iCs/>
                <w:noProof/>
                <w:sz w:val="14"/>
              </w:rPr>
              <w:t>Phys. Rev. B</w:t>
            </w:r>
            <w:r w:rsidRPr="00C94ADB">
              <w:rPr>
                <w:rFonts w:ascii="Arial" w:hAnsi="Arial" w:cs="Arial"/>
                <w:noProof/>
                <w:sz w:val="14"/>
              </w:rPr>
              <w:t xml:space="preserve"> </w:t>
            </w:r>
            <w:r w:rsidRPr="00C94ADB">
              <w:rPr>
                <w:rFonts w:ascii="Arial" w:hAnsi="Arial" w:cs="Arial"/>
                <w:b/>
                <w:bCs/>
                <w:noProof/>
                <w:sz w:val="14"/>
              </w:rPr>
              <w:t>2013</w:t>
            </w:r>
            <w:r w:rsidRPr="00C94ADB">
              <w:rPr>
                <w:rFonts w:ascii="Arial" w:hAnsi="Arial" w:cs="Arial"/>
                <w:noProof/>
                <w:sz w:val="14"/>
              </w:rPr>
              <w:t xml:space="preserve">, </w:t>
            </w:r>
            <w:r w:rsidRPr="00C94ADB">
              <w:rPr>
                <w:rFonts w:ascii="Arial" w:hAnsi="Arial" w:cs="Arial"/>
                <w:i/>
                <w:iCs/>
                <w:noProof/>
                <w:sz w:val="14"/>
              </w:rPr>
              <w:t>87</w:t>
            </w:r>
            <w:r w:rsidRPr="00C94ADB">
              <w:rPr>
                <w:rFonts w:ascii="Arial" w:hAnsi="Arial" w:cs="Arial"/>
                <w:noProof/>
                <w:sz w:val="14"/>
              </w:rPr>
              <w:t>, 155205.</w:t>
            </w:r>
          </w:p>
          <w:p w14:paraId="7B147C79"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[27]</w:t>
            </w:r>
            <w:r w:rsidRPr="00C94ADB">
              <w:rPr>
                <w:rFonts w:ascii="Arial" w:hAnsi="Arial" w:cs="Arial"/>
                <w:noProof/>
                <w:sz w:val="14"/>
              </w:rPr>
              <w:tab/>
              <w:t xml:space="preserve"> W. Zhang, J. Smith, R. Hamilton, M. Heeney, J. Kirkpatrick, K. Song, S. E. Watkins, T. Anthopoulos, I. McCulloch, </w:t>
            </w:r>
            <w:r w:rsidRPr="00C94ADB">
              <w:rPr>
                <w:rFonts w:ascii="Arial" w:hAnsi="Arial" w:cs="Arial"/>
                <w:i/>
                <w:iCs/>
                <w:noProof/>
                <w:sz w:val="14"/>
              </w:rPr>
              <w:t xml:space="preserve">J. Am. Chem. </w:t>
            </w:r>
            <w:r w:rsidRPr="00C94ADB">
              <w:rPr>
                <w:rFonts w:ascii="Arial" w:hAnsi="Arial" w:cs="Arial"/>
                <w:i/>
                <w:iCs/>
                <w:noProof/>
                <w:sz w:val="14"/>
              </w:rPr>
              <w:lastRenderedPageBreak/>
              <w:t>Soc.</w:t>
            </w:r>
            <w:r w:rsidRPr="00C94ADB">
              <w:rPr>
                <w:rFonts w:ascii="Arial" w:hAnsi="Arial" w:cs="Arial"/>
                <w:noProof/>
                <w:sz w:val="14"/>
              </w:rPr>
              <w:t xml:space="preserve"> </w:t>
            </w:r>
            <w:r w:rsidRPr="00C94ADB">
              <w:rPr>
                <w:rFonts w:ascii="Arial" w:hAnsi="Arial" w:cs="Arial"/>
                <w:b/>
                <w:bCs/>
                <w:noProof/>
                <w:sz w:val="14"/>
              </w:rPr>
              <w:t>2009</w:t>
            </w:r>
            <w:r w:rsidRPr="00C94ADB">
              <w:rPr>
                <w:rFonts w:ascii="Arial" w:hAnsi="Arial" w:cs="Arial"/>
                <w:noProof/>
                <w:sz w:val="14"/>
              </w:rPr>
              <w:t xml:space="preserve">, </w:t>
            </w:r>
            <w:r w:rsidRPr="00C94ADB">
              <w:rPr>
                <w:rFonts w:ascii="Arial" w:hAnsi="Arial" w:cs="Arial"/>
                <w:i/>
                <w:iCs/>
                <w:noProof/>
                <w:sz w:val="14"/>
              </w:rPr>
              <w:t>131</w:t>
            </w:r>
            <w:r w:rsidRPr="00C94ADB">
              <w:rPr>
                <w:rFonts w:ascii="Arial" w:hAnsi="Arial" w:cs="Arial"/>
                <w:noProof/>
                <w:sz w:val="14"/>
              </w:rPr>
              <w:t>, 10814–10815.</w:t>
            </w:r>
          </w:p>
          <w:p w14:paraId="5BF828D7"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[28]</w:t>
            </w:r>
            <w:r w:rsidRPr="00C94ADB">
              <w:rPr>
                <w:rFonts w:ascii="Arial" w:hAnsi="Arial" w:cs="Arial"/>
                <w:noProof/>
                <w:sz w:val="14"/>
              </w:rPr>
              <w:tab/>
              <w:t xml:space="preserve"> R. S. Sprick, M. Hoyos, M. S. Wrackmeyer, A. V. Sheridan Parry, I. M. Grace, C. Lambert, O. Navarro, M. L. Turner, </w:t>
            </w:r>
            <w:r w:rsidRPr="00C94ADB">
              <w:rPr>
                <w:rFonts w:ascii="Arial" w:hAnsi="Arial" w:cs="Arial"/>
                <w:i/>
                <w:iCs/>
                <w:noProof/>
                <w:sz w:val="14"/>
              </w:rPr>
              <w:t>J. Mater. Chem. C</w:t>
            </w:r>
            <w:r w:rsidRPr="00C94ADB">
              <w:rPr>
                <w:rFonts w:ascii="Arial" w:hAnsi="Arial" w:cs="Arial"/>
                <w:noProof/>
                <w:sz w:val="14"/>
              </w:rPr>
              <w:t xml:space="preserve"> </w:t>
            </w:r>
            <w:r w:rsidRPr="00C94ADB">
              <w:rPr>
                <w:rFonts w:ascii="Arial" w:hAnsi="Arial" w:cs="Arial"/>
                <w:b/>
                <w:bCs/>
                <w:noProof/>
                <w:sz w:val="14"/>
              </w:rPr>
              <w:t>2014</w:t>
            </w:r>
            <w:r w:rsidRPr="00C94ADB">
              <w:rPr>
                <w:rFonts w:ascii="Arial" w:hAnsi="Arial" w:cs="Arial"/>
                <w:noProof/>
                <w:sz w:val="14"/>
              </w:rPr>
              <w:t xml:space="preserve">, </w:t>
            </w:r>
            <w:r w:rsidRPr="00C94ADB">
              <w:rPr>
                <w:rFonts w:ascii="Arial" w:hAnsi="Arial" w:cs="Arial"/>
                <w:i/>
                <w:iCs/>
                <w:noProof/>
                <w:sz w:val="14"/>
              </w:rPr>
              <w:t>2</w:t>
            </w:r>
            <w:r w:rsidRPr="00C94ADB">
              <w:rPr>
                <w:rFonts w:ascii="Arial" w:hAnsi="Arial" w:cs="Arial"/>
                <w:noProof/>
                <w:sz w:val="14"/>
              </w:rPr>
              <w:t>, 6520.</w:t>
            </w:r>
          </w:p>
          <w:p w14:paraId="5A43A149"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[29]</w:t>
            </w:r>
            <w:r w:rsidRPr="00C94ADB">
              <w:rPr>
                <w:rFonts w:ascii="Arial" w:hAnsi="Arial" w:cs="Arial"/>
                <w:noProof/>
                <w:sz w:val="14"/>
              </w:rPr>
              <w:tab/>
              <w:t xml:space="preserve"> M. Schwarze, D. Stellmach, M. Schröder, K. Kailasam, R. Reske, A. Thomas, R. Schomäcker, </w:t>
            </w:r>
            <w:r w:rsidRPr="00C94ADB">
              <w:rPr>
                <w:rFonts w:ascii="Arial" w:hAnsi="Arial" w:cs="Arial"/>
                <w:i/>
                <w:iCs/>
                <w:noProof/>
                <w:sz w:val="14"/>
              </w:rPr>
              <w:t>Phys. Chem. Chem. Phys.</w:t>
            </w:r>
            <w:r w:rsidRPr="00C94ADB">
              <w:rPr>
                <w:rFonts w:ascii="Arial" w:hAnsi="Arial" w:cs="Arial"/>
                <w:noProof/>
                <w:sz w:val="14"/>
              </w:rPr>
              <w:t xml:space="preserve"> </w:t>
            </w:r>
            <w:r w:rsidRPr="00C94ADB">
              <w:rPr>
                <w:rFonts w:ascii="Arial" w:hAnsi="Arial" w:cs="Arial"/>
                <w:b/>
                <w:bCs/>
                <w:noProof/>
                <w:sz w:val="14"/>
              </w:rPr>
              <w:t>2013</w:t>
            </w:r>
            <w:r w:rsidRPr="00C94ADB">
              <w:rPr>
                <w:rFonts w:ascii="Arial" w:hAnsi="Arial" w:cs="Arial"/>
                <w:noProof/>
                <w:sz w:val="14"/>
              </w:rPr>
              <w:t xml:space="preserve">, </w:t>
            </w:r>
            <w:r w:rsidRPr="00C94ADB">
              <w:rPr>
                <w:rFonts w:ascii="Arial" w:hAnsi="Arial" w:cs="Arial"/>
                <w:i/>
                <w:iCs/>
                <w:noProof/>
                <w:sz w:val="14"/>
              </w:rPr>
              <w:t>15</w:t>
            </w:r>
            <w:r w:rsidRPr="00C94ADB">
              <w:rPr>
                <w:rFonts w:ascii="Arial" w:hAnsi="Arial" w:cs="Arial"/>
                <w:noProof/>
                <w:sz w:val="14"/>
              </w:rPr>
              <w:t>, 3466.</w:t>
            </w:r>
          </w:p>
          <w:p w14:paraId="6F8F5DE9"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[30]</w:t>
            </w:r>
            <w:r w:rsidRPr="00C94ADB">
              <w:rPr>
                <w:rFonts w:ascii="Arial" w:hAnsi="Arial" w:cs="Arial"/>
                <w:noProof/>
                <w:sz w:val="14"/>
              </w:rPr>
              <w:tab/>
              <w:t xml:space="preserve"> K. Erdmann, W. Czerwinski, B. C. Gerstein, M. Pruski, </w:t>
            </w:r>
            <w:r w:rsidRPr="00C94ADB">
              <w:rPr>
                <w:rFonts w:ascii="Arial" w:hAnsi="Arial" w:cs="Arial"/>
                <w:i/>
                <w:iCs/>
                <w:noProof/>
                <w:sz w:val="14"/>
              </w:rPr>
              <w:t>J. Polym. Sci. Part B Polym. Phys.</w:t>
            </w:r>
            <w:r w:rsidRPr="00C94ADB">
              <w:rPr>
                <w:rFonts w:ascii="Arial" w:hAnsi="Arial" w:cs="Arial"/>
                <w:noProof/>
                <w:sz w:val="14"/>
              </w:rPr>
              <w:t xml:space="preserve"> </w:t>
            </w:r>
            <w:r w:rsidRPr="00C94ADB">
              <w:rPr>
                <w:rFonts w:ascii="Arial" w:hAnsi="Arial" w:cs="Arial"/>
                <w:b/>
                <w:bCs/>
                <w:noProof/>
                <w:sz w:val="14"/>
              </w:rPr>
              <w:t>1994</w:t>
            </w:r>
            <w:r w:rsidRPr="00C94ADB">
              <w:rPr>
                <w:rFonts w:ascii="Arial" w:hAnsi="Arial" w:cs="Arial"/>
                <w:noProof/>
                <w:sz w:val="14"/>
              </w:rPr>
              <w:t xml:space="preserve">, </w:t>
            </w:r>
            <w:r w:rsidRPr="00C94ADB">
              <w:rPr>
                <w:rFonts w:ascii="Arial" w:hAnsi="Arial" w:cs="Arial"/>
                <w:i/>
                <w:iCs/>
                <w:noProof/>
                <w:sz w:val="14"/>
              </w:rPr>
              <w:t>32</w:t>
            </w:r>
            <w:r w:rsidRPr="00C94ADB">
              <w:rPr>
                <w:rFonts w:ascii="Arial" w:hAnsi="Arial" w:cs="Arial"/>
                <w:noProof/>
                <w:sz w:val="14"/>
              </w:rPr>
              <w:t>, 1961–1968.</w:t>
            </w:r>
          </w:p>
          <w:p w14:paraId="6A129F2A"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[31]</w:t>
            </w:r>
            <w:r w:rsidRPr="00C94ADB">
              <w:rPr>
                <w:rFonts w:ascii="Arial" w:hAnsi="Arial" w:cs="Arial"/>
                <w:noProof/>
                <w:sz w:val="14"/>
              </w:rPr>
              <w:tab/>
              <w:t xml:space="preserve"> E. J. . List, M. Gaal, R. Guentner, P. S. de Freitas, U. Scherf, </w:t>
            </w:r>
            <w:r w:rsidRPr="00C94ADB">
              <w:rPr>
                <w:rFonts w:ascii="Arial" w:hAnsi="Arial" w:cs="Arial"/>
                <w:i/>
                <w:iCs/>
                <w:noProof/>
                <w:sz w:val="14"/>
              </w:rPr>
              <w:t>Synth. Met.</w:t>
            </w:r>
            <w:r w:rsidRPr="00C94ADB">
              <w:rPr>
                <w:rFonts w:ascii="Arial" w:hAnsi="Arial" w:cs="Arial"/>
                <w:noProof/>
                <w:sz w:val="14"/>
              </w:rPr>
              <w:t xml:space="preserve"> </w:t>
            </w:r>
            <w:r w:rsidRPr="00C94ADB">
              <w:rPr>
                <w:rFonts w:ascii="Arial" w:hAnsi="Arial" w:cs="Arial"/>
                <w:b/>
                <w:bCs/>
                <w:noProof/>
                <w:sz w:val="14"/>
              </w:rPr>
              <w:t>2003</w:t>
            </w:r>
            <w:r w:rsidRPr="00C94ADB">
              <w:rPr>
                <w:rFonts w:ascii="Arial" w:hAnsi="Arial" w:cs="Arial"/>
                <w:noProof/>
                <w:sz w:val="14"/>
              </w:rPr>
              <w:t xml:space="preserve">, </w:t>
            </w:r>
            <w:r w:rsidRPr="00C94ADB">
              <w:rPr>
                <w:rFonts w:ascii="Arial" w:hAnsi="Arial" w:cs="Arial"/>
                <w:i/>
                <w:iCs/>
                <w:noProof/>
                <w:sz w:val="14"/>
              </w:rPr>
              <w:t>139</w:t>
            </w:r>
            <w:r w:rsidRPr="00C94ADB">
              <w:rPr>
                <w:rFonts w:ascii="Arial" w:hAnsi="Arial" w:cs="Arial"/>
                <w:noProof/>
                <w:sz w:val="14"/>
              </w:rPr>
              <w:t>, 759–763.</w:t>
            </w:r>
          </w:p>
          <w:p w14:paraId="67710145"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[32]</w:t>
            </w:r>
            <w:r w:rsidRPr="00C94ADB">
              <w:rPr>
                <w:rFonts w:ascii="Arial" w:hAnsi="Arial" w:cs="Arial"/>
                <w:noProof/>
                <w:sz w:val="14"/>
              </w:rPr>
              <w:tab/>
              <w:t xml:space="preserve"> K. Yoshinob, </w:t>
            </w:r>
            <w:r w:rsidRPr="00C94ADB">
              <w:rPr>
                <w:rFonts w:ascii="Arial" w:hAnsi="Arial" w:cs="Arial"/>
                <w:i/>
                <w:iCs/>
                <w:noProof/>
                <w:sz w:val="14"/>
              </w:rPr>
              <w:t>J. Chem. Soc. Chem. Commun.</w:t>
            </w:r>
            <w:r w:rsidRPr="00C94ADB">
              <w:rPr>
                <w:rFonts w:ascii="Arial" w:hAnsi="Arial" w:cs="Arial"/>
                <w:noProof/>
                <w:sz w:val="14"/>
              </w:rPr>
              <w:t xml:space="preserve"> </w:t>
            </w:r>
            <w:r w:rsidRPr="00C94ADB">
              <w:rPr>
                <w:rFonts w:ascii="Arial" w:hAnsi="Arial" w:cs="Arial"/>
                <w:b/>
                <w:bCs/>
                <w:noProof/>
                <w:sz w:val="14"/>
              </w:rPr>
              <w:t>1985</w:t>
            </w:r>
            <w:r w:rsidRPr="00C94ADB">
              <w:rPr>
                <w:rFonts w:ascii="Arial" w:hAnsi="Arial" w:cs="Arial"/>
                <w:noProof/>
                <w:sz w:val="14"/>
              </w:rPr>
              <w:t>, 474–475.</w:t>
            </w:r>
          </w:p>
          <w:p w14:paraId="754AAD4C" w14:textId="77777777" w:rsidR="00D64F2D" w:rsidRPr="00C94ADB" w:rsidRDefault="00D64F2D" w:rsidP="00D64F2D">
            <w:pPr>
              <w:widowControl w:val="0"/>
              <w:autoSpaceDE w:val="0"/>
              <w:autoSpaceDN w:val="0"/>
              <w:adjustRightInd w:val="0"/>
              <w:spacing w:after="120"/>
              <w:ind w:left="640" w:hanging="640"/>
              <w:rPr>
                <w:rFonts w:ascii="Arial" w:hAnsi="Arial" w:cs="Arial"/>
                <w:noProof/>
                <w:sz w:val="14"/>
              </w:rPr>
            </w:pPr>
            <w:r w:rsidRPr="00C94ADB">
              <w:rPr>
                <w:rFonts w:ascii="Arial" w:hAnsi="Arial" w:cs="Arial"/>
                <w:noProof/>
                <w:sz w:val="14"/>
              </w:rPr>
              <w:t>[33]</w:t>
            </w:r>
            <w:r w:rsidRPr="00C94ADB">
              <w:rPr>
                <w:rFonts w:ascii="Arial" w:hAnsi="Arial" w:cs="Arial"/>
                <w:noProof/>
                <w:sz w:val="14"/>
              </w:rPr>
              <w:tab/>
              <w:t xml:space="preserve"> S. Yanagida, T. Ogata, Y. Kuwana, Y. Wada, K. Murakoshi, A. Ishida, S. Takamuku, M. Kusaba, N. Nakashima, </w:t>
            </w:r>
            <w:r w:rsidRPr="00C94ADB">
              <w:rPr>
                <w:rFonts w:ascii="Arial" w:hAnsi="Arial" w:cs="Arial"/>
                <w:i/>
                <w:iCs/>
                <w:noProof/>
                <w:sz w:val="14"/>
              </w:rPr>
              <w:t>J. Chem. Soc. Perkin Trans. 2</w:t>
            </w:r>
            <w:r w:rsidRPr="00C94ADB">
              <w:rPr>
                <w:rFonts w:ascii="Arial" w:hAnsi="Arial" w:cs="Arial"/>
                <w:noProof/>
                <w:sz w:val="14"/>
              </w:rPr>
              <w:t xml:space="preserve"> </w:t>
            </w:r>
            <w:r w:rsidRPr="00C94ADB">
              <w:rPr>
                <w:rFonts w:ascii="Arial" w:hAnsi="Arial" w:cs="Arial"/>
                <w:b/>
                <w:bCs/>
                <w:noProof/>
                <w:sz w:val="14"/>
              </w:rPr>
              <w:t>1996</w:t>
            </w:r>
            <w:r w:rsidRPr="00C94ADB">
              <w:rPr>
                <w:rFonts w:ascii="Arial" w:hAnsi="Arial" w:cs="Arial"/>
                <w:noProof/>
                <w:sz w:val="14"/>
              </w:rPr>
              <w:t xml:space="preserve">, </w:t>
            </w:r>
            <w:r w:rsidRPr="00C94ADB">
              <w:rPr>
                <w:rFonts w:ascii="Arial" w:hAnsi="Arial" w:cs="Arial"/>
                <w:i/>
                <w:iCs/>
                <w:noProof/>
                <w:sz w:val="14"/>
              </w:rPr>
              <w:t>1</w:t>
            </w:r>
            <w:r w:rsidRPr="00C94ADB">
              <w:rPr>
                <w:rFonts w:ascii="Arial" w:hAnsi="Arial" w:cs="Arial"/>
                <w:noProof/>
                <w:sz w:val="14"/>
              </w:rPr>
              <w:t>, 1963.</w:t>
            </w:r>
          </w:p>
          <w:p w14:paraId="4CE738C4" w14:textId="77777777" w:rsidR="009F7243" w:rsidRPr="00C94ADB" w:rsidRDefault="009F7243" w:rsidP="00D64F2D">
            <w:pPr>
              <w:pStyle w:val="References"/>
              <w:ind w:left="0" w:firstLine="0"/>
              <w:rPr>
                <w:rFonts w:cs="Arial"/>
              </w:rPr>
            </w:pPr>
          </w:p>
        </w:tc>
      </w:tr>
      <w:tr w:rsidR="00044883" w:rsidRPr="00C94ADB" w14:paraId="19D16A9B" w14:textId="77777777" w:rsidTr="005D35A9">
        <w:tc>
          <w:tcPr>
            <w:tcW w:w="5091" w:type="dxa"/>
            <w:gridSpan w:val="5"/>
            <w:tcBorders>
              <w:top w:val="single" w:sz="8" w:space="0" w:color="000000"/>
            </w:tcBorders>
          </w:tcPr>
          <w:p w14:paraId="1BA165F7" w14:textId="77777777" w:rsidR="00044883" w:rsidRPr="00C94ADB" w:rsidRDefault="00044883" w:rsidP="00D64F2D">
            <w:pPr>
              <w:widowControl w:val="0"/>
              <w:autoSpaceDE w:val="0"/>
              <w:autoSpaceDN w:val="0"/>
              <w:adjustRightInd w:val="0"/>
              <w:spacing w:after="140" w:line="288" w:lineRule="auto"/>
              <w:rPr>
                <w:rFonts w:cs="Arial"/>
              </w:rPr>
            </w:pPr>
          </w:p>
        </w:tc>
      </w:tr>
    </w:tbl>
    <w:p w14:paraId="11F386CA" w14:textId="77777777" w:rsidR="00774D52" w:rsidRPr="00C94ADB" w:rsidRDefault="00774D52" w:rsidP="001B1764">
      <w:pPr>
        <w:pStyle w:val="References"/>
        <w:ind w:left="0" w:firstLine="0"/>
        <w:sectPr w:rsidR="00774D52" w:rsidRPr="00C94ADB" w:rsidSect="000D37AC">
          <w:type w:val="continuous"/>
          <w:pgSz w:w="11906" w:h="16838" w:code="9"/>
          <w:pgMar w:top="1673" w:right="936" w:bottom="1134" w:left="936" w:header="709" w:footer="709" w:gutter="0"/>
          <w:cols w:num="2" w:space="284"/>
          <w:docGrid w:linePitch="360"/>
        </w:sectPr>
      </w:pPr>
    </w:p>
    <w:p w14:paraId="4686BBFD" w14:textId="77777777" w:rsidR="00773C4B" w:rsidRPr="00C94ADB" w:rsidRDefault="00773C4B" w:rsidP="00773C4B">
      <w:pPr>
        <w:rPr>
          <w:rFonts w:ascii="Arial" w:hAnsi="Arial" w:cs="Arial"/>
          <w:bCs/>
          <w:lang w:val="en-GB"/>
        </w:rPr>
        <w:sectPr w:rsidR="00773C4B" w:rsidRPr="00C94ADB" w:rsidSect="000D37AC">
          <w:type w:val="continuous"/>
          <w:pgSz w:w="11906" w:h="16838" w:code="9"/>
          <w:pgMar w:top="1134" w:right="936" w:bottom="1134" w:left="936" w:header="1021" w:footer="0" w:gutter="0"/>
          <w:cols w:num="2" w:space="284"/>
          <w:docGrid w:linePitch="360"/>
        </w:sectPr>
      </w:pPr>
    </w:p>
    <w:p w14:paraId="39E6B320" w14:textId="77777777" w:rsidR="00773C4B" w:rsidRPr="00C94ADB" w:rsidRDefault="00773C4B" w:rsidP="00773C4B">
      <w:pPr>
        <w:rPr>
          <w:rFonts w:ascii="Arial" w:hAnsi="Arial" w:cs="Arial"/>
          <w:bCs/>
          <w:lang w:val="en-GB"/>
        </w:rPr>
      </w:pPr>
    </w:p>
    <w:tbl>
      <w:tblPr>
        <w:tblW w:w="10093" w:type="dxa"/>
        <w:tblLayout w:type="fixed"/>
        <w:tblLook w:val="01E0" w:firstRow="1" w:lastRow="1" w:firstColumn="1" w:lastColumn="1" w:noHBand="0" w:noVBand="0"/>
      </w:tblPr>
      <w:tblGrid>
        <w:gridCol w:w="6520"/>
        <w:gridCol w:w="284"/>
        <w:gridCol w:w="3289"/>
      </w:tblGrid>
      <w:tr w:rsidR="00A8458D" w:rsidRPr="00C94ADB" w14:paraId="625477C5" w14:textId="77777777" w:rsidTr="00A968D0">
        <w:trPr>
          <w:trHeight w:val="340"/>
        </w:trPr>
        <w:tc>
          <w:tcPr>
            <w:tcW w:w="6520" w:type="dxa"/>
            <w:vMerge w:val="restart"/>
            <w:tcBorders>
              <w:top w:val="single" w:sz="36" w:space="0" w:color="BFBFBF"/>
            </w:tcBorders>
            <w:shd w:val="clear" w:color="auto" w:fill="auto"/>
          </w:tcPr>
          <w:p w14:paraId="6272A0C6" w14:textId="77777777" w:rsidR="00A8458D" w:rsidRPr="00C94ADB" w:rsidRDefault="00142F1E" w:rsidP="003B6C60">
            <w:pPr>
              <w:pStyle w:val="TableOfContentText"/>
              <w:spacing w:before="1680"/>
              <w:rPr>
                <w:rFonts w:cs="Arial"/>
                <w:color w:val="auto"/>
              </w:rPr>
            </w:pPr>
            <w:r w:rsidRPr="00C94ADB">
              <w:rPr>
                <w:rFonts w:cs="Arial"/>
                <w:noProof/>
                <w:color w:val="auto"/>
                <w:lang w:val="en-US" w:eastAsia="en-US"/>
              </w:rPr>
              <mc:AlternateContent>
                <mc:Choice Requires="wps">
                  <w:drawing>
                    <wp:anchor distT="0" distB="0" distL="114300" distR="114300" simplePos="0" relativeHeight="251658752" behindDoc="0" locked="0" layoutInCell="1" allowOverlap="1" wp14:anchorId="1717DFA0" wp14:editId="09EAAA4F">
                      <wp:simplePos x="0" y="0"/>
                      <wp:positionH relativeFrom="column">
                        <wp:posOffset>-73660</wp:posOffset>
                      </wp:positionH>
                      <wp:positionV relativeFrom="paragraph">
                        <wp:posOffset>278765</wp:posOffset>
                      </wp:positionV>
                      <wp:extent cx="4140200" cy="2057400"/>
                      <wp:effectExtent l="0" t="0" r="0" b="0"/>
                      <wp:wrapNone/>
                      <wp:docPr id="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205740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A7367" w14:textId="77777777" w:rsidR="00CD5D29" w:rsidRPr="006F5ABC" w:rsidRDefault="00CD5D29" w:rsidP="00A8458D">
                                  <w:pPr>
                                    <w:spacing w:before="360"/>
                                    <w:jc w:val="center"/>
                                    <w:rPr>
                                      <w:sz w:val="18"/>
                                    </w:rPr>
                                  </w:pPr>
                                  <w:r w:rsidRPr="001B1764">
                                    <w:rPr>
                                      <w:noProof/>
                                      <w:sz w:val="18"/>
                                      <w:lang w:val="en-US" w:eastAsia="en-US"/>
                                    </w:rPr>
                                    <w:drawing>
                                      <wp:inline distT="0" distB="0" distL="0" distR="0" wp14:anchorId="7B0E1B15" wp14:editId="6731EA90">
                                        <wp:extent cx="4067810" cy="128460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_ACIE.tif"/>
                                                <pic:cNvPicPr/>
                                              </pic:nvPicPr>
                                              <pic:blipFill>
                                                <a:blip r:embed="rId17">
                                                  <a:extLst>
                                                    <a:ext uri="{28A0092B-C50C-407E-A947-70E740481C1C}">
                                                      <a14:useLocalDpi xmlns:a14="http://schemas.microsoft.com/office/drawing/2010/main" val="0"/>
                                                    </a:ext>
                                                  </a:extLst>
                                                </a:blip>
                                                <a:stretch>
                                                  <a:fillRect/>
                                                </a:stretch>
                                              </pic:blipFill>
                                              <pic:spPr>
                                                <a:xfrm>
                                                  <a:off x="0" y="0"/>
                                                  <a:ext cx="4067810" cy="1284605"/>
                                                </a:xfrm>
                                                <a:prstGeom prst="rect">
                                                  <a:avLst/>
                                                </a:prstGeom>
                                              </pic:spPr>
                                            </pic:pic>
                                          </a:graphicData>
                                        </a:graphic>
                                      </wp:inline>
                                    </w:drawing>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7" style="position:absolute;margin-left:-5.75pt;margin-top:21.95pt;width:326pt;height:1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" fillcolor="#eaeaea" stroked="f">
                      <v:textbox inset="1mm,1mm,1mm,1mm">
                        <w:txbxContent>
                          <w:p w14:paraId="181A7367" w14:textId="77777777" w:rsidR="00CD5D29" w:rsidRPr="006F5ABC" w:rsidRDefault="00CD5D29" w:rsidP="00A8458D">
                            <w:pPr>
                              <w:spacing w:before="360"/>
                              <w:jc w:val="center"/>
                              <w:rPr>
                                <w:sz w:val="18"/>
                              </w:rPr>
                            </w:pPr>
                            <w:r w:rsidRPr="001B1764">
                              <w:rPr>
                                <w:noProof/>
                                <w:sz w:val="18"/>
                                <w:lang w:val="en-US" w:eastAsia="en-US"/>
                              </w:rPr>
                              <w:drawing>
                                <wp:inline distT="0" distB="0" distL="0" distR="0" wp14:anchorId="7B0E1B15" wp14:editId="6731EA90">
                                  <wp:extent cx="4067810" cy="128460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_ACIE.tif"/>
                                          <pic:cNvPicPr/>
                                        </pic:nvPicPr>
                                        <pic:blipFill>
                                          <a:blip r:embed="rId17">
                                            <a:extLst>
                                              <a:ext uri="{28A0092B-C50C-407E-A947-70E740481C1C}">
                                                <a14:useLocalDpi xmlns:a14="http://schemas.microsoft.com/office/drawing/2010/main" val="0"/>
                                              </a:ext>
                                            </a:extLst>
                                          </a:blip>
                                          <a:stretch>
                                            <a:fillRect/>
                                          </a:stretch>
                                        </pic:blipFill>
                                        <pic:spPr>
                                          <a:xfrm>
                                            <a:off x="0" y="0"/>
                                            <a:ext cx="4067810" cy="1284605"/>
                                          </a:xfrm>
                                          <a:prstGeom prst="rect">
                                            <a:avLst/>
                                          </a:prstGeom>
                                        </pic:spPr>
                                      </pic:pic>
                                    </a:graphicData>
                                  </a:graphic>
                                </wp:inline>
                              </w:drawing>
                            </w:r>
                          </w:p>
                        </w:txbxContent>
                      </v:textbox>
                    </v:rect>
                  </w:pict>
                </mc:Fallback>
              </mc:AlternateContent>
            </w:r>
            <w:r w:rsidR="00A8458D" w:rsidRPr="00C94ADB">
              <w:rPr>
                <w:rFonts w:cs="Arial"/>
                <w:color w:val="auto"/>
              </w:rPr>
              <w:t>Text for Table of Contents</w:t>
            </w:r>
          </w:p>
        </w:tc>
        <w:tc>
          <w:tcPr>
            <w:tcW w:w="284" w:type="dxa"/>
            <w:tcBorders>
              <w:top w:val="single" w:sz="36" w:space="0" w:color="BFBFBF"/>
            </w:tcBorders>
            <w:shd w:val="clear" w:color="auto" w:fill="auto"/>
          </w:tcPr>
          <w:p w14:paraId="628EB713" w14:textId="77777777" w:rsidR="00A8458D" w:rsidRPr="00C94ADB" w:rsidRDefault="00A8458D" w:rsidP="003B6C60">
            <w:pPr>
              <w:rPr>
                <w:rFonts w:ascii="Arial" w:hAnsi="Arial" w:cs="Arial"/>
                <w:lang w:val="en-GB"/>
              </w:rPr>
            </w:pPr>
          </w:p>
        </w:tc>
        <w:tc>
          <w:tcPr>
            <w:tcW w:w="3289" w:type="dxa"/>
            <w:vMerge w:val="restart"/>
            <w:tcBorders>
              <w:top w:val="single" w:sz="36" w:space="0" w:color="BFBFBF"/>
            </w:tcBorders>
            <w:shd w:val="clear" w:color="auto" w:fill="auto"/>
          </w:tcPr>
          <w:p w14:paraId="18124A5E" w14:textId="77777777" w:rsidR="00A8458D" w:rsidRPr="00C94ADB" w:rsidRDefault="005D35A9" w:rsidP="003B6C60">
            <w:pPr>
              <w:pStyle w:val="AuthorsTOC"/>
              <w:rPr>
                <w:rFonts w:cs="Arial"/>
                <w:vertAlign w:val="superscript"/>
                <w:lang w:val="de-DE"/>
              </w:rPr>
            </w:pPr>
            <w:r w:rsidRPr="00C94ADB">
              <w:rPr>
                <w:rFonts w:cs="Arial"/>
                <w:lang w:val="de-DE"/>
              </w:rPr>
              <w:t>Reiner Sebastian Sprick, Baltasar Bonillo, Rob Clowes,</w:t>
            </w:r>
            <w:r w:rsidRPr="00C94ADB">
              <w:rPr>
                <w:rFonts w:cs="Arial"/>
                <w:vertAlign w:val="superscript"/>
                <w:lang w:val="de-DE"/>
              </w:rPr>
              <w:t xml:space="preserve"> </w:t>
            </w:r>
            <w:r w:rsidRPr="00C94ADB">
              <w:rPr>
                <w:rFonts w:cs="Arial"/>
                <w:lang w:val="de-DE"/>
              </w:rPr>
              <w:t>Pierre Guiglion,</w:t>
            </w:r>
            <w:r w:rsidR="007E44F1" w:rsidRPr="00C94ADB">
              <w:rPr>
                <w:rFonts w:cs="Arial"/>
                <w:lang w:val="de-DE"/>
              </w:rPr>
              <w:t xml:space="preserve"> Nick </w:t>
            </w:r>
            <w:r w:rsidR="00444A43" w:rsidRPr="00C94ADB">
              <w:rPr>
                <w:rFonts w:cs="Arial"/>
                <w:lang w:val="de-DE"/>
              </w:rPr>
              <w:t xml:space="preserve">J. </w:t>
            </w:r>
            <w:r w:rsidR="007E44F1" w:rsidRPr="00C94ADB">
              <w:rPr>
                <w:rFonts w:cs="Arial"/>
                <w:lang w:val="de-DE"/>
              </w:rPr>
              <w:t>Brownbill, Benjamin J. Slater, Fr</w:t>
            </w:r>
            <w:r w:rsidR="00444A43" w:rsidRPr="00C94ADB">
              <w:rPr>
                <w:rFonts w:cs="Arial"/>
                <w:lang w:val="de-DE"/>
              </w:rPr>
              <w:t>é</w:t>
            </w:r>
            <w:r w:rsidR="007E44F1" w:rsidRPr="00C94ADB">
              <w:rPr>
                <w:rFonts w:cs="Arial"/>
                <w:lang w:val="de-DE"/>
              </w:rPr>
              <w:t>d</w:t>
            </w:r>
            <w:r w:rsidR="00444A43" w:rsidRPr="00C94ADB">
              <w:rPr>
                <w:rFonts w:cs="Arial"/>
                <w:lang w:val="de-DE"/>
              </w:rPr>
              <w:t>é</w:t>
            </w:r>
            <w:r w:rsidR="007E44F1" w:rsidRPr="00C94ADB">
              <w:rPr>
                <w:rFonts w:cs="Arial"/>
                <w:lang w:val="de-DE"/>
              </w:rPr>
              <w:t>ric Blanc,</w:t>
            </w:r>
            <w:r w:rsidRPr="00C94ADB">
              <w:rPr>
                <w:rFonts w:cs="Arial"/>
                <w:lang w:val="de-DE"/>
              </w:rPr>
              <w:t xml:space="preserve"> Martijn A. Zwijnenburg, Dave J. Adams,</w:t>
            </w:r>
            <w:r w:rsidRPr="00C94ADB">
              <w:rPr>
                <w:rFonts w:cs="Arial"/>
                <w:vertAlign w:val="superscript"/>
                <w:lang w:val="de-DE"/>
              </w:rPr>
              <w:t>*</w:t>
            </w:r>
            <w:r w:rsidRPr="00C94ADB">
              <w:rPr>
                <w:rFonts w:cs="Arial"/>
                <w:lang w:val="de-DE"/>
              </w:rPr>
              <w:t xml:space="preserve"> and Andrew I. Cooper</w:t>
            </w:r>
            <w:r w:rsidRPr="00C94ADB">
              <w:rPr>
                <w:rFonts w:cs="Arial"/>
                <w:vertAlign w:val="superscript"/>
                <w:lang w:val="de-DE"/>
              </w:rPr>
              <w:t>*</w:t>
            </w:r>
          </w:p>
          <w:p w14:paraId="10BBB24C" w14:textId="77777777" w:rsidR="00A8458D" w:rsidRPr="00C94ADB" w:rsidRDefault="00A8458D" w:rsidP="003B6C60">
            <w:pPr>
              <w:pStyle w:val="PageNumbers"/>
              <w:rPr>
                <w:rFonts w:cs="Arial"/>
                <w:lang w:val="en-GB"/>
              </w:rPr>
            </w:pPr>
            <w:r w:rsidRPr="00C94ADB">
              <w:rPr>
                <w:rFonts w:cs="Arial"/>
                <w:lang w:val="en-GB"/>
              </w:rPr>
              <w:t>Page No. – Page No.</w:t>
            </w:r>
          </w:p>
          <w:p w14:paraId="0BB3BF4A" w14:textId="15CAE833" w:rsidR="00A8458D" w:rsidRPr="00C94ADB" w:rsidRDefault="005D35A9" w:rsidP="003B6C60">
            <w:pPr>
              <w:pStyle w:val="TitleTOC"/>
              <w:framePr w:hSpace="141" w:wrap="around" w:vAnchor="page" w:hAnchor="margin" w:y="1504"/>
              <w:rPr>
                <w:rFonts w:cs="Arial"/>
              </w:rPr>
            </w:pPr>
            <w:r w:rsidRPr="00C94ADB">
              <w:rPr>
                <w:rFonts w:cs="Arial"/>
                <w:lang w:val="en-US"/>
              </w:rPr>
              <w:t xml:space="preserve">Visible Light-Driven </w:t>
            </w:r>
            <w:r w:rsidR="002A6B7C">
              <w:rPr>
                <w:rFonts w:cs="Arial"/>
                <w:lang w:val="en-US"/>
              </w:rPr>
              <w:t>Hydrogen Evolution</w:t>
            </w:r>
            <w:bookmarkStart w:id="0" w:name="_GoBack"/>
            <w:bookmarkEnd w:id="0"/>
            <w:r w:rsidRPr="00C94ADB">
              <w:rPr>
                <w:rFonts w:cs="Arial"/>
                <w:lang w:val="en-US"/>
              </w:rPr>
              <w:t xml:space="preserve"> Using Planarized Conjugated Polymer Photocatalysts</w:t>
            </w:r>
          </w:p>
          <w:p w14:paraId="09BE3DC6" w14:textId="77777777" w:rsidR="00A8458D" w:rsidRPr="00C94ADB" w:rsidRDefault="00A8458D" w:rsidP="003B6C60">
            <w:pPr>
              <w:framePr w:hSpace="141" w:wrap="around" w:vAnchor="page" w:hAnchor="margin" w:y="1504"/>
              <w:rPr>
                <w:rFonts w:ascii="Arial" w:hAnsi="Arial" w:cs="Arial"/>
                <w:lang w:val="en-GB"/>
              </w:rPr>
            </w:pPr>
          </w:p>
        </w:tc>
      </w:tr>
      <w:tr w:rsidR="00A8458D" w:rsidRPr="00C94ADB" w14:paraId="2BBEBFB0" w14:textId="77777777" w:rsidTr="003B6C60">
        <w:trPr>
          <w:trHeight w:hRule="exact" w:val="2722"/>
        </w:trPr>
        <w:tc>
          <w:tcPr>
            <w:tcW w:w="6520" w:type="dxa"/>
            <w:vMerge/>
            <w:shd w:val="clear" w:color="auto" w:fill="auto"/>
          </w:tcPr>
          <w:p w14:paraId="5D83AC29" w14:textId="77777777" w:rsidR="00A8458D" w:rsidRPr="00C94ADB" w:rsidRDefault="00A8458D" w:rsidP="003B6C60">
            <w:pPr>
              <w:rPr>
                <w:rFonts w:ascii="Arial" w:hAnsi="Arial" w:cs="Arial"/>
                <w:lang w:val="en-GB"/>
              </w:rPr>
            </w:pPr>
          </w:p>
        </w:tc>
        <w:tc>
          <w:tcPr>
            <w:tcW w:w="284" w:type="dxa"/>
            <w:shd w:val="clear" w:color="auto" w:fill="auto"/>
          </w:tcPr>
          <w:p w14:paraId="1F709ACE" w14:textId="77777777" w:rsidR="00A8458D" w:rsidRPr="00C94ADB" w:rsidRDefault="00A8458D" w:rsidP="003B6C60">
            <w:pPr>
              <w:rPr>
                <w:rFonts w:ascii="Arial" w:hAnsi="Arial" w:cs="Arial"/>
                <w:lang w:val="en-GB"/>
              </w:rPr>
            </w:pPr>
          </w:p>
        </w:tc>
        <w:tc>
          <w:tcPr>
            <w:tcW w:w="3289" w:type="dxa"/>
            <w:vMerge/>
            <w:shd w:val="clear" w:color="auto" w:fill="auto"/>
          </w:tcPr>
          <w:p w14:paraId="3DEF989E" w14:textId="77777777" w:rsidR="00A8458D" w:rsidRPr="00C94ADB" w:rsidRDefault="00A8458D" w:rsidP="003B6C60">
            <w:pPr>
              <w:rPr>
                <w:rFonts w:ascii="Arial" w:hAnsi="Arial" w:cs="Arial"/>
                <w:lang w:val="en-GB"/>
              </w:rPr>
            </w:pPr>
          </w:p>
        </w:tc>
      </w:tr>
    </w:tbl>
    <w:p w14:paraId="4FCC980E" w14:textId="77777777" w:rsidR="00A8458D" w:rsidRPr="00C94ADB" w:rsidRDefault="00A8458D" w:rsidP="00A8458D">
      <w:pPr>
        <w:rPr>
          <w:rFonts w:ascii="Arial" w:hAnsi="Arial" w:cs="Arial"/>
          <w:lang w:val="en-GB"/>
        </w:rPr>
      </w:pPr>
    </w:p>
    <w:p w14:paraId="76F2381C" w14:textId="77777777" w:rsidR="00773C4B" w:rsidRPr="00C94ADB" w:rsidRDefault="00773C4B" w:rsidP="00773C4B">
      <w:pPr>
        <w:rPr>
          <w:rFonts w:ascii="Arial" w:hAnsi="Arial" w:cs="Arial"/>
          <w:bCs/>
          <w:lang w:val="en-GB"/>
        </w:rPr>
      </w:pPr>
    </w:p>
    <w:sectPr w:rsidR="00773C4B" w:rsidRPr="00C94ADB" w:rsidSect="000D37AC">
      <w:pgSz w:w="11906" w:h="16838" w:code="9"/>
      <w:pgMar w:top="1134" w:right="936" w:bottom="1134" w:left="936" w:header="1021" w:footer="0" w:gutter="0"/>
      <w:cols w:space="284"/>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2695B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70976F" w14:textId="77777777" w:rsidR="0026093A" w:rsidRDefault="0026093A">
      <w:r>
        <w:separator/>
      </w:r>
    </w:p>
  </w:endnote>
  <w:endnote w:type="continuationSeparator" w:id="0">
    <w:p w14:paraId="6C8B727F" w14:textId="77777777" w:rsidR="0026093A" w:rsidRDefault="00260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AA353C5" w14:textId="77777777" w:rsidR="00CD5D29" w:rsidRDefault="00CD5D2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76AEFE" w14:textId="77777777" w:rsidR="00CD5D29" w:rsidRDefault="00CD5D29" w:rsidP="000C4579">
    <w:pPr>
      <w:pStyle w:val="Footer"/>
      <w:pBdr>
        <w:top w:val="single" w:sz="18" w:space="1" w:color="C0C0C0"/>
      </w:pBdr>
    </w:pPr>
  </w:p>
  <w:p w14:paraId="6E23FFD1" w14:textId="77777777" w:rsidR="00CD5D29" w:rsidRDefault="00CD5D29" w:rsidP="000C4579">
    <w:pPr>
      <w:pStyle w:val="Footer"/>
    </w:pPr>
  </w:p>
  <w:p w14:paraId="7619E1F2" w14:textId="77777777" w:rsidR="00CD5D29" w:rsidRDefault="00CD5D29" w:rsidP="000C4579">
    <w:pPr>
      <w:pStyle w:val="Footer"/>
    </w:pPr>
  </w:p>
  <w:p w14:paraId="59FDE5D7" w14:textId="77777777" w:rsidR="00CD5D29" w:rsidRPr="00205632" w:rsidRDefault="00CD5D29" w:rsidP="000C457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861FD1" w14:textId="77777777" w:rsidR="00CD5D29" w:rsidRDefault="00CD5D2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94607C" w14:textId="77777777" w:rsidR="0026093A" w:rsidRDefault="0026093A">
      <w:r>
        <w:separator/>
      </w:r>
    </w:p>
  </w:footnote>
  <w:footnote w:type="continuationSeparator" w:id="0">
    <w:p w14:paraId="139EAD94" w14:textId="77777777" w:rsidR="0026093A" w:rsidRDefault="002609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90E802" w14:textId="77777777" w:rsidR="00CD5D29" w:rsidRPr="00C8278A" w:rsidRDefault="002A6B7C"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492B1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61"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CD5D29" w:rsidRPr="001D7ECC">
      <w:rPr>
        <w:rFonts w:ascii="Arial Narrow" w:hAnsi="Arial Narrow" w:cs="Arial"/>
        <w:b/>
        <w:bCs/>
        <w:noProof/>
        <w:color w:val="C0C0C0"/>
        <w:sz w:val="40"/>
        <w:szCs w:val="36"/>
        <w:lang w:val="en-US" w:eastAsia="en-US"/>
      </w:rPr>
      <w:drawing>
        <wp:inline distT="0" distB="0" distL="0" distR="0" wp14:anchorId="14EE3C9F" wp14:editId="12985962">
          <wp:extent cx="1460500" cy="368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0" cy="368300"/>
                  </a:xfrm>
                  <a:prstGeom prst="rect">
                    <a:avLst/>
                  </a:prstGeom>
                  <a:noFill/>
                  <a:ln>
                    <a:noFill/>
                  </a:ln>
                </pic:spPr>
              </pic:pic>
            </a:graphicData>
          </a:graphic>
        </wp:inline>
      </w:drawing>
    </w:r>
    <w:r w:rsidR="00CD5D29">
      <w:rPr>
        <w:rFonts w:ascii="Arial Narrow" w:hAnsi="Arial Narrow" w:cs="Arial"/>
        <w:b/>
        <w:bCs/>
        <w:color w:val="C0C0C0"/>
        <w:sz w:val="40"/>
        <w:szCs w:val="36"/>
      </w:rPr>
      <w:tab/>
    </w:r>
    <w:r w:rsidR="00CD5D29">
      <w:rPr>
        <w:rFonts w:ascii="Arial Narrow" w:hAnsi="Arial Narrow" w:cs="Arial"/>
        <w:b/>
        <w:bCs/>
        <w:color w:val="C0C0C0"/>
        <w:sz w:val="40"/>
        <w:szCs w:val="36"/>
      </w:rPr>
      <w:tab/>
      <w:t xml:space="preserve">                            </w:t>
    </w:r>
    <w:r w:rsidR="00CD5D29" w:rsidRPr="00FB4551">
      <w:rPr>
        <w:rFonts w:ascii="Arial" w:hAnsi="Arial" w:cs="Arial"/>
        <w:b/>
        <w:bCs/>
        <w:color w:val="C0C0C0"/>
      </w:rPr>
      <w:t>www.chemsuschem.org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1EE300" w14:textId="77777777" w:rsidR="00CD5D29" w:rsidRPr="00971FC5" w:rsidRDefault="002A6B7C" w:rsidP="000C4579">
    <w:pPr>
      <w:pStyle w:val="Header"/>
      <w:pBdr>
        <w:bottom w:val="single" w:sz="18" w:space="1" w:color="C0C0C0"/>
      </w:pBdr>
      <w:rPr>
        <w:rFonts w:ascii="Arial Narrow" w:hAnsi="Arial Narrow" w:cs="Arial"/>
        <w:sz w:val="32"/>
        <w:szCs w:val="36"/>
      </w:rPr>
    </w:pPr>
    <w:r>
      <w:rPr>
        <w:noProof/>
        <w:sz w:val="20"/>
        <w:lang w:eastAsia="zh-CN"/>
      </w:rPr>
      <w:pict w14:anchorId="79A9D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62"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CD5D29" w:rsidRPr="00971FC5">
      <w:rPr>
        <w:noProof/>
        <w:sz w:val="20"/>
        <w:lang w:val="en-US" w:eastAsia="en-US"/>
      </w:rPr>
      <w:drawing>
        <wp:anchor distT="0" distB="0" distL="114300" distR="114300" simplePos="0" relativeHeight="251656192" behindDoc="0" locked="0" layoutInCell="1" allowOverlap="1" wp14:anchorId="02F2DBCF" wp14:editId="39E7347E">
          <wp:simplePos x="0" y="0"/>
          <wp:positionH relativeFrom="column">
            <wp:posOffset>5344160</wp:posOffset>
          </wp:positionH>
          <wp:positionV relativeFrom="paragraph">
            <wp:posOffset>-40005</wp:posOffset>
          </wp:positionV>
          <wp:extent cx="1079500" cy="273050"/>
          <wp:effectExtent l="0" t="0" r="6350" b="0"/>
          <wp:wrapTopAndBottom/>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D29" w:rsidRPr="00971FC5">
      <w:rPr>
        <w:rFonts w:ascii="Arial Narrow" w:hAnsi="Arial Narrow" w:cs="Arial"/>
        <w:b/>
        <w:bCs/>
        <w:color w:val="C0C0C0"/>
        <w:sz w:val="32"/>
        <w:szCs w:val="36"/>
      </w:rPr>
      <w:t>COMMUNICATION</w:t>
    </w:r>
    <w:r w:rsidR="00CD5D29" w:rsidRPr="00971FC5">
      <w:rPr>
        <w:rFonts w:ascii="Arial Narrow" w:hAnsi="Arial Narrow" w:cs="Arial"/>
        <w:sz w:val="32"/>
        <w:szCs w:val="36"/>
      </w:rPr>
      <w:tab/>
    </w:r>
    <w:r w:rsidR="00CD5D29" w:rsidRPr="00971FC5">
      <w:rPr>
        <w:rFonts w:ascii="Arial Narrow" w:hAnsi="Arial Narrow" w:cs="Arial"/>
        <w:sz w:val="32"/>
        <w:szCs w:val="36"/>
      </w:rPr>
      <w:tab/>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5CE31A" w14:textId="77777777" w:rsidR="00CD5D29" w:rsidRDefault="002A6B7C">
    <w:pPr>
      <w:pStyle w:val="Header"/>
    </w:pPr>
    <w:r>
      <w:rPr>
        <w:noProof/>
        <w:lang w:eastAsia="zh-CN"/>
      </w:rPr>
      <w:pict w14:anchorId="75D5AA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60"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5">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F1E"/>
    <w:rsid w:val="0000214A"/>
    <w:rsid w:val="00002DBC"/>
    <w:rsid w:val="00003927"/>
    <w:rsid w:val="0000457A"/>
    <w:rsid w:val="00004C9E"/>
    <w:rsid w:val="00010410"/>
    <w:rsid w:val="00011D51"/>
    <w:rsid w:val="0001396D"/>
    <w:rsid w:val="00013DD7"/>
    <w:rsid w:val="00017BD0"/>
    <w:rsid w:val="0002011F"/>
    <w:rsid w:val="00022DB4"/>
    <w:rsid w:val="00027F3A"/>
    <w:rsid w:val="00033C26"/>
    <w:rsid w:val="00033D1A"/>
    <w:rsid w:val="00033F43"/>
    <w:rsid w:val="0003500B"/>
    <w:rsid w:val="00036490"/>
    <w:rsid w:val="0004091A"/>
    <w:rsid w:val="00042513"/>
    <w:rsid w:val="00042BF0"/>
    <w:rsid w:val="000443D5"/>
    <w:rsid w:val="00044883"/>
    <w:rsid w:val="000449A8"/>
    <w:rsid w:val="00045AB9"/>
    <w:rsid w:val="0005096E"/>
    <w:rsid w:val="0005140E"/>
    <w:rsid w:val="00055485"/>
    <w:rsid w:val="00061264"/>
    <w:rsid w:val="0006281D"/>
    <w:rsid w:val="00063E0F"/>
    <w:rsid w:val="0006489B"/>
    <w:rsid w:val="000650AB"/>
    <w:rsid w:val="0006694D"/>
    <w:rsid w:val="000669E3"/>
    <w:rsid w:val="00066B8E"/>
    <w:rsid w:val="00070B55"/>
    <w:rsid w:val="00070E0D"/>
    <w:rsid w:val="0007315F"/>
    <w:rsid w:val="00075020"/>
    <w:rsid w:val="00077560"/>
    <w:rsid w:val="0008077D"/>
    <w:rsid w:val="00082144"/>
    <w:rsid w:val="000830AD"/>
    <w:rsid w:val="0008690A"/>
    <w:rsid w:val="000905AE"/>
    <w:rsid w:val="0009539C"/>
    <w:rsid w:val="00095C2F"/>
    <w:rsid w:val="000A37F3"/>
    <w:rsid w:val="000A4431"/>
    <w:rsid w:val="000A77DC"/>
    <w:rsid w:val="000B6DF3"/>
    <w:rsid w:val="000C1DBD"/>
    <w:rsid w:val="000C4579"/>
    <w:rsid w:val="000C53F1"/>
    <w:rsid w:val="000D053F"/>
    <w:rsid w:val="000D35F5"/>
    <w:rsid w:val="000D37AC"/>
    <w:rsid w:val="000D70F8"/>
    <w:rsid w:val="000D75B7"/>
    <w:rsid w:val="000D7701"/>
    <w:rsid w:val="000D7E0F"/>
    <w:rsid w:val="000E0815"/>
    <w:rsid w:val="000E0CEA"/>
    <w:rsid w:val="000E0EC4"/>
    <w:rsid w:val="000E1C81"/>
    <w:rsid w:val="000E517A"/>
    <w:rsid w:val="000E5FDC"/>
    <w:rsid w:val="000E718F"/>
    <w:rsid w:val="000E76B8"/>
    <w:rsid w:val="000F29A4"/>
    <w:rsid w:val="000F2C63"/>
    <w:rsid w:val="000F2EA1"/>
    <w:rsid w:val="000F5BD1"/>
    <w:rsid w:val="000F7847"/>
    <w:rsid w:val="001037A1"/>
    <w:rsid w:val="00103EF7"/>
    <w:rsid w:val="00104119"/>
    <w:rsid w:val="0010543E"/>
    <w:rsid w:val="00105F97"/>
    <w:rsid w:val="00107C8D"/>
    <w:rsid w:val="00107E8C"/>
    <w:rsid w:val="001158DE"/>
    <w:rsid w:val="00120F2E"/>
    <w:rsid w:val="0012240C"/>
    <w:rsid w:val="001237B3"/>
    <w:rsid w:val="0012381E"/>
    <w:rsid w:val="00125FEF"/>
    <w:rsid w:val="00127AEB"/>
    <w:rsid w:val="001322FF"/>
    <w:rsid w:val="0013316F"/>
    <w:rsid w:val="001332DF"/>
    <w:rsid w:val="001344F7"/>
    <w:rsid w:val="001348CD"/>
    <w:rsid w:val="0014043E"/>
    <w:rsid w:val="00141356"/>
    <w:rsid w:val="00142F1E"/>
    <w:rsid w:val="00143551"/>
    <w:rsid w:val="0014374D"/>
    <w:rsid w:val="00143B89"/>
    <w:rsid w:val="001475BF"/>
    <w:rsid w:val="00152E6D"/>
    <w:rsid w:val="001533C8"/>
    <w:rsid w:val="00154187"/>
    <w:rsid w:val="00155FB7"/>
    <w:rsid w:val="0015631F"/>
    <w:rsid w:val="00157C67"/>
    <w:rsid w:val="0016203E"/>
    <w:rsid w:val="001639AE"/>
    <w:rsid w:val="001654DF"/>
    <w:rsid w:val="00166BEB"/>
    <w:rsid w:val="00166D41"/>
    <w:rsid w:val="00166EA6"/>
    <w:rsid w:val="001678B6"/>
    <w:rsid w:val="0017048F"/>
    <w:rsid w:val="00172425"/>
    <w:rsid w:val="00172F48"/>
    <w:rsid w:val="001732A4"/>
    <w:rsid w:val="001800AA"/>
    <w:rsid w:val="0018165B"/>
    <w:rsid w:val="00181774"/>
    <w:rsid w:val="00182DED"/>
    <w:rsid w:val="00184380"/>
    <w:rsid w:val="00186601"/>
    <w:rsid w:val="00186692"/>
    <w:rsid w:val="001878D0"/>
    <w:rsid w:val="00187BFA"/>
    <w:rsid w:val="0019014F"/>
    <w:rsid w:val="00192B5C"/>
    <w:rsid w:val="00194818"/>
    <w:rsid w:val="00194A21"/>
    <w:rsid w:val="00196DEB"/>
    <w:rsid w:val="00197F42"/>
    <w:rsid w:val="001A0D55"/>
    <w:rsid w:val="001A1127"/>
    <w:rsid w:val="001A3120"/>
    <w:rsid w:val="001A39AE"/>
    <w:rsid w:val="001A438D"/>
    <w:rsid w:val="001B0DFC"/>
    <w:rsid w:val="001B1764"/>
    <w:rsid w:val="001C1039"/>
    <w:rsid w:val="001C21E3"/>
    <w:rsid w:val="001C26A7"/>
    <w:rsid w:val="001C368F"/>
    <w:rsid w:val="001D0A1B"/>
    <w:rsid w:val="001D1155"/>
    <w:rsid w:val="001D13EA"/>
    <w:rsid w:val="001D216B"/>
    <w:rsid w:val="001D29CA"/>
    <w:rsid w:val="001D54CA"/>
    <w:rsid w:val="001D636F"/>
    <w:rsid w:val="001D7ECC"/>
    <w:rsid w:val="001E164A"/>
    <w:rsid w:val="001E2F1C"/>
    <w:rsid w:val="001F16EF"/>
    <w:rsid w:val="001F1A2D"/>
    <w:rsid w:val="001F252B"/>
    <w:rsid w:val="001F4235"/>
    <w:rsid w:val="001F45C3"/>
    <w:rsid w:val="001F4EE4"/>
    <w:rsid w:val="001F5009"/>
    <w:rsid w:val="00200C6E"/>
    <w:rsid w:val="0020306E"/>
    <w:rsid w:val="00205632"/>
    <w:rsid w:val="00206BF9"/>
    <w:rsid w:val="00212CDE"/>
    <w:rsid w:val="00213D0E"/>
    <w:rsid w:val="002221BA"/>
    <w:rsid w:val="0022250F"/>
    <w:rsid w:val="00222D97"/>
    <w:rsid w:val="00224002"/>
    <w:rsid w:val="0022537E"/>
    <w:rsid w:val="0022582C"/>
    <w:rsid w:val="0023107B"/>
    <w:rsid w:val="0023256B"/>
    <w:rsid w:val="00232C14"/>
    <w:rsid w:val="00233244"/>
    <w:rsid w:val="002362C7"/>
    <w:rsid w:val="0024000D"/>
    <w:rsid w:val="00240D00"/>
    <w:rsid w:val="00241D85"/>
    <w:rsid w:val="00242E54"/>
    <w:rsid w:val="002433F0"/>
    <w:rsid w:val="00243927"/>
    <w:rsid w:val="0024468F"/>
    <w:rsid w:val="0026093A"/>
    <w:rsid w:val="00260EDA"/>
    <w:rsid w:val="00261387"/>
    <w:rsid w:val="00261882"/>
    <w:rsid w:val="0026553A"/>
    <w:rsid w:val="00265DCA"/>
    <w:rsid w:val="00267F8A"/>
    <w:rsid w:val="002702BC"/>
    <w:rsid w:val="0027068B"/>
    <w:rsid w:val="002721B3"/>
    <w:rsid w:val="00282DBC"/>
    <w:rsid w:val="00286062"/>
    <w:rsid w:val="00287256"/>
    <w:rsid w:val="00287B32"/>
    <w:rsid w:val="00291C93"/>
    <w:rsid w:val="00294170"/>
    <w:rsid w:val="002A21C5"/>
    <w:rsid w:val="002A36FA"/>
    <w:rsid w:val="002A561E"/>
    <w:rsid w:val="002A69D1"/>
    <w:rsid w:val="002A6B7C"/>
    <w:rsid w:val="002B16E2"/>
    <w:rsid w:val="002B22BA"/>
    <w:rsid w:val="002B25E2"/>
    <w:rsid w:val="002B453B"/>
    <w:rsid w:val="002B7CA9"/>
    <w:rsid w:val="002C36E0"/>
    <w:rsid w:val="002C6B86"/>
    <w:rsid w:val="002D002E"/>
    <w:rsid w:val="002D0B17"/>
    <w:rsid w:val="002D24CB"/>
    <w:rsid w:val="002D42FF"/>
    <w:rsid w:val="002D47AD"/>
    <w:rsid w:val="002D5148"/>
    <w:rsid w:val="002D5B99"/>
    <w:rsid w:val="002E066F"/>
    <w:rsid w:val="002E12B3"/>
    <w:rsid w:val="002E2CA8"/>
    <w:rsid w:val="002F0269"/>
    <w:rsid w:val="002F1479"/>
    <w:rsid w:val="002F17FB"/>
    <w:rsid w:val="002F51CF"/>
    <w:rsid w:val="002F56D6"/>
    <w:rsid w:val="002F6A4C"/>
    <w:rsid w:val="002F73A5"/>
    <w:rsid w:val="003006A7"/>
    <w:rsid w:val="00301167"/>
    <w:rsid w:val="00301D1E"/>
    <w:rsid w:val="00302E61"/>
    <w:rsid w:val="00303FBE"/>
    <w:rsid w:val="003040CB"/>
    <w:rsid w:val="003079D2"/>
    <w:rsid w:val="00307C5A"/>
    <w:rsid w:val="003113EB"/>
    <w:rsid w:val="003116F4"/>
    <w:rsid w:val="00312ED2"/>
    <w:rsid w:val="0032048F"/>
    <w:rsid w:val="003219A5"/>
    <w:rsid w:val="00322D02"/>
    <w:rsid w:val="00322E1F"/>
    <w:rsid w:val="00323FC3"/>
    <w:rsid w:val="00324724"/>
    <w:rsid w:val="00324B59"/>
    <w:rsid w:val="00325147"/>
    <w:rsid w:val="003254D1"/>
    <w:rsid w:val="00325516"/>
    <w:rsid w:val="003275FF"/>
    <w:rsid w:val="0033054D"/>
    <w:rsid w:val="00331B5E"/>
    <w:rsid w:val="00333FAD"/>
    <w:rsid w:val="003350E0"/>
    <w:rsid w:val="0033586B"/>
    <w:rsid w:val="00336A5A"/>
    <w:rsid w:val="003403BB"/>
    <w:rsid w:val="00340A08"/>
    <w:rsid w:val="003447D7"/>
    <w:rsid w:val="0034496B"/>
    <w:rsid w:val="003462A2"/>
    <w:rsid w:val="003479E0"/>
    <w:rsid w:val="00347E2F"/>
    <w:rsid w:val="00354B57"/>
    <w:rsid w:val="00356E5D"/>
    <w:rsid w:val="00364753"/>
    <w:rsid w:val="003649DA"/>
    <w:rsid w:val="00364A2A"/>
    <w:rsid w:val="003657B6"/>
    <w:rsid w:val="00366676"/>
    <w:rsid w:val="0037140E"/>
    <w:rsid w:val="00372CA2"/>
    <w:rsid w:val="00375415"/>
    <w:rsid w:val="003763DC"/>
    <w:rsid w:val="00376792"/>
    <w:rsid w:val="00376F37"/>
    <w:rsid w:val="0038506F"/>
    <w:rsid w:val="00390DD7"/>
    <w:rsid w:val="003926A3"/>
    <w:rsid w:val="00392BE0"/>
    <w:rsid w:val="00396BE2"/>
    <w:rsid w:val="003A3B18"/>
    <w:rsid w:val="003B04BA"/>
    <w:rsid w:val="003B0FC4"/>
    <w:rsid w:val="003B6C60"/>
    <w:rsid w:val="003B70C8"/>
    <w:rsid w:val="003C134A"/>
    <w:rsid w:val="003C1CCA"/>
    <w:rsid w:val="003C1D21"/>
    <w:rsid w:val="003C2972"/>
    <w:rsid w:val="003C2C9C"/>
    <w:rsid w:val="003C6E1A"/>
    <w:rsid w:val="003D0F51"/>
    <w:rsid w:val="003D1C1A"/>
    <w:rsid w:val="003D4B6E"/>
    <w:rsid w:val="003D5F30"/>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032"/>
    <w:rsid w:val="00427CBD"/>
    <w:rsid w:val="00431151"/>
    <w:rsid w:val="00432307"/>
    <w:rsid w:val="00435272"/>
    <w:rsid w:val="00435D6F"/>
    <w:rsid w:val="00436338"/>
    <w:rsid w:val="00437B5A"/>
    <w:rsid w:val="00444A43"/>
    <w:rsid w:val="00444E3C"/>
    <w:rsid w:val="00445D5C"/>
    <w:rsid w:val="004465F9"/>
    <w:rsid w:val="004466B0"/>
    <w:rsid w:val="00450D70"/>
    <w:rsid w:val="00451053"/>
    <w:rsid w:val="00454A2D"/>
    <w:rsid w:val="00454BB2"/>
    <w:rsid w:val="004556E1"/>
    <w:rsid w:val="004609E1"/>
    <w:rsid w:val="00460C28"/>
    <w:rsid w:val="00461BD2"/>
    <w:rsid w:val="00462A09"/>
    <w:rsid w:val="004644E1"/>
    <w:rsid w:val="0046574E"/>
    <w:rsid w:val="004657E8"/>
    <w:rsid w:val="00467E99"/>
    <w:rsid w:val="00470790"/>
    <w:rsid w:val="00470FBB"/>
    <w:rsid w:val="00473029"/>
    <w:rsid w:val="00473B32"/>
    <w:rsid w:val="00473EE4"/>
    <w:rsid w:val="00477B4C"/>
    <w:rsid w:val="00477B99"/>
    <w:rsid w:val="004841CA"/>
    <w:rsid w:val="00485C84"/>
    <w:rsid w:val="00486215"/>
    <w:rsid w:val="0048630D"/>
    <w:rsid w:val="00490E63"/>
    <w:rsid w:val="004921CF"/>
    <w:rsid w:val="004930F0"/>
    <w:rsid w:val="004A0BA8"/>
    <w:rsid w:val="004A489D"/>
    <w:rsid w:val="004A4A2E"/>
    <w:rsid w:val="004A4CD0"/>
    <w:rsid w:val="004A6F05"/>
    <w:rsid w:val="004A73A8"/>
    <w:rsid w:val="004A75D5"/>
    <w:rsid w:val="004A771F"/>
    <w:rsid w:val="004A78AE"/>
    <w:rsid w:val="004B004E"/>
    <w:rsid w:val="004B0589"/>
    <w:rsid w:val="004B0B74"/>
    <w:rsid w:val="004B1783"/>
    <w:rsid w:val="004B28AA"/>
    <w:rsid w:val="004B5349"/>
    <w:rsid w:val="004B65AE"/>
    <w:rsid w:val="004B7661"/>
    <w:rsid w:val="004C042E"/>
    <w:rsid w:val="004C1836"/>
    <w:rsid w:val="004C22E6"/>
    <w:rsid w:val="004C2834"/>
    <w:rsid w:val="004C2F93"/>
    <w:rsid w:val="004C2FAC"/>
    <w:rsid w:val="004C3499"/>
    <w:rsid w:val="004C3941"/>
    <w:rsid w:val="004C3CC9"/>
    <w:rsid w:val="004C471F"/>
    <w:rsid w:val="004C5F41"/>
    <w:rsid w:val="004C6D04"/>
    <w:rsid w:val="004D090A"/>
    <w:rsid w:val="004D31C6"/>
    <w:rsid w:val="004D4293"/>
    <w:rsid w:val="004D5ABB"/>
    <w:rsid w:val="004D6DB8"/>
    <w:rsid w:val="004E375E"/>
    <w:rsid w:val="004E3F83"/>
    <w:rsid w:val="004E4A53"/>
    <w:rsid w:val="004E4DFF"/>
    <w:rsid w:val="004E5278"/>
    <w:rsid w:val="004E74F4"/>
    <w:rsid w:val="004F0129"/>
    <w:rsid w:val="004F257F"/>
    <w:rsid w:val="004F35CD"/>
    <w:rsid w:val="004F75E0"/>
    <w:rsid w:val="00501639"/>
    <w:rsid w:val="00501EFF"/>
    <w:rsid w:val="0050277D"/>
    <w:rsid w:val="00503177"/>
    <w:rsid w:val="005035EB"/>
    <w:rsid w:val="0050689B"/>
    <w:rsid w:val="005068AA"/>
    <w:rsid w:val="00506EDB"/>
    <w:rsid w:val="00511093"/>
    <w:rsid w:val="00512A8E"/>
    <w:rsid w:val="00514B2C"/>
    <w:rsid w:val="00520422"/>
    <w:rsid w:val="0052085F"/>
    <w:rsid w:val="0052404D"/>
    <w:rsid w:val="00527D68"/>
    <w:rsid w:val="00530284"/>
    <w:rsid w:val="005321B0"/>
    <w:rsid w:val="00533959"/>
    <w:rsid w:val="0053418A"/>
    <w:rsid w:val="005349D6"/>
    <w:rsid w:val="005352D1"/>
    <w:rsid w:val="00536BC1"/>
    <w:rsid w:val="00537F36"/>
    <w:rsid w:val="00541205"/>
    <w:rsid w:val="005433DE"/>
    <w:rsid w:val="0054420E"/>
    <w:rsid w:val="00544FB4"/>
    <w:rsid w:val="005472E5"/>
    <w:rsid w:val="0055057E"/>
    <w:rsid w:val="00550B0C"/>
    <w:rsid w:val="0055113D"/>
    <w:rsid w:val="005551F3"/>
    <w:rsid w:val="00556A65"/>
    <w:rsid w:val="00561836"/>
    <w:rsid w:val="00561C0E"/>
    <w:rsid w:val="005662D8"/>
    <w:rsid w:val="005662EA"/>
    <w:rsid w:val="00567B5A"/>
    <w:rsid w:val="00567C18"/>
    <w:rsid w:val="0057009B"/>
    <w:rsid w:val="00572B6C"/>
    <w:rsid w:val="005735B3"/>
    <w:rsid w:val="0057477B"/>
    <w:rsid w:val="005801F0"/>
    <w:rsid w:val="005826CC"/>
    <w:rsid w:val="005839B9"/>
    <w:rsid w:val="00584A4C"/>
    <w:rsid w:val="00586DF8"/>
    <w:rsid w:val="0059183D"/>
    <w:rsid w:val="00591AB8"/>
    <w:rsid w:val="00597954"/>
    <w:rsid w:val="005A2C9A"/>
    <w:rsid w:val="005B10C2"/>
    <w:rsid w:val="005B15A7"/>
    <w:rsid w:val="005B1BB6"/>
    <w:rsid w:val="005B3509"/>
    <w:rsid w:val="005B430B"/>
    <w:rsid w:val="005B43B7"/>
    <w:rsid w:val="005B4C38"/>
    <w:rsid w:val="005B5D4F"/>
    <w:rsid w:val="005B625D"/>
    <w:rsid w:val="005B6716"/>
    <w:rsid w:val="005B6C80"/>
    <w:rsid w:val="005B71FC"/>
    <w:rsid w:val="005C08BF"/>
    <w:rsid w:val="005C4CEE"/>
    <w:rsid w:val="005C4F38"/>
    <w:rsid w:val="005C5196"/>
    <w:rsid w:val="005D1EBB"/>
    <w:rsid w:val="005D35A9"/>
    <w:rsid w:val="005D43FD"/>
    <w:rsid w:val="005D65E6"/>
    <w:rsid w:val="005D783C"/>
    <w:rsid w:val="005E793D"/>
    <w:rsid w:val="005F19CB"/>
    <w:rsid w:val="005F357B"/>
    <w:rsid w:val="005F5348"/>
    <w:rsid w:val="005F74E7"/>
    <w:rsid w:val="006011C8"/>
    <w:rsid w:val="00601B75"/>
    <w:rsid w:val="006024FD"/>
    <w:rsid w:val="0060310C"/>
    <w:rsid w:val="00605777"/>
    <w:rsid w:val="00605FAC"/>
    <w:rsid w:val="006065BB"/>
    <w:rsid w:val="006150DB"/>
    <w:rsid w:val="006200AB"/>
    <w:rsid w:val="00620450"/>
    <w:rsid w:val="00620753"/>
    <w:rsid w:val="00620911"/>
    <w:rsid w:val="00620C61"/>
    <w:rsid w:val="0062494F"/>
    <w:rsid w:val="00627F57"/>
    <w:rsid w:val="0063259C"/>
    <w:rsid w:val="0063261F"/>
    <w:rsid w:val="006430B2"/>
    <w:rsid w:val="00644209"/>
    <w:rsid w:val="00647525"/>
    <w:rsid w:val="006479FE"/>
    <w:rsid w:val="0065012E"/>
    <w:rsid w:val="00650DAF"/>
    <w:rsid w:val="00654E17"/>
    <w:rsid w:val="00656634"/>
    <w:rsid w:val="0066216C"/>
    <w:rsid w:val="00665D4A"/>
    <w:rsid w:val="00665E34"/>
    <w:rsid w:val="006675EA"/>
    <w:rsid w:val="00671E1E"/>
    <w:rsid w:val="006722A0"/>
    <w:rsid w:val="006724B9"/>
    <w:rsid w:val="00672587"/>
    <w:rsid w:val="0067512C"/>
    <w:rsid w:val="00677AB5"/>
    <w:rsid w:val="00677D6F"/>
    <w:rsid w:val="006812E2"/>
    <w:rsid w:val="00681A96"/>
    <w:rsid w:val="00685DA5"/>
    <w:rsid w:val="0068673B"/>
    <w:rsid w:val="00694EC1"/>
    <w:rsid w:val="006956E5"/>
    <w:rsid w:val="0069644B"/>
    <w:rsid w:val="006976AD"/>
    <w:rsid w:val="00697E3B"/>
    <w:rsid w:val="006A108F"/>
    <w:rsid w:val="006A130C"/>
    <w:rsid w:val="006A2254"/>
    <w:rsid w:val="006A6116"/>
    <w:rsid w:val="006A7E4F"/>
    <w:rsid w:val="006B04A7"/>
    <w:rsid w:val="006B2F48"/>
    <w:rsid w:val="006B369F"/>
    <w:rsid w:val="006B4DC6"/>
    <w:rsid w:val="006B4E8D"/>
    <w:rsid w:val="006B5DE9"/>
    <w:rsid w:val="006B6806"/>
    <w:rsid w:val="006B72C2"/>
    <w:rsid w:val="006B7C3F"/>
    <w:rsid w:val="006C1123"/>
    <w:rsid w:val="006C11DA"/>
    <w:rsid w:val="006C2DBE"/>
    <w:rsid w:val="006C5C46"/>
    <w:rsid w:val="006C5F03"/>
    <w:rsid w:val="006C643D"/>
    <w:rsid w:val="006C6BFE"/>
    <w:rsid w:val="006C6D39"/>
    <w:rsid w:val="006C7F18"/>
    <w:rsid w:val="006D02C0"/>
    <w:rsid w:val="006D184F"/>
    <w:rsid w:val="006D215A"/>
    <w:rsid w:val="006D2D7B"/>
    <w:rsid w:val="006D31D6"/>
    <w:rsid w:val="006D3595"/>
    <w:rsid w:val="006D4A6A"/>
    <w:rsid w:val="006D4F77"/>
    <w:rsid w:val="006D6793"/>
    <w:rsid w:val="006E041E"/>
    <w:rsid w:val="006E5BEA"/>
    <w:rsid w:val="006E7083"/>
    <w:rsid w:val="006E79BC"/>
    <w:rsid w:val="006F0EB7"/>
    <w:rsid w:val="006F4057"/>
    <w:rsid w:val="006F6671"/>
    <w:rsid w:val="006F77BC"/>
    <w:rsid w:val="00700F72"/>
    <w:rsid w:val="007013DE"/>
    <w:rsid w:val="00701830"/>
    <w:rsid w:val="00702B63"/>
    <w:rsid w:val="00702F63"/>
    <w:rsid w:val="00710812"/>
    <w:rsid w:val="00711E9D"/>
    <w:rsid w:val="007130CE"/>
    <w:rsid w:val="00713452"/>
    <w:rsid w:val="00713548"/>
    <w:rsid w:val="00713B1C"/>
    <w:rsid w:val="00714DB9"/>
    <w:rsid w:val="00714DC9"/>
    <w:rsid w:val="0071700B"/>
    <w:rsid w:val="00717BD5"/>
    <w:rsid w:val="00720FED"/>
    <w:rsid w:val="0072415F"/>
    <w:rsid w:val="007249D7"/>
    <w:rsid w:val="007252DA"/>
    <w:rsid w:val="00732798"/>
    <w:rsid w:val="00737264"/>
    <w:rsid w:val="007406C2"/>
    <w:rsid w:val="007407AE"/>
    <w:rsid w:val="00740CE1"/>
    <w:rsid w:val="0074126C"/>
    <w:rsid w:val="00741B47"/>
    <w:rsid w:val="00745DE7"/>
    <w:rsid w:val="00746C0D"/>
    <w:rsid w:val="00750326"/>
    <w:rsid w:val="0075032A"/>
    <w:rsid w:val="0075278E"/>
    <w:rsid w:val="00754F5F"/>
    <w:rsid w:val="00757401"/>
    <w:rsid w:val="00757673"/>
    <w:rsid w:val="007576FA"/>
    <w:rsid w:val="00757C71"/>
    <w:rsid w:val="00763D77"/>
    <w:rsid w:val="00763EDE"/>
    <w:rsid w:val="00764F01"/>
    <w:rsid w:val="00765C4D"/>
    <w:rsid w:val="007663E0"/>
    <w:rsid w:val="00773904"/>
    <w:rsid w:val="00773C4B"/>
    <w:rsid w:val="00773D16"/>
    <w:rsid w:val="007740A8"/>
    <w:rsid w:val="00774D52"/>
    <w:rsid w:val="00775C8A"/>
    <w:rsid w:val="00775E19"/>
    <w:rsid w:val="00775F73"/>
    <w:rsid w:val="00776249"/>
    <w:rsid w:val="00777437"/>
    <w:rsid w:val="007776E8"/>
    <w:rsid w:val="007815C4"/>
    <w:rsid w:val="00783FBE"/>
    <w:rsid w:val="0078628B"/>
    <w:rsid w:val="0078784C"/>
    <w:rsid w:val="00794239"/>
    <w:rsid w:val="007958BF"/>
    <w:rsid w:val="007A673E"/>
    <w:rsid w:val="007A6D99"/>
    <w:rsid w:val="007A7E01"/>
    <w:rsid w:val="007B05F5"/>
    <w:rsid w:val="007B6A97"/>
    <w:rsid w:val="007C2805"/>
    <w:rsid w:val="007C3D60"/>
    <w:rsid w:val="007C5712"/>
    <w:rsid w:val="007C672F"/>
    <w:rsid w:val="007D0337"/>
    <w:rsid w:val="007D0701"/>
    <w:rsid w:val="007D2ED9"/>
    <w:rsid w:val="007E049C"/>
    <w:rsid w:val="007E2CB8"/>
    <w:rsid w:val="007E3A49"/>
    <w:rsid w:val="007E44F1"/>
    <w:rsid w:val="007E52D5"/>
    <w:rsid w:val="007E53F7"/>
    <w:rsid w:val="007E6145"/>
    <w:rsid w:val="007E6725"/>
    <w:rsid w:val="007E7187"/>
    <w:rsid w:val="007F00BA"/>
    <w:rsid w:val="007F13E9"/>
    <w:rsid w:val="007F202F"/>
    <w:rsid w:val="007F20D9"/>
    <w:rsid w:val="007F46F6"/>
    <w:rsid w:val="007F664A"/>
    <w:rsid w:val="007F66E6"/>
    <w:rsid w:val="007F68CC"/>
    <w:rsid w:val="00801EF2"/>
    <w:rsid w:val="00804822"/>
    <w:rsid w:val="0080586B"/>
    <w:rsid w:val="00813005"/>
    <w:rsid w:val="00813DD2"/>
    <w:rsid w:val="00813FEF"/>
    <w:rsid w:val="00817ACD"/>
    <w:rsid w:val="00823310"/>
    <w:rsid w:val="008238D0"/>
    <w:rsid w:val="008249B7"/>
    <w:rsid w:val="00826879"/>
    <w:rsid w:val="008272FD"/>
    <w:rsid w:val="00827A4E"/>
    <w:rsid w:val="00832891"/>
    <w:rsid w:val="008339A8"/>
    <w:rsid w:val="00836959"/>
    <w:rsid w:val="00843A60"/>
    <w:rsid w:val="00847D4E"/>
    <w:rsid w:val="00851D03"/>
    <w:rsid w:val="008536CE"/>
    <w:rsid w:val="00854C3B"/>
    <w:rsid w:val="00855988"/>
    <w:rsid w:val="00856D80"/>
    <w:rsid w:val="00860C40"/>
    <w:rsid w:val="00862799"/>
    <w:rsid w:val="00862A5B"/>
    <w:rsid w:val="00862D4C"/>
    <w:rsid w:val="0086441B"/>
    <w:rsid w:val="00865C7C"/>
    <w:rsid w:val="00870558"/>
    <w:rsid w:val="00872C81"/>
    <w:rsid w:val="00873E64"/>
    <w:rsid w:val="00874EBC"/>
    <w:rsid w:val="00875FFC"/>
    <w:rsid w:val="008773A8"/>
    <w:rsid w:val="00880861"/>
    <w:rsid w:val="00882168"/>
    <w:rsid w:val="008842C2"/>
    <w:rsid w:val="00884733"/>
    <w:rsid w:val="008848F1"/>
    <w:rsid w:val="00886901"/>
    <w:rsid w:val="008935DC"/>
    <w:rsid w:val="00895812"/>
    <w:rsid w:val="00896252"/>
    <w:rsid w:val="0089651C"/>
    <w:rsid w:val="00896608"/>
    <w:rsid w:val="00896BAD"/>
    <w:rsid w:val="008A35FE"/>
    <w:rsid w:val="008A5227"/>
    <w:rsid w:val="008A75A2"/>
    <w:rsid w:val="008B014B"/>
    <w:rsid w:val="008B3CF0"/>
    <w:rsid w:val="008C03A6"/>
    <w:rsid w:val="008C0905"/>
    <w:rsid w:val="008C26A3"/>
    <w:rsid w:val="008C488B"/>
    <w:rsid w:val="008C4A56"/>
    <w:rsid w:val="008C642F"/>
    <w:rsid w:val="008D05CC"/>
    <w:rsid w:val="008D0D68"/>
    <w:rsid w:val="008D306F"/>
    <w:rsid w:val="008D3292"/>
    <w:rsid w:val="008D3912"/>
    <w:rsid w:val="008D757E"/>
    <w:rsid w:val="008E098D"/>
    <w:rsid w:val="008E1877"/>
    <w:rsid w:val="008E19DD"/>
    <w:rsid w:val="008E4544"/>
    <w:rsid w:val="008E4C32"/>
    <w:rsid w:val="008E75B9"/>
    <w:rsid w:val="008F195C"/>
    <w:rsid w:val="008F3789"/>
    <w:rsid w:val="008F525A"/>
    <w:rsid w:val="008F5663"/>
    <w:rsid w:val="008F6D3F"/>
    <w:rsid w:val="008F71A1"/>
    <w:rsid w:val="008F7FE1"/>
    <w:rsid w:val="00900B9E"/>
    <w:rsid w:val="00901A45"/>
    <w:rsid w:val="00902AF3"/>
    <w:rsid w:val="009051FD"/>
    <w:rsid w:val="00911166"/>
    <w:rsid w:val="00915FA4"/>
    <w:rsid w:val="009179FB"/>
    <w:rsid w:val="009203FD"/>
    <w:rsid w:val="0092483C"/>
    <w:rsid w:val="009250ED"/>
    <w:rsid w:val="009264DF"/>
    <w:rsid w:val="009273BC"/>
    <w:rsid w:val="009317ED"/>
    <w:rsid w:val="00932ECA"/>
    <w:rsid w:val="0093355D"/>
    <w:rsid w:val="00935D92"/>
    <w:rsid w:val="009361EB"/>
    <w:rsid w:val="00941003"/>
    <w:rsid w:val="009425B3"/>
    <w:rsid w:val="00945BF2"/>
    <w:rsid w:val="00946650"/>
    <w:rsid w:val="0094711E"/>
    <w:rsid w:val="0094724E"/>
    <w:rsid w:val="00947F85"/>
    <w:rsid w:val="00952951"/>
    <w:rsid w:val="00953A07"/>
    <w:rsid w:val="00954442"/>
    <w:rsid w:val="00955B6D"/>
    <w:rsid w:val="0095619B"/>
    <w:rsid w:val="009570F0"/>
    <w:rsid w:val="00957398"/>
    <w:rsid w:val="0096219B"/>
    <w:rsid w:val="00963289"/>
    <w:rsid w:val="00963607"/>
    <w:rsid w:val="0096433A"/>
    <w:rsid w:val="009658DA"/>
    <w:rsid w:val="00965C21"/>
    <w:rsid w:val="0096675F"/>
    <w:rsid w:val="00966884"/>
    <w:rsid w:val="00971D8C"/>
    <w:rsid w:val="00971FC5"/>
    <w:rsid w:val="00972425"/>
    <w:rsid w:val="009733F5"/>
    <w:rsid w:val="00982F40"/>
    <w:rsid w:val="0098401D"/>
    <w:rsid w:val="009849E5"/>
    <w:rsid w:val="0098683C"/>
    <w:rsid w:val="0098753E"/>
    <w:rsid w:val="009923A9"/>
    <w:rsid w:val="00996071"/>
    <w:rsid w:val="009964CD"/>
    <w:rsid w:val="00997637"/>
    <w:rsid w:val="00997C7A"/>
    <w:rsid w:val="009A27D2"/>
    <w:rsid w:val="009A3E4B"/>
    <w:rsid w:val="009A4E48"/>
    <w:rsid w:val="009A53C8"/>
    <w:rsid w:val="009A6414"/>
    <w:rsid w:val="009B3D65"/>
    <w:rsid w:val="009B426B"/>
    <w:rsid w:val="009B5513"/>
    <w:rsid w:val="009B626F"/>
    <w:rsid w:val="009B7251"/>
    <w:rsid w:val="009C0ABF"/>
    <w:rsid w:val="009C43E7"/>
    <w:rsid w:val="009C5E1F"/>
    <w:rsid w:val="009D14CA"/>
    <w:rsid w:val="009D5757"/>
    <w:rsid w:val="009D7BD6"/>
    <w:rsid w:val="009D7DB0"/>
    <w:rsid w:val="009E1D78"/>
    <w:rsid w:val="009E20AB"/>
    <w:rsid w:val="009E295D"/>
    <w:rsid w:val="009E5B17"/>
    <w:rsid w:val="009E78B5"/>
    <w:rsid w:val="009E7925"/>
    <w:rsid w:val="009E798E"/>
    <w:rsid w:val="009F1127"/>
    <w:rsid w:val="009F6FBF"/>
    <w:rsid w:val="009F70DC"/>
    <w:rsid w:val="009F7243"/>
    <w:rsid w:val="00A001C3"/>
    <w:rsid w:val="00A02C15"/>
    <w:rsid w:val="00A0349A"/>
    <w:rsid w:val="00A04427"/>
    <w:rsid w:val="00A04B91"/>
    <w:rsid w:val="00A04D83"/>
    <w:rsid w:val="00A054B0"/>
    <w:rsid w:val="00A069E1"/>
    <w:rsid w:val="00A1019C"/>
    <w:rsid w:val="00A11648"/>
    <w:rsid w:val="00A1373A"/>
    <w:rsid w:val="00A2029A"/>
    <w:rsid w:val="00A222EF"/>
    <w:rsid w:val="00A24878"/>
    <w:rsid w:val="00A25ED4"/>
    <w:rsid w:val="00A26E89"/>
    <w:rsid w:val="00A30DC0"/>
    <w:rsid w:val="00A32D0C"/>
    <w:rsid w:val="00A33868"/>
    <w:rsid w:val="00A3587B"/>
    <w:rsid w:val="00A41956"/>
    <w:rsid w:val="00A42756"/>
    <w:rsid w:val="00A43AAF"/>
    <w:rsid w:val="00A43EB3"/>
    <w:rsid w:val="00A44DD4"/>
    <w:rsid w:val="00A47DD9"/>
    <w:rsid w:val="00A50FB9"/>
    <w:rsid w:val="00A51F4E"/>
    <w:rsid w:val="00A5397B"/>
    <w:rsid w:val="00A54DA6"/>
    <w:rsid w:val="00A57D58"/>
    <w:rsid w:val="00A6116D"/>
    <w:rsid w:val="00A65ED3"/>
    <w:rsid w:val="00A65F2C"/>
    <w:rsid w:val="00A71DC3"/>
    <w:rsid w:val="00A72188"/>
    <w:rsid w:val="00A728E6"/>
    <w:rsid w:val="00A734EF"/>
    <w:rsid w:val="00A737D3"/>
    <w:rsid w:val="00A73873"/>
    <w:rsid w:val="00A8041F"/>
    <w:rsid w:val="00A8062A"/>
    <w:rsid w:val="00A807A5"/>
    <w:rsid w:val="00A81327"/>
    <w:rsid w:val="00A842F8"/>
    <w:rsid w:val="00A8458D"/>
    <w:rsid w:val="00A87B0A"/>
    <w:rsid w:val="00A93198"/>
    <w:rsid w:val="00A9668D"/>
    <w:rsid w:val="00A968D0"/>
    <w:rsid w:val="00A97137"/>
    <w:rsid w:val="00AA1BF0"/>
    <w:rsid w:val="00AA4441"/>
    <w:rsid w:val="00AA5045"/>
    <w:rsid w:val="00AA73FE"/>
    <w:rsid w:val="00AA7D8F"/>
    <w:rsid w:val="00AB14AF"/>
    <w:rsid w:val="00AB1E12"/>
    <w:rsid w:val="00AC390C"/>
    <w:rsid w:val="00AC51F3"/>
    <w:rsid w:val="00AC532F"/>
    <w:rsid w:val="00AC710B"/>
    <w:rsid w:val="00AC768E"/>
    <w:rsid w:val="00AC7B67"/>
    <w:rsid w:val="00AD0521"/>
    <w:rsid w:val="00AD0B89"/>
    <w:rsid w:val="00AD3D6D"/>
    <w:rsid w:val="00AD47D4"/>
    <w:rsid w:val="00AD62D8"/>
    <w:rsid w:val="00AE1546"/>
    <w:rsid w:val="00AE33D9"/>
    <w:rsid w:val="00AE7A63"/>
    <w:rsid w:val="00AF267E"/>
    <w:rsid w:val="00AF2B78"/>
    <w:rsid w:val="00AF40BF"/>
    <w:rsid w:val="00AF4850"/>
    <w:rsid w:val="00AF63C3"/>
    <w:rsid w:val="00AF6774"/>
    <w:rsid w:val="00AF7CE1"/>
    <w:rsid w:val="00B00E7C"/>
    <w:rsid w:val="00B011E3"/>
    <w:rsid w:val="00B0301F"/>
    <w:rsid w:val="00B0351C"/>
    <w:rsid w:val="00B03934"/>
    <w:rsid w:val="00B048B1"/>
    <w:rsid w:val="00B11686"/>
    <w:rsid w:val="00B12C6B"/>
    <w:rsid w:val="00B130FA"/>
    <w:rsid w:val="00B13276"/>
    <w:rsid w:val="00B139D9"/>
    <w:rsid w:val="00B22DD8"/>
    <w:rsid w:val="00B23EDB"/>
    <w:rsid w:val="00B257FD"/>
    <w:rsid w:val="00B26826"/>
    <w:rsid w:val="00B31081"/>
    <w:rsid w:val="00B31D15"/>
    <w:rsid w:val="00B31D8E"/>
    <w:rsid w:val="00B32E81"/>
    <w:rsid w:val="00B34146"/>
    <w:rsid w:val="00B351C5"/>
    <w:rsid w:val="00B4001F"/>
    <w:rsid w:val="00B4016B"/>
    <w:rsid w:val="00B437D7"/>
    <w:rsid w:val="00B43C10"/>
    <w:rsid w:val="00B46744"/>
    <w:rsid w:val="00B477DB"/>
    <w:rsid w:val="00B50307"/>
    <w:rsid w:val="00B5050B"/>
    <w:rsid w:val="00B50EBF"/>
    <w:rsid w:val="00B513E0"/>
    <w:rsid w:val="00B53ED3"/>
    <w:rsid w:val="00B54E3D"/>
    <w:rsid w:val="00B55214"/>
    <w:rsid w:val="00B55FAF"/>
    <w:rsid w:val="00B560E5"/>
    <w:rsid w:val="00B56CE9"/>
    <w:rsid w:val="00B6037E"/>
    <w:rsid w:val="00B60810"/>
    <w:rsid w:val="00B64AEB"/>
    <w:rsid w:val="00B64D08"/>
    <w:rsid w:val="00B6589D"/>
    <w:rsid w:val="00B7088A"/>
    <w:rsid w:val="00B70A39"/>
    <w:rsid w:val="00B70AB2"/>
    <w:rsid w:val="00B72EEE"/>
    <w:rsid w:val="00B76F72"/>
    <w:rsid w:val="00B77FA9"/>
    <w:rsid w:val="00B809B1"/>
    <w:rsid w:val="00B824F1"/>
    <w:rsid w:val="00B83D9F"/>
    <w:rsid w:val="00B87183"/>
    <w:rsid w:val="00B92AD4"/>
    <w:rsid w:val="00B96364"/>
    <w:rsid w:val="00BA06A0"/>
    <w:rsid w:val="00BA1684"/>
    <w:rsid w:val="00BB1819"/>
    <w:rsid w:val="00BB42DF"/>
    <w:rsid w:val="00BB4EBA"/>
    <w:rsid w:val="00BB5DA9"/>
    <w:rsid w:val="00BB605A"/>
    <w:rsid w:val="00BC014F"/>
    <w:rsid w:val="00BC0164"/>
    <w:rsid w:val="00BC28D4"/>
    <w:rsid w:val="00BC2E52"/>
    <w:rsid w:val="00BC5B54"/>
    <w:rsid w:val="00BC78A2"/>
    <w:rsid w:val="00BD06DD"/>
    <w:rsid w:val="00BD142D"/>
    <w:rsid w:val="00BD505D"/>
    <w:rsid w:val="00BD61A7"/>
    <w:rsid w:val="00BE09CA"/>
    <w:rsid w:val="00BE114C"/>
    <w:rsid w:val="00BE7761"/>
    <w:rsid w:val="00BF03A9"/>
    <w:rsid w:val="00BF0F57"/>
    <w:rsid w:val="00BF14BC"/>
    <w:rsid w:val="00BF7292"/>
    <w:rsid w:val="00C00948"/>
    <w:rsid w:val="00C047F9"/>
    <w:rsid w:val="00C06CDB"/>
    <w:rsid w:val="00C06D0F"/>
    <w:rsid w:val="00C070FB"/>
    <w:rsid w:val="00C13799"/>
    <w:rsid w:val="00C23CD0"/>
    <w:rsid w:val="00C2460C"/>
    <w:rsid w:val="00C24D55"/>
    <w:rsid w:val="00C2552A"/>
    <w:rsid w:val="00C308BE"/>
    <w:rsid w:val="00C317D9"/>
    <w:rsid w:val="00C31E80"/>
    <w:rsid w:val="00C31F5F"/>
    <w:rsid w:val="00C32053"/>
    <w:rsid w:val="00C35925"/>
    <w:rsid w:val="00C36154"/>
    <w:rsid w:val="00C40FD8"/>
    <w:rsid w:val="00C41733"/>
    <w:rsid w:val="00C42771"/>
    <w:rsid w:val="00C430D4"/>
    <w:rsid w:val="00C43D44"/>
    <w:rsid w:val="00C462C4"/>
    <w:rsid w:val="00C55A65"/>
    <w:rsid w:val="00C57DBB"/>
    <w:rsid w:val="00C60C71"/>
    <w:rsid w:val="00C60CC4"/>
    <w:rsid w:val="00C632B3"/>
    <w:rsid w:val="00C63B7C"/>
    <w:rsid w:val="00C70D48"/>
    <w:rsid w:val="00C71038"/>
    <w:rsid w:val="00C7592C"/>
    <w:rsid w:val="00C77158"/>
    <w:rsid w:val="00C77DFE"/>
    <w:rsid w:val="00C80D4B"/>
    <w:rsid w:val="00C8215E"/>
    <w:rsid w:val="00C8278A"/>
    <w:rsid w:val="00C8558C"/>
    <w:rsid w:val="00C85ABE"/>
    <w:rsid w:val="00C87571"/>
    <w:rsid w:val="00C907EC"/>
    <w:rsid w:val="00C90A57"/>
    <w:rsid w:val="00C91F07"/>
    <w:rsid w:val="00C92120"/>
    <w:rsid w:val="00C942FC"/>
    <w:rsid w:val="00C94ADB"/>
    <w:rsid w:val="00C966DA"/>
    <w:rsid w:val="00C976B2"/>
    <w:rsid w:val="00CA1213"/>
    <w:rsid w:val="00CA2E29"/>
    <w:rsid w:val="00CA3607"/>
    <w:rsid w:val="00CA72F1"/>
    <w:rsid w:val="00CB0AA9"/>
    <w:rsid w:val="00CB0CF2"/>
    <w:rsid w:val="00CB2DCB"/>
    <w:rsid w:val="00CB4591"/>
    <w:rsid w:val="00CB6F85"/>
    <w:rsid w:val="00CC0473"/>
    <w:rsid w:val="00CC1794"/>
    <w:rsid w:val="00CC1E8D"/>
    <w:rsid w:val="00CC3970"/>
    <w:rsid w:val="00CC3ED1"/>
    <w:rsid w:val="00CC4988"/>
    <w:rsid w:val="00CD5D29"/>
    <w:rsid w:val="00CD66D5"/>
    <w:rsid w:val="00CD7529"/>
    <w:rsid w:val="00CE0A40"/>
    <w:rsid w:val="00CE1852"/>
    <w:rsid w:val="00CE2946"/>
    <w:rsid w:val="00CE4329"/>
    <w:rsid w:val="00CF1014"/>
    <w:rsid w:val="00CF7619"/>
    <w:rsid w:val="00D00698"/>
    <w:rsid w:val="00D00EA0"/>
    <w:rsid w:val="00D01999"/>
    <w:rsid w:val="00D01A50"/>
    <w:rsid w:val="00D02AFB"/>
    <w:rsid w:val="00D05D33"/>
    <w:rsid w:val="00D160F3"/>
    <w:rsid w:val="00D16CE1"/>
    <w:rsid w:val="00D17B72"/>
    <w:rsid w:val="00D17E86"/>
    <w:rsid w:val="00D201E6"/>
    <w:rsid w:val="00D20FFB"/>
    <w:rsid w:val="00D21F35"/>
    <w:rsid w:val="00D23118"/>
    <w:rsid w:val="00D2312A"/>
    <w:rsid w:val="00D2517E"/>
    <w:rsid w:val="00D25CD7"/>
    <w:rsid w:val="00D3261D"/>
    <w:rsid w:val="00D33A08"/>
    <w:rsid w:val="00D35F06"/>
    <w:rsid w:val="00D36226"/>
    <w:rsid w:val="00D455D4"/>
    <w:rsid w:val="00D45E62"/>
    <w:rsid w:val="00D46DC4"/>
    <w:rsid w:val="00D47C0B"/>
    <w:rsid w:val="00D5062B"/>
    <w:rsid w:val="00D53541"/>
    <w:rsid w:val="00D5361B"/>
    <w:rsid w:val="00D55E39"/>
    <w:rsid w:val="00D60633"/>
    <w:rsid w:val="00D620FF"/>
    <w:rsid w:val="00D63E1C"/>
    <w:rsid w:val="00D64F2D"/>
    <w:rsid w:val="00D65406"/>
    <w:rsid w:val="00D65A90"/>
    <w:rsid w:val="00D65BF3"/>
    <w:rsid w:val="00D73D35"/>
    <w:rsid w:val="00D74C34"/>
    <w:rsid w:val="00D761E4"/>
    <w:rsid w:val="00D7679A"/>
    <w:rsid w:val="00D76A3B"/>
    <w:rsid w:val="00D775EA"/>
    <w:rsid w:val="00D80DCE"/>
    <w:rsid w:val="00D83505"/>
    <w:rsid w:val="00D872B1"/>
    <w:rsid w:val="00D91D07"/>
    <w:rsid w:val="00D96107"/>
    <w:rsid w:val="00DA55F6"/>
    <w:rsid w:val="00DB5E69"/>
    <w:rsid w:val="00DC1CC0"/>
    <w:rsid w:val="00DC273F"/>
    <w:rsid w:val="00DC38B8"/>
    <w:rsid w:val="00DC4475"/>
    <w:rsid w:val="00DC58C0"/>
    <w:rsid w:val="00DD3A2B"/>
    <w:rsid w:val="00DD61DE"/>
    <w:rsid w:val="00DD7094"/>
    <w:rsid w:val="00DE11A5"/>
    <w:rsid w:val="00DE25A0"/>
    <w:rsid w:val="00DE3573"/>
    <w:rsid w:val="00DE4E91"/>
    <w:rsid w:val="00DF0B35"/>
    <w:rsid w:val="00DF39D2"/>
    <w:rsid w:val="00DF56A7"/>
    <w:rsid w:val="00DF6BBB"/>
    <w:rsid w:val="00DF7125"/>
    <w:rsid w:val="00E017F3"/>
    <w:rsid w:val="00E01912"/>
    <w:rsid w:val="00E02FD6"/>
    <w:rsid w:val="00E04749"/>
    <w:rsid w:val="00E07A22"/>
    <w:rsid w:val="00E10161"/>
    <w:rsid w:val="00E158D5"/>
    <w:rsid w:val="00E16674"/>
    <w:rsid w:val="00E20F10"/>
    <w:rsid w:val="00E21911"/>
    <w:rsid w:val="00E22571"/>
    <w:rsid w:val="00E2417A"/>
    <w:rsid w:val="00E25051"/>
    <w:rsid w:val="00E25B4B"/>
    <w:rsid w:val="00E26437"/>
    <w:rsid w:val="00E3170C"/>
    <w:rsid w:val="00E3492A"/>
    <w:rsid w:val="00E37F4B"/>
    <w:rsid w:val="00E411A9"/>
    <w:rsid w:val="00E4350D"/>
    <w:rsid w:val="00E4387D"/>
    <w:rsid w:val="00E43A22"/>
    <w:rsid w:val="00E5135B"/>
    <w:rsid w:val="00E5325E"/>
    <w:rsid w:val="00E54CEB"/>
    <w:rsid w:val="00E557D7"/>
    <w:rsid w:val="00E55E85"/>
    <w:rsid w:val="00E55EED"/>
    <w:rsid w:val="00E560EA"/>
    <w:rsid w:val="00E603B5"/>
    <w:rsid w:val="00E62588"/>
    <w:rsid w:val="00E6313E"/>
    <w:rsid w:val="00E6652A"/>
    <w:rsid w:val="00E7396A"/>
    <w:rsid w:val="00E73FD6"/>
    <w:rsid w:val="00E74EFA"/>
    <w:rsid w:val="00E75850"/>
    <w:rsid w:val="00E76CD4"/>
    <w:rsid w:val="00E81C4C"/>
    <w:rsid w:val="00E86CF4"/>
    <w:rsid w:val="00E90586"/>
    <w:rsid w:val="00E9183E"/>
    <w:rsid w:val="00E91C1D"/>
    <w:rsid w:val="00E936B6"/>
    <w:rsid w:val="00E94476"/>
    <w:rsid w:val="00E948E4"/>
    <w:rsid w:val="00E960BA"/>
    <w:rsid w:val="00E96C90"/>
    <w:rsid w:val="00E9768D"/>
    <w:rsid w:val="00EA067A"/>
    <w:rsid w:val="00EA1A26"/>
    <w:rsid w:val="00EA2F92"/>
    <w:rsid w:val="00EA4010"/>
    <w:rsid w:val="00EA5A23"/>
    <w:rsid w:val="00EA7141"/>
    <w:rsid w:val="00EB27E9"/>
    <w:rsid w:val="00EB3A5D"/>
    <w:rsid w:val="00EB5774"/>
    <w:rsid w:val="00EB6169"/>
    <w:rsid w:val="00EB64CF"/>
    <w:rsid w:val="00EB74A3"/>
    <w:rsid w:val="00EC1F3E"/>
    <w:rsid w:val="00EC65CA"/>
    <w:rsid w:val="00ED2C01"/>
    <w:rsid w:val="00ED7B9C"/>
    <w:rsid w:val="00EE2467"/>
    <w:rsid w:val="00EE3131"/>
    <w:rsid w:val="00EE3D46"/>
    <w:rsid w:val="00EE6D9A"/>
    <w:rsid w:val="00EE7426"/>
    <w:rsid w:val="00EE773C"/>
    <w:rsid w:val="00EF0027"/>
    <w:rsid w:val="00EF0F49"/>
    <w:rsid w:val="00EF26EB"/>
    <w:rsid w:val="00EF291C"/>
    <w:rsid w:val="00EF584E"/>
    <w:rsid w:val="00EF7F5C"/>
    <w:rsid w:val="00F007F5"/>
    <w:rsid w:val="00F01D4C"/>
    <w:rsid w:val="00F02583"/>
    <w:rsid w:val="00F04C12"/>
    <w:rsid w:val="00F052B6"/>
    <w:rsid w:val="00F115D4"/>
    <w:rsid w:val="00F14219"/>
    <w:rsid w:val="00F146C2"/>
    <w:rsid w:val="00F14A3D"/>
    <w:rsid w:val="00F14D65"/>
    <w:rsid w:val="00F1565A"/>
    <w:rsid w:val="00F156C3"/>
    <w:rsid w:val="00F2098C"/>
    <w:rsid w:val="00F25E14"/>
    <w:rsid w:val="00F26C68"/>
    <w:rsid w:val="00F271F7"/>
    <w:rsid w:val="00F276DE"/>
    <w:rsid w:val="00F36B32"/>
    <w:rsid w:val="00F373DE"/>
    <w:rsid w:val="00F444F7"/>
    <w:rsid w:val="00F45722"/>
    <w:rsid w:val="00F462EB"/>
    <w:rsid w:val="00F4689E"/>
    <w:rsid w:val="00F47107"/>
    <w:rsid w:val="00F50082"/>
    <w:rsid w:val="00F519C6"/>
    <w:rsid w:val="00F51B2D"/>
    <w:rsid w:val="00F53EC1"/>
    <w:rsid w:val="00F54B9B"/>
    <w:rsid w:val="00F55497"/>
    <w:rsid w:val="00F56075"/>
    <w:rsid w:val="00F57A5E"/>
    <w:rsid w:val="00F62599"/>
    <w:rsid w:val="00F62C3C"/>
    <w:rsid w:val="00F63B47"/>
    <w:rsid w:val="00F64602"/>
    <w:rsid w:val="00F65701"/>
    <w:rsid w:val="00F67697"/>
    <w:rsid w:val="00F676D8"/>
    <w:rsid w:val="00F70AF3"/>
    <w:rsid w:val="00F7219F"/>
    <w:rsid w:val="00F7230C"/>
    <w:rsid w:val="00F74C22"/>
    <w:rsid w:val="00F80B2F"/>
    <w:rsid w:val="00F814E9"/>
    <w:rsid w:val="00F81D1A"/>
    <w:rsid w:val="00F823F1"/>
    <w:rsid w:val="00F84389"/>
    <w:rsid w:val="00F84F20"/>
    <w:rsid w:val="00F851EC"/>
    <w:rsid w:val="00F854CA"/>
    <w:rsid w:val="00F855A7"/>
    <w:rsid w:val="00F86B1F"/>
    <w:rsid w:val="00F87AF0"/>
    <w:rsid w:val="00F9183A"/>
    <w:rsid w:val="00F94259"/>
    <w:rsid w:val="00F96F1F"/>
    <w:rsid w:val="00FA0025"/>
    <w:rsid w:val="00FA0E7F"/>
    <w:rsid w:val="00FA24B0"/>
    <w:rsid w:val="00FA4314"/>
    <w:rsid w:val="00FA45BB"/>
    <w:rsid w:val="00FA5099"/>
    <w:rsid w:val="00FA72FD"/>
    <w:rsid w:val="00FA7D04"/>
    <w:rsid w:val="00FB04B7"/>
    <w:rsid w:val="00FB698B"/>
    <w:rsid w:val="00FC15C9"/>
    <w:rsid w:val="00FC2F44"/>
    <w:rsid w:val="00FC52F9"/>
    <w:rsid w:val="00FC62BC"/>
    <w:rsid w:val="00FC63D2"/>
    <w:rsid w:val="00FD1481"/>
    <w:rsid w:val="00FD1746"/>
    <w:rsid w:val="00FD30D6"/>
    <w:rsid w:val="00FD6378"/>
    <w:rsid w:val="00FE2612"/>
    <w:rsid w:val="00FE2DE8"/>
    <w:rsid w:val="00FE4C9E"/>
    <w:rsid w:val="00FE5AC2"/>
    <w:rsid w:val="00FE7F47"/>
    <w:rsid w:val="00FF018B"/>
    <w:rsid w:val="00FF0708"/>
    <w:rsid w:val="00FF0CF2"/>
    <w:rsid w:val="00FF170B"/>
    <w:rsid w:val="00FF3038"/>
    <w:rsid w:val="00FF432E"/>
    <w:rsid w:val="00FF47AC"/>
    <w:rsid w:val="00FF7048"/>
    <w:rsid w:val="00FF750E"/>
    <w:rsid w:val="00FF7B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colormru v:ext="edit" colors="#eaeaea"/>
    </o:shapedefaults>
    <o:shapelayout v:ext="edit">
      <o:idmap v:ext="edit" data="1"/>
    </o:shapelayout>
  </w:shapeDefaults>
  <w:decimalSymbol w:val="."/>
  <w:listSeparator w:val=","/>
  <w14:docId w14:val="0E111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customStyle="1" w:styleId="TAMainText">
    <w:name w:val="TA_Main_Text"/>
    <w:basedOn w:val="Normal"/>
    <w:autoRedefine/>
    <w:rsid w:val="000D7E0F"/>
    <w:pPr>
      <w:spacing w:after="60"/>
      <w:jc w:val="both"/>
    </w:pPr>
    <w:rPr>
      <w:rFonts w:ascii="Arial" w:eastAsia="Times New Roman" w:hAnsi="Arial" w:cs="Arial"/>
      <w:noProof/>
      <w:kern w:val="21"/>
      <w:sz w:val="18"/>
      <w:szCs w:val="20"/>
      <w:lang w:val="en-GB" w:eastAsia="en-GB"/>
    </w:rPr>
  </w:style>
  <w:style w:type="paragraph" w:customStyle="1" w:styleId="VAFigureCaption">
    <w:name w:val="VA_Figure_Caption"/>
    <w:basedOn w:val="Normal"/>
    <w:next w:val="Normal"/>
    <w:autoRedefine/>
    <w:rsid w:val="003462A2"/>
    <w:pPr>
      <w:spacing w:before="200" w:after="120"/>
      <w:jc w:val="both"/>
    </w:pPr>
    <w:rPr>
      <w:rFonts w:ascii="Arno Pro" w:eastAsia="Times New Roman" w:hAnsi="Arno Pro"/>
      <w:kern w:val="20"/>
      <w:sz w:val="18"/>
      <w:szCs w:val="20"/>
      <w:lang w:val="en-US" w:eastAsia="en-US"/>
    </w:rPr>
  </w:style>
  <w:style w:type="paragraph" w:customStyle="1" w:styleId="TCTableBody">
    <w:name w:val="TC_Table_Body"/>
    <w:basedOn w:val="Normal"/>
    <w:next w:val="Normal"/>
    <w:link w:val="TCTableBodyChar"/>
    <w:autoRedefine/>
    <w:rsid w:val="000D35F5"/>
    <w:pPr>
      <w:spacing w:before="20" w:after="60"/>
      <w:jc w:val="center"/>
    </w:pPr>
    <w:rPr>
      <w:rFonts w:ascii="Arno Pro" w:eastAsia="Times New Roman" w:hAnsi="Arno Pro"/>
      <w:kern w:val="20"/>
      <w:sz w:val="18"/>
      <w:szCs w:val="20"/>
      <w:lang w:val="en-GB" w:eastAsia="en-US"/>
    </w:rPr>
  </w:style>
  <w:style w:type="character" w:customStyle="1" w:styleId="TCTableBodyChar">
    <w:name w:val="TC_Table_Body Char"/>
    <w:link w:val="TCTableBody"/>
    <w:rsid w:val="000D35F5"/>
    <w:rPr>
      <w:rFonts w:ascii="Arno Pro" w:eastAsia="Times New Roman" w:hAnsi="Arno Pro"/>
      <w:kern w:val="20"/>
      <w:sz w:val="18"/>
      <w:lang w:eastAsia="en-US"/>
    </w:rPr>
  </w:style>
  <w:style w:type="character" w:styleId="Hyperlink">
    <w:name w:val="Hyperlink"/>
    <w:basedOn w:val="DefaultParagraphFont"/>
    <w:uiPriority w:val="99"/>
    <w:unhideWhenUsed/>
    <w:rsid w:val="00BA06A0"/>
    <w:rPr>
      <w:color w:val="0563C1" w:themeColor="hyperlink"/>
      <w:u w:val="single"/>
    </w:rPr>
  </w:style>
  <w:style w:type="character" w:styleId="CommentReference">
    <w:name w:val="annotation reference"/>
    <w:basedOn w:val="DefaultParagraphFont"/>
    <w:uiPriority w:val="99"/>
    <w:semiHidden/>
    <w:unhideWhenUsed/>
    <w:rsid w:val="00EE773C"/>
    <w:rPr>
      <w:sz w:val="18"/>
      <w:szCs w:val="18"/>
    </w:rPr>
  </w:style>
  <w:style w:type="paragraph" w:styleId="CommentText">
    <w:name w:val="annotation text"/>
    <w:basedOn w:val="Normal"/>
    <w:link w:val="CommentTextChar"/>
    <w:uiPriority w:val="99"/>
    <w:semiHidden/>
    <w:unhideWhenUsed/>
    <w:rsid w:val="00EE773C"/>
  </w:style>
  <w:style w:type="character" w:customStyle="1" w:styleId="CommentTextChar">
    <w:name w:val="Comment Text Char"/>
    <w:basedOn w:val="DefaultParagraphFont"/>
    <w:link w:val="CommentText"/>
    <w:uiPriority w:val="99"/>
    <w:semiHidden/>
    <w:rsid w:val="00EE773C"/>
    <w:rPr>
      <w:sz w:val="24"/>
      <w:szCs w:val="24"/>
      <w:lang w:val="de-DE" w:eastAsia="ja-JP"/>
    </w:rPr>
  </w:style>
  <w:style w:type="paragraph" w:styleId="CommentSubject">
    <w:name w:val="annotation subject"/>
    <w:basedOn w:val="CommentText"/>
    <w:next w:val="CommentText"/>
    <w:link w:val="CommentSubjectChar"/>
    <w:uiPriority w:val="99"/>
    <w:semiHidden/>
    <w:unhideWhenUsed/>
    <w:rsid w:val="00EE773C"/>
    <w:rPr>
      <w:b/>
      <w:bCs/>
      <w:sz w:val="20"/>
      <w:szCs w:val="20"/>
    </w:rPr>
  </w:style>
  <w:style w:type="character" w:customStyle="1" w:styleId="CommentSubjectChar">
    <w:name w:val="Comment Subject Char"/>
    <w:basedOn w:val="CommentTextChar"/>
    <w:link w:val="CommentSubject"/>
    <w:uiPriority w:val="99"/>
    <w:semiHidden/>
    <w:rsid w:val="00EE773C"/>
    <w:rPr>
      <w:b/>
      <w:bCs/>
      <w:sz w:val="24"/>
      <w:szCs w:val="24"/>
      <w:lang w:val="de-DE" w:eastAsia="ja-JP"/>
    </w:rPr>
  </w:style>
  <w:style w:type="paragraph" w:styleId="Revision">
    <w:name w:val="Revision"/>
    <w:hidden/>
    <w:uiPriority w:val="99"/>
    <w:semiHidden/>
    <w:rsid w:val="005D35A9"/>
    <w:rPr>
      <w:sz w:val="24"/>
      <w:szCs w:val="24"/>
      <w:lang w:val="de-DE"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customStyle="1" w:styleId="TAMainText">
    <w:name w:val="TA_Main_Text"/>
    <w:basedOn w:val="Normal"/>
    <w:autoRedefine/>
    <w:rsid w:val="000D7E0F"/>
    <w:pPr>
      <w:spacing w:after="60"/>
      <w:jc w:val="both"/>
    </w:pPr>
    <w:rPr>
      <w:rFonts w:ascii="Arial" w:eastAsia="Times New Roman" w:hAnsi="Arial" w:cs="Arial"/>
      <w:noProof/>
      <w:kern w:val="21"/>
      <w:sz w:val="18"/>
      <w:szCs w:val="20"/>
      <w:lang w:val="en-GB" w:eastAsia="en-GB"/>
    </w:rPr>
  </w:style>
  <w:style w:type="paragraph" w:customStyle="1" w:styleId="VAFigureCaption">
    <w:name w:val="VA_Figure_Caption"/>
    <w:basedOn w:val="Normal"/>
    <w:next w:val="Normal"/>
    <w:autoRedefine/>
    <w:rsid w:val="003462A2"/>
    <w:pPr>
      <w:spacing w:before="200" w:after="120"/>
      <w:jc w:val="both"/>
    </w:pPr>
    <w:rPr>
      <w:rFonts w:ascii="Arno Pro" w:eastAsia="Times New Roman" w:hAnsi="Arno Pro"/>
      <w:kern w:val="20"/>
      <w:sz w:val="18"/>
      <w:szCs w:val="20"/>
      <w:lang w:val="en-US" w:eastAsia="en-US"/>
    </w:rPr>
  </w:style>
  <w:style w:type="paragraph" w:customStyle="1" w:styleId="TCTableBody">
    <w:name w:val="TC_Table_Body"/>
    <w:basedOn w:val="Normal"/>
    <w:next w:val="Normal"/>
    <w:link w:val="TCTableBodyChar"/>
    <w:autoRedefine/>
    <w:rsid w:val="000D35F5"/>
    <w:pPr>
      <w:spacing w:before="20" w:after="60"/>
      <w:jc w:val="center"/>
    </w:pPr>
    <w:rPr>
      <w:rFonts w:ascii="Arno Pro" w:eastAsia="Times New Roman" w:hAnsi="Arno Pro"/>
      <w:kern w:val="20"/>
      <w:sz w:val="18"/>
      <w:szCs w:val="20"/>
      <w:lang w:val="en-GB" w:eastAsia="en-US"/>
    </w:rPr>
  </w:style>
  <w:style w:type="character" w:customStyle="1" w:styleId="TCTableBodyChar">
    <w:name w:val="TC_Table_Body Char"/>
    <w:link w:val="TCTableBody"/>
    <w:rsid w:val="000D35F5"/>
    <w:rPr>
      <w:rFonts w:ascii="Arno Pro" w:eastAsia="Times New Roman" w:hAnsi="Arno Pro"/>
      <w:kern w:val="20"/>
      <w:sz w:val="18"/>
      <w:lang w:eastAsia="en-US"/>
    </w:rPr>
  </w:style>
  <w:style w:type="character" w:styleId="Hyperlink">
    <w:name w:val="Hyperlink"/>
    <w:basedOn w:val="DefaultParagraphFont"/>
    <w:uiPriority w:val="99"/>
    <w:unhideWhenUsed/>
    <w:rsid w:val="00BA06A0"/>
    <w:rPr>
      <w:color w:val="0563C1" w:themeColor="hyperlink"/>
      <w:u w:val="single"/>
    </w:rPr>
  </w:style>
  <w:style w:type="character" w:styleId="CommentReference">
    <w:name w:val="annotation reference"/>
    <w:basedOn w:val="DefaultParagraphFont"/>
    <w:uiPriority w:val="99"/>
    <w:semiHidden/>
    <w:unhideWhenUsed/>
    <w:rsid w:val="00EE773C"/>
    <w:rPr>
      <w:sz w:val="18"/>
      <w:szCs w:val="18"/>
    </w:rPr>
  </w:style>
  <w:style w:type="paragraph" w:styleId="CommentText">
    <w:name w:val="annotation text"/>
    <w:basedOn w:val="Normal"/>
    <w:link w:val="CommentTextChar"/>
    <w:uiPriority w:val="99"/>
    <w:semiHidden/>
    <w:unhideWhenUsed/>
    <w:rsid w:val="00EE773C"/>
  </w:style>
  <w:style w:type="character" w:customStyle="1" w:styleId="CommentTextChar">
    <w:name w:val="Comment Text Char"/>
    <w:basedOn w:val="DefaultParagraphFont"/>
    <w:link w:val="CommentText"/>
    <w:uiPriority w:val="99"/>
    <w:semiHidden/>
    <w:rsid w:val="00EE773C"/>
    <w:rPr>
      <w:sz w:val="24"/>
      <w:szCs w:val="24"/>
      <w:lang w:val="de-DE" w:eastAsia="ja-JP"/>
    </w:rPr>
  </w:style>
  <w:style w:type="paragraph" w:styleId="CommentSubject">
    <w:name w:val="annotation subject"/>
    <w:basedOn w:val="CommentText"/>
    <w:next w:val="CommentText"/>
    <w:link w:val="CommentSubjectChar"/>
    <w:uiPriority w:val="99"/>
    <w:semiHidden/>
    <w:unhideWhenUsed/>
    <w:rsid w:val="00EE773C"/>
    <w:rPr>
      <w:b/>
      <w:bCs/>
      <w:sz w:val="20"/>
      <w:szCs w:val="20"/>
    </w:rPr>
  </w:style>
  <w:style w:type="character" w:customStyle="1" w:styleId="CommentSubjectChar">
    <w:name w:val="Comment Subject Char"/>
    <w:basedOn w:val="CommentTextChar"/>
    <w:link w:val="CommentSubject"/>
    <w:uiPriority w:val="99"/>
    <w:semiHidden/>
    <w:rsid w:val="00EE773C"/>
    <w:rPr>
      <w:b/>
      <w:bCs/>
      <w:sz w:val="24"/>
      <w:szCs w:val="24"/>
      <w:lang w:val="de-DE" w:eastAsia="ja-JP"/>
    </w:rPr>
  </w:style>
  <w:style w:type="paragraph" w:styleId="Revision">
    <w:name w:val="Revision"/>
    <w:hidden/>
    <w:uiPriority w:val="99"/>
    <w:semiHidden/>
    <w:rsid w:val="005D35A9"/>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40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1" Type="http://schemas.microsoft.com/office/2011/relationships/commentsExtended" Target="commentsExtended.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6.tiff"/><Relationship Id="rId15" Type="http://schemas.openxmlformats.org/officeDocument/2006/relationships/image" Target="media/image7.tiff"/><Relationship Id="rId16" Type="http://schemas.openxmlformats.org/officeDocument/2006/relationships/image" Target="media/image8.tif"/><Relationship Id="rId17" Type="http://schemas.openxmlformats.org/officeDocument/2006/relationships/image" Target="media/image9.ti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4641F-167D-BF49-853D-EAB2630CC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3504</Words>
  <Characters>19978</Characters>
  <Application>Microsoft Macintosh Word</Application>
  <DocSecurity>0</DocSecurity>
  <Lines>166</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23436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Sprick, Sebastian</dc:creator>
  <cp:keywords/>
  <cp:lastModifiedBy>Andrew Cooper</cp:lastModifiedBy>
  <cp:revision>8</cp:revision>
  <cp:lastPrinted>2015-07-22T10:30:00Z</cp:lastPrinted>
  <dcterms:created xsi:type="dcterms:W3CDTF">2015-11-09T17:23:00Z</dcterms:created>
  <dcterms:modified xsi:type="dcterms:W3CDTF">2015-12-10T06:56:00Z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http://www.zotero.org/styles/angewandte-chemie</vt:lpwstr>
  </property>
  <property fmtid="{D5CDD505-2E9C-101B-9397-08002B2CF9AE}" pid="11" name="Mendeley Recent Style Name 4_1">
    <vt:lpwstr>Angewandte Chemie International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16th edition (author-date)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ies>
</file>