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56" w:rsidRDefault="000D5B9B" w:rsidP="009D5C56">
      <w:pPr>
        <w:spacing w:line="480" w:lineRule="auto"/>
        <w:contextualSpacing/>
        <w:jc w:val="center"/>
        <w:rPr>
          <w:rFonts w:ascii="Times New Roman" w:hAnsi="Times New Roman" w:cs="Times New Roman"/>
          <w:b/>
          <w:sz w:val="24"/>
          <w:szCs w:val="24"/>
        </w:rPr>
      </w:pPr>
      <w:r w:rsidRPr="00CD303F">
        <w:rPr>
          <w:rFonts w:ascii="Times New Roman" w:hAnsi="Times New Roman" w:cs="Times New Roman"/>
          <w:b/>
          <w:sz w:val="24"/>
          <w:szCs w:val="24"/>
        </w:rPr>
        <w:t xml:space="preserve">The </w:t>
      </w:r>
      <w:r w:rsidR="005B0FCF">
        <w:rPr>
          <w:rFonts w:ascii="Times New Roman" w:hAnsi="Times New Roman" w:cs="Times New Roman"/>
          <w:b/>
          <w:sz w:val="24"/>
          <w:szCs w:val="24"/>
        </w:rPr>
        <w:t>Irrevocable Tension Between</w:t>
      </w:r>
      <w:r w:rsidRPr="00CD303F">
        <w:rPr>
          <w:rFonts w:ascii="Times New Roman" w:hAnsi="Times New Roman" w:cs="Times New Roman"/>
          <w:b/>
          <w:sz w:val="24"/>
          <w:szCs w:val="24"/>
        </w:rPr>
        <w:t xml:space="preserve"> Sovereign and Biopower</w:t>
      </w:r>
      <w:r w:rsidR="008946FA" w:rsidRPr="00CD303F">
        <w:rPr>
          <w:rFonts w:ascii="Times New Roman" w:hAnsi="Times New Roman" w:cs="Times New Roman"/>
          <w:b/>
          <w:sz w:val="24"/>
          <w:szCs w:val="24"/>
        </w:rPr>
        <w:t xml:space="preserve">: </w:t>
      </w:r>
      <w:r w:rsidR="009D5C56" w:rsidRPr="00CD303F">
        <w:rPr>
          <w:rFonts w:ascii="Times New Roman" w:hAnsi="Times New Roman" w:cs="Times New Roman"/>
          <w:b/>
          <w:sz w:val="24"/>
          <w:szCs w:val="24"/>
        </w:rPr>
        <w:t>Torture as a Technology of Rule in Colonial India</w:t>
      </w:r>
    </w:p>
    <w:p w:rsidR="000B4E24" w:rsidRPr="00CD303F" w:rsidRDefault="000B4E24" w:rsidP="009D5C56">
      <w:pPr>
        <w:spacing w:line="480" w:lineRule="auto"/>
        <w:contextualSpacing/>
        <w:rPr>
          <w:rFonts w:ascii="Times New Roman" w:hAnsi="Times New Roman" w:cs="Times New Roman"/>
          <w:sz w:val="24"/>
          <w:szCs w:val="24"/>
        </w:rPr>
      </w:pPr>
      <w:bookmarkStart w:id="0" w:name="_GoBack"/>
      <w:bookmarkEnd w:id="0"/>
    </w:p>
    <w:p w:rsidR="00265272" w:rsidRPr="00CD303F" w:rsidRDefault="000D5B9B" w:rsidP="009D5C56">
      <w:pPr>
        <w:spacing w:line="480" w:lineRule="auto"/>
        <w:contextualSpacing/>
        <w:rPr>
          <w:rFonts w:ascii="Times New Roman" w:hAnsi="Times New Roman" w:cs="Times New Roman"/>
          <w:sz w:val="24"/>
          <w:szCs w:val="24"/>
        </w:rPr>
      </w:pPr>
      <w:r w:rsidRPr="00CD303F">
        <w:rPr>
          <w:rFonts w:ascii="Times New Roman" w:hAnsi="Times New Roman" w:cs="Times New Roman"/>
          <w:sz w:val="24"/>
          <w:szCs w:val="24"/>
        </w:rPr>
        <w:tab/>
        <w:t>Michel Foucault has explored the ways in which, beginning in the eigh</w:t>
      </w:r>
      <w:r w:rsidR="007C3674" w:rsidRPr="00CD303F">
        <w:rPr>
          <w:rFonts w:ascii="Times New Roman" w:hAnsi="Times New Roman" w:cs="Times New Roman"/>
          <w:sz w:val="24"/>
          <w:szCs w:val="24"/>
        </w:rPr>
        <w:t>teenth century, punishment started</w:t>
      </w:r>
      <w:r w:rsidRPr="00CD303F">
        <w:rPr>
          <w:rFonts w:ascii="Times New Roman" w:hAnsi="Times New Roman" w:cs="Times New Roman"/>
          <w:sz w:val="24"/>
          <w:szCs w:val="24"/>
        </w:rPr>
        <w:t xml:space="preserve"> to become “’the most hidden part of the penal process’”</w:t>
      </w:r>
      <w:r w:rsidR="000B4E24" w:rsidRPr="00CD303F">
        <w:rPr>
          <w:rFonts w:ascii="Times New Roman" w:hAnsi="Times New Roman" w:cs="Times New Roman"/>
          <w:sz w:val="24"/>
          <w:szCs w:val="24"/>
        </w:rPr>
        <w:t xml:space="preserve"> </w:t>
      </w:r>
      <w:r w:rsidR="00625AD5" w:rsidRPr="00CD303F">
        <w:rPr>
          <w:rFonts w:ascii="Times New Roman" w:hAnsi="Times New Roman" w:cs="Times New Roman"/>
          <w:sz w:val="24"/>
          <w:szCs w:val="24"/>
        </w:rPr>
        <w:t>and justice ceased to take “’public responsibility for the violence that is bound up with its practice”</w:t>
      </w:r>
      <w:r w:rsidR="000B4E24" w:rsidRPr="00CD303F">
        <w:rPr>
          <w:rFonts w:ascii="Times New Roman" w:hAnsi="Times New Roman" w:cs="Times New Roman"/>
          <w:sz w:val="24"/>
          <w:szCs w:val="24"/>
        </w:rPr>
        <w:t>.</w:t>
      </w:r>
      <w:r w:rsidR="000B4E24" w:rsidRPr="00CD303F">
        <w:rPr>
          <w:rStyle w:val="FootnoteReference"/>
          <w:rFonts w:ascii="Times New Roman" w:hAnsi="Times New Roman" w:cs="Times New Roman"/>
          <w:sz w:val="24"/>
          <w:szCs w:val="24"/>
        </w:rPr>
        <w:footnoteReference w:id="1"/>
      </w:r>
      <w:r w:rsidR="007C3674" w:rsidRPr="00CD303F">
        <w:rPr>
          <w:rFonts w:ascii="Times New Roman" w:hAnsi="Times New Roman" w:cs="Times New Roman"/>
          <w:sz w:val="24"/>
          <w:szCs w:val="24"/>
        </w:rPr>
        <w:t xml:space="preserve"> For Foucault this signalled </w:t>
      </w:r>
      <w:r w:rsidR="0065171D">
        <w:rPr>
          <w:rFonts w:ascii="Times New Roman" w:hAnsi="Times New Roman" w:cs="Times New Roman"/>
          <w:sz w:val="24"/>
          <w:szCs w:val="24"/>
        </w:rPr>
        <w:t xml:space="preserve">the emergence of biopower – or the power over life, in contrast to the </w:t>
      </w:r>
      <w:r w:rsidR="00F31FCE">
        <w:rPr>
          <w:rFonts w:ascii="Times New Roman" w:hAnsi="Times New Roman" w:cs="Times New Roman"/>
          <w:sz w:val="24"/>
          <w:szCs w:val="24"/>
        </w:rPr>
        <w:t xml:space="preserve">sovereign </w:t>
      </w:r>
      <w:r w:rsidR="0065171D">
        <w:rPr>
          <w:rFonts w:ascii="Times New Roman" w:hAnsi="Times New Roman" w:cs="Times New Roman"/>
          <w:sz w:val="24"/>
          <w:szCs w:val="24"/>
        </w:rPr>
        <w:t>power over death</w:t>
      </w:r>
      <w:r w:rsidR="00F31FCE">
        <w:rPr>
          <w:rFonts w:ascii="Times New Roman" w:hAnsi="Times New Roman" w:cs="Times New Roman"/>
          <w:sz w:val="24"/>
          <w:szCs w:val="24"/>
        </w:rPr>
        <w:t xml:space="preserve"> </w:t>
      </w:r>
      <w:r w:rsidR="0065171D">
        <w:rPr>
          <w:rFonts w:ascii="Times New Roman" w:hAnsi="Times New Roman" w:cs="Times New Roman"/>
          <w:sz w:val="24"/>
          <w:szCs w:val="24"/>
        </w:rPr>
        <w:t xml:space="preserve">– in the operation of penal practices, and with it a shift </w:t>
      </w:r>
      <w:r w:rsidR="002F37C6" w:rsidRPr="00CD303F">
        <w:rPr>
          <w:rFonts w:ascii="Times New Roman" w:hAnsi="Times New Roman" w:cs="Times New Roman"/>
          <w:sz w:val="24"/>
          <w:szCs w:val="24"/>
        </w:rPr>
        <w:t xml:space="preserve">away from corporal punishment to </w:t>
      </w:r>
      <w:r w:rsidR="000078AA" w:rsidRPr="00CD303F">
        <w:rPr>
          <w:rFonts w:ascii="Times New Roman" w:hAnsi="Times New Roman" w:cs="Times New Roman"/>
          <w:sz w:val="24"/>
          <w:szCs w:val="24"/>
        </w:rPr>
        <w:t>incarceral disciplining</w:t>
      </w:r>
      <w:r w:rsidR="00A10143" w:rsidRPr="00CD303F">
        <w:rPr>
          <w:rFonts w:ascii="Times New Roman" w:hAnsi="Times New Roman" w:cs="Times New Roman"/>
          <w:sz w:val="24"/>
          <w:szCs w:val="24"/>
        </w:rPr>
        <w:t>.</w:t>
      </w:r>
      <w:r w:rsidR="00205D1E" w:rsidRPr="00CD303F">
        <w:rPr>
          <w:rFonts w:ascii="Times New Roman" w:hAnsi="Times New Roman" w:cs="Times New Roman"/>
          <w:sz w:val="24"/>
          <w:szCs w:val="24"/>
        </w:rPr>
        <w:t xml:space="preserve"> Although</w:t>
      </w:r>
      <w:r w:rsidR="002A2535" w:rsidRPr="00CD303F">
        <w:rPr>
          <w:rFonts w:ascii="Times New Roman" w:hAnsi="Times New Roman" w:cs="Times New Roman"/>
          <w:sz w:val="24"/>
          <w:szCs w:val="24"/>
        </w:rPr>
        <w:t xml:space="preserve"> Foucault locates the emergence of such a penological model in Europe, scholars of colonialism have argued that it was part of a larger disciplinary and regulatory regime that </w:t>
      </w:r>
      <w:r w:rsidR="0005082C" w:rsidRPr="00CD303F">
        <w:rPr>
          <w:rFonts w:ascii="Times New Roman" w:hAnsi="Times New Roman" w:cs="Times New Roman"/>
          <w:sz w:val="24"/>
          <w:szCs w:val="24"/>
        </w:rPr>
        <w:t>emerged through interconnections between Europe and its colonies</w:t>
      </w:r>
      <w:r w:rsidR="002A2535" w:rsidRPr="00CD303F">
        <w:rPr>
          <w:rFonts w:ascii="Times New Roman" w:hAnsi="Times New Roman" w:cs="Times New Roman"/>
          <w:sz w:val="24"/>
          <w:szCs w:val="24"/>
        </w:rPr>
        <w:t>.</w:t>
      </w:r>
      <w:r w:rsidR="00804C90" w:rsidRPr="00CD303F">
        <w:rPr>
          <w:rStyle w:val="FootnoteReference"/>
          <w:rFonts w:ascii="Times New Roman" w:hAnsi="Times New Roman" w:cs="Times New Roman"/>
          <w:sz w:val="24"/>
          <w:szCs w:val="24"/>
        </w:rPr>
        <w:footnoteReference w:id="2"/>
      </w:r>
      <w:r w:rsidR="0005082C" w:rsidRPr="00CD303F">
        <w:rPr>
          <w:rFonts w:ascii="Times New Roman" w:hAnsi="Times New Roman" w:cs="Times New Roman"/>
          <w:sz w:val="24"/>
          <w:szCs w:val="24"/>
        </w:rPr>
        <w:t xml:space="preserve"> In the case of colonial India, </w:t>
      </w:r>
      <w:r w:rsidR="002A7F03" w:rsidRPr="00CD303F">
        <w:rPr>
          <w:rFonts w:ascii="Times New Roman" w:hAnsi="Times New Roman" w:cs="Times New Roman"/>
          <w:sz w:val="24"/>
          <w:szCs w:val="24"/>
        </w:rPr>
        <w:t xml:space="preserve">as in other colonial contexts, </w:t>
      </w:r>
      <w:r w:rsidR="00FF143D" w:rsidRPr="00CD303F">
        <w:rPr>
          <w:rFonts w:ascii="Times New Roman" w:hAnsi="Times New Roman" w:cs="Times New Roman"/>
          <w:sz w:val="24"/>
          <w:szCs w:val="24"/>
        </w:rPr>
        <w:t xml:space="preserve">biopolitical technologies </w:t>
      </w:r>
      <w:r w:rsidR="007B08B7" w:rsidRPr="00CD303F">
        <w:rPr>
          <w:rFonts w:ascii="Times New Roman" w:hAnsi="Times New Roman" w:cs="Times New Roman"/>
          <w:sz w:val="24"/>
          <w:szCs w:val="24"/>
        </w:rPr>
        <w:t xml:space="preserve">facilitated </w:t>
      </w:r>
      <w:r w:rsidR="00302CE1" w:rsidRPr="00CD303F">
        <w:rPr>
          <w:rFonts w:ascii="Times New Roman" w:hAnsi="Times New Roman" w:cs="Times New Roman"/>
          <w:sz w:val="24"/>
          <w:szCs w:val="24"/>
        </w:rPr>
        <w:t xml:space="preserve">the gradual demise of public execution </w:t>
      </w:r>
      <w:r w:rsidR="00F31FCE">
        <w:rPr>
          <w:rFonts w:ascii="Times New Roman" w:hAnsi="Times New Roman" w:cs="Times New Roman"/>
          <w:sz w:val="24"/>
          <w:szCs w:val="24"/>
        </w:rPr>
        <w:t>in the early nineteenth century</w:t>
      </w:r>
      <w:r w:rsidR="00302CE1" w:rsidRPr="00CD303F">
        <w:rPr>
          <w:rFonts w:ascii="Times New Roman" w:hAnsi="Times New Roman" w:cs="Times New Roman"/>
          <w:sz w:val="24"/>
          <w:szCs w:val="24"/>
        </w:rPr>
        <w:t xml:space="preserve"> and the replacement of forms of punishment such as torture and mutilation with labour. </w:t>
      </w:r>
      <w:r w:rsidR="005418C0" w:rsidRPr="00CD303F">
        <w:rPr>
          <w:rFonts w:ascii="Times New Roman" w:hAnsi="Times New Roman" w:cs="Times New Roman"/>
          <w:sz w:val="24"/>
          <w:szCs w:val="24"/>
        </w:rPr>
        <w:t xml:space="preserve">But </w:t>
      </w:r>
      <w:r w:rsidR="00ED51B3" w:rsidRPr="00CD303F">
        <w:rPr>
          <w:rFonts w:ascii="Times New Roman" w:hAnsi="Times New Roman" w:cs="Times New Roman"/>
          <w:sz w:val="24"/>
          <w:szCs w:val="24"/>
        </w:rPr>
        <w:t xml:space="preserve">the rationale for such transformations in penal practices, while in part </w:t>
      </w:r>
      <w:r w:rsidR="00BE5ABD" w:rsidRPr="00CD303F">
        <w:rPr>
          <w:rFonts w:ascii="Times New Roman" w:hAnsi="Times New Roman" w:cs="Times New Roman"/>
          <w:sz w:val="24"/>
          <w:szCs w:val="24"/>
        </w:rPr>
        <w:t>driven by the urge</w:t>
      </w:r>
      <w:r w:rsidR="00ED51B3" w:rsidRPr="00CD303F">
        <w:rPr>
          <w:rFonts w:ascii="Times New Roman" w:hAnsi="Times New Roman" w:cs="Times New Roman"/>
          <w:sz w:val="24"/>
          <w:szCs w:val="24"/>
        </w:rPr>
        <w:t xml:space="preserve"> to </w:t>
      </w:r>
      <w:r w:rsidR="00A924F6">
        <w:rPr>
          <w:rFonts w:ascii="Times New Roman" w:hAnsi="Times New Roman" w:cs="Times New Roman"/>
          <w:sz w:val="24"/>
          <w:szCs w:val="24"/>
        </w:rPr>
        <w:t xml:space="preserve">manage the </w:t>
      </w:r>
      <w:r w:rsidR="006A6DE2">
        <w:rPr>
          <w:rFonts w:ascii="Times New Roman" w:hAnsi="Times New Roman" w:cs="Times New Roman"/>
          <w:sz w:val="24"/>
          <w:szCs w:val="24"/>
        </w:rPr>
        <w:t xml:space="preserve">Indian </w:t>
      </w:r>
      <w:r w:rsidR="00A924F6">
        <w:rPr>
          <w:rFonts w:ascii="Times New Roman" w:hAnsi="Times New Roman" w:cs="Times New Roman"/>
          <w:sz w:val="24"/>
          <w:szCs w:val="24"/>
        </w:rPr>
        <w:t>population</w:t>
      </w:r>
      <w:r w:rsidR="00ED51B3" w:rsidRPr="00CD303F">
        <w:rPr>
          <w:rFonts w:ascii="Times New Roman" w:hAnsi="Times New Roman" w:cs="Times New Roman"/>
          <w:sz w:val="24"/>
          <w:szCs w:val="24"/>
        </w:rPr>
        <w:t xml:space="preserve">, was also </w:t>
      </w:r>
      <w:r w:rsidR="00BE5ABD" w:rsidRPr="00CD303F">
        <w:rPr>
          <w:rFonts w:ascii="Times New Roman" w:hAnsi="Times New Roman" w:cs="Times New Roman"/>
          <w:sz w:val="24"/>
          <w:szCs w:val="24"/>
        </w:rPr>
        <w:t>fostered by concerns</w:t>
      </w:r>
      <w:r w:rsidR="00ED51B3" w:rsidRPr="00CD303F">
        <w:rPr>
          <w:rFonts w:ascii="Times New Roman" w:hAnsi="Times New Roman" w:cs="Times New Roman"/>
          <w:sz w:val="24"/>
          <w:szCs w:val="24"/>
        </w:rPr>
        <w:t xml:space="preserve"> </w:t>
      </w:r>
      <w:r w:rsidR="00BE5ABD" w:rsidRPr="00CD303F">
        <w:rPr>
          <w:rFonts w:ascii="Times New Roman" w:hAnsi="Times New Roman" w:cs="Times New Roman"/>
          <w:sz w:val="24"/>
          <w:szCs w:val="24"/>
        </w:rPr>
        <w:t>about the need to</w:t>
      </w:r>
      <w:r w:rsidR="00ED51B3" w:rsidRPr="00CD303F">
        <w:rPr>
          <w:rFonts w:ascii="Times New Roman" w:hAnsi="Times New Roman" w:cs="Times New Roman"/>
          <w:sz w:val="24"/>
          <w:szCs w:val="24"/>
        </w:rPr>
        <w:t xml:space="preserve"> </w:t>
      </w:r>
      <w:r w:rsidR="005418C0" w:rsidRPr="00CD303F">
        <w:rPr>
          <w:rFonts w:ascii="Times New Roman" w:hAnsi="Times New Roman" w:cs="Times New Roman"/>
          <w:sz w:val="24"/>
          <w:szCs w:val="24"/>
        </w:rPr>
        <w:t xml:space="preserve">ameliorate </w:t>
      </w:r>
      <w:r w:rsidR="00755983" w:rsidRPr="00CD303F">
        <w:rPr>
          <w:rFonts w:ascii="Times New Roman" w:hAnsi="Times New Roman" w:cs="Times New Roman"/>
          <w:sz w:val="24"/>
          <w:szCs w:val="24"/>
        </w:rPr>
        <w:t>Indian “</w:t>
      </w:r>
      <w:r w:rsidR="005418C0" w:rsidRPr="00CD303F">
        <w:rPr>
          <w:rFonts w:ascii="Times New Roman" w:hAnsi="Times New Roman" w:cs="Times New Roman"/>
          <w:sz w:val="24"/>
          <w:szCs w:val="24"/>
        </w:rPr>
        <w:t>habits</w:t>
      </w:r>
      <w:r w:rsidR="00755983" w:rsidRPr="00CD303F">
        <w:rPr>
          <w:rFonts w:ascii="Times New Roman" w:hAnsi="Times New Roman" w:cs="Times New Roman"/>
          <w:sz w:val="24"/>
          <w:szCs w:val="24"/>
        </w:rPr>
        <w:t>”</w:t>
      </w:r>
      <w:r w:rsidR="005418C0" w:rsidRPr="00CD303F">
        <w:rPr>
          <w:rFonts w:ascii="Times New Roman" w:hAnsi="Times New Roman" w:cs="Times New Roman"/>
          <w:sz w:val="24"/>
          <w:szCs w:val="24"/>
        </w:rPr>
        <w:t xml:space="preserve"> and “prejudices” and allay anxieties regarding colonial governance.</w:t>
      </w:r>
      <w:r w:rsidR="005418C0" w:rsidRPr="00CD303F">
        <w:rPr>
          <w:rStyle w:val="FootnoteReference"/>
          <w:rFonts w:ascii="Times New Roman" w:hAnsi="Times New Roman" w:cs="Times New Roman"/>
          <w:sz w:val="24"/>
          <w:szCs w:val="24"/>
        </w:rPr>
        <w:footnoteReference w:id="3"/>
      </w:r>
      <w:r w:rsidR="00FA347A" w:rsidRPr="00CD303F">
        <w:rPr>
          <w:rFonts w:ascii="Times New Roman" w:hAnsi="Times New Roman" w:cs="Times New Roman"/>
          <w:sz w:val="24"/>
          <w:szCs w:val="24"/>
        </w:rPr>
        <w:t xml:space="preserve"> </w:t>
      </w:r>
    </w:p>
    <w:p w:rsidR="00565AB1" w:rsidRPr="00CD303F" w:rsidRDefault="00265272" w:rsidP="000917CA">
      <w:pPr>
        <w:spacing w:line="480" w:lineRule="auto"/>
        <w:ind w:firstLine="720"/>
        <w:contextualSpacing/>
        <w:rPr>
          <w:rFonts w:ascii="Times New Roman" w:hAnsi="Times New Roman" w:cs="Times New Roman"/>
          <w:sz w:val="24"/>
          <w:szCs w:val="24"/>
        </w:rPr>
      </w:pPr>
      <w:r w:rsidRPr="00CD303F">
        <w:rPr>
          <w:rFonts w:ascii="Times New Roman" w:hAnsi="Times New Roman" w:cs="Times New Roman"/>
          <w:sz w:val="24"/>
          <w:szCs w:val="24"/>
        </w:rPr>
        <w:t xml:space="preserve">Yet in spite of such concerns, torture </w:t>
      </w:r>
      <w:r w:rsidRPr="00CD303F">
        <w:rPr>
          <w:rFonts w:ascii="Times New Roman" w:hAnsi="Times New Roman" w:cs="Times New Roman"/>
          <w:i/>
          <w:sz w:val="24"/>
          <w:szCs w:val="24"/>
        </w:rPr>
        <w:t>did not</w:t>
      </w:r>
      <w:r w:rsidR="000078AA" w:rsidRPr="00CD303F">
        <w:rPr>
          <w:rFonts w:ascii="Times New Roman" w:hAnsi="Times New Roman" w:cs="Times New Roman"/>
          <w:sz w:val="24"/>
          <w:szCs w:val="24"/>
        </w:rPr>
        <w:t xml:space="preserve"> </w:t>
      </w:r>
      <w:r w:rsidRPr="00CD303F">
        <w:rPr>
          <w:rFonts w:ascii="Times New Roman" w:hAnsi="Times New Roman" w:cs="Times New Roman"/>
          <w:sz w:val="24"/>
          <w:szCs w:val="24"/>
        </w:rPr>
        <w:t>disappear as a mode of punishment in colonial India</w:t>
      </w:r>
      <w:r w:rsidR="006F0E6A" w:rsidRPr="00CD303F">
        <w:rPr>
          <w:rFonts w:ascii="Times New Roman" w:hAnsi="Times New Roman" w:cs="Times New Roman"/>
          <w:sz w:val="24"/>
          <w:szCs w:val="24"/>
        </w:rPr>
        <w:t xml:space="preserve">. True, torture ceased to be a form of </w:t>
      </w:r>
      <w:r w:rsidR="006F0E6A" w:rsidRPr="00CD303F">
        <w:rPr>
          <w:rFonts w:ascii="Times New Roman" w:hAnsi="Times New Roman" w:cs="Times New Roman"/>
          <w:i/>
          <w:sz w:val="24"/>
          <w:szCs w:val="24"/>
        </w:rPr>
        <w:t>legal</w:t>
      </w:r>
      <w:r w:rsidR="006F0E6A" w:rsidRPr="00CD303F">
        <w:rPr>
          <w:rFonts w:ascii="Times New Roman" w:hAnsi="Times New Roman" w:cs="Times New Roman"/>
          <w:sz w:val="24"/>
          <w:szCs w:val="24"/>
        </w:rPr>
        <w:t xml:space="preserve"> punishment</w:t>
      </w:r>
      <w:r w:rsidR="00AE31AF" w:rsidRPr="00CD303F">
        <w:rPr>
          <w:rFonts w:ascii="Times New Roman" w:hAnsi="Times New Roman" w:cs="Times New Roman"/>
          <w:sz w:val="24"/>
          <w:szCs w:val="24"/>
        </w:rPr>
        <w:t>,</w:t>
      </w:r>
      <w:r w:rsidR="006F0E6A" w:rsidRPr="00CD303F">
        <w:rPr>
          <w:rFonts w:ascii="Times New Roman" w:hAnsi="Times New Roman" w:cs="Times New Roman"/>
          <w:sz w:val="24"/>
          <w:szCs w:val="24"/>
        </w:rPr>
        <w:t xml:space="preserve"> but it </w:t>
      </w:r>
      <w:r w:rsidR="00AE31AF" w:rsidRPr="00CD303F">
        <w:rPr>
          <w:rFonts w:ascii="Times New Roman" w:hAnsi="Times New Roman" w:cs="Times New Roman"/>
          <w:sz w:val="24"/>
          <w:szCs w:val="24"/>
        </w:rPr>
        <w:t xml:space="preserve">continued to be </w:t>
      </w:r>
      <w:r w:rsidR="006F0E6A" w:rsidRPr="00CD303F">
        <w:rPr>
          <w:rFonts w:ascii="Times New Roman" w:hAnsi="Times New Roman" w:cs="Times New Roman"/>
          <w:sz w:val="24"/>
          <w:szCs w:val="24"/>
        </w:rPr>
        <w:t xml:space="preserve">routinely employed </w:t>
      </w:r>
      <w:r w:rsidR="0021564A" w:rsidRPr="00CD303F">
        <w:rPr>
          <w:rFonts w:ascii="Times New Roman" w:hAnsi="Times New Roman" w:cs="Times New Roman"/>
          <w:sz w:val="24"/>
          <w:szCs w:val="24"/>
        </w:rPr>
        <w:t xml:space="preserve">as a form of extra-legal punishment </w:t>
      </w:r>
      <w:r w:rsidR="006F0E6A" w:rsidRPr="00CD303F">
        <w:rPr>
          <w:rFonts w:ascii="Times New Roman" w:hAnsi="Times New Roman" w:cs="Times New Roman"/>
          <w:sz w:val="24"/>
          <w:szCs w:val="24"/>
        </w:rPr>
        <w:t xml:space="preserve">by the police and other </w:t>
      </w:r>
      <w:r w:rsidR="0074465D">
        <w:rPr>
          <w:rFonts w:ascii="Times New Roman" w:hAnsi="Times New Roman" w:cs="Times New Roman"/>
          <w:sz w:val="24"/>
          <w:szCs w:val="24"/>
        </w:rPr>
        <w:t>officials</w:t>
      </w:r>
      <w:r w:rsidR="006F0E6A" w:rsidRPr="00CD303F">
        <w:rPr>
          <w:rFonts w:ascii="Times New Roman" w:hAnsi="Times New Roman" w:cs="Times New Roman"/>
          <w:sz w:val="24"/>
          <w:szCs w:val="24"/>
        </w:rPr>
        <w:t xml:space="preserve"> (or </w:t>
      </w:r>
      <w:r w:rsidR="006F0E6A" w:rsidRPr="00CD303F">
        <w:rPr>
          <w:rFonts w:ascii="Times New Roman" w:hAnsi="Times New Roman" w:cs="Times New Roman"/>
          <w:sz w:val="24"/>
          <w:szCs w:val="24"/>
        </w:rPr>
        <w:lastRenderedPageBreak/>
        <w:t xml:space="preserve">affiliates) </w:t>
      </w:r>
      <w:r w:rsidR="00AE31AF" w:rsidRPr="00CD303F">
        <w:rPr>
          <w:rFonts w:ascii="Times New Roman" w:hAnsi="Times New Roman" w:cs="Times New Roman"/>
          <w:sz w:val="24"/>
          <w:szCs w:val="24"/>
        </w:rPr>
        <w:t xml:space="preserve">beyond the early nineteenth century </w:t>
      </w:r>
      <w:r w:rsidR="00912CA1" w:rsidRPr="00CD303F">
        <w:rPr>
          <w:rFonts w:ascii="Times New Roman" w:hAnsi="Times New Roman" w:cs="Times New Roman"/>
          <w:sz w:val="24"/>
          <w:szCs w:val="24"/>
        </w:rPr>
        <w:t>(</w:t>
      </w:r>
      <w:r w:rsidR="00AE31AF" w:rsidRPr="00CD303F">
        <w:rPr>
          <w:rFonts w:ascii="Times New Roman" w:hAnsi="Times New Roman" w:cs="Times New Roman"/>
          <w:sz w:val="24"/>
          <w:szCs w:val="24"/>
        </w:rPr>
        <w:t xml:space="preserve">indeed, as I have argued elsewhere, </w:t>
      </w:r>
      <w:r w:rsidR="00BF4A64" w:rsidRPr="00CD303F">
        <w:rPr>
          <w:rFonts w:ascii="Times New Roman" w:hAnsi="Times New Roman" w:cs="Times New Roman"/>
          <w:sz w:val="24"/>
          <w:szCs w:val="24"/>
        </w:rPr>
        <w:t xml:space="preserve">it </w:t>
      </w:r>
      <w:r w:rsidR="001E600E" w:rsidRPr="00CD303F">
        <w:rPr>
          <w:rFonts w:ascii="Times New Roman" w:hAnsi="Times New Roman" w:cs="Times New Roman"/>
          <w:sz w:val="24"/>
          <w:szCs w:val="24"/>
        </w:rPr>
        <w:t xml:space="preserve">only </w:t>
      </w:r>
      <w:r w:rsidR="00BF4A64" w:rsidRPr="00CD303F">
        <w:rPr>
          <w:rFonts w:ascii="Times New Roman" w:hAnsi="Times New Roman" w:cs="Times New Roman"/>
          <w:sz w:val="24"/>
          <w:szCs w:val="24"/>
        </w:rPr>
        <w:t>became consolidated as a technology of colonial rule in the late nineteenth century</w:t>
      </w:r>
      <w:r w:rsidR="00912CA1" w:rsidRPr="00CD303F">
        <w:rPr>
          <w:rFonts w:ascii="Times New Roman" w:hAnsi="Times New Roman" w:cs="Times New Roman"/>
          <w:sz w:val="24"/>
          <w:szCs w:val="24"/>
        </w:rPr>
        <w:t>)</w:t>
      </w:r>
      <w:r w:rsidR="00B60C8D" w:rsidRPr="00CD303F">
        <w:rPr>
          <w:rFonts w:ascii="Times New Roman" w:hAnsi="Times New Roman" w:cs="Times New Roman"/>
          <w:sz w:val="24"/>
          <w:szCs w:val="24"/>
        </w:rPr>
        <w:t>.</w:t>
      </w:r>
      <w:r w:rsidR="001944C9" w:rsidRPr="00CD303F">
        <w:rPr>
          <w:rStyle w:val="FootnoteReference"/>
          <w:rFonts w:ascii="Times New Roman" w:hAnsi="Times New Roman" w:cs="Times New Roman"/>
          <w:sz w:val="24"/>
          <w:szCs w:val="24"/>
        </w:rPr>
        <w:footnoteReference w:id="4"/>
      </w:r>
      <w:r w:rsidR="00A26F88" w:rsidRPr="00CD303F">
        <w:rPr>
          <w:rFonts w:ascii="Times New Roman" w:hAnsi="Times New Roman" w:cs="Times New Roman"/>
          <w:sz w:val="24"/>
          <w:szCs w:val="24"/>
        </w:rPr>
        <w:t xml:space="preserve"> </w:t>
      </w:r>
      <w:r w:rsidR="001944C9" w:rsidRPr="00CD303F">
        <w:rPr>
          <w:rFonts w:ascii="Times New Roman" w:hAnsi="Times New Roman" w:cs="Times New Roman"/>
          <w:sz w:val="24"/>
          <w:szCs w:val="24"/>
        </w:rPr>
        <w:t>While Foucault argued that the emergence of modern forms of power such as discipline led to “the disappearance of torture as a public spectacle”, this was not true in the case of colonial India</w:t>
      </w:r>
      <w:r w:rsidR="00B24F69" w:rsidRPr="00CD303F">
        <w:rPr>
          <w:rFonts w:ascii="Times New Roman" w:hAnsi="Times New Roman" w:cs="Times New Roman"/>
          <w:sz w:val="24"/>
          <w:szCs w:val="24"/>
        </w:rPr>
        <w:t xml:space="preserve">, where torture </w:t>
      </w:r>
      <w:r w:rsidR="008C1510">
        <w:rPr>
          <w:rFonts w:ascii="Times New Roman" w:hAnsi="Times New Roman" w:cs="Times New Roman"/>
          <w:sz w:val="24"/>
          <w:szCs w:val="24"/>
        </w:rPr>
        <w:t xml:space="preserve">by state agents </w:t>
      </w:r>
      <w:r w:rsidR="00B24F69" w:rsidRPr="00CD303F">
        <w:rPr>
          <w:rFonts w:ascii="Times New Roman" w:hAnsi="Times New Roman" w:cs="Times New Roman"/>
          <w:sz w:val="24"/>
          <w:szCs w:val="24"/>
        </w:rPr>
        <w:t>was frequently carried out in public (</w:t>
      </w:r>
      <w:r w:rsidR="00B7257C" w:rsidRPr="00CD303F">
        <w:rPr>
          <w:rFonts w:ascii="Times New Roman" w:hAnsi="Times New Roman" w:cs="Times New Roman"/>
          <w:sz w:val="24"/>
          <w:szCs w:val="24"/>
        </w:rPr>
        <w:t>at times</w:t>
      </w:r>
      <w:r w:rsidR="00B24F69" w:rsidRPr="00CD303F">
        <w:rPr>
          <w:rFonts w:ascii="Times New Roman" w:hAnsi="Times New Roman" w:cs="Times New Roman"/>
          <w:sz w:val="24"/>
          <w:szCs w:val="24"/>
        </w:rPr>
        <w:t xml:space="preserve"> even in front of a whole village)</w:t>
      </w:r>
      <w:r w:rsidR="001944C9" w:rsidRPr="00CD303F">
        <w:rPr>
          <w:rFonts w:ascii="Times New Roman" w:hAnsi="Times New Roman" w:cs="Times New Roman"/>
          <w:sz w:val="24"/>
          <w:szCs w:val="24"/>
        </w:rPr>
        <w:t>.</w:t>
      </w:r>
      <w:r w:rsidR="001944C9" w:rsidRPr="00CD303F">
        <w:rPr>
          <w:rStyle w:val="FootnoteReference"/>
          <w:rFonts w:ascii="Times New Roman" w:hAnsi="Times New Roman" w:cs="Times New Roman"/>
          <w:sz w:val="24"/>
          <w:szCs w:val="24"/>
        </w:rPr>
        <w:footnoteReference w:id="5"/>
      </w:r>
      <w:r w:rsidR="00FE63FF" w:rsidRPr="00CD303F">
        <w:rPr>
          <w:rFonts w:ascii="Times New Roman" w:hAnsi="Times New Roman" w:cs="Times New Roman"/>
          <w:sz w:val="24"/>
          <w:szCs w:val="24"/>
        </w:rPr>
        <w:t xml:space="preserve"> Even when not carried out as such an overt form of spectacle, </w:t>
      </w:r>
      <w:r w:rsidR="00B7257C" w:rsidRPr="00CD303F">
        <w:rPr>
          <w:rFonts w:ascii="Times New Roman" w:hAnsi="Times New Roman" w:cs="Times New Roman"/>
          <w:sz w:val="24"/>
          <w:szCs w:val="24"/>
        </w:rPr>
        <w:t xml:space="preserve">the public was often </w:t>
      </w:r>
      <w:r w:rsidR="00866A71" w:rsidRPr="00CD303F">
        <w:rPr>
          <w:rFonts w:ascii="Times New Roman" w:hAnsi="Times New Roman" w:cs="Times New Roman"/>
          <w:sz w:val="24"/>
          <w:szCs w:val="24"/>
        </w:rPr>
        <w:t xml:space="preserve">made aware that torture was taking place through the appropriation of private space (such as the house </w:t>
      </w:r>
      <w:r w:rsidR="0088274A" w:rsidRPr="00CD303F">
        <w:rPr>
          <w:rFonts w:ascii="Times New Roman" w:hAnsi="Times New Roman" w:cs="Times New Roman"/>
          <w:sz w:val="24"/>
          <w:szCs w:val="24"/>
        </w:rPr>
        <w:t xml:space="preserve">or courtyard </w:t>
      </w:r>
      <w:r w:rsidR="00866A71" w:rsidRPr="00CD303F">
        <w:rPr>
          <w:rFonts w:ascii="Times New Roman" w:hAnsi="Times New Roman" w:cs="Times New Roman"/>
          <w:sz w:val="24"/>
          <w:szCs w:val="24"/>
        </w:rPr>
        <w:t xml:space="preserve">of a prominent villager, or purported </w:t>
      </w:r>
      <w:r w:rsidR="00C7758E" w:rsidRPr="00CD303F">
        <w:rPr>
          <w:rFonts w:ascii="Times New Roman" w:hAnsi="Times New Roman" w:cs="Times New Roman"/>
          <w:sz w:val="24"/>
          <w:szCs w:val="24"/>
        </w:rPr>
        <w:t>victim of crime</w:t>
      </w:r>
      <w:r w:rsidR="0088274A" w:rsidRPr="00CD303F">
        <w:rPr>
          <w:rFonts w:ascii="Times New Roman" w:hAnsi="Times New Roman" w:cs="Times New Roman"/>
          <w:sz w:val="24"/>
          <w:szCs w:val="24"/>
        </w:rPr>
        <w:t xml:space="preserve">) </w:t>
      </w:r>
      <w:r w:rsidR="009F7F9A" w:rsidRPr="00CD303F">
        <w:rPr>
          <w:rFonts w:ascii="Times New Roman" w:hAnsi="Times New Roman" w:cs="Times New Roman"/>
          <w:sz w:val="24"/>
          <w:szCs w:val="24"/>
        </w:rPr>
        <w:t>and the audibility of the sufferings of the torture victims (villagers often reported hearing but not seeing torture take place).</w:t>
      </w:r>
      <w:r w:rsidR="00866A71" w:rsidRPr="00CD303F">
        <w:rPr>
          <w:rFonts w:ascii="Times New Roman" w:hAnsi="Times New Roman" w:cs="Times New Roman"/>
          <w:sz w:val="24"/>
          <w:szCs w:val="24"/>
        </w:rPr>
        <w:t xml:space="preserve"> </w:t>
      </w:r>
      <w:r w:rsidR="00102D7A" w:rsidRPr="00CD303F">
        <w:rPr>
          <w:rFonts w:ascii="Times New Roman" w:hAnsi="Times New Roman" w:cs="Times New Roman"/>
          <w:sz w:val="24"/>
          <w:szCs w:val="24"/>
        </w:rPr>
        <w:t>In the case of colonial India, therefore, “The body as a major target of penal repression” did not, as Foucault asserts, disappear.</w:t>
      </w:r>
      <w:r w:rsidR="00102D7A" w:rsidRPr="00CD303F">
        <w:rPr>
          <w:rStyle w:val="FootnoteReference"/>
          <w:rFonts w:ascii="Times New Roman" w:hAnsi="Times New Roman" w:cs="Times New Roman"/>
          <w:sz w:val="24"/>
          <w:szCs w:val="24"/>
        </w:rPr>
        <w:footnoteReference w:id="6"/>
      </w:r>
      <w:r w:rsidR="000917CA" w:rsidRPr="00CD303F">
        <w:rPr>
          <w:rFonts w:ascii="Times New Roman" w:hAnsi="Times New Roman" w:cs="Times New Roman"/>
          <w:sz w:val="24"/>
          <w:szCs w:val="24"/>
        </w:rPr>
        <w:t xml:space="preserve"> </w:t>
      </w:r>
      <w:r w:rsidR="00016E9E" w:rsidRPr="00CD303F">
        <w:rPr>
          <w:rFonts w:ascii="Times New Roman" w:hAnsi="Times New Roman" w:cs="Times New Roman"/>
          <w:sz w:val="24"/>
          <w:szCs w:val="24"/>
        </w:rPr>
        <w:t xml:space="preserve">The public </w:t>
      </w:r>
      <w:r w:rsidR="000917CA" w:rsidRPr="00CD303F">
        <w:rPr>
          <w:rFonts w:ascii="Times New Roman" w:hAnsi="Times New Roman" w:cs="Times New Roman"/>
          <w:sz w:val="24"/>
          <w:szCs w:val="24"/>
        </w:rPr>
        <w:t>and embodied nature</w:t>
      </w:r>
      <w:r w:rsidR="00016E9E" w:rsidRPr="00CD303F">
        <w:rPr>
          <w:rFonts w:ascii="Times New Roman" w:hAnsi="Times New Roman" w:cs="Times New Roman"/>
          <w:sz w:val="24"/>
          <w:szCs w:val="24"/>
        </w:rPr>
        <w:t xml:space="preserve"> of </w:t>
      </w:r>
      <w:r w:rsidR="007F1F35" w:rsidRPr="00CD303F">
        <w:rPr>
          <w:rFonts w:ascii="Times New Roman" w:hAnsi="Times New Roman" w:cs="Times New Roman"/>
          <w:sz w:val="24"/>
          <w:szCs w:val="24"/>
        </w:rPr>
        <w:t>such</w:t>
      </w:r>
      <w:r w:rsidR="00016E9E" w:rsidRPr="00CD303F">
        <w:rPr>
          <w:rFonts w:ascii="Times New Roman" w:hAnsi="Times New Roman" w:cs="Times New Roman"/>
          <w:sz w:val="24"/>
          <w:szCs w:val="24"/>
        </w:rPr>
        <w:t xml:space="preserve"> violence meant that the </w:t>
      </w:r>
      <w:r w:rsidR="00386095" w:rsidRPr="00CD303F">
        <w:rPr>
          <w:rFonts w:ascii="Times New Roman" w:hAnsi="Times New Roman" w:cs="Times New Roman"/>
          <w:sz w:val="24"/>
          <w:szCs w:val="24"/>
        </w:rPr>
        <w:t>colon</w:t>
      </w:r>
      <w:r w:rsidR="001F43DF" w:rsidRPr="00CD303F">
        <w:rPr>
          <w:rFonts w:ascii="Times New Roman" w:hAnsi="Times New Roman" w:cs="Times New Roman"/>
          <w:sz w:val="24"/>
          <w:szCs w:val="24"/>
        </w:rPr>
        <w:t xml:space="preserve">ial regime was </w:t>
      </w:r>
      <w:r w:rsidR="00ED2A0A" w:rsidRPr="00CD303F">
        <w:rPr>
          <w:rFonts w:ascii="Times New Roman" w:hAnsi="Times New Roman" w:cs="Times New Roman"/>
          <w:sz w:val="24"/>
          <w:szCs w:val="24"/>
        </w:rPr>
        <w:t>hence</w:t>
      </w:r>
      <w:r w:rsidR="000917CA" w:rsidRPr="00CD303F">
        <w:rPr>
          <w:rFonts w:ascii="Times New Roman" w:hAnsi="Times New Roman" w:cs="Times New Roman"/>
          <w:sz w:val="24"/>
          <w:szCs w:val="24"/>
        </w:rPr>
        <w:t xml:space="preserve"> compelled</w:t>
      </w:r>
      <w:r w:rsidR="00386095" w:rsidRPr="00CD303F">
        <w:rPr>
          <w:rFonts w:ascii="Times New Roman" w:hAnsi="Times New Roman" w:cs="Times New Roman"/>
          <w:sz w:val="24"/>
          <w:szCs w:val="24"/>
        </w:rPr>
        <w:t xml:space="preserve">, if not exactly to acknowledge responsibility for </w:t>
      </w:r>
      <w:r w:rsidR="007F1F35" w:rsidRPr="00CD303F">
        <w:rPr>
          <w:rFonts w:ascii="Times New Roman" w:hAnsi="Times New Roman" w:cs="Times New Roman"/>
          <w:sz w:val="24"/>
          <w:szCs w:val="24"/>
        </w:rPr>
        <w:t>it</w:t>
      </w:r>
      <w:r w:rsidR="00386095" w:rsidRPr="00CD303F">
        <w:rPr>
          <w:rFonts w:ascii="Times New Roman" w:hAnsi="Times New Roman" w:cs="Times New Roman"/>
          <w:sz w:val="24"/>
          <w:szCs w:val="24"/>
        </w:rPr>
        <w:t xml:space="preserve">, </w:t>
      </w:r>
      <w:r w:rsidR="001F43DF" w:rsidRPr="00CD303F">
        <w:rPr>
          <w:rFonts w:ascii="Times New Roman" w:hAnsi="Times New Roman" w:cs="Times New Roman"/>
          <w:sz w:val="24"/>
          <w:szCs w:val="24"/>
        </w:rPr>
        <w:t xml:space="preserve">to </w:t>
      </w:r>
      <w:r w:rsidR="00386095" w:rsidRPr="00CD303F">
        <w:rPr>
          <w:rFonts w:ascii="Times New Roman" w:hAnsi="Times New Roman" w:cs="Times New Roman"/>
          <w:sz w:val="24"/>
          <w:szCs w:val="24"/>
        </w:rPr>
        <w:t xml:space="preserve">at least </w:t>
      </w:r>
      <w:r w:rsidR="00952ACC" w:rsidRPr="00CD303F">
        <w:rPr>
          <w:rFonts w:ascii="Times New Roman" w:hAnsi="Times New Roman" w:cs="Times New Roman"/>
          <w:sz w:val="24"/>
          <w:szCs w:val="24"/>
        </w:rPr>
        <w:t>be held accountable</w:t>
      </w:r>
      <w:r w:rsidR="00386095" w:rsidRPr="00CD303F">
        <w:rPr>
          <w:rFonts w:ascii="Times New Roman" w:hAnsi="Times New Roman" w:cs="Times New Roman"/>
          <w:sz w:val="24"/>
          <w:szCs w:val="24"/>
        </w:rPr>
        <w:t xml:space="preserve">. </w:t>
      </w:r>
    </w:p>
    <w:p w:rsidR="003A6C90" w:rsidRPr="00CD303F" w:rsidRDefault="00E753B2" w:rsidP="005C4137">
      <w:pPr>
        <w:spacing w:line="480" w:lineRule="auto"/>
        <w:ind w:firstLine="720"/>
        <w:rPr>
          <w:rFonts w:ascii="Times New Roman" w:hAnsi="Times New Roman" w:cs="Times New Roman"/>
          <w:sz w:val="24"/>
          <w:szCs w:val="24"/>
        </w:rPr>
      </w:pPr>
      <w:r w:rsidRPr="00CD303F">
        <w:rPr>
          <w:rFonts w:ascii="Times New Roman" w:hAnsi="Times New Roman" w:cs="Times New Roman"/>
          <w:sz w:val="24"/>
          <w:szCs w:val="24"/>
        </w:rPr>
        <w:t xml:space="preserve">This </w:t>
      </w:r>
      <w:r w:rsidR="009F35AC" w:rsidRPr="00CD303F">
        <w:rPr>
          <w:rFonts w:ascii="Times New Roman" w:hAnsi="Times New Roman" w:cs="Times New Roman"/>
          <w:sz w:val="24"/>
          <w:szCs w:val="24"/>
        </w:rPr>
        <w:t xml:space="preserve">chapter </w:t>
      </w:r>
      <w:r w:rsidR="00952ACC" w:rsidRPr="00CD303F">
        <w:rPr>
          <w:rFonts w:ascii="Times New Roman" w:hAnsi="Times New Roman" w:cs="Times New Roman"/>
          <w:sz w:val="24"/>
          <w:szCs w:val="24"/>
        </w:rPr>
        <w:t>will</w:t>
      </w:r>
      <w:r w:rsidR="009F258E" w:rsidRPr="00CD303F">
        <w:rPr>
          <w:rFonts w:ascii="Times New Roman" w:hAnsi="Times New Roman" w:cs="Times New Roman"/>
          <w:sz w:val="24"/>
          <w:szCs w:val="24"/>
        </w:rPr>
        <w:t xml:space="preserve"> </w:t>
      </w:r>
      <w:r w:rsidR="006D28CA">
        <w:rPr>
          <w:rFonts w:ascii="Times New Roman" w:hAnsi="Times New Roman" w:cs="Times New Roman"/>
          <w:sz w:val="24"/>
          <w:szCs w:val="24"/>
        </w:rPr>
        <w:t>analyse</w:t>
      </w:r>
      <w:r w:rsidR="009F258E" w:rsidRPr="00CD303F">
        <w:rPr>
          <w:rFonts w:ascii="Times New Roman" w:hAnsi="Times New Roman" w:cs="Times New Roman"/>
          <w:sz w:val="24"/>
          <w:szCs w:val="24"/>
        </w:rPr>
        <w:t xml:space="preserve"> a seeming paradox, namely how the colonial regime in India sought to stamp out the use of torture by state agents while in effect inscribing it as a key technology of colonial rule. Understanding such a paradox requires </w:t>
      </w:r>
      <w:r w:rsidR="00E21DF5">
        <w:rPr>
          <w:rFonts w:ascii="Times New Roman" w:hAnsi="Times New Roman" w:cs="Times New Roman"/>
          <w:sz w:val="24"/>
          <w:szCs w:val="24"/>
        </w:rPr>
        <w:t>going beyond</w:t>
      </w:r>
      <w:r w:rsidR="00BE47FA">
        <w:rPr>
          <w:rFonts w:ascii="Times New Roman" w:hAnsi="Times New Roman" w:cs="Times New Roman"/>
          <w:sz w:val="24"/>
          <w:szCs w:val="24"/>
        </w:rPr>
        <w:t xml:space="preserve"> </w:t>
      </w:r>
      <w:r w:rsidR="00F35CC4">
        <w:rPr>
          <w:rFonts w:ascii="Times New Roman" w:hAnsi="Times New Roman" w:cs="Times New Roman"/>
          <w:sz w:val="24"/>
          <w:szCs w:val="24"/>
        </w:rPr>
        <w:t xml:space="preserve">analyses of colonial power in which different forms of power are analysed in isolation to explore </w:t>
      </w:r>
      <w:r w:rsidR="004A1638" w:rsidRPr="00CD303F">
        <w:rPr>
          <w:rFonts w:ascii="Times New Roman" w:hAnsi="Times New Roman" w:cs="Times New Roman"/>
          <w:sz w:val="24"/>
          <w:szCs w:val="24"/>
        </w:rPr>
        <w:t xml:space="preserve">the </w:t>
      </w:r>
      <w:r w:rsidR="00D74850" w:rsidRPr="00CD303F">
        <w:rPr>
          <w:rFonts w:ascii="Times New Roman" w:hAnsi="Times New Roman" w:cs="Times New Roman"/>
          <w:sz w:val="24"/>
          <w:szCs w:val="24"/>
        </w:rPr>
        <w:t>tensions between sovereig</w:t>
      </w:r>
      <w:r w:rsidR="006035A2" w:rsidRPr="00CD303F">
        <w:rPr>
          <w:rFonts w:ascii="Times New Roman" w:hAnsi="Times New Roman" w:cs="Times New Roman"/>
          <w:sz w:val="24"/>
          <w:szCs w:val="24"/>
        </w:rPr>
        <w:t>n and biopolitical power</w:t>
      </w:r>
      <w:r w:rsidR="009F258E" w:rsidRPr="00CD303F">
        <w:rPr>
          <w:rFonts w:ascii="Times New Roman" w:hAnsi="Times New Roman" w:cs="Times New Roman"/>
          <w:sz w:val="24"/>
          <w:szCs w:val="24"/>
        </w:rPr>
        <w:t xml:space="preserve"> in the operation of state power</w:t>
      </w:r>
      <w:r w:rsidR="006035A2" w:rsidRPr="00CD303F">
        <w:rPr>
          <w:rFonts w:ascii="Times New Roman" w:hAnsi="Times New Roman" w:cs="Times New Roman"/>
          <w:sz w:val="24"/>
          <w:szCs w:val="24"/>
        </w:rPr>
        <w:t>.</w:t>
      </w:r>
      <w:r w:rsidR="009A3813">
        <w:rPr>
          <w:rFonts w:ascii="Times New Roman" w:hAnsi="Times New Roman" w:cs="Times New Roman"/>
          <w:sz w:val="24"/>
          <w:szCs w:val="24"/>
        </w:rPr>
        <w:t xml:space="preserve"> </w:t>
      </w:r>
      <w:r w:rsidR="004E27A7" w:rsidRPr="00CD303F">
        <w:rPr>
          <w:rFonts w:ascii="Times New Roman" w:hAnsi="Times New Roman" w:cs="Times New Roman"/>
          <w:sz w:val="24"/>
          <w:szCs w:val="24"/>
        </w:rPr>
        <w:t xml:space="preserve">I aim to </w:t>
      </w:r>
      <w:r w:rsidR="004E27A7" w:rsidRPr="00CD303F">
        <w:rPr>
          <w:rFonts w:ascii="Times New Roman" w:hAnsi="Times New Roman" w:cs="Times New Roman"/>
          <w:sz w:val="24"/>
          <w:szCs w:val="24"/>
        </w:rPr>
        <w:lastRenderedPageBreak/>
        <w:t xml:space="preserve">demonstrate that sovereign power in colonial India was more restrained than biopolitical power, since while the former sought to limit its right to kill (bearing in mind those Indian “habits” and “prejudices) the latter is infused with a form of racism that </w:t>
      </w:r>
      <w:r w:rsidR="00823F9D" w:rsidRPr="00CD303F">
        <w:rPr>
          <w:rFonts w:ascii="Times New Roman" w:hAnsi="Times New Roman" w:cs="Times New Roman"/>
          <w:sz w:val="24"/>
          <w:szCs w:val="24"/>
        </w:rPr>
        <w:t>in seeking</w:t>
      </w:r>
      <w:r w:rsidR="004E27A7" w:rsidRPr="00CD303F">
        <w:rPr>
          <w:rFonts w:ascii="Times New Roman" w:hAnsi="Times New Roman" w:cs="Times New Roman"/>
          <w:sz w:val="24"/>
          <w:szCs w:val="24"/>
        </w:rPr>
        <w:t xml:space="preserve"> </w:t>
      </w:r>
      <w:r w:rsidR="00823F9D" w:rsidRPr="00CD303F">
        <w:rPr>
          <w:rFonts w:ascii="Times New Roman" w:hAnsi="Times New Roman" w:cs="Times New Roman"/>
          <w:sz w:val="24"/>
          <w:szCs w:val="24"/>
        </w:rPr>
        <w:t xml:space="preserve">to strengthen or ‘protect’ </w:t>
      </w:r>
      <w:r w:rsidR="00DA3EB0" w:rsidRPr="00CD303F">
        <w:rPr>
          <w:rFonts w:ascii="Times New Roman" w:hAnsi="Times New Roman" w:cs="Times New Roman"/>
          <w:sz w:val="24"/>
          <w:szCs w:val="24"/>
        </w:rPr>
        <w:t xml:space="preserve">the bodies of particular </w:t>
      </w:r>
      <w:r w:rsidR="009B4435">
        <w:rPr>
          <w:rFonts w:ascii="Times New Roman" w:hAnsi="Times New Roman" w:cs="Times New Roman"/>
          <w:sz w:val="24"/>
          <w:szCs w:val="24"/>
        </w:rPr>
        <w:t>peoples or</w:t>
      </w:r>
      <w:r w:rsidR="009421B7" w:rsidRPr="00CD303F">
        <w:rPr>
          <w:rFonts w:ascii="Times New Roman" w:hAnsi="Times New Roman" w:cs="Times New Roman"/>
          <w:sz w:val="24"/>
          <w:szCs w:val="24"/>
        </w:rPr>
        <w:t xml:space="preserve"> </w:t>
      </w:r>
      <w:r w:rsidR="00DA3EB0" w:rsidRPr="00CD303F">
        <w:rPr>
          <w:rFonts w:ascii="Times New Roman" w:hAnsi="Times New Roman" w:cs="Times New Roman"/>
          <w:sz w:val="24"/>
          <w:szCs w:val="24"/>
        </w:rPr>
        <w:t>groups</w:t>
      </w:r>
      <w:r w:rsidR="003A20B2" w:rsidRPr="00CD303F">
        <w:rPr>
          <w:rFonts w:ascii="Times New Roman" w:hAnsi="Times New Roman" w:cs="Times New Roman"/>
          <w:sz w:val="24"/>
          <w:szCs w:val="24"/>
        </w:rPr>
        <w:t xml:space="preserve"> – if n</w:t>
      </w:r>
      <w:r w:rsidR="009421B7" w:rsidRPr="00CD303F">
        <w:rPr>
          <w:rFonts w:ascii="Times New Roman" w:hAnsi="Times New Roman" w:cs="Times New Roman"/>
          <w:sz w:val="24"/>
          <w:szCs w:val="24"/>
        </w:rPr>
        <w:t>eed be at the expense of other peoples or groups –</w:t>
      </w:r>
      <w:r w:rsidR="003A20B2" w:rsidRPr="00CD303F">
        <w:rPr>
          <w:rFonts w:ascii="Times New Roman" w:hAnsi="Times New Roman" w:cs="Times New Roman"/>
          <w:sz w:val="24"/>
          <w:szCs w:val="24"/>
        </w:rPr>
        <w:t xml:space="preserve"> </w:t>
      </w:r>
      <w:r w:rsidR="004E27A7" w:rsidRPr="00CD303F">
        <w:rPr>
          <w:rFonts w:ascii="Times New Roman" w:hAnsi="Times New Roman" w:cs="Times New Roman"/>
          <w:sz w:val="24"/>
          <w:szCs w:val="24"/>
        </w:rPr>
        <w:t>enables death to enter the apparatus of biopolitics</w:t>
      </w:r>
      <w:r w:rsidR="00E31EFA" w:rsidRPr="00CD303F">
        <w:rPr>
          <w:rFonts w:ascii="Times New Roman" w:hAnsi="Times New Roman" w:cs="Times New Roman"/>
          <w:sz w:val="24"/>
          <w:szCs w:val="24"/>
        </w:rPr>
        <w:t xml:space="preserve"> (what Achille Mbembe terms “necropolitics”)</w:t>
      </w:r>
      <w:r w:rsidR="004E27A7" w:rsidRPr="00CD303F">
        <w:rPr>
          <w:rFonts w:ascii="Times New Roman" w:hAnsi="Times New Roman" w:cs="Times New Roman"/>
          <w:sz w:val="24"/>
          <w:szCs w:val="24"/>
        </w:rPr>
        <w:t>.</w:t>
      </w:r>
      <w:r w:rsidR="00085F38" w:rsidRPr="00CD303F">
        <w:rPr>
          <w:rStyle w:val="FootnoteReference"/>
          <w:rFonts w:ascii="Times New Roman" w:hAnsi="Times New Roman" w:cs="Times New Roman"/>
          <w:sz w:val="24"/>
          <w:szCs w:val="24"/>
        </w:rPr>
        <w:footnoteReference w:id="7"/>
      </w:r>
      <w:r w:rsidR="004E27A7" w:rsidRPr="00CD303F">
        <w:rPr>
          <w:rFonts w:ascii="Times New Roman" w:hAnsi="Times New Roman" w:cs="Times New Roman"/>
          <w:sz w:val="24"/>
          <w:szCs w:val="24"/>
        </w:rPr>
        <w:t xml:space="preserve"> </w:t>
      </w:r>
      <w:r w:rsidR="006035A2" w:rsidRPr="00CD303F">
        <w:rPr>
          <w:rFonts w:ascii="Times New Roman" w:hAnsi="Times New Roman" w:cs="Times New Roman"/>
          <w:sz w:val="24"/>
          <w:szCs w:val="24"/>
        </w:rPr>
        <w:t xml:space="preserve">I </w:t>
      </w:r>
      <w:r w:rsidR="00A220E9" w:rsidRPr="00CD303F">
        <w:rPr>
          <w:rFonts w:ascii="Times New Roman" w:hAnsi="Times New Roman" w:cs="Times New Roman"/>
          <w:sz w:val="24"/>
          <w:szCs w:val="24"/>
        </w:rPr>
        <w:t>will</w:t>
      </w:r>
      <w:r w:rsidR="006035A2" w:rsidRPr="00CD303F">
        <w:rPr>
          <w:rFonts w:ascii="Times New Roman" w:hAnsi="Times New Roman" w:cs="Times New Roman"/>
          <w:sz w:val="24"/>
          <w:szCs w:val="24"/>
        </w:rPr>
        <w:t xml:space="preserve"> </w:t>
      </w:r>
      <w:r w:rsidR="00A220E9" w:rsidRPr="00CD303F">
        <w:rPr>
          <w:rFonts w:ascii="Times New Roman" w:hAnsi="Times New Roman" w:cs="Times New Roman"/>
          <w:sz w:val="24"/>
          <w:szCs w:val="24"/>
        </w:rPr>
        <w:t>elucidate</w:t>
      </w:r>
      <w:r w:rsidR="006035A2" w:rsidRPr="00CD303F">
        <w:rPr>
          <w:rFonts w:ascii="Times New Roman" w:hAnsi="Times New Roman" w:cs="Times New Roman"/>
          <w:sz w:val="24"/>
          <w:szCs w:val="24"/>
        </w:rPr>
        <w:t xml:space="preserve">, furthermore, </w:t>
      </w:r>
      <w:r w:rsidR="00A220E9" w:rsidRPr="00CD303F">
        <w:rPr>
          <w:rFonts w:ascii="Times New Roman" w:hAnsi="Times New Roman" w:cs="Times New Roman"/>
          <w:sz w:val="24"/>
          <w:szCs w:val="24"/>
        </w:rPr>
        <w:t xml:space="preserve">the ways in which </w:t>
      </w:r>
      <w:r w:rsidR="004A1638" w:rsidRPr="00CD303F">
        <w:rPr>
          <w:rFonts w:ascii="Times New Roman" w:hAnsi="Times New Roman" w:cs="Times New Roman"/>
          <w:sz w:val="24"/>
          <w:szCs w:val="24"/>
        </w:rPr>
        <w:t xml:space="preserve">welfare functions as </w:t>
      </w:r>
      <w:r w:rsidR="00D74850" w:rsidRPr="00CD303F">
        <w:rPr>
          <w:rFonts w:ascii="Times New Roman" w:hAnsi="Times New Roman" w:cs="Times New Roman"/>
          <w:sz w:val="24"/>
          <w:szCs w:val="24"/>
        </w:rPr>
        <w:t xml:space="preserve">“the governmentality </w:t>
      </w:r>
      <w:r w:rsidR="002D2722" w:rsidRPr="00CD303F">
        <w:rPr>
          <w:rFonts w:ascii="Times New Roman" w:hAnsi="Times New Roman" w:cs="Times New Roman"/>
          <w:sz w:val="24"/>
          <w:szCs w:val="24"/>
        </w:rPr>
        <w:t>of the violence of sovereignty</w:t>
      </w:r>
      <w:r w:rsidR="00E31EFA" w:rsidRPr="00CD303F">
        <w:rPr>
          <w:rFonts w:ascii="Times New Roman" w:hAnsi="Times New Roman" w:cs="Times New Roman"/>
          <w:sz w:val="24"/>
          <w:szCs w:val="24"/>
        </w:rPr>
        <w:t>”</w:t>
      </w:r>
      <w:r w:rsidR="00805A41" w:rsidRPr="00CD303F">
        <w:rPr>
          <w:rFonts w:ascii="Times New Roman" w:hAnsi="Times New Roman" w:cs="Times New Roman"/>
          <w:sz w:val="24"/>
          <w:szCs w:val="24"/>
        </w:rPr>
        <w:t>.</w:t>
      </w:r>
      <w:r w:rsidR="00E31EFA" w:rsidRPr="00CD303F">
        <w:rPr>
          <w:rStyle w:val="FootnoteReference"/>
          <w:rFonts w:ascii="Times New Roman" w:hAnsi="Times New Roman" w:cs="Times New Roman"/>
          <w:sz w:val="24"/>
          <w:szCs w:val="24"/>
        </w:rPr>
        <w:footnoteReference w:id="8"/>
      </w:r>
      <w:r w:rsidR="00805A41" w:rsidRPr="00CD303F">
        <w:rPr>
          <w:rFonts w:ascii="Times New Roman" w:hAnsi="Times New Roman" w:cs="Times New Roman"/>
          <w:sz w:val="24"/>
          <w:szCs w:val="24"/>
        </w:rPr>
        <w:t xml:space="preserve"> Finally, I will analyse how,</w:t>
      </w:r>
      <w:r w:rsidR="002D2722" w:rsidRPr="00CD303F">
        <w:rPr>
          <w:rFonts w:ascii="Times New Roman" w:hAnsi="Times New Roman" w:cs="Times New Roman"/>
          <w:sz w:val="24"/>
          <w:szCs w:val="24"/>
        </w:rPr>
        <w:t xml:space="preserve"> </w:t>
      </w:r>
      <w:r w:rsidR="007B64EC" w:rsidRPr="00CD303F">
        <w:rPr>
          <w:rFonts w:ascii="Times New Roman" w:hAnsi="Times New Roman" w:cs="Times New Roman"/>
          <w:sz w:val="24"/>
          <w:szCs w:val="24"/>
        </w:rPr>
        <w:t>while a “perverse homogeneity” may have exi</w:t>
      </w:r>
      <w:r w:rsidR="008864EF" w:rsidRPr="00CD303F">
        <w:rPr>
          <w:rFonts w:ascii="Times New Roman" w:hAnsi="Times New Roman" w:cs="Times New Roman"/>
          <w:sz w:val="24"/>
          <w:szCs w:val="24"/>
        </w:rPr>
        <w:t>s</w:t>
      </w:r>
      <w:r w:rsidR="007B64EC" w:rsidRPr="00CD303F">
        <w:rPr>
          <w:rFonts w:ascii="Times New Roman" w:hAnsi="Times New Roman" w:cs="Times New Roman"/>
          <w:sz w:val="24"/>
          <w:szCs w:val="24"/>
        </w:rPr>
        <w:t>ted in the operation of sovereign and biopower when it came to torture,</w:t>
      </w:r>
      <w:r w:rsidR="005C4137">
        <w:rPr>
          <w:rFonts w:ascii="Times New Roman" w:hAnsi="Times New Roman" w:cs="Times New Roman"/>
          <w:sz w:val="24"/>
          <w:szCs w:val="24"/>
        </w:rPr>
        <w:t xml:space="preserve"> as the Torture Commission set up in Madras in 1854 reveals,</w:t>
      </w:r>
      <w:r w:rsidR="007B64EC" w:rsidRPr="00CD303F">
        <w:rPr>
          <w:rFonts w:ascii="Times New Roman" w:hAnsi="Times New Roman" w:cs="Times New Roman"/>
          <w:sz w:val="24"/>
          <w:szCs w:val="24"/>
        </w:rPr>
        <w:t xml:space="preserve"> </w:t>
      </w:r>
      <w:r w:rsidR="005C4137">
        <w:rPr>
          <w:rFonts w:ascii="Times New Roman" w:hAnsi="Times New Roman" w:cs="Times New Roman"/>
          <w:sz w:val="24"/>
          <w:szCs w:val="24"/>
        </w:rPr>
        <w:t>the</w:t>
      </w:r>
      <w:r w:rsidR="00034BA0" w:rsidRPr="00CD303F">
        <w:rPr>
          <w:rFonts w:ascii="Times New Roman" w:hAnsi="Times New Roman" w:cs="Times New Roman"/>
          <w:sz w:val="24"/>
          <w:szCs w:val="24"/>
        </w:rPr>
        <w:t xml:space="preserve"> heterogeneity of</w:t>
      </w:r>
      <w:r w:rsidR="005C4137">
        <w:rPr>
          <w:rFonts w:ascii="Times New Roman" w:hAnsi="Times New Roman" w:cs="Times New Roman"/>
          <w:sz w:val="24"/>
          <w:szCs w:val="24"/>
        </w:rPr>
        <w:t>, and tensions between,</w:t>
      </w:r>
      <w:r w:rsidR="00034BA0" w:rsidRPr="00CD303F">
        <w:rPr>
          <w:rFonts w:ascii="Times New Roman" w:hAnsi="Times New Roman" w:cs="Times New Roman"/>
          <w:sz w:val="24"/>
          <w:szCs w:val="24"/>
        </w:rPr>
        <w:t xml:space="preserve"> these forms of power </w:t>
      </w:r>
      <w:r w:rsidR="005C4137">
        <w:rPr>
          <w:rFonts w:ascii="Times New Roman" w:hAnsi="Times New Roman" w:cs="Times New Roman"/>
          <w:sz w:val="24"/>
          <w:szCs w:val="24"/>
        </w:rPr>
        <w:t>began to become apparent in colonial India by the mid-nineteenth century</w:t>
      </w:r>
      <w:r w:rsidR="007B64EC" w:rsidRPr="00CD303F">
        <w:rPr>
          <w:rFonts w:ascii="Times New Roman" w:hAnsi="Times New Roman" w:cs="Times New Roman"/>
          <w:sz w:val="24"/>
          <w:szCs w:val="24"/>
        </w:rPr>
        <w:t>.</w:t>
      </w:r>
      <w:r w:rsidR="007B64EC" w:rsidRPr="00CD303F">
        <w:rPr>
          <w:rStyle w:val="FootnoteReference"/>
          <w:rFonts w:ascii="Times New Roman" w:hAnsi="Times New Roman" w:cs="Times New Roman"/>
          <w:sz w:val="24"/>
          <w:szCs w:val="24"/>
        </w:rPr>
        <w:footnoteReference w:id="9"/>
      </w:r>
    </w:p>
    <w:p w:rsidR="00B97E96" w:rsidRPr="00CD303F" w:rsidRDefault="00B97E96" w:rsidP="003107FD">
      <w:pPr>
        <w:spacing w:line="480" w:lineRule="auto"/>
        <w:contextualSpacing/>
        <w:rPr>
          <w:rFonts w:ascii="Times New Roman" w:hAnsi="Times New Roman" w:cs="Times New Roman"/>
          <w:b/>
          <w:sz w:val="24"/>
          <w:szCs w:val="24"/>
        </w:rPr>
      </w:pPr>
    </w:p>
    <w:p w:rsidR="003107FD" w:rsidRPr="00CD303F" w:rsidRDefault="003107FD" w:rsidP="003107FD">
      <w:pPr>
        <w:spacing w:line="480" w:lineRule="auto"/>
        <w:contextualSpacing/>
        <w:rPr>
          <w:rFonts w:ascii="Times New Roman" w:hAnsi="Times New Roman" w:cs="Times New Roman"/>
          <w:b/>
          <w:sz w:val="24"/>
          <w:szCs w:val="24"/>
        </w:rPr>
      </w:pPr>
      <w:r w:rsidRPr="00CD303F">
        <w:rPr>
          <w:rFonts w:ascii="Times New Roman" w:hAnsi="Times New Roman" w:cs="Times New Roman"/>
          <w:b/>
          <w:sz w:val="24"/>
          <w:szCs w:val="24"/>
        </w:rPr>
        <w:t>Governmentality, Biopower and Sovereignty</w:t>
      </w:r>
    </w:p>
    <w:p w:rsidR="003107FD" w:rsidRPr="00CD303F" w:rsidRDefault="003107FD" w:rsidP="003107FD">
      <w:pPr>
        <w:spacing w:line="480" w:lineRule="auto"/>
        <w:contextualSpacing/>
        <w:rPr>
          <w:rFonts w:ascii="Times New Roman" w:hAnsi="Times New Roman" w:cs="Times New Roman"/>
          <w:sz w:val="24"/>
          <w:szCs w:val="24"/>
        </w:rPr>
      </w:pPr>
    </w:p>
    <w:p w:rsidR="002C3C80" w:rsidRPr="00CD303F" w:rsidRDefault="009D5C56" w:rsidP="00CB48C1">
      <w:pPr>
        <w:spacing w:line="480" w:lineRule="auto"/>
        <w:ind w:firstLine="720"/>
        <w:contextualSpacing/>
        <w:rPr>
          <w:rFonts w:ascii="Times New Roman" w:hAnsi="Times New Roman" w:cs="Times New Roman"/>
          <w:sz w:val="24"/>
          <w:szCs w:val="24"/>
        </w:rPr>
      </w:pPr>
      <w:r w:rsidRPr="00CD303F">
        <w:rPr>
          <w:rFonts w:ascii="Times New Roman" w:hAnsi="Times New Roman" w:cs="Times New Roman"/>
          <w:sz w:val="24"/>
          <w:szCs w:val="24"/>
        </w:rPr>
        <w:t xml:space="preserve">The last two decades have seen the emergence of a rich field of scholarship </w:t>
      </w:r>
      <w:r w:rsidR="00C815A9" w:rsidRPr="00CD303F">
        <w:rPr>
          <w:rFonts w:ascii="Times New Roman" w:hAnsi="Times New Roman" w:cs="Times New Roman"/>
          <w:sz w:val="24"/>
          <w:szCs w:val="24"/>
        </w:rPr>
        <w:t>on colonial governmentalities. Heeding David Scott’s call</w:t>
      </w:r>
      <w:r w:rsidR="00181D8C" w:rsidRPr="00CD303F">
        <w:rPr>
          <w:rFonts w:ascii="Times New Roman" w:hAnsi="Times New Roman" w:cs="Times New Roman"/>
          <w:sz w:val="24"/>
          <w:szCs w:val="24"/>
        </w:rPr>
        <w:t>,</w:t>
      </w:r>
      <w:r w:rsidR="00C815A9" w:rsidRPr="00CD303F">
        <w:rPr>
          <w:rFonts w:ascii="Times New Roman" w:hAnsi="Times New Roman" w:cs="Times New Roman"/>
          <w:sz w:val="24"/>
          <w:szCs w:val="24"/>
        </w:rPr>
        <w:t xml:space="preserve"> in his seminal article on colonial governmentality</w:t>
      </w:r>
      <w:r w:rsidR="00181D8C" w:rsidRPr="00CD303F">
        <w:rPr>
          <w:rFonts w:ascii="Times New Roman" w:hAnsi="Times New Roman" w:cs="Times New Roman"/>
          <w:sz w:val="24"/>
          <w:szCs w:val="24"/>
        </w:rPr>
        <w:t>,</w:t>
      </w:r>
      <w:r w:rsidR="00CB48C1" w:rsidRPr="00CD303F">
        <w:rPr>
          <w:rFonts w:ascii="Times New Roman" w:hAnsi="Times New Roman" w:cs="Times New Roman"/>
          <w:sz w:val="24"/>
          <w:szCs w:val="24"/>
        </w:rPr>
        <w:t xml:space="preserve"> to explore “</w:t>
      </w:r>
      <w:r w:rsidR="00C815A9" w:rsidRPr="00CD303F">
        <w:rPr>
          <w:rFonts w:ascii="Times New Roman" w:hAnsi="Times New Roman" w:cs="Times New Roman"/>
          <w:sz w:val="24"/>
          <w:szCs w:val="24"/>
        </w:rPr>
        <w:t>the different political rationalities, different configurations of power, [which] took th</w:t>
      </w:r>
      <w:r w:rsidR="00CB48C1" w:rsidRPr="00CD303F">
        <w:rPr>
          <w:rFonts w:ascii="Times New Roman" w:hAnsi="Times New Roman" w:cs="Times New Roman"/>
          <w:sz w:val="24"/>
          <w:szCs w:val="24"/>
        </w:rPr>
        <w:t>e stage in commanding positions”</w:t>
      </w:r>
      <w:r w:rsidR="00C815A9" w:rsidRPr="00CD303F">
        <w:rPr>
          <w:rFonts w:ascii="Times New Roman" w:hAnsi="Times New Roman" w:cs="Times New Roman"/>
          <w:sz w:val="24"/>
          <w:szCs w:val="24"/>
        </w:rPr>
        <w:t xml:space="preserve"> </w:t>
      </w:r>
      <w:r w:rsidR="00CB48C1" w:rsidRPr="00CD303F">
        <w:rPr>
          <w:rFonts w:ascii="Times New Roman" w:hAnsi="Times New Roman" w:cs="Times New Roman"/>
          <w:sz w:val="24"/>
          <w:szCs w:val="24"/>
        </w:rPr>
        <w:t>within “</w:t>
      </w:r>
      <w:r w:rsidR="00C815A9" w:rsidRPr="00CD303F">
        <w:rPr>
          <w:rFonts w:ascii="Times New Roman" w:hAnsi="Times New Roman" w:cs="Times New Roman"/>
          <w:sz w:val="24"/>
          <w:szCs w:val="24"/>
        </w:rPr>
        <w:t xml:space="preserve">the structures and projects that gave shape to the colonial enterprise as a whole”, scholars of colonialism </w:t>
      </w:r>
      <w:r w:rsidR="00F11659" w:rsidRPr="00CD303F">
        <w:rPr>
          <w:rFonts w:ascii="Times New Roman" w:hAnsi="Times New Roman" w:cs="Times New Roman"/>
          <w:sz w:val="24"/>
          <w:szCs w:val="24"/>
        </w:rPr>
        <w:t xml:space="preserve">have examined the emergence and consolidation of governmental power in colonial contexts through a range of projects of modernization undertaken by colonial regimes, as well as the appropriation of </w:t>
      </w:r>
      <w:r w:rsidR="00F11659" w:rsidRPr="00CD303F">
        <w:rPr>
          <w:rFonts w:ascii="Times New Roman" w:hAnsi="Times New Roman" w:cs="Times New Roman"/>
          <w:sz w:val="24"/>
          <w:szCs w:val="24"/>
        </w:rPr>
        <w:lastRenderedPageBreak/>
        <w:t>such a technolo</w:t>
      </w:r>
      <w:r w:rsidR="00467392" w:rsidRPr="00CD303F">
        <w:rPr>
          <w:rFonts w:ascii="Times New Roman" w:hAnsi="Times New Roman" w:cs="Times New Roman"/>
          <w:sz w:val="24"/>
          <w:szCs w:val="24"/>
        </w:rPr>
        <w:t>gy of rule by nationalist movement</w:t>
      </w:r>
      <w:r w:rsidR="00F11659" w:rsidRPr="00CD303F">
        <w:rPr>
          <w:rFonts w:ascii="Times New Roman" w:hAnsi="Times New Roman" w:cs="Times New Roman"/>
          <w:sz w:val="24"/>
          <w:szCs w:val="24"/>
        </w:rPr>
        <w:t xml:space="preserve">s </w:t>
      </w:r>
      <w:r w:rsidR="00C74637" w:rsidRPr="00CD303F">
        <w:rPr>
          <w:rFonts w:ascii="Times New Roman" w:hAnsi="Times New Roman" w:cs="Times New Roman"/>
          <w:sz w:val="24"/>
          <w:szCs w:val="24"/>
        </w:rPr>
        <w:t>in an effort to both challenge and appropriate</w:t>
      </w:r>
      <w:r w:rsidR="00F11659" w:rsidRPr="00CD303F">
        <w:rPr>
          <w:rFonts w:ascii="Times New Roman" w:hAnsi="Times New Roman" w:cs="Times New Roman"/>
          <w:sz w:val="24"/>
          <w:szCs w:val="24"/>
        </w:rPr>
        <w:t xml:space="preserve"> the project of colonial modernity</w:t>
      </w:r>
      <w:r w:rsidR="00C74637" w:rsidRPr="00CD303F">
        <w:rPr>
          <w:rFonts w:ascii="Times New Roman" w:hAnsi="Times New Roman" w:cs="Times New Roman"/>
          <w:sz w:val="24"/>
          <w:szCs w:val="24"/>
        </w:rPr>
        <w:t xml:space="preserve"> an</w:t>
      </w:r>
      <w:r w:rsidR="002C1D1F" w:rsidRPr="00CD303F">
        <w:rPr>
          <w:rFonts w:ascii="Times New Roman" w:hAnsi="Times New Roman" w:cs="Times New Roman"/>
          <w:sz w:val="24"/>
          <w:szCs w:val="24"/>
        </w:rPr>
        <w:t xml:space="preserve">d </w:t>
      </w:r>
      <w:r w:rsidR="00C74637" w:rsidRPr="00CD303F">
        <w:rPr>
          <w:rFonts w:ascii="Times New Roman" w:hAnsi="Times New Roman" w:cs="Times New Roman"/>
          <w:sz w:val="24"/>
          <w:szCs w:val="24"/>
        </w:rPr>
        <w:t>enable colonized subjects to govern themselves.</w:t>
      </w:r>
      <w:r w:rsidR="003F1220" w:rsidRPr="00CD303F">
        <w:rPr>
          <w:rStyle w:val="FootnoteReference"/>
          <w:rFonts w:ascii="Times New Roman" w:hAnsi="Times New Roman" w:cs="Times New Roman"/>
          <w:sz w:val="24"/>
          <w:szCs w:val="24"/>
        </w:rPr>
        <w:footnoteReference w:id="10"/>
      </w:r>
      <w:r w:rsidR="00F11659" w:rsidRPr="00CD303F">
        <w:rPr>
          <w:rFonts w:ascii="Times New Roman" w:hAnsi="Times New Roman" w:cs="Times New Roman"/>
          <w:sz w:val="24"/>
          <w:szCs w:val="24"/>
        </w:rPr>
        <w:t xml:space="preserve"> </w:t>
      </w:r>
      <w:r w:rsidR="0010228D" w:rsidRPr="00CD303F">
        <w:rPr>
          <w:rFonts w:ascii="Times New Roman" w:hAnsi="Times New Roman" w:cs="Times New Roman"/>
          <w:sz w:val="24"/>
          <w:szCs w:val="24"/>
        </w:rPr>
        <w:t xml:space="preserve">They have also demonstrated the incongruities </w:t>
      </w:r>
      <w:r w:rsidR="00732EF0" w:rsidRPr="00CD303F">
        <w:rPr>
          <w:rFonts w:ascii="Times New Roman" w:hAnsi="Times New Roman" w:cs="Times New Roman"/>
          <w:sz w:val="24"/>
          <w:szCs w:val="24"/>
        </w:rPr>
        <w:t>– if, while not wishing to posit a normative governmentality, we</w:t>
      </w:r>
      <w:r w:rsidR="0013733E" w:rsidRPr="00CD303F">
        <w:rPr>
          <w:rFonts w:ascii="Times New Roman" w:hAnsi="Times New Roman" w:cs="Times New Roman"/>
          <w:sz w:val="24"/>
          <w:szCs w:val="24"/>
        </w:rPr>
        <w:t xml:space="preserve"> can use such a term – </w:t>
      </w:r>
      <w:r w:rsidR="00732EF0" w:rsidRPr="00CD303F">
        <w:rPr>
          <w:rFonts w:ascii="Times New Roman" w:hAnsi="Times New Roman" w:cs="Times New Roman"/>
          <w:sz w:val="24"/>
          <w:szCs w:val="24"/>
        </w:rPr>
        <w:t xml:space="preserve"> </w:t>
      </w:r>
      <w:r w:rsidR="0010228D" w:rsidRPr="00CD303F">
        <w:rPr>
          <w:rFonts w:ascii="Times New Roman" w:hAnsi="Times New Roman" w:cs="Times New Roman"/>
          <w:sz w:val="24"/>
          <w:szCs w:val="24"/>
        </w:rPr>
        <w:t>in the ways in which governmental powe</w:t>
      </w:r>
      <w:r w:rsidR="00FF06EF" w:rsidRPr="00CD303F">
        <w:rPr>
          <w:rFonts w:ascii="Times New Roman" w:hAnsi="Times New Roman" w:cs="Times New Roman"/>
          <w:sz w:val="24"/>
          <w:szCs w:val="24"/>
        </w:rPr>
        <w:t>r operated in colonial contexts</w:t>
      </w:r>
      <w:r w:rsidR="002C3C80" w:rsidRPr="00CD303F">
        <w:rPr>
          <w:rFonts w:ascii="Times New Roman" w:hAnsi="Times New Roman" w:cs="Times New Roman"/>
          <w:sz w:val="24"/>
          <w:szCs w:val="24"/>
        </w:rPr>
        <w:t xml:space="preserve"> or of </w:t>
      </w:r>
      <w:r w:rsidR="00952BFC" w:rsidRPr="00CD303F">
        <w:rPr>
          <w:rFonts w:ascii="Times New Roman" w:hAnsi="Times New Roman" w:cs="Times New Roman"/>
          <w:sz w:val="24"/>
          <w:szCs w:val="24"/>
        </w:rPr>
        <w:t>how</w:t>
      </w:r>
      <w:r w:rsidR="00CB48C1" w:rsidRPr="00CD303F">
        <w:rPr>
          <w:rFonts w:ascii="Times New Roman" w:hAnsi="Times New Roman" w:cs="Times New Roman"/>
          <w:sz w:val="24"/>
          <w:szCs w:val="24"/>
        </w:rPr>
        <w:t xml:space="preserve">, rather than being </w:t>
      </w:r>
      <w:r w:rsidR="002C3C80" w:rsidRPr="00CD303F">
        <w:rPr>
          <w:rFonts w:ascii="Times New Roman" w:hAnsi="Times New Roman" w:cs="Times New Roman"/>
          <w:sz w:val="24"/>
          <w:szCs w:val="24"/>
        </w:rPr>
        <w:t>“the tropicalizaiton of its Western form”, colonial governmentality was, instead, fundamentally dislocated.</w:t>
      </w:r>
      <w:r w:rsidR="003F1220" w:rsidRPr="00CD303F">
        <w:rPr>
          <w:rStyle w:val="FootnoteReference"/>
          <w:rFonts w:ascii="Times New Roman" w:hAnsi="Times New Roman" w:cs="Times New Roman"/>
          <w:sz w:val="24"/>
          <w:szCs w:val="24"/>
        </w:rPr>
        <w:footnoteReference w:id="11"/>
      </w:r>
    </w:p>
    <w:p w:rsidR="004D195E" w:rsidRPr="00CD303F" w:rsidRDefault="00A14FE5" w:rsidP="006B3B92">
      <w:pPr>
        <w:spacing w:line="480" w:lineRule="auto"/>
        <w:ind w:firstLine="720"/>
        <w:contextualSpacing/>
        <w:rPr>
          <w:rFonts w:ascii="Times New Roman" w:hAnsi="Times New Roman" w:cs="Times New Roman"/>
          <w:sz w:val="24"/>
          <w:szCs w:val="24"/>
        </w:rPr>
      </w:pPr>
      <w:r w:rsidRPr="00CD303F">
        <w:rPr>
          <w:rFonts w:ascii="Times New Roman" w:hAnsi="Times New Roman" w:cs="Times New Roman"/>
          <w:sz w:val="24"/>
          <w:szCs w:val="24"/>
        </w:rPr>
        <w:t>As I have argued elsewhere, c</w:t>
      </w:r>
      <w:r w:rsidR="000976FA" w:rsidRPr="00CD303F">
        <w:rPr>
          <w:rFonts w:ascii="Times New Roman" w:hAnsi="Times New Roman" w:cs="Times New Roman"/>
          <w:sz w:val="24"/>
          <w:szCs w:val="24"/>
        </w:rPr>
        <w:t>oloni</w:t>
      </w:r>
      <w:r w:rsidR="003B2AB3" w:rsidRPr="00CD303F">
        <w:rPr>
          <w:rFonts w:ascii="Times New Roman" w:hAnsi="Times New Roman" w:cs="Times New Roman"/>
          <w:sz w:val="24"/>
          <w:szCs w:val="24"/>
        </w:rPr>
        <w:t xml:space="preserve">al regimes were, to begin with, </w:t>
      </w:r>
      <w:r w:rsidR="00A42A6E" w:rsidRPr="00CD303F">
        <w:rPr>
          <w:rFonts w:ascii="Times New Roman" w:hAnsi="Times New Roman" w:cs="Times New Roman"/>
          <w:sz w:val="24"/>
          <w:szCs w:val="24"/>
        </w:rPr>
        <w:t>more concerned with maintaining colonial structures of power than in regulating the bodies of their subjects in order to maintain a hea</w:t>
      </w:r>
      <w:r w:rsidR="00905336" w:rsidRPr="00CD303F">
        <w:rPr>
          <w:rFonts w:ascii="Times New Roman" w:hAnsi="Times New Roman" w:cs="Times New Roman"/>
          <w:sz w:val="24"/>
          <w:szCs w:val="24"/>
        </w:rPr>
        <w:t>lthy and productive population</w:t>
      </w:r>
      <w:r w:rsidR="003B2AB3" w:rsidRPr="00CD303F">
        <w:rPr>
          <w:rFonts w:ascii="Times New Roman" w:hAnsi="Times New Roman" w:cs="Times New Roman"/>
          <w:sz w:val="24"/>
          <w:szCs w:val="24"/>
        </w:rPr>
        <w:t>.</w:t>
      </w:r>
      <w:r w:rsidR="003B2AB3" w:rsidRPr="00CD303F">
        <w:rPr>
          <w:rStyle w:val="FootnoteReference"/>
          <w:rFonts w:ascii="Times New Roman" w:hAnsi="Times New Roman" w:cs="Times New Roman"/>
          <w:sz w:val="24"/>
          <w:szCs w:val="24"/>
        </w:rPr>
        <w:footnoteReference w:id="12"/>
      </w:r>
      <w:r w:rsidR="008A7449" w:rsidRPr="00CD303F">
        <w:rPr>
          <w:rFonts w:ascii="Times New Roman" w:hAnsi="Times New Roman" w:cs="Times New Roman"/>
          <w:sz w:val="24"/>
          <w:szCs w:val="24"/>
        </w:rPr>
        <w:t xml:space="preserve"> Since, moreover, such regimes were both despotic and operated through enshrining what Partha Chatterjee has termed a “rule of colonial difference”, which served to reproduce difference between the colonizers and the colonized, they were </w:t>
      </w:r>
      <w:r w:rsidR="000976FA" w:rsidRPr="00CD303F">
        <w:rPr>
          <w:rFonts w:ascii="Times New Roman" w:hAnsi="Times New Roman" w:cs="Times New Roman"/>
          <w:sz w:val="24"/>
          <w:szCs w:val="24"/>
        </w:rPr>
        <w:t>incapable of “fulfilling the criterion of representativeness . . . that makes modern power a matter of interiorized self-discipline, rather than external coercion.”</w:t>
      </w:r>
      <w:r w:rsidR="003F1220" w:rsidRPr="00CD303F">
        <w:rPr>
          <w:rStyle w:val="FootnoteReference"/>
          <w:rFonts w:ascii="Times New Roman" w:hAnsi="Times New Roman" w:cs="Times New Roman"/>
          <w:sz w:val="24"/>
          <w:szCs w:val="24"/>
        </w:rPr>
        <w:footnoteReference w:id="13"/>
      </w:r>
      <w:r w:rsidR="000976FA" w:rsidRPr="00CD303F">
        <w:rPr>
          <w:rFonts w:ascii="Times New Roman" w:hAnsi="Times New Roman" w:cs="Times New Roman"/>
          <w:sz w:val="24"/>
          <w:szCs w:val="24"/>
        </w:rPr>
        <w:t xml:space="preserve"> </w:t>
      </w:r>
      <w:r w:rsidR="00181D8C" w:rsidRPr="00CD303F">
        <w:rPr>
          <w:rFonts w:ascii="Times New Roman" w:hAnsi="Times New Roman" w:cs="Times New Roman"/>
          <w:sz w:val="24"/>
          <w:szCs w:val="24"/>
        </w:rPr>
        <w:t xml:space="preserve">Such a lack of representativeness hindered, moreover, the generation of a </w:t>
      </w:r>
      <w:r w:rsidR="00905336" w:rsidRPr="00CD303F">
        <w:rPr>
          <w:rFonts w:ascii="Times New Roman" w:hAnsi="Times New Roman" w:cs="Times New Roman"/>
          <w:sz w:val="24"/>
          <w:szCs w:val="24"/>
        </w:rPr>
        <w:t>confluence of interests between the governance of others and of the self.</w:t>
      </w:r>
      <w:r w:rsidR="00905336" w:rsidRPr="00CD303F">
        <w:rPr>
          <w:rStyle w:val="FootnoteReference"/>
          <w:rFonts w:ascii="Times New Roman" w:hAnsi="Times New Roman" w:cs="Times New Roman"/>
          <w:sz w:val="24"/>
          <w:szCs w:val="24"/>
        </w:rPr>
        <w:footnoteReference w:id="14"/>
      </w:r>
      <w:r w:rsidR="000976FA" w:rsidRPr="00CD303F">
        <w:rPr>
          <w:rFonts w:ascii="Times New Roman" w:hAnsi="Times New Roman" w:cs="Times New Roman"/>
          <w:sz w:val="24"/>
          <w:szCs w:val="24"/>
        </w:rPr>
        <w:t xml:space="preserve"> </w:t>
      </w:r>
      <w:r w:rsidR="002E4D8F" w:rsidRPr="00CD303F">
        <w:rPr>
          <w:rFonts w:ascii="Times New Roman" w:hAnsi="Times New Roman" w:cs="Times New Roman"/>
          <w:sz w:val="24"/>
          <w:szCs w:val="24"/>
        </w:rPr>
        <w:t>These</w:t>
      </w:r>
      <w:r w:rsidR="0030363E" w:rsidRPr="00CD303F">
        <w:rPr>
          <w:rFonts w:ascii="Times New Roman" w:hAnsi="Times New Roman" w:cs="Times New Roman"/>
          <w:sz w:val="24"/>
          <w:szCs w:val="24"/>
        </w:rPr>
        <w:t xml:space="preserve"> incongruities led </w:t>
      </w:r>
      <w:r w:rsidR="004D195E" w:rsidRPr="00CD303F">
        <w:rPr>
          <w:rFonts w:ascii="Times New Roman" w:hAnsi="Times New Roman" w:cs="Times New Roman"/>
          <w:sz w:val="24"/>
          <w:szCs w:val="24"/>
        </w:rPr>
        <w:t xml:space="preserve">to tremendous tensions in the operation of colonial governmentalities, since while the colonized were viewed as </w:t>
      </w:r>
      <w:r w:rsidR="0006490D" w:rsidRPr="00CD303F">
        <w:rPr>
          <w:rFonts w:ascii="Times New Roman" w:hAnsi="Times New Roman" w:cs="Times New Roman"/>
          <w:sz w:val="24"/>
          <w:szCs w:val="24"/>
        </w:rPr>
        <w:t xml:space="preserve">being </w:t>
      </w:r>
      <w:r w:rsidR="004D195E" w:rsidRPr="00CD303F">
        <w:rPr>
          <w:rFonts w:ascii="Times New Roman" w:hAnsi="Times New Roman" w:cs="Times New Roman"/>
          <w:sz w:val="24"/>
          <w:szCs w:val="24"/>
        </w:rPr>
        <w:t>incapable of self-governance</w:t>
      </w:r>
      <w:r w:rsidR="0030363E" w:rsidRPr="00CD303F">
        <w:rPr>
          <w:rFonts w:ascii="Times New Roman" w:hAnsi="Times New Roman" w:cs="Times New Roman"/>
          <w:sz w:val="24"/>
          <w:szCs w:val="24"/>
        </w:rPr>
        <w:t xml:space="preserve">, modern technologies were credited with being able to make them </w:t>
      </w:r>
      <w:r w:rsidR="004D195E" w:rsidRPr="00CD303F">
        <w:rPr>
          <w:rFonts w:ascii="Times New Roman" w:hAnsi="Times New Roman" w:cs="Times New Roman"/>
          <w:sz w:val="24"/>
          <w:szCs w:val="24"/>
        </w:rPr>
        <w:t>self-governing against their will</w:t>
      </w:r>
      <w:r w:rsidR="0030363E" w:rsidRPr="00CD303F">
        <w:rPr>
          <w:rFonts w:ascii="Times New Roman" w:hAnsi="Times New Roman" w:cs="Times New Roman"/>
          <w:sz w:val="24"/>
          <w:szCs w:val="24"/>
        </w:rPr>
        <w:t>.</w:t>
      </w:r>
      <w:r w:rsidR="0030363E" w:rsidRPr="00CD303F">
        <w:rPr>
          <w:rStyle w:val="FootnoteReference"/>
          <w:rFonts w:ascii="Times New Roman" w:hAnsi="Times New Roman" w:cs="Times New Roman"/>
          <w:sz w:val="24"/>
          <w:szCs w:val="24"/>
        </w:rPr>
        <w:footnoteReference w:id="15"/>
      </w:r>
      <w:r w:rsidR="0030363E" w:rsidRPr="00CD303F">
        <w:rPr>
          <w:rFonts w:ascii="Times New Roman" w:hAnsi="Times New Roman" w:cs="Times New Roman"/>
          <w:sz w:val="24"/>
          <w:szCs w:val="24"/>
        </w:rPr>
        <w:t xml:space="preserve"> </w:t>
      </w:r>
      <w:r w:rsidRPr="00CD303F">
        <w:rPr>
          <w:rFonts w:ascii="Times New Roman" w:hAnsi="Times New Roman" w:cs="Times New Roman"/>
          <w:sz w:val="24"/>
          <w:szCs w:val="24"/>
        </w:rPr>
        <w:t>Such</w:t>
      </w:r>
      <w:r w:rsidR="00714D9E" w:rsidRPr="00CD303F">
        <w:rPr>
          <w:rFonts w:ascii="Times New Roman" w:hAnsi="Times New Roman" w:cs="Times New Roman"/>
          <w:sz w:val="24"/>
          <w:szCs w:val="24"/>
        </w:rPr>
        <w:t xml:space="preserve"> incongruities </w:t>
      </w:r>
      <w:r w:rsidR="00534A98" w:rsidRPr="00CD303F">
        <w:rPr>
          <w:rFonts w:ascii="Times New Roman" w:hAnsi="Times New Roman" w:cs="Times New Roman"/>
          <w:sz w:val="24"/>
          <w:szCs w:val="24"/>
        </w:rPr>
        <w:t xml:space="preserve">also </w:t>
      </w:r>
      <w:r w:rsidR="00714D9E" w:rsidRPr="00CD303F">
        <w:rPr>
          <w:rFonts w:ascii="Times New Roman" w:hAnsi="Times New Roman" w:cs="Times New Roman"/>
          <w:sz w:val="24"/>
          <w:szCs w:val="24"/>
        </w:rPr>
        <w:t>mea</w:t>
      </w:r>
      <w:r w:rsidR="00754880" w:rsidRPr="00CD303F">
        <w:rPr>
          <w:rFonts w:ascii="Times New Roman" w:hAnsi="Times New Roman" w:cs="Times New Roman"/>
          <w:sz w:val="24"/>
          <w:szCs w:val="24"/>
        </w:rPr>
        <w:t>nt that colonial governmentalities</w:t>
      </w:r>
      <w:r w:rsidR="00714D9E" w:rsidRPr="00CD303F">
        <w:rPr>
          <w:rFonts w:ascii="Times New Roman" w:hAnsi="Times New Roman" w:cs="Times New Roman"/>
          <w:sz w:val="24"/>
          <w:szCs w:val="24"/>
        </w:rPr>
        <w:t xml:space="preserve"> </w:t>
      </w:r>
      <w:r w:rsidR="00754880" w:rsidRPr="00CD303F">
        <w:rPr>
          <w:rFonts w:ascii="Times New Roman" w:hAnsi="Times New Roman" w:cs="Times New Roman"/>
          <w:sz w:val="24"/>
          <w:szCs w:val="24"/>
        </w:rPr>
        <w:t>tended to emerge</w:t>
      </w:r>
      <w:r w:rsidR="00714D9E" w:rsidRPr="00CD303F">
        <w:rPr>
          <w:rFonts w:ascii="Times New Roman" w:hAnsi="Times New Roman" w:cs="Times New Roman"/>
          <w:sz w:val="24"/>
          <w:szCs w:val="24"/>
        </w:rPr>
        <w:t xml:space="preserve"> </w:t>
      </w:r>
      <w:r w:rsidR="006B3B92">
        <w:rPr>
          <w:rFonts w:ascii="Times New Roman" w:hAnsi="Times New Roman" w:cs="Times New Roman"/>
          <w:sz w:val="24"/>
          <w:szCs w:val="24"/>
        </w:rPr>
        <w:t xml:space="preserve">contrary to, rather than as a product of, the </w:t>
      </w:r>
      <w:r w:rsidR="006B3B92">
        <w:rPr>
          <w:rFonts w:ascii="Times New Roman" w:hAnsi="Times New Roman" w:cs="Times New Roman"/>
          <w:sz w:val="24"/>
          <w:szCs w:val="24"/>
        </w:rPr>
        <w:lastRenderedPageBreak/>
        <w:t>desires of colonial regimes,</w:t>
      </w:r>
      <w:r w:rsidR="00754880" w:rsidRPr="00CD303F">
        <w:rPr>
          <w:rFonts w:ascii="Times New Roman" w:hAnsi="Times New Roman" w:cs="Times New Roman"/>
          <w:sz w:val="24"/>
          <w:szCs w:val="24"/>
        </w:rPr>
        <w:t xml:space="preserve"> and were </w:t>
      </w:r>
      <w:r w:rsidR="00B77FB4" w:rsidRPr="00CD303F">
        <w:rPr>
          <w:rFonts w:ascii="Times New Roman" w:hAnsi="Times New Roman" w:cs="Times New Roman"/>
          <w:sz w:val="24"/>
          <w:szCs w:val="24"/>
        </w:rPr>
        <w:t xml:space="preserve">often more performative </w:t>
      </w:r>
      <w:r w:rsidR="00055F1C" w:rsidRPr="00CD303F">
        <w:rPr>
          <w:rFonts w:ascii="Times New Roman" w:hAnsi="Times New Roman" w:cs="Times New Roman"/>
          <w:sz w:val="24"/>
          <w:szCs w:val="24"/>
        </w:rPr>
        <w:t xml:space="preserve">than transformative in </w:t>
      </w:r>
      <w:r w:rsidR="00B75146" w:rsidRPr="00CD303F">
        <w:rPr>
          <w:rFonts w:ascii="Times New Roman" w:hAnsi="Times New Roman" w:cs="Times New Roman"/>
          <w:sz w:val="24"/>
          <w:szCs w:val="24"/>
        </w:rPr>
        <w:t xml:space="preserve">terms of </w:t>
      </w:r>
      <w:r w:rsidR="00055F1C" w:rsidRPr="00CD303F">
        <w:rPr>
          <w:rFonts w:ascii="Times New Roman" w:hAnsi="Times New Roman" w:cs="Times New Roman"/>
          <w:sz w:val="24"/>
          <w:szCs w:val="24"/>
        </w:rPr>
        <w:t xml:space="preserve">both </w:t>
      </w:r>
      <w:r w:rsidR="007F42DD" w:rsidRPr="00CD303F">
        <w:rPr>
          <w:rFonts w:ascii="Times New Roman" w:hAnsi="Times New Roman" w:cs="Times New Roman"/>
          <w:sz w:val="24"/>
          <w:szCs w:val="24"/>
        </w:rPr>
        <w:t xml:space="preserve">their </w:t>
      </w:r>
      <w:r w:rsidR="00055F1C" w:rsidRPr="00CD303F">
        <w:rPr>
          <w:rFonts w:ascii="Times New Roman" w:hAnsi="Times New Roman" w:cs="Times New Roman"/>
          <w:sz w:val="24"/>
          <w:szCs w:val="24"/>
        </w:rPr>
        <w:t>intent and effects</w:t>
      </w:r>
      <w:r w:rsidR="00714D9E" w:rsidRPr="00CD303F">
        <w:rPr>
          <w:rFonts w:ascii="Times New Roman" w:hAnsi="Times New Roman" w:cs="Times New Roman"/>
          <w:sz w:val="24"/>
          <w:szCs w:val="24"/>
        </w:rPr>
        <w:t>.</w:t>
      </w:r>
      <w:r w:rsidR="00714D9E" w:rsidRPr="00CD303F">
        <w:rPr>
          <w:rStyle w:val="FootnoteReference"/>
          <w:rFonts w:ascii="Times New Roman" w:hAnsi="Times New Roman" w:cs="Times New Roman"/>
          <w:sz w:val="24"/>
          <w:szCs w:val="24"/>
        </w:rPr>
        <w:footnoteReference w:id="16"/>
      </w:r>
      <w:r w:rsidR="00714D9E" w:rsidRPr="00CD303F">
        <w:rPr>
          <w:rFonts w:ascii="Times New Roman" w:hAnsi="Times New Roman" w:cs="Times New Roman"/>
          <w:sz w:val="24"/>
          <w:szCs w:val="24"/>
        </w:rPr>
        <w:t xml:space="preserve"> </w:t>
      </w:r>
    </w:p>
    <w:p w:rsidR="00E6062B" w:rsidRPr="00CD303F" w:rsidRDefault="00FF76F0" w:rsidP="00CB2F69">
      <w:pPr>
        <w:spacing w:line="480" w:lineRule="auto"/>
        <w:ind w:firstLine="720"/>
        <w:rPr>
          <w:rFonts w:ascii="Times New Roman" w:hAnsi="Times New Roman" w:cs="Times New Roman"/>
          <w:sz w:val="24"/>
          <w:szCs w:val="24"/>
        </w:rPr>
      </w:pPr>
      <w:r w:rsidRPr="00CD303F">
        <w:rPr>
          <w:rFonts w:ascii="Times New Roman" w:hAnsi="Times New Roman" w:cs="Times New Roman"/>
          <w:sz w:val="24"/>
          <w:szCs w:val="24"/>
        </w:rPr>
        <w:t xml:space="preserve">But what perhaps distinguishes colonial governmentality most significantly is </w:t>
      </w:r>
      <w:r w:rsidR="00E6062B" w:rsidRPr="00CD303F">
        <w:rPr>
          <w:rFonts w:ascii="Times New Roman" w:hAnsi="Times New Roman" w:cs="Times New Roman"/>
          <w:sz w:val="24"/>
          <w:szCs w:val="24"/>
        </w:rPr>
        <w:t>its intimacy with violence, particularly with the violence of sovereign power.</w:t>
      </w:r>
      <w:r w:rsidR="00B72505" w:rsidRPr="00CD303F">
        <w:rPr>
          <w:rFonts w:ascii="Times New Roman" w:hAnsi="Times New Roman" w:cs="Times New Roman"/>
          <w:sz w:val="24"/>
          <w:szCs w:val="24"/>
        </w:rPr>
        <w:t xml:space="preserve"> The fragmented nature of colonial states meant that they were “</w:t>
      </w:r>
      <w:r w:rsidR="00CB2F69" w:rsidRPr="00CD303F">
        <w:rPr>
          <w:rFonts w:ascii="Times New Roman" w:hAnsi="Times New Roman" w:cs="Times New Roman"/>
          <w:sz w:val="24"/>
          <w:szCs w:val="24"/>
        </w:rPr>
        <w:t>more reliant on spectacles and ceremony, and demonstrative and excessive violence, than the forms of sovereign power that had emerged in Europe after several centuries of centralizing efforts</w:t>
      </w:r>
      <w:r w:rsidR="00B72505" w:rsidRPr="00CD303F">
        <w:rPr>
          <w:rFonts w:ascii="Times New Roman" w:hAnsi="Times New Roman" w:cs="Times New Roman"/>
          <w:sz w:val="24"/>
          <w:szCs w:val="24"/>
        </w:rPr>
        <w:t>”.</w:t>
      </w:r>
      <w:r w:rsidR="00B72505" w:rsidRPr="00CD303F">
        <w:rPr>
          <w:rStyle w:val="FootnoteReference"/>
          <w:rFonts w:ascii="Times New Roman" w:hAnsi="Times New Roman" w:cs="Times New Roman"/>
          <w:sz w:val="24"/>
          <w:szCs w:val="24"/>
        </w:rPr>
        <w:footnoteReference w:id="17"/>
      </w:r>
      <w:r w:rsidR="00CB2F69" w:rsidRPr="00CD303F">
        <w:rPr>
          <w:rFonts w:ascii="Times New Roman" w:hAnsi="Times New Roman" w:cs="Times New Roman"/>
          <w:sz w:val="24"/>
          <w:szCs w:val="24"/>
        </w:rPr>
        <w:t xml:space="preserve"> </w:t>
      </w:r>
      <w:r w:rsidR="00196991" w:rsidRPr="00CD303F">
        <w:rPr>
          <w:rFonts w:ascii="Times New Roman" w:hAnsi="Times New Roman" w:cs="Times New Roman"/>
          <w:sz w:val="24"/>
          <w:szCs w:val="24"/>
        </w:rPr>
        <w:t xml:space="preserve">Not only were colonial subjects </w:t>
      </w:r>
      <w:r w:rsidR="00824D9A" w:rsidRPr="00CD303F">
        <w:rPr>
          <w:rFonts w:ascii="Times New Roman" w:hAnsi="Times New Roman" w:cs="Times New Roman"/>
          <w:sz w:val="24"/>
          <w:szCs w:val="24"/>
        </w:rPr>
        <w:t>ruled through violence</w:t>
      </w:r>
      <w:r w:rsidR="00196991" w:rsidRPr="00CD303F">
        <w:rPr>
          <w:rFonts w:ascii="Times New Roman" w:hAnsi="Times New Roman" w:cs="Times New Roman"/>
          <w:sz w:val="24"/>
          <w:szCs w:val="24"/>
        </w:rPr>
        <w:t>, but</w:t>
      </w:r>
      <w:r w:rsidR="005F1F72" w:rsidRPr="00CD303F">
        <w:rPr>
          <w:rFonts w:ascii="Times New Roman" w:hAnsi="Times New Roman" w:cs="Times New Roman"/>
          <w:sz w:val="24"/>
          <w:szCs w:val="24"/>
        </w:rPr>
        <w:t xml:space="preserve"> </w:t>
      </w:r>
      <w:r w:rsidR="00824D9A" w:rsidRPr="00CD303F">
        <w:rPr>
          <w:rFonts w:ascii="Times New Roman" w:hAnsi="Times New Roman" w:cs="Times New Roman"/>
          <w:bCs/>
          <w:sz w:val="24"/>
          <w:szCs w:val="24"/>
        </w:rPr>
        <w:t>v</w:t>
      </w:r>
      <w:r w:rsidR="005F1F72" w:rsidRPr="00CD303F">
        <w:rPr>
          <w:rFonts w:ascii="Times New Roman" w:hAnsi="Times New Roman" w:cs="Times New Roman"/>
          <w:bCs/>
          <w:sz w:val="24"/>
          <w:szCs w:val="24"/>
        </w:rPr>
        <w:t>iolence was justified as being necessary for the governance of colonized peoples because colonized peoples were inherently violent.</w:t>
      </w:r>
      <w:r w:rsidR="00AE7E99" w:rsidRPr="00CD303F">
        <w:rPr>
          <w:rStyle w:val="FootnoteReference"/>
          <w:rFonts w:ascii="Times New Roman" w:hAnsi="Times New Roman" w:cs="Times New Roman"/>
          <w:sz w:val="24"/>
          <w:szCs w:val="24"/>
        </w:rPr>
        <w:footnoteReference w:id="18"/>
      </w:r>
      <w:r w:rsidR="00A36FD2" w:rsidRPr="00CD303F">
        <w:rPr>
          <w:rFonts w:ascii="Times New Roman" w:hAnsi="Times New Roman" w:cs="Times New Roman"/>
          <w:bCs/>
          <w:sz w:val="24"/>
          <w:szCs w:val="24"/>
        </w:rPr>
        <w:t xml:space="preserve"> </w:t>
      </w:r>
      <w:r w:rsidR="002C54D4" w:rsidRPr="00CD303F">
        <w:rPr>
          <w:rFonts w:ascii="Times New Roman" w:hAnsi="Times New Roman" w:cs="Times New Roman"/>
          <w:bCs/>
          <w:sz w:val="24"/>
          <w:szCs w:val="24"/>
        </w:rPr>
        <w:t>For the colonizers violence accordingly served to contain everything they found alien and frightening in foreign lands and that threatened to undermine their fragile system of governance.</w:t>
      </w:r>
      <w:r w:rsidR="002C54D4" w:rsidRPr="00CD303F">
        <w:rPr>
          <w:rStyle w:val="FootnoteReference"/>
          <w:rFonts w:ascii="Times New Roman" w:hAnsi="Times New Roman" w:cs="Times New Roman"/>
          <w:bCs/>
          <w:sz w:val="24"/>
          <w:szCs w:val="24"/>
        </w:rPr>
        <w:footnoteReference w:id="19"/>
      </w:r>
      <w:r w:rsidR="002C54D4" w:rsidRPr="00CD303F">
        <w:rPr>
          <w:rFonts w:ascii="Times New Roman" w:hAnsi="Times New Roman" w:cs="Times New Roman"/>
          <w:sz w:val="24"/>
          <w:szCs w:val="24"/>
        </w:rPr>
        <w:t xml:space="preserve"> </w:t>
      </w:r>
      <w:r w:rsidR="00C25865" w:rsidRPr="00CD303F">
        <w:rPr>
          <w:rFonts w:ascii="Times New Roman" w:hAnsi="Times New Roman" w:cs="Times New Roman"/>
          <w:bCs/>
          <w:sz w:val="24"/>
          <w:szCs w:val="24"/>
        </w:rPr>
        <w:t xml:space="preserve">As Mark Brown has argued, the seeming contradiction, in colonial contexts, between the high ethical standards the colonizers purported to follow (which demonstrated, of course, </w:t>
      </w:r>
      <w:r w:rsidR="001E1A43" w:rsidRPr="00CD303F">
        <w:rPr>
          <w:rFonts w:ascii="Times New Roman" w:hAnsi="Times New Roman" w:cs="Times New Roman"/>
          <w:bCs/>
          <w:sz w:val="24"/>
          <w:szCs w:val="24"/>
        </w:rPr>
        <w:t xml:space="preserve">both </w:t>
      </w:r>
      <w:r w:rsidR="00C25865" w:rsidRPr="00CD303F">
        <w:rPr>
          <w:rFonts w:ascii="Times New Roman" w:hAnsi="Times New Roman" w:cs="Times New Roman"/>
          <w:bCs/>
          <w:sz w:val="24"/>
          <w:szCs w:val="24"/>
        </w:rPr>
        <w:t>their ability to govern themselves</w:t>
      </w:r>
      <w:r w:rsidR="001E1A43" w:rsidRPr="00CD303F">
        <w:rPr>
          <w:rFonts w:ascii="Times New Roman" w:hAnsi="Times New Roman" w:cs="Times New Roman"/>
          <w:bCs/>
          <w:sz w:val="24"/>
          <w:szCs w:val="24"/>
        </w:rPr>
        <w:t xml:space="preserve"> and to govern others</w:t>
      </w:r>
      <w:r w:rsidR="00C25865" w:rsidRPr="00CD303F">
        <w:rPr>
          <w:rFonts w:ascii="Times New Roman" w:hAnsi="Times New Roman" w:cs="Times New Roman"/>
          <w:bCs/>
          <w:sz w:val="24"/>
          <w:szCs w:val="24"/>
        </w:rPr>
        <w:t>) – and that they required the colonized to follow – and the violence of colonial regimes, can be explained by the fact that colonial subjects were required to be agents of obligation, and to conform to the colonizers’ notions of rationality, morality, integrity and self-control before they could be afforded rights</w:t>
      </w:r>
      <w:r w:rsidR="00C42CB2" w:rsidRPr="00CD303F">
        <w:rPr>
          <w:rFonts w:ascii="Times New Roman" w:hAnsi="Times New Roman" w:cs="Times New Roman"/>
          <w:bCs/>
          <w:sz w:val="24"/>
          <w:szCs w:val="24"/>
        </w:rPr>
        <w:t xml:space="preserve"> (such as, for example, the right to govern themselves)</w:t>
      </w:r>
      <w:r w:rsidR="00C25865" w:rsidRPr="00CD303F">
        <w:rPr>
          <w:rFonts w:ascii="Times New Roman" w:hAnsi="Times New Roman" w:cs="Times New Roman"/>
          <w:bCs/>
          <w:sz w:val="24"/>
          <w:szCs w:val="24"/>
        </w:rPr>
        <w:t>.</w:t>
      </w:r>
      <w:r w:rsidR="00D97248">
        <w:rPr>
          <w:rStyle w:val="FootnoteReference"/>
          <w:rFonts w:ascii="Times New Roman" w:hAnsi="Times New Roman" w:cs="Times New Roman"/>
          <w:bCs/>
          <w:sz w:val="24"/>
          <w:szCs w:val="24"/>
        </w:rPr>
        <w:footnoteReference w:id="20"/>
      </w:r>
      <w:r w:rsidR="00C25865" w:rsidRPr="00CD303F">
        <w:rPr>
          <w:rFonts w:ascii="Times New Roman" w:hAnsi="Times New Roman" w:cs="Times New Roman"/>
          <w:bCs/>
          <w:sz w:val="24"/>
          <w:szCs w:val="24"/>
        </w:rPr>
        <w:t xml:space="preserve"> </w:t>
      </w:r>
      <w:r w:rsidR="00EE0830" w:rsidRPr="00CD303F">
        <w:rPr>
          <w:rFonts w:ascii="Times New Roman" w:hAnsi="Times New Roman" w:cs="Times New Roman"/>
          <w:bCs/>
          <w:sz w:val="24"/>
          <w:szCs w:val="24"/>
        </w:rPr>
        <w:t xml:space="preserve">The operation of such a contradiction means </w:t>
      </w:r>
      <w:r w:rsidR="00EE0830" w:rsidRPr="00CD303F">
        <w:rPr>
          <w:rFonts w:ascii="Times New Roman" w:hAnsi="Times New Roman" w:cs="Times New Roman"/>
          <w:bCs/>
          <w:sz w:val="24"/>
          <w:szCs w:val="24"/>
        </w:rPr>
        <w:lastRenderedPageBreak/>
        <w:t xml:space="preserve">that we have to look beyond </w:t>
      </w:r>
      <w:r w:rsidR="00E6062B" w:rsidRPr="00CD303F">
        <w:rPr>
          <w:rFonts w:ascii="Times New Roman" w:hAnsi="Times New Roman" w:cs="Times New Roman"/>
          <w:bCs/>
          <w:sz w:val="24"/>
          <w:szCs w:val="24"/>
        </w:rPr>
        <w:t xml:space="preserve">what Slavoj </w:t>
      </w:r>
      <w:r w:rsidR="00E6062B" w:rsidRPr="00CD303F">
        <w:rPr>
          <w:rFonts w:ascii="Times New Roman" w:eastAsia="MS Mincho" w:hAnsi="Times New Roman" w:cs="Times New Roman"/>
          <w:bCs/>
          <w:sz w:val="24"/>
          <w:szCs w:val="24"/>
        </w:rPr>
        <w:t>Ž</w:t>
      </w:r>
      <w:r w:rsidR="00E6062B" w:rsidRPr="00CD303F">
        <w:rPr>
          <w:rFonts w:ascii="Times New Roman" w:hAnsi="Times New Roman" w:cs="Times New Roman"/>
          <w:bCs/>
          <w:sz w:val="24"/>
          <w:szCs w:val="24"/>
        </w:rPr>
        <w:t>i</w:t>
      </w:r>
      <w:r w:rsidR="00E6062B" w:rsidRPr="00CD303F">
        <w:rPr>
          <w:rFonts w:ascii="Times New Roman" w:eastAsia="MS Mincho" w:hAnsi="Times New Roman" w:cs="Times New Roman"/>
          <w:bCs/>
          <w:sz w:val="24"/>
          <w:szCs w:val="24"/>
        </w:rPr>
        <w:t>ž</w:t>
      </w:r>
      <w:r w:rsidR="00E6062B" w:rsidRPr="00CD303F">
        <w:rPr>
          <w:rFonts w:ascii="Times New Roman" w:hAnsi="Times New Roman" w:cs="Times New Roman"/>
          <w:bCs/>
          <w:sz w:val="24"/>
          <w:szCs w:val="24"/>
        </w:rPr>
        <w:t>ek terms ‘subjective’ viole</w:t>
      </w:r>
      <w:r w:rsidR="009A3813">
        <w:rPr>
          <w:rFonts w:ascii="Times New Roman" w:hAnsi="Times New Roman" w:cs="Times New Roman"/>
          <w:bCs/>
          <w:sz w:val="24"/>
          <w:szCs w:val="24"/>
        </w:rPr>
        <w:t xml:space="preserve">nce, or violence performed by </w:t>
      </w:r>
      <w:r w:rsidR="00E6062B" w:rsidRPr="00CD303F">
        <w:rPr>
          <w:rFonts w:ascii="Times New Roman" w:hAnsi="Times New Roman" w:cs="Times New Roman"/>
          <w:bCs/>
          <w:sz w:val="24"/>
          <w:szCs w:val="24"/>
        </w:rPr>
        <w:t>clearly identifiable agent</w:t>
      </w:r>
      <w:r w:rsidR="009A3813">
        <w:rPr>
          <w:rFonts w:ascii="Times New Roman" w:hAnsi="Times New Roman" w:cs="Times New Roman"/>
          <w:bCs/>
          <w:sz w:val="24"/>
          <w:szCs w:val="24"/>
        </w:rPr>
        <w:t>s</w:t>
      </w:r>
      <w:r w:rsidR="00C433A0" w:rsidRPr="00CD303F">
        <w:rPr>
          <w:rFonts w:ascii="Times New Roman" w:hAnsi="Times New Roman" w:cs="Times New Roman"/>
          <w:bCs/>
          <w:sz w:val="24"/>
          <w:szCs w:val="24"/>
        </w:rPr>
        <w:t>,</w:t>
      </w:r>
      <w:r w:rsidR="00EE0830" w:rsidRPr="00CD303F">
        <w:rPr>
          <w:rFonts w:ascii="Times New Roman" w:hAnsi="Times New Roman" w:cs="Times New Roman"/>
          <w:bCs/>
          <w:sz w:val="24"/>
          <w:szCs w:val="24"/>
        </w:rPr>
        <w:t xml:space="preserve"> in order to understand the nature of colonial violence</w:t>
      </w:r>
      <w:r w:rsidR="00E6062B" w:rsidRPr="00CD303F">
        <w:rPr>
          <w:rFonts w:ascii="Times New Roman" w:hAnsi="Times New Roman" w:cs="Times New Roman"/>
          <w:bCs/>
          <w:sz w:val="24"/>
          <w:szCs w:val="24"/>
        </w:rPr>
        <w:t>.</w:t>
      </w:r>
      <w:r w:rsidR="00E6062B" w:rsidRPr="00CD303F">
        <w:rPr>
          <w:rStyle w:val="FootnoteReference"/>
          <w:rFonts w:ascii="Times New Roman" w:hAnsi="Times New Roman" w:cs="Times New Roman"/>
          <w:bCs/>
          <w:sz w:val="24"/>
          <w:szCs w:val="24"/>
        </w:rPr>
        <w:footnoteReference w:id="21"/>
      </w:r>
      <w:r w:rsidR="00E6062B" w:rsidRPr="00CD303F">
        <w:rPr>
          <w:rFonts w:ascii="Times New Roman" w:hAnsi="Times New Roman" w:cs="Times New Roman"/>
          <w:bCs/>
          <w:sz w:val="24"/>
          <w:szCs w:val="24"/>
        </w:rPr>
        <w:t xml:space="preserve"> </w:t>
      </w:r>
      <w:r w:rsidR="00EE0830" w:rsidRPr="00CD303F">
        <w:rPr>
          <w:rFonts w:ascii="Times New Roman" w:hAnsi="Times New Roman" w:cs="Times New Roman"/>
          <w:bCs/>
          <w:sz w:val="24"/>
          <w:szCs w:val="24"/>
        </w:rPr>
        <w:t>For s</w:t>
      </w:r>
      <w:r w:rsidR="00E6062B" w:rsidRPr="00CD303F">
        <w:rPr>
          <w:rFonts w:ascii="Times New Roman" w:hAnsi="Times New Roman" w:cs="Times New Roman"/>
          <w:bCs/>
          <w:sz w:val="24"/>
          <w:szCs w:val="24"/>
        </w:rPr>
        <w:t xml:space="preserve">ubjective violence </w:t>
      </w:r>
      <w:r w:rsidR="005E0855" w:rsidRPr="00CD303F">
        <w:rPr>
          <w:rFonts w:ascii="Times New Roman" w:hAnsi="Times New Roman" w:cs="Times New Roman"/>
          <w:bCs/>
          <w:sz w:val="24"/>
          <w:szCs w:val="24"/>
        </w:rPr>
        <w:t>occurs</w:t>
      </w:r>
      <w:r w:rsidR="00E6062B" w:rsidRPr="00CD303F">
        <w:rPr>
          <w:rFonts w:ascii="Times New Roman" w:hAnsi="Times New Roman" w:cs="Times New Roman"/>
          <w:bCs/>
          <w:sz w:val="24"/>
          <w:szCs w:val="24"/>
        </w:rPr>
        <w:t xml:space="preserve"> </w:t>
      </w:r>
      <w:r w:rsidR="00692CA2" w:rsidRPr="00CD303F">
        <w:rPr>
          <w:rFonts w:ascii="Times New Roman" w:hAnsi="Times New Roman" w:cs="Times New Roman"/>
          <w:bCs/>
          <w:sz w:val="24"/>
          <w:szCs w:val="24"/>
        </w:rPr>
        <w:t>in a triumvirate with two kinds</w:t>
      </w:r>
      <w:r w:rsidR="00E6062B" w:rsidRPr="00CD303F">
        <w:rPr>
          <w:rFonts w:ascii="Times New Roman" w:hAnsi="Times New Roman" w:cs="Times New Roman"/>
          <w:bCs/>
          <w:sz w:val="24"/>
          <w:szCs w:val="24"/>
        </w:rPr>
        <w:t xml:space="preserve"> of </w:t>
      </w:r>
      <w:r w:rsidR="00692CA2" w:rsidRPr="00CD303F">
        <w:rPr>
          <w:rFonts w:ascii="Times New Roman" w:hAnsi="Times New Roman" w:cs="Times New Roman"/>
          <w:bCs/>
          <w:sz w:val="24"/>
          <w:szCs w:val="24"/>
        </w:rPr>
        <w:t xml:space="preserve">objective </w:t>
      </w:r>
      <w:r w:rsidR="00E6062B" w:rsidRPr="00CD303F">
        <w:rPr>
          <w:rFonts w:ascii="Times New Roman" w:hAnsi="Times New Roman" w:cs="Times New Roman"/>
          <w:bCs/>
          <w:sz w:val="24"/>
          <w:szCs w:val="24"/>
        </w:rPr>
        <w:t>violence, namely systemic violence</w:t>
      </w:r>
      <w:r w:rsidR="002C54D4" w:rsidRPr="00CD303F">
        <w:rPr>
          <w:rFonts w:ascii="Times New Roman" w:hAnsi="Times New Roman" w:cs="Times New Roman"/>
          <w:bCs/>
          <w:sz w:val="24"/>
          <w:szCs w:val="24"/>
        </w:rPr>
        <w:t>, which operates through economic and political systems, and symbolic violence, which is embodied in language</w:t>
      </w:r>
      <w:r w:rsidR="00692CA2" w:rsidRPr="00CD303F">
        <w:rPr>
          <w:rFonts w:ascii="Times New Roman" w:hAnsi="Times New Roman" w:cs="Times New Roman"/>
          <w:bCs/>
          <w:sz w:val="24"/>
          <w:szCs w:val="24"/>
        </w:rPr>
        <w:t xml:space="preserve"> and other representational forms</w:t>
      </w:r>
      <w:r w:rsidR="002C54D4" w:rsidRPr="00CD303F">
        <w:rPr>
          <w:rFonts w:ascii="Times New Roman" w:hAnsi="Times New Roman" w:cs="Times New Roman"/>
          <w:bCs/>
          <w:sz w:val="24"/>
          <w:szCs w:val="24"/>
        </w:rPr>
        <w:t>.</w:t>
      </w:r>
      <w:r w:rsidR="002C54D4" w:rsidRPr="00CD303F">
        <w:rPr>
          <w:rStyle w:val="FootnoteReference"/>
          <w:rFonts w:ascii="Times New Roman" w:hAnsi="Times New Roman" w:cs="Times New Roman"/>
          <w:bCs/>
          <w:sz w:val="24"/>
          <w:szCs w:val="24"/>
        </w:rPr>
        <w:footnoteReference w:id="22"/>
      </w:r>
      <w:r w:rsidR="00692CA2" w:rsidRPr="00CD303F">
        <w:rPr>
          <w:rFonts w:ascii="Times New Roman" w:hAnsi="Times New Roman" w:cs="Times New Roman"/>
          <w:bCs/>
          <w:sz w:val="24"/>
          <w:szCs w:val="24"/>
        </w:rPr>
        <w:t xml:space="preserve"> While subjective violence is largely regarded as “a perturbation of the ‘normal’</w:t>
      </w:r>
      <w:r w:rsidR="002F6041" w:rsidRPr="00CD303F">
        <w:rPr>
          <w:rFonts w:ascii="Times New Roman" w:hAnsi="Times New Roman" w:cs="Times New Roman"/>
          <w:bCs/>
          <w:sz w:val="24"/>
          <w:szCs w:val="24"/>
        </w:rPr>
        <w:t>, peaceful state of things</w:t>
      </w:r>
      <w:r w:rsidR="00692CA2" w:rsidRPr="00CD303F">
        <w:rPr>
          <w:rFonts w:ascii="Times New Roman" w:hAnsi="Times New Roman" w:cs="Times New Roman"/>
          <w:bCs/>
          <w:sz w:val="24"/>
          <w:szCs w:val="24"/>
        </w:rPr>
        <w:t>”</w:t>
      </w:r>
      <w:r w:rsidR="002F6041" w:rsidRPr="00CD303F">
        <w:rPr>
          <w:rFonts w:ascii="Times New Roman" w:hAnsi="Times New Roman" w:cs="Times New Roman"/>
          <w:bCs/>
          <w:sz w:val="24"/>
          <w:szCs w:val="24"/>
        </w:rPr>
        <w:t>,</w:t>
      </w:r>
      <w:r w:rsidR="00692CA2" w:rsidRPr="00CD303F">
        <w:rPr>
          <w:rFonts w:ascii="Times New Roman" w:hAnsi="Times New Roman" w:cs="Times New Roman"/>
          <w:bCs/>
          <w:sz w:val="24"/>
          <w:szCs w:val="24"/>
        </w:rPr>
        <w:t xml:space="preserve"> objective violence</w:t>
      </w:r>
      <w:r w:rsidR="001803FA" w:rsidRPr="00CD303F">
        <w:rPr>
          <w:rFonts w:ascii="Times New Roman" w:hAnsi="Times New Roman" w:cs="Times New Roman"/>
          <w:bCs/>
          <w:sz w:val="24"/>
          <w:szCs w:val="24"/>
        </w:rPr>
        <w:t xml:space="preserve">, as </w:t>
      </w:r>
      <w:r w:rsidR="001803FA" w:rsidRPr="00CD303F">
        <w:rPr>
          <w:rFonts w:ascii="Times New Roman" w:eastAsia="MS Mincho" w:hAnsi="Times New Roman" w:cs="Times New Roman"/>
          <w:bCs/>
          <w:sz w:val="24"/>
          <w:szCs w:val="24"/>
        </w:rPr>
        <w:t>Ž</w:t>
      </w:r>
      <w:r w:rsidR="001803FA" w:rsidRPr="00CD303F">
        <w:rPr>
          <w:rFonts w:ascii="Times New Roman" w:hAnsi="Times New Roman" w:cs="Times New Roman"/>
          <w:bCs/>
          <w:sz w:val="24"/>
          <w:szCs w:val="24"/>
        </w:rPr>
        <w:t>i</w:t>
      </w:r>
      <w:r w:rsidR="001803FA" w:rsidRPr="00CD303F">
        <w:rPr>
          <w:rFonts w:ascii="Times New Roman" w:eastAsia="MS Mincho" w:hAnsi="Times New Roman" w:cs="Times New Roman"/>
          <w:bCs/>
          <w:sz w:val="24"/>
          <w:szCs w:val="24"/>
        </w:rPr>
        <w:t>ž</w:t>
      </w:r>
      <w:r w:rsidR="001803FA" w:rsidRPr="00CD303F">
        <w:rPr>
          <w:rFonts w:ascii="Times New Roman" w:hAnsi="Times New Roman" w:cs="Times New Roman"/>
          <w:bCs/>
          <w:sz w:val="24"/>
          <w:szCs w:val="24"/>
        </w:rPr>
        <w:t xml:space="preserve">ek puts it, </w:t>
      </w:r>
      <w:r w:rsidR="00AA1B4F" w:rsidRPr="00CD303F">
        <w:rPr>
          <w:rFonts w:ascii="Times New Roman" w:hAnsi="Times New Roman" w:cs="Times New Roman"/>
          <w:bCs/>
          <w:sz w:val="24"/>
          <w:szCs w:val="24"/>
        </w:rPr>
        <w:t xml:space="preserve">is </w:t>
      </w:r>
      <w:r w:rsidR="00692CA2" w:rsidRPr="00CD303F">
        <w:rPr>
          <w:rFonts w:ascii="Times New Roman" w:hAnsi="Times New Roman" w:cs="Times New Roman"/>
          <w:bCs/>
          <w:sz w:val="24"/>
          <w:szCs w:val="24"/>
        </w:rPr>
        <w:t>“the violence inherent to this ‘normal’ state of things.”</w:t>
      </w:r>
      <w:r w:rsidR="00DF1163" w:rsidRPr="00CD303F">
        <w:rPr>
          <w:rStyle w:val="FootnoteReference"/>
          <w:rFonts w:ascii="Times New Roman" w:hAnsi="Times New Roman" w:cs="Times New Roman"/>
          <w:bCs/>
          <w:sz w:val="24"/>
          <w:szCs w:val="24"/>
        </w:rPr>
        <w:footnoteReference w:id="23"/>
      </w:r>
      <w:r w:rsidR="00692CA2" w:rsidRPr="00CD303F">
        <w:rPr>
          <w:rFonts w:ascii="Times New Roman" w:hAnsi="Times New Roman" w:cs="Times New Roman"/>
          <w:bCs/>
          <w:sz w:val="24"/>
          <w:szCs w:val="24"/>
        </w:rPr>
        <w:t xml:space="preserve"> It remains </w:t>
      </w:r>
      <w:r w:rsidR="00C23AFD" w:rsidRPr="00CD303F">
        <w:rPr>
          <w:rFonts w:ascii="Times New Roman" w:hAnsi="Times New Roman" w:cs="Times New Roman"/>
          <w:bCs/>
          <w:sz w:val="24"/>
          <w:szCs w:val="24"/>
        </w:rPr>
        <w:t xml:space="preserve">largely </w:t>
      </w:r>
      <w:r w:rsidR="00692CA2" w:rsidRPr="00CD303F">
        <w:rPr>
          <w:rFonts w:ascii="Times New Roman" w:hAnsi="Times New Roman" w:cs="Times New Roman"/>
          <w:bCs/>
          <w:sz w:val="24"/>
          <w:szCs w:val="24"/>
        </w:rPr>
        <w:t>invisible, however, because it “sustains the very zero-level standard against which we perceive something as subjectively violent.”</w:t>
      </w:r>
      <w:r w:rsidR="00AA1B4F" w:rsidRPr="00CD303F">
        <w:rPr>
          <w:rStyle w:val="FootnoteReference"/>
          <w:rFonts w:ascii="Times New Roman" w:hAnsi="Times New Roman" w:cs="Times New Roman"/>
          <w:bCs/>
          <w:sz w:val="24"/>
          <w:szCs w:val="24"/>
        </w:rPr>
        <w:footnoteReference w:id="24"/>
      </w:r>
      <w:r w:rsidR="00B43660" w:rsidRPr="00CD303F">
        <w:rPr>
          <w:rFonts w:ascii="Times New Roman" w:hAnsi="Times New Roman" w:cs="Times New Roman"/>
          <w:bCs/>
          <w:sz w:val="24"/>
          <w:szCs w:val="24"/>
        </w:rPr>
        <w:t xml:space="preserve"> </w:t>
      </w:r>
    </w:p>
    <w:p w:rsidR="004A7337" w:rsidRPr="00CD303F" w:rsidRDefault="00095E33" w:rsidP="00BE3866">
      <w:pPr>
        <w:spacing w:line="480" w:lineRule="auto"/>
        <w:ind w:firstLine="720"/>
        <w:rPr>
          <w:rFonts w:ascii="Times New Roman" w:hAnsi="Times New Roman" w:cs="Times New Roman"/>
          <w:bCs/>
          <w:sz w:val="24"/>
          <w:szCs w:val="24"/>
        </w:rPr>
      </w:pPr>
      <w:r w:rsidRPr="00CD303F">
        <w:rPr>
          <w:rFonts w:ascii="Times New Roman" w:hAnsi="Times New Roman" w:cs="Times New Roman"/>
          <w:bCs/>
          <w:sz w:val="24"/>
          <w:szCs w:val="24"/>
        </w:rPr>
        <w:t xml:space="preserve">For Foucault a relationship of violence is not a relationship of power. While </w:t>
      </w:r>
      <w:r w:rsidR="006B5BD5" w:rsidRPr="00CD303F">
        <w:rPr>
          <w:rFonts w:ascii="Times New Roman" w:hAnsi="Times New Roman" w:cs="Times New Roman"/>
          <w:bCs/>
          <w:sz w:val="24"/>
          <w:szCs w:val="24"/>
        </w:rPr>
        <w:t xml:space="preserve">the former acts upon the actions of others and ‘the Other’ is “thoroughly recognized and maintained . . . as a person who acts” </w:t>
      </w:r>
      <w:r w:rsidRPr="00CD303F">
        <w:rPr>
          <w:rFonts w:ascii="Times New Roman" w:hAnsi="Times New Roman" w:cs="Times New Roman"/>
          <w:bCs/>
          <w:sz w:val="24"/>
          <w:szCs w:val="24"/>
        </w:rPr>
        <w:t>(which means that resistance is inherent to such a relationship)</w:t>
      </w:r>
      <w:r w:rsidR="006B5BD5" w:rsidRPr="00CD303F">
        <w:rPr>
          <w:rFonts w:ascii="Times New Roman" w:hAnsi="Times New Roman" w:cs="Times New Roman"/>
          <w:bCs/>
          <w:sz w:val="24"/>
          <w:szCs w:val="24"/>
        </w:rPr>
        <w:t xml:space="preserve"> </w:t>
      </w:r>
      <w:r w:rsidR="007E3C27" w:rsidRPr="00CD303F">
        <w:rPr>
          <w:rFonts w:ascii="Times New Roman" w:hAnsi="Times New Roman" w:cs="Times New Roman"/>
          <w:bCs/>
          <w:sz w:val="24"/>
          <w:szCs w:val="24"/>
        </w:rPr>
        <w:t xml:space="preserve">and </w:t>
      </w:r>
      <w:r w:rsidR="006B5BD5" w:rsidRPr="00CD303F">
        <w:rPr>
          <w:rFonts w:ascii="Times New Roman" w:hAnsi="Times New Roman" w:cs="Times New Roman"/>
          <w:bCs/>
          <w:sz w:val="24"/>
          <w:szCs w:val="24"/>
        </w:rPr>
        <w:t xml:space="preserve">the latter “acts upon a body of things” </w:t>
      </w:r>
      <w:r w:rsidRPr="00CD303F">
        <w:rPr>
          <w:rFonts w:ascii="Times New Roman" w:hAnsi="Times New Roman" w:cs="Times New Roman"/>
          <w:bCs/>
          <w:sz w:val="24"/>
          <w:szCs w:val="24"/>
        </w:rPr>
        <w:t xml:space="preserve">(which produces passivity rather than resistance), </w:t>
      </w:r>
      <w:r w:rsidR="002210AB" w:rsidRPr="00CD303F">
        <w:rPr>
          <w:rFonts w:ascii="Times New Roman" w:hAnsi="Times New Roman" w:cs="Times New Roman"/>
          <w:bCs/>
          <w:sz w:val="24"/>
          <w:szCs w:val="24"/>
        </w:rPr>
        <w:t xml:space="preserve">the bringing into play of power relations does not rule out the use of violence; indeed, </w:t>
      </w:r>
      <w:r w:rsidR="004D7F8E" w:rsidRPr="00CD303F">
        <w:rPr>
          <w:rFonts w:ascii="Times New Roman" w:hAnsi="Times New Roman" w:cs="Times New Roman"/>
          <w:bCs/>
          <w:sz w:val="24"/>
          <w:szCs w:val="24"/>
        </w:rPr>
        <w:t>the exercise of power is often as dependent on violence as it is</w:t>
      </w:r>
      <w:r w:rsidRPr="00CD303F">
        <w:rPr>
          <w:rFonts w:ascii="Times New Roman" w:hAnsi="Times New Roman" w:cs="Times New Roman"/>
          <w:bCs/>
          <w:sz w:val="24"/>
          <w:szCs w:val="24"/>
        </w:rPr>
        <w:t xml:space="preserve"> on</w:t>
      </w:r>
      <w:r w:rsidR="004D7F8E" w:rsidRPr="00CD303F">
        <w:rPr>
          <w:rFonts w:ascii="Times New Roman" w:hAnsi="Times New Roman" w:cs="Times New Roman"/>
          <w:bCs/>
          <w:sz w:val="24"/>
          <w:szCs w:val="24"/>
        </w:rPr>
        <w:t xml:space="preserve"> consent.</w:t>
      </w:r>
      <w:r w:rsidR="004D7F8E" w:rsidRPr="00CD303F">
        <w:rPr>
          <w:rStyle w:val="FootnoteReference"/>
          <w:rFonts w:ascii="Times New Roman" w:hAnsi="Times New Roman" w:cs="Times New Roman"/>
          <w:bCs/>
          <w:sz w:val="24"/>
          <w:szCs w:val="24"/>
        </w:rPr>
        <w:footnoteReference w:id="25"/>
      </w:r>
      <w:r w:rsidR="00E31EFA" w:rsidRPr="00CD303F">
        <w:rPr>
          <w:rFonts w:ascii="Times New Roman" w:hAnsi="Times New Roman" w:cs="Times New Roman"/>
          <w:bCs/>
          <w:sz w:val="24"/>
          <w:szCs w:val="24"/>
        </w:rPr>
        <w:t xml:space="preserve"> T</w:t>
      </w:r>
      <w:r w:rsidR="004D7F8E" w:rsidRPr="00CD303F">
        <w:rPr>
          <w:rFonts w:ascii="Times New Roman" w:hAnsi="Times New Roman" w:cs="Times New Roman"/>
          <w:bCs/>
          <w:sz w:val="24"/>
          <w:szCs w:val="24"/>
        </w:rPr>
        <w:t xml:space="preserve">o understand the ways in which relationships of power produce or are dependent upon violence </w:t>
      </w:r>
      <w:r w:rsidR="005F4FF6" w:rsidRPr="00CD303F">
        <w:rPr>
          <w:rFonts w:ascii="Times New Roman" w:hAnsi="Times New Roman" w:cs="Times New Roman"/>
          <w:bCs/>
          <w:sz w:val="24"/>
          <w:szCs w:val="24"/>
        </w:rPr>
        <w:t xml:space="preserve">we </w:t>
      </w:r>
      <w:r w:rsidR="00E31EFA" w:rsidRPr="00CD303F">
        <w:rPr>
          <w:rFonts w:ascii="Times New Roman" w:hAnsi="Times New Roman" w:cs="Times New Roman"/>
          <w:bCs/>
          <w:sz w:val="24"/>
          <w:szCs w:val="24"/>
        </w:rPr>
        <w:t xml:space="preserve">therefore </w:t>
      </w:r>
      <w:r w:rsidR="005F4FF6" w:rsidRPr="00CD303F">
        <w:rPr>
          <w:rFonts w:ascii="Times New Roman" w:hAnsi="Times New Roman" w:cs="Times New Roman"/>
          <w:bCs/>
          <w:sz w:val="24"/>
          <w:szCs w:val="24"/>
        </w:rPr>
        <w:t xml:space="preserve">need to elucidate how </w:t>
      </w:r>
      <w:r w:rsidR="00BE3866" w:rsidRPr="00CD303F">
        <w:rPr>
          <w:rFonts w:ascii="Times New Roman" w:hAnsi="Times New Roman" w:cs="Times New Roman"/>
          <w:bCs/>
          <w:sz w:val="24"/>
          <w:szCs w:val="24"/>
        </w:rPr>
        <w:t xml:space="preserve">both subjective and objective violence operate </w:t>
      </w:r>
      <w:r w:rsidR="005F4FF6" w:rsidRPr="00CD303F">
        <w:rPr>
          <w:rFonts w:ascii="Times New Roman" w:hAnsi="Times New Roman" w:cs="Times New Roman"/>
          <w:bCs/>
          <w:sz w:val="24"/>
          <w:szCs w:val="24"/>
        </w:rPr>
        <w:t>in conjunction with Fo</w:t>
      </w:r>
      <w:r w:rsidR="00AE778C" w:rsidRPr="00CD303F">
        <w:rPr>
          <w:rFonts w:ascii="Times New Roman" w:hAnsi="Times New Roman" w:cs="Times New Roman"/>
          <w:bCs/>
          <w:sz w:val="24"/>
          <w:szCs w:val="24"/>
        </w:rPr>
        <w:t>u</w:t>
      </w:r>
      <w:r w:rsidR="005F4FF6" w:rsidRPr="00CD303F">
        <w:rPr>
          <w:rFonts w:ascii="Times New Roman" w:hAnsi="Times New Roman" w:cs="Times New Roman"/>
          <w:bCs/>
          <w:sz w:val="24"/>
          <w:szCs w:val="24"/>
        </w:rPr>
        <w:t>cault’s triumvirate of sovereign, gover</w:t>
      </w:r>
      <w:r w:rsidR="004D17E2" w:rsidRPr="00CD303F">
        <w:rPr>
          <w:rFonts w:ascii="Times New Roman" w:hAnsi="Times New Roman" w:cs="Times New Roman"/>
          <w:bCs/>
          <w:sz w:val="24"/>
          <w:szCs w:val="24"/>
        </w:rPr>
        <w:t xml:space="preserve">nmental and disciplinary power – as well as the </w:t>
      </w:r>
      <w:r w:rsidR="00C465D9" w:rsidRPr="00CD303F">
        <w:rPr>
          <w:rFonts w:ascii="Times New Roman" w:hAnsi="Times New Roman" w:cs="Times New Roman"/>
          <w:bCs/>
          <w:sz w:val="24"/>
          <w:szCs w:val="24"/>
        </w:rPr>
        <w:t xml:space="preserve">ways in which biopower </w:t>
      </w:r>
      <w:r w:rsidR="00481D69" w:rsidRPr="00CD303F">
        <w:rPr>
          <w:rFonts w:ascii="Times New Roman" w:hAnsi="Times New Roman" w:cs="Times New Roman"/>
          <w:bCs/>
          <w:sz w:val="24"/>
          <w:szCs w:val="24"/>
        </w:rPr>
        <w:t>works</w:t>
      </w:r>
      <w:r w:rsidR="00C465D9" w:rsidRPr="00CD303F">
        <w:rPr>
          <w:rFonts w:ascii="Times New Roman" w:hAnsi="Times New Roman" w:cs="Times New Roman"/>
          <w:bCs/>
          <w:sz w:val="24"/>
          <w:szCs w:val="24"/>
        </w:rPr>
        <w:t xml:space="preserve"> through </w:t>
      </w:r>
      <w:r w:rsidR="00E31EFA" w:rsidRPr="00CD303F">
        <w:rPr>
          <w:rFonts w:ascii="Times New Roman" w:hAnsi="Times New Roman" w:cs="Times New Roman"/>
          <w:bCs/>
          <w:sz w:val="24"/>
          <w:szCs w:val="24"/>
        </w:rPr>
        <w:t>the</w:t>
      </w:r>
      <w:r w:rsidR="003559E9" w:rsidRPr="00CD303F">
        <w:rPr>
          <w:rFonts w:ascii="Times New Roman" w:hAnsi="Times New Roman" w:cs="Times New Roman"/>
          <w:bCs/>
          <w:sz w:val="24"/>
          <w:szCs w:val="24"/>
        </w:rPr>
        <w:t xml:space="preserve"> poles</w:t>
      </w:r>
      <w:r w:rsidR="00E31EFA" w:rsidRPr="00CD303F">
        <w:rPr>
          <w:rFonts w:ascii="Times New Roman" w:hAnsi="Times New Roman" w:cs="Times New Roman"/>
          <w:bCs/>
          <w:sz w:val="24"/>
          <w:szCs w:val="24"/>
        </w:rPr>
        <w:t xml:space="preserve"> of </w:t>
      </w:r>
      <w:r w:rsidR="003559E9" w:rsidRPr="00CD303F">
        <w:rPr>
          <w:rFonts w:ascii="Times New Roman" w:hAnsi="Times New Roman" w:cs="Times New Roman"/>
          <w:bCs/>
          <w:sz w:val="24"/>
          <w:szCs w:val="24"/>
        </w:rPr>
        <w:t>governmental and disciplinary</w:t>
      </w:r>
      <w:r w:rsidR="004D17E2" w:rsidRPr="00CD303F">
        <w:rPr>
          <w:rFonts w:ascii="Times New Roman" w:hAnsi="Times New Roman" w:cs="Times New Roman"/>
          <w:bCs/>
          <w:sz w:val="24"/>
          <w:szCs w:val="24"/>
        </w:rPr>
        <w:t xml:space="preserve"> power. </w:t>
      </w:r>
      <w:r w:rsidR="000673DE" w:rsidRPr="00CD303F">
        <w:rPr>
          <w:rFonts w:ascii="Times New Roman" w:hAnsi="Times New Roman" w:cs="Times New Roman"/>
          <w:bCs/>
          <w:sz w:val="24"/>
          <w:szCs w:val="24"/>
        </w:rPr>
        <w:t xml:space="preserve"> For while, as Foucault argued, these different forms of power emerged at different times, they did not replace each other; instead they</w:t>
      </w:r>
      <w:r w:rsidR="000673DE" w:rsidRPr="00CD303F">
        <w:rPr>
          <w:rFonts w:ascii="Times New Roman" w:hAnsi="Times New Roman" w:cs="Times New Roman"/>
          <w:sz w:val="24"/>
          <w:szCs w:val="24"/>
        </w:rPr>
        <w:t xml:space="preserve"> formed a triangle, “which has as </w:t>
      </w:r>
      <w:r w:rsidR="000673DE" w:rsidRPr="00CD303F">
        <w:rPr>
          <w:rFonts w:ascii="Times New Roman" w:hAnsi="Times New Roman" w:cs="Times New Roman"/>
          <w:sz w:val="24"/>
          <w:szCs w:val="24"/>
        </w:rPr>
        <w:lastRenderedPageBreak/>
        <w:t>its primary target the population, and as its essential mechanism the apparatuses of security”.</w:t>
      </w:r>
      <w:r w:rsidR="00970EFD" w:rsidRPr="00CD303F">
        <w:rPr>
          <w:rStyle w:val="FootnoteReference"/>
          <w:rFonts w:ascii="Times New Roman" w:hAnsi="Times New Roman" w:cs="Times New Roman"/>
          <w:sz w:val="24"/>
          <w:szCs w:val="24"/>
        </w:rPr>
        <w:footnoteReference w:id="26"/>
      </w:r>
      <w:r w:rsidR="00AE778C" w:rsidRPr="00CD303F">
        <w:rPr>
          <w:rFonts w:ascii="Times New Roman" w:hAnsi="Times New Roman" w:cs="Times New Roman"/>
          <w:bCs/>
          <w:sz w:val="24"/>
          <w:szCs w:val="24"/>
        </w:rPr>
        <w:t xml:space="preserve"> </w:t>
      </w:r>
      <w:r w:rsidR="00431C8B" w:rsidRPr="00CD303F">
        <w:rPr>
          <w:rFonts w:ascii="Times New Roman" w:hAnsi="Times New Roman" w:cs="Times New Roman"/>
          <w:bCs/>
          <w:sz w:val="24"/>
          <w:szCs w:val="24"/>
        </w:rPr>
        <w:t xml:space="preserve">Yet scholars of colonialism </w:t>
      </w:r>
      <w:r w:rsidR="00D029CB" w:rsidRPr="00CD303F">
        <w:rPr>
          <w:rFonts w:ascii="Times New Roman" w:hAnsi="Times New Roman" w:cs="Times New Roman"/>
          <w:bCs/>
          <w:sz w:val="24"/>
          <w:szCs w:val="24"/>
        </w:rPr>
        <w:t>–</w:t>
      </w:r>
      <w:r w:rsidR="00431C8B" w:rsidRPr="00CD303F">
        <w:rPr>
          <w:rFonts w:ascii="Times New Roman" w:hAnsi="Times New Roman" w:cs="Times New Roman"/>
          <w:bCs/>
          <w:sz w:val="24"/>
          <w:szCs w:val="24"/>
        </w:rPr>
        <w:t xml:space="preserve"> </w:t>
      </w:r>
      <w:r w:rsidR="00D029CB" w:rsidRPr="00CD303F">
        <w:rPr>
          <w:rFonts w:ascii="Times New Roman" w:hAnsi="Times New Roman" w:cs="Times New Roman"/>
          <w:bCs/>
          <w:sz w:val="24"/>
          <w:szCs w:val="24"/>
        </w:rPr>
        <w:t xml:space="preserve">along with most other scholars who draw upon </w:t>
      </w:r>
      <w:r w:rsidR="0080143E" w:rsidRPr="00CD303F">
        <w:rPr>
          <w:rFonts w:ascii="Times New Roman" w:hAnsi="Times New Roman" w:cs="Times New Roman"/>
          <w:bCs/>
          <w:sz w:val="24"/>
          <w:szCs w:val="24"/>
        </w:rPr>
        <w:t xml:space="preserve">Foucault’s work – </w:t>
      </w:r>
      <w:r w:rsidR="00B16ADF" w:rsidRPr="00CD303F">
        <w:rPr>
          <w:rFonts w:ascii="Times New Roman" w:hAnsi="Times New Roman" w:cs="Times New Roman"/>
          <w:bCs/>
          <w:sz w:val="24"/>
          <w:szCs w:val="24"/>
        </w:rPr>
        <w:t>have tended to analyse the three forms of power in Foucault’s triumvirate in isolation from each other. This has led to the generation of a body of scholarship on colonial governmentalities, as well as on colonial sovereignties and disciplinary regimes</w:t>
      </w:r>
      <w:r w:rsidR="00F25013" w:rsidRPr="00CD303F">
        <w:rPr>
          <w:rFonts w:ascii="Times New Roman" w:hAnsi="Times New Roman" w:cs="Times New Roman"/>
          <w:bCs/>
          <w:sz w:val="24"/>
          <w:szCs w:val="24"/>
        </w:rPr>
        <w:t>,</w:t>
      </w:r>
      <w:r w:rsidR="00242C21" w:rsidRPr="00CD303F">
        <w:rPr>
          <w:rFonts w:ascii="Times New Roman" w:hAnsi="Times New Roman" w:cs="Times New Roman"/>
          <w:bCs/>
          <w:sz w:val="24"/>
          <w:szCs w:val="24"/>
        </w:rPr>
        <w:t xml:space="preserve"> </w:t>
      </w:r>
      <w:r w:rsidR="00AE778C" w:rsidRPr="00CD303F">
        <w:rPr>
          <w:rFonts w:ascii="Times New Roman" w:hAnsi="Times New Roman" w:cs="Times New Roman"/>
          <w:bCs/>
          <w:sz w:val="24"/>
          <w:szCs w:val="24"/>
        </w:rPr>
        <w:t>but not on how these forms of power intersected</w:t>
      </w:r>
      <w:r w:rsidR="00EE052D" w:rsidRPr="00CD303F">
        <w:rPr>
          <w:rFonts w:ascii="Times New Roman" w:hAnsi="Times New Roman" w:cs="Times New Roman"/>
          <w:bCs/>
          <w:sz w:val="24"/>
          <w:szCs w:val="24"/>
        </w:rPr>
        <w:t xml:space="preserve"> in different colonial contexts and how such intersections changed over time</w:t>
      </w:r>
      <w:r w:rsidR="00AE778C" w:rsidRPr="00CD303F">
        <w:rPr>
          <w:rFonts w:ascii="Times New Roman" w:hAnsi="Times New Roman" w:cs="Times New Roman"/>
          <w:bCs/>
          <w:sz w:val="24"/>
          <w:szCs w:val="24"/>
        </w:rPr>
        <w:t xml:space="preserve">. </w:t>
      </w:r>
      <w:r w:rsidR="00FB11DB" w:rsidRPr="00CD303F">
        <w:rPr>
          <w:rFonts w:ascii="Times New Roman" w:hAnsi="Times New Roman" w:cs="Times New Roman"/>
          <w:bCs/>
          <w:sz w:val="24"/>
          <w:szCs w:val="24"/>
        </w:rPr>
        <w:t xml:space="preserve">But in failing to elucidate such intersections we run the risk of not only </w:t>
      </w:r>
      <w:r w:rsidR="00F25013" w:rsidRPr="00CD303F">
        <w:rPr>
          <w:rFonts w:ascii="Times New Roman" w:hAnsi="Times New Roman" w:cs="Times New Roman"/>
          <w:bCs/>
          <w:sz w:val="24"/>
          <w:szCs w:val="24"/>
        </w:rPr>
        <w:t xml:space="preserve">of </w:t>
      </w:r>
      <w:r w:rsidR="00FB11DB" w:rsidRPr="00CD303F">
        <w:rPr>
          <w:rFonts w:ascii="Times New Roman" w:hAnsi="Times New Roman" w:cs="Times New Roman"/>
          <w:bCs/>
          <w:sz w:val="24"/>
          <w:szCs w:val="24"/>
        </w:rPr>
        <w:t xml:space="preserve">failing to fully grasp the nature of </w:t>
      </w:r>
      <w:r w:rsidR="00F25013" w:rsidRPr="00CD303F">
        <w:rPr>
          <w:rFonts w:ascii="Times New Roman" w:hAnsi="Times New Roman" w:cs="Times New Roman"/>
          <w:bCs/>
          <w:sz w:val="24"/>
          <w:szCs w:val="24"/>
        </w:rPr>
        <w:t xml:space="preserve">colonial power, but </w:t>
      </w:r>
      <w:r w:rsidR="00FB11DB" w:rsidRPr="00CD303F">
        <w:rPr>
          <w:rFonts w:ascii="Times New Roman" w:hAnsi="Times New Roman" w:cs="Times New Roman"/>
          <w:bCs/>
          <w:sz w:val="24"/>
          <w:szCs w:val="24"/>
        </w:rPr>
        <w:t xml:space="preserve">the violence of colonial rule. </w:t>
      </w:r>
    </w:p>
    <w:p w:rsidR="00D040A4" w:rsidRDefault="00EE052D" w:rsidP="007F09C3">
      <w:pPr>
        <w:spacing w:line="480" w:lineRule="auto"/>
        <w:ind w:firstLine="720"/>
        <w:rPr>
          <w:rFonts w:ascii="Times New Roman" w:hAnsi="Times New Roman" w:cs="Times New Roman"/>
          <w:bCs/>
          <w:sz w:val="24"/>
          <w:szCs w:val="24"/>
        </w:rPr>
      </w:pPr>
      <w:r w:rsidRPr="00CD303F">
        <w:rPr>
          <w:rFonts w:ascii="Times New Roman" w:hAnsi="Times New Roman" w:cs="Times New Roman"/>
          <w:bCs/>
          <w:sz w:val="24"/>
          <w:szCs w:val="24"/>
        </w:rPr>
        <w:t xml:space="preserve">The reluctance to </w:t>
      </w:r>
      <w:r w:rsidR="009D3A9B" w:rsidRPr="00CD303F">
        <w:rPr>
          <w:rFonts w:ascii="Times New Roman" w:hAnsi="Times New Roman" w:cs="Times New Roman"/>
          <w:bCs/>
          <w:sz w:val="24"/>
          <w:szCs w:val="24"/>
        </w:rPr>
        <w:t>analyse such intersections</w:t>
      </w:r>
      <w:r w:rsidRPr="00CD303F">
        <w:rPr>
          <w:rFonts w:ascii="Times New Roman" w:hAnsi="Times New Roman" w:cs="Times New Roman"/>
          <w:bCs/>
          <w:sz w:val="24"/>
          <w:szCs w:val="24"/>
        </w:rPr>
        <w:t xml:space="preserve"> is unsurprising in light of Foucault’s own failure to elucidate the connections between them. </w:t>
      </w:r>
      <w:r w:rsidR="00B839B9" w:rsidRPr="00CD303F">
        <w:rPr>
          <w:rFonts w:ascii="Times New Roman" w:hAnsi="Times New Roman" w:cs="Times New Roman"/>
          <w:bCs/>
          <w:sz w:val="24"/>
          <w:szCs w:val="24"/>
        </w:rPr>
        <w:t>The genealogies of Foucault’s work, and the intellectual shifts that he made, are by now well known</w:t>
      </w:r>
      <w:r w:rsidR="0093552D" w:rsidRPr="00CD303F">
        <w:rPr>
          <w:rFonts w:ascii="Times New Roman" w:hAnsi="Times New Roman" w:cs="Times New Roman"/>
          <w:bCs/>
          <w:sz w:val="24"/>
          <w:szCs w:val="24"/>
        </w:rPr>
        <w:t xml:space="preserve">. Particularly important, for our purposes, </w:t>
      </w:r>
      <w:r w:rsidR="000B3F14" w:rsidRPr="00CD303F">
        <w:rPr>
          <w:rFonts w:ascii="Times New Roman" w:hAnsi="Times New Roman" w:cs="Times New Roman"/>
          <w:bCs/>
          <w:sz w:val="24"/>
          <w:szCs w:val="24"/>
        </w:rPr>
        <w:t>is his work on</w:t>
      </w:r>
      <w:r w:rsidR="0093552D" w:rsidRPr="00CD303F">
        <w:rPr>
          <w:rFonts w:ascii="Times New Roman" w:hAnsi="Times New Roman" w:cs="Times New Roman"/>
          <w:bCs/>
          <w:sz w:val="24"/>
          <w:szCs w:val="24"/>
        </w:rPr>
        <w:t xml:space="preserve"> sexuality</w:t>
      </w:r>
      <w:r w:rsidR="000B3F14" w:rsidRPr="00CD303F">
        <w:rPr>
          <w:rFonts w:ascii="Times New Roman" w:hAnsi="Times New Roman" w:cs="Times New Roman"/>
          <w:bCs/>
          <w:sz w:val="24"/>
          <w:szCs w:val="24"/>
        </w:rPr>
        <w:t xml:space="preserve">, in which </w:t>
      </w:r>
      <w:r w:rsidR="0093552D" w:rsidRPr="00CD303F">
        <w:rPr>
          <w:rFonts w:ascii="Times New Roman" w:hAnsi="Times New Roman" w:cs="Times New Roman"/>
          <w:bCs/>
          <w:sz w:val="24"/>
          <w:szCs w:val="24"/>
        </w:rPr>
        <w:t xml:space="preserve">he began to engage directly with the intersections between sexuality, race and the </w:t>
      </w:r>
      <w:r w:rsidR="00287948" w:rsidRPr="00CD303F">
        <w:rPr>
          <w:rFonts w:ascii="Times New Roman" w:hAnsi="Times New Roman" w:cs="Times New Roman"/>
          <w:bCs/>
          <w:sz w:val="24"/>
          <w:szCs w:val="24"/>
        </w:rPr>
        <w:t>emergence of a biopolitical rationality within the modern state</w:t>
      </w:r>
      <w:r w:rsidR="00265F4D">
        <w:rPr>
          <w:rFonts w:ascii="Times New Roman" w:hAnsi="Times New Roman" w:cs="Times New Roman"/>
          <w:bCs/>
          <w:sz w:val="24"/>
          <w:szCs w:val="24"/>
        </w:rPr>
        <w:t xml:space="preserve"> </w:t>
      </w:r>
      <w:r w:rsidR="0093552D" w:rsidRPr="00CD303F">
        <w:rPr>
          <w:rFonts w:ascii="Times New Roman" w:hAnsi="Times New Roman" w:cs="Times New Roman"/>
          <w:bCs/>
          <w:sz w:val="24"/>
          <w:szCs w:val="24"/>
        </w:rPr>
        <w:t>–</w:t>
      </w:r>
      <w:r w:rsidR="00287948" w:rsidRPr="00CD303F">
        <w:rPr>
          <w:rFonts w:ascii="Times New Roman" w:hAnsi="Times New Roman" w:cs="Times New Roman"/>
          <w:bCs/>
          <w:sz w:val="24"/>
          <w:szCs w:val="24"/>
        </w:rPr>
        <w:t xml:space="preserve"> </w:t>
      </w:r>
      <w:r w:rsidR="0093552D" w:rsidRPr="00CD303F">
        <w:rPr>
          <w:rFonts w:ascii="Times New Roman" w:hAnsi="Times New Roman" w:cs="Times New Roman"/>
          <w:bCs/>
          <w:sz w:val="24"/>
          <w:szCs w:val="24"/>
        </w:rPr>
        <w:t xml:space="preserve">concerns that he </w:t>
      </w:r>
      <w:r w:rsidR="007F0F7F">
        <w:rPr>
          <w:rFonts w:ascii="Times New Roman" w:hAnsi="Times New Roman" w:cs="Times New Roman"/>
          <w:bCs/>
          <w:sz w:val="24"/>
          <w:szCs w:val="24"/>
        </w:rPr>
        <w:t>began to elaborate further</w:t>
      </w:r>
      <w:r w:rsidR="006F0F44" w:rsidRPr="00CD303F">
        <w:rPr>
          <w:rFonts w:ascii="Times New Roman" w:hAnsi="Times New Roman" w:cs="Times New Roman"/>
          <w:bCs/>
          <w:sz w:val="24"/>
          <w:szCs w:val="24"/>
        </w:rPr>
        <w:t xml:space="preserve"> </w:t>
      </w:r>
      <w:r w:rsidR="0093552D" w:rsidRPr="00CD303F">
        <w:rPr>
          <w:rFonts w:ascii="Times New Roman" w:hAnsi="Times New Roman" w:cs="Times New Roman"/>
          <w:bCs/>
          <w:sz w:val="24"/>
          <w:szCs w:val="24"/>
        </w:rPr>
        <w:t>in his</w:t>
      </w:r>
      <w:r w:rsidR="00F73931" w:rsidRPr="00CD303F">
        <w:rPr>
          <w:rFonts w:ascii="Times New Roman" w:hAnsi="Times New Roman" w:cs="Times New Roman"/>
          <w:bCs/>
          <w:sz w:val="24"/>
          <w:szCs w:val="24"/>
        </w:rPr>
        <w:t xml:space="preserve"> 1975-76</w:t>
      </w:r>
      <w:r w:rsidR="0093552D" w:rsidRPr="00CD303F">
        <w:rPr>
          <w:rFonts w:ascii="Times New Roman" w:hAnsi="Times New Roman" w:cs="Times New Roman"/>
          <w:bCs/>
          <w:sz w:val="24"/>
          <w:szCs w:val="24"/>
        </w:rPr>
        <w:t xml:space="preserve"> lectures at the Coll</w:t>
      </w:r>
      <w:r w:rsidR="003A5C78">
        <w:rPr>
          <w:rFonts w:ascii="Times New Roman" w:hAnsi="Times New Roman" w:cs="Times New Roman"/>
          <w:bCs/>
          <w:sz w:val="24"/>
          <w:szCs w:val="24"/>
        </w:rPr>
        <w:t>è</w:t>
      </w:r>
      <w:r w:rsidR="0093552D" w:rsidRPr="00CD303F">
        <w:rPr>
          <w:rFonts w:ascii="Times New Roman" w:hAnsi="Times New Roman" w:cs="Times New Roman"/>
          <w:bCs/>
          <w:sz w:val="24"/>
          <w:szCs w:val="24"/>
        </w:rPr>
        <w:t>ge de France</w:t>
      </w:r>
      <w:r w:rsidR="003C439A" w:rsidRPr="00CD303F">
        <w:rPr>
          <w:rFonts w:ascii="Times New Roman" w:hAnsi="Times New Roman" w:cs="Times New Roman"/>
          <w:bCs/>
          <w:sz w:val="24"/>
          <w:szCs w:val="24"/>
        </w:rPr>
        <w:t xml:space="preserve"> (although in the lectures he focuses on race rather than sexuality to trace the emergence of such </w:t>
      </w:r>
      <w:r w:rsidR="00287948" w:rsidRPr="00CD303F">
        <w:rPr>
          <w:rFonts w:ascii="Times New Roman" w:hAnsi="Times New Roman" w:cs="Times New Roman"/>
          <w:bCs/>
          <w:sz w:val="24"/>
          <w:szCs w:val="24"/>
        </w:rPr>
        <w:t xml:space="preserve">biopolitical </w:t>
      </w:r>
      <w:r w:rsidR="003C439A" w:rsidRPr="00CD303F">
        <w:rPr>
          <w:rFonts w:ascii="Times New Roman" w:hAnsi="Times New Roman" w:cs="Times New Roman"/>
          <w:bCs/>
          <w:sz w:val="24"/>
          <w:szCs w:val="24"/>
        </w:rPr>
        <w:t>states)</w:t>
      </w:r>
      <w:r w:rsidR="008A0D3E" w:rsidRPr="00CD303F">
        <w:rPr>
          <w:rFonts w:ascii="Times New Roman" w:hAnsi="Times New Roman" w:cs="Times New Roman"/>
          <w:bCs/>
          <w:sz w:val="24"/>
          <w:szCs w:val="24"/>
        </w:rPr>
        <w:t>.</w:t>
      </w:r>
      <w:r w:rsidR="002D6328" w:rsidRPr="00CD303F">
        <w:rPr>
          <w:rStyle w:val="FootnoteReference"/>
          <w:rFonts w:ascii="Times New Roman" w:hAnsi="Times New Roman" w:cs="Times New Roman"/>
          <w:bCs/>
          <w:sz w:val="24"/>
          <w:szCs w:val="24"/>
        </w:rPr>
        <w:footnoteReference w:id="27"/>
      </w:r>
      <w:r w:rsidR="008A0D3E" w:rsidRPr="00CD303F">
        <w:rPr>
          <w:rFonts w:ascii="Times New Roman" w:hAnsi="Times New Roman" w:cs="Times New Roman"/>
          <w:bCs/>
          <w:sz w:val="24"/>
          <w:szCs w:val="24"/>
        </w:rPr>
        <w:t xml:space="preserve"> Such states</w:t>
      </w:r>
      <w:r w:rsidR="00CB17E2" w:rsidRPr="00CD303F">
        <w:rPr>
          <w:rFonts w:ascii="Times New Roman" w:hAnsi="Times New Roman" w:cs="Times New Roman"/>
          <w:bCs/>
          <w:sz w:val="24"/>
          <w:szCs w:val="24"/>
        </w:rPr>
        <w:t>, according to Foucault,</w:t>
      </w:r>
      <w:r w:rsidR="008A0D3E" w:rsidRPr="00CD303F">
        <w:rPr>
          <w:rFonts w:ascii="Times New Roman" w:hAnsi="Times New Roman" w:cs="Times New Roman"/>
          <w:bCs/>
          <w:sz w:val="24"/>
          <w:szCs w:val="24"/>
        </w:rPr>
        <w:t xml:space="preserve"> drew upon and facilitated new disciplines of knowledge that</w:t>
      </w:r>
      <w:r w:rsidR="00D94808" w:rsidRPr="00CD303F">
        <w:rPr>
          <w:rFonts w:ascii="Times New Roman" w:hAnsi="Times New Roman" w:cs="Times New Roman"/>
          <w:bCs/>
          <w:sz w:val="24"/>
          <w:szCs w:val="24"/>
        </w:rPr>
        <w:t>, beginning in Europe in the seventeenth century,</w:t>
      </w:r>
      <w:r w:rsidR="008A0D3E" w:rsidRPr="00CD303F">
        <w:rPr>
          <w:rFonts w:ascii="Times New Roman" w:hAnsi="Times New Roman" w:cs="Times New Roman"/>
          <w:bCs/>
          <w:sz w:val="24"/>
          <w:szCs w:val="24"/>
        </w:rPr>
        <w:t xml:space="preserve"> sought to re</w:t>
      </w:r>
      <w:r w:rsidR="00A1224D" w:rsidRPr="00CD303F">
        <w:rPr>
          <w:rFonts w:ascii="Times New Roman" w:hAnsi="Times New Roman" w:cs="Times New Roman"/>
          <w:bCs/>
          <w:sz w:val="24"/>
          <w:szCs w:val="24"/>
        </w:rPr>
        <w:t xml:space="preserve">gulate and maximize human life – to “make live and let die” </w:t>
      </w:r>
      <w:r w:rsidR="00065BEB" w:rsidRPr="00CD303F">
        <w:rPr>
          <w:rFonts w:ascii="Times New Roman" w:hAnsi="Times New Roman" w:cs="Times New Roman"/>
          <w:bCs/>
          <w:sz w:val="24"/>
          <w:szCs w:val="24"/>
        </w:rPr>
        <w:t>–</w:t>
      </w:r>
      <w:r w:rsidR="00A1224D" w:rsidRPr="00CD303F">
        <w:rPr>
          <w:rFonts w:ascii="Times New Roman" w:hAnsi="Times New Roman" w:cs="Times New Roman"/>
          <w:bCs/>
          <w:sz w:val="24"/>
          <w:szCs w:val="24"/>
        </w:rPr>
        <w:t xml:space="preserve"> </w:t>
      </w:r>
      <w:r w:rsidR="008A0D3E" w:rsidRPr="00CD303F">
        <w:rPr>
          <w:rFonts w:ascii="Times New Roman" w:hAnsi="Times New Roman" w:cs="Times New Roman"/>
          <w:bCs/>
          <w:sz w:val="24"/>
          <w:szCs w:val="24"/>
        </w:rPr>
        <w:t>through both the disciplining of individual bodies and the regulation of the life processes of populations.</w:t>
      </w:r>
      <w:r w:rsidR="002F310A" w:rsidRPr="00CD303F">
        <w:rPr>
          <w:rStyle w:val="FootnoteReference"/>
          <w:rFonts w:ascii="Times New Roman" w:hAnsi="Times New Roman" w:cs="Times New Roman"/>
          <w:bCs/>
          <w:sz w:val="24"/>
          <w:szCs w:val="24"/>
        </w:rPr>
        <w:footnoteReference w:id="28"/>
      </w:r>
      <w:r w:rsidR="008A0D3E" w:rsidRPr="00CD303F">
        <w:rPr>
          <w:rFonts w:ascii="Times New Roman" w:hAnsi="Times New Roman" w:cs="Times New Roman"/>
          <w:bCs/>
          <w:sz w:val="24"/>
          <w:szCs w:val="24"/>
        </w:rPr>
        <w:t xml:space="preserve"> </w:t>
      </w:r>
      <w:r w:rsidR="00EA781B" w:rsidRPr="00CD303F">
        <w:rPr>
          <w:rFonts w:ascii="Times New Roman" w:hAnsi="Times New Roman" w:cs="Times New Roman"/>
          <w:bCs/>
          <w:sz w:val="24"/>
          <w:szCs w:val="24"/>
        </w:rPr>
        <w:lastRenderedPageBreak/>
        <w:t>These</w:t>
      </w:r>
      <w:r w:rsidR="006F24EB" w:rsidRPr="00CD303F">
        <w:rPr>
          <w:rFonts w:ascii="Times New Roman" w:hAnsi="Times New Roman" w:cs="Times New Roman"/>
          <w:bCs/>
          <w:sz w:val="24"/>
          <w:szCs w:val="24"/>
        </w:rPr>
        <w:t xml:space="preserve"> </w:t>
      </w:r>
      <w:r w:rsidR="00065BEB" w:rsidRPr="00CD303F">
        <w:rPr>
          <w:rFonts w:ascii="Times New Roman" w:hAnsi="Times New Roman" w:cs="Times New Roman"/>
          <w:bCs/>
          <w:sz w:val="24"/>
          <w:szCs w:val="24"/>
        </w:rPr>
        <w:t xml:space="preserve">productive </w:t>
      </w:r>
      <w:r w:rsidR="006F24EB" w:rsidRPr="00CD303F">
        <w:rPr>
          <w:rFonts w:ascii="Times New Roman" w:hAnsi="Times New Roman" w:cs="Times New Roman"/>
          <w:bCs/>
          <w:sz w:val="24"/>
          <w:szCs w:val="24"/>
        </w:rPr>
        <w:t xml:space="preserve">technologies, Foucault argues, </w:t>
      </w:r>
      <w:r w:rsidR="00282DF6" w:rsidRPr="00CD303F">
        <w:rPr>
          <w:rFonts w:ascii="Times New Roman" w:hAnsi="Times New Roman" w:cs="Times New Roman"/>
          <w:bCs/>
          <w:sz w:val="24"/>
          <w:szCs w:val="24"/>
        </w:rPr>
        <w:t xml:space="preserve">stood in </w:t>
      </w:r>
      <w:r w:rsidR="001F43AE" w:rsidRPr="00CD303F">
        <w:rPr>
          <w:rFonts w:ascii="Times New Roman" w:hAnsi="Times New Roman" w:cs="Times New Roman"/>
          <w:bCs/>
          <w:sz w:val="24"/>
          <w:szCs w:val="24"/>
        </w:rPr>
        <w:t>stark contrast</w:t>
      </w:r>
      <w:r w:rsidR="00282DF6" w:rsidRPr="00CD303F">
        <w:rPr>
          <w:rFonts w:ascii="Times New Roman" w:hAnsi="Times New Roman" w:cs="Times New Roman"/>
          <w:bCs/>
          <w:sz w:val="24"/>
          <w:szCs w:val="24"/>
        </w:rPr>
        <w:t xml:space="preserve"> to sovereign power</w:t>
      </w:r>
      <w:r w:rsidR="00A1224D" w:rsidRPr="00CD303F">
        <w:rPr>
          <w:rFonts w:ascii="Times New Roman" w:hAnsi="Times New Roman" w:cs="Times New Roman"/>
          <w:bCs/>
          <w:sz w:val="24"/>
          <w:szCs w:val="24"/>
        </w:rPr>
        <w:t xml:space="preserve">, </w:t>
      </w:r>
      <w:r w:rsidR="00BA4C0B" w:rsidRPr="00CD303F">
        <w:rPr>
          <w:rFonts w:ascii="Times New Roman" w:hAnsi="Times New Roman" w:cs="Times New Roman"/>
          <w:bCs/>
          <w:sz w:val="24"/>
          <w:szCs w:val="24"/>
        </w:rPr>
        <w:t>or juridico-institutional power</w:t>
      </w:r>
      <w:r w:rsidR="008952EB" w:rsidRPr="00CD303F">
        <w:rPr>
          <w:rFonts w:ascii="Times New Roman" w:hAnsi="Times New Roman" w:cs="Times New Roman"/>
          <w:bCs/>
          <w:sz w:val="24"/>
          <w:szCs w:val="24"/>
        </w:rPr>
        <w:t xml:space="preserve">. Operating primarily through the law, such a form of power </w:t>
      </w:r>
      <w:r w:rsidR="00A1224D" w:rsidRPr="00CD303F">
        <w:rPr>
          <w:rFonts w:ascii="Times New Roman" w:hAnsi="Times New Roman" w:cs="Times New Roman"/>
          <w:bCs/>
          <w:sz w:val="24"/>
          <w:szCs w:val="24"/>
        </w:rPr>
        <w:t>“was exercised mainly as a means of deduction – the seizing of things, time, bodies, and ultimately the seizing of life itself” (or what Foucault termed the power to “make live and let die</w:t>
      </w:r>
      <w:r w:rsidR="008952EB" w:rsidRPr="00CD303F">
        <w:rPr>
          <w:rFonts w:ascii="Times New Roman" w:hAnsi="Times New Roman" w:cs="Times New Roman"/>
          <w:bCs/>
          <w:sz w:val="24"/>
          <w:szCs w:val="24"/>
        </w:rPr>
        <w:t>”)</w:t>
      </w:r>
      <w:r w:rsidR="007A681A" w:rsidRPr="00CD303F">
        <w:rPr>
          <w:rFonts w:ascii="Times New Roman" w:hAnsi="Times New Roman" w:cs="Times New Roman"/>
          <w:bCs/>
          <w:sz w:val="24"/>
          <w:szCs w:val="24"/>
        </w:rPr>
        <w:t xml:space="preserve"> – and, since the law was armed, death remained </w:t>
      </w:r>
      <w:r w:rsidR="00844A59" w:rsidRPr="00CD303F">
        <w:rPr>
          <w:rFonts w:ascii="Times New Roman" w:hAnsi="Times New Roman" w:cs="Times New Roman"/>
          <w:bCs/>
          <w:sz w:val="24"/>
          <w:szCs w:val="24"/>
        </w:rPr>
        <w:t>its most powerful weapon</w:t>
      </w:r>
      <w:r w:rsidR="00B538A5" w:rsidRPr="00CD303F">
        <w:rPr>
          <w:rFonts w:ascii="Times New Roman" w:hAnsi="Times New Roman" w:cs="Times New Roman"/>
          <w:bCs/>
          <w:sz w:val="24"/>
          <w:szCs w:val="24"/>
        </w:rPr>
        <w:t>.</w:t>
      </w:r>
      <w:r w:rsidR="008952EB" w:rsidRPr="00CD303F">
        <w:rPr>
          <w:rStyle w:val="FootnoteReference"/>
          <w:rFonts w:ascii="Times New Roman" w:hAnsi="Times New Roman" w:cs="Times New Roman"/>
          <w:bCs/>
          <w:sz w:val="24"/>
          <w:szCs w:val="24"/>
        </w:rPr>
        <w:footnoteReference w:id="29"/>
      </w:r>
      <w:r w:rsidR="007A681A" w:rsidRPr="00CD303F">
        <w:rPr>
          <w:rFonts w:ascii="Times New Roman" w:hAnsi="Times New Roman" w:cs="Times New Roman"/>
          <w:bCs/>
          <w:sz w:val="24"/>
          <w:szCs w:val="24"/>
        </w:rPr>
        <w:t xml:space="preserve"> </w:t>
      </w:r>
      <w:r w:rsidR="00477007" w:rsidRPr="00CD303F">
        <w:rPr>
          <w:rFonts w:ascii="Times New Roman" w:hAnsi="Times New Roman" w:cs="Times New Roman"/>
          <w:bCs/>
          <w:sz w:val="24"/>
          <w:szCs w:val="24"/>
        </w:rPr>
        <w:t>Yet although Foucault was interested in</w:t>
      </w:r>
      <w:r w:rsidR="00AA0169" w:rsidRPr="00CD303F">
        <w:rPr>
          <w:rFonts w:ascii="Times New Roman" w:hAnsi="Times New Roman" w:cs="Times New Roman"/>
          <w:bCs/>
          <w:sz w:val="24"/>
          <w:szCs w:val="24"/>
        </w:rPr>
        <w:t xml:space="preserve"> the ways in which sovereign power was superimposed upon </w:t>
      </w:r>
      <w:r w:rsidR="00CD43E9" w:rsidRPr="00CD303F">
        <w:rPr>
          <w:rFonts w:ascii="Times New Roman" w:hAnsi="Times New Roman" w:cs="Times New Roman"/>
          <w:bCs/>
          <w:sz w:val="24"/>
          <w:szCs w:val="24"/>
        </w:rPr>
        <w:t>disciplinary and regulatory</w:t>
      </w:r>
      <w:r w:rsidR="00AA0169" w:rsidRPr="00CD303F">
        <w:rPr>
          <w:rFonts w:ascii="Times New Roman" w:hAnsi="Times New Roman" w:cs="Times New Roman"/>
          <w:bCs/>
          <w:sz w:val="24"/>
          <w:szCs w:val="24"/>
        </w:rPr>
        <w:t xml:space="preserve"> forms of power </w:t>
      </w:r>
      <w:r w:rsidR="00322084" w:rsidRPr="00CD303F">
        <w:rPr>
          <w:rFonts w:ascii="Times New Roman" w:hAnsi="Times New Roman" w:cs="Times New Roman"/>
          <w:bCs/>
          <w:sz w:val="24"/>
          <w:szCs w:val="24"/>
        </w:rPr>
        <w:t>his conception of sovereignty was theoretically rudimentary</w:t>
      </w:r>
      <w:r w:rsidR="00AD3A6D" w:rsidRPr="00CD303F">
        <w:rPr>
          <w:rFonts w:ascii="Times New Roman" w:hAnsi="Times New Roman" w:cs="Times New Roman"/>
          <w:bCs/>
          <w:sz w:val="24"/>
          <w:szCs w:val="24"/>
        </w:rPr>
        <w:t>,</w:t>
      </w:r>
      <w:r w:rsidR="008E288F" w:rsidRPr="00CD303F">
        <w:rPr>
          <w:rFonts w:ascii="Times New Roman" w:hAnsi="Times New Roman" w:cs="Times New Roman"/>
          <w:bCs/>
          <w:sz w:val="24"/>
          <w:szCs w:val="24"/>
        </w:rPr>
        <w:t xml:space="preserve"> </w:t>
      </w:r>
      <w:r w:rsidR="00436DD1" w:rsidRPr="00CD303F">
        <w:rPr>
          <w:rFonts w:ascii="Times New Roman" w:hAnsi="Times New Roman" w:cs="Times New Roman"/>
          <w:bCs/>
          <w:sz w:val="24"/>
          <w:szCs w:val="24"/>
        </w:rPr>
        <w:t xml:space="preserve">he never elaborated on the distinction between sovereign and </w:t>
      </w:r>
      <w:r w:rsidR="00462406" w:rsidRPr="00CD303F">
        <w:rPr>
          <w:rFonts w:ascii="Times New Roman" w:hAnsi="Times New Roman" w:cs="Times New Roman"/>
          <w:bCs/>
          <w:sz w:val="24"/>
          <w:szCs w:val="24"/>
        </w:rPr>
        <w:t>modern forms of power</w:t>
      </w:r>
      <w:r w:rsidR="00AD3A6D" w:rsidRPr="00CD303F">
        <w:rPr>
          <w:rFonts w:ascii="Times New Roman" w:hAnsi="Times New Roman" w:cs="Times New Roman"/>
          <w:bCs/>
          <w:sz w:val="24"/>
          <w:szCs w:val="24"/>
        </w:rPr>
        <w:t xml:space="preserve">, and his </w:t>
      </w:r>
      <w:r w:rsidR="00462406" w:rsidRPr="00CD303F">
        <w:rPr>
          <w:rFonts w:ascii="Times New Roman" w:hAnsi="Times New Roman" w:cs="Times New Roman"/>
          <w:bCs/>
          <w:sz w:val="24"/>
          <w:szCs w:val="24"/>
        </w:rPr>
        <w:t>explication</w:t>
      </w:r>
      <w:r w:rsidR="00AD3A6D" w:rsidRPr="00CD303F">
        <w:rPr>
          <w:rFonts w:ascii="Times New Roman" w:hAnsi="Times New Roman" w:cs="Times New Roman"/>
          <w:bCs/>
          <w:sz w:val="24"/>
          <w:szCs w:val="24"/>
        </w:rPr>
        <w:t xml:space="preserve"> of the nature of the relationship between sovereign and biopower</w:t>
      </w:r>
      <w:r w:rsidR="0075764B">
        <w:rPr>
          <w:rFonts w:ascii="Times New Roman" w:hAnsi="Times New Roman" w:cs="Times New Roman"/>
          <w:bCs/>
          <w:sz w:val="24"/>
          <w:szCs w:val="24"/>
        </w:rPr>
        <w:t xml:space="preserve"> </w:t>
      </w:r>
      <w:r w:rsidR="001C5C4D">
        <w:rPr>
          <w:rFonts w:ascii="Times New Roman" w:hAnsi="Times New Roman" w:cs="Times New Roman"/>
          <w:bCs/>
          <w:sz w:val="24"/>
          <w:szCs w:val="24"/>
        </w:rPr>
        <w:t>(</w:t>
      </w:r>
      <w:r w:rsidR="0075764B">
        <w:rPr>
          <w:rFonts w:ascii="Times New Roman" w:hAnsi="Times New Roman" w:cs="Times New Roman"/>
          <w:bCs/>
          <w:sz w:val="24"/>
          <w:szCs w:val="24"/>
        </w:rPr>
        <w:t xml:space="preserve">and </w:t>
      </w:r>
      <w:r w:rsidR="001C5C4D">
        <w:rPr>
          <w:rFonts w:ascii="Times New Roman" w:hAnsi="Times New Roman" w:cs="Times New Roman"/>
          <w:bCs/>
          <w:sz w:val="24"/>
          <w:szCs w:val="24"/>
        </w:rPr>
        <w:t xml:space="preserve">later </w:t>
      </w:r>
      <w:r w:rsidR="0075764B">
        <w:rPr>
          <w:rFonts w:ascii="Times New Roman" w:hAnsi="Times New Roman" w:cs="Times New Roman"/>
          <w:bCs/>
          <w:sz w:val="24"/>
          <w:szCs w:val="24"/>
        </w:rPr>
        <w:t>biopower and governmentality</w:t>
      </w:r>
      <w:r w:rsidR="001C5C4D">
        <w:rPr>
          <w:rFonts w:ascii="Times New Roman" w:hAnsi="Times New Roman" w:cs="Times New Roman"/>
          <w:bCs/>
          <w:sz w:val="24"/>
          <w:szCs w:val="24"/>
        </w:rPr>
        <w:t>)</w:t>
      </w:r>
      <w:r w:rsidR="00AD3A6D" w:rsidRPr="00CD303F">
        <w:rPr>
          <w:rFonts w:ascii="Times New Roman" w:hAnsi="Times New Roman" w:cs="Times New Roman"/>
          <w:bCs/>
          <w:sz w:val="24"/>
          <w:szCs w:val="24"/>
        </w:rPr>
        <w:t xml:space="preserve"> remained tenuous</w:t>
      </w:r>
      <w:r w:rsidR="00180972" w:rsidRPr="00CD303F">
        <w:rPr>
          <w:rFonts w:ascii="Times New Roman" w:hAnsi="Times New Roman" w:cs="Times New Roman"/>
          <w:bCs/>
          <w:sz w:val="24"/>
          <w:szCs w:val="24"/>
        </w:rPr>
        <w:t>.</w:t>
      </w:r>
      <w:r w:rsidR="00520688" w:rsidRPr="00CD303F">
        <w:rPr>
          <w:rStyle w:val="FootnoteReference"/>
          <w:rFonts w:ascii="Times New Roman" w:hAnsi="Times New Roman" w:cs="Times New Roman"/>
          <w:bCs/>
          <w:sz w:val="24"/>
          <w:szCs w:val="24"/>
        </w:rPr>
        <w:footnoteReference w:id="30"/>
      </w:r>
      <w:r w:rsidR="008275C1" w:rsidRPr="00CD303F">
        <w:rPr>
          <w:rFonts w:ascii="Times New Roman" w:hAnsi="Times New Roman" w:cs="Times New Roman"/>
          <w:bCs/>
          <w:sz w:val="24"/>
          <w:szCs w:val="24"/>
        </w:rPr>
        <w:t xml:space="preserve"> The linkages </w:t>
      </w:r>
      <w:r w:rsidR="004031E6" w:rsidRPr="00CD303F">
        <w:rPr>
          <w:rFonts w:ascii="Times New Roman" w:hAnsi="Times New Roman" w:cs="Times New Roman"/>
          <w:bCs/>
          <w:sz w:val="24"/>
          <w:szCs w:val="24"/>
        </w:rPr>
        <w:t xml:space="preserve">between race, sexuality and biopower </w:t>
      </w:r>
      <w:r w:rsidR="008275C1" w:rsidRPr="00CD303F">
        <w:rPr>
          <w:rFonts w:ascii="Times New Roman" w:hAnsi="Times New Roman" w:cs="Times New Roman"/>
          <w:bCs/>
          <w:sz w:val="24"/>
          <w:szCs w:val="24"/>
        </w:rPr>
        <w:t xml:space="preserve">remained, moreover, </w:t>
      </w:r>
      <w:r w:rsidR="004031E6" w:rsidRPr="00CD303F">
        <w:rPr>
          <w:rFonts w:ascii="Times New Roman" w:hAnsi="Times New Roman" w:cs="Times New Roman"/>
          <w:bCs/>
          <w:sz w:val="24"/>
          <w:szCs w:val="24"/>
        </w:rPr>
        <w:t>l</w:t>
      </w:r>
      <w:r w:rsidR="008275C1" w:rsidRPr="00CD303F">
        <w:rPr>
          <w:rFonts w:ascii="Times New Roman" w:hAnsi="Times New Roman" w:cs="Times New Roman"/>
          <w:bCs/>
          <w:sz w:val="24"/>
          <w:szCs w:val="24"/>
        </w:rPr>
        <w:t>oose</w:t>
      </w:r>
      <w:r w:rsidR="004031E6" w:rsidRPr="00CD303F">
        <w:rPr>
          <w:rFonts w:ascii="Times New Roman" w:hAnsi="Times New Roman" w:cs="Times New Roman"/>
          <w:bCs/>
          <w:sz w:val="24"/>
          <w:szCs w:val="24"/>
        </w:rPr>
        <w:t xml:space="preserve"> (he never, in particular, explicitly linked race and sexuality)</w:t>
      </w:r>
      <w:r w:rsidR="00462406" w:rsidRPr="00CD303F">
        <w:rPr>
          <w:rFonts w:ascii="Times New Roman" w:hAnsi="Times New Roman" w:cs="Times New Roman"/>
          <w:bCs/>
          <w:sz w:val="24"/>
          <w:szCs w:val="24"/>
        </w:rPr>
        <w:t>,</w:t>
      </w:r>
      <w:r w:rsidR="0098410E" w:rsidRPr="00CD303F">
        <w:rPr>
          <w:rFonts w:ascii="Times New Roman" w:hAnsi="Times New Roman" w:cs="Times New Roman"/>
          <w:bCs/>
          <w:sz w:val="24"/>
          <w:szCs w:val="24"/>
        </w:rPr>
        <w:t xml:space="preserve"> and barring his elaboration</w:t>
      </w:r>
      <w:r w:rsidR="001C3055" w:rsidRPr="00CD303F">
        <w:rPr>
          <w:rFonts w:ascii="Times New Roman" w:hAnsi="Times New Roman" w:cs="Times New Roman"/>
          <w:bCs/>
          <w:sz w:val="24"/>
          <w:szCs w:val="24"/>
        </w:rPr>
        <w:t xml:space="preserve"> of the emergence of state racism – which in the 1975-76 lectures he locates in the “colonizing ge</w:t>
      </w:r>
      <w:r w:rsidR="002A7CD6" w:rsidRPr="00CD303F">
        <w:rPr>
          <w:rFonts w:ascii="Times New Roman" w:hAnsi="Times New Roman" w:cs="Times New Roman"/>
          <w:bCs/>
          <w:sz w:val="24"/>
          <w:szCs w:val="24"/>
        </w:rPr>
        <w:t>nocide” of colonialism – he did</w:t>
      </w:r>
      <w:r w:rsidR="001C3055" w:rsidRPr="00CD303F">
        <w:rPr>
          <w:rFonts w:ascii="Times New Roman" w:hAnsi="Times New Roman" w:cs="Times New Roman"/>
          <w:bCs/>
          <w:sz w:val="24"/>
          <w:szCs w:val="24"/>
        </w:rPr>
        <w:t xml:space="preserve"> not </w:t>
      </w:r>
      <w:r w:rsidR="0098410E" w:rsidRPr="00CD303F">
        <w:rPr>
          <w:rFonts w:ascii="Times New Roman" w:hAnsi="Times New Roman" w:cs="Times New Roman"/>
          <w:bCs/>
          <w:sz w:val="24"/>
          <w:szCs w:val="24"/>
        </w:rPr>
        <w:t xml:space="preserve">allude to </w:t>
      </w:r>
      <w:r w:rsidR="001C3055" w:rsidRPr="00CD303F">
        <w:rPr>
          <w:rFonts w:ascii="Times New Roman" w:hAnsi="Times New Roman" w:cs="Times New Roman"/>
          <w:bCs/>
          <w:sz w:val="24"/>
          <w:szCs w:val="24"/>
        </w:rPr>
        <w:t>the nature of the relationship between such racism and European imperialism.</w:t>
      </w:r>
      <w:r w:rsidR="00E20E3E">
        <w:rPr>
          <w:rStyle w:val="FootnoteReference"/>
          <w:rFonts w:ascii="Times New Roman" w:hAnsi="Times New Roman" w:cs="Times New Roman"/>
          <w:bCs/>
          <w:sz w:val="24"/>
          <w:szCs w:val="24"/>
        </w:rPr>
        <w:footnoteReference w:id="31"/>
      </w:r>
      <w:r w:rsidR="00C2520E" w:rsidRPr="00CD303F">
        <w:rPr>
          <w:rFonts w:ascii="Times New Roman" w:hAnsi="Times New Roman" w:cs="Times New Roman"/>
          <w:bCs/>
          <w:sz w:val="24"/>
          <w:szCs w:val="24"/>
        </w:rPr>
        <w:t xml:space="preserve"> </w:t>
      </w:r>
    </w:p>
    <w:p w:rsidR="000071D0" w:rsidRPr="00701A29" w:rsidRDefault="00E20E3E" w:rsidP="000F2EF5">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Foucault</w:t>
      </w:r>
      <w:r w:rsidR="00906EE6">
        <w:rPr>
          <w:rFonts w:ascii="Times New Roman" w:hAnsi="Times New Roman" w:cs="Times New Roman"/>
          <w:bCs/>
          <w:sz w:val="24"/>
          <w:szCs w:val="24"/>
        </w:rPr>
        <w:t xml:space="preserve"> focussed on biopower primarily in his </w:t>
      </w:r>
      <w:r>
        <w:rPr>
          <w:rFonts w:ascii="Times New Roman" w:hAnsi="Times New Roman" w:cs="Times New Roman"/>
          <w:bCs/>
          <w:sz w:val="24"/>
          <w:szCs w:val="24"/>
        </w:rPr>
        <w:t>1976 lectures at the Coll</w:t>
      </w:r>
      <w:r w:rsidR="00EB295A">
        <w:rPr>
          <w:rFonts w:ascii="Times New Roman" w:hAnsi="Times New Roman" w:cs="Times New Roman"/>
          <w:bCs/>
          <w:sz w:val="24"/>
          <w:szCs w:val="24"/>
        </w:rPr>
        <w:t>è</w:t>
      </w:r>
      <w:r>
        <w:rPr>
          <w:rFonts w:ascii="Times New Roman" w:hAnsi="Times New Roman" w:cs="Times New Roman"/>
          <w:bCs/>
          <w:sz w:val="24"/>
          <w:szCs w:val="24"/>
        </w:rPr>
        <w:t xml:space="preserve">ge de France and the final chapter of the first volume of </w:t>
      </w:r>
      <w:r>
        <w:rPr>
          <w:rFonts w:ascii="Times New Roman" w:hAnsi="Times New Roman" w:cs="Times New Roman"/>
          <w:bCs/>
          <w:i/>
          <w:sz w:val="24"/>
          <w:szCs w:val="24"/>
        </w:rPr>
        <w:t>The History of Sexuality</w:t>
      </w:r>
      <w:r>
        <w:rPr>
          <w:rFonts w:ascii="Times New Roman" w:hAnsi="Times New Roman" w:cs="Times New Roman"/>
          <w:bCs/>
          <w:sz w:val="24"/>
          <w:szCs w:val="24"/>
        </w:rPr>
        <w:t xml:space="preserve">. </w:t>
      </w:r>
      <w:r w:rsidR="00EC6BE7" w:rsidRPr="00CD303F">
        <w:rPr>
          <w:rFonts w:ascii="Times New Roman" w:hAnsi="Times New Roman" w:cs="Times New Roman"/>
          <w:bCs/>
          <w:sz w:val="24"/>
          <w:szCs w:val="24"/>
        </w:rPr>
        <w:t xml:space="preserve">A </w:t>
      </w:r>
      <w:r w:rsidR="00F40B60" w:rsidRPr="00CD303F">
        <w:rPr>
          <w:rFonts w:ascii="Times New Roman" w:hAnsi="Times New Roman" w:cs="Times New Roman"/>
          <w:bCs/>
          <w:sz w:val="24"/>
          <w:szCs w:val="24"/>
        </w:rPr>
        <w:t xml:space="preserve">key question that concerned Foucault in the lecture series, and that is relevant for our interests, is </w:t>
      </w:r>
      <w:r w:rsidR="006D23B7" w:rsidRPr="00CD303F">
        <w:rPr>
          <w:rFonts w:ascii="Times New Roman" w:hAnsi="Times New Roman" w:cs="Times New Roman"/>
          <w:bCs/>
          <w:sz w:val="24"/>
          <w:szCs w:val="24"/>
        </w:rPr>
        <w:t xml:space="preserve">how such </w:t>
      </w:r>
      <w:r w:rsidR="00516396" w:rsidRPr="00CD303F">
        <w:rPr>
          <w:rFonts w:ascii="Times New Roman" w:hAnsi="Times New Roman" w:cs="Times New Roman"/>
          <w:bCs/>
          <w:sz w:val="24"/>
          <w:szCs w:val="24"/>
        </w:rPr>
        <w:t xml:space="preserve">a form of power that sought to augment life </w:t>
      </w:r>
      <w:r w:rsidR="006D23B7" w:rsidRPr="00CD303F">
        <w:rPr>
          <w:rFonts w:ascii="Times New Roman" w:hAnsi="Times New Roman" w:cs="Times New Roman"/>
          <w:bCs/>
          <w:sz w:val="24"/>
          <w:szCs w:val="24"/>
        </w:rPr>
        <w:t>authorized the right to kill</w:t>
      </w:r>
      <w:r w:rsidR="00516396" w:rsidRPr="00CD303F">
        <w:rPr>
          <w:rFonts w:ascii="Times New Roman" w:hAnsi="Times New Roman" w:cs="Times New Roman"/>
          <w:bCs/>
          <w:sz w:val="24"/>
          <w:szCs w:val="24"/>
        </w:rPr>
        <w:t xml:space="preserve">? </w:t>
      </w:r>
      <w:r w:rsidR="00F40B60" w:rsidRPr="00CD303F">
        <w:rPr>
          <w:rFonts w:ascii="Times New Roman" w:hAnsi="Times New Roman" w:cs="Times New Roman"/>
          <w:bCs/>
          <w:sz w:val="24"/>
          <w:szCs w:val="24"/>
        </w:rPr>
        <w:t xml:space="preserve">Foucault argues that it is racism that makes this possible, since it creates a hierarchy of races </w:t>
      </w:r>
      <w:r w:rsidR="00B31D56" w:rsidRPr="00CD303F">
        <w:rPr>
          <w:rFonts w:ascii="Times New Roman" w:hAnsi="Times New Roman" w:cs="Times New Roman"/>
          <w:bCs/>
          <w:sz w:val="24"/>
          <w:szCs w:val="24"/>
        </w:rPr>
        <w:t xml:space="preserve">– between those who </w:t>
      </w:r>
      <w:r w:rsidR="00B31D56" w:rsidRPr="00CD303F">
        <w:rPr>
          <w:rFonts w:ascii="Times New Roman" w:hAnsi="Times New Roman" w:cs="Times New Roman"/>
          <w:bCs/>
          <w:sz w:val="24"/>
          <w:szCs w:val="24"/>
        </w:rPr>
        <w:lastRenderedPageBreak/>
        <w:t xml:space="preserve">are virtuous, fit and superior and those who are not </w:t>
      </w:r>
      <w:r w:rsidR="00F40B60" w:rsidRPr="00CD303F">
        <w:rPr>
          <w:rFonts w:ascii="Times New Roman" w:hAnsi="Times New Roman" w:cs="Times New Roman"/>
          <w:bCs/>
          <w:sz w:val="24"/>
          <w:szCs w:val="24"/>
        </w:rPr>
        <w:t xml:space="preserve">– and </w:t>
      </w:r>
      <w:r w:rsidR="00B31D56" w:rsidRPr="00CD303F">
        <w:rPr>
          <w:rFonts w:ascii="Times New Roman" w:hAnsi="Times New Roman" w:cs="Times New Roman"/>
          <w:bCs/>
          <w:sz w:val="24"/>
          <w:szCs w:val="24"/>
        </w:rPr>
        <w:t xml:space="preserve">therefore fosters a division between those deemed worthy of living and those who must die. </w:t>
      </w:r>
      <w:r w:rsidR="00F40B60" w:rsidRPr="00CD303F">
        <w:rPr>
          <w:rFonts w:ascii="Times New Roman" w:hAnsi="Times New Roman" w:cs="Times New Roman"/>
          <w:bCs/>
          <w:sz w:val="24"/>
          <w:szCs w:val="24"/>
        </w:rPr>
        <w:t xml:space="preserve">As </w:t>
      </w:r>
      <w:r w:rsidR="00B31D56" w:rsidRPr="00CD303F">
        <w:rPr>
          <w:rFonts w:ascii="Times New Roman" w:hAnsi="Times New Roman" w:cs="Times New Roman"/>
          <w:bCs/>
          <w:sz w:val="24"/>
          <w:szCs w:val="24"/>
        </w:rPr>
        <w:t>Ann Stoler argues, it th</w:t>
      </w:r>
      <w:r w:rsidR="005858D9" w:rsidRPr="00CD303F">
        <w:rPr>
          <w:rFonts w:ascii="Times New Roman" w:hAnsi="Times New Roman" w:cs="Times New Roman"/>
          <w:bCs/>
          <w:sz w:val="24"/>
          <w:szCs w:val="24"/>
        </w:rPr>
        <w:t>erefore</w:t>
      </w:r>
      <w:r w:rsidR="000243E3" w:rsidRPr="00CD303F">
        <w:rPr>
          <w:rFonts w:ascii="Times New Roman" w:hAnsi="Times New Roman" w:cs="Times New Roman"/>
          <w:bCs/>
          <w:sz w:val="24"/>
          <w:szCs w:val="24"/>
        </w:rPr>
        <w:t xml:space="preserve"> </w:t>
      </w:r>
      <w:r w:rsidR="00B31D56" w:rsidRPr="00CD303F">
        <w:rPr>
          <w:rFonts w:ascii="Times New Roman" w:hAnsi="Times New Roman" w:cs="Times New Roman"/>
          <w:bCs/>
          <w:sz w:val="24"/>
          <w:szCs w:val="24"/>
        </w:rPr>
        <w:t>“</w:t>
      </w:r>
      <w:r w:rsidR="00F40B60" w:rsidRPr="00CD303F">
        <w:rPr>
          <w:rFonts w:ascii="Times New Roman" w:hAnsi="Times New Roman" w:cs="Times New Roman"/>
          <w:bCs/>
          <w:sz w:val="24"/>
          <w:szCs w:val="24"/>
        </w:rPr>
        <w:t xml:space="preserve">establishes a </w:t>
      </w:r>
      <w:r w:rsidR="00F40B60" w:rsidRPr="00CD303F">
        <w:rPr>
          <w:rFonts w:ascii="Times New Roman" w:hAnsi="Times New Roman" w:cs="Times New Roman"/>
          <w:bCs/>
          <w:i/>
          <w:sz w:val="24"/>
          <w:szCs w:val="24"/>
        </w:rPr>
        <w:t xml:space="preserve">positive </w:t>
      </w:r>
      <w:r w:rsidR="00F40B60" w:rsidRPr="00CD303F">
        <w:rPr>
          <w:rFonts w:ascii="Times New Roman" w:hAnsi="Times New Roman" w:cs="Times New Roman"/>
          <w:bCs/>
          <w:sz w:val="24"/>
          <w:szCs w:val="24"/>
        </w:rPr>
        <w:t>relation between the right to kill and the assurance of life. It posits that ‘the more you kill [and] let die, the more you will live’”</w:t>
      </w:r>
      <w:r w:rsidR="00116249" w:rsidRPr="00CD303F">
        <w:rPr>
          <w:rFonts w:ascii="Times New Roman" w:hAnsi="Times New Roman" w:cs="Times New Roman"/>
          <w:bCs/>
          <w:sz w:val="24"/>
          <w:szCs w:val="24"/>
        </w:rPr>
        <w:t xml:space="preserve"> (emphasis in original)</w:t>
      </w:r>
      <w:r w:rsidR="00E31EFA" w:rsidRPr="00CD303F">
        <w:rPr>
          <w:rFonts w:ascii="Times New Roman" w:hAnsi="Times New Roman" w:cs="Times New Roman"/>
          <w:bCs/>
          <w:sz w:val="24"/>
          <w:szCs w:val="24"/>
        </w:rPr>
        <w:t>.</w:t>
      </w:r>
      <w:r w:rsidR="005858D9" w:rsidRPr="00CD303F">
        <w:rPr>
          <w:rStyle w:val="FootnoteReference"/>
          <w:rFonts w:ascii="Times New Roman" w:hAnsi="Times New Roman" w:cs="Times New Roman"/>
          <w:bCs/>
          <w:sz w:val="24"/>
          <w:szCs w:val="24"/>
        </w:rPr>
        <w:footnoteReference w:id="32"/>
      </w:r>
      <w:r w:rsidR="00F40B60" w:rsidRPr="00CD303F">
        <w:rPr>
          <w:rFonts w:ascii="Times New Roman" w:hAnsi="Times New Roman" w:cs="Times New Roman"/>
          <w:bCs/>
          <w:sz w:val="24"/>
          <w:szCs w:val="24"/>
        </w:rPr>
        <w:t xml:space="preserve"> </w:t>
      </w:r>
      <w:r w:rsidR="001C4A59" w:rsidRPr="00CD303F">
        <w:rPr>
          <w:rFonts w:ascii="Times New Roman" w:hAnsi="Times New Roman" w:cs="Times New Roman"/>
          <w:bCs/>
          <w:sz w:val="24"/>
          <w:szCs w:val="24"/>
        </w:rPr>
        <w:t>For critics such as Giorgio Agamben, the problem with such an el</w:t>
      </w:r>
      <w:r w:rsidR="008D0C10" w:rsidRPr="00CD303F">
        <w:rPr>
          <w:rFonts w:ascii="Times New Roman" w:hAnsi="Times New Roman" w:cs="Times New Roman"/>
          <w:bCs/>
          <w:sz w:val="24"/>
          <w:szCs w:val="24"/>
        </w:rPr>
        <w:t xml:space="preserve">ucidation of the ways in which biopower can “let die” is that Foucault did not delineate </w:t>
      </w:r>
      <w:r w:rsidR="0060616D" w:rsidRPr="00CD303F">
        <w:rPr>
          <w:rFonts w:ascii="Times New Roman" w:hAnsi="Times New Roman" w:cs="Times New Roman"/>
          <w:bCs/>
          <w:sz w:val="24"/>
          <w:szCs w:val="24"/>
        </w:rPr>
        <w:t>the</w:t>
      </w:r>
      <w:r w:rsidR="004379B6" w:rsidRPr="00CD303F">
        <w:rPr>
          <w:rFonts w:ascii="Times New Roman" w:hAnsi="Times New Roman" w:cs="Times New Roman"/>
          <w:bCs/>
          <w:sz w:val="24"/>
          <w:szCs w:val="24"/>
        </w:rPr>
        <w:t xml:space="preserve"> veiled</w:t>
      </w:r>
      <w:r w:rsidR="0060616D" w:rsidRPr="00CD303F">
        <w:rPr>
          <w:rFonts w:ascii="Times New Roman" w:hAnsi="Times New Roman" w:cs="Times New Roman"/>
          <w:bCs/>
          <w:sz w:val="24"/>
          <w:szCs w:val="24"/>
        </w:rPr>
        <w:t xml:space="preserve"> point of intersection between sovereign and biopower – which for Agamben is what </w:t>
      </w:r>
      <w:r w:rsidR="00A84EE6" w:rsidRPr="00CD303F">
        <w:rPr>
          <w:rFonts w:ascii="Times New Roman" w:hAnsi="Times New Roman" w:cs="Times New Roman"/>
          <w:bCs/>
          <w:sz w:val="24"/>
          <w:szCs w:val="24"/>
        </w:rPr>
        <w:t xml:space="preserve">he terms </w:t>
      </w:r>
      <w:r w:rsidR="00A84EE6" w:rsidRPr="00CD303F">
        <w:rPr>
          <w:rFonts w:ascii="Times New Roman" w:hAnsi="Times New Roman" w:cs="Times New Roman"/>
          <w:bCs/>
          <w:i/>
          <w:sz w:val="24"/>
          <w:szCs w:val="24"/>
        </w:rPr>
        <w:t xml:space="preserve">homo sacer, </w:t>
      </w:r>
      <w:r w:rsidR="00A84EE6" w:rsidRPr="00CD303F">
        <w:rPr>
          <w:rFonts w:ascii="Times New Roman" w:hAnsi="Times New Roman" w:cs="Times New Roman"/>
          <w:bCs/>
          <w:sz w:val="24"/>
          <w:szCs w:val="24"/>
        </w:rPr>
        <w:t>or “bare life”</w:t>
      </w:r>
      <w:r w:rsidR="0075491C" w:rsidRPr="00CD303F">
        <w:rPr>
          <w:rFonts w:ascii="Times New Roman" w:hAnsi="Times New Roman" w:cs="Times New Roman"/>
          <w:bCs/>
          <w:sz w:val="24"/>
          <w:szCs w:val="24"/>
        </w:rPr>
        <w:t xml:space="preserve">, </w:t>
      </w:r>
      <w:r w:rsidR="0060616D" w:rsidRPr="00CD303F">
        <w:rPr>
          <w:rFonts w:ascii="Times New Roman" w:hAnsi="Times New Roman" w:cs="Times New Roman"/>
          <w:bCs/>
          <w:sz w:val="24"/>
          <w:szCs w:val="24"/>
        </w:rPr>
        <w:t>namely</w:t>
      </w:r>
      <w:r w:rsidR="006440CD" w:rsidRPr="00CD303F">
        <w:rPr>
          <w:rFonts w:ascii="Times New Roman" w:hAnsi="Times New Roman" w:cs="Times New Roman"/>
          <w:bCs/>
          <w:sz w:val="24"/>
          <w:szCs w:val="24"/>
        </w:rPr>
        <w:t xml:space="preserve"> the </w:t>
      </w:r>
      <w:r w:rsidR="0075491C" w:rsidRPr="00CD303F">
        <w:rPr>
          <w:rFonts w:ascii="Times New Roman" w:hAnsi="Times New Roman" w:cs="Times New Roman"/>
          <w:sz w:val="24"/>
          <w:szCs w:val="24"/>
        </w:rPr>
        <w:t xml:space="preserve">human </w:t>
      </w:r>
      <w:r w:rsidR="00687679" w:rsidRPr="00CD303F">
        <w:rPr>
          <w:rFonts w:ascii="Times New Roman" w:hAnsi="Times New Roman" w:cs="Times New Roman"/>
          <w:sz w:val="24"/>
          <w:szCs w:val="24"/>
        </w:rPr>
        <w:t xml:space="preserve">being “who </w:t>
      </w:r>
      <w:r w:rsidR="00687679" w:rsidRPr="00CD303F">
        <w:rPr>
          <w:rFonts w:ascii="Times New Roman" w:hAnsi="Times New Roman" w:cs="Times New Roman"/>
          <w:i/>
          <w:iCs/>
          <w:sz w:val="24"/>
          <w:szCs w:val="24"/>
        </w:rPr>
        <w:t xml:space="preserve">may be killed and yet not sacrificed </w:t>
      </w:r>
      <w:r w:rsidR="00687679" w:rsidRPr="00CD303F">
        <w:rPr>
          <w:rFonts w:ascii="Times New Roman" w:hAnsi="Times New Roman" w:cs="Times New Roman"/>
          <w:iCs/>
          <w:sz w:val="24"/>
          <w:szCs w:val="24"/>
        </w:rPr>
        <w:t>. . .” (emphasis in original)</w:t>
      </w:r>
      <w:r w:rsidR="00A84EE6" w:rsidRPr="00CD303F">
        <w:rPr>
          <w:rFonts w:ascii="Times New Roman" w:hAnsi="Times New Roman" w:cs="Times New Roman"/>
          <w:bCs/>
          <w:sz w:val="24"/>
          <w:szCs w:val="24"/>
        </w:rPr>
        <w:t>.</w:t>
      </w:r>
      <w:r w:rsidR="00C12F30" w:rsidRPr="00CD303F">
        <w:rPr>
          <w:rStyle w:val="FootnoteReference"/>
          <w:rFonts w:ascii="Times New Roman" w:hAnsi="Times New Roman" w:cs="Times New Roman"/>
          <w:bCs/>
          <w:sz w:val="24"/>
          <w:szCs w:val="24"/>
        </w:rPr>
        <w:footnoteReference w:id="33"/>
      </w:r>
      <w:r w:rsidR="00BA4C0B" w:rsidRPr="00CD303F">
        <w:rPr>
          <w:rFonts w:ascii="Times New Roman" w:hAnsi="Times New Roman" w:cs="Times New Roman"/>
          <w:bCs/>
          <w:sz w:val="24"/>
          <w:szCs w:val="24"/>
        </w:rPr>
        <w:t xml:space="preserve"> </w:t>
      </w:r>
      <w:r w:rsidR="0060616D" w:rsidRPr="00CD303F">
        <w:rPr>
          <w:rFonts w:ascii="Times New Roman" w:hAnsi="Times New Roman" w:cs="Times New Roman"/>
          <w:bCs/>
          <w:sz w:val="24"/>
          <w:szCs w:val="24"/>
        </w:rPr>
        <w:t>According to Agamben, moreover, the production of “bare life”, rather than being a modern development, is the originary endeavour of sovereign power</w:t>
      </w:r>
      <w:r w:rsidR="007455AD" w:rsidRPr="00CD303F">
        <w:rPr>
          <w:rFonts w:ascii="Times New Roman" w:hAnsi="Times New Roman" w:cs="Times New Roman"/>
          <w:bCs/>
          <w:sz w:val="24"/>
          <w:szCs w:val="24"/>
        </w:rPr>
        <w:t xml:space="preserve"> (although </w:t>
      </w:r>
      <w:r w:rsidR="00196E66" w:rsidRPr="00CD303F">
        <w:rPr>
          <w:rFonts w:ascii="Times New Roman" w:hAnsi="Times New Roman" w:cs="Times New Roman"/>
          <w:bCs/>
          <w:sz w:val="24"/>
          <w:szCs w:val="24"/>
        </w:rPr>
        <w:t xml:space="preserve">it is only </w:t>
      </w:r>
      <w:r w:rsidR="007455AD" w:rsidRPr="00CD303F">
        <w:rPr>
          <w:rFonts w:ascii="Times New Roman" w:hAnsi="Times New Roman" w:cs="Times New Roman"/>
          <w:bCs/>
          <w:sz w:val="24"/>
          <w:szCs w:val="24"/>
        </w:rPr>
        <w:t>“</w:t>
      </w:r>
      <w:r w:rsidR="007455AD" w:rsidRPr="00CD303F">
        <w:rPr>
          <w:rFonts w:ascii="Times New Roman" w:hAnsi="Times New Roman" w:cs="Times New Roman"/>
          <w:sz w:val="24"/>
          <w:szCs w:val="24"/>
        </w:rPr>
        <w:t>in the modern era of bio</w:t>
      </w:r>
      <w:r w:rsidR="007455AD" w:rsidRPr="00CD303F">
        <w:rPr>
          <w:rFonts w:ascii="Cambria Math" w:hAnsi="Cambria Math" w:cs="Cambria Math"/>
          <w:sz w:val="24"/>
          <w:szCs w:val="24"/>
        </w:rPr>
        <w:t>‐</w:t>
      </w:r>
      <w:r w:rsidR="007455AD" w:rsidRPr="00CD303F">
        <w:rPr>
          <w:rFonts w:ascii="Times New Roman" w:hAnsi="Times New Roman" w:cs="Times New Roman"/>
          <w:sz w:val="24"/>
          <w:szCs w:val="24"/>
        </w:rPr>
        <w:t xml:space="preserve">politics </w:t>
      </w:r>
      <w:r w:rsidR="001F5572" w:rsidRPr="00CD303F">
        <w:rPr>
          <w:rFonts w:ascii="Times New Roman" w:hAnsi="Times New Roman" w:cs="Times New Roman"/>
          <w:sz w:val="24"/>
          <w:szCs w:val="24"/>
        </w:rPr>
        <w:t xml:space="preserve">that </w:t>
      </w:r>
      <w:r w:rsidR="007455AD" w:rsidRPr="00CD303F">
        <w:rPr>
          <w:rFonts w:ascii="Times New Roman" w:hAnsi="Times New Roman" w:cs="Times New Roman"/>
          <w:sz w:val="24"/>
          <w:szCs w:val="24"/>
        </w:rPr>
        <w:t>a form of life and bare life enter into a zone of irreducible indistinction”)</w:t>
      </w:r>
      <w:r w:rsidR="00422645" w:rsidRPr="00CD303F">
        <w:rPr>
          <w:rFonts w:ascii="Times New Roman" w:hAnsi="Times New Roman" w:cs="Times New Roman"/>
          <w:bCs/>
          <w:sz w:val="24"/>
          <w:szCs w:val="24"/>
        </w:rPr>
        <w:t>.</w:t>
      </w:r>
      <w:r w:rsidR="00145EA2" w:rsidRPr="00CD303F">
        <w:rPr>
          <w:rStyle w:val="FootnoteReference"/>
          <w:rFonts w:ascii="Times New Roman" w:hAnsi="Times New Roman" w:cs="Times New Roman"/>
          <w:bCs/>
          <w:sz w:val="24"/>
          <w:szCs w:val="24"/>
        </w:rPr>
        <w:footnoteReference w:id="34"/>
      </w:r>
      <w:r w:rsidR="004379B6" w:rsidRPr="00CD303F">
        <w:rPr>
          <w:rFonts w:ascii="Times New Roman" w:hAnsi="Times New Roman" w:cs="Times New Roman"/>
          <w:bCs/>
          <w:sz w:val="24"/>
          <w:szCs w:val="24"/>
        </w:rPr>
        <w:t xml:space="preserve"> Yet</w:t>
      </w:r>
      <w:r w:rsidR="00054C68" w:rsidRPr="00CD303F">
        <w:rPr>
          <w:rFonts w:ascii="Times New Roman" w:hAnsi="Times New Roman" w:cs="Times New Roman"/>
          <w:bCs/>
          <w:sz w:val="24"/>
          <w:szCs w:val="24"/>
        </w:rPr>
        <w:t xml:space="preserve"> a</w:t>
      </w:r>
      <w:r w:rsidR="004379B6" w:rsidRPr="00CD303F">
        <w:rPr>
          <w:rFonts w:ascii="Times New Roman" w:hAnsi="Times New Roman" w:cs="Times New Roman"/>
          <w:bCs/>
          <w:sz w:val="24"/>
          <w:szCs w:val="24"/>
        </w:rPr>
        <w:t>s Mika Ojakangas argues, while the production of “bare life” is vital to the establishment of sovereign power, and life is sacred for sovereign power since it can be taken away without a homicide having been committed,</w:t>
      </w:r>
      <w:r w:rsidR="00D33546" w:rsidRPr="00CD303F">
        <w:rPr>
          <w:rFonts w:ascii="Times New Roman" w:hAnsi="Times New Roman" w:cs="Times New Roman"/>
          <w:bCs/>
          <w:sz w:val="24"/>
          <w:szCs w:val="24"/>
        </w:rPr>
        <w:t xml:space="preserve"> </w:t>
      </w:r>
      <w:r w:rsidR="003439AB" w:rsidRPr="00CD303F">
        <w:rPr>
          <w:rFonts w:ascii="Times New Roman" w:hAnsi="Times New Roman" w:cs="Times New Roman"/>
          <w:bCs/>
          <w:sz w:val="24"/>
          <w:szCs w:val="24"/>
        </w:rPr>
        <w:t>as</w:t>
      </w:r>
      <w:r w:rsidR="00D33546" w:rsidRPr="00CD303F">
        <w:rPr>
          <w:rFonts w:ascii="Times New Roman" w:hAnsi="Times New Roman" w:cs="Times New Roman"/>
          <w:bCs/>
          <w:sz w:val="24"/>
          <w:szCs w:val="24"/>
        </w:rPr>
        <w:t xml:space="preserve"> the aim of biopower is to augment life it </w:t>
      </w:r>
      <w:r w:rsidR="00381349" w:rsidRPr="00CD303F">
        <w:rPr>
          <w:rFonts w:ascii="Times New Roman" w:hAnsi="Times New Roman" w:cs="Times New Roman"/>
          <w:bCs/>
          <w:sz w:val="24"/>
          <w:szCs w:val="24"/>
        </w:rPr>
        <w:t>“cannot reduce life to the level of bare life, because bare life is life that can only be taken away or allowed to persist</w:t>
      </w:r>
      <w:r w:rsidR="00D33546" w:rsidRPr="00CD303F">
        <w:rPr>
          <w:rFonts w:ascii="Times New Roman" w:hAnsi="Times New Roman" w:cs="Times New Roman"/>
          <w:bCs/>
          <w:sz w:val="24"/>
          <w:szCs w:val="24"/>
        </w:rPr>
        <w:t>”</w:t>
      </w:r>
      <w:r w:rsidR="00381349" w:rsidRPr="00CD303F">
        <w:rPr>
          <w:rFonts w:ascii="Times New Roman" w:hAnsi="Times New Roman" w:cs="Times New Roman"/>
          <w:bCs/>
          <w:sz w:val="24"/>
          <w:szCs w:val="24"/>
        </w:rPr>
        <w:t>.</w:t>
      </w:r>
      <w:r w:rsidR="00381349" w:rsidRPr="00CD303F">
        <w:rPr>
          <w:rStyle w:val="FootnoteReference"/>
          <w:rFonts w:ascii="Times New Roman" w:hAnsi="Times New Roman" w:cs="Times New Roman"/>
          <w:bCs/>
          <w:sz w:val="24"/>
          <w:szCs w:val="24"/>
        </w:rPr>
        <w:footnoteReference w:id="35"/>
      </w:r>
      <w:r w:rsidR="006F79D1" w:rsidRPr="00CD303F">
        <w:rPr>
          <w:rFonts w:ascii="Times New Roman" w:hAnsi="Times New Roman" w:cs="Times New Roman"/>
          <w:bCs/>
          <w:sz w:val="24"/>
          <w:szCs w:val="24"/>
        </w:rPr>
        <w:t xml:space="preserve"> </w:t>
      </w:r>
      <w:r w:rsidR="000F2EF5">
        <w:rPr>
          <w:rFonts w:ascii="Times New Roman" w:hAnsi="Times New Roman" w:cs="Times New Roman"/>
          <w:bCs/>
          <w:sz w:val="24"/>
          <w:szCs w:val="24"/>
        </w:rPr>
        <w:t xml:space="preserve">Although </w:t>
      </w:r>
      <w:r w:rsidR="000F2EF5" w:rsidRPr="00CD303F">
        <w:rPr>
          <w:rFonts w:ascii="Times New Roman" w:hAnsi="Times New Roman" w:cs="Times New Roman"/>
          <w:bCs/>
          <w:sz w:val="24"/>
          <w:szCs w:val="24"/>
        </w:rPr>
        <w:t>“classical sovereign states have de facto used bio-political methods just as modern bio-political societies have de facto hinged on the principles of sovereignty”</w:t>
      </w:r>
      <w:r w:rsidR="000F2EF5">
        <w:rPr>
          <w:rFonts w:ascii="Times New Roman" w:hAnsi="Times New Roman" w:cs="Times New Roman"/>
          <w:bCs/>
          <w:sz w:val="24"/>
          <w:szCs w:val="24"/>
        </w:rPr>
        <w:t xml:space="preserve"> </w:t>
      </w:r>
      <w:r w:rsidR="00F1520C">
        <w:rPr>
          <w:rFonts w:ascii="Times New Roman" w:hAnsi="Times New Roman" w:cs="Times New Roman"/>
          <w:bCs/>
          <w:sz w:val="24"/>
          <w:szCs w:val="24"/>
        </w:rPr>
        <w:t xml:space="preserve">there is </w:t>
      </w:r>
      <w:r w:rsidR="00E73A43" w:rsidRPr="00CD303F">
        <w:rPr>
          <w:rFonts w:ascii="Times New Roman" w:hAnsi="Times New Roman" w:cs="Times New Roman"/>
          <w:bCs/>
          <w:sz w:val="24"/>
          <w:szCs w:val="24"/>
        </w:rPr>
        <w:t xml:space="preserve">no veiled intersection </w:t>
      </w:r>
      <w:r w:rsidR="00F1520C">
        <w:rPr>
          <w:rFonts w:ascii="Times New Roman" w:hAnsi="Times New Roman" w:cs="Times New Roman"/>
          <w:bCs/>
          <w:sz w:val="24"/>
          <w:szCs w:val="24"/>
        </w:rPr>
        <w:t>between sovereign and biopower.</w:t>
      </w:r>
      <w:r w:rsidR="00F1520C" w:rsidRPr="00F1520C">
        <w:rPr>
          <w:rStyle w:val="FootnoteReference"/>
          <w:rFonts w:ascii="Times New Roman" w:hAnsi="Times New Roman" w:cs="Times New Roman"/>
          <w:bCs/>
          <w:sz w:val="24"/>
          <w:szCs w:val="24"/>
        </w:rPr>
        <w:t xml:space="preserve"> </w:t>
      </w:r>
      <w:r w:rsidR="00F1520C" w:rsidRPr="00CD303F">
        <w:rPr>
          <w:rStyle w:val="FootnoteReference"/>
          <w:rFonts w:ascii="Times New Roman" w:hAnsi="Times New Roman" w:cs="Times New Roman"/>
          <w:bCs/>
          <w:sz w:val="24"/>
          <w:szCs w:val="24"/>
        </w:rPr>
        <w:footnoteReference w:id="36"/>
      </w:r>
      <w:r w:rsidR="00F1520C">
        <w:rPr>
          <w:rFonts w:ascii="Times New Roman" w:hAnsi="Times New Roman" w:cs="Times New Roman"/>
          <w:bCs/>
          <w:sz w:val="24"/>
          <w:szCs w:val="24"/>
        </w:rPr>
        <w:t xml:space="preserve">  V</w:t>
      </w:r>
      <w:r w:rsidR="000F2EF5">
        <w:rPr>
          <w:rFonts w:ascii="Times New Roman" w:hAnsi="Times New Roman" w:cs="Times New Roman"/>
          <w:bCs/>
          <w:sz w:val="24"/>
          <w:szCs w:val="24"/>
        </w:rPr>
        <w:t>iolence is not</w:t>
      </w:r>
      <w:r w:rsidR="00F1520C">
        <w:rPr>
          <w:rFonts w:ascii="Times New Roman" w:hAnsi="Times New Roman" w:cs="Times New Roman"/>
          <w:bCs/>
          <w:sz w:val="24"/>
          <w:szCs w:val="24"/>
        </w:rPr>
        <w:t>, therefore,</w:t>
      </w:r>
      <w:r w:rsidR="000F2EF5">
        <w:rPr>
          <w:rFonts w:ascii="Times New Roman" w:hAnsi="Times New Roman" w:cs="Times New Roman"/>
          <w:bCs/>
          <w:sz w:val="24"/>
          <w:szCs w:val="24"/>
        </w:rPr>
        <w:t xml:space="preserve"> </w:t>
      </w:r>
      <w:r w:rsidR="00714C80" w:rsidRPr="00CD303F">
        <w:rPr>
          <w:rFonts w:ascii="Times New Roman" w:hAnsi="Times New Roman" w:cs="Times New Roman"/>
          <w:bCs/>
          <w:sz w:val="24"/>
          <w:szCs w:val="24"/>
        </w:rPr>
        <w:t xml:space="preserve">inscribed in the emergence of biopolitics. </w:t>
      </w:r>
      <w:r w:rsidR="006C418D" w:rsidRPr="00CD303F">
        <w:rPr>
          <w:rFonts w:ascii="Times New Roman" w:hAnsi="Times New Roman" w:cs="Times New Roman"/>
          <w:bCs/>
          <w:sz w:val="24"/>
          <w:szCs w:val="24"/>
        </w:rPr>
        <w:t xml:space="preserve">While in </w:t>
      </w:r>
      <w:r w:rsidR="00A82867" w:rsidRPr="00CD303F">
        <w:rPr>
          <w:rFonts w:ascii="Times New Roman" w:hAnsi="Times New Roman" w:cs="Times New Roman"/>
          <w:bCs/>
          <w:sz w:val="24"/>
          <w:szCs w:val="24"/>
        </w:rPr>
        <w:t xml:space="preserve">the biopolitical era even massacres may be enacted </w:t>
      </w:r>
      <w:r w:rsidR="00294926" w:rsidRPr="00CD303F">
        <w:rPr>
          <w:rFonts w:ascii="Times New Roman" w:hAnsi="Times New Roman" w:cs="Times New Roman"/>
          <w:bCs/>
          <w:sz w:val="24"/>
          <w:szCs w:val="24"/>
        </w:rPr>
        <w:t>“</w:t>
      </w:r>
      <w:r w:rsidR="00024EDB" w:rsidRPr="00CD303F">
        <w:rPr>
          <w:rFonts w:ascii="Times New Roman" w:hAnsi="Times New Roman" w:cs="Times New Roman"/>
          <w:bCs/>
          <w:i/>
          <w:sz w:val="24"/>
          <w:szCs w:val="24"/>
        </w:rPr>
        <w:t>in the name of care</w:t>
      </w:r>
      <w:r w:rsidR="00294926" w:rsidRPr="00CD303F">
        <w:rPr>
          <w:rFonts w:ascii="Times New Roman" w:hAnsi="Times New Roman" w:cs="Times New Roman"/>
          <w:bCs/>
          <w:sz w:val="24"/>
          <w:szCs w:val="24"/>
        </w:rPr>
        <w:t xml:space="preserve">”, </w:t>
      </w:r>
      <w:r w:rsidR="00A262FF" w:rsidRPr="00CD303F">
        <w:rPr>
          <w:rFonts w:ascii="Times New Roman" w:hAnsi="Times New Roman" w:cs="Times New Roman"/>
          <w:bCs/>
          <w:sz w:val="24"/>
          <w:szCs w:val="24"/>
        </w:rPr>
        <w:t>they follow from the rationality of sovereign</w:t>
      </w:r>
      <w:r w:rsidR="00C027C7" w:rsidRPr="00CD303F">
        <w:rPr>
          <w:rFonts w:ascii="Times New Roman" w:hAnsi="Times New Roman" w:cs="Times New Roman"/>
          <w:bCs/>
          <w:sz w:val="24"/>
          <w:szCs w:val="24"/>
        </w:rPr>
        <w:t xml:space="preserve"> power – which is inherently a relationship of violence – </w:t>
      </w:r>
      <w:r w:rsidR="00A262FF" w:rsidRPr="00CD303F">
        <w:rPr>
          <w:rFonts w:ascii="Times New Roman" w:hAnsi="Times New Roman" w:cs="Times New Roman"/>
          <w:bCs/>
          <w:sz w:val="24"/>
          <w:szCs w:val="24"/>
        </w:rPr>
        <w:t xml:space="preserve">not biopower, for which </w:t>
      </w:r>
      <w:r w:rsidR="00A262FF" w:rsidRPr="00CD303F">
        <w:rPr>
          <w:rFonts w:ascii="Times New Roman" w:hAnsi="Times New Roman" w:cs="Times New Roman"/>
          <w:bCs/>
          <w:sz w:val="24"/>
          <w:szCs w:val="24"/>
        </w:rPr>
        <w:lastRenderedPageBreak/>
        <w:t>death is taboo</w:t>
      </w:r>
      <w:r w:rsidR="00CD4B4D" w:rsidRPr="00CD303F">
        <w:rPr>
          <w:rFonts w:ascii="Times New Roman" w:hAnsi="Times New Roman" w:cs="Times New Roman"/>
          <w:bCs/>
          <w:sz w:val="24"/>
          <w:szCs w:val="24"/>
        </w:rPr>
        <w:t xml:space="preserve"> (emphasis in original)</w:t>
      </w:r>
      <w:r w:rsidR="00A262FF" w:rsidRPr="00CD303F">
        <w:rPr>
          <w:rFonts w:ascii="Times New Roman" w:hAnsi="Times New Roman" w:cs="Times New Roman"/>
          <w:bCs/>
          <w:sz w:val="24"/>
          <w:szCs w:val="24"/>
        </w:rPr>
        <w:t>.</w:t>
      </w:r>
      <w:r w:rsidR="00C027C7" w:rsidRPr="00CD303F">
        <w:rPr>
          <w:rStyle w:val="FootnoteReference"/>
          <w:rFonts w:ascii="Times New Roman" w:hAnsi="Times New Roman" w:cs="Times New Roman"/>
          <w:bCs/>
          <w:sz w:val="24"/>
          <w:szCs w:val="24"/>
        </w:rPr>
        <w:footnoteReference w:id="37"/>
      </w:r>
      <w:r w:rsidR="00162AA5" w:rsidRPr="00CD303F">
        <w:rPr>
          <w:rFonts w:ascii="Times New Roman" w:hAnsi="Times New Roman" w:cs="Times New Roman"/>
          <w:bCs/>
          <w:sz w:val="24"/>
          <w:szCs w:val="24"/>
        </w:rPr>
        <w:t xml:space="preserve"> As Johanna Oksala observes, </w:t>
      </w:r>
      <w:r w:rsidR="00005808" w:rsidRPr="00CD303F">
        <w:rPr>
          <w:rFonts w:ascii="Times New Roman" w:hAnsi="Times New Roman" w:cs="Times New Roman"/>
          <w:bCs/>
          <w:sz w:val="24"/>
          <w:szCs w:val="24"/>
        </w:rPr>
        <w:t>“The key problem with biopower is. . . . not the foundational violence of the sovereign, but the depoliticized violence of expert knowledge”.</w:t>
      </w:r>
      <w:r w:rsidR="00005808" w:rsidRPr="00CD303F">
        <w:rPr>
          <w:rStyle w:val="FootnoteReference"/>
          <w:rFonts w:ascii="Times New Roman" w:hAnsi="Times New Roman" w:cs="Times New Roman"/>
          <w:bCs/>
          <w:sz w:val="24"/>
          <w:szCs w:val="24"/>
        </w:rPr>
        <w:footnoteReference w:id="38"/>
      </w:r>
      <w:r w:rsidR="00005808" w:rsidRPr="00CD303F">
        <w:rPr>
          <w:rFonts w:ascii="Times New Roman" w:hAnsi="Times New Roman" w:cs="Times New Roman"/>
          <w:bCs/>
          <w:sz w:val="24"/>
          <w:szCs w:val="24"/>
        </w:rPr>
        <w:t xml:space="preserve"> </w:t>
      </w:r>
      <w:r w:rsidR="00CA7DAF" w:rsidRPr="00CD303F">
        <w:rPr>
          <w:rFonts w:ascii="Times New Roman" w:hAnsi="Times New Roman" w:cs="Times New Roman"/>
          <w:bCs/>
          <w:sz w:val="24"/>
          <w:szCs w:val="24"/>
        </w:rPr>
        <w:t xml:space="preserve">Rather than </w:t>
      </w:r>
      <w:r w:rsidR="008D6804" w:rsidRPr="00CD303F">
        <w:rPr>
          <w:rFonts w:ascii="Times New Roman" w:hAnsi="Times New Roman" w:cs="Times New Roman"/>
          <w:bCs/>
          <w:sz w:val="24"/>
          <w:szCs w:val="24"/>
        </w:rPr>
        <w:t xml:space="preserve">modern states </w:t>
      </w:r>
      <w:r w:rsidR="00CA7DAF" w:rsidRPr="00CD303F">
        <w:rPr>
          <w:rFonts w:ascii="Times New Roman" w:hAnsi="Times New Roman" w:cs="Times New Roman"/>
          <w:bCs/>
          <w:sz w:val="24"/>
          <w:szCs w:val="24"/>
        </w:rPr>
        <w:t xml:space="preserve">being a synthesis of sovereign and biopower, </w:t>
      </w:r>
      <w:r w:rsidR="008D6804" w:rsidRPr="00CD303F">
        <w:rPr>
          <w:rFonts w:ascii="Times New Roman" w:hAnsi="Times New Roman" w:cs="Times New Roman"/>
          <w:bCs/>
          <w:sz w:val="24"/>
          <w:szCs w:val="24"/>
        </w:rPr>
        <w:t xml:space="preserve">the heterogeneity of sovereignty and biopower means that </w:t>
      </w:r>
      <w:r w:rsidR="00CA7DAF" w:rsidRPr="00CD303F">
        <w:rPr>
          <w:rFonts w:ascii="Times New Roman" w:hAnsi="Times New Roman" w:cs="Times New Roman"/>
          <w:bCs/>
          <w:sz w:val="24"/>
          <w:szCs w:val="24"/>
        </w:rPr>
        <w:t>the two instead exist, therefore, in irrevocable tension.</w:t>
      </w:r>
      <w:r w:rsidR="00C23B0D" w:rsidRPr="00CD303F">
        <w:rPr>
          <w:rStyle w:val="FootnoteReference"/>
          <w:rFonts w:ascii="Times New Roman" w:hAnsi="Times New Roman" w:cs="Times New Roman"/>
          <w:bCs/>
          <w:sz w:val="24"/>
          <w:szCs w:val="24"/>
        </w:rPr>
        <w:footnoteReference w:id="39"/>
      </w:r>
    </w:p>
    <w:p w:rsidR="00E73A43" w:rsidRPr="00CD303F" w:rsidRDefault="00E73A43" w:rsidP="000071D0">
      <w:pPr>
        <w:spacing w:line="480" w:lineRule="auto"/>
        <w:rPr>
          <w:rFonts w:ascii="Times New Roman" w:hAnsi="Times New Roman" w:cs="Times New Roman"/>
          <w:b/>
          <w:bCs/>
          <w:sz w:val="24"/>
          <w:szCs w:val="24"/>
        </w:rPr>
      </w:pPr>
    </w:p>
    <w:p w:rsidR="00975CF1" w:rsidRPr="00CD303F" w:rsidRDefault="000071D0" w:rsidP="000071D0">
      <w:pPr>
        <w:spacing w:line="480" w:lineRule="auto"/>
        <w:rPr>
          <w:rFonts w:ascii="Times New Roman" w:hAnsi="Times New Roman" w:cs="Times New Roman"/>
          <w:bCs/>
          <w:sz w:val="24"/>
          <w:szCs w:val="24"/>
        </w:rPr>
      </w:pPr>
      <w:r w:rsidRPr="00CD303F">
        <w:rPr>
          <w:rFonts w:ascii="Times New Roman" w:hAnsi="Times New Roman" w:cs="Times New Roman"/>
          <w:b/>
          <w:bCs/>
          <w:sz w:val="24"/>
          <w:szCs w:val="24"/>
        </w:rPr>
        <w:t>Tensions</w:t>
      </w:r>
      <w:r w:rsidR="00A74676" w:rsidRPr="00CD303F">
        <w:rPr>
          <w:rFonts w:ascii="Times New Roman" w:hAnsi="Times New Roman" w:cs="Times New Roman"/>
          <w:b/>
          <w:bCs/>
          <w:sz w:val="24"/>
          <w:szCs w:val="24"/>
        </w:rPr>
        <w:t xml:space="preserve"> and Entanglements in the Operation of </w:t>
      </w:r>
      <w:r w:rsidR="004E57A5" w:rsidRPr="00CD303F">
        <w:rPr>
          <w:rFonts w:ascii="Times New Roman" w:hAnsi="Times New Roman" w:cs="Times New Roman"/>
          <w:b/>
          <w:bCs/>
          <w:sz w:val="24"/>
          <w:szCs w:val="24"/>
        </w:rPr>
        <w:t>Governmental and Sovereign Power</w:t>
      </w:r>
    </w:p>
    <w:p w:rsidR="00975CF1" w:rsidRPr="00CD303F" w:rsidRDefault="00975CF1" w:rsidP="000071D0">
      <w:pPr>
        <w:spacing w:line="480" w:lineRule="auto"/>
        <w:rPr>
          <w:rFonts w:ascii="Times New Roman" w:hAnsi="Times New Roman" w:cs="Times New Roman"/>
          <w:bCs/>
          <w:sz w:val="24"/>
          <w:szCs w:val="24"/>
        </w:rPr>
      </w:pPr>
    </w:p>
    <w:p w:rsidR="00127A41" w:rsidRPr="00CD303F" w:rsidRDefault="00975CF1" w:rsidP="00633594">
      <w:pPr>
        <w:spacing w:line="480" w:lineRule="auto"/>
        <w:ind w:firstLine="720"/>
        <w:rPr>
          <w:rFonts w:ascii="Times New Roman" w:hAnsi="Times New Roman" w:cs="Times New Roman"/>
          <w:bCs/>
          <w:sz w:val="24"/>
          <w:szCs w:val="24"/>
        </w:rPr>
      </w:pPr>
      <w:r w:rsidRPr="00CD303F">
        <w:rPr>
          <w:rFonts w:ascii="Times New Roman" w:hAnsi="Times New Roman" w:cs="Times New Roman"/>
          <w:bCs/>
          <w:sz w:val="24"/>
          <w:szCs w:val="24"/>
        </w:rPr>
        <w:t>By the close of the eighteenth century, following a series of</w:t>
      </w:r>
      <w:r w:rsidR="00C45884" w:rsidRPr="00CD303F">
        <w:rPr>
          <w:rFonts w:ascii="Times New Roman" w:hAnsi="Times New Roman" w:cs="Times New Roman"/>
          <w:bCs/>
          <w:sz w:val="24"/>
          <w:szCs w:val="24"/>
        </w:rPr>
        <w:t xml:space="preserve"> corruption</w:t>
      </w:r>
      <w:r w:rsidRPr="00CD303F">
        <w:rPr>
          <w:rFonts w:ascii="Times New Roman" w:hAnsi="Times New Roman" w:cs="Times New Roman"/>
          <w:bCs/>
          <w:sz w:val="24"/>
          <w:szCs w:val="24"/>
        </w:rPr>
        <w:t xml:space="preserve"> scandals</w:t>
      </w:r>
      <w:r w:rsidR="00C23B0D" w:rsidRPr="00CD303F">
        <w:rPr>
          <w:rFonts w:ascii="Times New Roman" w:hAnsi="Times New Roman" w:cs="Times New Roman"/>
          <w:bCs/>
          <w:sz w:val="24"/>
          <w:szCs w:val="24"/>
        </w:rPr>
        <w:t xml:space="preserve"> that brought</w:t>
      </w:r>
      <w:r w:rsidR="00253E56" w:rsidRPr="00CD303F">
        <w:rPr>
          <w:rFonts w:ascii="Times New Roman" w:hAnsi="Times New Roman" w:cs="Times New Roman"/>
          <w:bCs/>
          <w:sz w:val="24"/>
          <w:szCs w:val="24"/>
        </w:rPr>
        <w:t xml:space="preserve"> British sovereignty in colonial India into disrepute</w:t>
      </w:r>
      <w:r w:rsidR="00EE6BEE" w:rsidRPr="00CD303F">
        <w:rPr>
          <w:rFonts w:ascii="Times New Roman" w:hAnsi="Times New Roman" w:cs="Times New Roman"/>
          <w:bCs/>
          <w:sz w:val="24"/>
          <w:szCs w:val="24"/>
        </w:rPr>
        <w:t xml:space="preserve">, the </w:t>
      </w:r>
      <w:r w:rsidR="00626DD2" w:rsidRPr="00CD303F">
        <w:rPr>
          <w:rFonts w:ascii="Times New Roman" w:hAnsi="Times New Roman" w:cs="Times New Roman"/>
          <w:bCs/>
          <w:sz w:val="24"/>
          <w:szCs w:val="24"/>
        </w:rPr>
        <w:t xml:space="preserve">East India </w:t>
      </w:r>
      <w:r w:rsidR="00EE6BEE" w:rsidRPr="00CD303F">
        <w:rPr>
          <w:rFonts w:ascii="Times New Roman" w:hAnsi="Times New Roman" w:cs="Times New Roman"/>
          <w:bCs/>
          <w:sz w:val="24"/>
          <w:szCs w:val="24"/>
        </w:rPr>
        <w:t xml:space="preserve">Company sought </w:t>
      </w:r>
      <w:r w:rsidR="00504A17" w:rsidRPr="00CD303F">
        <w:rPr>
          <w:rFonts w:ascii="Times New Roman" w:hAnsi="Times New Roman" w:cs="Times New Roman"/>
          <w:bCs/>
          <w:sz w:val="24"/>
          <w:szCs w:val="24"/>
        </w:rPr>
        <w:t xml:space="preserve">to </w:t>
      </w:r>
      <w:r w:rsidR="00310DAB" w:rsidRPr="00CD303F">
        <w:rPr>
          <w:rFonts w:ascii="Times New Roman" w:hAnsi="Times New Roman" w:cs="Times New Roman"/>
          <w:bCs/>
          <w:sz w:val="24"/>
          <w:szCs w:val="24"/>
        </w:rPr>
        <w:t xml:space="preserve">extend and </w:t>
      </w:r>
      <w:r w:rsidR="00EE6BEE" w:rsidRPr="00CD303F">
        <w:rPr>
          <w:rFonts w:ascii="Times New Roman" w:hAnsi="Times New Roman" w:cs="Times New Roman"/>
          <w:bCs/>
          <w:sz w:val="24"/>
          <w:szCs w:val="24"/>
        </w:rPr>
        <w:t xml:space="preserve">consolidate such sovereignty </w:t>
      </w:r>
      <w:r w:rsidR="00504A17" w:rsidRPr="00CD303F">
        <w:rPr>
          <w:rFonts w:ascii="Times New Roman" w:hAnsi="Times New Roman" w:cs="Times New Roman"/>
          <w:bCs/>
          <w:sz w:val="24"/>
          <w:szCs w:val="24"/>
        </w:rPr>
        <w:t>through the passage</w:t>
      </w:r>
      <w:r w:rsidR="00C45884" w:rsidRPr="00CD303F">
        <w:rPr>
          <w:rFonts w:ascii="Times New Roman" w:hAnsi="Times New Roman" w:cs="Times New Roman"/>
          <w:bCs/>
          <w:sz w:val="24"/>
          <w:szCs w:val="24"/>
        </w:rPr>
        <w:t xml:space="preserve"> of a series of acts to regulate the management of the Company’s affairs and bring it more firmly under the control of the British state</w:t>
      </w:r>
      <w:r w:rsidR="00504A17" w:rsidRPr="00CD303F">
        <w:rPr>
          <w:rFonts w:ascii="Times New Roman" w:hAnsi="Times New Roman" w:cs="Times New Roman"/>
          <w:bCs/>
          <w:sz w:val="24"/>
          <w:szCs w:val="24"/>
        </w:rPr>
        <w:t xml:space="preserve"> </w:t>
      </w:r>
      <w:r w:rsidR="000C0505" w:rsidRPr="00CD303F">
        <w:rPr>
          <w:rFonts w:ascii="Times New Roman" w:hAnsi="Times New Roman" w:cs="Times New Roman"/>
          <w:bCs/>
          <w:sz w:val="24"/>
          <w:szCs w:val="24"/>
        </w:rPr>
        <w:t>–</w:t>
      </w:r>
      <w:r w:rsidR="00504A17" w:rsidRPr="00CD303F">
        <w:rPr>
          <w:rFonts w:ascii="Times New Roman" w:hAnsi="Times New Roman" w:cs="Times New Roman"/>
          <w:bCs/>
          <w:sz w:val="24"/>
          <w:szCs w:val="24"/>
        </w:rPr>
        <w:t xml:space="preserve"> while also limiting its violent effects</w:t>
      </w:r>
      <w:r w:rsidR="00C45884" w:rsidRPr="00CD303F">
        <w:rPr>
          <w:rFonts w:ascii="Times New Roman" w:hAnsi="Times New Roman" w:cs="Times New Roman"/>
          <w:bCs/>
          <w:sz w:val="24"/>
          <w:szCs w:val="24"/>
        </w:rPr>
        <w:t>.</w:t>
      </w:r>
      <w:r w:rsidR="00C45884" w:rsidRPr="00CD303F">
        <w:rPr>
          <w:rStyle w:val="FootnoteReference"/>
          <w:rFonts w:ascii="Times New Roman" w:hAnsi="Times New Roman" w:cs="Times New Roman"/>
          <w:bCs/>
          <w:sz w:val="24"/>
          <w:szCs w:val="24"/>
        </w:rPr>
        <w:footnoteReference w:id="40"/>
      </w:r>
      <w:r w:rsidR="00C27792" w:rsidRPr="00CD303F">
        <w:rPr>
          <w:rFonts w:ascii="Times New Roman" w:hAnsi="Times New Roman" w:cs="Times New Roman"/>
          <w:bCs/>
          <w:sz w:val="24"/>
          <w:szCs w:val="24"/>
        </w:rPr>
        <w:t xml:space="preserve"> The latter</w:t>
      </w:r>
      <w:r w:rsidR="00504A17" w:rsidRPr="00CD303F">
        <w:rPr>
          <w:rFonts w:ascii="Times New Roman" w:hAnsi="Times New Roman" w:cs="Times New Roman"/>
          <w:bCs/>
          <w:sz w:val="24"/>
          <w:szCs w:val="24"/>
        </w:rPr>
        <w:t xml:space="preserve"> included</w:t>
      </w:r>
      <w:r w:rsidR="008F290F" w:rsidRPr="00CD303F">
        <w:rPr>
          <w:rFonts w:ascii="Times New Roman" w:hAnsi="Times New Roman" w:cs="Times New Roman"/>
          <w:bCs/>
          <w:sz w:val="24"/>
          <w:szCs w:val="24"/>
        </w:rPr>
        <w:t xml:space="preserve"> the enactment of torture by both its British and Indian subjects. </w:t>
      </w:r>
      <w:r w:rsidR="006C23FA" w:rsidRPr="00CD303F">
        <w:rPr>
          <w:rFonts w:ascii="Times New Roman" w:hAnsi="Times New Roman" w:cs="Times New Roman"/>
          <w:bCs/>
          <w:sz w:val="24"/>
          <w:szCs w:val="24"/>
        </w:rPr>
        <w:t>So</w:t>
      </w:r>
      <w:r w:rsidR="00446BDF" w:rsidRPr="00CD303F">
        <w:rPr>
          <w:rFonts w:ascii="Times New Roman" w:hAnsi="Times New Roman" w:cs="Times New Roman"/>
          <w:bCs/>
          <w:sz w:val="24"/>
          <w:szCs w:val="24"/>
        </w:rPr>
        <w:t xml:space="preserve"> when </w:t>
      </w:r>
      <w:r w:rsidR="00A55D0F" w:rsidRPr="00CD303F">
        <w:rPr>
          <w:rFonts w:ascii="Times New Roman" w:hAnsi="Times New Roman" w:cs="Times New Roman"/>
          <w:bCs/>
          <w:sz w:val="24"/>
          <w:szCs w:val="24"/>
        </w:rPr>
        <w:t xml:space="preserve">in 1793 </w:t>
      </w:r>
      <w:r w:rsidR="006C23FA" w:rsidRPr="00CD303F">
        <w:rPr>
          <w:rFonts w:ascii="Times New Roman" w:hAnsi="Times New Roman" w:cs="Times New Roman"/>
          <w:bCs/>
          <w:sz w:val="24"/>
          <w:szCs w:val="24"/>
        </w:rPr>
        <w:t xml:space="preserve">a company military officer by the name of </w:t>
      </w:r>
      <w:r w:rsidR="00446BDF" w:rsidRPr="00CD303F">
        <w:rPr>
          <w:rFonts w:ascii="Times New Roman" w:hAnsi="Times New Roman" w:cs="Times New Roman"/>
          <w:bCs/>
          <w:sz w:val="24"/>
          <w:szCs w:val="24"/>
        </w:rPr>
        <w:t>Captain Town</w:t>
      </w:r>
      <w:r w:rsidR="004756A1" w:rsidRPr="00CD303F">
        <w:rPr>
          <w:rFonts w:ascii="Times New Roman" w:hAnsi="Times New Roman" w:cs="Times New Roman"/>
          <w:bCs/>
          <w:sz w:val="24"/>
          <w:szCs w:val="24"/>
        </w:rPr>
        <w:t>s</w:t>
      </w:r>
      <w:r w:rsidR="00446BDF" w:rsidRPr="00CD303F">
        <w:rPr>
          <w:rFonts w:ascii="Times New Roman" w:hAnsi="Times New Roman" w:cs="Times New Roman"/>
          <w:bCs/>
          <w:sz w:val="24"/>
          <w:szCs w:val="24"/>
        </w:rPr>
        <w:t>, then stationed in the important trading port of Mazulipatam on India’s Coromandel coast, reported the theft of his watch and an escritoire containing valuable papers, the Company’s Board of Gov</w:t>
      </w:r>
      <w:r w:rsidR="008D1982" w:rsidRPr="00CD303F">
        <w:rPr>
          <w:rFonts w:ascii="Times New Roman" w:hAnsi="Times New Roman" w:cs="Times New Roman"/>
          <w:bCs/>
          <w:sz w:val="24"/>
          <w:szCs w:val="24"/>
        </w:rPr>
        <w:t>ernors were not impressed when the chief and Council</w:t>
      </w:r>
      <w:r w:rsidR="00446BDF" w:rsidRPr="00CD303F">
        <w:rPr>
          <w:rFonts w:ascii="Times New Roman" w:hAnsi="Times New Roman" w:cs="Times New Roman"/>
          <w:bCs/>
          <w:sz w:val="24"/>
          <w:szCs w:val="24"/>
        </w:rPr>
        <w:t xml:space="preserve"> of Mazulipatam, due to “the want of a judicial system, and of legal Courts in the </w:t>
      </w:r>
      <w:r w:rsidR="00446BDF" w:rsidRPr="00CD303F">
        <w:rPr>
          <w:rFonts w:ascii="Times New Roman" w:hAnsi="Times New Roman" w:cs="Times New Roman"/>
          <w:bCs/>
          <w:sz w:val="24"/>
          <w:szCs w:val="24"/>
        </w:rPr>
        <w:lastRenderedPageBreak/>
        <w:t>Circars”</w:t>
      </w:r>
      <w:r w:rsidR="008D1982" w:rsidRPr="00CD303F">
        <w:rPr>
          <w:rFonts w:ascii="Times New Roman" w:hAnsi="Times New Roman" w:cs="Times New Roman"/>
          <w:bCs/>
          <w:sz w:val="24"/>
          <w:szCs w:val="24"/>
        </w:rPr>
        <w:t>,</w:t>
      </w:r>
      <w:r w:rsidR="00446BDF" w:rsidRPr="00CD303F">
        <w:rPr>
          <w:rFonts w:ascii="Times New Roman" w:hAnsi="Times New Roman" w:cs="Times New Roman"/>
          <w:bCs/>
          <w:sz w:val="24"/>
          <w:szCs w:val="24"/>
        </w:rPr>
        <w:t xml:space="preserve"> assumed the functions of a magistracy.</w:t>
      </w:r>
      <w:r w:rsidR="00446BDF" w:rsidRPr="00CD303F">
        <w:rPr>
          <w:rStyle w:val="FootnoteReference"/>
          <w:rFonts w:ascii="Times New Roman" w:hAnsi="Times New Roman" w:cs="Times New Roman"/>
          <w:bCs/>
          <w:sz w:val="24"/>
          <w:szCs w:val="24"/>
        </w:rPr>
        <w:footnoteReference w:id="41"/>
      </w:r>
      <w:r w:rsidR="006C23FA" w:rsidRPr="00CD303F">
        <w:rPr>
          <w:rFonts w:ascii="Times New Roman" w:hAnsi="Times New Roman" w:cs="Times New Roman"/>
          <w:bCs/>
          <w:sz w:val="24"/>
          <w:szCs w:val="24"/>
        </w:rPr>
        <w:t xml:space="preserve"> They were even less impressed when the acting Justice of the Peace, one Mr Stratham, gave Town</w:t>
      </w:r>
      <w:r w:rsidR="004756A1" w:rsidRPr="00CD303F">
        <w:rPr>
          <w:rFonts w:ascii="Times New Roman" w:hAnsi="Times New Roman" w:cs="Times New Roman"/>
          <w:bCs/>
          <w:sz w:val="24"/>
          <w:szCs w:val="24"/>
        </w:rPr>
        <w:t>s</w:t>
      </w:r>
      <w:r w:rsidR="006C23FA" w:rsidRPr="00CD303F">
        <w:rPr>
          <w:rFonts w:ascii="Times New Roman" w:hAnsi="Times New Roman" w:cs="Times New Roman"/>
          <w:bCs/>
          <w:sz w:val="24"/>
          <w:szCs w:val="24"/>
        </w:rPr>
        <w:t xml:space="preserve"> “full power to </w:t>
      </w:r>
      <w:r w:rsidR="00127A41" w:rsidRPr="00CD303F">
        <w:rPr>
          <w:rFonts w:ascii="Times New Roman" w:hAnsi="Times New Roman" w:cs="Times New Roman"/>
          <w:bCs/>
          <w:sz w:val="24"/>
          <w:szCs w:val="24"/>
        </w:rPr>
        <w:t>proceed .</w:t>
      </w:r>
      <w:r w:rsidR="006C23FA" w:rsidRPr="00CD303F">
        <w:rPr>
          <w:rFonts w:ascii="Times New Roman" w:hAnsi="Times New Roman" w:cs="Times New Roman"/>
          <w:bCs/>
          <w:sz w:val="24"/>
          <w:szCs w:val="24"/>
        </w:rPr>
        <w:t xml:space="preserve"> . . against the persons suspected of the offence</w:t>
      </w:r>
      <w:r w:rsidR="00CE7A27" w:rsidRPr="00CD303F">
        <w:rPr>
          <w:rFonts w:ascii="Times New Roman" w:hAnsi="Times New Roman" w:cs="Times New Roman"/>
          <w:bCs/>
          <w:sz w:val="24"/>
          <w:szCs w:val="24"/>
        </w:rPr>
        <w:t>”</w:t>
      </w:r>
      <w:r w:rsidR="0073763E" w:rsidRPr="00CD303F">
        <w:rPr>
          <w:rFonts w:ascii="Times New Roman" w:hAnsi="Times New Roman" w:cs="Times New Roman"/>
          <w:bCs/>
          <w:sz w:val="24"/>
          <w:szCs w:val="24"/>
        </w:rPr>
        <w:t xml:space="preserve"> (or, as</w:t>
      </w:r>
      <w:r w:rsidR="00CE7A27" w:rsidRPr="00CD303F">
        <w:rPr>
          <w:rFonts w:ascii="Times New Roman" w:hAnsi="Times New Roman" w:cs="Times New Roman"/>
          <w:bCs/>
          <w:sz w:val="24"/>
          <w:szCs w:val="24"/>
        </w:rPr>
        <w:t xml:space="preserve"> Captain Town’</w:t>
      </w:r>
      <w:r w:rsidR="006E4890" w:rsidRPr="00CD303F">
        <w:rPr>
          <w:rFonts w:ascii="Times New Roman" w:hAnsi="Times New Roman" w:cs="Times New Roman"/>
          <w:bCs/>
          <w:sz w:val="24"/>
          <w:szCs w:val="24"/>
        </w:rPr>
        <w:t>s agent and interpreter, Cau</w:t>
      </w:r>
      <w:r w:rsidR="00CE7A27" w:rsidRPr="00CD303F">
        <w:rPr>
          <w:rFonts w:ascii="Times New Roman" w:hAnsi="Times New Roman" w:cs="Times New Roman"/>
          <w:bCs/>
          <w:sz w:val="24"/>
          <w:szCs w:val="24"/>
        </w:rPr>
        <w:t xml:space="preserve">miah, communicated to the Cutwal </w:t>
      </w:r>
      <w:r w:rsidR="0073763E" w:rsidRPr="00CD303F">
        <w:rPr>
          <w:rFonts w:ascii="Times New Roman" w:hAnsi="Times New Roman" w:cs="Times New Roman"/>
          <w:bCs/>
          <w:sz w:val="24"/>
          <w:szCs w:val="24"/>
        </w:rPr>
        <w:t xml:space="preserve">(chief officer of police), </w:t>
      </w:r>
      <w:r w:rsidR="00CE7A27" w:rsidRPr="00CD303F">
        <w:rPr>
          <w:rFonts w:ascii="Times New Roman" w:hAnsi="Times New Roman" w:cs="Times New Roman"/>
          <w:bCs/>
          <w:sz w:val="24"/>
          <w:szCs w:val="24"/>
        </w:rPr>
        <w:t>Statham had “left it to him [Town</w:t>
      </w:r>
      <w:r w:rsidR="000453D7">
        <w:rPr>
          <w:rFonts w:ascii="Times New Roman" w:hAnsi="Times New Roman" w:cs="Times New Roman"/>
          <w:bCs/>
          <w:sz w:val="24"/>
          <w:szCs w:val="24"/>
        </w:rPr>
        <w:t>s</w:t>
      </w:r>
      <w:r w:rsidR="00CE7A27" w:rsidRPr="00CD303F">
        <w:rPr>
          <w:rFonts w:ascii="Times New Roman" w:hAnsi="Times New Roman" w:cs="Times New Roman"/>
          <w:bCs/>
          <w:sz w:val="24"/>
          <w:szCs w:val="24"/>
        </w:rPr>
        <w:t>] to do his duty and give proper punishment to the people”)</w:t>
      </w:r>
      <w:r w:rsidR="00127A41" w:rsidRPr="00CD303F">
        <w:rPr>
          <w:rFonts w:ascii="Times New Roman" w:hAnsi="Times New Roman" w:cs="Times New Roman"/>
          <w:bCs/>
          <w:sz w:val="24"/>
          <w:szCs w:val="24"/>
        </w:rPr>
        <w:t xml:space="preserve"> –</w:t>
      </w:r>
      <w:r w:rsidR="004756A1" w:rsidRPr="00CD303F">
        <w:rPr>
          <w:rFonts w:ascii="Times New Roman" w:hAnsi="Times New Roman" w:cs="Times New Roman"/>
          <w:bCs/>
          <w:sz w:val="24"/>
          <w:szCs w:val="24"/>
        </w:rPr>
        <w:t xml:space="preserve"> and the C</w:t>
      </w:r>
      <w:r w:rsidR="00127A41" w:rsidRPr="00CD303F">
        <w:rPr>
          <w:rFonts w:ascii="Times New Roman" w:hAnsi="Times New Roman" w:cs="Times New Roman"/>
          <w:bCs/>
          <w:sz w:val="24"/>
          <w:szCs w:val="24"/>
        </w:rPr>
        <w:t>utwal proceeded to seize and torture Town</w:t>
      </w:r>
      <w:r w:rsidR="004756A1" w:rsidRPr="00CD303F">
        <w:rPr>
          <w:rFonts w:ascii="Times New Roman" w:hAnsi="Times New Roman" w:cs="Times New Roman"/>
          <w:bCs/>
          <w:sz w:val="24"/>
          <w:szCs w:val="24"/>
        </w:rPr>
        <w:t>s</w:t>
      </w:r>
      <w:r w:rsidR="00127A41" w:rsidRPr="00CD303F">
        <w:rPr>
          <w:rFonts w:ascii="Times New Roman" w:hAnsi="Times New Roman" w:cs="Times New Roman"/>
          <w:bCs/>
          <w:sz w:val="24"/>
          <w:szCs w:val="24"/>
        </w:rPr>
        <w:t>’s servants by pinning their arms and ankles, drawing them up, heads downwards, to the branch of a tree and then “scourging” them</w:t>
      </w:r>
      <w:r w:rsidR="00CE7A27" w:rsidRPr="00CD303F">
        <w:rPr>
          <w:rFonts w:ascii="Times New Roman" w:hAnsi="Times New Roman" w:cs="Times New Roman"/>
          <w:bCs/>
          <w:sz w:val="24"/>
          <w:szCs w:val="24"/>
        </w:rPr>
        <w:t>.</w:t>
      </w:r>
      <w:r w:rsidR="00CE7A27" w:rsidRPr="00CD303F">
        <w:rPr>
          <w:rStyle w:val="FootnoteReference"/>
          <w:rFonts w:ascii="Times New Roman" w:hAnsi="Times New Roman" w:cs="Times New Roman"/>
          <w:bCs/>
          <w:sz w:val="24"/>
          <w:szCs w:val="24"/>
        </w:rPr>
        <w:footnoteReference w:id="42"/>
      </w:r>
      <w:r w:rsidR="008C3388" w:rsidRPr="00CD303F">
        <w:rPr>
          <w:rFonts w:ascii="Times New Roman" w:hAnsi="Times New Roman" w:cs="Times New Roman"/>
          <w:bCs/>
          <w:sz w:val="24"/>
          <w:szCs w:val="24"/>
        </w:rPr>
        <w:t xml:space="preserve"> In the face of such treatment (which was so severe that one servant, who was pregnant, suffered an abortion) “The poor servants</w:t>
      </w:r>
      <w:r w:rsidR="008D1982" w:rsidRPr="00CD303F">
        <w:rPr>
          <w:rFonts w:ascii="Times New Roman" w:hAnsi="Times New Roman" w:cs="Times New Roman"/>
          <w:bCs/>
          <w:sz w:val="24"/>
          <w:szCs w:val="24"/>
        </w:rPr>
        <w:t xml:space="preserve">”, in the words of the Board, signed written confessions, which were </w:t>
      </w:r>
      <w:r w:rsidR="003A5232" w:rsidRPr="00CD303F">
        <w:rPr>
          <w:rFonts w:ascii="Times New Roman" w:hAnsi="Times New Roman" w:cs="Times New Roman"/>
          <w:bCs/>
          <w:sz w:val="24"/>
          <w:szCs w:val="24"/>
        </w:rPr>
        <w:t xml:space="preserve">then used as </w:t>
      </w:r>
      <w:r w:rsidR="00D628B5" w:rsidRPr="00CD303F">
        <w:rPr>
          <w:rFonts w:ascii="Times New Roman" w:hAnsi="Times New Roman" w:cs="Times New Roman"/>
          <w:bCs/>
          <w:sz w:val="24"/>
          <w:szCs w:val="24"/>
        </w:rPr>
        <w:t>evidence</w:t>
      </w:r>
      <w:r w:rsidR="003A5232" w:rsidRPr="00CD303F">
        <w:rPr>
          <w:rFonts w:ascii="Times New Roman" w:hAnsi="Times New Roman" w:cs="Times New Roman"/>
          <w:bCs/>
          <w:sz w:val="24"/>
          <w:szCs w:val="24"/>
        </w:rPr>
        <w:t xml:space="preserve"> against them</w:t>
      </w:r>
      <w:r w:rsidR="00485E89" w:rsidRPr="00CD303F">
        <w:rPr>
          <w:rFonts w:ascii="Times New Roman" w:hAnsi="Times New Roman" w:cs="Times New Roman"/>
          <w:bCs/>
          <w:sz w:val="24"/>
          <w:szCs w:val="24"/>
        </w:rPr>
        <w:t xml:space="preserve"> (although they retracted these under oath)</w:t>
      </w:r>
      <w:r w:rsidR="003A5232" w:rsidRPr="00CD303F">
        <w:rPr>
          <w:rFonts w:ascii="Times New Roman" w:hAnsi="Times New Roman" w:cs="Times New Roman"/>
          <w:bCs/>
          <w:sz w:val="24"/>
          <w:szCs w:val="24"/>
        </w:rPr>
        <w:t>.</w:t>
      </w:r>
      <w:r w:rsidR="008C3388" w:rsidRPr="00CD303F">
        <w:rPr>
          <w:rStyle w:val="FootnoteReference"/>
          <w:rFonts w:ascii="Times New Roman" w:hAnsi="Times New Roman" w:cs="Times New Roman"/>
          <w:bCs/>
          <w:sz w:val="24"/>
          <w:szCs w:val="24"/>
        </w:rPr>
        <w:footnoteReference w:id="43"/>
      </w:r>
      <w:r w:rsidR="003A5232" w:rsidRPr="00CD303F">
        <w:rPr>
          <w:rFonts w:ascii="Times New Roman" w:hAnsi="Times New Roman" w:cs="Times New Roman"/>
          <w:bCs/>
          <w:sz w:val="24"/>
          <w:szCs w:val="24"/>
        </w:rPr>
        <w:t xml:space="preserve"> But </w:t>
      </w:r>
      <w:r w:rsidR="00633594" w:rsidRPr="00CD303F">
        <w:rPr>
          <w:rFonts w:ascii="Times New Roman" w:hAnsi="Times New Roman" w:cs="Times New Roman"/>
          <w:bCs/>
          <w:sz w:val="24"/>
          <w:szCs w:val="24"/>
        </w:rPr>
        <w:t xml:space="preserve">to make matters worse, and </w:t>
      </w:r>
      <w:r w:rsidR="003A5232" w:rsidRPr="00CD303F">
        <w:rPr>
          <w:rFonts w:ascii="Times New Roman" w:hAnsi="Times New Roman" w:cs="Times New Roman"/>
          <w:bCs/>
          <w:sz w:val="24"/>
          <w:szCs w:val="24"/>
        </w:rPr>
        <w:t>“To complete the dishonou</w:t>
      </w:r>
      <w:r w:rsidR="00633594" w:rsidRPr="00CD303F">
        <w:rPr>
          <w:rFonts w:ascii="Times New Roman" w:hAnsi="Times New Roman" w:cs="Times New Roman"/>
          <w:bCs/>
          <w:sz w:val="24"/>
          <w:szCs w:val="24"/>
        </w:rPr>
        <w:t>r of these inhuman proceedings” (</w:t>
      </w:r>
      <w:r w:rsidR="003A5232" w:rsidRPr="00CD303F">
        <w:rPr>
          <w:rFonts w:ascii="Times New Roman" w:hAnsi="Times New Roman" w:cs="Times New Roman"/>
          <w:bCs/>
          <w:sz w:val="24"/>
          <w:szCs w:val="24"/>
        </w:rPr>
        <w:t>in the course of which</w:t>
      </w:r>
      <w:r w:rsidR="00633594" w:rsidRPr="00CD303F">
        <w:rPr>
          <w:rFonts w:ascii="Times New Roman" w:hAnsi="Times New Roman" w:cs="Times New Roman"/>
          <w:bCs/>
          <w:sz w:val="24"/>
          <w:szCs w:val="24"/>
        </w:rPr>
        <w:t>, the Board noted,</w:t>
      </w:r>
      <w:r w:rsidR="00B62A3F" w:rsidRPr="00CD303F">
        <w:rPr>
          <w:rFonts w:ascii="Times New Roman" w:hAnsi="Times New Roman" w:cs="Times New Roman"/>
          <w:bCs/>
          <w:sz w:val="24"/>
          <w:szCs w:val="24"/>
        </w:rPr>
        <w:t xml:space="preserve"> a “respectable” native was confined and his house ransacked</w:t>
      </w:r>
      <w:r w:rsidR="00633594" w:rsidRPr="00CD303F">
        <w:rPr>
          <w:rFonts w:ascii="Times New Roman" w:hAnsi="Times New Roman" w:cs="Times New Roman"/>
          <w:bCs/>
          <w:sz w:val="24"/>
          <w:szCs w:val="24"/>
        </w:rPr>
        <w:t>)</w:t>
      </w:r>
      <w:r w:rsidR="003A5232" w:rsidRPr="00CD303F">
        <w:rPr>
          <w:rFonts w:ascii="Times New Roman" w:hAnsi="Times New Roman" w:cs="Times New Roman"/>
          <w:bCs/>
          <w:sz w:val="24"/>
          <w:szCs w:val="24"/>
        </w:rPr>
        <w:t xml:space="preserve">, </w:t>
      </w:r>
      <w:r w:rsidR="00D8296B" w:rsidRPr="00CD303F">
        <w:rPr>
          <w:rFonts w:ascii="Times New Roman" w:hAnsi="Times New Roman" w:cs="Times New Roman"/>
          <w:bCs/>
          <w:sz w:val="24"/>
          <w:szCs w:val="24"/>
        </w:rPr>
        <w:t>Captain Town</w:t>
      </w:r>
      <w:r w:rsidR="004756A1" w:rsidRPr="00CD303F">
        <w:rPr>
          <w:rFonts w:ascii="Times New Roman" w:hAnsi="Times New Roman" w:cs="Times New Roman"/>
          <w:bCs/>
          <w:sz w:val="24"/>
          <w:szCs w:val="24"/>
        </w:rPr>
        <w:t>s</w:t>
      </w:r>
      <w:r w:rsidR="00D8296B" w:rsidRPr="00CD303F">
        <w:rPr>
          <w:rFonts w:ascii="Times New Roman" w:hAnsi="Times New Roman" w:cs="Times New Roman"/>
          <w:bCs/>
          <w:sz w:val="24"/>
          <w:szCs w:val="24"/>
        </w:rPr>
        <w:t xml:space="preserve"> apparently lied about the theft </w:t>
      </w:r>
      <w:r w:rsidR="004756A1" w:rsidRPr="00CD303F">
        <w:rPr>
          <w:rFonts w:ascii="Times New Roman" w:hAnsi="Times New Roman" w:cs="Times New Roman"/>
          <w:bCs/>
          <w:sz w:val="24"/>
          <w:szCs w:val="24"/>
        </w:rPr>
        <w:t>having taken place</w:t>
      </w:r>
      <w:r w:rsidR="00D8296B" w:rsidRPr="00CD303F">
        <w:rPr>
          <w:rFonts w:ascii="Times New Roman" w:hAnsi="Times New Roman" w:cs="Times New Roman"/>
          <w:bCs/>
          <w:sz w:val="24"/>
          <w:szCs w:val="24"/>
        </w:rPr>
        <w:t>.</w:t>
      </w:r>
      <w:r w:rsidR="00D8296B" w:rsidRPr="00CD303F">
        <w:rPr>
          <w:rStyle w:val="FootnoteReference"/>
          <w:rFonts w:ascii="Times New Roman" w:hAnsi="Times New Roman" w:cs="Times New Roman"/>
          <w:bCs/>
          <w:sz w:val="24"/>
          <w:szCs w:val="24"/>
        </w:rPr>
        <w:footnoteReference w:id="44"/>
      </w:r>
      <w:r w:rsidR="00E761C4" w:rsidRPr="00CD303F">
        <w:rPr>
          <w:rFonts w:ascii="Times New Roman" w:hAnsi="Times New Roman" w:cs="Times New Roman"/>
          <w:bCs/>
          <w:sz w:val="24"/>
          <w:szCs w:val="24"/>
        </w:rPr>
        <w:t xml:space="preserve"> </w:t>
      </w:r>
      <w:r w:rsidR="00D8296B" w:rsidRPr="00CD303F">
        <w:rPr>
          <w:rFonts w:ascii="Times New Roman" w:hAnsi="Times New Roman" w:cs="Times New Roman"/>
          <w:bCs/>
          <w:sz w:val="24"/>
          <w:szCs w:val="24"/>
        </w:rPr>
        <w:t>While Town</w:t>
      </w:r>
      <w:r w:rsidR="004756A1" w:rsidRPr="00CD303F">
        <w:rPr>
          <w:rFonts w:ascii="Times New Roman" w:hAnsi="Times New Roman" w:cs="Times New Roman"/>
          <w:bCs/>
          <w:sz w:val="24"/>
          <w:szCs w:val="24"/>
        </w:rPr>
        <w:t>s</w:t>
      </w:r>
      <w:r w:rsidR="00D8296B" w:rsidRPr="00CD303F">
        <w:rPr>
          <w:rFonts w:ascii="Times New Roman" w:hAnsi="Times New Roman" w:cs="Times New Roman"/>
          <w:bCs/>
          <w:sz w:val="24"/>
          <w:szCs w:val="24"/>
        </w:rPr>
        <w:t xml:space="preserve"> defended the torture of his servants on the grounds that “’the practice is common, and is perhaps the only means of bringing rogues to justice’”</w:t>
      </w:r>
      <w:r w:rsidR="00861FB1" w:rsidRPr="00CD303F">
        <w:rPr>
          <w:rFonts w:ascii="Times New Roman" w:hAnsi="Times New Roman" w:cs="Times New Roman"/>
          <w:bCs/>
          <w:sz w:val="24"/>
          <w:szCs w:val="24"/>
        </w:rPr>
        <w:t xml:space="preserve">, the Board accused him of conduct “of a most atrocious nature”, and </w:t>
      </w:r>
      <w:r w:rsidR="00633594" w:rsidRPr="00CD303F">
        <w:rPr>
          <w:rFonts w:ascii="Times New Roman" w:hAnsi="Times New Roman" w:cs="Times New Roman"/>
          <w:bCs/>
          <w:sz w:val="24"/>
          <w:szCs w:val="24"/>
        </w:rPr>
        <w:t>showed their</w:t>
      </w:r>
      <w:r w:rsidR="007B0A67" w:rsidRPr="00CD303F">
        <w:rPr>
          <w:rFonts w:ascii="Times New Roman" w:hAnsi="Times New Roman" w:cs="Times New Roman"/>
          <w:bCs/>
          <w:sz w:val="24"/>
          <w:szCs w:val="24"/>
        </w:rPr>
        <w:t xml:space="preserve"> </w:t>
      </w:r>
      <w:r w:rsidR="00633594" w:rsidRPr="00CD303F">
        <w:rPr>
          <w:rFonts w:ascii="Times New Roman" w:hAnsi="Times New Roman" w:cs="Times New Roman"/>
          <w:bCs/>
          <w:sz w:val="24"/>
          <w:szCs w:val="24"/>
        </w:rPr>
        <w:t>“</w:t>
      </w:r>
      <w:r w:rsidR="007B0A67" w:rsidRPr="00CD303F">
        <w:rPr>
          <w:rFonts w:ascii="Times New Roman" w:hAnsi="Times New Roman" w:cs="Times New Roman"/>
          <w:bCs/>
          <w:sz w:val="24"/>
          <w:szCs w:val="24"/>
        </w:rPr>
        <w:t>utter de</w:t>
      </w:r>
      <w:r w:rsidR="00633594" w:rsidRPr="00CD303F">
        <w:rPr>
          <w:rFonts w:ascii="Times New Roman" w:hAnsi="Times New Roman" w:cs="Times New Roman"/>
          <w:bCs/>
          <w:sz w:val="24"/>
          <w:szCs w:val="24"/>
        </w:rPr>
        <w:t>testation of such proceedings” by</w:t>
      </w:r>
      <w:r w:rsidR="004756A1" w:rsidRPr="00CD303F">
        <w:rPr>
          <w:rFonts w:ascii="Times New Roman" w:hAnsi="Times New Roman" w:cs="Times New Roman"/>
          <w:bCs/>
          <w:sz w:val="24"/>
          <w:szCs w:val="24"/>
        </w:rPr>
        <w:t xml:space="preserve"> </w:t>
      </w:r>
      <w:r w:rsidR="00633594" w:rsidRPr="00CD303F">
        <w:rPr>
          <w:rFonts w:ascii="Times New Roman" w:hAnsi="Times New Roman" w:cs="Times New Roman"/>
          <w:bCs/>
          <w:sz w:val="24"/>
          <w:szCs w:val="24"/>
        </w:rPr>
        <w:t>dismissing</w:t>
      </w:r>
      <w:r w:rsidR="007B0A67" w:rsidRPr="00CD303F">
        <w:rPr>
          <w:rFonts w:ascii="Times New Roman" w:hAnsi="Times New Roman" w:cs="Times New Roman"/>
          <w:bCs/>
          <w:sz w:val="24"/>
          <w:szCs w:val="24"/>
        </w:rPr>
        <w:t xml:space="preserve"> Towns from Company service.</w:t>
      </w:r>
      <w:r w:rsidR="00E761C4" w:rsidRPr="00CD303F">
        <w:rPr>
          <w:rStyle w:val="FootnoteReference"/>
          <w:rFonts w:ascii="Times New Roman" w:hAnsi="Times New Roman" w:cs="Times New Roman"/>
          <w:bCs/>
          <w:sz w:val="24"/>
          <w:szCs w:val="24"/>
        </w:rPr>
        <w:footnoteReference w:id="45"/>
      </w:r>
    </w:p>
    <w:p w:rsidR="0078570C" w:rsidRPr="00CD303F" w:rsidRDefault="000C73AB" w:rsidP="00465B5B">
      <w:pPr>
        <w:spacing w:line="480" w:lineRule="auto"/>
        <w:ind w:firstLine="720"/>
        <w:rPr>
          <w:rFonts w:ascii="Times New Roman" w:hAnsi="Times New Roman" w:cs="Times New Roman"/>
          <w:sz w:val="24"/>
          <w:szCs w:val="24"/>
        </w:rPr>
      </w:pPr>
      <w:r w:rsidRPr="00CD303F">
        <w:rPr>
          <w:rFonts w:ascii="Times New Roman" w:hAnsi="Times New Roman" w:cs="Times New Roman"/>
          <w:bCs/>
          <w:sz w:val="24"/>
          <w:szCs w:val="24"/>
        </w:rPr>
        <w:t>There are several striking aspects of this case.</w:t>
      </w:r>
      <w:r w:rsidR="00B07E81" w:rsidRPr="00CD303F">
        <w:rPr>
          <w:rFonts w:ascii="Times New Roman" w:hAnsi="Times New Roman" w:cs="Times New Roman"/>
          <w:bCs/>
          <w:sz w:val="24"/>
          <w:szCs w:val="24"/>
        </w:rPr>
        <w:t xml:space="preserve"> The first is the problem</w:t>
      </w:r>
      <w:r w:rsidR="00B626BC" w:rsidRPr="00CD303F">
        <w:rPr>
          <w:rFonts w:ascii="Times New Roman" w:hAnsi="Times New Roman" w:cs="Times New Roman"/>
          <w:bCs/>
          <w:sz w:val="24"/>
          <w:szCs w:val="24"/>
        </w:rPr>
        <w:t xml:space="preserve">s posed by </w:t>
      </w:r>
      <w:r w:rsidR="00C96AB3" w:rsidRPr="00CD303F">
        <w:rPr>
          <w:rFonts w:ascii="Times New Roman" w:hAnsi="Times New Roman" w:cs="Times New Roman"/>
          <w:bCs/>
          <w:sz w:val="24"/>
          <w:szCs w:val="24"/>
        </w:rPr>
        <w:t xml:space="preserve">the </w:t>
      </w:r>
      <w:r w:rsidR="00B626BC" w:rsidRPr="00CD303F">
        <w:rPr>
          <w:rFonts w:ascii="Times New Roman" w:hAnsi="Times New Roman" w:cs="Times New Roman"/>
          <w:bCs/>
          <w:sz w:val="24"/>
          <w:szCs w:val="24"/>
        </w:rPr>
        <w:t xml:space="preserve">fragmentary nature of British sovereignty in colonial India – including </w:t>
      </w:r>
      <w:r w:rsidR="00696F39" w:rsidRPr="00CD303F">
        <w:rPr>
          <w:rFonts w:ascii="Times New Roman" w:hAnsi="Times New Roman" w:cs="Times New Roman"/>
          <w:bCs/>
          <w:sz w:val="24"/>
          <w:szCs w:val="24"/>
        </w:rPr>
        <w:t>the fact that it was forced both to share sovereignty with Indian elites and to rely</w:t>
      </w:r>
      <w:r w:rsidR="00B626BC" w:rsidRPr="00CD303F">
        <w:rPr>
          <w:rFonts w:ascii="Times New Roman" w:hAnsi="Times New Roman" w:cs="Times New Roman"/>
          <w:bCs/>
          <w:sz w:val="24"/>
          <w:szCs w:val="24"/>
        </w:rPr>
        <w:t xml:space="preserve"> on Indian agents</w:t>
      </w:r>
      <w:r w:rsidR="008A1E4C" w:rsidRPr="00CD303F">
        <w:rPr>
          <w:rFonts w:ascii="Times New Roman" w:hAnsi="Times New Roman" w:cs="Times New Roman"/>
          <w:bCs/>
          <w:sz w:val="24"/>
          <w:szCs w:val="24"/>
        </w:rPr>
        <w:t xml:space="preserve"> to enact such </w:t>
      </w:r>
      <w:r w:rsidR="008A1E4C" w:rsidRPr="00CD303F">
        <w:rPr>
          <w:rFonts w:ascii="Times New Roman" w:hAnsi="Times New Roman" w:cs="Times New Roman"/>
          <w:bCs/>
          <w:sz w:val="24"/>
          <w:szCs w:val="24"/>
        </w:rPr>
        <w:lastRenderedPageBreak/>
        <w:t>sovereignty</w:t>
      </w:r>
      <w:r w:rsidR="00A63F16" w:rsidRPr="00CD303F">
        <w:rPr>
          <w:rFonts w:ascii="Times New Roman" w:hAnsi="Times New Roman" w:cs="Times New Roman"/>
          <w:bCs/>
          <w:sz w:val="24"/>
          <w:szCs w:val="24"/>
        </w:rPr>
        <w:t xml:space="preserve"> on its behalf</w:t>
      </w:r>
      <w:r w:rsidR="00B626BC" w:rsidRPr="00CD303F">
        <w:rPr>
          <w:rFonts w:ascii="Times New Roman" w:hAnsi="Times New Roman" w:cs="Times New Roman"/>
          <w:bCs/>
          <w:sz w:val="24"/>
          <w:szCs w:val="24"/>
        </w:rPr>
        <w:t>.</w:t>
      </w:r>
      <w:r w:rsidR="00D617C6" w:rsidRPr="00CD303F">
        <w:rPr>
          <w:rFonts w:ascii="Times New Roman" w:hAnsi="Times New Roman" w:cs="Times New Roman"/>
          <w:bCs/>
          <w:sz w:val="24"/>
          <w:szCs w:val="24"/>
        </w:rPr>
        <w:t xml:space="preserve"> </w:t>
      </w:r>
      <w:r w:rsidR="00D617C6" w:rsidRPr="00CD303F">
        <w:rPr>
          <w:rFonts w:ascii="Times New Roman" w:hAnsi="Times New Roman" w:cs="Times New Roman"/>
          <w:sz w:val="24"/>
          <w:szCs w:val="24"/>
        </w:rPr>
        <w:t>The Northern Circars w</w:t>
      </w:r>
      <w:r w:rsidR="009A6478" w:rsidRPr="00CD303F">
        <w:rPr>
          <w:rFonts w:ascii="Times New Roman" w:hAnsi="Times New Roman" w:cs="Times New Roman"/>
          <w:sz w:val="24"/>
          <w:szCs w:val="24"/>
        </w:rPr>
        <w:t>as</w:t>
      </w:r>
      <w:r w:rsidR="00D617C6" w:rsidRPr="00CD303F">
        <w:rPr>
          <w:rFonts w:ascii="Times New Roman" w:hAnsi="Times New Roman" w:cs="Times New Roman"/>
          <w:sz w:val="24"/>
          <w:szCs w:val="24"/>
        </w:rPr>
        <w:t xml:space="preserve"> a region that the Company had only begun to extend its sovereignty over in 1759 with the conquest of Masulipatam from the French. In 1765 the Company was granted the Circars by the Mughal Emperor, and in 1769 </w:t>
      </w:r>
      <w:r w:rsidR="008A3F4E">
        <w:rPr>
          <w:rFonts w:ascii="Times New Roman" w:hAnsi="Times New Roman" w:cs="Times New Roman"/>
          <w:sz w:val="24"/>
          <w:szCs w:val="24"/>
        </w:rPr>
        <w:t>it</w:t>
      </w:r>
      <w:r w:rsidR="00D617C6" w:rsidRPr="00CD303F">
        <w:rPr>
          <w:rFonts w:ascii="Times New Roman" w:hAnsi="Times New Roman" w:cs="Times New Roman"/>
          <w:sz w:val="24"/>
          <w:szCs w:val="24"/>
        </w:rPr>
        <w:t xml:space="preserve"> set up a series of provincial chiefs and councils to govern the </w:t>
      </w:r>
      <w:r w:rsidR="009D19BF" w:rsidRPr="00CD303F">
        <w:rPr>
          <w:rFonts w:ascii="Times New Roman" w:hAnsi="Times New Roman" w:cs="Times New Roman"/>
          <w:sz w:val="24"/>
          <w:szCs w:val="24"/>
        </w:rPr>
        <w:t>territory</w:t>
      </w:r>
      <w:r w:rsidR="00D617C6" w:rsidRPr="00CD303F">
        <w:rPr>
          <w:rFonts w:ascii="Times New Roman" w:hAnsi="Times New Roman" w:cs="Times New Roman"/>
          <w:sz w:val="24"/>
          <w:szCs w:val="24"/>
        </w:rPr>
        <w:t xml:space="preserve"> – a mode of government that continued until the year after</w:t>
      </w:r>
      <w:r w:rsidR="0009393E" w:rsidRPr="00CD303F">
        <w:rPr>
          <w:rFonts w:ascii="Times New Roman" w:hAnsi="Times New Roman" w:cs="Times New Roman"/>
          <w:sz w:val="24"/>
          <w:szCs w:val="24"/>
        </w:rPr>
        <w:t xml:space="preserve"> the Townes affair</w:t>
      </w:r>
      <w:r w:rsidR="00D617C6" w:rsidRPr="00CD303F">
        <w:rPr>
          <w:rFonts w:ascii="Times New Roman" w:hAnsi="Times New Roman" w:cs="Times New Roman"/>
          <w:sz w:val="24"/>
          <w:szCs w:val="24"/>
        </w:rPr>
        <w:t>. Such a state of fractured sovereignty helps explain why the Company had yet to extend its system of civil and criminal courts to the Circars.</w:t>
      </w:r>
      <w:r w:rsidR="00A87DAB" w:rsidRPr="00CD303F">
        <w:rPr>
          <w:rStyle w:val="FootnoteReference"/>
          <w:rFonts w:ascii="Times New Roman" w:hAnsi="Times New Roman" w:cs="Times New Roman"/>
          <w:sz w:val="24"/>
          <w:szCs w:val="24"/>
        </w:rPr>
        <w:footnoteReference w:id="46"/>
      </w:r>
      <w:r w:rsidR="00D617C6" w:rsidRPr="00CD303F">
        <w:rPr>
          <w:rFonts w:ascii="Times New Roman" w:hAnsi="Times New Roman" w:cs="Times New Roman"/>
          <w:sz w:val="24"/>
          <w:szCs w:val="24"/>
        </w:rPr>
        <w:t xml:space="preserve"> </w:t>
      </w:r>
      <w:r w:rsidR="00767515" w:rsidRPr="00CD303F">
        <w:rPr>
          <w:rFonts w:ascii="Times New Roman" w:hAnsi="Times New Roman" w:cs="Times New Roman"/>
          <w:sz w:val="24"/>
          <w:szCs w:val="24"/>
        </w:rPr>
        <w:t xml:space="preserve">But even as the Company </w:t>
      </w:r>
      <w:r w:rsidR="00AD4F74" w:rsidRPr="00CD303F">
        <w:rPr>
          <w:rFonts w:ascii="Times New Roman" w:hAnsi="Times New Roman" w:cs="Times New Roman"/>
          <w:sz w:val="24"/>
          <w:szCs w:val="24"/>
        </w:rPr>
        <w:t>(</w:t>
      </w:r>
      <w:r w:rsidR="00767515" w:rsidRPr="00CD303F">
        <w:rPr>
          <w:rFonts w:ascii="Times New Roman" w:hAnsi="Times New Roman" w:cs="Times New Roman"/>
          <w:sz w:val="24"/>
          <w:szCs w:val="24"/>
        </w:rPr>
        <w:t>and later crown</w:t>
      </w:r>
      <w:r w:rsidR="00AD4F74" w:rsidRPr="00CD303F">
        <w:rPr>
          <w:rFonts w:ascii="Times New Roman" w:hAnsi="Times New Roman" w:cs="Times New Roman"/>
          <w:sz w:val="24"/>
          <w:szCs w:val="24"/>
        </w:rPr>
        <w:t>)</w:t>
      </w:r>
      <w:r w:rsidR="00767515" w:rsidRPr="00CD303F">
        <w:rPr>
          <w:rFonts w:ascii="Times New Roman" w:hAnsi="Times New Roman" w:cs="Times New Roman"/>
          <w:sz w:val="24"/>
          <w:szCs w:val="24"/>
        </w:rPr>
        <w:t xml:space="preserve"> extended and consolidated its rule in India it remained reliant on Indians to </w:t>
      </w:r>
      <w:r w:rsidR="008A164F" w:rsidRPr="00CD303F">
        <w:rPr>
          <w:rFonts w:ascii="Times New Roman" w:hAnsi="Times New Roman" w:cs="Times New Roman"/>
          <w:sz w:val="24"/>
          <w:szCs w:val="24"/>
        </w:rPr>
        <w:t>enact its sovereignty, and as the case of the Indians i</w:t>
      </w:r>
      <w:r w:rsidR="0073763E" w:rsidRPr="00CD303F">
        <w:rPr>
          <w:rFonts w:ascii="Times New Roman" w:hAnsi="Times New Roman" w:cs="Times New Roman"/>
          <w:sz w:val="24"/>
          <w:szCs w:val="24"/>
        </w:rPr>
        <w:t xml:space="preserve">nvolved in this affair intimates, they </w:t>
      </w:r>
      <w:r w:rsidR="009009A0" w:rsidRPr="00CD303F">
        <w:rPr>
          <w:rFonts w:ascii="Times New Roman" w:hAnsi="Times New Roman" w:cs="Times New Roman"/>
          <w:sz w:val="24"/>
          <w:szCs w:val="24"/>
        </w:rPr>
        <w:t xml:space="preserve">used such a situation to pursue their </w:t>
      </w:r>
      <w:r w:rsidR="0073763E" w:rsidRPr="00CD303F">
        <w:rPr>
          <w:rFonts w:ascii="Times New Roman" w:hAnsi="Times New Roman" w:cs="Times New Roman"/>
          <w:sz w:val="24"/>
          <w:szCs w:val="24"/>
        </w:rPr>
        <w:t>own agendas.</w:t>
      </w:r>
      <w:r w:rsidR="004E4263" w:rsidRPr="00CD303F">
        <w:rPr>
          <w:rStyle w:val="FootnoteReference"/>
          <w:rFonts w:ascii="Times New Roman" w:hAnsi="Times New Roman" w:cs="Times New Roman"/>
          <w:sz w:val="24"/>
          <w:szCs w:val="24"/>
        </w:rPr>
        <w:footnoteReference w:id="47"/>
      </w:r>
      <w:r w:rsidR="00D34822" w:rsidRPr="00CD303F">
        <w:rPr>
          <w:rFonts w:ascii="Times New Roman" w:hAnsi="Times New Roman" w:cs="Times New Roman"/>
          <w:sz w:val="24"/>
          <w:szCs w:val="24"/>
        </w:rPr>
        <w:t xml:space="preserve"> A second significant aspect of this case is that British officials – namely Towns and Statham – were accorded full responsibility for an act of ‘unlawful’ violence perpetrated by their subordinates. </w:t>
      </w:r>
      <w:r w:rsidR="006E4890" w:rsidRPr="00CD303F">
        <w:rPr>
          <w:rFonts w:ascii="Times New Roman" w:hAnsi="Times New Roman" w:cs="Times New Roman"/>
          <w:sz w:val="24"/>
          <w:szCs w:val="24"/>
        </w:rPr>
        <w:t xml:space="preserve">There is no mention, in the Board’s records, of any punishment being meted out to the Cutwal or </w:t>
      </w:r>
      <w:r w:rsidR="004E4DA2" w:rsidRPr="00CD303F">
        <w:rPr>
          <w:rFonts w:ascii="Times New Roman" w:hAnsi="Times New Roman" w:cs="Times New Roman"/>
          <w:sz w:val="24"/>
          <w:szCs w:val="24"/>
        </w:rPr>
        <w:t xml:space="preserve">Towns’s agent. </w:t>
      </w:r>
      <w:r w:rsidR="00A3250C" w:rsidRPr="00CD303F">
        <w:rPr>
          <w:rFonts w:ascii="Times New Roman" w:hAnsi="Times New Roman" w:cs="Times New Roman"/>
          <w:sz w:val="24"/>
          <w:szCs w:val="24"/>
        </w:rPr>
        <w:t>The Board makes it clear, in</w:t>
      </w:r>
      <w:r w:rsidR="009E4E2C" w:rsidRPr="00CD303F">
        <w:rPr>
          <w:rFonts w:ascii="Times New Roman" w:hAnsi="Times New Roman" w:cs="Times New Roman"/>
          <w:sz w:val="24"/>
          <w:szCs w:val="24"/>
        </w:rPr>
        <w:t xml:space="preserve"> fact, that </w:t>
      </w:r>
      <w:r w:rsidR="009719C0" w:rsidRPr="00CD303F">
        <w:rPr>
          <w:rFonts w:ascii="Times New Roman" w:hAnsi="Times New Roman" w:cs="Times New Roman"/>
          <w:sz w:val="24"/>
          <w:szCs w:val="24"/>
        </w:rPr>
        <w:t xml:space="preserve">British officials such as </w:t>
      </w:r>
      <w:r w:rsidR="009E4E2C" w:rsidRPr="00CD303F">
        <w:rPr>
          <w:rFonts w:ascii="Times New Roman" w:hAnsi="Times New Roman" w:cs="Times New Roman"/>
          <w:sz w:val="24"/>
          <w:szCs w:val="24"/>
        </w:rPr>
        <w:t>Towns and Statham wer</w:t>
      </w:r>
      <w:r w:rsidR="009719C0" w:rsidRPr="00CD303F">
        <w:rPr>
          <w:rFonts w:ascii="Times New Roman" w:hAnsi="Times New Roman" w:cs="Times New Roman"/>
          <w:sz w:val="24"/>
          <w:szCs w:val="24"/>
        </w:rPr>
        <w:t xml:space="preserve">e ultimately </w:t>
      </w:r>
      <w:r w:rsidR="00A3250C" w:rsidRPr="00CD303F">
        <w:rPr>
          <w:rFonts w:ascii="Times New Roman" w:hAnsi="Times New Roman" w:cs="Times New Roman"/>
          <w:sz w:val="24"/>
          <w:szCs w:val="24"/>
        </w:rPr>
        <w:t>responsible for the systematic abuse of Indians</w:t>
      </w:r>
      <w:r w:rsidR="009719C0" w:rsidRPr="00CD303F">
        <w:rPr>
          <w:rFonts w:ascii="Times New Roman" w:hAnsi="Times New Roman" w:cs="Times New Roman"/>
          <w:sz w:val="24"/>
          <w:szCs w:val="24"/>
        </w:rPr>
        <w:t xml:space="preserve">. </w:t>
      </w:r>
      <w:r w:rsidR="00F81205" w:rsidRPr="00CD303F">
        <w:rPr>
          <w:rFonts w:ascii="Times New Roman" w:hAnsi="Times New Roman" w:cs="Times New Roman"/>
          <w:sz w:val="24"/>
          <w:szCs w:val="24"/>
        </w:rPr>
        <w:t xml:space="preserve">The Townes affair </w:t>
      </w:r>
      <w:r w:rsidR="00AD4F74" w:rsidRPr="00CD303F">
        <w:rPr>
          <w:rFonts w:ascii="Times New Roman" w:hAnsi="Times New Roman" w:cs="Times New Roman"/>
          <w:sz w:val="24"/>
          <w:szCs w:val="24"/>
        </w:rPr>
        <w:t xml:space="preserve">thus </w:t>
      </w:r>
      <w:r w:rsidR="00FF28C9" w:rsidRPr="00CD303F">
        <w:rPr>
          <w:rFonts w:ascii="Times New Roman" w:hAnsi="Times New Roman" w:cs="Times New Roman"/>
          <w:sz w:val="24"/>
          <w:szCs w:val="24"/>
        </w:rPr>
        <w:t xml:space="preserve">demonstrates </w:t>
      </w:r>
      <w:r w:rsidR="00F81205" w:rsidRPr="00CD303F">
        <w:rPr>
          <w:rFonts w:ascii="Times New Roman" w:hAnsi="Times New Roman" w:cs="Times New Roman"/>
          <w:sz w:val="24"/>
          <w:szCs w:val="24"/>
        </w:rPr>
        <w:t xml:space="preserve">the ways in which, by the late eighteenth century, governmental power had </w:t>
      </w:r>
      <w:r w:rsidR="006A4CB3" w:rsidRPr="00CD303F">
        <w:rPr>
          <w:rFonts w:ascii="Times New Roman" w:hAnsi="Times New Roman" w:cs="Times New Roman"/>
          <w:sz w:val="24"/>
          <w:szCs w:val="24"/>
        </w:rPr>
        <w:t>begun to</w:t>
      </w:r>
      <w:r w:rsidR="00F81205" w:rsidRPr="00CD303F">
        <w:rPr>
          <w:rFonts w:ascii="Times New Roman" w:hAnsi="Times New Roman" w:cs="Times New Roman"/>
          <w:sz w:val="24"/>
          <w:szCs w:val="24"/>
        </w:rPr>
        <w:t xml:space="preserve"> become entangled with sovereign power in colonial India – but not yet </w:t>
      </w:r>
      <w:r w:rsidR="00E54F4A" w:rsidRPr="00CD303F">
        <w:rPr>
          <w:rFonts w:ascii="Times New Roman" w:hAnsi="Times New Roman" w:cs="Times New Roman"/>
          <w:sz w:val="24"/>
          <w:szCs w:val="24"/>
        </w:rPr>
        <w:t xml:space="preserve">with necropolitics, or </w:t>
      </w:r>
      <w:r w:rsidR="00E54F4A" w:rsidRPr="00CD303F">
        <w:rPr>
          <w:rFonts w:ascii="Times New Roman" w:hAnsi="Times New Roman" w:cs="Times New Roman"/>
          <w:sz w:val="24"/>
          <w:szCs w:val="24"/>
          <w:shd w:val="clear" w:color="auto" w:fill="FFFFFF"/>
        </w:rPr>
        <w:t xml:space="preserve">the technologies of control through which life is </w:t>
      </w:r>
      <w:r w:rsidR="008F4F4A" w:rsidRPr="00CD303F">
        <w:rPr>
          <w:rFonts w:ascii="Times New Roman" w:hAnsi="Times New Roman" w:cs="Times New Roman"/>
          <w:sz w:val="24"/>
          <w:szCs w:val="24"/>
          <w:shd w:val="clear" w:color="auto" w:fill="FFFFFF"/>
        </w:rPr>
        <w:t>tactically</w:t>
      </w:r>
      <w:r w:rsidR="00E54F4A" w:rsidRPr="00CD303F">
        <w:rPr>
          <w:rFonts w:ascii="Times New Roman" w:hAnsi="Times New Roman" w:cs="Times New Roman"/>
          <w:sz w:val="24"/>
          <w:szCs w:val="24"/>
          <w:shd w:val="clear" w:color="auto" w:fill="FFFFFF"/>
        </w:rPr>
        <w:t xml:space="preserve"> subjugated to the power of death</w:t>
      </w:r>
      <w:r w:rsidR="00845922" w:rsidRPr="00CD303F">
        <w:rPr>
          <w:rFonts w:ascii="Times New Roman" w:hAnsi="Times New Roman" w:cs="Times New Roman"/>
          <w:sz w:val="24"/>
          <w:szCs w:val="24"/>
        </w:rPr>
        <w:t>.</w:t>
      </w:r>
      <w:r w:rsidR="006B1821" w:rsidRPr="00CD303F">
        <w:rPr>
          <w:rStyle w:val="FootnoteReference"/>
          <w:rFonts w:ascii="Times New Roman" w:hAnsi="Times New Roman" w:cs="Times New Roman"/>
          <w:sz w:val="24"/>
          <w:szCs w:val="24"/>
        </w:rPr>
        <w:footnoteReference w:id="48"/>
      </w:r>
    </w:p>
    <w:p w:rsidR="006253E3" w:rsidRPr="00CD303F" w:rsidRDefault="00FD7976" w:rsidP="00B2563D">
      <w:pPr>
        <w:spacing w:line="480" w:lineRule="auto"/>
        <w:ind w:firstLine="720"/>
        <w:rPr>
          <w:rFonts w:ascii="Times New Roman" w:hAnsi="Times New Roman" w:cs="Times New Roman"/>
          <w:sz w:val="24"/>
          <w:szCs w:val="24"/>
        </w:rPr>
      </w:pPr>
      <w:r w:rsidRPr="00CD303F">
        <w:rPr>
          <w:rFonts w:ascii="Times New Roman" w:hAnsi="Times New Roman" w:cs="Times New Roman"/>
          <w:sz w:val="24"/>
          <w:szCs w:val="24"/>
        </w:rPr>
        <w:t xml:space="preserve">Indeed, the pastoral concerns displayed by the Board </w:t>
      </w:r>
      <w:r w:rsidR="00474E96" w:rsidRPr="00CD303F">
        <w:rPr>
          <w:rFonts w:ascii="Times New Roman" w:hAnsi="Times New Roman" w:cs="Times New Roman"/>
          <w:sz w:val="24"/>
          <w:szCs w:val="24"/>
        </w:rPr>
        <w:t xml:space="preserve">in this affair </w:t>
      </w:r>
      <w:r w:rsidR="004E70FD" w:rsidRPr="00CD303F">
        <w:rPr>
          <w:rFonts w:ascii="Times New Roman" w:hAnsi="Times New Roman" w:cs="Times New Roman"/>
          <w:sz w:val="24"/>
          <w:szCs w:val="24"/>
        </w:rPr>
        <w:t>–</w:t>
      </w:r>
      <w:r w:rsidR="00710016" w:rsidRPr="00CD303F">
        <w:rPr>
          <w:rFonts w:ascii="Times New Roman" w:hAnsi="Times New Roman" w:cs="Times New Roman"/>
          <w:sz w:val="24"/>
          <w:szCs w:val="24"/>
        </w:rPr>
        <w:t xml:space="preserve"> </w:t>
      </w:r>
      <w:r w:rsidR="00C06A42" w:rsidRPr="00CD303F">
        <w:rPr>
          <w:rFonts w:ascii="Times New Roman" w:hAnsi="Times New Roman" w:cs="Times New Roman"/>
          <w:sz w:val="24"/>
          <w:szCs w:val="24"/>
        </w:rPr>
        <w:t xml:space="preserve">for Foucault </w:t>
      </w:r>
      <w:r w:rsidR="00710016" w:rsidRPr="00CD303F">
        <w:rPr>
          <w:rFonts w:ascii="Times New Roman" w:hAnsi="Times New Roman" w:cs="Times New Roman"/>
          <w:sz w:val="24"/>
          <w:szCs w:val="24"/>
        </w:rPr>
        <w:t xml:space="preserve">pastoral power </w:t>
      </w:r>
      <w:r w:rsidR="00C06A42" w:rsidRPr="00CD303F">
        <w:rPr>
          <w:rFonts w:ascii="Times New Roman" w:hAnsi="Times New Roman" w:cs="Times New Roman"/>
          <w:sz w:val="24"/>
          <w:szCs w:val="24"/>
        </w:rPr>
        <w:t xml:space="preserve">entailed the sovereign assuming the role of a shepherd administering to a </w:t>
      </w:r>
      <w:r w:rsidR="00C06A42" w:rsidRPr="00CD303F">
        <w:rPr>
          <w:rFonts w:ascii="Times New Roman" w:hAnsi="Times New Roman" w:cs="Times New Roman"/>
          <w:sz w:val="24"/>
          <w:szCs w:val="24"/>
        </w:rPr>
        <w:lastRenderedPageBreak/>
        <w:t xml:space="preserve">flock of sheep – </w:t>
      </w:r>
      <w:r w:rsidR="00474E96" w:rsidRPr="00CD303F">
        <w:rPr>
          <w:rFonts w:ascii="Times New Roman" w:hAnsi="Times New Roman" w:cs="Times New Roman"/>
          <w:sz w:val="24"/>
          <w:szCs w:val="24"/>
        </w:rPr>
        <w:t>are striking.</w:t>
      </w:r>
      <w:r w:rsidR="004E70FD" w:rsidRPr="00CD303F">
        <w:rPr>
          <w:rStyle w:val="FootnoteReference"/>
          <w:rFonts w:ascii="Times New Roman" w:hAnsi="Times New Roman" w:cs="Times New Roman"/>
          <w:sz w:val="24"/>
          <w:szCs w:val="24"/>
        </w:rPr>
        <w:footnoteReference w:id="49"/>
      </w:r>
      <w:r w:rsidR="00710016" w:rsidRPr="00CD303F">
        <w:rPr>
          <w:rFonts w:ascii="Times New Roman" w:hAnsi="Times New Roman" w:cs="Times New Roman"/>
          <w:sz w:val="24"/>
          <w:szCs w:val="24"/>
        </w:rPr>
        <w:t xml:space="preserve"> Pastoral power is “a power of care” – it is, essentially, a “beneficent power”.</w:t>
      </w:r>
      <w:r w:rsidR="00474405" w:rsidRPr="00CD303F">
        <w:rPr>
          <w:rStyle w:val="FootnoteReference"/>
          <w:rFonts w:ascii="Times New Roman" w:hAnsi="Times New Roman" w:cs="Times New Roman"/>
          <w:sz w:val="24"/>
          <w:szCs w:val="24"/>
        </w:rPr>
        <w:footnoteReference w:id="50"/>
      </w:r>
      <w:r w:rsidR="00474405" w:rsidRPr="00CD303F">
        <w:rPr>
          <w:rFonts w:ascii="Times New Roman" w:hAnsi="Times New Roman" w:cs="Times New Roman"/>
          <w:sz w:val="24"/>
          <w:szCs w:val="24"/>
        </w:rPr>
        <w:t xml:space="preserve"> What is particularly </w:t>
      </w:r>
      <w:r w:rsidR="008A5F3B" w:rsidRPr="00CD303F">
        <w:rPr>
          <w:rFonts w:ascii="Times New Roman" w:hAnsi="Times New Roman" w:cs="Times New Roman"/>
          <w:sz w:val="24"/>
          <w:szCs w:val="24"/>
        </w:rPr>
        <w:t xml:space="preserve">significant </w:t>
      </w:r>
      <w:r w:rsidR="00474405" w:rsidRPr="00CD303F">
        <w:rPr>
          <w:rFonts w:ascii="Times New Roman" w:hAnsi="Times New Roman" w:cs="Times New Roman"/>
          <w:sz w:val="24"/>
          <w:szCs w:val="24"/>
        </w:rPr>
        <w:t>about pastoral power, for our purposes, is that it ameliorates the violence of sovereign power. As Foucault puts it, “All the dimensions of terror and of force or fearful violence, all these disturbing powers that make men tremble before the power of kings and gods, disappear in the case of the shepherd (</w:t>
      </w:r>
      <w:r w:rsidR="00474405" w:rsidRPr="00CD303F">
        <w:rPr>
          <w:rFonts w:ascii="Times New Roman" w:hAnsi="Times New Roman" w:cs="Times New Roman"/>
          <w:i/>
          <w:iCs/>
          <w:sz w:val="24"/>
          <w:szCs w:val="24"/>
        </w:rPr>
        <w:t>pasteur</w:t>
      </w:r>
      <w:r w:rsidR="00474405" w:rsidRPr="00CD303F">
        <w:rPr>
          <w:rFonts w:ascii="Times New Roman" w:hAnsi="Times New Roman" w:cs="Times New Roman"/>
          <w:sz w:val="24"/>
          <w:szCs w:val="24"/>
        </w:rPr>
        <w:t>), whether it is the king</w:t>
      </w:r>
      <w:r w:rsidR="00730339">
        <w:rPr>
          <w:rFonts w:ascii="Times New Roman" w:hAnsi="Times New Roman" w:cs="Times New Roman"/>
          <w:sz w:val="24"/>
          <w:szCs w:val="24"/>
        </w:rPr>
        <w:t>-</w:t>
      </w:r>
      <w:r w:rsidR="00474405" w:rsidRPr="00CD303F">
        <w:rPr>
          <w:rFonts w:ascii="Times New Roman" w:hAnsi="Times New Roman" w:cs="Times New Roman"/>
          <w:sz w:val="24"/>
          <w:szCs w:val="24"/>
        </w:rPr>
        <w:t>shepherd or the god-shepherd.”</w:t>
      </w:r>
      <w:r w:rsidR="00474405" w:rsidRPr="00CD303F">
        <w:rPr>
          <w:rStyle w:val="FootnoteReference"/>
          <w:rFonts w:ascii="Times New Roman" w:hAnsi="Times New Roman" w:cs="Times New Roman"/>
          <w:sz w:val="24"/>
          <w:szCs w:val="24"/>
        </w:rPr>
        <w:footnoteReference w:id="51"/>
      </w:r>
      <w:r w:rsidR="000F258E" w:rsidRPr="00CD303F">
        <w:rPr>
          <w:rFonts w:ascii="Times New Roman" w:hAnsi="Times New Roman" w:cs="Times New Roman"/>
          <w:sz w:val="24"/>
          <w:szCs w:val="24"/>
        </w:rPr>
        <w:t xml:space="preserve"> </w:t>
      </w:r>
      <w:r w:rsidR="00C747A9" w:rsidRPr="00CD303F">
        <w:rPr>
          <w:rFonts w:ascii="Times New Roman" w:hAnsi="Times New Roman" w:cs="Times New Roman"/>
          <w:sz w:val="24"/>
          <w:szCs w:val="24"/>
        </w:rPr>
        <w:t xml:space="preserve">But </w:t>
      </w:r>
      <w:r w:rsidR="005F3A04" w:rsidRPr="00CD303F">
        <w:rPr>
          <w:rFonts w:ascii="Times New Roman" w:hAnsi="Times New Roman" w:cs="Times New Roman"/>
          <w:sz w:val="24"/>
          <w:szCs w:val="24"/>
        </w:rPr>
        <w:t xml:space="preserve">the Company ruled over subjects, not free individuals, </w:t>
      </w:r>
      <w:r w:rsidR="00C747A9" w:rsidRPr="00CD303F">
        <w:rPr>
          <w:rFonts w:ascii="Times New Roman" w:hAnsi="Times New Roman" w:cs="Times New Roman"/>
          <w:sz w:val="24"/>
          <w:szCs w:val="24"/>
        </w:rPr>
        <w:t xml:space="preserve">which means that </w:t>
      </w:r>
      <w:r w:rsidR="005F3A04" w:rsidRPr="00CD303F">
        <w:rPr>
          <w:rFonts w:ascii="Times New Roman" w:hAnsi="Times New Roman" w:cs="Times New Roman"/>
          <w:sz w:val="24"/>
          <w:szCs w:val="24"/>
        </w:rPr>
        <w:t xml:space="preserve">the primary aim of colonial governmentality was to increase the state’s economic strength through “extractive </w:t>
      </w:r>
      <w:r w:rsidR="00CB49E6">
        <w:rPr>
          <w:rFonts w:ascii="Times New Roman" w:hAnsi="Times New Roman" w:cs="Times New Roman"/>
          <w:sz w:val="24"/>
          <w:szCs w:val="24"/>
        </w:rPr>
        <w:t xml:space="preserve">and </w:t>
      </w:r>
      <w:r w:rsidR="005F3A04" w:rsidRPr="00CD303F">
        <w:rPr>
          <w:rFonts w:ascii="Times New Roman" w:hAnsi="Times New Roman" w:cs="Times New Roman"/>
          <w:sz w:val="24"/>
          <w:szCs w:val="24"/>
        </w:rPr>
        <w:t>regulatory functions”</w:t>
      </w:r>
      <w:r w:rsidR="00C747A9" w:rsidRPr="00CD303F">
        <w:rPr>
          <w:rFonts w:ascii="Times New Roman" w:hAnsi="Times New Roman" w:cs="Times New Roman"/>
          <w:sz w:val="24"/>
          <w:szCs w:val="24"/>
        </w:rPr>
        <w:t xml:space="preserve"> rather than to ensure the welfare of its population.</w:t>
      </w:r>
      <w:r w:rsidR="00C747A9" w:rsidRPr="00CD303F">
        <w:rPr>
          <w:rStyle w:val="FootnoteReference"/>
          <w:rFonts w:ascii="Times New Roman" w:hAnsi="Times New Roman" w:cs="Times New Roman"/>
          <w:sz w:val="24"/>
          <w:szCs w:val="24"/>
        </w:rPr>
        <w:footnoteReference w:id="52"/>
      </w:r>
      <w:r w:rsidR="00495FF0" w:rsidRPr="00CD303F">
        <w:rPr>
          <w:rFonts w:ascii="Times New Roman" w:hAnsi="Times New Roman" w:cs="Times New Roman"/>
          <w:sz w:val="24"/>
          <w:szCs w:val="24"/>
        </w:rPr>
        <w:t xml:space="preserve"> As Stephen Legg observes, “There was very rarely an ethic of caring for </w:t>
      </w:r>
      <w:r w:rsidR="00495FF0" w:rsidRPr="00CD303F">
        <w:rPr>
          <w:rFonts w:ascii="Times New Roman" w:hAnsi="Times New Roman" w:cs="Times New Roman"/>
          <w:i/>
          <w:sz w:val="24"/>
          <w:szCs w:val="24"/>
        </w:rPr>
        <w:t>omnes et singulatim</w:t>
      </w:r>
      <w:r w:rsidR="00495FF0" w:rsidRPr="00CD303F">
        <w:rPr>
          <w:rFonts w:ascii="Times New Roman" w:hAnsi="Times New Roman" w:cs="Times New Roman"/>
          <w:sz w:val="24"/>
          <w:szCs w:val="24"/>
        </w:rPr>
        <w:t xml:space="preserve"> (‘all and one’. . .) outside of the boundaries of the colonisers . . .”</w:t>
      </w:r>
      <w:r w:rsidR="00495FF0" w:rsidRPr="00CD303F">
        <w:rPr>
          <w:rStyle w:val="FootnoteReference"/>
          <w:rFonts w:ascii="Times New Roman" w:hAnsi="Times New Roman" w:cs="Times New Roman"/>
          <w:sz w:val="24"/>
          <w:szCs w:val="24"/>
        </w:rPr>
        <w:footnoteReference w:id="53"/>
      </w:r>
      <w:r w:rsidR="00B2563D" w:rsidRPr="00CD303F">
        <w:rPr>
          <w:rFonts w:ascii="Times New Roman" w:hAnsi="Times New Roman" w:cs="Times New Roman"/>
          <w:sz w:val="24"/>
          <w:szCs w:val="24"/>
        </w:rPr>
        <w:t xml:space="preserve"> It is for this reason that although the Board condemned the violent effects of British sovereignty on Indian bodies and property, it made no real efforts to ameliorate them </w:t>
      </w:r>
      <w:r w:rsidR="00D23FDB" w:rsidRPr="00CD303F">
        <w:rPr>
          <w:rFonts w:ascii="Times New Roman" w:hAnsi="Times New Roman" w:cs="Times New Roman"/>
          <w:sz w:val="24"/>
          <w:szCs w:val="24"/>
        </w:rPr>
        <w:t>–</w:t>
      </w:r>
      <w:r w:rsidR="00B2563D" w:rsidRPr="00CD303F">
        <w:rPr>
          <w:rFonts w:ascii="Times New Roman" w:hAnsi="Times New Roman" w:cs="Times New Roman"/>
          <w:sz w:val="24"/>
          <w:szCs w:val="24"/>
        </w:rPr>
        <w:t xml:space="preserve"> </w:t>
      </w:r>
      <w:r w:rsidR="007C71EC" w:rsidRPr="00CD303F">
        <w:rPr>
          <w:rFonts w:ascii="Times New Roman" w:hAnsi="Times New Roman" w:cs="Times New Roman"/>
          <w:bCs/>
          <w:sz w:val="24"/>
          <w:szCs w:val="24"/>
        </w:rPr>
        <w:t>by,</w:t>
      </w:r>
      <w:r w:rsidR="00B2563D" w:rsidRPr="00CD303F">
        <w:rPr>
          <w:rFonts w:ascii="Times New Roman" w:hAnsi="Times New Roman" w:cs="Times New Roman"/>
          <w:bCs/>
          <w:sz w:val="24"/>
          <w:szCs w:val="24"/>
        </w:rPr>
        <w:t xml:space="preserve"> for example</w:t>
      </w:r>
      <w:r w:rsidR="007C71EC" w:rsidRPr="00CD303F">
        <w:rPr>
          <w:rFonts w:ascii="Times New Roman" w:hAnsi="Times New Roman" w:cs="Times New Roman"/>
          <w:bCs/>
          <w:sz w:val="24"/>
          <w:szCs w:val="24"/>
        </w:rPr>
        <w:t xml:space="preserve">, altering the rules regarding </w:t>
      </w:r>
      <w:r w:rsidR="00515B7B" w:rsidRPr="00CD303F">
        <w:rPr>
          <w:rFonts w:ascii="Times New Roman" w:hAnsi="Times New Roman" w:cs="Times New Roman"/>
          <w:bCs/>
          <w:sz w:val="24"/>
          <w:szCs w:val="24"/>
        </w:rPr>
        <w:t xml:space="preserve">the validity of </w:t>
      </w:r>
      <w:r w:rsidR="007C71EC" w:rsidRPr="00CD303F">
        <w:rPr>
          <w:rFonts w:ascii="Times New Roman" w:hAnsi="Times New Roman" w:cs="Times New Roman"/>
          <w:bCs/>
          <w:sz w:val="24"/>
          <w:szCs w:val="24"/>
        </w:rPr>
        <w:t>confession</w:t>
      </w:r>
      <w:r w:rsidR="00515B7B" w:rsidRPr="00CD303F">
        <w:rPr>
          <w:rFonts w:ascii="Times New Roman" w:hAnsi="Times New Roman" w:cs="Times New Roman"/>
          <w:bCs/>
          <w:sz w:val="24"/>
          <w:szCs w:val="24"/>
        </w:rPr>
        <w:t xml:space="preserve">s as evidence </w:t>
      </w:r>
      <w:r w:rsidR="007C71EC" w:rsidRPr="00CD303F">
        <w:rPr>
          <w:rFonts w:ascii="Times New Roman" w:hAnsi="Times New Roman" w:cs="Times New Roman"/>
          <w:bCs/>
          <w:sz w:val="24"/>
          <w:szCs w:val="24"/>
        </w:rPr>
        <w:t>and investigating the extent to which torture was used as a technology of Company rule.</w:t>
      </w:r>
      <w:r w:rsidR="00A5237C">
        <w:rPr>
          <w:rStyle w:val="FootnoteReference"/>
          <w:rFonts w:ascii="Times New Roman" w:hAnsi="Times New Roman" w:cs="Times New Roman"/>
          <w:bCs/>
          <w:sz w:val="24"/>
          <w:szCs w:val="24"/>
        </w:rPr>
        <w:footnoteReference w:id="54"/>
      </w:r>
    </w:p>
    <w:p w:rsidR="00C1382C" w:rsidRPr="00CD303F" w:rsidRDefault="00AA1ED0" w:rsidP="00C1382C">
      <w:pPr>
        <w:spacing w:line="480" w:lineRule="auto"/>
        <w:ind w:firstLine="720"/>
        <w:rPr>
          <w:rFonts w:ascii="Times New Roman" w:hAnsi="Times New Roman" w:cs="Times New Roman"/>
          <w:bCs/>
          <w:sz w:val="24"/>
          <w:szCs w:val="24"/>
        </w:rPr>
      </w:pPr>
      <w:r w:rsidRPr="00CD303F">
        <w:rPr>
          <w:rFonts w:ascii="Times New Roman" w:hAnsi="Times New Roman" w:cs="Times New Roman"/>
          <w:bCs/>
          <w:sz w:val="24"/>
          <w:szCs w:val="24"/>
        </w:rPr>
        <w:lastRenderedPageBreak/>
        <w:t xml:space="preserve">This </w:t>
      </w:r>
      <w:r w:rsidR="00F63140" w:rsidRPr="00CD303F">
        <w:rPr>
          <w:rFonts w:ascii="Times New Roman" w:hAnsi="Times New Roman" w:cs="Times New Roman"/>
          <w:bCs/>
          <w:sz w:val="24"/>
          <w:szCs w:val="24"/>
        </w:rPr>
        <w:t xml:space="preserve">apparently </w:t>
      </w:r>
      <w:r w:rsidRPr="00CD303F">
        <w:rPr>
          <w:rFonts w:ascii="Times New Roman" w:hAnsi="Times New Roman" w:cs="Times New Roman"/>
          <w:bCs/>
          <w:sz w:val="24"/>
          <w:szCs w:val="24"/>
        </w:rPr>
        <w:t xml:space="preserve">began to change somewhat in the early </w:t>
      </w:r>
      <w:r w:rsidR="00292958" w:rsidRPr="00CD303F">
        <w:rPr>
          <w:rFonts w:ascii="Times New Roman" w:hAnsi="Times New Roman" w:cs="Times New Roman"/>
          <w:bCs/>
          <w:sz w:val="24"/>
          <w:szCs w:val="24"/>
        </w:rPr>
        <w:t>nineteenth</w:t>
      </w:r>
      <w:r w:rsidR="003661A2" w:rsidRPr="00CD303F">
        <w:rPr>
          <w:rFonts w:ascii="Times New Roman" w:hAnsi="Times New Roman" w:cs="Times New Roman"/>
          <w:bCs/>
          <w:sz w:val="24"/>
          <w:szCs w:val="24"/>
        </w:rPr>
        <w:t xml:space="preserve"> century</w:t>
      </w:r>
      <w:r w:rsidRPr="00CD303F">
        <w:rPr>
          <w:rFonts w:ascii="Times New Roman" w:hAnsi="Times New Roman" w:cs="Times New Roman"/>
          <w:bCs/>
          <w:sz w:val="24"/>
          <w:szCs w:val="24"/>
        </w:rPr>
        <w:t xml:space="preserve"> when</w:t>
      </w:r>
      <w:r w:rsidR="003661A2" w:rsidRPr="00CD303F">
        <w:rPr>
          <w:rFonts w:ascii="Times New Roman" w:hAnsi="Times New Roman" w:cs="Times New Roman"/>
          <w:bCs/>
          <w:sz w:val="24"/>
          <w:szCs w:val="24"/>
        </w:rPr>
        <w:t>,</w:t>
      </w:r>
      <w:r w:rsidRPr="00CD303F">
        <w:rPr>
          <w:rFonts w:ascii="Times New Roman" w:hAnsi="Times New Roman" w:cs="Times New Roman"/>
          <w:bCs/>
          <w:sz w:val="24"/>
          <w:szCs w:val="24"/>
        </w:rPr>
        <w:t xml:space="preserve"> faced with repeated torture cases, </w:t>
      </w:r>
      <w:r w:rsidR="000B2E74" w:rsidRPr="00CD303F">
        <w:rPr>
          <w:rFonts w:ascii="Times New Roman" w:hAnsi="Times New Roman" w:cs="Times New Roman"/>
          <w:bCs/>
          <w:sz w:val="24"/>
          <w:szCs w:val="24"/>
        </w:rPr>
        <w:t xml:space="preserve">perpetrated by both </w:t>
      </w:r>
      <w:r w:rsidR="00A771C4">
        <w:rPr>
          <w:rFonts w:ascii="Times New Roman" w:hAnsi="Times New Roman" w:cs="Times New Roman"/>
          <w:bCs/>
          <w:sz w:val="24"/>
          <w:szCs w:val="24"/>
        </w:rPr>
        <w:t>European</w:t>
      </w:r>
      <w:r w:rsidR="000B2E74" w:rsidRPr="00CD303F">
        <w:rPr>
          <w:rFonts w:ascii="Times New Roman" w:hAnsi="Times New Roman" w:cs="Times New Roman"/>
          <w:bCs/>
          <w:sz w:val="24"/>
          <w:szCs w:val="24"/>
        </w:rPr>
        <w:t xml:space="preserve">s and </w:t>
      </w:r>
      <w:r w:rsidR="00A771C4">
        <w:rPr>
          <w:rFonts w:ascii="Times New Roman" w:hAnsi="Times New Roman" w:cs="Times New Roman"/>
          <w:bCs/>
          <w:sz w:val="24"/>
          <w:szCs w:val="24"/>
        </w:rPr>
        <w:t>Indian</w:t>
      </w:r>
      <w:r w:rsidR="000B2E74" w:rsidRPr="00CD303F">
        <w:rPr>
          <w:rFonts w:ascii="Times New Roman" w:hAnsi="Times New Roman" w:cs="Times New Roman"/>
          <w:bCs/>
          <w:sz w:val="24"/>
          <w:szCs w:val="24"/>
        </w:rPr>
        <w:t>s</w:t>
      </w:r>
      <w:r w:rsidRPr="00CD303F">
        <w:rPr>
          <w:rFonts w:ascii="Times New Roman" w:hAnsi="Times New Roman" w:cs="Times New Roman"/>
          <w:bCs/>
          <w:sz w:val="24"/>
          <w:szCs w:val="24"/>
        </w:rPr>
        <w:t xml:space="preserve">, </w:t>
      </w:r>
      <w:r w:rsidR="003661A2" w:rsidRPr="00CD303F">
        <w:rPr>
          <w:rFonts w:ascii="Times New Roman" w:hAnsi="Times New Roman" w:cs="Times New Roman"/>
          <w:bCs/>
          <w:sz w:val="24"/>
          <w:szCs w:val="24"/>
        </w:rPr>
        <w:t>the Company</w:t>
      </w:r>
      <w:r w:rsidRPr="00CD303F">
        <w:rPr>
          <w:rFonts w:ascii="Times New Roman" w:hAnsi="Times New Roman" w:cs="Times New Roman"/>
          <w:bCs/>
          <w:sz w:val="24"/>
          <w:szCs w:val="24"/>
        </w:rPr>
        <w:t xml:space="preserve"> </w:t>
      </w:r>
      <w:r w:rsidR="00B96E1C" w:rsidRPr="00CD303F">
        <w:rPr>
          <w:rFonts w:ascii="Times New Roman" w:hAnsi="Times New Roman" w:cs="Times New Roman"/>
          <w:bCs/>
          <w:sz w:val="24"/>
          <w:szCs w:val="24"/>
        </w:rPr>
        <w:t>started</w:t>
      </w:r>
      <w:r w:rsidRPr="00CD303F">
        <w:rPr>
          <w:rFonts w:ascii="Times New Roman" w:hAnsi="Times New Roman" w:cs="Times New Roman"/>
          <w:bCs/>
          <w:sz w:val="24"/>
          <w:szCs w:val="24"/>
        </w:rPr>
        <w:t xml:space="preserve"> to</w:t>
      </w:r>
      <w:r w:rsidR="000B2E74" w:rsidRPr="00CD303F">
        <w:rPr>
          <w:rFonts w:ascii="Times New Roman" w:hAnsi="Times New Roman" w:cs="Times New Roman"/>
          <w:bCs/>
          <w:sz w:val="24"/>
          <w:szCs w:val="24"/>
        </w:rPr>
        <w:t xml:space="preserve"> addr</w:t>
      </w:r>
      <w:r w:rsidR="00052EC9" w:rsidRPr="00CD303F">
        <w:rPr>
          <w:rFonts w:ascii="Times New Roman" w:hAnsi="Times New Roman" w:cs="Times New Roman"/>
          <w:bCs/>
          <w:sz w:val="24"/>
          <w:szCs w:val="24"/>
        </w:rPr>
        <w:t>ess the problem of</w:t>
      </w:r>
      <w:r w:rsidR="00A827F1" w:rsidRPr="00CD303F">
        <w:rPr>
          <w:rFonts w:ascii="Times New Roman" w:hAnsi="Times New Roman" w:cs="Times New Roman"/>
          <w:bCs/>
          <w:sz w:val="24"/>
          <w:szCs w:val="24"/>
        </w:rPr>
        <w:t xml:space="preserve"> the use of torture to extract</w:t>
      </w:r>
      <w:r w:rsidR="00052EC9" w:rsidRPr="00CD303F">
        <w:rPr>
          <w:rFonts w:ascii="Times New Roman" w:hAnsi="Times New Roman" w:cs="Times New Roman"/>
          <w:bCs/>
          <w:sz w:val="24"/>
          <w:szCs w:val="24"/>
        </w:rPr>
        <w:t xml:space="preserve"> confessions. </w:t>
      </w:r>
      <w:r w:rsidR="00B938E7" w:rsidRPr="00CD303F">
        <w:rPr>
          <w:rFonts w:ascii="Times New Roman" w:hAnsi="Times New Roman" w:cs="Times New Roman"/>
          <w:sz w:val="24"/>
          <w:szCs w:val="24"/>
        </w:rPr>
        <w:t xml:space="preserve">In the first </w:t>
      </w:r>
      <w:r w:rsidR="0037095B" w:rsidRPr="00CD303F">
        <w:rPr>
          <w:rFonts w:ascii="Times New Roman" w:hAnsi="Times New Roman" w:cs="Times New Roman"/>
          <w:sz w:val="24"/>
          <w:szCs w:val="24"/>
        </w:rPr>
        <w:t xml:space="preserve">half of the nineteenth century the chief criminal courts in each presidency, the </w:t>
      </w:r>
      <w:r w:rsidR="0037095B" w:rsidRPr="00CD303F">
        <w:rPr>
          <w:rFonts w:ascii="Times New Roman" w:hAnsi="Times New Roman" w:cs="Times New Roman"/>
          <w:bCs/>
          <w:color w:val="252525"/>
          <w:sz w:val="24"/>
          <w:szCs w:val="24"/>
          <w:shd w:val="clear" w:color="auto" w:fill="FFFFFF"/>
        </w:rPr>
        <w:t>Ṣadr Faujdari ʿAdālats,</w:t>
      </w:r>
      <w:r w:rsidR="00B938E7" w:rsidRPr="00CD303F">
        <w:rPr>
          <w:rFonts w:ascii="Times New Roman" w:hAnsi="Times New Roman" w:cs="Times New Roman"/>
          <w:sz w:val="24"/>
          <w:szCs w:val="24"/>
        </w:rPr>
        <w:t xml:space="preserve"> issued no less than ten circular orders on the</w:t>
      </w:r>
      <w:r w:rsidR="00FF631D" w:rsidRPr="00CD303F">
        <w:rPr>
          <w:rFonts w:ascii="Times New Roman" w:hAnsi="Times New Roman" w:cs="Times New Roman"/>
          <w:sz w:val="24"/>
          <w:szCs w:val="24"/>
        </w:rPr>
        <w:t xml:space="preserve"> subject</w:t>
      </w:r>
      <w:r w:rsidR="00B938E7" w:rsidRPr="00CD303F">
        <w:rPr>
          <w:rFonts w:ascii="Times New Roman" w:hAnsi="Times New Roman" w:cs="Times New Roman"/>
          <w:sz w:val="24"/>
          <w:szCs w:val="24"/>
        </w:rPr>
        <w:t>.</w:t>
      </w:r>
      <w:r w:rsidR="00C20104" w:rsidRPr="00CD303F">
        <w:rPr>
          <w:rStyle w:val="FootnoteReference"/>
          <w:rFonts w:ascii="Times New Roman" w:hAnsi="Times New Roman" w:cs="Times New Roman"/>
          <w:sz w:val="24"/>
          <w:szCs w:val="24"/>
        </w:rPr>
        <w:footnoteReference w:id="55"/>
      </w:r>
      <w:r w:rsidR="00A579A8" w:rsidRPr="00CD303F">
        <w:rPr>
          <w:rFonts w:ascii="Times New Roman" w:hAnsi="Times New Roman" w:cs="Times New Roman"/>
          <w:sz w:val="24"/>
          <w:szCs w:val="24"/>
        </w:rPr>
        <w:t xml:space="preserve"> The first of these, in 1806, was brought about by </w:t>
      </w:r>
      <w:r w:rsidR="00884175" w:rsidRPr="00CD303F">
        <w:rPr>
          <w:rFonts w:ascii="Times New Roman" w:hAnsi="Times New Roman" w:cs="Times New Roman"/>
          <w:sz w:val="24"/>
          <w:szCs w:val="24"/>
        </w:rPr>
        <w:t>the judges’ concerns re</w:t>
      </w:r>
      <w:r w:rsidR="00C1382C" w:rsidRPr="00CD303F">
        <w:rPr>
          <w:rFonts w:ascii="Times New Roman" w:hAnsi="Times New Roman" w:cs="Times New Roman"/>
          <w:sz w:val="24"/>
          <w:szCs w:val="24"/>
        </w:rPr>
        <w:t>garding “the frequent instances</w:t>
      </w:r>
      <w:r w:rsidR="00884175" w:rsidRPr="00CD303F">
        <w:rPr>
          <w:rFonts w:ascii="Times New Roman" w:hAnsi="Times New Roman" w:cs="Times New Roman"/>
          <w:sz w:val="24"/>
          <w:szCs w:val="24"/>
        </w:rPr>
        <w:t xml:space="preserve"> that have been noticed on trials referred by the Courts of Circuit, of forcible means having been employed to extort confessions from suspected persons. . .”</w:t>
      </w:r>
      <w:r w:rsidR="00C92D01" w:rsidRPr="00CD303F">
        <w:rPr>
          <w:rStyle w:val="FootnoteReference"/>
          <w:rFonts w:ascii="Times New Roman" w:hAnsi="Times New Roman" w:cs="Times New Roman"/>
          <w:sz w:val="24"/>
          <w:szCs w:val="24"/>
        </w:rPr>
        <w:footnoteReference w:id="56"/>
      </w:r>
      <w:r w:rsidR="00884175" w:rsidRPr="00CD303F">
        <w:rPr>
          <w:rFonts w:ascii="Times New Roman" w:hAnsi="Times New Roman" w:cs="Times New Roman"/>
          <w:sz w:val="24"/>
          <w:szCs w:val="24"/>
        </w:rPr>
        <w:t xml:space="preserve"> Such concerns led them to issue a proclamation requiring all company officials to instruct their subordinates “to abstain from all acts of violence towards persons apprehended by them, or committed to their custody on charges of a criminal nature”.</w:t>
      </w:r>
      <w:r w:rsidR="00DC16E5" w:rsidRPr="00CD303F">
        <w:rPr>
          <w:rStyle w:val="FootnoteReference"/>
          <w:rFonts w:ascii="Times New Roman" w:hAnsi="Times New Roman" w:cs="Times New Roman"/>
          <w:sz w:val="24"/>
          <w:szCs w:val="24"/>
        </w:rPr>
        <w:footnoteReference w:id="57"/>
      </w:r>
      <w:r w:rsidR="008D37DF" w:rsidRPr="00CD303F">
        <w:rPr>
          <w:rFonts w:ascii="Times New Roman" w:hAnsi="Times New Roman" w:cs="Times New Roman"/>
          <w:sz w:val="24"/>
          <w:szCs w:val="24"/>
        </w:rPr>
        <w:t xml:space="preserve"> Such courts also enacted stringent punishments against the torturers, ranging from lengthy prison terms wit</w:t>
      </w:r>
      <w:r w:rsidR="00E71055" w:rsidRPr="00CD303F">
        <w:rPr>
          <w:rFonts w:ascii="Times New Roman" w:hAnsi="Times New Roman" w:cs="Times New Roman"/>
          <w:sz w:val="24"/>
          <w:szCs w:val="24"/>
        </w:rPr>
        <w:t>h hard labour</w:t>
      </w:r>
      <w:r w:rsidR="008D37DF" w:rsidRPr="00CD303F">
        <w:rPr>
          <w:rFonts w:ascii="Times New Roman" w:hAnsi="Times New Roman" w:cs="Times New Roman"/>
          <w:sz w:val="24"/>
          <w:szCs w:val="24"/>
        </w:rPr>
        <w:t xml:space="preserve"> to transportation for life</w:t>
      </w:r>
      <w:r w:rsidR="00950A68">
        <w:rPr>
          <w:rFonts w:ascii="Times New Roman" w:hAnsi="Times New Roman" w:cs="Times New Roman"/>
          <w:sz w:val="24"/>
          <w:szCs w:val="24"/>
        </w:rPr>
        <w:t>, as well as physical punishments</w:t>
      </w:r>
      <w:r w:rsidR="008D37DF" w:rsidRPr="00CD303F">
        <w:rPr>
          <w:rFonts w:ascii="Times New Roman" w:hAnsi="Times New Roman" w:cs="Times New Roman"/>
          <w:sz w:val="24"/>
          <w:szCs w:val="24"/>
        </w:rPr>
        <w:t>.</w:t>
      </w:r>
      <w:r w:rsidR="00361A7F" w:rsidRPr="00CD303F">
        <w:rPr>
          <w:rStyle w:val="FootnoteReference"/>
          <w:rFonts w:ascii="Times New Roman" w:hAnsi="Times New Roman" w:cs="Times New Roman"/>
          <w:sz w:val="24"/>
          <w:szCs w:val="24"/>
        </w:rPr>
        <w:footnoteReference w:id="58"/>
      </w:r>
      <w:r w:rsidR="008D37DF" w:rsidRPr="00CD303F">
        <w:rPr>
          <w:rFonts w:ascii="Times New Roman" w:hAnsi="Times New Roman" w:cs="Times New Roman"/>
          <w:sz w:val="24"/>
          <w:szCs w:val="24"/>
        </w:rPr>
        <w:t xml:space="preserve"> </w:t>
      </w:r>
      <w:r w:rsidR="00BA4677" w:rsidRPr="00CD303F">
        <w:rPr>
          <w:rFonts w:ascii="Times New Roman" w:hAnsi="Times New Roman" w:cs="Times New Roman"/>
          <w:sz w:val="24"/>
          <w:szCs w:val="24"/>
        </w:rPr>
        <w:t xml:space="preserve">Thus when a man named Moottan died as a result of “atrocious cruelties” inflicted on him through torture, the </w:t>
      </w:r>
      <w:r w:rsidR="000C2773" w:rsidRPr="00CD303F">
        <w:rPr>
          <w:rFonts w:ascii="Times New Roman" w:hAnsi="Times New Roman" w:cs="Times New Roman"/>
          <w:sz w:val="24"/>
          <w:szCs w:val="24"/>
        </w:rPr>
        <w:t>court punished t</w:t>
      </w:r>
      <w:r w:rsidR="00914FE9" w:rsidRPr="00CD303F">
        <w:rPr>
          <w:rFonts w:ascii="Times New Roman" w:hAnsi="Times New Roman" w:cs="Times New Roman"/>
          <w:sz w:val="24"/>
          <w:szCs w:val="24"/>
        </w:rPr>
        <w:t xml:space="preserve">he man who bound and tortured the deceased, Police Ameen Hussen Khan, </w:t>
      </w:r>
      <w:r w:rsidR="000C2773" w:rsidRPr="00CD303F">
        <w:rPr>
          <w:rFonts w:ascii="Times New Roman" w:hAnsi="Times New Roman" w:cs="Times New Roman"/>
          <w:sz w:val="24"/>
          <w:szCs w:val="24"/>
        </w:rPr>
        <w:t>wit</w:t>
      </w:r>
      <w:r w:rsidR="00E71055" w:rsidRPr="00CD303F">
        <w:rPr>
          <w:rFonts w:ascii="Times New Roman" w:hAnsi="Times New Roman" w:cs="Times New Roman"/>
          <w:sz w:val="24"/>
          <w:szCs w:val="24"/>
        </w:rPr>
        <w:t>h 39 stripes and imprisonment in irons with</w:t>
      </w:r>
      <w:r w:rsidR="000C59BD" w:rsidRPr="00CD303F">
        <w:rPr>
          <w:rFonts w:ascii="Times New Roman" w:hAnsi="Times New Roman" w:cs="Times New Roman"/>
          <w:sz w:val="24"/>
          <w:szCs w:val="24"/>
        </w:rPr>
        <w:t xml:space="preserve"> hard labour for seven years.</w:t>
      </w:r>
      <w:r w:rsidR="00EF1F32" w:rsidRPr="00CD303F">
        <w:rPr>
          <w:rStyle w:val="FootnoteReference"/>
          <w:rFonts w:ascii="Times New Roman" w:hAnsi="Times New Roman" w:cs="Times New Roman"/>
          <w:sz w:val="24"/>
          <w:szCs w:val="24"/>
        </w:rPr>
        <w:footnoteReference w:id="59"/>
      </w:r>
      <w:r w:rsidR="000C59BD" w:rsidRPr="00CD303F">
        <w:rPr>
          <w:rFonts w:ascii="Times New Roman" w:hAnsi="Times New Roman" w:cs="Times New Roman"/>
          <w:sz w:val="24"/>
          <w:szCs w:val="24"/>
        </w:rPr>
        <w:t xml:space="preserve"> The court required, furthermore, that this sentence</w:t>
      </w:r>
      <w:r w:rsidR="000C2773" w:rsidRPr="00CD303F">
        <w:rPr>
          <w:rFonts w:ascii="Times New Roman" w:hAnsi="Times New Roman" w:cs="Times New Roman"/>
          <w:sz w:val="24"/>
          <w:szCs w:val="24"/>
        </w:rPr>
        <w:t xml:space="preserve"> be proclaimed throughout the province of Malabar to serve as a warning to Police “against </w:t>
      </w:r>
      <w:r w:rsidR="000C2773" w:rsidRPr="00CD303F">
        <w:rPr>
          <w:rFonts w:ascii="Times New Roman" w:hAnsi="Times New Roman" w:cs="Times New Roman"/>
          <w:sz w:val="24"/>
          <w:szCs w:val="24"/>
        </w:rPr>
        <w:lastRenderedPageBreak/>
        <w:t>carrying into execution illegal orders of the Superior Police Officers, for the maltreatment of prisoners</w:t>
      </w:r>
      <w:r w:rsidR="00534556" w:rsidRPr="00CD303F">
        <w:rPr>
          <w:rFonts w:ascii="Times New Roman" w:hAnsi="Times New Roman" w:cs="Times New Roman"/>
          <w:sz w:val="24"/>
          <w:szCs w:val="24"/>
        </w:rPr>
        <w:t>. . .”</w:t>
      </w:r>
      <w:r w:rsidR="00EF1F32" w:rsidRPr="00CD303F">
        <w:rPr>
          <w:rFonts w:ascii="Times New Roman" w:hAnsi="Times New Roman" w:cs="Times New Roman"/>
          <w:sz w:val="24"/>
          <w:szCs w:val="24"/>
        </w:rPr>
        <w:t xml:space="preserve"> (the proclamation also had to include the fact that </w:t>
      </w:r>
      <w:r w:rsidR="008D37DF" w:rsidRPr="00CD303F">
        <w:rPr>
          <w:rFonts w:ascii="Times New Roman" w:hAnsi="Times New Roman" w:cs="Times New Roman"/>
          <w:sz w:val="24"/>
          <w:szCs w:val="24"/>
        </w:rPr>
        <w:t xml:space="preserve">the </w:t>
      </w:r>
      <w:r w:rsidR="00824707" w:rsidRPr="00CD303F">
        <w:rPr>
          <w:rFonts w:ascii="Times New Roman" w:hAnsi="Times New Roman" w:cs="Times New Roman"/>
          <w:sz w:val="24"/>
          <w:szCs w:val="24"/>
        </w:rPr>
        <w:t>Peishcar</w:t>
      </w:r>
      <w:r w:rsidR="008D37DF" w:rsidRPr="00CD303F">
        <w:rPr>
          <w:rFonts w:ascii="Times New Roman" w:hAnsi="Times New Roman" w:cs="Times New Roman"/>
          <w:sz w:val="24"/>
          <w:szCs w:val="24"/>
        </w:rPr>
        <w:t xml:space="preserve"> of the Kartinaad Talook, </w:t>
      </w:r>
      <w:r w:rsidR="000E70B9" w:rsidRPr="00CD303F">
        <w:rPr>
          <w:rFonts w:ascii="Times New Roman" w:hAnsi="Times New Roman" w:cs="Times New Roman"/>
          <w:sz w:val="24"/>
          <w:szCs w:val="24"/>
        </w:rPr>
        <w:t xml:space="preserve">who </w:t>
      </w:r>
      <w:r w:rsidR="008D37DF" w:rsidRPr="00CD303F">
        <w:rPr>
          <w:rFonts w:ascii="Times New Roman" w:hAnsi="Times New Roman" w:cs="Times New Roman"/>
          <w:sz w:val="24"/>
          <w:szCs w:val="24"/>
        </w:rPr>
        <w:t>had ordered such cruelties to be carried out,</w:t>
      </w:r>
      <w:r w:rsidR="000E70B9" w:rsidRPr="00CD303F">
        <w:rPr>
          <w:rFonts w:ascii="Times New Roman" w:hAnsi="Times New Roman" w:cs="Times New Roman"/>
          <w:sz w:val="24"/>
          <w:szCs w:val="24"/>
        </w:rPr>
        <w:t xml:space="preserve"> </w:t>
      </w:r>
      <w:r w:rsidR="00824707" w:rsidRPr="00CD303F">
        <w:rPr>
          <w:rFonts w:ascii="Times New Roman" w:hAnsi="Times New Roman" w:cs="Times New Roman"/>
          <w:sz w:val="24"/>
          <w:szCs w:val="24"/>
        </w:rPr>
        <w:t xml:space="preserve">would have been </w:t>
      </w:r>
      <w:r w:rsidR="00A302BC" w:rsidRPr="00CD303F">
        <w:rPr>
          <w:rFonts w:ascii="Times New Roman" w:hAnsi="Times New Roman" w:cs="Times New Roman"/>
          <w:sz w:val="24"/>
          <w:szCs w:val="24"/>
        </w:rPr>
        <w:t>likewise subject</w:t>
      </w:r>
      <w:r w:rsidR="00824707" w:rsidRPr="00CD303F">
        <w:rPr>
          <w:rFonts w:ascii="Times New Roman" w:hAnsi="Times New Roman" w:cs="Times New Roman"/>
          <w:sz w:val="24"/>
          <w:szCs w:val="24"/>
        </w:rPr>
        <w:t xml:space="preserve"> to capital punishment for such a “barbarous mu</w:t>
      </w:r>
      <w:r w:rsidR="00E407F4" w:rsidRPr="00CD303F">
        <w:rPr>
          <w:rFonts w:ascii="Times New Roman" w:hAnsi="Times New Roman" w:cs="Times New Roman"/>
          <w:sz w:val="24"/>
          <w:szCs w:val="24"/>
        </w:rPr>
        <w:t>r</w:t>
      </w:r>
      <w:r w:rsidR="00824707" w:rsidRPr="00CD303F">
        <w:rPr>
          <w:rFonts w:ascii="Times New Roman" w:hAnsi="Times New Roman" w:cs="Times New Roman"/>
          <w:sz w:val="24"/>
          <w:szCs w:val="24"/>
        </w:rPr>
        <w:t>der”</w:t>
      </w:r>
      <w:r w:rsidR="000E70B9" w:rsidRPr="00CD303F">
        <w:rPr>
          <w:rFonts w:ascii="Times New Roman" w:hAnsi="Times New Roman" w:cs="Times New Roman"/>
          <w:sz w:val="24"/>
          <w:szCs w:val="24"/>
        </w:rPr>
        <w:t xml:space="preserve"> had he not recently died</w:t>
      </w:r>
      <w:r w:rsidR="003A0CAC" w:rsidRPr="00CD303F">
        <w:rPr>
          <w:rFonts w:ascii="Times New Roman" w:hAnsi="Times New Roman" w:cs="Times New Roman"/>
          <w:sz w:val="24"/>
          <w:szCs w:val="24"/>
        </w:rPr>
        <w:t>)</w:t>
      </w:r>
      <w:r w:rsidR="00824707" w:rsidRPr="00CD303F">
        <w:rPr>
          <w:rFonts w:ascii="Times New Roman" w:hAnsi="Times New Roman" w:cs="Times New Roman"/>
          <w:sz w:val="24"/>
          <w:szCs w:val="24"/>
        </w:rPr>
        <w:t>.</w:t>
      </w:r>
      <w:r w:rsidR="00534556" w:rsidRPr="00CD303F">
        <w:rPr>
          <w:rStyle w:val="FootnoteReference"/>
          <w:rFonts w:ascii="Times New Roman" w:hAnsi="Times New Roman" w:cs="Times New Roman"/>
          <w:sz w:val="24"/>
          <w:szCs w:val="24"/>
        </w:rPr>
        <w:footnoteReference w:id="60"/>
      </w:r>
      <w:r w:rsidR="00ED703C" w:rsidRPr="00CD303F">
        <w:rPr>
          <w:rFonts w:ascii="Times New Roman" w:hAnsi="Times New Roman" w:cs="Times New Roman"/>
          <w:sz w:val="24"/>
          <w:szCs w:val="24"/>
        </w:rPr>
        <w:t xml:space="preserve"> </w:t>
      </w:r>
      <w:r w:rsidR="00B61578" w:rsidRPr="00CD303F">
        <w:rPr>
          <w:rFonts w:ascii="Times New Roman" w:hAnsi="Times New Roman" w:cs="Times New Roman"/>
          <w:bCs/>
          <w:sz w:val="24"/>
          <w:szCs w:val="24"/>
        </w:rPr>
        <w:t>Such punishments were made possible by the passage of regulations to prohibit the enactment of torture by the police.</w:t>
      </w:r>
      <w:r w:rsidR="00843ADE" w:rsidRPr="00CD303F">
        <w:rPr>
          <w:rStyle w:val="FootnoteReference"/>
          <w:rFonts w:ascii="Times New Roman" w:hAnsi="Times New Roman" w:cs="Times New Roman"/>
          <w:bCs/>
          <w:sz w:val="24"/>
          <w:szCs w:val="24"/>
        </w:rPr>
        <w:footnoteReference w:id="61"/>
      </w:r>
      <w:r w:rsidR="00B61578" w:rsidRPr="00CD303F">
        <w:rPr>
          <w:rFonts w:ascii="Times New Roman" w:hAnsi="Times New Roman" w:cs="Times New Roman"/>
          <w:bCs/>
          <w:sz w:val="24"/>
          <w:szCs w:val="24"/>
        </w:rPr>
        <w:t xml:space="preserve"> </w:t>
      </w:r>
      <w:r w:rsidR="006428AC" w:rsidRPr="00CD303F">
        <w:rPr>
          <w:rFonts w:ascii="Times New Roman" w:hAnsi="Times New Roman" w:cs="Times New Roman"/>
          <w:bCs/>
          <w:sz w:val="24"/>
          <w:szCs w:val="24"/>
        </w:rPr>
        <w:t xml:space="preserve">As </w:t>
      </w:r>
      <w:r w:rsidR="006806BC" w:rsidRPr="00CD303F">
        <w:rPr>
          <w:rFonts w:ascii="Times New Roman" w:hAnsi="Times New Roman" w:cs="Times New Roman"/>
          <w:bCs/>
          <w:sz w:val="24"/>
          <w:szCs w:val="24"/>
        </w:rPr>
        <w:t xml:space="preserve">the Board </w:t>
      </w:r>
      <w:r w:rsidR="006428AC" w:rsidRPr="00CD303F">
        <w:rPr>
          <w:rFonts w:ascii="Times New Roman" w:hAnsi="Times New Roman" w:cs="Times New Roman"/>
          <w:bCs/>
          <w:sz w:val="24"/>
          <w:szCs w:val="24"/>
        </w:rPr>
        <w:t>repeatedly observed,</w:t>
      </w:r>
      <w:r w:rsidR="006806BC" w:rsidRPr="00CD303F">
        <w:rPr>
          <w:rFonts w:ascii="Times New Roman" w:hAnsi="Times New Roman" w:cs="Times New Roman"/>
          <w:bCs/>
          <w:sz w:val="24"/>
          <w:szCs w:val="24"/>
        </w:rPr>
        <w:t xml:space="preserve"> in light of “the prevalence among Native Office</w:t>
      </w:r>
      <w:r w:rsidR="00B96E1C" w:rsidRPr="00CD303F">
        <w:rPr>
          <w:rFonts w:ascii="Times New Roman" w:hAnsi="Times New Roman" w:cs="Times New Roman"/>
          <w:bCs/>
          <w:sz w:val="24"/>
          <w:szCs w:val="24"/>
        </w:rPr>
        <w:t>rs</w:t>
      </w:r>
      <w:r w:rsidR="006806BC" w:rsidRPr="00CD303F">
        <w:rPr>
          <w:rFonts w:ascii="Times New Roman" w:hAnsi="Times New Roman" w:cs="Times New Roman"/>
          <w:bCs/>
          <w:sz w:val="24"/>
          <w:szCs w:val="24"/>
        </w:rPr>
        <w:t xml:space="preserve"> of Police of the ‘most atrocious practices’ for obtaining confessions” – practices that had led to “cruel torture” (</w:t>
      </w:r>
      <w:r w:rsidR="00AD5506" w:rsidRPr="00CD303F">
        <w:rPr>
          <w:rFonts w:ascii="Times New Roman" w:hAnsi="Times New Roman" w:cs="Times New Roman"/>
          <w:bCs/>
          <w:sz w:val="24"/>
          <w:szCs w:val="24"/>
        </w:rPr>
        <w:t>“</w:t>
      </w:r>
      <w:r w:rsidR="006806BC" w:rsidRPr="00CD303F">
        <w:rPr>
          <w:rFonts w:ascii="Times New Roman" w:hAnsi="Times New Roman" w:cs="Times New Roman"/>
          <w:bCs/>
          <w:sz w:val="24"/>
          <w:szCs w:val="24"/>
        </w:rPr>
        <w:t>in some instances such as to produce death”</w:t>
      </w:r>
      <w:r w:rsidR="00381337" w:rsidRPr="00CD303F">
        <w:rPr>
          <w:rFonts w:ascii="Times New Roman" w:hAnsi="Times New Roman" w:cs="Times New Roman"/>
          <w:bCs/>
          <w:sz w:val="24"/>
          <w:szCs w:val="24"/>
        </w:rPr>
        <w:t>)</w:t>
      </w:r>
      <w:r w:rsidR="006806BC" w:rsidRPr="00CD303F">
        <w:rPr>
          <w:rFonts w:ascii="Times New Roman" w:hAnsi="Times New Roman" w:cs="Times New Roman"/>
          <w:bCs/>
          <w:sz w:val="24"/>
          <w:szCs w:val="24"/>
        </w:rPr>
        <w:t xml:space="preserve"> – it was “strongly impressed with the necessity of imposing every practiced check upon the Native Police Officers . . .”</w:t>
      </w:r>
      <w:r w:rsidR="002E4B23" w:rsidRPr="00CD303F">
        <w:rPr>
          <w:rStyle w:val="FootnoteReference"/>
          <w:rFonts w:ascii="Times New Roman" w:hAnsi="Times New Roman" w:cs="Times New Roman"/>
          <w:bCs/>
          <w:sz w:val="24"/>
          <w:szCs w:val="24"/>
        </w:rPr>
        <w:footnoteReference w:id="62"/>
      </w:r>
      <w:r w:rsidR="00F63140" w:rsidRPr="00CD303F">
        <w:rPr>
          <w:rFonts w:ascii="Times New Roman" w:hAnsi="Times New Roman" w:cs="Times New Roman"/>
          <w:bCs/>
          <w:sz w:val="24"/>
          <w:szCs w:val="24"/>
        </w:rPr>
        <w:t xml:space="preserve"> </w:t>
      </w:r>
    </w:p>
    <w:p w:rsidR="00487798" w:rsidRPr="00CD303F" w:rsidRDefault="00381337" w:rsidP="00381337">
      <w:pPr>
        <w:spacing w:line="480" w:lineRule="auto"/>
        <w:ind w:firstLine="720"/>
        <w:rPr>
          <w:rFonts w:ascii="Times New Roman" w:hAnsi="Times New Roman" w:cs="Times New Roman"/>
          <w:bCs/>
          <w:sz w:val="24"/>
          <w:szCs w:val="24"/>
        </w:rPr>
      </w:pPr>
      <w:r w:rsidRPr="00CD303F">
        <w:rPr>
          <w:rFonts w:ascii="Times New Roman" w:hAnsi="Times New Roman" w:cs="Times New Roman"/>
          <w:bCs/>
          <w:sz w:val="24"/>
          <w:szCs w:val="24"/>
        </w:rPr>
        <w:t>According to Foucault, law operates differently depending on the structures of power within which it is entwined. Such orders and sentiments reveal, I would argue, the ways in which law came to operate in colonial India as a “field through which techniques of governance can intervene in the disciplinary network”</w:t>
      </w:r>
      <w:r w:rsidR="00EB6611" w:rsidRPr="00CD303F">
        <w:rPr>
          <w:rFonts w:ascii="Times New Roman" w:hAnsi="Times New Roman" w:cs="Times New Roman"/>
          <w:bCs/>
          <w:sz w:val="24"/>
          <w:szCs w:val="24"/>
        </w:rPr>
        <w:t xml:space="preserve"> – of, in other words, the growing centrality of governmental power to Company rule</w:t>
      </w:r>
      <w:r w:rsidRPr="00CD303F">
        <w:rPr>
          <w:rFonts w:ascii="Times New Roman" w:hAnsi="Times New Roman" w:cs="Times New Roman"/>
          <w:bCs/>
          <w:sz w:val="24"/>
          <w:szCs w:val="24"/>
        </w:rPr>
        <w:t>.</w:t>
      </w:r>
      <w:r w:rsidRPr="00CD303F">
        <w:rPr>
          <w:rStyle w:val="FootnoteReference"/>
          <w:rFonts w:ascii="Times New Roman" w:hAnsi="Times New Roman" w:cs="Times New Roman"/>
          <w:bCs/>
          <w:sz w:val="24"/>
          <w:szCs w:val="24"/>
        </w:rPr>
        <w:footnoteReference w:id="63"/>
      </w:r>
      <w:r w:rsidRPr="00CD303F">
        <w:rPr>
          <w:rFonts w:ascii="Times New Roman" w:hAnsi="Times New Roman" w:cs="Times New Roman"/>
          <w:bCs/>
          <w:sz w:val="24"/>
          <w:szCs w:val="24"/>
        </w:rPr>
        <w:t xml:space="preserve"> </w:t>
      </w:r>
      <w:r w:rsidR="00E10453" w:rsidRPr="00CD303F">
        <w:rPr>
          <w:rFonts w:ascii="Times New Roman" w:hAnsi="Times New Roman" w:cs="Times New Roman"/>
          <w:bCs/>
          <w:sz w:val="24"/>
          <w:szCs w:val="24"/>
        </w:rPr>
        <w:t xml:space="preserve">But concerns about the Company’s sovereignty, rather than pastoral concerns about the welfare of the Company’s subjects, </w:t>
      </w:r>
      <w:r w:rsidR="00795677" w:rsidRPr="00CD303F">
        <w:rPr>
          <w:rFonts w:ascii="Times New Roman" w:hAnsi="Times New Roman" w:cs="Times New Roman"/>
          <w:bCs/>
          <w:sz w:val="24"/>
          <w:szCs w:val="24"/>
        </w:rPr>
        <w:t>were the principal motives behind such seemingly welfarist policies</w:t>
      </w:r>
      <w:r w:rsidR="0070708A" w:rsidRPr="00CD303F">
        <w:rPr>
          <w:rFonts w:ascii="Times New Roman" w:hAnsi="Times New Roman" w:cs="Times New Roman"/>
          <w:bCs/>
          <w:sz w:val="24"/>
          <w:szCs w:val="24"/>
        </w:rPr>
        <w:t xml:space="preserve">. As the </w:t>
      </w:r>
      <w:r w:rsidR="00553705" w:rsidRPr="00CD303F">
        <w:rPr>
          <w:rFonts w:ascii="Times New Roman" w:hAnsi="Times New Roman" w:cs="Times New Roman"/>
          <w:bCs/>
          <w:color w:val="252525"/>
          <w:sz w:val="24"/>
          <w:szCs w:val="24"/>
          <w:shd w:val="clear" w:color="auto" w:fill="FFFFFF"/>
        </w:rPr>
        <w:t>Ṣadr Faujdari ʿAdālat</w:t>
      </w:r>
      <w:r w:rsidR="0070708A" w:rsidRPr="00CD303F">
        <w:rPr>
          <w:rFonts w:ascii="Times New Roman" w:hAnsi="Times New Roman" w:cs="Times New Roman"/>
          <w:bCs/>
          <w:color w:val="252525"/>
          <w:sz w:val="24"/>
          <w:szCs w:val="24"/>
          <w:shd w:val="clear" w:color="auto" w:fill="FFFFFF"/>
        </w:rPr>
        <w:t xml:space="preserve"> judges </w:t>
      </w:r>
      <w:r w:rsidR="00C1382C" w:rsidRPr="00CD303F">
        <w:rPr>
          <w:rFonts w:ascii="Times New Roman" w:hAnsi="Times New Roman" w:cs="Times New Roman"/>
          <w:bCs/>
          <w:color w:val="252525"/>
          <w:sz w:val="24"/>
          <w:szCs w:val="24"/>
          <w:shd w:val="clear" w:color="auto" w:fill="FFFFFF"/>
        </w:rPr>
        <w:t>frequently remarked</w:t>
      </w:r>
      <w:r w:rsidR="0070708A" w:rsidRPr="00CD303F">
        <w:rPr>
          <w:rFonts w:ascii="Times New Roman" w:hAnsi="Times New Roman" w:cs="Times New Roman"/>
          <w:bCs/>
          <w:color w:val="252525"/>
          <w:sz w:val="24"/>
          <w:szCs w:val="24"/>
          <w:shd w:val="clear" w:color="auto" w:fill="FFFFFF"/>
        </w:rPr>
        <w:t xml:space="preserve">, </w:t>
      </w:r>
      <w:r w:rsidR="001F516D" w:rsidRPr="00CD303F">
        <w:rPr>
          <w:rFonts w:ascii="Times New Roman" w:hAnsi="Times New Roman" w:cs="Times New Roman"/>
          <w:bCs/>
          <w:color w:val="252525"/>
          <w:sz w:val="24"/>
          <w:szCs w:val="24"/>
          <w:shd w:val="clear" w:color="auto" w:fill="FFFFFF"/>
        </w:rPr>
        <w:t>the use of torture to extract confessions was “calculated utterly to subvert the administration of criminal justice” and to “disgrace the established system of judicial procedure”.</w:t>
      </w:r>
      <w:r w:rsidR="001F516D" w:rsidRPr="00CD303F">
        <w:rPr>
          <w:rStyle w:val="FootnoteReference"/>
          <w:rFonts w:ascii="Times New Roman" w:hAnsi="Times New Roman" w:cs="Times New Roman"/>
          <w:bCs/>
          <w:color w:val="252525"/>
          <w:sz w:val="24"/>
          <w:szCs w:val="24"/>
          <w:shd w:val="clear" w:color="auto" w:fill="FFFFFF"/>
        </w:rPr>
        <w:footnoteReference w:id="64"/>
      </w:r>
      <w:r w:rsidR="001F516D" w:rsidRPr="00CD303F">
        <w:rPr>
          <w:rFonts w:ascii="Times New Roman" w:hAnsi="Times New Roman" w:cs="Times New Roman"/>
          <w:bCs/>
          <w:color w:val="252525"/>
          <w:sz w:val="24"/>
          <w:szCs w:val="24"/>
          <w:shd w:val="clear" w:color="auto" w:fill="FFFFFF"/>
        </w:rPr>
        <w:t xml:space="preserve"> The chief crime of Indian subordinates such as the errant Peishcar was </w:t>
      </w:r>
      <w:r w:rsidR="001F516D" w:rsidRPr="00CD303F">
        <w:rPr>
          <w:rFonts w:ascii="Times New Roman" w:hAnsi="Times New Roman" w:cs="Times New Roman"/>
          <w:bCs/>
          <w:color w:val="252525"/>
          <w:sz w:val="24"/>
          <w:szCs w:val="24"/>
          <w:shd w:val="clear" w:color="auto" w:fill="FFFFFF"/>
        </w:rPr>
        <w:lastRenderedPageBreak/>
        <w:t>not, therefore, their infliction of suffering, but that they so “atrociously outraged” the law</w:t>
      </w:r>
      <w:r w:rsidR="00527CE4" w:rsidRPr="00CD303F">
        <w:rPr>
          <w:rFonts w:ascii="Times New Roman" w:hAnsi="Times New Roman" w:cs="Times New Roman"/>
          <w:bCs/>
          <w:color w:val="252525"/>
          <w:sz w:val="24"/>
          <w:szCs w:val="24"/>
          <w:shd w:val="clear" w:color="auto" w:fill="FFFFFF"/>
        </w:rPr>
        <w:t xml:space="preserve"> (a sure sign, as Walter Benjamin argues, that “law’s interest in a monopoly of </w:t>
      </w:r>
      <w:r w:rsidR="00527CE4" w:rsidRPr="00CD303F">
        <w:rPr>
          <w:rFonts w:ascii="Times New Roman" w:hAnsi="Times New Roman" w:cs="Times New Roman"/>
          <w:bCs/>
          <w:sz w:val="24"/>
          <w:szCs w:val="24"/>
        </w:rPr>
        <w:t>violence vis-à-vis individuals is not explained by the intention of preserving legal ends but, rather, by that of preserving the law itself”)</w:t>
      </w:r>
      <w:r w:rsidR="001F516D" w:rsidRPr="00CD303F">
        <w:rPr>
          <w:rFonts w:ascii="Times New Roman" w:hAnsi="Times New Roman" w:cs="Times New Roman"/>
          <w:bCs/>
          <w:color w:val="252525"/>
          <w:sz w:val="24"/>
          <w:szCs w:val="24"/>
          <w:shd w:val="clear" w:color="auto" w:fill="FFFFFF"/>
        </w:rPr>
        <w:t>.</w:t>
      </w:r>
      <w:r w:rsidR="001F516D" w:rsidRPr="00CD303F">
        <w:rPr>
          <w:rStyle w:val="FootnoteReference"/>
          <w:rFonts w:ascii="Times New Roman" w:hAnsi="Times New Roman" w:cs="Times New Roman"/>
          <w:bCs/>
          <w:color w:val="252525"/>
          <w:sz w:val="24"/>
          <w:szCs w:val="24"/>
          <w:shd w:val="clear" w:color="auto" w:fill="FFFFFF"/>
        </w:rPr>
        <w:footnoteReference w:id="65"/>
      </w:r>
      <w:r w:rsidR="00740B28" w:rsidRPr="00CD303F">
        <w:rPr>
          <w:rFonts w:ascii="Times New Roman" w:hAnsi="Times New Roman" w:cs="Times New Roman"/>
          <w:bCs/>
          <w:color w:val="252525"/>
          <w:sz w:val="24"/>
          <w:szCs w:val="24"/>
          <w:shd w:val="clear" w:color="auto" w:fill="FFFFFF"/>
        </w:rPr>
        <w:t xml:space="preserve"> </w:t>
      </w:r>
      <w:r w:rsidR="00EF40BC" w:rsidRPr="00CD303F">
        <w:rPr>
          <w:rFonts w:ascii="Times New Roman" w:hAnsi="Times New Roman" w:cs="Times New Roman"/>
          <w:bCs/>
          <w:color w:val="252525"/>
          <w:sz w:val="24"/>
          <w:szCs w:val="24"/>
          <w:shd w:val="clear" w:color="auto" w:fill="FFFFFF"/>
        </w:rPr>
        <w:t>European official</w:t>
      </w:r>
      <w:r w:rsidR="00894F39" w:rsidRPr="00CD303F">
        <w:rPr>
          <w:rFonts w:ascii="Times New Roman" w:hAnsi="Times New Roman" w:cs="Times New Roman"/>
          <w:bCs/>
          <w:color w:val="252525"/>
          <w:sz w:val="24"/>
          <w:szCs w:val="24"/>
          <w:shd w:val="clear" w:color="auto" w:fill="FFFFFF"/>
        </w:rPr>
        <w:t>s</w:t>
      </w:r>
      <w:r w:rsidR="00EF40BC" w:rsidRPr="00CD303F">
        <w:rPr>
          <w:rFonts w:ascii="Times New Roman" w:hAnsi="Times New Roman" w:cs="Times New Roman"/>
          <w:bCs/>
          <w:color w:val="252525"/>
          <w:sz w:val="24"/>
          <w:szCs w:val="24"/>
          <w:shd w:val="clear" w:color="auto" w:fill="FFFFFF"/>
        </w:rPr>
        <w:t xml:space="preserve"> who resorted to the use of torture </w:t>
      </w:r>
      <w:r w:rsidR="0026434B" w:rsidRPr="00CD303F">
        <w:rPr>
          <w:rFonts w:ascii="Times New Roman" w:hAnsi="Times New Roman" w:cs="Times New Roman"/>
          <w:bCs/>
          <w:color w:val="252525"/>
          <w:sz w:val="24"/>
          <w:szCs w:val="24"/>
          <w:shd w:val="clear" w:color="auto" w:fill="FFFFFF"/>
        </w:rPr>
        <w:t>to extract confessions</w:t>
      </w:r>
      <w:r w:rsidR="00894F39" w:rsidRPr="00CD303F">
        <w:rPr>
          <w:rFonts w:ascii="Times New Roman" w:hAnsi="Times New Roman" w:cs="Times New Roman"/>
          <w:bCs/>
          <w:color w:val="252525"/>
          <w:sz w:val="24"/>
          <w:szCs w:val="24"/>
          <w:shd w:val="clear" w:color="auto" w:fill="FFFFFF"/>
        </w:rPr>
        <w:t xml:space="preserve"> therefore revealed that they</w:t>
      </w:r>
      <w:r w:rsidR="00EF40BC" w:rsidRPr="00CD303F">
        <w:rPr>
          <w:rFonts w:ascii="Times New Roman" w:hAnsi="Times New Roman" w:cs="Times New Roman"/>
          <w:bCs/>
          <w:color w:val="252525"/>
          <w:sz w:val="24"/>
          <w:szCs w:val="24"/>
          <w:shd w:val="clear" w:color="auto" w:fill="FFFFFF"/>
        </w:rPr>
        <w:t xml:space="preserve"> did “not possess the qualif</w:t>
      </w:r>
      <w:r w:rsidR="00894F39" w:rsidRPr="00CD303F">
        <w:rPr>
          <w:rFonts w:ascii="Times New Roman" w:hAnsi="Times New Roman" w:cs="Times New Roman"/>
          <w:bCs/>
          <w:color w:val="252525"/>
          <w:sz w:val="24"/>
          <w:szCs w:val="24"/>
          <w:shd w:val="clear" w:color="auto" w:fill="FFFFFF"/>
        </w:rPr>
        <w:t>ications necessary to enable [them]</w:t>
      </w:r>
      <w:r w:rsidR="00EF40BC" w:rsidRPr="00CD303F">
        <w:rPr>
          <w:rFonts w:ascii="Times New Roman" w:hAnsi="Times New Roman" w:cs="Times New Roman"/>
          <w:bCs/>
          <w:color w:val="252525"/>
          <w:sz w:val="24"/>
          <w:szCs w:val="24"/>
          <w:shd w:val="clear" w:color="auto" w:fill="FFFFFF"/>
        </w:rPr>
        <w:t xml:space="preserve"> to command the respect and willing obedience of the funct</w:t>
      </w:r>
      <w:r w:rsidR="00894F39" w:rsidRPr="00CD303F">
        <w:rPr>
          <w:rFonts w:ascii="Times New Roman" w:hAnsi="Times New Roman" w:cs="Times New Roman"/>
          <w:bCs/>
          <w:color w:val="252525"/>
          <w:sz w:val="24"/>
          <w:szCs w:val="24"/>
          <w:shd w:val="clear" w:color="auto" w:fill="FFFFFF"/>
        </w:rPr>
        <w:t>ionaries whom it devolved on [them]</w:t>
      </w:r>
      <w:r w:rsidR="00EF40BC" w:rsidRPr="00CD303F">
        <w:rPr>
          <w:rFonts w:ascii="Times New Roman" w:hAnsi="Times New Roman" w:cs="Times New Roman"/>
          <w:bCs/>
          <w:color w:val="252525"/>
          <w:sz w:val="24"/>
          <w:szCs w:val="24"/>
          <w:shd w:val="clear" w:color="auto" w:fill="FFFFFF"/>
        </w:rPr>
        <w:t xml:space="preserve"> to direct and control”, </w:t>
      </w:r>
      <w:r w:rsidR="0026434B" w:rsidRPr="00CD303F">
        <w:rPr>
          <w:rFonts w:ascii="Times New Roman" w:hAnsi="Times New Roman" w:cs="Times New Roman"/>
          <w:bCs/>
          <w:color w:val="252525"/>
          <w:sz w:val="24"/>
          <w:szCs w:val="24"/>
          <w:shd w:val="clear" w:color="auto" w:fill="FFFFFF"/>
        </w:rPr>
        <w:t>and hence could not</w:t>
      </w:r>
      <w:r w:rsidR="00350F58" w:rsidRPr="00CD303F">
        <w:rPr>
          <w:rFonts w:ascii="Times New Roman" w:hAnsi="Times New Roman" w:cs="Times New Roman"/>
          <w:bCs/>
          <w:color w:val="252525"/>
          <w:sz w:val="24"/>
          <w:szCs w:val="24"/>
          <w:shd w:val="clear" w:color="auto" w:fill="FFFFFF"/>
        </w:rPr>
        <w:t xml:space="preserve"> be </w:t>
      </w:r>
      <w:r w:rsidR="00EF40BC" w:rsidRPr="00CD303F">
        <w:rPr>
          <w:rFonts w:ascii="Times New Roman" w:hAnsi="Times New Roman" w:cs="Times New Roman"/>
          <w:bCs/>
          <w:color w:val="252525"/>
          <w:sz w:val="24"/>
          <w:szCs w:val="24"/>
          <w:shd w:val="clear" w:color="auto" w:fill="FFFFFF"/>
        </w:rPr>
        <w:t>effective administrator</w:t>
      </w:r>
      <w:r w:rsidR="00350F58" w:rsidRPr="00CD303F">
        <w:rPr>
          <w:rFonts w:ascii="Times New Roman" w:hAnsi="Times New Roman" w:cs="Times New Roman"/>
          <w:bCs/>
          <w:color w:val="252525"/>
          <w:sz w:val="24"/>
          <w:szCs w:val="24"/>
          <w:shd w:val="clear" w:color="auto" w:fill="FFFFFF"/>
        </w:rPr>
        <w:t>s</w:t>
      </w:r>
      <w:r w:rsidR="00EF40BC" w:rsidRPr="00CD303F">
        <w:rPr>
          <w:rFonts w:ascii="Times New Roman" w:hAnsi="Times New Roman" w:cs="Times New Roman"/>
          <w:bCs/>
          <w:color w:val="252525"/>
          <w:sz w:val="24"/>
          <w:szCs w:val="24"/>
          <w:shd w:val="clear" w:color="auto" w:fill="FFFFFF"/>
        </w:rPr>
        <w:t>.</w:t>
      </w:r>
      <w:r w:rsidR="00EF40BC" w:rsidRPr="00CD303F">
        <w:rPr>
          <w:rStyle w:val="FootnoteReference"/>
          <w:rFonts w:ascii="Times New Roman" w:hAnsi="Times New Roman" w:cs="Times New Roman"/>
          <w:bCs/>
          <w:color w:val="252525"/>
          <w:sz w:val="24"/>
          <w:szCs w:val="24"/>
          <w:shd w:val="clear" w:color="auto" w:fill="FFFFFF"/>
        </w:rPr>
        <w:footnoteReference w:id="66"/>
      </w:r>
      <w:r w:rsidR="009F5285" w:rsidRPr="00CD303F">
        <w:rPr>
          <w:rFonts w:ascii="Times New Roman" w:hAnsi="Times New Roman" w:cs="Times New Roman"/>
          <w:bCs/>
          <w:color w:val="252525"/>
          <w:sz w:val="24"/>
          <w:szCs w:val="24"/>
          <w:shd w:val="clear" w:color="auto" w:fill="FFFFFF"/>
        </w:rPr>
        <w:t xml:space="preserve"> </w:t>
      </w:r>
      <w:r w:rsidR="003F6508" w:rsidRPr="00CD303F">
        <w:rPr>
          <w:rFonts w:ascii="Times New Roman" w:hAnsi="Times New Roman" w:cs="Times New Roman"/>
          <w:bCs/>
          <w:color w:val="252525"/>
          <w:sz w:val="24"/>
          <w:szCs w:val="24"/>
          <w:shd w:val="clear" w:color="auto" w:fill="FFFFFF"/>
        </w:rPr>
        <w:t>The regime was unable, therefore, to hide its auth</w:t>
      </w:r>
      <w:r w:rsidR="00945C70" w:rsidRPr="00CD303F">
        <w:rPr>
          <w:rFonts w:ascii="Times New Roman" w:hAnsi="Times New Roman" w:cs="Times New Roman"/>
          <w:bCs/>
          <w:color w:val="252525"/>
          <w:sz w:val="24"/>
          <w:szCs w:val="24"/>
          <w:shd w:val="clear" w:color="auto" w:fill="FFFFFF"/>
        </w:rPr>
        <w:t>oritarian and extractive nature – or the fact tha</w:t>
      </w:r>
      <w:r w:rsidR="002349E2" w:rsidRPr="00CD303F">
        <w:rPr>
          <w:rFonts w:ascii="Times New Roman" w:hAnsi="Times New Roman" w:cs="Times New Roman"/>
          <w:bCs/>
          <w:color w:val="252525"/>
          <w:sz w:val="24"/>
          <w:szCs w:val="24"/>
          <w:shd w:val="clear" w:color="auto" w:fill="FFFFFF"/>
        </w:rPr>
        <w:t>t it was engaged in what Benjamin terms “lawmaking violence” in colonial India, the sole purpose of which was to guarantee its power</w:t>
      </w:r>
      <w:r w:rsidR="009128D2" w:rsidRPr="00CD303F">
        <w:rPr>
          <w:rFonts w:ascii="Times New Roman" w:hAnsi="Times New Roman" w:cs="Times New Roman"/>
          <w:bCs/>
          <w:color w:val="252525"/>
          <w:sz w:val="24"/>
          <w:szCs w:val="24"/>
          <w:shd w:val="clear" w:color="auto" w:fill="FFFFFF"/>
        </w:rPr>
        <w:t>.</w:t>
      </w:r>
      <w:r w:rsidR="00527CE4" w:rsidRPr="00CD303F">
        <w:rPr>
          <w:rStyle w:val="FootnoteReference"/>
          <w:rFonts w:ascii="Times New Roman" w:hAnsi="Times New Roman" w:cs="Times New Roman"/>
          <w:bCs/>
          <w:color w:val="252525"/>
          <w:sz w:val="24"/>
          <w:szCs w:val="24"/>
          <w:shd w:val="clear" w:color="auto" w:fill="FFFFFF"/>
        </w:rPr>
        <w:footnoteReference w:id="67"/>
      </w:r>
    </w:p>
    <w:p w:rsidR="00350F58" w:rsidRPr="00CD303F" w:rsidRDefault="00350F58" w:rsidP="00350F58">
      <w:pPr>
        <w:spacing w:line="480" w:lineRule="auto"/>
        <w:rPr>
          <w:rFonts w:ascii="Times New Roman" w:hAnsi="Times New Roman" w:cs="Times New Roman"/>
          <w:b/>
          <w:bCs/>
          <w:color w:val="252525"/>
          <w:sz w:val="24"/>
          <w:szCs w:val="24"/>
          <w:shd w:val="clear" w:color="auto" w:fill="FFFFFF"/>
        </w:rPr>
      </w:pPr>
    </w:p>
    <w:p w:rsidR="00350F58" w:rsidRPr="00CD303F" w:rsidRDefault="009470BF" w:rsidP="00350F58">
      <w:pPr>
        <w:spacing w:line="480" w:lineRule="auto"/>
        <w:rPr>
          <w:rFonts w:ascii="Times New Roman" w:hAnsi="Times New Roman" w:cs="Times New Roman"/>
          <w:b/>
          <w:bCs/>
          <w:color w:val="252525"/>
          <w:sz w:val="24"/>
          <w:szCs w:val="24"/>
          <w:shd w:val="clear" w:color="auto" w:fill="FFFFFF"/>
        </w:rPr>
      </w:pPr>
      <w:r w:rsidRPr="00CD303F">
        <w:rPr>
          <w:rFonts w:ascii="Times New Roman" w:hAnsi="Times New Roman" w:cs="Times New Roman"/>
          <w:b/>
          <w:bCs/>
          <w:color w:val="252525"/>
          <w:sz w:val="24"/>
          <w:szCs w:val="24"/>
          <w:shd w:val="clear" w:color="auto" w:fill="FFFFFF"/>
        </w:rPr>
        <w:t xml:space="preserve">Torture, </w:t>
      </w:r>
      <w:r w:rsidR="00DD49F4" w:rsidRPr="00CD303F">
        <w:rPr>
          <w:rFonts w:ascii="Times New Roman" w:hAnsi="Times New Roman" w:cs="Times New Roman"/>
          <w:b/>
          <w:bCs/>
          <w:color w:val="252525"/>
          <w:sz w:val="24"/>
          <w:szCs w:val="24"/>
          <w:shd w:val="clear" w:color="auto" w:fill="FFFFFF"/>
        </w:rPr>
        <w:t>Sovereignty and Necropolitics</w:t>
      </w:r>
    </w:p>
    <w:p w:rsidR="00350F58" w:rsidRPr="00CD303F" w:rsidRDefault="00350F58" w:rsidP="00350F58">
      <w:pPr>
        <w:spacing w:line="480" w:lineRule="auto"/>
        <w:rPr>
          <w:rFonts w:ascii="Times New Roman" w:hAnsi="Times New Roman" w:cs="Times New Roman"/>
          <w:b/>
          <w:sz w:val="24"/>
          <w:szCs w:val="24"/>
        </w:rPr>
      </w:pPr>
    </w:p>
    <w:p w:rsidR="00C47B29" w:rsidRPr="00CD303F" w:rsidRDefault="00E455C5" w:rsidP="00D24AC9">
      <w:pPr>
        <w:spacing w:line="480" w:lineRule="auto"/>
        <w:ind w:firstLine="720"/>
        <w:rPr>
          <w:rFonts w:ascii="Times New Roman" w:hAnsi="Times New Roman" w:cs="Times New Roman"/>
          <w:bCs/>
          <w:sz w:val="24"/>
          <w:szCs w:val="24"/>
        </w:rPr>
      </w:pPr>
      <w:r w:rsidRPr="00CD303F">
        <w:rPr>
          <w:rFonts w:ascii="Times New Roman" w:hAnsi="Times New Roman" w:cs="Times New Roman"/>
          <w:bCs/>
          <w:sz w:val="24"/>
          <w:szCs w:val="24"/>
        </w:rPr>
        <w:t xml:space="preserve">The </w:t>
      </w:r>
      <w:r w:rsidR="00477AE5" w:rsidRPr="00CD303F">
        <w:rPr>
          <w:rFonts w:ascii="Times New Roman" w:hAnsi="Times New Roman" w:cs="Times New Roman"/>
          <w:bCs/>
          <w:sz w:val="24"/>
          <w:szCs w:val="24"/>
        </w:rPr>
        <w:t xml:space="preserve">Madras </w:t>
      </w:r>
      <w:r w:rsidRPr="00CD303F">
        <w:rPr>
          <w:rFonts w:ascii="Times New Roman" w:hAnsi="Times New Roman" w:cs="Times New Roman"/>
          <w:bCs/>
          <w:sz w:val="24"/>
          <w:szCs w:val="24"/>
        </w:rPr>
        <w:t xml:space="preserve">Torture Commission </w:t>
      </w:r>
      <w:r w:rsidR="00774F36">
        <w:rPr>
          <w:rFonts w:ascii="Times New Roman" w:hAnsi="Times New Roman" w:cs="Times New Roman"/>
          <w:bCs/>
          <w:sz w:val="24"/>
          <w:szCs w:val="24"/>
        </w:rPr>
        <w:t xml:space="preserve">lays bare the shift that had taken place over the first half of the nineteenth century in </w:t>
      </w:r>
      <w:r w:rsidR="003E3E78" w:rsidRPr="00CD303F">
        <w:rPr>
          <w:rFonts w:ascii="Times New Roman" w:hAnsi="Times New Roman" w:cs="Times New Roman"/>
          <w:bCs/>
          <w:sz w:val="24"/>
          <w:szCs w:val="24"/>
        </w:rPr>
        <w:t>both British attitudes towards torture</w:t>
      </w:r>
      <w:r w:rsidRPr="00CD303F">
        <w:rPr>
          <w:rFonts w:ascii="Times New Roman" w:hAnsi="Times New Roman" w:cs="Times New Roman"/>
          <w:bCs/>
          <w:sz w:val="24"/>
          <w:szCs w:val="24"/>
        </w:rPr>
        <w:t xml:space="preserve"> </w:t>
      </w:r>
      <w:r w:rsidR="003E3E78" w:rsidRPr="00CD303F">
        <w:rPr>
          <w:rFonts w:ascii="Times New Roman" w:hAnsi="Times New Roman" w:cs="Times New Roman"/>
          <w:bCs/>
          <w:sz w:val="24"/>
          <w:szCs w:val="24"/>
        </w:rPr>
        <w:t xml:space="preserve">and the operation of colonial power – </w:t>
      </w:r>
      <w:r w:rsidR="00A16DD9">
        <w:rPr>
          <w:rFonts w:ascii="Times New Roman" w:hAnsi="Times New Roman" w:cs="Times New Roman"/>
          <w:bCs/>
          <w:sz w:val="24"/>
          <w:szCs w:val="24"/>
        </w:rPr>
        <w:t xml:space="preserve">namely of a gradual </w:t>
      </w:r>
      <w:r w:rsidRPr="00CD303F">
        <w:rPr>
          <w:rFonts w:ascii="Times New Roman" w:hAnsi="Times New Roman" w:cs="Times New Roman"/>
          <w:bCs/>
          <w:sz w:val="24"/>
          <w:szCs w:val="24"/>
        </w:rPr>
        <w:t>abandonment of pasto</w:t>
      </w:r>
      <w:r w:rsidR="002046B4" w:rsidRPr="00CD303F">
        <w:rPr>
          <w:rFonts w:ascii="Times New Roman" w:hAnsi="Times New Roman" w:cs="Times New Roman"/>
          <w:bCs/>
          <w:sz w:val="24"/>
          <w:szCs w:val="24"/>
        </w:rPr>
        <w:t>ral power and the emergence of necro</w:t>
      </w:r>
      <w:r w:rsidRPr="00CD303F">
        <w:rPr>
          <w:rFonts w:ascii="Times New Roman" w:hAnsi="Times New Roman" w:cs="Times New Roman"/>
          <w:bCs/>
          <w:sz w:val="24"/>
          <w:szCs w:val="24"/>
        </w:rPr>
        <w:t xml:space="preserve">politics. </w:t>
      </w:r>
      <w:r w:rsidR="00141531" w:rsidRPr="00CD303F">
        <w:rPr>
          <w:rFonts w:ascii="Times New Roman" w:hAnsi="Times New Roman" w:cs="Times New Roman"/>
          <w:bCs/>
          <w:sz w:val="24"/>
          <w:szCs w:val="24"/>
        </w:rPr>
        <w:t xml:space="preserve">The </w:t>
      </w:r>
      <w:r w:rsidR="006004BE" w:rsidRPr="00CD303F">
        <w:rPr>
          <w:rFonts w:ascii="Times New Roman" w:hAnsi="Times New Roman" w:cs="Times New Roman"/>
          <w:bCs/>
          <w:sz w:val="24"/>
          <w:szCs w:val="24"/>
        </w:rPr>
        <w:t>Commission arose</w:t>
      </w:r>
      <w:r w:rsidR="00141531" w:rsidRPr="00CD303F">
        <w:rPr>
          <w:rFonts w:ascii="Times New Roman" w:hAnsi="Times New Roman" w:cs="Times New Roman"/>
          <w:bCs/>
          <w:sz w:val="24"/>
          <w:szCs w:val="24"/>
        </w:rPr>
        <w:t xml:space="preserve"> from </w:t>
      </w:r>
      <w:r w:rsidR="00F93638" w:rsidRPr="00CD303F">
        <w:rPr>
          <w:rFonts w:ascii="Times New Roman" w:hAnsi="Times New Roman" w:cs="Times New Roman"/>
          <w:bCs/>
          <w:sz w:val="24"/>
          <w:szCs w:val="24"/>
        </w:rPr>
        <w:t>pressures exerted by Parliament regarding</w:t>
      </w:r>
      <w:r w:rsidR="00141531" w:rsidRPr="00CD303F">
        <w:rPr>
          <w:rFonts w:ascii="Times New Roman" w:hAnsi="Times New Roman" w:cs="Times New Roman"/>
          <w:bCs/>
          <w:sz w:val="24"/>
          <w:szCs w:val="24"/>
        </w:rPr>
        <w:t xml:space="preserve"> the use of torture in extracting </w:t>
      </w:r>
      <w:r w:rsidR="0080706C" w:rsidRPr="00CD303F">
        <w:rPr>
          <w:rFonts w:ascii="Times New Roman" w:hAnsi="Times New Roman" w:cs="Times New Roman"/>
          <w:bCs/>
          <w:sz w:val="24"/>
          <w:szCs w:val="24"/>
        </w:rPr>
        <w:t>high</w:t>
      </w:r>
      <w:r w:rsidR="0079367C" w:rsidRPr="00CD303F">
        <w:rPr>
          <w:rFonts w:ascii="Times New Roman" w:hAnsi="Times New Roman" w:cs="Times New Roman"/>
          <w:bCs/>
          <w:sz w:val="24"/>
          <w:szCs w:val="24"/>
        </w:rPr>
        <w:t xml:space="preserve"> </w:t>
      </w:r>
      <w:r w:rsidR="00141531" w:rsidRPr="00CD303F">
        <w:rPr>
          <w:rFonts w:ascii="Times New Roman" w:hAnsi="Times New Roman" w:cs="Times New Roman"/>
          <w:bCs/>
          <w:sz w:val="24"/>
          <w:szCs w:val="24"/>
        </w:rPr>
        <w:t>revenue</w:t>
      </w:r>
      <w:r w:rsidR="0080706C" w:rsidRPr="00CD303F">
        <w:rPr>
          <w:rFonts w:ascii="Times New Roman" w:hAnsi="Times New Roman" w:cs="Times New Roman"/>
          <w:bCs/>
          <w:sz w:val="24"/>
          <w:szCs w:val="24"/>
        </w:rPr>
        <w:t>s</w:t>
      </w:r>
      <w:r w:rsidR="00141531" w:rsidRPr="00CD303F">
        <w:rPr>
          <w:rFonts w:ascii="Times New Roman" w:hAnsi="Times New Roman" w:cs="Times New Roman"/>
          <w:bCs/>
          <w:sz w:val="24"/>
          <w:szCs w:val="24"/>
        </w:rPr>
        <w:t xml:space="preserve"> in the Madras presidency, accusations which</w:t>
      </w:r>
      <w:r w:rsidR="00F34F44" w:rsidRPr="00CD303F">
        <w:rPr>
          <w:rFonts w:ascii="Times New Roman" w:hAnsi="Times New Roman" w:cs="Times New Roman"/>
          <w:bCs/>
          <w:sz w:val="24"/>
          <w:szCs w:val="24"/>
        </w:rPr>
        <w:t xml:space="preserve"> laid bare the nature of Company sovereignty and </w:t>
      </w:r>
      <w:r w:rsidR="00F10378" w:rsidRPr="00CD303F">
        <w:rPr>
          <w:rFonts w:ascii="Times New Roman" w:hAnsi="Times New Roman" w:cs="Times New Roman"/>
          <w:bCs/>
          <w:sz w:val="24"/>
          <w:szCs w:val="24"/>
        </w:rPr>
        <w:t xml:space="preserve">exposed </w:t>
      </w:r>
      <w:r w:rsidR="00926552" w:rsidRPr="00CD303F">
        <w:rPr>
          <w:rFonts w:ascii="Times New Roman" w:hAnsi="Times New Roman" w:cs="Times New Roman"/>
          <w:bCs/>
          <w:sz w:val="24"/>
          <w:szCs w:val="24"/>
        </w:rPr>
        <w:t>its supremacy as a form of power</w:t>
      </w:r>
      <w:r w:rsidR="00F10378" w:rsidRPr="00CD303F">
        <w:rPr>
          <w:rFonts w:ascii="Times New Roman" w:hAnsi="Times New Roman" w:cs="Times New Roman"/>
          <w:bCs/>
          <w:sz w:val="24"/>
          <w:szCs w:val="24"/>
        </w:rPr>
        <w:t xml:space="preserve"> over</w:t>
      </w:r>
      <w:r w:rsidR="00497C4D" w:rsidRPr="00CD303F">
        <w:rPr>
          <w:rFonts w:ascii="Times New Roman" w:hAnsi="Times New Roman" w:cs="Times New Roman"/>
          <w:bCs/>
          <w:sz w:val="24"/>
          <w:szCs w:val="24"/>
        </w:rPr>
        <w:t xml:space="preserve"> colonial governmentality.</w:t>
      </w:r>
      <w:r w:rsidR="006004BE" w:rsidRPr="00CD303F">
        <w:rPr>
          <w:rFonts w:ascii="Times New Roman" w:hAnsi="Times New Roman" w:cs="Times New Roman"/>
          <w:bCs/>
          <w:sz w:val="24"/>
          <w:szCs w:val="24"/>
        </w:rPr>
        <w:t xml:space="preserve"> </w:t>
      </w:r>
      <w:r w:rsidR="00F36060" w:rsidRPr="00CD303F">
        <w:rPr>
          <w:rFonts w:ascii="Times New Roman" w:hAnsi="Times New Roman" w:cs="Times New Roman"/>
          <w:bCs/>
          <w:sz w:val="24"/>
          <w:szCs w:val="24"/>
        </w:rPr>
        <w:t xml:space="preserve">For while the </w:t>
      </w:r>
      <w:r w:rsidR="00D24AC9">
        <w:rPr>
          <w:rFonts w:ascii="Times New Roman" w:hAnsi="Times New Roman" w:cs="Times New Roman"/>
          <w:bCs/>
          <w:sz w:val="24"/>
          <w:szCs w:val="24"/>
        </w:rPr>
        <w:t>report of the C</w:t>
      </w:r>
      <w:r w:rsidR="00F36060" w:rsidRPr="00CD303F">
        <w:rPr>
          <w:rFonts w:ascii="Times New Roman" w:hAnsi="Times New Roman" w:cs="Times New Roman"/>
          <w:bCs/>
          <w:sz w:val="24"/>
          <w:szCs w:val="24"/>
        </w:rPr>
        <w:t>ommission</w:t>
      </w:r>
      <w:r w:rsidR="004058EA" w:rsidRPr="00CD303F">
        <w:rPr>
          <w:rFonts w:ascii="Times New Roman" w:hAnsi="Times New Roman" w:cs="Times New Roman"/>
          <w:bCs/>
          <w:sz w:val="24"/>
          <w:szCs w:val="24"/>
        </w:rPr>
        <w:t xml:space="preserve"> concurred that</w:t>
      </w:r>
      <w:r w:rsidR="00657E46" w:rsidRPr="00CD303F">
        <w:rPr>
          <w:rFonts w:ascii="Times New Roman" w:hAnsi="Times New Roman" w:cs="Times New Roman"/>
          <w:bCs/>
          <w:sz w:val="24"/>
          <w:szCs w:val="24"/>
        </w:rPr>
        <w:t xml:space="preserve"> that the practice of torture was ubiquitous in both the collection of revenue and </w:t>
      </w:r>
      <w:r w:rsidR="009409C1" w:rsidRPr="00CD303F">
        <w:rPr>
          <w:rFonts w:ascii="Times New Roman" w:hAnsi="Times New Roman" w:cs="Times New Roman"/>
          <w:bCs/>
          <w:sz w:val="24"/>
          <w:szCs w:val="24"/>
        </w:rPr>
        <w:t xml:space="preserve">in </w:t>
      </w:r>
      <w:r w:rsidR="00657E46" w:rsidRPr="00CD303F">
        <w:rPr>
          <w:rFonts w:ascii="Times New Roman" w:hAnsi="Times New Roman" w:cs="Times New Roman"/>
          <w:bCs/>
          <w:sz w:val="24"/>
          <w:szCs w:val="24"/>
        </w:rPr>
        <w:t xml:space="preserve">policing in Madras, </w:t>
      </w:r>
      <w:r w:rsidR="00F36060" w:rsidRPr="00CD303F">
        <w:rPr>
          <w:rFonts w:ascii="Times New Roman" w:hAnsi="Times New Roman" w:cs="Times New Roman"/>
          <w:bCs/>
          <w:sz w:val="24"/>
          <w:szCs w:val="24"/>
        </w:rPr>
        <w:lastRenderedPageBreak/>
        <w:t>and insisted that there was an “urgent necessity” to provide “protection to the people against public officers. . .”,</w:t>
      </w:r>
      <w:r w:rsidR="00DA3FC3" w:rsidRPr="00CD303F">
        <w:rPr>
          <w:rFonts w:ascii="Times New Roman" w:hAnsi="Times New Roman" w:cs="Times New Roman"/>
          <w:sz w:val="24"/>
          <w:szCs w:val="24"/>
        </w:rPr>
        <w:t xml:space="preserve"> </w:t>
      </w:r>
      <w:r w:rsidR="00657E46" w:rsidRPr="00CD303F">
        <w:rPr>
          <w:rFonts w:ascii="Times New Roman" w:hAnsi="Times New Roman" w:cs="Times New Roman"/>
          <w:bCs/>
          <w:sz w:val="24"/>
          <w:szCs w:val="24"/>
        </w:rPr>
        <w:t>it rebuffed claims that the colonial regime was responsible for such systematic violence</w:t>
      </w:r>
      <w:r w:rsidR="008B1928" w:rsidRPr="00CD303F">
        <w:rPr>
          <w:rFonts w:ascii="Times New Roman" w:hAnsi="Times New Roman" w:cs="Times New Roman"/>
          <w:bCs/>
          <w:sz w:val="24"/>
          <w:szCs w:val="24"/>
        </w:rPr>
        <w:t>.</w:t>
      </w:r>
      <w:r w:rsidR="0080706C" w:rsidRPr="00CD303F">
        <w:rPr>
          <w:rStyle w:val="FootnoteReference"/>
          <w:rFonts w:ascii="Times New Roman" w:hAnsi="Times New Roman" w:cs="Times New Roman"/>
          <w:sz w:val="24"/>
          <w:szCs w:val="24"/>
        </w:rPr>
        <w:footnoteReference w:id="68"/>
      </w:r>
      <w:r w:rsidR="003A2C22" w:rsidRPr="00CD303F">
        <w:rPr>
          <w:rFonts w:ascii="Times New Roman" w:hAnsi="Times New Roman" w:cs="Times New Roman"/>
          <w:bCs/>
          <w:sz w:val="24"/>
          <w:szCs w:val="24"/>
        </w:rPr>
        <w:t xml:space="preserve"> </w:t>
      </w:r>
      <w:r w:rsidR="00626EB5" w:rsidRPr="00CD303F">
        <w:rPr>
          <w:rFonts w:ascii="Times New Roman" w:hAnsi="Times New Roman" w:cs="Times New Roman"/>
          <w:bCs/>
          <w:sz w:val="24"/>
          <w:szCs w:val="24"/>
        </w:rPr>
        <w:t>The blame instead lay with</w:t>
      </w:r>
      <w:r w:rsidR="003A2C22" w:rsidRPr="00CD303F">
        <w:rPr>
          <w:rFonts w:ascii="Times New Roman" w:hAnsi="Times New Roman" w:cs="Times New Roman"/>
          <w:bCs/>
          <w:sz w:val="24"/>
          <w:szCs w:val="24"/>
        </w:rPr>
        <w:t xml:space="preserve"> “Governments immediately </w:t>
      </w:r>
      <w:r w:rsidR="0080706C" w:rsidRPr="00CD303F">
        <w:rPr>
          <w:rFonts w:ascii="Times New Roman" w:hAnsi="Times New Roman" w:cs="Times New Roman"/>
          <w:bCs/>
          <w:sz w:val="24"/>
          <w:szCs w:val="24"/>
        </w:rPr>
        <w:t>preceding</w:t>
      </w:r>
      <w:r w:rsidR="003A2C22" w:rsidRPr="00CD303F">
        <w:rPr>
          <w:rFonts w:ascii="Times New Roman" w:hAnsi="Times New Roman" w:cs="Times New Roman"/>
          <w:bCs/>
          <w:sz w:val="24"/>
          <w:szCs w:val="24"/>
        </w:rPr>
        <w:t xml:space="preserve"> our own</w:t>
      </w:r>
      <w:r w:rsidR="008B1928" w:rsidRPr="00CD303F">
        <w:rPr>
          <w:rFonts w:ascii="Times New Roman" w:hAnsi="Times New Roman" w:cs="Times New Roman"/>
          <w:bCs/>
          <w:sz w:val="24"/>
          <w:szCs w:val="24"/>
        </w:rPr>
        <w:t xml:space="preserve"> . . .” and</w:t>
      </w:r>
      <w:r w:rsidR="004E4F4B" w:rsidRPr="00CD303F">
        <w:rPr>
          <w:rFonts w:ascii="Times New Roman" w:hAnsi="Times New Roman" w:cs="Times New Roman"/>
          <w:bCs/>
          <w:sz w:val="24"/>
          <w:szCs w:val="24"/>
        </w:rPr>
        <w:t xml:space="preserve"> those pesky “’habits of t</w:t>
      </w:r>
      <w:r w:rsidR="0080706C" w:rsidRPr="00CD303F">
        <w:rPr>
          <w:rFonts w:ascii="Times New Roman" w:hAnsi="Times New Roman" w:cs="Times New Roman"/>
          <w:bCs/>
          <w:sz w:val="24"/>
          <w:szCs w:val="24"/>
        </w:rPr>
        <w:t>he people themselves . . .’”</w:t>
      </w:r>
      <w:r w:rsidR="00D51C37" w:rsidRPr="00CD303F">
        <w:rPr>
          <w:rFonts w:ascii="Times New Roman" w:hAnsi="Times New Roman" w:cs="Times New Roman"/>
          <w:bCs/>
          <w:sz w:val="24"/>
          <w:szCs w:val="24"/>
        </w:rPr>
        <w:t xml:space="preserve"> (</w:t>
      </w:r>
      <w:r w:rsidR="00D51C37" w:rsidRPr="00CD303F">
        <w:rPr>
          <w:rFonts w:ascii="Times New Roman" w:hAnsi="Times New Roman" w:cs="Times New Roman"/>
          <w:sz w:val="24"/>
          <w:szCs w:val="24"/>
        </w:rPr>
        <w:t>since</w:t>
      </w:r>
      <w:r w:rsidR="0014218A" w:rsidRPr="00CD303F">
        <w:rPr>
          <w:rFonts w:ascii="Times New Roman" w:hAnsi="Times New Roman" w:cs="Times New Roman"/>
          <w:sz w:val="24"/>
          <w:szCs w:val="24"/>
        </w:rPr>
        <w:t xml:space="preserve"> as one Collector and Magistrate informed the Commission,</w:t>
      </w:r>
      <w:r w:rsidR="00D51C37" w:rsidRPr="00CD303F">
        <w:rPr>
          <w:rFonts w:ascii="Times New Roman" w:hAnsi="Times New Roman" w:cs="Times New Roman"/>
          <w:sz w:val="24"/>
          <w:szCs w:val="24"/>
        </w:rPr>
        <w:t xml:space="preserve"> it was “’impossible that a people should live for ages under despotic government without becoming degraded</w:t>
      </w:r>
      <w:r w:rsidR="0080706C" w:rsidRPr="00CD303F">
        <w:rPr>
          <w:rFonts w:ascii="Times New Roman" w:hAnsi="Times New Roman" w:cs="Times New Roman"/>
          <w:sz w:val="24"/>
          <w:szCs w:val="24"/>
        </w:rPr>
        <w:t>’”</w:t>
      </w:r>
      <w:r w:rsidR="0014218A" w:rsidRPr="00CD303F">
        <w:rPr>
          <w:rFonts w:ascii="Times New Roman" w:hAnsi="Times New Roman" w:cs="Times New Roman"/>
          <w:sz w:val="24"/>
          <w:szCs w:val="24"/>
        </w:rPr>
        <w:t>)</w:t>
      </w:r>
      <w:r w:rsidR="004E4F4B" w:rsidRPr="00CD303F">
        <w:rPr>
          <w:rFonts w:ascii="Times New Roman" w:hAnsi="Times New Roman" w:cs="Times New Roman"/>
          <w:bCs/>
          <w:sz w:val="24"/>
          <w:szCs w:val="24"/>
        </w:rPr>
        <w:t>.</w:t>
      </w:r>
      <w:r w:rsidR="00774F36">
        <w:rPr>
          <w:rStyle w:val="FootnoteReference"/>
          <w:rFonts w:ascii="Times New Roman" w:hAnsi="Times New Roman" w:cs="Times New Roman"/>
          <w:bCs/>
          <w:sz w:val="24"/>
          <w:szCs w:val="24"/>
        </w:rPr>
        <w:footnoteReference w:id="69"/>
      </w:r>
      <w:r w:rsidR="00922EE1" w:rsidRPr="00CD303F">
        <w:rPr>
          <w:rFonts w:ascii="Times New Roman" w:hAnsi="Times New Roman" w:cs="Times New Roman"/>
          <w:bCs/>
          <w:sz w:val="24"/>
          <w:szCs w:val="24"/>
        </w:rPr>
        <w:t xml:space="preserve"> </w:t>
      </w:r>
      <w:r w:rsidR="0097043D" w:rsidRPr="00CD303F">
        <w:rPr>
          <w:rFonts w:ascii="Times New Roman" w:hAnsi="Times New Roman" w:cs="Times New Roman"/>
          <w:bCs/>
          <w:sz w:val="24"/>
          <w:szCs w:val="24"/>
        </w:rPr>
        <w:t>Moreover</w:t>
      </w:r>
      <w:r w:rsidR="00875CCC" w:rsidRPr="00CD303F">
        <w:rPr>
          <w:rFonts w:ascii="Times New Roman" w:hAnsi="Times New Roman" w:cs="Times New Roman"/>
          <w:bCs/>
          <w:sz w:val="24"/>
          <w:szCs w:val="24"/>
        </w:rPr>
        <w:t xml:space="preserve">, although </w:t>
      </w:r>
      <w:r w:rsidR="00D24AC9">
        <w:rPr>
          <w:rFonts w:ascii="Times New Roman" w:hAnsi="Times New Roman" w:cs="Times New Roman"/>
          <w:bCs/>
          <w:sz w:val="24"/>
          <w:szCs w:val="24"/>
        </w:rPr>
        <w:t>“</w:t>
      </w:r>
      <w:r w:rsidR="00D24AC9">
        <w:rPr>
          <w:rFonts w:ascii="Times New Roman" w:hAnsi="Times New Roman" w:cs="Times New Roman"/>
          <w:sz w:val="24"/>
          <w:szCs w:val="24"/>
        </w:rPr>
        <w:t xml:space="preserve">Of the 109 officials queried [by the Commission] seventy-nine responded that torture was occurring . . . thirty were non-committal . . . [and] none denied the charges”, the Commission’s report </w:t>
      </w:r>
      <w:r w:rsidR="00875CCC" w:rsidRPr="00CD303F">
        <w:rPr>
          <w:rFonts w:ascii="Times New Roman" w:hAnsi="Times New Roman" w:cs="Times New Roman"/>
          <w:bCs/>
          <w:sz w:val="24"/>
          <w:szCs w:val="24"/>
        </w:rPr>
        <w:t>insisted that</w:t>
      </w:r>
      <w:r w:rsidR="00FB053A" w:rsidRPr="00CD303F">
        <w:rPr>
          <w:rFonts w:ascii="Times New Roman" w:hAnsi="Times New Roman" w:cs="Times New Roman"/>
          <w:bCs/>
          <w:sz w:val="24"/>
          <w:szCs w:val="24"/>
        </w:rPr>
        <w:t xml:space="preserve">, rather than being to blame for such violence, the British were </w:t>
      </w:r>
      <w:r w:rsidR="00AA75D0" w:rsidRPr="00CD303F">
        <w:rPr>
          <w:rFonts w:ascii="Times New Roman" w:hAnsi="Times New Roman" w:cs="Times New Roman"/>
          <w:bCs/>
          <w:sz w:val="24"/>
          <w:szCs w:val="24"/>
        </w:rPr>
        <w:t>largel</w:t>
      </w:r>
      <w:r w:rsidR="00332A8E" w:rsidRPr="00CD303F">
        <w:rPr>
          <w:rFonts w:ascii="Times New Roman" w:hAnsi="Times New Roman" w:cs="Times New Roman"/>
          <w:bCs/>
          <w:sz w:val="24"/>
          <w:szCs w:val="24"/>
        </w:rPr>
        <w:t>y</w:t>
      </w:r>
      <w:r w:rsidR="001B1F43" w:rsidRPr="00CD303F">
        <w:rPr>
          <w:rFonts w:ascii="Times New Roman" w:hAnsi="Times New Roman" w:cs="Times New Roman"/>
          <w:bCs/>
          <w:sz w:val="24"/>
          <w:szCs w:val="24"/>
        </w:rPr>
        <w:t xml:space="preserve"> unaware of its existence</w:t>
      </w:r>
      <w:r w:rsidR="00AA75D0" w:rsidRPr="00CD303F">
        <w:rPr>
          <w:rFonts w:ascii="Times New Roman" w:hAnsi="Times New Roman" w:cs="Times New Roman"/>
          <w:bCs/>
          <w:sz w:val="24"/>
          <w:szCs w:val="24"/>
        </w:rPr>
        <w:t>.</w:t>
      </w:r>
      <w:r w:rsidR="00677282" w:rsidRPr="00CD303F">
        <w:rPr>
          <w:rStyle w:val="FootnoteReference"/>
          <w:rFonts w:ascii="Times New Roman" w:hAnsi="Times New Roman" w:cs="Times New Roman"/>
          <w:bCs/>
          <w:sz w:val="24"/>
          <w:szCs w:val="24"/>
        </w:rPr>
        <w:footnoteReference w:id="70"/>
      </w:r>
      <w:r w:rsidR="00970EA2" w:rsidRPr="00CD303F">
        <w:rPr>
          <w:rFonts w:ascii="Times New Roman" w:hAnsi="Times New Roman" w:cs="Times New Roman"/>
          <w:bCs/>
          <w:sz w:val="24"/>
          <w:szCs w:val="24"/>
        </w:rPr>
        <w:t xml:space="preserve"> </w:t>
      </w:r>
      <w:r w:rsidR="00FB053A" w:rsidRPr="00CD303F">
        <w:rPr>
          <w:rFonts w:ascii="Times New Roman" w:hAnsi="Times New Roman" w:cs="Times New Roman"/>
          <w:bCs/>
          <w:sz w:val="24"/>
          <w:szCs w:val="24"/>
        </w:rPr>
        <w:t xml:space="preserve">As one correspondent informed the Commission, this meant that </w:t>
      </w:r>
      <w:r w:rsidR="0097043D" w:rsidRPr="00CD303F">
        <w:rPr>
          <w:rFonts w:ascii="Times New Roman" w:hAnsi="Times New Roman" w:cs="Times New Roman"/>
          <w:bCs/>
          <w:sz w:val="24"/>
          <w:szCs w:val="24"/>
        </w:rPr>
        <w:t>“”</w:t>
      </w:r>
      <w:r w:rsidR="0097043D" w:rsidRPr="00CD303F">
        <w:rPr>
          <w:rFonts w:ascii="Times New Roman" w:hAnsi="Times New Roman" w:cs="Times New Roman"/>
          <w:sz w:val="24"/>
          <w:szCs w:val="24"/>
        </w:rPr>
        <w:t>the crying evil is bred and fostered by the people, and no system of Government can eradicate it</w:t>
      </w:r>
      <w:r w:rsidR="00045D72" w:rsidRPr="00CD303F">
        <w:rPr>
          <w:rFonts w:ascii="Times New Roman" w:hAnsi="Times New Roman" w:cs="Times New Roman"/>
          <w:sz w:val="24"/>
          <w:szCs w:val="24"/>
        </w:rPr>
        <w:t>’”</w:t>
      </w:r>
      <w:r w:rsidR="0097043D" w:rsidRPr="00CD303F">
        <w:rPr>
          <w:rFonts w:ascii="Times New Roman" w:hAnsi="Times New Roman" w:cs="Times New Roman"/>
          <w:sz w:val="24"/>
          <w:szCs w:val="24"/>
        </w:rPr>
        <w:t>.</w:t>
      </w:r>
      <w:r w:rsidR="00045D72" w:rsidRPr="00CD303F">
        <w:rPr>
          <w:rStyle w:val="FootnoteReference"/>
          <w:rFonts w:ascii="Times New Roman" w:hAnsi="Times New Roman" w:cs="Times New Roman"/>
          <w:sz w:val="24"/>
          <w:szCs w:val="24"/>
        </w:rPr>
        <w:footnoteReference w:id="71"/>
      </w:r>
    </w:p>
    <w:p w:rsidR="001D61DB" w:rsidRPr="00CD303F" w:rsidRDefault="009409C1" w:rsidP="0007125B">
      <w:pPr>
        <w:spacing w:line="480" w:lineRule="auto"/>
        <w:ind w:firstLine="720"/>
        <w:rPr>
          <w:rFonts w:ascii="Times New Roman" w:hAnsi="Times New Roman" w:cs="Times New Roman"/>
          <w:sz w:val="24"/>
          <w:szCs w:val="24"/>
        </w:rPr>
      </w:pPr>
      <w:r w:rsidRPr="00CD303F">
        <w:rPr>
          <w:rFonts w:ascii="Times New Roman" w:hAnsi="Times New Roman" w:cs="Times New Roman"/>
          <w:bCs/>
          <w:sz w:val="24"/>
          <w:szCs w:val="24"/>
        </w:rPr>
        <w:t xml:space="preserve">There were, to be sure, a few </w:t>
      </w:r>
      <w:r w:rsidR="00D31CD5" w:rsidRPr="00CD303F">
        <w:rPr>
          <w:rFonts w:ascii="Times New Roman" w:hAnsi="Times New Roman" w:cs="Times New Roman"/>
          <w:bCs/>
          <w:sz w:val="24"/>
          <w:szCs w:val="24"/>
        </w:rPr>
        <w:t>voices that expose</w:t>
      </w:r>
      <w:r w:rsidR="0097043D" w:rsidRPr="00CD303F">
        <w:rPr>
          <w:rFonts w:ascii="Times New Roman" w:hAnsi="Times New Roman" w:cs="Times New Roman"/>
          <w:bCs/>
          <w:sz w:val="24"/>
          <w:szCs w:val="24"/>
        </w:rPr>
        <w:t xml:space="preserve">d the colonial government’s reliance of sovereign over governmental power </w:t>
      </w:r>
      <w:r w:rsidR="0097512B" w:rsidRPr="00CD303F">
        <w:rPr>
          <w:rFonts w:ascii="Times New Roman" w:hAnsi="Times New Roman" w:cs="Times New Roman"/>
          <w:bCs/>
          <w:sz w:val="24"/>
          <w:szCs w:val="24"/>
        </w:rPr>
        <w:t>– that argued</w:t>
      </w:r>
      <w:r w:rsidR="0097043D" w:rsidRPr="00CD303F">
        <w:rPr>
          <w:rFonts w:ascii="Times New Roman" w:hAnsi="Times New Roman" w:cs="Times New Roman"/>
          <w:bCs/>
          <w:sz w:val="24"/>
          <w:szCs w:val="24"/>
        </w:rPr>
        <w:t>, for example,</w:t>
      </w:r>
      <w:r w:rsidR="0097512B" w:rsidRPr="00CD303F">
        <w:rPr>
          <w:rFonts w:ascii="Times New Roman" w:hAnsi="Times New Roman" w:cs="Times New Roman"/>
          <w:bCs/>
          <w:sz w:val="24"/>
          <w:szCs w:val="24"/>
        </w:rPr>
        <w:t xml:space="preserve"> </w:t>
      </w:r>
      <w:r w:rsidR="00C84860" w:rsidRPr="00CD303F">
        <w:rPr>
          <w:rFonts w:ascii="Times New Roman" w:hAnsi="Times New Roman" w:cs="Times New Roman"/>
          <w:bCs/>
          <w:sz w:val="24"/>
          <w:szCs w:val="24"/>
        </w:rPr>
        <w:t xml:space="preserve">that not only had the colonial regime “tacitly encouraged such a system” of violence, but that Indians themselves were well </w:t>
      </w:r>
      <w:r w:rsidR="005A41CF" w:rsidRPr="00CD303F">
        <w:rPr>
          <w:rFonts w:ascii="Times New Roman" w:hAnsi="Times New Roman" w:cs="Times New Roman"/>
          <w:bCs/>
          <w:sz w:val="24"/>
          <w:szCs w:val="24"/>
        </w:rPr>
        <w:t xml:space="preserve">aware </w:t>
      </w:r>
      <w:r w:rsidR="004B5FC1" w:rsidRPr="00CD303F">
        <w:rPr>
          <w:rFonts w:ascii="Times New Roman" w:hAnsi="Times New Roman" w:cs="Times New Roman"/>
          <w:bCs/>
          <w:sz w:val="24"/>
          <w:szCs w:val="24"/>
        </w:rPr>
        <w:t>that such violence “</w:t>
      </w:r>
      <w:r w:rsidRPr="00CD303F">
        <w:rPr>
          <w:rFonts w:ascii="Times New Roman" w:hAnsi="Times New Roman" w:cs="Times New Roman"/>
          <w:bCs/>
          <w:sz w:val="24"/>
          <w:szCs w:val="24"/>
        </w:rPr>
        <w:t xml:space="preserve">was at least </w:t>
      </w:r>
      <w:r w:rsidRPr="00CD303F">
        <w:rPr>
          <w:rFonts w:ascii="Times New Roman" w:hAnsi="Times New Roman" w:cs="Times New Roman"/>
          <w:bCs/>
          <w:i/>
          <w:sz w:val="24"/>
          <w:szCs w:val="24"/>
        </w:rPr>
        <w:t>connived</w:t>
      </w:r>
      <w:r w:rsidRPr="00CD303F">
        <w:rPr>
          <w:rFonts w:ascii="Times New Roman" w:hAnsi="Times New Roman" w:cs="Times New Roman"/>
          <w:bCs/>
          <w:sz w:val="24"/>
          <w:szCs w:val="24"/>
        </w:rPr>
        <w:t xml:space="preserve"> at by the Government and its </w:t>
      </w:r>
      <w:r w:rsidRPr="00CD303F">
        <w:rPr>
          <w:rFonts w:ascii="Times New Roman" w:hAnsi="Times New Roman" w:cs="Times New Roman"/>
          <w:bCs/>
          <w:sz w:val="24"/>
          <w:szCs w:val="24"/>
        </w:rPr>
        <w:lastRenderedPageBreak/>
        <w:t>Officers</w:t>
      </w:r>
      <w:r w:rsidR="00946731" w:rsidRPr="00CD303F">
        <w:rPr>
          <w:rFonts w:ascii="Times New Roman" w:hAnsi="Times New Roman" w:cs="Times New Roman"/>
          <w:bCs/>
          <w:sz w:val="24"/>
          <w:szCs w:val="24"/>
        </w:rPr>
        <w:t>”</w:t>
      </w:r>
      <w:r w:rsidR="00E87B51">
        <w:rPr>
          <w:rFonts w:ascii="Times New Roman" w:hAnsi="Times New Roman" w:cs="Times New Roman"/>
          <w:bCs/>
          <w:sz w:val="24"/>
          <w:szCs w:val="24"/>
        </w:rPr>
        <w:t xml:space="preserve"> (emphasis in original)</w:t>
      </w:r>
      <w:r w:rsidR="0097512B" w:rsidRPr="00CD303F">
        <w:rPr>
          <w:rFonts w:ascii="Times New Roman" w:hAnsi="Times New Roman" w:cs="Times New Roman"/>
          <w:bCs/>
          <w:sz w:val="24"/>
          <w:szCs w:val="24"/>
        </w:rPr>
        <w:t>, or that</w:t>
      </w:r>
      <w:r w:rsidR="00D54A11" w:rsidRPr="00CD303F">
        <w:rPr>
          <w:rFonts w:ascii="Times New Roman" w:hAnsi="Times New Roman" w:cs="Times New Roman"/>
          <w:bCs/>
          <w:sz w:val="24"/>
          <w:szCs w:val="24"/>
        </w:rPr>
        <w:t xml:space="preserve"> </w:t>
      </w:r>
      <w:r w:rsidR="00D03AA9" w:rsidRPr="00CD303F">
        <w:rPr>
          <w:rFonts w:ascii="Times New Roman" w:hAnsi="Times New Roman" w:cs="Times New Roman"/>
          <w:bCs/>
          <w:sz w:val="24"/>
          <w:szCs w:val="24"/>
        </w:rPr>
        <w:t xml:space="preserve">Indian officials were forced to resort to </w:t>
      </w:r>
      <w:r w:rsidR="00D54A11" w:rsidRPr="00CD303F">
        <w:rPr>
          <w:rFonts w:ascii="Times New Roman" w:hAnsi="Times New Roman" w:cs="Times New Roman"/>
          <w:bCs/>
          <w:sz w:val="24"/>
          <w:szCs w:val="24"/>
        </w:rPr>
        <w:t>torturing half-starved peasants</w:t>
      </w:r>
      <w:r w:rsidR="00D03AA9" w:rsidRPr="00CD303F">
        <w:rPr>
          <w:rFonts w:ascii="Times New Roman" w:hAnsi="Times New Roman" w:cs="Times New Roman"/>
          <w:bCs/>
          <w:sz w:val="24"/>
          <w:szCs w:val="24"/>
        </w:rPr>
        <w:t xml:space="preserve"> since “</w:t>
      </w:r>
      <w:r w:rsidR="0097512B" w:rsidRPr="00CD303F">
        <w:rPr>
          <w:rFonts w:ascii="Times New Roman" w:hAnsi="Times New Roman" w:cs="Times New Roman"/>
          <w:bCs/>
          <w:sz w:val="24"/>
          <w:szCs w:val="24"/>
        </w:rPr>
        <w:t>they are obliged to collect the Revenue on pain of severe punishment, and being without effective legal means they are driven to</w:t>
      </w:r>
      <w:r w:rsidR="000971A6" w:rsidRPr="00CD303F">
        <w:rPr>
          <w:rFonts w:ascii="Times New Roman" w:hAnsi="Times New Roman" w:cs="Times New Roman"/>
          <w:bCs/>
          <w:sz w:val="24"/>
          <w:szCs w:val="24"/>
        </w:rPr>
        <w:t xml:space="preserve"> the use of such as are illegal</w:t>
      </w:r>
      <w:r w:rsidR="0097512B" w:rsidRPr="00CD303F">
        <w:rPr>
          <w:rFonts w:ascii="Times New Roman" w:hAnsi="Times New Roman" w:cs="Times New Roman"/>
          <w:bCs/>
          <w:sz w:val="24"/>
          <w:szCs w:val="24"/>
        </w:rPr>
        <w:t>”</w:t>
      </w:r>
      <w:r w:rsidR="000971A6" w:rsidRPr="00CD303F">
        <w:rPr>
          <w:rFonts w:ascii="Times New Roman" w:hAnsi="Times New Roman" w:cs="Times New Roman"/>
          <w:bCs/>
          <w:sz w:val="24"/>
          <w:szCs w:val="24"/>
        </w:rPr>
        <w:t xml:space="preserve"> (they were, therefore, “’only discharging th</w:t>
      </w:r>
      <w:r w:rsidR="003E5A1A" w:rsidRPr="00CD303F">
        <w:rPr>
          <w:rFonts w:ascii="Times New Roman" w:hAnsi="Times New Roman" w:cs="Times New Roman"/>
          <w:bCs/>
          <w:sz w:val="24"/>
          <w:szCs w:val="24"/>
        </w:rPr>
        <w:t>eir duty to the Government’”</w:t>
      </w:r>
      <w:r w:rsidR="000971A6" w:rsidRPr="00CD303F">
        <w:rPr>
          <w:rFonts w:ascii="Times New Roman" w:hAnsi="Times New Roman" w:cs="Times New Roman"/>
          <w:bCs/>
          <w:sz w:val="24"/>
          <w:szCs w:val="24"/>
        </w:rPr>
        <w:t>)</w:t>
      </w:r>
      <w:r w:rsidR="001E1BD1" w:rsidRPr="00CD303F">
        <w:rPr>
          <w:rFonts w:ascii="Times New Roman" w:hAnsi="Times New Roman" w:cs="Times New Roman"/>
          <w:bCs/>
          <w:sz w:val="24"/>
          <w:szCs w:val="24"/>
        </w:rPr>
        <w:t>.</w:t>
      </w:r>
      <w:r w:rsidR="001E1BD1" w:rsidRPr="00CD303F">
        <w:rPr>
          <w:rStyle w:val="FootnoteReference"/>
          <w:rFonts w:ascii="Times New Roman" w:hAnsi="Times New Roman" w:cs="Times New Roman"/>
          <w:bCs/>
          <w:sz w:val="24"/>
          <w:szCs w:val="24"/>
        </w:rPr>
        <w:footnoteReference w:id="72"/>
      </w:r>
      <w:r w:rsidR="0097512B" w:rsidRPr="00CD303F">
        <w:rPr>
          <w:rFonts w:ascii="Times New Roman" w:hAnsi="Times New Roman" w:cs="Times New Roman"/>
          <w:bCs/>
          <w:sz w:val="24"/>
          <w:szCs w:val="24"/>
        </w:rPr>
        <w:t xml:space="preserve"> </w:t>
      </w:r>
      <w:r w:rsidR="004D63B2" w:rsidRPr="00CD303F">
        <w:rPr>
          <w:rFonts w:ascii="Times New Roman" w:hAnsi="Times New Roman" w:cs="Times New Roman"/>
          <w:sz w:val="24"/>
          <w:szCs w:val="24"/>
        </w:rPr>
        <w:t>But</w:t>
      </w:r>
      <w:r w:rsidR="004A0254" w:rsidRPr="00CD303F">
        <w:rPr>
          <w:rFonts w:ascii="Times New Roman" w:hAnsi="Times New Roman" w:cs="Times New Roman"/>
          <w:sz w:val="24"/>
          <w:szCs w:val="24"/>
        </w:rPr>
        <w:t xml:space="preserve"> since </w:t>
      </w:r>
      <w:r w:rsidR="00F36060" w:rsidRPr="00CD303F">
        <w:rPr>
          <w:rFonts w:ascii="Times New Roman" w:hAnsi="Times New Roman" w:cs="Times New Roman"/>
          <w:bCs/>
          <w:sz w:val="24"/>
          <w:szCs w:val="24"/>
        </w:rPr>
        <w:t>a</w:t>
      </w:r>
      <w:r w:rsidR="004A0254" w:rsidRPr="00CD303F">
        <w:rPr>
          <w:rFonts w:ascii="Times New Roman" w:hAnsi="Times New Roman" w:cs="Times New Roman"/>
          <w:bCs/>
          <w:sz w:val="24"/>
          <w:szCs w:val="24"/>
        </w:rPr>
        <w:t>n abiding concern</w:t>
      </w:r>
      <w:r w:rsidR="00B43AE0" w:rsidRPr="00CD303F">
        <w:rPr>
          <w:rFonts w:ascii="Times New Roman" w:hAnsi="Times New Roman" w:cs="Times New Roman"/>
          <w:bCs/>
          <w:sz w:val="24"/>
          <w:szCs w:val="24"/>
        </w:rPr>
        <w:t xml:space="preserve"> </w:t>
      </w:r>
      <w:r w:rsidR="004A0254" w:rsidRPr="00CD303F">
        <w:rPr>
          <w:rFonts w:ascii="Times New Roman" w:hAnsi="Times New Roman" w:cs="Times New Roman"/>
          <w:bCs/>
          <w:sz w:val="24"/>
          <w:szCs w:val="24"/>
        </w:rPr>
        <w:t>was that</w:t>
      </w:r>
      <w:r w:rsidR="00DA0060" w:rsidRPr="00CD303F">
        <w:rPr>
          <w:rFonts w:ascii="Times New Roman" w:hAnsi="Times New Roman" w:cs="Times New Roman"/>
          <w:bCs/>
          <w:sz w:val="24"/>
          <w:szCs w:val="24"/>
        </w:rPr>
        <w:t xml:space="preserve"> if the government was</w:t>
      </w:r>
      <w:r w:rsidR="00B43AE0" w:rsidRPr="00CD303F">
        <w:rPr>
          <w:rFonts w:ascii="Times New Roman" w:hAnsi="Times New Roman" w:cs="Times New Roman"/>
          <w:bCs/>
          <w:sz w:val="24"/>
          <w:szCs w:val="24"/>
        </w:rPr>
        <w:t xml:space="preserve"> to </w:t>
      </w:r>
      <w:r w:rsidR="00C14591" w:rsidRPr="00CD303F">
        <w:rPr>
          <w:rFonts w:ascii="Times New Roman" w:hAnsi="Times New Roman" w:cs="Times New Roman"/>
          <w:bCs/>
          <w:sz w:val="24"/>
          <w:szCs w:val="24"/>
        </w:rPr>
        <w:t>completely eradicate torture and “</w:t>
      </w:r>
      <w:r w:rsidR="004A0254" w:rsidRPr="00CD303F">
        <w:rPr>
          <w:rFonts w:ascii="Times New Roman" w:hAnsi="Times New Roman" w:cs="Times New Roman"/>
          <w:bCs/>
          <w:sz w:val="24"/>
          <w:szCs w:val="24"/>
        </w:rPr>
        <w:t>all other illegal methods of coercion”</w:t>
      </w:r>
      <w:r w:rsidR="00B43AE0" w:rsidRPr="00CD303F">
        <w:rPr>
          <w:rFonts w:ascii="Times New Roman" w:hAnsi="Times New Roman" w:cs="Times New Roman"/>
          <w:bCs/>
          <w:sz w:val="24"/>
          <w:szCs w:val="24"/>
        </w:rPr>
        <w:t xml:space="preserve"> this would have a severe impact on its revenue collection</w:t>
      </w:r>
      <w:r w:rsidR="00944C38" w:rsidRPr="00CD303F">
        <w:rPr>
          <w:rFonts w:ascii="Times New Roman" w:hAnsi="Times New Roman" w:cs="Times New Roman"/>
          <w:bCs/>
          <w:sz w:val="24"/>
          <w:szCs w:val="24"/>
        </w:rPr>
        <w:t xml:space="preserve"> (since</w:t>
      </w:r>
      <w:r w:rsidR="00C14591" w:rsidRPr="00CD303F">
        <w:rPr>
          <w:rFonts w:ascii="Times New Roman" w:hAnsi="Times New Roman" w:cs="Times New Roman"/>
          <w:bCs/>
          <w:sz w:val="24"/>
          <w:szCs w:val="24"/>
        </w:rPr>
        <w:t xml:space="preserve"> “</w:t>
      </w:r>
      <w:r w:rsidR="00C14591" w:rsidRPr="00CD303F">
        <w:rPr>
          <w:rFonts w:ascii="Times New Roman" w:hAnsi="Times New Roman" w:cs="Times New Roman"/>
          <w:sz w:val="24"/>
          <w:szCs w:val="24"/>
        </w:rPr>
        <w:t>such is the native character, that very often those able and ready to pay their dues will not do so unless some degree of force be resorted to”</w:t>
      </w:r>
      <w:r w:rsidR="00944C38" w:rsidRPr="00CD303F">
        <w:rPr>
          <w:rFonts w:ascii="Times New Roman" w:hAnsi="Times New Roman" w:cs="Times New Roman"/>
          <w:sz w:val="24"/>
          <w:szCs w:val="24"/>
        </w:rPr>
        <w:t>)</w:t>
      </w:r>
      <w:r w:rsidR="00B43AE0" w:rsidRPr="00CD303F">
        <w:rPr>
          <w:rFonts w:ascii="Times New Roman" w:hAnsi="Times New Roman" w:cs="Times New Roman"/>
          <w:bCs/>
          <w:sz w:val="24"/>
          <w:szCs w:val="24"/>
        </w:rPr>
        <w:t>, it was bel</w:t>
      </w:r>
      <w:r w:rsidR="006F4E95" w:rsidRPr="00CD303F">
        <w:rPr>
          <w:rFonts w:ascii="Times New Roman" w:hAnsi="Times New Roman" w:cs="Times New Roman"/>
          <w:bCs/>
          <w:sz w:val="24"/>
          <w:szCs w:val="24"/>
        </w:rPr>
        <w:t xml:space="preserve">ieved to behove the Government </w:t>
      </w:r>
      <w:r w:rsidR="007C689E" w:rsidRPr="00CD303F">
        <w:rPr>
          <w:rFonts w:ascii="Times New Roman" w:hAnsi="Times New Roman" w:cs="Times New Roman"/>
          <w:bCs/>
          <w:sz w:val="24"/>
          <w:szCs w:val="24"/>
        </w:rPr>
        <w:t>“</w:t>
      </w:r>
      <w:r w:rsidR="004A0254" w:rsidRPr="00CD303F">
        <w:rPr>
          <w:rFonts w:ascii="Times New Roman" w:hAnsi="Times New Roman" w:cs="Times New Roman"/>
          <w:bCs/>
          <w:sz w:val="24"/>
          <w:szCs w:val="24"/>
        </w:rPr>
        <w:t>to use every means in its power to prevent its just dues being evaded.”</w:t>
      </w:r>
      <w:r w:rsidR="00B43AE0" w:rsidRPr="00CD303F">
        <w:rPr>
          <w:rStyle w:val="FootnoteReference"/>
          <w:rFonts w:ascii="Times New Roman" w:hAnsi="Times New Roman" w:cs="Times New Roman"/>
          <w:bCs/>
          <w:sz w:val="24"/>
          <w:szCs w:val="24"/>
        </w:rPr>
        <w:footnoteReference w:id="73"/>
      </w:r>
      <w:r w:rsidR="004A0254" w:rsidRPr="00CD303F">
        <w:rPr>
          <w:rFonts w:ascii="Times New Roman" w:hAnsi="Times New Roman" w:cs="Times New Roman"/>
          <w:bCs/>
          <w:sz w:val="24"/>
          <w:szCs w:val="24"/>
        </w:rPr>
        <w:t xml:space="preserve"> </w:t>
      </w:r>
      <w:r w:rsidR="0007125B" w:rsidRPr="00CD303F">
        <w:rPr>
          <w:rFonts w:ascii="Times New Roman" w:hAnsi="Times New Roman" w:cs="Times New Roman"/>
          <w:bCs/>
          <w:sz w:val="24"/>
          <w:szCs w:val="24"/>
        </w:rPr>
        <w:t xml:space="preserve">The British could not, in other words, govern India, as </w:t>
      </w:r>
      <w:r w:rsidR="004F65D6" w:rsidRPr="00CD303F">
        <w:rPr>
          <w:rFonts w:ascii="Times New Roman" w:hAnsi="Times New Roman" w:cs="Times New Roman"/>
          <w:sz w:val="24"/>
          <w:szCs w:val="24"/>
        </w:rPr>
        <w:t xml:space="preserve">one sub-collector and honorary magistrate put it, </w:t>
      </w:r>
      <w:r w:rsidR="005C26C2" w:rsidRPr="00CD303F">
        <w:rPr>
          <w:rFonts w:ascii="Times New Roman" w:hAnsi="Times New Roman" w:cs="Times New Roman"/>
          <w:sz w:val="24"/>
          <w:szCs w:val="24"/>
        </w:rPr>
        <w:t>through “</w:t>
      </w:r>
      <w:r w:rsidR="00DD2A6F" w:rsidRPr="00CD303F">
        <w:rPr>
          <w:rFonts w:ascii="Times New Roman" w:hAnsi="Times New Roman" w:cs="Times New Roman"/>
          <w:sz w:val="24"/>
          <w:szCs w:val="24"/>
        </w:rPr>
        <w:t>’</w:t>
      </w:r>
      <w:r w:rsidR="005C26C2" w:rsidRPr="00CD303F">
        <w:rPr>
          <w:rFonts w:ascii="Times New Roman" w:hAnsi="Times New Roman" w:cs="Times New Roman"/>
          <w:sz w:val="24"/>
          <w:szCs w:val="24"/>
        </w:rPr>
        <w:t>unfailing kindness and consideration</w:t>
      </w:r>
      <w:r w:rsidR="00DD2A6F" w:rsidRPr="00CD303F">
        <w:rPr>
          <w:rFonts w:ascii="Times New Roman" w:hAnsi="Times New Roman" w:cs="Times New Roman"/>
          <w:sz w:val="24"/>
          <w:szCs w:val="24"/>
        </w:rPr>
        <w:t>’</w:t>
      </w:r>
      <w:r w:rsidR="005C26C2" w:rsidRPr="00CD303F">
        <w:rPr>
          <w:rFonts w:ascii="Times New Roman" w:hAnsi="Times New Roman" w:cs="Times New Roman"/>
          <w:sz w:val="24"/>
          <w:szCs w:val="24"/>
        </w:rPr>
        <w:t>”</w:t>
      </w:r>
      <w:r w:rsidR="008A10E1" w:rsidRPr="00CD303F">
        <w:rPr>
          <w:rFonts w:ascii="Times New Roman" w:hAnsi="Times New Roman" w:cs="Times New Roman"/>
          <w:sz w:val="24"/>
          <w:szCs w:val="24"/>
        </w:rPr>
        <w:t>.</w:t>
      </w:r>
      <w:r w:rsidR="004F65D6" w:rsidRPr="00CD303F">
        <w:rPr>
          <w:rStyle w:val="FootnoteReference"/>
          <w:rFonts w:ascii="Times New Roman" w:hAnsi="Times New Roman" w:cs="Times New Roman"/>
          <w:sz w:val="24"/>
          <w:szCs w:val="24"/>
        </w:rPr>
        <w:footnoteReference w:id="74"/>
      </w:r>
      <w:r w:rsidR="004F65D6" w:rsidRPr="00CD303F">
        <w:rPr>
          <w:rFonts w:ascii="Times New Roman" w:hAnsi="Times New Roman" w:cs="Times New Roman"/>
          <w:sz w:val="24"/>
          <w:szCs w:val="24"/>
        </w:rPr>
        <w:t xml:space="preserve"> </w:t>
      </w:r>
      <w:r w:rsidR="007C689E" w:rsidRPr="00CD303F">
        <w:rPr>
          <w:rFonts w:ascii="Times New Roman" w:hAnsi="Times New Roman" w:cs="Times New Roman"/>
          <w:sz w:val="24"/>
          <w:szCs w:val="24"/>
        </w:rPr>
        <w:t xml:space="preserve">Colonial subjects could therefore only be governed through violence. </w:t>
      </w:r>
      <w:r w:rsidR="00A02000" w:rsidRPr="00CD303F">
        <w:rPr>
          <w:rFonts w:ascii="Times New Roman" w:hAnsi="Times New Roman" w:cs="Times New Roman"/>
          <w:sz w:val="24"/>
          <w:szCs w:val="24"/>
        </w:rPr>
        <w:t>This mean</w:t>
      </w:r>
      <w:r w:rsidR="00DA0060" w:rsidRPr="00CD303F">
        <w:rPr>
          <w:rFonts w:ascii="Times New Roman" w:hAnsi="Times New Roman" w:cs="Times New Roman"/>
          <w:sz w:val="24"/>
          <w:szCs w:val="24"/>
        </w:rPr>
        <w:t>t</w:t>
      </w:r>
      <w:r w:rsidR="00A02000" w:rsidRPr="00CD303F">
        <w:rPr>
          <w:rFonts w:ascii="Times New Roman" w:hAnsi="Times New Roman" w:cs="Times New Roman"/>
          <w:sz w:val="24"/>
          <w:szCs w:val="24"/>
        </w:rPr>
        <w:t xml:space="preserve"> that, a</w:t>
      </w:r>
      <w:r w:rsidR="00DD06C2" w:rsidRPr="00CD303F">
        <w:rPr>
          <w:rFonts w:ascii="Times New Roman" w:hAnsi="Times New Roman" w:cs="Times New Roman"/>
          <w:sz w:val="24"/>
          <w:szCs w:val="24"/>
        </w:rPr>
        <w:t xml:space="preserve">s one missionary informed the Commission, </w:t>
      </w:r>
      <w:r w:rsidR="00DA0060" w:rsidRPr="00CD303F">
        <w:rPr>
          <w:rFonts w:ascii="Times New Roman" w:hAnsi="Times New Roman" w:cs="Times New Roman"/>
          <w:sz w:val="24"/>
          <w:szCs w:val="24"/>
        </w:rPr>
        <w:t>the “terror” inflicted by agencies such as the police on Indians had “</w:t>
      </w:r>
      <w:r w:rsidR="00DD2A6F" w:rsidRPr="00CD303F">
        <w:rPr>
          <w:rFonts w:ascii="Times New Roman" w:hAnsi="Times New Roman" w:cs="Times New Roman"/>
          <w:sz w:val="24"/>
          <w:szCs w:val="24"/>
        </w:rPr>
        <w:t>’</w:t>
      </w:r>
      <w:r w:rsidR="00DD06C2" w:rsidRPr="00CD303F">
        <w:rPr>
          <w:rFonts w:ascii="Times New Roman" w:hAnsi="Times New Roman" w:cs="Times New Roman"/>
          <w:sz w:val="24"/>
          <w:szCs w:val="24"/>
        </w:rPr>
        <w:t>a salutary effect, on the whole . . .’”</w:t>
      </w:r>
      <w:r w:rsidR="00DA0060" w:rsidRPr="00CD303F">
        <w:rPr>
          <w:rFonts w:ascii="Times New Roman" w:hAnsi="Times New Roman" w:cs="Times New Roman"/>
          <w:sz w:val="24"/>
          <w:szCs w:val="24"/>
        </w:rPr>
        <w:t xml:space="preserve"> on Indian society.</w:t>
      </w:r>
      <w:r w:rsidR="00A02000" w:rsidRPr="00CD303F">
        <w:rPr>
          <w:rStyle w:val="FootnoteReference"/>
          <w:rFonts w:ascii="Times New Roman" w:hAnsi="Times New Roman" w:cs="Times New Roman"/>
          <w:sz w:val="24"/>
          <w:szCs w:val="24"/>
        </w:rPr>
        <w:footnoteReference w:id="75"/>
      </w:r>
      <w:r w:rsidR="00CE6FB6" w:rsidRPr="00CD303F">
        <w:rPr>
          <w:rFonts w:ascii="Times New Roman" w:hAnsi="Times New Roman" w:cs="Times New Roman"/>
          <w:sz w:val="24"/>
          <w:szCs w:val="24"/>
        </w:rPr>
        <w:t xml:space="preserve"> </w:t>
      </w:r>
    </w:p>
    <w:p w:rsidR="00627A0F" w:rsidRDefault="00CE6FB6" w:rsidP="00D71E91">
      <w:pPr>
        <w:spacing w:line="480" w:lineRule="auto"/>
        <w:ind w:firstLine="720"/>
        <w:rPr>
          <w:rFonts w:ascii="Times New Roman" w:hAnsi="Times New Roman" w:cs="Times New Roman"/>
          <w:bCs/>
          <w:sz w:val="24"/>
          <w:szCs w:val="24"/>
        </w:rPr>
      </w:pPr>
      <w:r w:rsidRPr="00CD303F">
        <w:rPr>
          <w:rFonts w:ascii="Times New Roman" w:hAnsi="Times New Roman" w:cs="Times New Roman"/>
          <w:sz w:val="24"/>
          <w:szCs w:val="24"/>
        </w:rPr>
        <w:t>As far as the Commission was concerned</w:t>
      </w:r>
      <w:r w:rsidR="005D248E" w:rsidRPr="00CD303F">
        <w:rPr>
          <w:rFonts w:ascii="Times New Roman" w:hAnsi="Times New Roman" w:cs="Times New Roman"/>
          <w:sz w:val="24"/>
          <w:szCs w:val="24"/>
        </w:rPr>
        <w:t xml:space="preserve"> (not to mention the many </w:t>
      </w:r>
      <w:r w:rsidR="00FB1F92" w:rsidRPr="00CD303F">
        <w:rPr>
          <w:rFonts w:ascii="Times New Roman" w:hAnsi="Times New Roman" w:cs="Times New Roman"/>
          <w:sz w:val="24"/>
          <w:szCs w:val="24"/>
        </w:rPr>
        <w:t xml:space="preserve">committees, enquiries and </w:t>
      </w:r>
      <w:r w:rsidR="005D248E" w:rsidRPr="00CD303F">
        <w:rPr>
          <w:rFonts w:ascii="Times New Roman" w:hAnsi="Times New Roman" w:cs="Times New Roman"/>
          <w:sz w:val="24"/>
          <w:szCs w:val="24"/>
        </w:rPr>
        <w:t>reports that came after it)</w:t>
      </w:r>
      <w:r w:rsidRPr="00CD303F">
        <w:rPr>
          <w:rFonts w:ascii="Times New Roman" w:hAnsi="Times New Roman" w:cs="Times New Roman"/>
          <w:sz w:val="24"/>
          <w:szCs w:val="24"/>
        </w:rPr>
        <w:t>, Indians were therefore res</w:t>
      </w:r>
      <w:r w:rsidR="005438BC" w:rsidRPr="00CD303F">
        <w:rPr>
          <w:rFonts w:ascii="Times New Roman" w:hAnsi="Times New Roman" w:cs="Times New Roman"/>
          <w:sz w:val="24"/>
          <w:szCs w:val="24"/>
        </w:rPr>
        <w:t xml:space="preserve">ponsible for their own violation thanks </w:t>
      </w:r>
      <w:r w:rsidR="00B77722" w:rsidRPr="00CD303F">
        <w:rPr>
          <w:rFonts w:ascii="Times New Roman" w:hAnsi="Times New Roman" w:cs="Times New Roman"/>
          <w:sz w:val="24"/>
          <w:szCs w:val="24"/>
        </w:rPr>
        <w:t xml:space="preserve">to an inherent depravity </w:t>
      </w:r>
      <w:r w:rsidR="005438BC" w:rsidRPr="00CD303F">
        <w:rPr>
          <w:rFonts w:ascii="Times New Roman" w:hAnsi="Times New Roman" w:cs="Times New Roman"/>
          <w:sz w:val="24"/>
          <w:szCs w:val="24"/>
        </w:rPr>
        <w:t>(</w:t>
      </w:r>
      <w:r w:rsidR="00FB222C" w:rsidRPr="00CD303F">
        <w:rPr>
          <w:rFonts w:ascii="Times New Roman" w:hAnsi="Times New Roman" w:cs="Times New Roman"/>
          <w:sz w:val="24"/>
          <w:szCs w:val="24"/>
        </w:rPr>
        <w:t xml:space="preserve">ingrained by previous, ‘despotic’ systems of rule) </w:t>
      </w:r>
      <w:r w:rsidR="00B77722" w:rsidRPr="00CD303F">
        <w:rPr>
          <w:rFonts w:ascii="Times New Roman" w:hAnsi="Times New Roman" w:cs="Times New Roman"/>
          <w:sz w:val="24"/>
          <w:szCs w:val="24"/>
        </w:rPr>
        <w:t>that made them inflict violence on each other</w:t>
      </w:r>
      <w:r w:rsidR="00131634" w:rsidRPr="00CD303F">
        <w:rPr>
          <w:rFonts w:ascii="Times New Roman" w:hAnsi="Times New Roman" w:cs="Times New Roman"/>
          <w:sz w:val="24"/>
          <w:szCs w:val="24"/>
        </w:rPr>
        <w:t xml:space="preserve">, </w:t>
      </w:r>
      <w:r w:rsidR="00B77722" w:rsidRPr="00CD303F">
        <w:rPr>
          <w:rFonts w:ascii="Times New Roman" w:hAnsi="Times New Roman" w:cs="Times New Roman"/>
          <w:sz w:val="24"/>
          <w:szCs w:val="24"/>
        </w:rPr>
        <w:t xml:space="preserve">and even </w:t>
      </w:r>
      <w:r w:rsidR="00131634" w:rsidRPr="00CD303F">
        <w:rPr>
          <w:rFonts w:ascii="Times New Roman" w:hAnsi="Times New Roman" w:cs="Times New Roman"/>
          <w:sz w:val="24"/>
          <w:szCs w:val="24"/>
        </w:rPr>
        <w:t xml:space="preserve">on themselves </w:t>
      </w:r>
      <w:r w:rsidR="00AD0CD6" w:rsidRPr="00CD303F">
        <w:rPr>
          <w:rFonts w:ascii="Times New Roman" w:hAnsi="Times New Roman" w:cs="Times New Roman"/>
          <w:bCs/>
          <w:sz w:val="24"/>
          <w:szCs w:val="24"/>
        </w:rPr>
        <w:t>–</w:t>
      </w:r>
      <w:r w:rsidR="00131634" w:rsidRPr="00CD303F">
        <w:rPr>
          <w:rFonts w:ascii="Times New Roman" w:hAnsi="Times New Roman" w:cs="Times New Roman"/>
          <w:sz w:val="24"/>
          <w:szCs w:val="24"/>
        </w:rPr>
        <w:t xml:space="preserve"> </w:t>
      </w:r>
      <w:r w:rsidR="005D248E" w:rsidRPr="00CD303F">
        <w:rPr>
          <w:rFonts w:ascii="Times New Roman" w:hAnsi="Times New Roman" w:cs="Times New Roman"/>
          <w:sz w:val="24"/>
          <w:szCs w:val="24"/>
        </w:rPr>
        <w:t>as one judge informed the C</w:t>
      </w:r>
      <w:r w:rsidR="00B77722" w:rsidRPr="00CD303F">
        <w:rPr>
          <w:rFonts w:ascii="Times New Roman" w:hAnsi="Times New Roman" w:cs="Times New Roman"/>
          <w:sz w:val="24"/>
          <w:szCs w:val="24"/>
        </w:rPr>
        <w:t>ommission, “’Instances are not wanting of wounds and marks, with blistering juices, &amp; c., being self-inflicted for such purposes’”.</w:t>
      </w:r>
      <w:r w:rsidR="00B77722" w:rsidRPr="00CD303F">
        <w:rPr>
          <w:rStyle w:val="FootnoteReference"/>
          <w:rFonts w:ascii="Times New Roman" w:hAnsi="Times New Roman" w:cs="Times New Roman"/>
          <w:sz w:val="24"/>
          <w:szCs w:val="24"/>
        </w:rPr>
        <w:footnoteReference w:id="76"/>
      </w:r>
      <w:r w:rsidR="006A259E" w:rsidRPr="00CD303F">
        <w:rPr>
          <w:rFonts w:ascii="Times New Roman" w:hAnsi="Times New Roman" w:cs="Times New Roman"/>
          <w:sz w:val="24"/>
          <w:szCs w:val="24"/>
        </w:rPr>
        <w:t xml:space="preserve"> </w:t>
      </w:r>
      <w:r w:rsidR="00F555BC" w:rsidRPr="00CD303F">
        <w:rPr>
          <w:rFonts w:ascii="Times New Roman" w:hAnsi="Times New Roman" w:cs="Times New Roman"/>
          <w:sz w:val="24"/>
          <w:szCs w:val="24"/>
        </w:rPr>
        <w:t xml:space="preserve">Torture charges could therefore be dismissed on the grounds – usually extremely poor medical evidence and unreliable (and sometimes forged) police </w:t>
      </w:r>
      <w:r w:rsidR="00B05A9F" w:rsidRPr="00CD303F">
        <w:rPr>
          <w:rFonts w:ascii="Times New Roman" w:hAnsi="Times New Roman" w:cs="Times New Roman"/>
          <w:sz w:val="24"/>
          <w:szCs w:val="24"/>
        </w:rPr>
        <w:t xml:space="preserve">and magisterial </w:t>
      </w:r>
      <w:r w:rsidR="00F555BC" w:rsidRPr="00CD303F">
        <w:rPr>
          <w:rFonts w:ascii="Times New Roman" w:hAnsi="Times New Roman" w:cs="Times New Roman"/>
          <w:sz w:val="24"/>
          <w:szCs w:val="24"/>
        </w:rPr>
        <w:t>records</w:t>
      </w:r>
      <w:r w:rsidR="00E6377E" w:rsidRPr="00CD303F">
        <w:rPr>
          <w:rFonts w:ascii="Times New Roman" w:hAnsi="Times New Roman" w:cs="Times New Roman"/>
          <w:sz w:val="24"/>
          <w:szCs w:val="24"/>
        </w:rPr>
        <w:t xml:space="preserve"> – </w:t>
      </w:r>
      <w:r w:rsidR="00F555BC" w:rsidRPr="00CD303F">
        <w:rPr>
          <w:rFonts w:ascii="Times New Roman" w:hAnsi="Times New Roman" w:cs="Times New Roman"/>
          <w:sz w:val="24"/>
          <w:szCs w:val="24"/>
        </w:rPr>
        <w:t>that wounds were self-</w:t>
      </w:r>
      <w:r w:rsidR="0058261C">
        <w:rPr>
          <w:rFonts w:ascii="Times New Roman" w:hAnsi="Times New Roman" w:cs="Times New Roman"/>
          <w:sz w:val="24"/>
          <w:szCs w:val="24"/>
        </w:rPr>
        <w:t>inflicted</w:t>
      </w:r>
      <w:r w:rsidR="00E6377E" w:rsidRPr="00CD303F">
        <w:rPr>
          <w:rFonts w:ascii="Times New Roman" w:hAnsi="Times New Roman" w:cs="Times New Roman"/>
          <w:sz w:val="24"/>
          <w:szCs w:val="24"/>
        </w:rPr>
        <w:t>.</w:t>
      </w:r>
      <w:r w:rsidR="009F7732" w:rsidRPr="00CD303F">
        <w:rPr>
          <w:rFonts w:ascii="Times New Roman" w:hAnsi="Times New Roman" w:cs="Times New Roman"/>
          <w:sz w:val="24"/>
          <w:szCs w:val="24"/>
        </w:rPr>
        <w:t xml:space="preserve"> </w:t>
      </w:r>
      <w:r w:rsidR="00FB1F92" w:rsidRPr="00CD303F">
        <w:rPr>
          <w:rFonts w:ascii="Times New Roman" w:hAnsi="Times New Roman" w:cs="Times New Roman"/>
          <w:sz w:val="24"/>
          <w:szCs w:val="24"/>
        </w:rPr>
        <w:t>A</w:t>
      </w:r>
      <w:r w:rsidR="001D61DB" w:rsidRPr="00CD303F">
        <w:rPr>
          <w:rFonts w:ascii="Times New Roman" w:hAnsi="Times New Roman" w:cs="Times New Roman"/>
          <w:sz w:val="24"/>
          <w:szCs w:val="24"/>
        </w:rPr>
        <w:t xml:space="preserve">s the </w:t>
      </w:r>
      <w:r w:rsidR="001D61DB" w:rsidRPr="00CD303F">
        <w:rPr>
          <w:rFonts w:ascii="Times New Roman" w:hAnsi="Times New Roman" w:cs="Times New Roman"/>
          <w:sz w:val="24"/>
          <w:szCs w:val="24"/>
        </w:rPr>
        <w:lastRenderedPageBreak/>
        <w:t xml:space="preserve">Governor of </w:t>
      </w:r>
      <w:r w:rsidR="00FB1F92" w:rsidRPr="00CD303F">
        <w:rPr>
          <w:rFonts w:ascii="Times New Roman" w:hAnsi="Times New Roman" w:cs="Times New Roman"/>
          <w:sz w:val="24"/>
          <w:szCs w:val="24"/>
        </w:rPr>
        <w:t>Bombay, Lord Elphinstone, put it, ‘false’ torture charges had to be summarily dealt with, since</w:t>
      </w:r>
      <w:r w:rsidR="00262D9E" w:rsidRPr="00CD303F">
        <w:rPr>
          <w:rFonts w:ascii="Times New Roman" w:hAnsi="Times New Roman" w:cs="Times New Roman"/>
          <w:sz w:val="24"/>
          <w:szCs w:val="24"/>
        </w:rPr>
        <w:t xml:space="preserve"> </w:t>
      </w:r>
      <w:r w:rsidR="001D61DB" w:rsidRPr="00CD303F">
        <w:rPr>
          <w:rFonts w:ascii="Times New Roman" w:hAnsi="Times New Roman" w:cs="Times New Roman"/>
          <w:bCs/>
          <w:sz w:val="24"/>
          <w:szCs w:val="24"/>
        </w:rPr>
        <w:t>“</w:t>
      </w:r>
      <w:r w:rsidR="001D61DB" w:rsidRPr="00CD303F">
        <w:rPr>
          <w:rFonts w:ascii="Times New Roman" w:hAnsi="Times New Roman" w:cs="Times New Roman"/>
          <w:sz w:val="24"/>
          <w:szCs w:val="24"/>
        </w:rPr>
        <w:t>if policemen are punished on false evidence it will undermine the force from doing their duty.”</w:t>
      </w:r>
      <w:r w:rsidR="00262D9E" w:rsidRPr="00CD303F">
        <w:rPr>
          <w:rStyle w:val="FootnoteReference"/>
          <w:rFonts w:ascii="Times New Roman" w:hAnsi="Times New Roman" w:cs="Times New Roman"/>
          <w:sz w:val="24"/>
          <w:szCs w:val="24"/>
        </w:rPr>
        <w:footnoteReference w:id="77"/>
      </w:r>
      <w:r w:rsidR="00A33A99">
        <w:rPr>
          <w:rFonts w:ascii="Times New Roman" w:hAnsi="Times New Roman" w:cs="Times New Roman"/>
          <w:sz w:val="24"/>
          <w:szCs w:val="24"/>
        </w:rPr>
        <w:t xml:space="preserve"> </w:t>
      </w:r>
      <w:r w:rsidR="00C77FCB">
        <w:rPr>
          <w:rFonts w:ascii="Times New Roman" w:hAnsi="Times New Roman" w:cs="Times New Roman"/>
          <w:sz w:val="24"/>
          <w:szCs w:val="24"/>
        </w:rPr>
        <w:t>As one of the</w:t>
      </w:r>
      <w:r w:rsidR="00A33A99">
        <w:rPr>
          <w:rFonts w:ascii="Times New Roman" w:hAnsi="Times New Roman" w:cs="Times New Roman"/>
          <w:sz w:val="24"/>
          <w:szCs w:val="24"/>
        </w:rPr>
        <w:t xml:space="preserve"> Commission</w:t>
      </w:r>
      <w:r w:rsidR="00C77FCB">
        <w:rPr>
          <w:rFonts w:ascii="Times New Roman" w:hAnsi="Times New Roman" w:cs="Times New Roman"/>
          <w:sz w:val="24"/>
          <w:szCs w:val="24"/>
        </w:rPr>
        <w:t>’s correspondents remarked</w:t>
      </w:r>
      <w:r w:rsidR="00A33A99">
        <w:rPr>
          <w:rFonts w:ascii="Times New Roman" w:hAnsi="Times New Roman" w:cs="Times New Roman"/>
          <w:sz w:val="24"/>
          <w:szCs w:val="24"/>
        </w:rPr>
        <w:t xml:space="preserve"> it</w:t>
      </w:r>
      <w:r w:rsidR="00262D9E" w:rsidRPr="00CD303F">
        <w:rPr>
          <w:rFonts w:ascii="Times New Roman" w:hAnsi="Times New Roman" w:cs="Times New Roman"/>
          <w:sz w:val="24"/>
          <w:szCs w:val="24"/>
        </w:rPr>
        <w:t xml:space="preserve"> was important, therefore, to be wary of “”</w:t>
      </w:r>
      <w:r w:rsidR="00963072" w:rsidRPr="00CD303F">
        <w:rPr>
          <w:rFonts w:ascii="Times New Roman" w:hAnsi="Times New Roman" w:cs="Times New Roman"/>
          <w:sz w:val="24"/>
          <w:szCs w:val="24"/>
        </w:rPr>
        <w:t>describing those punishments’” inflicted upon recalcitrant peasants or suspected criminals “’as torture’”</w:t>
      </w:r>
      <w:r w:rsidRPr="00CD303F">
        <w:rPr>
          <w:rFonts w:ascii="Times New Roman" w:hAnsi="Times New Roman" w:cs="Times New Roman"/>
          <w:sz w:val="24"/>
          <w:szCs w:val="24"/>
        </w:rPr>
        <w:t>.</w:t>
      </w:r>
      <w:r w:rsidRPr="00CD303F">
        <w:rPr>
          <w:rStyle w:val="FootnoteReference"/>
          <w:rFonts w:ascii="Times New Roman" w:hAnsi="Times New Roman" w:cs="Times New Roman"/>
          <w:sz w:val="24"/>
          <w:szCs w:val="24"/>
        </w:rPr>
        <w:footnoteReference w:id="78"/>
      </w:r>
      <w:r w:rsidR="00762FC9" w:rsidRPr="00CD303F">
        <w:rPr>
          <w:rFonts w:ascii="Times New Roman" w:hAnsi="Times New Roman" w:cs="Times New Roman"/>
          <w:sz w:val="24"/>
          <w:szCs w:val="24"/>
        </w:rPr>
        <w:t xml:space="preserve"> </w:t>
      </w:r>
      <w:r w:rsidR="00A33A99">
        <w:rPr>
          <w:rFonts w:ascii="Times New Roman" w:hAnsi="Times New Roman" w:cs="Times New Roman"/>
          <w:bCs/>
          <w:sz w:val="24"/>
          <w:szCs w:val="24"/>
        </w:rPr>
        <w:t>As far as colonial officials were concerned, m</w:t>
      </w:r>
      <w:r w:rsidR="00FB1F92" w:rsidRPr="00CD303F">
        <w:rPr>
          <w:rFonts w:ascii="Times New Roman" w:hAnsi="Times New Roman" w:cs="Times New Roman"/>
          <w:bCs/>
          <w:sz w:val="24"/>
          <w:szCs w:val="24"/>
        </w:rPr>
        <w:t>iscarriages of justice, such as putting torturers on trial for mansla</w:t>
      </w:r>
      <w:r w:rsidR="00274C50" w:rsidRPr="00CD303F">
        <w:rPr>
          <w:rFonts w:ascii="Times New Roman" w:hAnsi="Times New Roman" w:cs="Times New Roman"/>
          <w:bCs/>
          <w:sz w:val="24"/>
          <w:szCs w:val="24"/>
        </w:rPr>
        <w:t>ughter rather than murder</w:t>
      </w:r>
      <w:r w:rsidR="001A0CDF" w:rsidRPr="00CD303F">
        <w:rPr>
          <w:rFonts w:ascii="Times New Roman" w:hAnsi="Times New Roman" w:cs="Times New Roman"/>
          <w:bCs/>
          <w:sz w:val="24"/>
          <w:szCs w:val="24"/>
        </w:rPr>
        <w:t xml:space="preserve">, </w:t>
      </w:r>
      <w:r w:rsidR="00274C50" w:rsidRPr="00CD303F">
        <w:rPr>
          <w:rFonts w:ascii="Times New Roman" w:hAnsi="Times New Roman" w:cs="Times New Roman"/>
          <w:bCs/>
          <w:sz w:val="24"/>
          <w:szCs w:val="24"/>
        </w:rPr>
        <w:t xml:space="preserve">were, furthermore, </w:t>
      </w:r>
      <w:r w:rsidR="00B64DD6" w:rsidRPr="00CD303F">
        <w:rPr>
          <w:rFonts w:ascii="Times New Roman" w:hAnsi="Times New Roman" w:cs="Times New Roman"/>
          <w:bCs/>
          <w:sz w:val="24"/>
          <w:szCs w:val="24"/>
        </w:rPr>
        <w:t xml:space="preserve">to be regarded </w:t>
      </w:r>
      <w:r w:rsidR="00274C50" w:rsidRPr="00CD303F">
        <w:rPr>
          <w:rFonts w:ascii="Times New Roman" w:hAnsi="Times New Roman" w:cs="Times New Roman"/>
          <w:bCs/>
          <w:sz w:val="24"/>
          <w:szCs w:val="24"/>
        </w:rPr>
        <w:t xml:space="preserve">as </w:t>
      </w:r>
      <w:r w:rsidR="00FB1F92" w:rsidRPr="00CD303F">
        <w:rPr>
          <w:rFonts w:ascii="Times New Roman" w:hAnsi="Times New Roman" w:cs="Times New Roman"/>
          <w:bCs/>
          <w:sz w:val="24"/>
          <w:szCs w:val="24"/>
        </w:rPr>
        <w:t>unfortunate “errors”.</w:t>
      </w:r>
      <w:r w:rsidR="00274C50" w:rsidRPr="00CD303F">
        <w:rPr>
          <w:rStyle w:val="FootnoteReference"/>
          <w:rFonts w:ascii="Times New Roman" w:hAnsi="Times New Roman" w:cs="Times New Roman"/>
          <w:bCs/>
          <w:sz w:val="24"/>
          <w:szCs w:val="24"/>
        </w:rPr>
        <w:footnoteReference w:id="79"/>
      </w:r>
      <w:r w:rsidR="00FB1F92" w:rsidRPr="00CD303F">
        <w:rPr>
          <w:rFonts w:ascii="Times New Roman" w:hAnsi="Times New Roman" w:cs="Times New Roman"/>
          <w:bCs/>
          <w:sz w:val="24"/>
          <w:szCs w:val="24"/>
        </w:rPr>
        <w:t xml:space="preserve"> </w:t>
      </w:r>
      <w:r w:rsidR="00FB1F92" w:rsidRPr="00CD303F">
        <w:rPr>
          <w:rFonts w:ascii="Times New Roman" w:hAnsi="Times New Roman" w:cs="Times New Roman"/>
          <w:sz w:val="24"/>
          <w:szCs w:val="24"/>
        </w:rPr>
        <w:t xml:space="preserve"> </w:t>
      </w:r>
      <w:r w:rsidR="00262D9E" w:rsidRPr="00CD303F">
        <w:rPr>
          <w:rFonts w:ascii="Times New Roman" w:hAnsi="Times New Roman" w:cs="Times New Roman"/>
          <w:sz w:val="24"/>
          <w:szCs w:val="24"/>
        </w:rPr>
        <w:t xml:space="preserve">In light of such attitudes, charges of torture were, following the Commission and the replacement of Company with Crown rule, </w:t>
      </w:r>
      <w:r w:rsidR="008F3FBE" w:rsidRPr="00CD303F">
        <w:rPr>
          <w:rFonts w:ascii="Times New Roman" w:hAnsi="Times New Roman" w:cs="Times New Roman"/>
          <w:sz w:val="24"/>
          <w:szCs w:val="24"/>
        </w:rPr>
        <w:t>rarely proved in colonial courts</w:t>
      </w:r>
      <w:r w:rsidR="007C5D0F" w:rsidRPr="00CD303F">
        <w:rPr>
          <w:rFonts w:ascii="Times New Roman" w:hAnsi="Times New Roman" w:cs="Times New Roman"/>
          <w:sz w:val="24"/>
          <w:szCs w:val="24"/>
        </w:rPr>
        <w:t>.</w:t>
      </w:r>
      <w:r w:rsidR="007122AA" w:rsidRPr="00CD303F">
        <w:rPr>
          <w:rFonts w:ascii="Times New Roman" w:hAnsi="Times New Roman" w:cs="Times New Roman"/>
          <w:sz w:val="24"/>
          <w:szCs w:val="24"/>
        </w:rPr>
        <w:t xml:space="preserve"> </w:t>
      </w:r>
      <w:r w:rsidR="00EE1031" w:rsidRPr="00CD303F">
        <w:rPr>
          <w:rFonts w:ascii="Times New Roman" w:hAnsi="Times New Roman" w:cs="Times New Roman"/>
          <w:bCs/>
          <w:sz w:val="24"/>
          <w:szCs w:val="24"/>
        </w:rPr>
        <w:t>H</w:t>
      </w:r>
      <w:r w:rsidR="00430D0D" w:rsidRPr="00CD303F">
        <w:rPr>
          <w:rFonts w:ascii="Times New Roman" w:hAnsi="Times New Roman" w:cs="Times New Roman"/>
          <w:bCs/>
          <w:sz w:val="24"/>
          <w:szCs w:val="24"/>
        </w:rPr>
        <w:t xml:space="preserve">arsh sentences were </w:t>
      </w:r>
      <w:r w:rsidR="008F5688" w:rsidRPr="00CD303F">
        <w:rPr>
          <w:rFonts w:ascii="Times New Roman" w:hAnsi="Times New Roman" w:cs="Times New Roman"/>
          <w:bCs/>
          <w:sz w:val="24"/>
          <w:szCs w:val="24"/>
        </w:rPr>
        <w:t>periodically</w:t>
      </w:r>
      <w:r w:rsidR="00430D0D" w:rsidRPr="00CD303F">
        <w:rPr>
          <w:rFonts w:ascii="Times New Roman" w:hAnsi="Times New Roman" w:cs="Times New Roman"/>
          <w:bCs/>
          <w:sz w:val="24"/>
          <w:szCs w:val="24"/>
        </w:rPr>
        <w:t xml:space="preserve"> </w:t>
      </w:r>
      <w:r w:rsidR="00EE1031" w:rsidRPr="00CD303F">
        <w:rPr>
          <w:rFonts w:ascii="Times New Roman" w:hAnsi="Times New Roman" w:cs="Times New Roman"/>
          <w:bCs/>
          <w:sz w:val="24"/>
          <w:szCs w:val="24"/>
        </w:rPr>
        <w:t xml:space="preserve">given to perpetrators of torture, particularly during the </w:t>
      </w:r>
      <w:r w:rsidR="001A0CDF" w:rsidRPr="00CD303F">
        <w:rPr>
          <w:rFonts w:ascii="Times New Roman" w:hAnsi="Times New Roman" w:cs="Times New Roman"/>
          <w:bCs/>
          <w:sz w:val="24"/>
          <w:szCs w:val="24"/>
        </w:rPr>
        <w:t>recurrent</w:t>
      </w:r>
      <w:r w:rsidR="00EE1031" w:rsidRPr="00CD303F">
        <w:rPr>
          <w:rFonts w:ascii="Times New Roman" w:hAnsi="Times New Roman" w:cs="Times New Roman"/>
          <w:bCs/>
          <w:sz w:val="24"/>
          <w:szCs w:val="24"/>
        </w:rPr>
        <w:t xml:space="preserve"> moments when torture erupted into scandal</w:t>
      </w:r>
      <w:r w:rsidR="00D95A95" w:rsidRPr="00CD303F">
        <w:rPr>
          <w:rFonts w:ascii="Times New Roman" w:hAnsi="Times New Roman" w:cs="Times New Roman"/>
          <w:bCs/>
          <w:sz w:val="24"/>
          <w:szCs w:val="24"/>
        </w:rPr>
        <w:t>.</w:t>
      </w:r>
      <w:r w:rsidR="00827BFC">
        <w:rPr>
          <w:rStyle w:val="FootnoteReference"/>
          <w:rFonts w:ascii="Times New Roman" w:hAnsi="Times New Roman" w:cs="Times New Roman"/>
          <w:bCs/>
          <w:sz w:val="24"/>
          <w:szCs w:val="24"/>
        </w:rPr>
        <w:footnoteReference w:id="80"/>
      </w:r>
      <w:r w:rsidR="00B15681" w:rsidRPr="00CD303F">
        <w:rPr>
          <w:rFonts w:ascii="Times New Roman" w:hAnsi="Times New Roman" w:cs="Times New Roman"/>
          <w:bCs/>
          <w:sz w:val="24"/>
          <w:szCs w:val="24"/>
        </w:rPr>
        <w:t xml:space="preserve"> </w:t>
      </w:r>
      <w:r w:rsidR="005438BC" w:rsidRPr="00CD303F">
        <w:rPr>
          <w:rFonts w:ascii="Times New Roman" w:hAnsi="Times New Roman" w:cs="Times New Roman"/>
          <w:bCs/>
          <w:sz w:val="24"/>
          <w:szCs w:val="24"/>
        </w:rPr>
        <w:t xml:space="preserve">But for the most part </w:t>
      </w:r>
      <w:r w:rsidR="009E0BBE" w:rsidRPr="00CD303F">
        <w:rPr>
          <w:rFonts w:ascii="Times New Roman" w:hAnsi="Times New Roman" w:cs="Times New Roman"/>
          <w:bCs/>
          <w:sz w:val="24"/>
          <w:szCs w:val="24"/>
        </w:rPr>
        <w:t xml:space="preserve">the </w:t>
      </w:r>
      <w:r w:rsidR="005438BC" w:rsidRPr="00CD303F">
        <w:rPr>
          <w:rFonts w:ascii="Times New Roman" w:hAnsi="Times New Roman" w:cs="Times New Roman"/>
          <w:bCs/>
          <w:sz w:val="24"/>
          <w:szCs w:val="24"/>
        </w:rPr>
        <w:t xml:space="preserve">colonial </w:t>
      </w:r>
      <w:r w:rsidR="009E0BBE" w:rsidRPr="00CD303F">
        <w:rPr>
          <w:rFonts w:ascii="Times New Roman" w:hAnsi="Times New Roman" w:cs="Times New Roman"/>
          <w:bCs/>
          <w:sz w:val="24"/>
          <w:szCs w:val="24"/>
        </w:rPr>
        <w:t xml:space="preserve">government sought only to apply some </w:t>
      </w:r>
      <w:r w:rsidR="007122AA" w:rsidRPr="00CD303F">
        <w:rPr>
          <w:rFonts w:ascii="Times New Roman" w:hAnsi="Times New Roman" w:cs="Times New Roman"/>
          <w:bCs/>
          <w:sz w:val="24"/>
          <w:szCs w:val="24"/>
        </w:rPr>
        <w:t>“remedies” to the problem, since it maintained that</w:t>
      </w:r>
      <w:r w:rsidR="009E0BBE" w:rsidRPr="00CD303F">
        <w:rPr>
          <w:rFonts w:ascii="Times New Roman" w:hAnsi="Times New Roman" w:cs="Times New Roman"/>
          <w:bCs/>
          <w:sz w:val="24"/>
          <w:szCs w:val="24"/>
        </w:rPr>
        <w:t xml:space="preserve"> the “cure . . . must of necessity be left to the more hardy progress of national advancement in the scale of civilization and social improvement”.</w:t>
      </w:r>
      <w:r w:rsidR="00BC513D" w:rsidRPr="00CD303F">
        <w:rPr>
          <w:rStyle w:val="FootnoteReference"/>
          <w:rFonts w:ascii="Times New Roman" w:hAnsi="Times New Roman" w:cs="Times New Roman"/>
          <w:bCs/>
          <w:sz w:val="24"/>
          <w:szCs w:val="24"/>
        </w:rPr>
        <w:footnoteReference w:id="81"/>
      </w:r>
      <w:r w:rsidR="00D95A95" w:rsidRPr="00CD303F">
        <w:rPr>
          <w:rFonts w:ascii="Times New Roman" w:hAnsi="Times New Roman" w:cs="Times New Roman"/>
          <w:bCs/>
          <w:sz w:val="24"/>
          <w:szCs w:val="24"/>
        </w:rPr>
        <w:t xml:space="preserve"> </w:t>
      </w:r>
    </w:p>
    <w:p w:rsidR="0058261C" w:rsidRDefault="00733CF4" w:rsidP="00FF47BA">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An examination of a torture case that resulted in death reveals the ways in which torture operated as necropolitics in late colonial India. </w:t>
      </w:r>
      <w:r w:rsidR="000077F7">
        <w:rPr>
          <w:rFonts w:ascii="Times New Roman" w:hAnsi="Times New Roman" w:cs="Times New Roman"/>
          <w:bCs/>
          <w:sz w:val="24"/>
          <w:szCs w:val="24"/>
        </w:rPr>
        <w:t xml:space="preserve">On </w:t>
      </w:r>
      <w:r w:rsidR="00D25B52">
        <w:rPr>
          <w:rFonts w:ascii="Times New Roman" w:hAnsi="Times New Roman" w:cs="Times New Roman"/>
          <w:bCs/>
          <w:sz w:val="24"/>
          <w:szCs w:val="24"/>
        </w:rPr>
        <w:t>April</w:t>
      </w:r>
      <w:r w:rsidR="000077F7">
        <w:rPr>
          <w:rFonts w:ascii="Times New Roman" w:hAnsi="Times New Roman" w:cs="Times New Roman"/>
          <w:bCs/>
          <w:sz w:val="24"/>
          <w:szCs w:val="24"/>
        </w:rPr>
        <w:t xml:space="preserve"> 22</w:t>
      </w:r>
      <w:r w:rsidR="000077F7" w:rsidRPr="00733CF4">
        <w:rPr>
          <w:rFonts w:ascii="Times New Roman" w:hAnsi="Times New Roman" w:cs="Times New Roman"/>
          <w:bCs/>
          <w:sz w:val="24"/>
          <w:szCs w:val="24"/>
          <w:vertAlign w:val="superscript"/>
        </w:rPr>
        <w:t>nd</w:t>
      </w:r>
      <w:r>
        <w:rPr>
          <w:rFonts w:ascii="Times New Roman" w:hAnsi="Times New Roman" w:cs="Times New Roman"/>
          <w:bCs/>
          <w:sz w:val="24"/>
          <w:szCs w:val="24"/>
        </w:rPr>
        <w:t>, 1909,</w:t>
      </w:r>
      <w:r w:rsidR="00806E58">
        <w:rPr>
          <w:rFonts w:ascii="Times New Roman" w:hAnsi="Times New Roman" w:cs="Times New Roman"/>
          <w:bCs/>
          <w:sz w:val="24"/>
          <w:szCs w:val="24"/>
        </w:rPr>
        <w:t xml:space="preserve"> a dacoity</w:t>
      </w:r>
      <w:r w:rsidR="00233250">
        <w:rPr>
          <w:rFonts w:ascii="Times New Roman" w:hAnsi="Times New Roman" w:cs="Times New Roman"/>
          <w:bCs/>
          <w:sz w:val="24"/>
          <w:szCs w:val="24"/>
        </w:rPr>
        <w:t xml:space="preserve"> was comm</w:t>
      </w:r>
      <w:r w:rsidR="000077F7">
        <w:rPr>
          <w:rFonts w:ascii="Times New Roman" w:hAnsi="Times New Roman" w:cs="Times New Roman"/>
          <w:bCs/>
          <w:sz w:val="24"/>
          <w:szCs w:val="24"/>
        </w:rPr>
        <w:t xml:space="preserve">itted at the house of </w:t>
      </w:r>
      <w:r w:rsidR="00B73DEA">
        <w:rPr>
          <w:rFonts w:ascii="Times New Roman" w:hAnsi="Times New Roman" w:cs="Times New Roman"/>
          <w:bCs/>
          <w:sz w:val="24"/>
          <w:szCs w:val="24"/>
        </w:rPr>
        <w:t xml:space="preserve">one </w:t>
      </w:r>
      <w:r w:rsidR="000077F7">
        <w:rPr>
          <w:rFonts w:ascii="Times New Roman" w:hAnsi="Times New Roman" w:cs="Times New Roman"/>
          <w:bCs/>
          <w:sz w:val="24"/>
          <w:szCs w:val="24"/>
        </w:rPr>
        <w:t>Gamher</w:t>
      </w:r>
      <w:r w:rsidR="00A20650">
        <w:rPr>
          <w:rFonts w:ascii="Times New Roman" w:hAnsi="Times New Roman" w:cs="Times New Roman"/>
          <w:bCs/>
          <w:sz w:val="24"/>
          <w:szCs w:val="24"/>
        </w:rPr>
        <w:t xml:space="preserve"> in </w:t>
      </w:r>
      <w:r w:rsidR="000077F7">
        <w:rPr>
          <w:rFonts w:ascii="Times New Roman" w:hAnsi="Times New Roman" w:cs="Times New Roman"/>
          <w:bCs/>
          <w:sz w:val="24"/>
          <w:szCs w:val="24"/>
        </w:rPr>
        <w:t xml:space="preserve">the village of Kamlabad </w:t>
      </w:r>
      <w:r w:rsidR="000077F7" w:rsidRPr="000077F7">
        <w:rPr>
          <w:rFonts w:ascii="Times New Roman" w:hAnsi="Times New Roman" w:cs="Times New Roman"/>
          <w:sz w:val="24"/>
          <w:szCs w:val="24"/>
        </w:rPr>
        <w:t>in the Kishanganj Su</w:t>
      </w:r>
      <w:r w:rsidR="000077F7">
        <w:rPr>
          <w:rFonts w:ascii="Times New Roman" w:hAnsi="Times New Roman" w:cs="Times New Roman"/>
          <w:sz w:val="24"/>
          <w:szCs w:val="24"/>
        </w:rPr>
        <w:t>b-Division of Purnea Distric</w:t>
      </w:r>
      <w:r w:rsidR="000077F7" w:rsidRPr="000077F7">
        <w:rPr>
          <w:rFonts w:ascii="Times New Roman" w:hAnsi="Times New Roman" w:cs="Times New Roman"/>
          <w:sz w:val="24"/>
          <w:szCs w:val="24"/>
        </w:rPr>
        <w:t>t</w:t>
      </w:r>
      <w:r w:rsidR="000077F7">
        <w:rPr>
          <w:rFonts w:ascii="Times New Roman" w:hAnsi="Times New Roman" w:cs="Times New Roman"/>
          <w:sz w:val="24"/>
          <w:szCs w:val="24"/>
        </w:rPr>
        <w:t>, Bengal</w:t>
      </w:r>
      <w:r w:rsidR="000077F7" w:rsidRPr="000077F7">
        <w:rPr>
          <w:rFonts w:ascii="Times New Roman" w:hAnsi="Times New Roman" w:cs="Times New Roman"/>
          <w:sz w:val="24"/>
          <w:szCs w:val="24"/>
        </w:rPr>
        <w:t>.</w:t>
      </w:r>
      <w:r w:rsidR="002C3129">
        <w:rPr>
          <w:rFonts w:ascii="Times New Roman" w:hAnsi="Times New Roman" w:cs="Times New Roman"/>
          <w:bCs/>
          <w:sz w:val="24"/>
          <w:szCs w:val="24"/>
        </w:rPr>
        <w:t xml:space="preserve"> Junior S</w:t>
      </w:r>
      <w:r w:rsidR="00806E58">
        <w:rPr>
          <w:rFonts w:ascii="Times New Roman" w:hAnsi="Times New Roman" w:cs="Times New Roman"/>
          <w:bCs/>
          <w:sz w:val="24"/>
          <w:szCs w:val="24"/>
        </w:rPr>
        <w:t>ub-inspector Abdul G</w:t>
      </w:r>
      <w:r w:rsidR="004604F5">
        <w:rPr>
          <w:rFonts w:ascii="Times New Roman" w:hAnsi="Times New Roman" w:cs="Times New Roman"/>
          <w:bCs/>
          <w:sz w:val="24"/>
          <w:szCs w:val="24"/>
        </w:rPr>
        <w:t>h</w:t>
      </w:r>
      <w:r w:rsidR="00A9760C">
        <w:rPr>
          <w:rFonts w:ascii="Times New Roman" w:hAnsi="Times New Roman" w:cs="Times New Roman"/>
          <w:bCs/>
          <w:sz w:val="24"/>
          <w:szCs w:val="24"/>
        </w:rPr>
        <w:t xml:space="preserve">ani and </w:t>
      </w:r>
      <w:r>
        <w:rPr>
          <w:rFonts w:ascii="Times New Roman" w:hAnsi="Times New Roman" w:cs="Times New Roman"/>
          <w:bCs/>
          <w:sz w:val="24"/>
          <w:szCs w:val="24"/>
        </w:rPr>
        <w:t>two</w:t>
      </w:r>
      <w:r w:rsidR="00A9760C">
        <w:rPr>
          <w:rFonts w:ascii="Times New Roman" w:hAnsi="Times New Roman" w:cs="Times New Roman"/>
          <w:bCs/>
          <w:sz w:val="24"/>
          <w:szCs w:val="24"/>
        </w:rPr>
        <w:t xml:space="preserve"> constable</w:t>
      </w:r>
      <w:r>
        <w:rPr>
          <w:rFonts w:ascii="Times New Roman" w:hAnsi="Times New Roman" w:cs="Times New Roman"/>
          <w:bCs/>
          <w:sz w:val="24"/>
          <w:szCs w:val="24"/>
        </w:rPr>
        <w:t>s</w:t>
      </w:r>
      <w:r w:rsidR="00806E58">
        <w:rPr>
          <w:rFonts w:ascii="Times New Roman" w:hAnsi="Times New Roman" w:cs="Times New Roman"/>
          <w:bCs/>
          <w:sz w:val="24"/>
          <w:szCs w:val="24"/>
        </w:rPr>
        <w:t xml:space="preserve"> proceeded</w:t>
      </w:r>
      <w:r w:rsidR="00A67C3F">
        <w:rPr>
          <w:rFonts w:ascii="Times New Roman" w:hAnsi="Times New Roman" w:cs="Times New Roman"/>
          <w:bCs/>
          <w:sz w:val="24"/>
          <w:szCs w:val="24"/>
        </w:rPr>
        <w:t xml:space="preserve">, according to </w:t>
      </w:r>
      <w:r w:rsidR="00A67C3F">
        <w:rPr>
          <w:rFonts w:ascii="Times New Roman" w:hAnsi="Times New Roman" w:cs="Times New Roman"/>
          <w:bCs/>
          <w:i/>
          <w:sz w:val="24"/>
          <w:szCs w:val="24"/>
        </w:rPr>
        <w:t>The Bengalee</w:t>
      </w:r>
      <w:r w:rsidR="00A67C3F">
        <w:rPr>
          <w:rFonts w:ascii="Times New Roman" w:hAnsi="Times New Roman" w:cs="Times New Roman"/>
          <w:bCs/>
          <w:sz w:val="24"/>
          <w:szCs w:val="24"/>
        </w:rPr>
        <w:t>,</w:t>
      </w:r>
      <w:r w:rsidR="00806E58">
        <w:rPr>
          <w:rFonts w:ascii="Times New Roman" w:hAnsi="Times New Roman" w:cs="Times New Roman"/>
          <w:bCs/>
          <w:sz w:val="24"/>
          <w:szCs w:val="24"/>
        </w:rPr>
        <w:t xml:space="preserve"> to arrest and then torture three suspects</w:t>
      </w:r>
      <w:r w:rsidR="004604F5">
        <w:rPr>
          <w:rFonts w:ascii="Times New Roman" w:hAnsi="Times New Roman" w:cs="Times New Roman"/>
          <w:bCs/>
          <w:sz w:val="24"/>
          <w:szCs w:val="24"/>
        </w:rPr>
        <w:t xml:space="preserve"> (Ranu, Dh</w:t>
      </w:r>
      <w:r w:rsidR="002C3129">
        <w:rPr>
          <w:rFonts w:ascii="Times New Roman" w:hAnsi="Times New Roman" w:cs="Times New Roman"/>
          <w:bCs/>
          <w:sz w:val="24"/>
          <w:szCs w:val="24"/>
        </w:rPr>
        <w:t>epu</w:t>
      </w:r>
      <w:r w:rsidR="00233250">
        <w:rPr>
          <w:rFonts w:ascii="Times New Roman" w:hAnsi="Times New Roman" w:cs="Times New Roman"/>
          <w:bCs/>
          <w:sz w:val="24"/>
          <w:szCs w:val="24"/>
        </w:rPr>
        <w:t xml:space="preserve"> and Pathar</w:t>
      </w:r>
      <w:r w:rsidR="002C3129">
        <w:rPr>
          <w:rFonts w:ascii="Times New Roman" w:hAnsi="Times New Roman" w:cs="Times New Roman"/>
          <w:bCs/>
          <w:sz w:val="24"/>
          <w:szCs w:val="24"/>
        </w:rPr>
        <w:t>u</w:t>
      </w:r>
      <w:r w:rsidR="004604F5">
        <w:rPr>
          <w:rFonts w:ascii="Times New Roman" w:hAnsi="Times New Roman" w:cs="Times New Roman"/>
          <w:bCs/>
          <w:sz w:val="24"/>
          <w:szCs w:val="24"/>
        </w:rPr>
        <w:t xml:space="preserve">) in order to force them to </w:t>
      </w:r>
      <w:r w:rsidR="00B062BD">
        <w:rPr>
          <w:rFonts w:ascii="Times New Roman" w:hAnsi="Times New Roman" w:cs="Times New Roman"/>
          <w:bCs/>
          <w:sz w:val="24"/>
          <w:szCs w:val="24"/>
        </w:rPr>
        <w:t>confess</w:t>
      </w:r>
      <w:r w:rsidR="00233250">
        <w:rPr>
          <w:rFonts w:ascii="Times New Roman" w:hAnsi="Times New Roman" w:cs="Times New Roman"/>
          <w:bCs/>
          <w:sz w:val="24"/>
          <w:szCs w:val="24"/>
        </w:rPr>
        <w:t xml:space="preserve"> </w:t>
      </w:r>
      <w:r w:rsidR="002C3129">
        <w:rPr>
          <w:rFonts w:ascii="Times New Roman" w:hAnsi="Times New Roman" w:cs="Times New Roman"/>
          <w:bCs/>
          <w:sz w:val="24"/>
          <w:szCs w:val="24"/>
        </w:rPr>
        <w:t>to</w:t>
      </w:r>
      <w:r w:rsidR="00233250">
        <w:rPr>
          <w:rFonts w:ascii="Times New Roman" w:hAnsi="Times New Roman" w:cs="Times New Roman"/>
          <w:bCs/>
          <w:sz w:val="24"/>
          <w:szCs w:val="24"/>
        </w:rPr>
        <w:t xml:space="preserve"> the crime</w:t>
      </w:r>
      <w:r w:rsidR="00806E58">
        <w:rPr>
          <w:rFonts w:ascii="Times New Roman" w:hAnsi="Times New Roman" w:cs="Times New Roman"/>
          <w:bCs/>
          <w:sz w:val="24"/>
          <w:szCs w:val="24"/>
        </w:rPr>
        <w:t>.</w:t>
      </w:r>
      <w:r w:rsidR="003D3583">
        <w:rPr>
          <w:rStyle w:val="FootnoteReference"/>
          <w:rFonts w:ascii="Times New Roman" w:hAnsi="Times New Roman" w:cs="Times New Roman"/>
          <w:bCs/>
          <w:sz w:val="24"/>
          <w:szCs w:val="24"/>
        </w:rPr>
        <w:footnoteReference w:id="82"/>
      </w:r>
      <w:r w:rsidR="00A67C3F">
        <w:rPr>
          <w:rFonts w:ascii="Times New Roman" w:hAnsi="Times New Roman" w:cs="Times New Roman"/>
          <w:bCs/>
          <w:sz w:val="24"/>
          <w:szCs w:val="24"/>
        </w:rPr>
        <w:t xml:space="preserve"> </w:t>
      </w:r>
      <w:r w:rsidR="00D25B52">
        <w:rPr>
          <w:rFonts w:ascii="Times New Roman" w:hAnsi="Times New Roman" w:cs="Times New Roman"/>
          <w:bCs/>
          <w:sz w:val="24"/>
          <w:szCs w:val="24"/>
        </w:rPr>
        <w:t>For</w:t>
      </w:r>
      <w:r w:rsidR="004604F5">
        <w:rPr>
          <w:rFonts w:ascii="Times New Roman" w:hAnsi="Times New Roman" w:cs="Times New Roman"/>
          <w:bCs/>
          <w:sz w:val="24"/>
          <w:szCs w:val="24"/>
        </w:rPr>
        <w:t xml:space="preserve"> </w:t>
      </w:r>
      <w:r w:rsidR="00D25B52">
        <w:rPr>
          <w:rFonts w:ascii="Times New Roman" w:hAnsi="Times New Roman" w:cs="Times New Roman"/>
          <w:bCs/>
          <w:sz w:val="24"/>
          <w:szCs w:val="24"/>
        </w:rPr>
        <w:t>four</w:t>
      </w:r>
      <w:r w:rsidR="004604F5">
        <w:rPr>
          <w:rFonts w:ascii="Times New Roman" w:hAnsi="Times New Roman" w:cs="Times New Roman"/>
          <w:bCs/>
          <w:sz w:val="24"/>
          <w:szCs w:val="24"/>
        </w:rPr>
        <w:t xml:space="preserve"> days </w:t>
      </w:r>
      <w:r w:rsidR="00D25B52">
        <w:rPr>
          <w:rFonts w:ascii="Times New Roman" w:hAnsi="Times New Roman" w:cs="Times New Roman"/>
          <w:bCs/>
          <w:sz w:val="24"/>
          <w:szCs w:val="24"/>
        </w:rPr>
        <w:t>the suspects</w:t>
      </w:r>
      <w:r w:rsidR="00A67C3F">
        <w:rPr>
          <w:rFonts w:ascii="Times New Roman" w:hAnsi="Times New Roman" w:cs="Times New Roman"/>
          <w:bCs/>
          <w:sz w:val="24"/>
          <w:szCs w:val="24"/>
        </w:rPr>
        <w:t xml:space="preserve"> were </w:t>
      </w:r>
      <w:r w:rsidR="00A67C3F">
        <w:rPr>
          <w:rFonts w:ascii="Times New Roman" w:hAnsi="Times New Roman" w:cs="Times New Roman"/>
          <w:bCs/>
          <w:sz w:val="24"/>
          <w:szCs w:val="24"/>
        </w:rPr>
        <w:lastRenderedPageBreak/>
        <w:t xml:space="preserve">kept tied up </w:t>
      </w:r>
      <w:r w:rsidR="00233250">
        <w:rPr>
          <w:rFonts w:ascii="Times New Roman" w:hAnsi="Times New Roman" w:cs="Times New Roman"/>
          <w:bCs/>
          <w:sz w:val="24"/>
          <w:szCs w:val="24"/>
        </w:rPr>
        <w:t xml:space="preserve">all day </w:t>
      </w:r>
      <w:r w:rsidR="004604F5">
        <w:rPr>
          <w:rFonts w:ascii="Times New Roman" w:hAnsi="Times New Roman" w:cs="Times New Roman"/>
          <w:bCs/>
          <w:sz w:val="24"/>
          <w:szCs w:val="24"/>
        </w:rPr>
        <w:t>with</w:t>
      </w:r>
      <w:r>
        <w:rPr>
          <w:rFonts w:ascii="Times New Roman" w:hAnsi="Times New Roman" w:cs="Times New Roman"/>
          <w:bCs/>
          <w:sz w:val="24"/>
          <w:szCs w:val="24"/>
        </w:rPr>
        <w:t>out food and water and beaten. U</w:t>
      </w:r>
      <w:r w:rsidR="00D25B52">
        <w:rPr>
          <w:rFonts w:ascii="Times New Roman" w:hAnsi="Times New Roman" w:cs="Times New Roman"/>
          <w:bCs/>
          <w:sz w:val="24"/>
          <w:szCs w:val="24"/>
        </w:rPr>
        <w:t xml:space="preserve">pon the arrival of the </w:t>
      </w:r>
      <w:r w:rsidR="00D25B52" w:rsidRPr="00C4596E">
        <w:rPr>
          <w:rFonts w:ascii="Times New Roman" w:hAnsi="Times New Roman" w:cs="Times New Roman"/>
          <w:bCs/>
          <w:i/>
          <w:sz w:val="24"/>
          <w:szCs w:val="24"/>
        </w:rPr>
        <w:t>daroga</w:t>
      </w:r>
      <w:r w:rsidR="00D6232D">
        <w:rPr>
          <w:rFonts w:ascii="Times New Roman" w:hAnsi="Times New Roman" w:cs="Times New Roman"/>
          <w:bCs/>
          <w:i/>
          <w:sz w:val="24"/>
          <w:szCs w:val="24"/>
        </w:rPr>
        <w:t xml:space="preserve"> </w:t>
      </w:r>
      <w:r w:rsidR="00D6232D">
        <w:rPr>
          <w:rFonts w:ascii="Times New Roman" w:hAnsi="Times New Roman" w:cs="Times New Roman"/>
          <w:bCs/>
          <w:sz w:val="24"/>
          <w:szCs w:val="24"/>
        </w:rPr>
        <w:t>(chief of police)</w:t>
      </w:r>
      <w:r w:rsidR="00D25B52">
        <w:rPr>
          <w:rFonts w:ascii="Times New Roman" w:hAnsi="Times New Roman" w:cs="Times New Roman"/>
          <w:bCs/>
          <w:sz w:val="24"/>
          <w:szCs w:val="24"/>
        </w:rPr>
        <w:t xml:space="preserve">, </w:t>
      </w:r>
      <w:r>
        <w:rPr>
          <w:rFonts w:ascii="Times New Roman" w:hAnsi="Times New Roman" w:cs="Times New Roman"/>
          <w:bCs/>
          <w:sz w:val="24"/>
          <w:szCs w:val="24"/>
        </w:rPr>
        <w:t xml:space="preserve">Sub-Inspector </w:t>
      </w:r>
      <w:r w:rsidR="00233250">
        <w:rPr>
          <w:rFonts w:ascii="Times New Roman" w:hAnsi="Times New Roman" w:cs="Times New Roman"/>
          <w:bCs/>
          <w:sz w:val="24"/>
          <w:szCs w:val="24"/>
        </w:rPr>
        <w:t>Fazilat Hussain,</w:t>
      </w:r>
      <w:r w:rsidR="00D25B52">
        <w:rPr>
          <w:rFonts w:ascii="Times New Roman" w:hAnsi="Times New Roman" w:cs="Times New Roman"/>
          <w:bCs/>
          <w:sz w:val="24"/>
          <w:szCs w:val="24"/>
        </w:rPr>
        <w:t xml:space="preserve"> </w:t>
      </w:r>
      <w:r>
        <w:rPr>
          <w:rFonts w:ascii="Times New Roman" w:hAnsi="Times New Roman" w:cs="Times New Roman"/>
          <w:bCs/>
          <w:sz w:val="24"/>
          <w:szCs w:val="24"/>
        </w:rPr>
        <w:t>and</w:t>
      </w:r>
      <w:r w:rsidR="00233250">
        <w:rPr>
          <w:rFonts w:ascii="Times New Roman" w:hAnsi="Times New Roman" w:cs="Times New Roman"/>
          <w:bCs/>
          <w:sz w:val="24"/>
          <w:szCs w:val="24"/>
        </w:rPr>
        <w:t xml:space="preserve"> three more constables</w:t>
      </w:r>
      <w:r w:rsidR="00D25B52">
        <w:rPr>
          <w:rFonts w:ascii="Times New Roman" w:hAnsi="Times New Roman" w:cs="Times New Roman"/>
          <w:bCs/>
          <w:sz w:val="24"/>
          <w:szCs w:val="24"/>
        </w:rPr>
        <w:t xml:space="preserve"> on the evening of the 25</w:t>
      </w:r>
      <w:r w:rsidR="00D25B52" w:rsidRPr="00BD6E16">
        <w:rPr>
          <w:rFonts w:ascii="Times New Roman" w:hAnsi="Times New Roman" w:cs="Times New Roman"/>
          <w:bCs/>
          <w:sz w:val="24"/>
          <w:szCs w:val="24"/>
          <w:vertAlign w:val="superscript"/>
        </w:rPr>
        <w:t>th</w:t>
      </w:r>
      <w:r w:rsidR="00C8221B">
        <w:rPr>
          <w:rFonts w:ascii="Times New Roman" w:hAnsi="Times New Roman" w:cs="Times New Roman"/>
          <w:bCs/>
          <w:sz w:val="24"/>
          <w:szCs w:val="24"/>
        </w:rPr>
        <w:t xml:space="preserve"> </w:t>
      </w:r>
      <w:r w:rsidR="00F44CF2">
        <w:rPr>
          <w:rFonts w:ascii="Times New Roman" w:hAnsi="Times New Roman" w:cs="Times New Roman"/>
          <w:bCs/>
          <w:sz w:val="24"/>
          <w:szCs w:val="24"/>
        </w:rPr>
        <w:t>–</w:t>
      </w:r>
      <w:r w:rsidR="00C8221B">
        <w:rPr>
          <w:rFonts w:ascii="Times New Roman" w:hAnsi="Times New Roman" w:cs="Times New Roman"/>
          <w:bCs/>
          <w:sz w:val="24"/>
          <w:szCs w:val="24"/>
        </w:rPr>
        <w:t xml:space="preserve"> </w:t>
      </w:r>
      <w:r w:rsidR="00BD6E16">
        <w:rPr>
          <w:rFonts w:ascii="Times New Roman" w:hAnsi="Times New Roman" w:cs="Times New Roman"/>
          <w:bCs/>
          <w:sz w:val="24"/>
          <w:szCs w:val="24"/>
        </w:rPr>
        <w:t>the point at which, according to official records, the thre</w:t>
      </w:r>
      <w:r w:rsidR="00C8221B">
        <w:rPr>
          <w:rFonts w:ascii="Times New Roman" w:hAnsi="Times New Roman" w:cs="Times New Roman"/>
          <w:bCs/>
          <w:sz w:val="24"/>
          <w:szCs w:val="24"/>
        </w:rPr>
        <w:t xml:space="preserve">e men were taken into custody </w:t>
      </w:r>
      <w:r w:rsidR="00F44CF2">
        <w:rPr>
          <w:rFonts w:ascii="Times New Roman" w:hAnsi="Times New Roman" w:cs="Times New Roman"/>
          <w:bCs/>
          <w:sz w:val="24"/>
          <w:szCs w:val="24"/>
        </w:rPr>
        <w:t>–</w:t>
      </w:r>
      <w:r w:rsidR="00233250">
        <w:rPr>
          <w:rFonts w:ascii="Times New Roman" w:hAnsi="Times New Roman" w:cs="Times New Roman"/>
          <w:bCs/>
          <w:sz w:val="24"/>
          <w:szCs w:val="24"/>
        </w:rPr>
        <w:t xml:space="preserve"> the </w:t>
      </w:r>
      <w:r w:rsidR="00617151">
        <w:rPr>
          <w:rFonts w:ascii="Times New Roman" w:hAnsi="Times New Roman" w:cs="Times New Roman"/>
          <w:bCs/>
          <w:sz w:val="24"/>
          <w:szCs w:val="24"/>
        </w:rPr>
        <w:t>suspects</w:t>
      </w:r>
      <w:r w:rsidR="00233250">
        <w:rPr>
          <w:rFonts w:ascii="Times New Roman" w:hAnsi="Times New Roman" w:cs="Times New Roman"/>
          <w:bCs/>
          <w:sz w:val="24"/>
          <w:szCs w:val="24"/>
        </w:rPr>
        <w:t xml:space="preserve"> </w:t>
      </w:r>
      <w:r>
        <w:rPr>
          <w:rFonts w:ascii="Times New Roman" w:hAnsi="Times New Roman" w:cs="Times New Roman"/>
          <w:bCs/>
          <w:sz w:val="24"/>
          <w:szCs w:val="24"/>
        </w:rPr>
        <w:t xml:space="preserve">were subjected to further tortures, </w:t>
      </w:r>
      <w:r w:rsidR="003C78E0">
        <w:rPr>
          <w:rFonts w:ascii="Times New Roman" w:hAnsi="Times New Roman" w:cs="Times New Roman"/>
          <w:bCs/>
          <w:sz w:val="24"/>
          <w:szCs w:val="24"/>
        </w:rPr>
        <w:t>which for Ran</w:t>
      </w:r>
      <w:r>
        <w:rPr>
          <w:rFonts w:ascii="Times New Roman" w:hAnsi="Times New Roman" w:cs="Times New Roman"/>
          <w:bCs/>
          <w:sz w:val="24"/>
          <w:szCs w:val="24"/>
        </w:rPr>
        <w:t xml:space="preserve">u included having burning cow </w:t>
      </w:r>
      <w:r w:rsidR="00233250">
        <w:rPr>
          <w:rFonts w:ascii="Times New Roman" w:hAnsi="Times New Roman" w:cs="Times New Roman"/>
          <w:bCs/>
          <w:sz w:val="24"/>
          <w:szCs w:val="24"/>
        </w:rPr>
        <w:t>dung cakes placed under his hands and arms</w:t>
      </w:r>
      <w:r>
        <w:rPr>
          <w:rFonts w:ascii="Times New Roman" w:hAnsi="Times New Roman" w:cs="Times New Roman"/>
          <w:bCs/>
          <w:sz w:val="24"/>
          <w:szCs w:val="24"/>
        </w:rPr>
        <w:t xml:space="preserve">, and having a stone placed on his chest, which a constable </w:t>
      </w:r>
      <w:r w:rsidR="003C78E0">
        <w:rPr>
          <w:rFonts w:ascii="Times New Roman" w:hAnsi="Times New Roman" w:cs="Times New Roman"/>
          <w:bCs/>
          <w:sz w:val="24"/>
          <w:szCs w:val="24"/>
        </w:rPr>
        <w:t>then put his weight</w:t>
      </w:r>
      <w:r w:rsidR="00A67C3F">
        <w:rPr>
          <w:rFonts w:ascii="Times New Roman" w:hAnsi="Times New Roman" w:cs="Times New Roman"/>
          <w:bCs/>
          <w:sz w:val="24"/>
          <w:szCs w:val="24"/>
        </w:rPr>
        <w:t xml:space="preserve"> on. Ranu became unconscious from such treatmen</w:t>
      </w:r>
      <w:r w:rsidR="00FF47BA">
        <w:rPr>
          <w:rFonts w:ascii="Times New Roman" w:hAnsi="Times New Roman" w:cs="Times New Roman"/>
          <w:bCs/>
          <w:sz w:val="24"/>
          <w:szCs w:val="24"/>
        </w:rPr>
        <w:t xml:space="preserve">t and, unable to walk to the </w:t>
      </w:r>
      <w:r w:rsidR="00FF47BA" w:rsidRPr="00C4596E">
        <w:rPr>
          <w:rFonts w:ascii="Times New Roman" w:hAnsi="Times New Roman" w:cs="Times New Roman"/>
          <w:bCs/>
          <w:i/>
          <w:sz w:val="24"/>
          <w:szCs w:val="24"/>
        </w:rPr>
        <w:t>thana</w:t>
      </w:r>
      <w:r w:rsidR="00FF47BA">
        <w:rPr>
          <w:rFonts w:ascii="Times New Roman" w:hAnsi="Times New Roman" w:cs="Times New Roman"/>
          <w:bCs/>
          <w:sz w:val="24"/>
          <w:szCs w:val="24"/>
        </w:rPr>
        <w:t xml:space="preserve"> </w:t>
      </w:r>
      <w:r w:rsidR="00C4596E">
        <w:rPr>
          <w:rFonts w:ascii="Times New Roman" w:hAnsi="Times New Roman" w:cs="Times New Roman"/>
          <w:bCs/>
          <w:sz w:val="24"/>
          <w:szCs w:val="24"/>
        </w:rPr>
        <w:t xml:space="preserve">(police station) </w:t>
      </w:r>
      <w:r w:rsidR="00FF47BA">
        <w:rPr>
          <w:rFonts w:ascii="Times New Roman" w:hAnsi="Times New Roman" w:cs="Times New Roman"/>
          <w:bCs/>
          <w:sz w:val="24"/>
          <w:szCs w:val="24"/>
        </w:rPr>
        <w:t xml:space="preserve">the following day, was bound with rope and placed on a bullock cart for the 14 mile journey – which instead of taking an expected seven to eight hours, took twelve. </w:t>
      </w:r>
      <w:r w:rsidR="00AF5ED6">
        <w:rPr>
          <w:rFonts w:ascii="Times New Roman" w:hAnsi="Times New Roman" w:cs="Times New Roman"/>
          <w:bCs/>
          <w:sz w:val="24"/>
          <w:szCs w:val="24"/>
        </w:rPr>
        <w:t>On the 28</w:t>
      </w:r>
      <w:r w:rsidR="00AF5ED6" w:rsidRPr="00AF5ED6">
        <w:rPr>
          <w:rFonts w:ascii="Times New Roman" w:hAnsi="Times New Roman" w:cs="Times New Roman"/>
          <w:bCs/>
          <w:sz w:val="24"/>
          <w:szCs w:val="24"/>
          <w:vertAlign w:val="superscript"/>
        </w:rPr>
        <w:t>th</w:t>
      </w:r>
      <w:r w:rsidR="00FF47BA">
        <w:rPr>
          <w:rFonts w:ascii="Times New Roman" w:hAnsi="Times New Roman" w:cs="Times New Roman"/>
          <w:bCs/>
          <w:sz w:val="24"/>
          <w:szCs w:val="24"/>
        </w:rPr>
        <w:t xml:space="preserve"> the suspects</w:t>
      </w:r>
      <w:r w:rsidR="00AF5ED6">
        <w:rPr>
          <w:rFonts w:ascii="Times New Roman" w:hAnsi="Times New Roman" w:cs="Times New Roman"/>
          <w:bCs/>
          <w:sz w:val="24"/>
          <w:szCs w:val="24"/>
        </w:rPr>
        <w:t xml:space="preserve"> were </w:t>
      </w:r>
      <w:r w:rsidR="00FF47BA">
        <w:rPr>
          <w:rFonts w:ascii="Times New Roman" w:hAnsi="Times New Roman" w:cs="Times New Roman"/>
          <w:bCs/>
          <w:sz w:val="24"/>
          <w:szCs w:val="24"/>
        </w:rPr>
        <w:t>brought before</w:t>
      </w:r>
      <w:r w:rsidR="00AF5ED6">
        <w:rPr>
          <w:rFonts w:ascii="Times New Roman" w:hAnsi="Times New Roman" w:cs="Times New Roman"/>
          <w:bCs/>
          <w:sz w:val="24"/>
          <w:szCs w:val="24"/>
        </w:rPr>
        <w:t xml:space="preserve"> the</w:t>
      </w:r>
      <w:r w:rsidR="00F445C5">
        <w:rPr>
          <w:rFonts w:ascii="Times New Roman" w:hAnsi="Times New Roman" w:cs="Times New Roman"/>
          <w:bCs/>
          <w:sz w:val="24"/>
          <w:szCs w:val="24"/>
        </w:rPr>
        <w:t xml:space="preserve"> Sub-divisional Officer </w:t>
      </w:r>
      <w:r w:rsidR="00AF5ED6">
        <w:rPr>
          <w:rFonts w:ascii="Times New Roman" w:hAnsi="Times New Roman" w:cs="Times New Roman"/>
          <w:bCs/>
          <w:sz w:val="24"/>
          <w:szCs w:val="24"/>
        </w:rPr>
        <w:t xml:space="preserve">of Kishenganj, A. W. Barnicott. </w:t>
      </w:r>
      <w:r w:rsidR="00FF47BA">
        <w:rPr>
          <w:rFonts w:ascii="Times New Roman" w:hAnsi="Times New Roman" w:cs="Times New Roman"/>
          <w:bCs/>
          <w:sz w:val="24"/>
          <w:szCs w:val="24"/>
        </w:rPr>
        <w:t xml:space="preserve">Although Ramu was in a pitiful condition, the men did not receive </w:t>
      </w:r>
      <w:r w:rsidR="00F445C5">
        <w:rPr>
          <w:rFonts w:ascii="Times New Roman" w:hAnsi="Times New Roman" w:cs="Times New Roman"/>
          <w:bCs/>
          <w:sz w:val="24"/>
          <w:szCs w:val="24"/>
        </w:rPr>
        <w:t>any medical care until a relation of Pathar</w:t>
      </w:r>
      <w:r w:rsidR="00FF47BA">
        <w:rPr>
          <w:rFonts w:ascii="Times New Roman" w:hAnsi="Times New Roman" w:cs="Times New Roman"/>
          <w:bCs/>
          <w:sz w:val="24"/>
          <w:szCs w:val="24"/>
        </w:rPr>
        <w:t>u</w:t>
      </w:r>
      <w:r w:rsidR="00F445C5">
        <w:rPr>
          <w:rFonts w:ascii="Times New Roman" w:hAnsi="Times New Roman" w:cs="Times New Roman"/>
          <w:bCs/>
          <w:sz w:val="24"/>
          <w:szCs w:val="24"/>
        </w:rPr>
        <w:t xml:space="preserve"> filed an application before </w:t>
      </w:r>
      <w:r w:rsidR="00AF5ED6">
        <w:rPr>
          <w:rFonts w:ascii="Times New Roman" w:hAnsi="Times New Roman" w:cs="Times New Roman"/>
          <w:bCs/>
          <w:sz w:val="24"/>
          <w:szCs w:val="24"/>
        </w:rPr>
        <w:t>Barnicott</w:t>
      </w:r>
      <w:r w:rsidR="00F445C5">
        <w:rPr>
          <w:rFonts w:ascii="Times New Roman" w:hAnsi="Times New Roman" w:cs="Times New Roman"/>
          <w:bCs/>
          <w:sz w:val="24"/>
          <w:szCs w:val="24"/>
        </w:rPr>
        <w:t xml:space="preserve"> on the 28</w:t>
      </w:r>
      <w:r w:rsidR="00F445C5" w:rsidRPr="00F445C5">
        <w:rPr>
          <w:rFonts w:ascii="Times New Roman" w:hAnsi="Times New Roman" w:cs="Times New Roman"/>
          <w:bCs/>
          <w:sz w:val="24"/>
          <w:szCs w:val="24"/>
          <w:vertAlign w:val="superscript"/>
        </w:rPr>
        <w:t>th</w:t>
      </w:r>
      <w:r w:rsidR="00F445C5">
        <w:rPr>
          <w:rFonts w:ascii="Times New Roman" w:hAnsi="Times New Roman" w:cs="Times New Roman"/>
          <w:bCs/>
          <w:sz w:val="24"/>
          <w:szCs w:val="24"/>
        </w:rPr>
        <w:t xml:space="preserve"> </w:t>
      </w:r>
      <w:r w:rsidR="00AF5ED6">
        <w:rPr>
          <w:rFonts w:ascii="Times New Roman" w:hAnsi="Times New Roman" w:cs="Times New Roman"/>
          <w:bCs/>
          <w:sz w:val="24"/>
          <w:szCs w:val="24"/>
        </w:rPr>
        <w:t>to send them to the Charitable Dispensary</w:t>
      </w:r>
      <w:r w:rsidR="00EA50FC">
        <w:rPr>
          <w:rFonts w:ascii="Times New Roman" w:hAnsi="Times New Roman" w:cs="Times New Roman"/>
          <w:bCs/>
          <w:sz w:val="24"/>
          <w:szCs w:val="24"/>
        </w:rPr>
        <w:t xml:space="preserve"> for treatment, which Barnicott did not do until the following day. </w:t>
      </w:r>
      <w:r w:rsidR="00F445C5">
        <w:rPr>
          <w:rFonts w:ascii="Times New Roman" w:hAnsi="Times New Roman" w:cs="Times New Roman"/>
          <w:bCs/>
          <w:sz w:val="24"/>
          <w:szCs w:val="24"/>
        </w:rPr>
        <w:t xml:space="preserve">Shortly after arriving at the hospital Ranu </w:t>
      </w:r>
      <w:r w:rsidR="00FF47BA">
        <w:rPr>
          <w:rFonts w:ascii="Times New Roman" w:hAnsi="Times New Roman" w:cs="Times New Roman"/>
          <w:bCs/>
          <w:sz w:val="24"/>
          <w:szCs w:val="24"/>
        </w:rPr>
        <w:t>died</w:t>
      </w:r>
      <w:r w:rsidR="004A0B63">
        <w:rPr>
          <w:rFonts w:ascii="Times New Roman" w:hAnsi="Times New Roman" w:cs="Times New Roman"/>
          <w:bCs/>
          <w:sz w:val="24"/>
          <w:szCs w:val="24"/>
        </w:rPr>
        <w:t>, according to his post mortem</w:t>
      </w:r>
      <w:r w:rsidR="003D3583">
        <w:rPr>
          <w:rFonts w:ascii="Times New Roman" w:hAnsi="Times New Roman" w:cs="Times New Roman"/>
          <w:bCs/>
          <w:sz w:val="24"/>
          <w:szCs w:val="24"/>
        </w:rPr>
        <w:t>,</w:t>
      </w:r>
      <w:r w:rsidR="004A0B63">
        <w:rPr>
          <w:rFonts w:ascii="Times New Roman" w:hAnsi="Times New Roman" w:cs="Times New Roman"/>
          <w:bCs/>
          <w:sz w:val="24"/>
          <w:szCs w:val="24"/>
        </w:rPr>
        <w:t xml:space="preserve"> from blood poisoning</w:t>
      </w:r>
      <w:r w:rsidR="00F445C5" w:rsidRPr="00617151">
        <w:rPr>
          <w:rFonts w:ascii="Times New Roman" w:hAnsi="Times New Roman" w:cs="Times New Roman"/>
          <w:bCs/>
          <w:sz w:val="24"/>
          <w:szCs w:val="24"/>
        </w:rPr>
        <w:t>.</w:t>
      </w:r>
      <w:r w:rsidR="007A646F" w:rsidRPr="00617151">
        <w:rPr>
          <w:rStyle w:val="FootnoteReference"/>
          <w:rFonts w:ascii="Times New Roman" w:hAnsi="Times New Roman" w:cs="Times New Roman"/>
          <w:bCs/>
          <w:sz w:val="24"/>
          <w:szCs w:val="24"/>
        </w:rPr>
        <w:footnoteReference w:id="83"/>
      </w:r>
    </w:p>
    <w:p w:rsidR="00A10406" w:rsidRDefault="00FD4812" w:rsidP="003B5F12">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Nothing, apparently, would have been done about Ranu’s death</w:t>
      </w:r>
      <w:r w:rsidR="00CF52BB">
        <w:rPr>
          <w:rFonts w:ascii="Times New Roman" w:hAnsi="Times New Roman" w:cs="Times New Roman"/>
          <w:bCs/>
          <w:sz w:val="24"/>
          <w:szCs w:val="24"/>
        </w:rPr>
        <w:t xml:space="preserve"> had not Ranu’s son, </w:t>
      </w:r>
      <w:r w:rsidR="00C8221B">
        <w:rPr>
          <w:rFonts w:ascii="Times New Roman" w:hAnsi="Times New Roman" w:cs="Times New Roman"/>
          <w:bCs/>
          <w:sz w:val="24"/>
          <w:szCs w:val="24"/>
        </w:rPr>
        <w:t>Ekin Ali, submitted a complaint</w:t>
      </w:r>
      <w:r w:rsidR="00CF52BB">
        <w:rPr>
          <w:rFonts w:ascii="Times New Roman" w:hAnsi="Times New Roman" w:cs="Times New Roman"/>
          <w:bCs/>
          <w:sz w:val="24"/>
          <w:szCs w:val="24"/>
        </w:rPr>
        <w:t xml:space="preserve"> to Barnicott </w:t>
      </w:r>
      <w:r w:rsidR="00C8221B">
        <w:rPr>
          <w:rFonts w:ascii="Times New Roman" w:hAnsi="Times New Roman" w:cs="Times New Roman"/>
          <w:bCs/>
          <w:sz w:val="24"/>
          <w:szCs w:val="24"/>
        </w:rPr>
        <w:t xml:space="preserve">several days after his father’s death </w:t>
      </w:r>
      <w:r w:rsidR="00CF52BB">
        <w:rPr>
          <w:rFonts w:ascii="Times New Roman" w:hAnsi="Times New Roman" w:cs="Times New Roman"/>
          <w:bCs/>
          <w:sz w:val="24"/>
          <w:szCs w:val="24"/>
        </w:rPr>
        <w:t xml:space="preserve">that </w:t>
      </w:r>
      <w:r w:rsidR="00AD115B">
        <w:rPr>
          <w:rFonts w:ascii="Times New Roman" w:hAnsi="Times New Roman" w:cs="Times New Roman"/>
          <w:sz w:val="24"/>
          <w:szCs w:val="24"/>
        </w:rPr>
        <w:t>the two sub-inspectors and</w:t>
      </w:r>
      <w:r w:rsidR="00CF52BB" w:rsidRPr="00EF1A7A">
        <w:rPr>
          <w:rFonts w:ascii="Times New Roman" w:hAnsi="Times New Roman" w:cs="Times New Roman"/>
          <w:sz w:val="24"/>
          <w:szCs w:val="24"/>
        </w:rPr>
        <w:t xml:space="preserve"> five constables</w:t>
      </w:r>
      <w:r w:rsidR="00CF52BB">
        <w:rPr>
          <w:rFonts w:ascii="Times New Roman" w:hAnsi="Times New Roman" w:cs="Times New Roman"/>
          <w:sz w:val="24"/>
          <w:szCs w:val="24"/>
        </w:rPr>
        <w:t xml:space="preserve"> had tortured his father</w:t>
      </w:r>
      <w:r w:rsidR="00A91EFE">
        <w:rPr>
          <w:rFonts w:ascii="Times New Roman" w:hAnsi="Times New Roman" w:cs="Times New Roman"/>
          <w:sz w:val="24"/>
          <w:szCs w:val="24"/>
        </w:rPr>
        <w:t xml:space="preserve">. </w:t>
      </w:r>
      <w:r w:rsidR="00632697">
        <w:rPr>
          <w:rFonts w:ascii="Times New Roman" w:hAnsi="Times New Roman" w:cs="Times New Roman"/>
          <w:sz w:val="24"/>
          <w:szCs w:val="24"/>
        </w:rPr>
        <w:t xml:space="preserve">A complicated series of enquiries </w:t>
      </w:r>
      <w:r w:rsidR="00EE1BCE">
        <w:rPr>
          <w:rFonts w:ascii="Times New Roman" w:hAnsi="Times New Roman" w:cs="Times New Roman"/>
          <w:sz w:val="24"/>
          <w:szCs w:val="24"/>
        </w:rPr>
        <w:t>and bureaucratic</w:t>
      </w:r>
      <w:r w:rsidR="00632697">
        <w:rPr>
          <w:rFonts w:ascii="Times New Roman" w:hAnsi="Times New Roman" w:cs="Times New Roman"/>
          <w:sz w:val="24"/>
          <w:szCs w:val="24"/>
        </w:rPr>
        <w:t xml:space="preserve"> manoeuvres followed, with the complaint initially being de</w:t>
      </w:r>
      <w:r w:rsidR="00EE1BCE">
        <w:rPr>
          <w:rFonts w:ascii="Times New Roman" w:hAnsi="Times New Roman" w:cs="Times New Roman"/>
          <w:sz w:val="24"/>
          <w:szCs w:val="24"/>
        </w:rPr>
        <w:t>clared false</w:t>
      </w:r>
      <w:r w:rsidR="0048029E">
        <w:rPr>
          <w:rFonts w:ascii="Times New Roman" w:hAnsi="Times New Roman" w:cs="Times New Roman"/>
          <w:sz w:val="24"/>
          <w:szCs w:val="24"/>
        </w:rPr>
        <w:t xml:space="preserve">. When </w:t>
      </w:r>
      <w:r w:rsidR="00EE1BCE">
        <w:rPr>
          <w:rFonts w:ascii="Times New Roman" w:hAnsi="Times New Roman" w:cs="Times New Roman"/>
          <w:sz w:val="24"/>
          <w:szCs w:val="24"/>
        </w:rPr>
        <w:t>Ranu’s torturer</w:t>
      </w:r>
      <w:r w:rsidR="00052AF6">
        <w:rPr>
          <w:rFonts w:ascii="Times New Roman" w:hAnsi="Times New Roman" w:cs="Times New Roman"/>
          <w:sz w:val="24"/>
          <w:szCs w:val="24"/>
        </w:rPr>
        <w:t xml:space="preserve">s were </w:t>
      </w:r>
      <w:r w:rsidR="0048029E">
        <w:rPr>
          <w:rFonts w:ascii="Times New Roman" w:hAnsi="Times New Roman" w:cs="Times New Roman"/>
          <w:sz w:val="24"/>
          <w:szCs w:val="24"/>
        </w:rPr>
        <w:t xml:space="preserve">finally put on trial, </w:t>
      </w:r>
      <w:r w:rsidR="00EE1BCE">
        <w:rPr>
          <w:rFonts w:ascii="Times New Roman" w:hAnsi="Times New Roman" w:cs="Times New Roman"/>
          <w:sz w:val="24"/>
          <w:szCs w:val="24"/>
        </w:rPr>
        <w:t>almost two years after his death</w:t>
      </w:r>
      <w:r w:rsidR="00B93B17">
        <w:rPr>
          <w:rFonts w:ascii="Times New Roman" w:hAnsi="Times New Roman" w:cs="Times New Roman"/>
          <w:sz w:val="24"/>
          <w:szCs w:val="24"/>
        </w:rPr>
        <w:t>,</w:t>
      </w:r>
      <w:r w:rsidR="0048029E">
        <w:rPr>
          <w:rFonts w:ascii="Times New Roman" w:hAnsi="Times New Roman" w:cs="Times New Roman"/>
          <w:sz w:val="24"/>
          <w:szCs w:val="24"/>
        </w:rPr>
        <w:t xml:space="preserve"> Sessions Judge</w:t>
      </w:r>
      <w:r w:rsidR="00BE3123">
        <w:rPr>
          <w:rFonts w:ascii="Times New Roman" w:hAnsi="Times New Roman" w:cs="Times New Roman"/>
          <w:sz w:val="24"/>
          <w:szCs w:val="24"/>
        </w:rPr>
        <w:t xml:space="preserve"> </w:t>
      </w:r>
      <w:r w:rsidR="00B93B17">
        <w:rPr>
          <w:rFonts w:ascii="Times New Roman" w:hAnsi="Times New Roman" w:cs="Times New Roman"/>
          <w:sz w:val="24"/>
          <w:szCs w:val="24"/>
        </w:rPr>
        <w:t xml:space="preserve">I. L. R. Lucas </w:t>
      </w:r>
      <w:r w:rsidR="00BE3123">
        <w:rPr>
          <w:rFonts w:ascii="Times New Roman" w:hAnsi="Times New Roman" w:cs="Times New Roman"/>
          <w:sz w:val="24"/>
          <w:szCs w:val="24"/>
        </w:rPr>
        <w:t>declared all of the witnesses unreliable and</w:t>
      </w:r>
      <w:r w:rsidR="0048029E">
        <w:rPr>
          <w:rFonts w:ascii="Times New Roman" w:hAnsi="Times New Roman" w:cs="Times New Roman"/>
          <w:sz w:val="24"/>
          <w:szCs w:val="24"/>
        </w:rPr>
        <w:t xml:space="preserve"> dismissed the charges as a conspiracy against the police.</w:t>
      </w:r>
      <w:r w:rsidR="0048029E">
        <w:rPr>
          <w:rStyle w:val="FootnoteReference"/>
          <w:rFonts w:ascii="Times New Roman" w:hAnsi="Times New Roman" w:cs="Times New Roman"/>
          <w:sz w:val="24"/>
          <w:szCs w:val="24"/>
        </w:rPr>
        <w:footnoteReference w:id="84"/>
      </w:r>
      <w:r w:rsidR="00C72BA3">
        <w:rPr>
          <w:rFonts w:ascii="Times New Roman" w:hAnsi="Times New Roman" w:cs="Times New Roman"/>
          <w:sz w:val="24"/>
          <w:szCs w:val="24"/>
        </w:rPr>
        <w:t xml:space="preserve"> Faced with the problem of Ranu’s tortured body, Lucas drew </w:t>
      </w:r>
      <w:r w:rsidR="00C72BA3">
        <w:rPr>
          <w:rFonts w:ascii="Times New Roman" w:hAnsi="Times New Roman" w:cs="Times New Roman"/>
          <w:sz w:val="24"/>
          <w:szCs w:val="24"/>
        </w:rPr>
        <w:lastRenderedPageBreak/>
        <w:t xml:space="preserve">upon the post-mortem evidence of Sub-Assistant Surgeon Babu S. K. Ghose </w:t>
      </w:r>
      <w:r w:rsidR="00A91EFE">
        <w:rPr>
          <w:rFonts w:ascii="Times New Roman" w:hAnsi="Times New Roman" w:cs="Times New Roman"/>
          <w:sz w:val="24"/>
          <w:szCs w:val="24"/>
        </w:rPr>
        <w:t>that “</w:t>
      </w:r>
      <w:r w:rsidR="00522D9F">
        <w:rPr>
          <w:rFonts w:ascii="Times New Roman" w:hAnsi="Times New Roman" w:cs="Times New Roman"/>
          <w:sz w:val="24"/>
          <w:szCs w:val="24"/>
        </w:rPr>
        <w:t>’</w:t>
      </w:r>
      <w:r w:rsidR="00A91EFE">
        <w:rPr>
          <w:rFonts w:ascii="Times New Roman" w:hAnsi="Times New Roman" w:cs="Times New Roman"/>
          <w:sz w:val="24"/>
          <w:szCs w:val="24"/>
        </w:rPr>
        <w:t>Ranu when his arms were bound must have rubbed them together and so caused abrasions of the lower arms and it was through these abrasions that dirt entered the syst</w:t>
      </w:r>
      <w:r w:rsidR="00522D9F">
        <w:rPr>
          <w:rFonts w:ascii="Times New Roman" w:hAnsi="Times New Roman" w:cs="Times New Roman"/>
          <w:sz w:val="24"/>
          <w:szCs w:val="24"/>
        </w:rPr>
        <w:t>em and produced blood poisoning’</w:t>
      </w:r>
      <w:r w:rsidR="00A91EFE">
        <w:rPr>
          <w:rFonts w:ascii="Times New Roman" w:hAnsi="Times New Roman" w:cs="Times New Roman"/>
          <w:sz w:val="24"/>
          <w:szCs w:val="24"/>
        </w:rPr>
        <w:t>”</w:t>
      </w:r>
      <w:r w:rsidR="00522D9F">
        <w:rPr>
          <w:rFonts w:ascii="Times New Roman" w:hAnsi="Times New Roman" w:cs="Times New Roman"/>
          <w:sz w:val="24"/>
          <w:szCs w:val="24"/>
        </w:rPr>
        <w:t xml:space="preserve"> to blame Ranu for his </w:t>
      </w:r>
      <w:r w:rsidR="0007111D">
        <w:rPr>
          <w:rFonts w:ascii="Times New Roman" w:hAnsi="Times New Roman" w:cs="Times New Roman"/>
          <w:sz w:val="24"/>
          <w:szCs w:val="24"/>
        </w:rPr>
        <w:t xml:space="preserve">own </w:t>
      </w:r>
      <w:r w:rsidR="00522D9F">
        <w:rPr>
          <w:rFonts w:ascii="Times New Roman" w:hAnsi="Times New Roman" w:cs="Times New Roman"/>
          <w:sz w:val="24"/>
          <w:szCs w:val="24"/>
        </w:rPr>
        <w:t>torture and subsequent death.</w:t>
      </w:r>
      <w:r w:rsidR="00A91EFE">
        <w:rPr>
          <w:rStyle w:val="FootnoteReference"/>
          <w:rFonts w:ascii="Times New Roman" w:hAnsi="Times New Roman" w:cs="Times New Roman"/>
          <w:sz w:val="24"/>
          <w:szCs w:val="24"/>
        </w:rPr>
        <w:footnoteReference w:id="85"/>
      </w:r>
      <w:r w:rsidR="00522D9F">
        <w:rPr>
          <w:rFonts w:ascii="Times New Roman" w:hAnsi="Times New Roman" w:cs="Times New Roman"/>
          <w:sz w:val="24"/>
          <w:szCs w:val="24"/>
        </w:rPr>
        <w:t xml:space="preserve"> </w:t>
      </w:r>
      <w:r w:rsidR="002B5F61">
        <w:rPr>
          <w:rFonts w:ascii="Times New Roman" w:hAnsi="Times New Roman" w:cs="Times New Roman"/>
          <w:sz w:val="24"/>
          <w:szCs w:val="24"/>
        </w:rPr>
        <w:t>Conclusive proof that neither Ranu nor his co-suspects were tortured, for Lucas, was to be found in the fact that none of them had ever made an official complaint about their torture</w:t>
      </w:r>
      <w:r w:rsidR="00F70B8B">
        <w:rPr>
          <w:rFonts w:ascii="Times New Roman" w:hAnsi="Times New Roman" w:cs="Times New Roman"/>
          <w:sz w:val="24"/>
          <w:szCs w:val="24"/>
        </w:rPr>
        <w:t xml:space="preserve"> – which was clearly not, for Lucas, a sign that the men simply had no faith of redress for such treatment</w:t>
      </w:r>
      <w:r w:rsidR="00B44B02" w:rsidRPr="00B44B02">
        <w:rPr>
          <w:rFonts w:ascii="Times New Roman" w:hAnsi="Times New Roman" w:cs="Times New Roman"/>
          <w:sz w:val="24"/>
          <w:szCs w:val="24"/>
        </w:rPr>
        <w:t>.</w:t>
      </w:r>
      <w:r w:rsidR="00E17A0E">
        <w:rPr>
          <w:rStyle w:val="FootnoteReference"/>
          <w:rFonts w:ascii="Times New Roman" w:hAnsi="Times New Roman" w:cs="Times New Roman"/>
          <w:sz w:val="24"/>
          <w:szCs w:val="24"/>
        </w:rPr>
        <w:footnoteReference w:id="86"/>
      </w:r>
      <w:r w:rsidR="00C55996">
        <w:rPr>
          <w:rFonts w:ascii="Times New Roman" w:hAnsi="Times New Roman" w:cs="Times New Roman"/>
          <w:sz w:val="24"/>
          <w:szCs w:val="24"/>
        </w:rPr>
        <w:t xml:space="preserve"> </w:t>
      </w:r>
    </w:p>
    <w:p w:rsidR="007A0870" w:rsidRDefault="00A10406" w:rsidP="007A087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face of pressure from the Indian press and Indian government, and questions raised about the case in Parliament, the Government of Bengal ordered a further enquiry, but Sessions Judge W. H. Vincent came to the same conclusion as Lucas</w:t>
      </w:r>
      <w:r w:rsidR="00DC5F55">
        <w:rPr>
          <w:rFonts w:ascii="Times New Roman" w:hAnsi="Times New Roman" w:cs="Times New Roman"/>
          <w:sz w:val="24"/>
          <w:szCs w:val="24"/>
        </w:rPr>
        <w:t xml:space="preserve"> – although his reasoning was even more muddled. </w:t>
      </w:r>
      <w:r w:rsidR="006320DD">
        <w:rPr>
          <w:rFonts w:ascii="Times New Roman" w:hAnsi="Times New Roman" w:cs="Times New Roman"/>
          <w:sz w:val="24"/>
          <w:szCs w:val="24"/>
        </w:rPr>
        <w:t>While on the one hand Vincent regarded the medical evidence as offering conclusive proof that Ranu has caused his own death (such evidence, he argued, made it “impossible that that the story now told can be true . . .”</w:t>
      </w:r>
      <w:r w:rsidR="006320DD" w:rsidRPr="006320DD">
        <w:rPr>
          <w:rStyle w:val="FootnoteReference"/>
          <w:rFonts w:ascii="Times New Roman" w:hAnsi="Times New Roman" w:cs="Times New Roman"/>
          <w:sz w:val="24"/>
          <w:szCs w:val="24"/>
        </w:rPr>
        <w:t xml:space="preserve"> </w:t>
      </w:r>
      <w:r w:rsidR="006320DD">
        <w:rPr>
          <w:rFonts w:ascii="Times New Roman" w:hAnsi="Times New Roman" w:cs="Times New Roman"/>
          <w:sz w:val="24"/>
          <w:szCs w:val="24"/>
        </w:rPr>
        <w:t>), on the other he thought it should be viewed “with great suspicion” since the Civil Hospital Assistant was alleged to be in league with the sub-inspectors’ enemies.</w:t>
      </w:r>
      <w:r w:rsidR="001173F3">
        <w:rPr>
          <w:rStyle w:val="FootnoteReference"/>
          <w:rFonts w:ascii="Times New Roman" w:hAnsi="Times New Roman" w:cs="Times New Roman"/>
          <w:sz w:val="24"/>
          <w:szCs w:val="24"/>
        </w:rPr>
        <w:footnoteReference w:id="87"/>
      </w:r>
      <w:r w:rsidR="007B48AA">
        <w:rPr>
          <w:rFonts w:ascii="Times New Roman" w:hAnsi="Times New Roman" w:cs="Times New Roman"/>
          <w:sz w:val="24"/>
          <w:szCs w:val="24"/>
        </w:rPr>
        <w:t xml:space="preserve"> And while Vincent admitted </w:t>
      </w:r>
      <w:r w:rsidR="00EE4A4C">
        <w:rPr>
          <w:rFonts w:ascii="Times New Roman" w:hAnsi="Times New Roman" w:cs="Times New Roman"/>
          <w:sz w:val="24"/>
          <w:szCs w:val="24"/>
        </w:rPr>
        <w:t xml:space="preserve">that there were “certain broad facts which stand out and support the prosecution” – such as </w:t>
      </w:r>
      <w:r w:rsidR="007B48AA">
        <w:rPr>
          <w:rFonts w:ascii="Times New Roman" w:hAnsi="Times New Roman" w:cs="Times New Roman"/>
          <w:sz w:val="24"/>
          <w:szCs w:val="24"/>
        </w:rPr>
        <w:t xml:space="preserve">the delay in sending the suspects to Kisenganj, that Ranu arrived “with some marks of injury”, </w:t>
      </w:r>
      <w:r w:rsidR="007B48AA">
        <w:rPr>
          <w:rFonts w:ascii="Times New Roman" w:hAnsi="Times New Roman" w:cs="Times New Roman"/>
          <w:sz w:val="24"/>
          <w:szCs w:val="24"/>
        </w:rPr>
        <w:lastRenderedPageBreak/>
        <w:t>and common knowledge about police procedure (namely that “pressure is often put on a person to confess”) – he reached the astounding conclusion that individual police officers could not be convicted for applying such “pressure” when it was a practice that all police engaged in.</w:t>
      </w:r>
      <w:r w:rsidR="00215B34">
        <w:rPr>
          <w:rFonts w:ascii="Times New Roman" w:hAnsi="Times New Roman" w:cs="Times New Roman"/>
          <w:sz w:val="24"/>
          <w:szCs w:val="24"/>
        </w:rPr>
        <w:t xml:space="preserve"> Such logic forced Vincent to acknowledge what he sought to deny, namely that the police had tortured Ranu, since Vincent concluded that “</w:t>
      </w:r>
      <w:r w:rsidR="00287DFC">
        <w:rPr>
          <w:rFonts w:ascii="Times New Roman" w:hAnsi="Times New Roman" w:cs="Times New Roman"/>
          <w:sz w:val="24"/>
          <w:szCs w:val="24"/>
        </w:rPr>
        <w:t>it is quite possible, and even probable that it was the constable who used violence to the prisoner and not these officers at all.”</w:t>
      </w:r>
      <w:r w:rsidR="00287DFC">
        <w:rPr>
          <w:rStyle w:val="FootnoteReference"/>
          <w:rFonts w:ascii="Times New Roman" w:hAnsi="Times New Roman" w:cs="Times New Roman"/>
          <w:sz w:val="24"/>
          <w:szCs w:val="24"/>
        </w:rPr>
        <w:footnoteReference w:id="88"/>
      </w:r>
      <w:r w:rsidR="00EE4A4C">
        <w:rPr>
          <w:rFonts w:ascii="Times New Roman" w:hAnsi="Times New Roman" w:cs="Times New Roman"/>
          <w:sz w:val="24"/>
          <w:szCs w:val="24"/>
        </w:rPr>
        <w:t xml:space="preserve"> </w:t>
      </w:r>
      <w:r w:rsidR="00215B34">
        <w:rPr>
          <w:rFonts w:ascii="Times New Roman" w:hAnsi="Times New Roman" w:cs="Times New Roman"/>
          <w:sz w:val="24"/>
          <w:szCs w:val="24"/>
        </w:rPr>
        <w:t>While Vincent unwittingly acknowledged that Ranu was not culpable for his own torture and death, he nonetheless dismissed the charges.</w:t>
      </w:r>
      <w:r w:rsidR="00215B34">
        <w:rPr>
          <w:rStyle w:val="FootnoteReference"/>
          <w:rFonts w:ascii="Times New Roman" w:hAnsi="Times New Roman" w:cs="Times New Roman"/>
          <w:sz w:val="24"/>
          <w:szCs w:val="24"/>
        </w:rPr>
        <w:footnoteReference w:id="89"/>
      </w:r>
      <w:r w:rsidR="0073276E">
        <w:rPr>
          <w:rFonts w:ascii="Times New Roman" w:hAnsi="Times New Roman" w:cs="Times New Roman"/>
          <w:sz w:val="24"/>
          <w:szCs w:val="24"/>
        </w:rPr>
        <w:t xml:space="preserve"> </w:t>
      </w:r>
      <w:r w:rsidR="007C4BE1">
        <w:rPr>
          <w:rFonts w:ascii="Times New Roman" w:hAnsi="Times New Roman" w:cs="Times New Roman"/>
          <w:sz w:val="24"/>
          <w:szCs w:val="24"/>
        </w:rPr>
        <w:t xml:space="preserve">This is not to say that Ranu’s torturers completely </w:t>
      </w:r>
      <w:r w:rsidR="00FC75AE">
        <w:rPr>
          <w:rFonts w:ascii="Times New Roman" w:hAnsi="Times New Roman" w:cs="Times New Roman"/>
          <w:sz w:val="24"/>
          <w:szCs w:val="24"/>
        </w:rPr>
        <w:t xml:space="preserve">evaded punishment, since </w:t>
      </w:r>
      <w:r w:rsidR="007C4BE1">
        <w:rPr>
          <w:rFonts w:ascii="Times New Roman" w:hAnsi="Times New Roman" w:cs="Times New Roman"/>
          <w:sz w:val="24"/>
          <w:szCs w:val="24"/>
        </w:rPr>
        <w:t>Fazlit</w:t>
      </w:r>
      <w:r w:rsidR="00513A5E">
        <w:rPr>
          <w:rFonts w:ascii="Times New Roman" w:hAnsi="Times New Roman" w:cs="Times New Roman"/>
          <w:sz w:val="24"/>
          <w:szCs w:val="24"/>
        </w:rPr>
        <w:t xml:space="preserve"> Hussain was degraded for six months and two constables</w:t>
      </w:r>
      <w:r w:rsidR="007C4BE1">
        <w:rPr>
          <w:rFonts w:ascii="Times New Roman" w:hAnsi="Times New Roman" w:cs="Times New Roman"/>
          <w:sz w:val="24"/>
          <w:szCs w:val="24"/>
        </w:rPr>
        <w:t xml:space="preserve"> were</w:t>
      </w:r>
      <w:r w:rsidR="00513A5E">
        <w:rPr>
          <w:rFonts w:ascii="Times New Roman" w:hAnsi="Times New Roman" w:cs="Times New Roman"/>
          <w:sz w:val="24"/>
          <w:szCs w:val="24"/>
        </w:rPr>
        <w:t xml:space="preserve"> given drill and guard duty</w:t>
      </w:r>
      <w:r w:rsidR="00FC75AE">
        <w:rPr>
          <w:rFonts w:ascii="Times New Roman" w:hAnsi="Times New Roman" w:cs="Times New Roman"/>
          <w:sz w:val="24"/>
          <w:szCs w:val="24"/>
        </w:rPr>
        <w:t xml:space="preserve">. </w:t>
      </w:r>
      <w:r w:rsidR="00C1408F">
        <w:rPr>
          <w:rFonts w:ascii="Times New Roman" w:hAnsi="Times New Roman" w:cs="Times New Roman"/>
          <w:sz w:val="24"/>
          <w:szCs w:val="24"/>
        </w:rPr>
        <w:t>B</w:t>
      </w:r>
      <w:r w:rsidR="00513A5E">
        <w:rPr>
          <w:rFonts w:ascii="Times New Roman" w:hAnsi="Times New Roman" w:cs="Times New Roman"/>
          <w:sz w:val="24"/>
          <w:szCs w:val="24"/>
        </w:rPr>
        <w:t xml:space="preserve">ut </w:t>
      </w:r>
      <w:r w:rsidR="00C1408F">
        <w:rPr>
          <w:rFonts w:ascii="Times New Roman" w:hAnsi="Times New Roman" w:cs="Times New Roman"/>
          <w:sz w:val="24"/>
          <w:szCs w:val="24"/>
        </w:rPr>
        <w:t xml:space="preserve">such punishment </w:t>
      </w:r>
      <w:r w:rsidR="007C4BE1">
        <w:rPr>
          <w:rFonts w:ascii="Times New Roman" w:hAnsi="Times New Roman" w:cs="Times New Roman"/>
          <w:sz w:val="24"/>
          <w:szCs w:val="24"/>
        </w:rPr>
        <w:t>was for</w:t>
      </w:r>
      <w:r w:rsidR="007A0870">
        <w:rPr>
          <w:rFonts w:ascii="Times New Roman" w:hAnsi="Times New Roman" w:cs="Times New Roman"/>
          <w:sz w:val="24"/>
          <w:szCs w:val="24"/>
        </w:rPr>
        <w:t xml:space="preserve"> procedural anomalies, namely</w:t>
      </w:r>
      <w:r w:rsidR="00D40AF9">
        <w:rPr>
          <w:rFonts w:ascii="Times New Roman" w:hAnsi="Times New Roman" w:cs="Times New Roman"/>
          <w:sz w:val="24"/>
          <w:szCs w:val="24"/>
        </w:rPr>
        <w:t xml:space="preserve"> </w:t>
      </w:r>
      <w:r w:rsidR="007E7004">
        <w:rPr>
          <w:rFonts w:ascii="Times New Roman" w:hAnsi="Times New Roman" w:cs="Times New Roman"/>
          <w:sz w:val="24"/>
          <w:szCs w:val="24"/>
        </w:rPr>
        <w:t xml:space="preserve">for </w:t>
      </w:r>
      <w:r w:rsidR="00D40AF9">
        <w:rPr>
          <w:rFonts w:ascii="Times New Roman" w:hAnsi="Times New Roman" w:cs="Times New Roman"/>
          <w:sz w:val="24"/>
          <w:szCs w:val="24"/>
        </w:rPr>
        <w:t>“</w:t>
      </w:r>
      <w:r w:rsidR="007C4BE1">
        <w:rPr>
          <w:rFonts w:ascii="Times New Roman" w:hAnsi="Times New Roman" w:cs="Times New Roman"/>
          <w:sz w:val="24"/>
          <w:szCs w:val="24"/>
        </w:rPr>
        <w:t>’</w:t>
      </w:r>
      <w:r w:rsidR="00D40AF9" w:rsidRPr="00EF1A7A">
        <w:rPr>
          <w:rFonts w:ascii="Times New Roman" w:hAnsi="Times New Roman" w:cs="Times New Roman"/>
          <w:sz w:val="24"/>
          <w:szCs w:val="24"/>
        </w:rPr>
        <w:t xml:space="preserve">binding without sufficient care the arms of the man who subsequently died and for delay in bringing </w:t>
      </w:r>
      <w:r w:rsidR="00D40AF9">
        <w:rPr>
          <w:rFonts w:ascii="Times New Roman" w:hAnsi="Times New Roman" w:cs="Times New Roman"/>
          <w:sz w:val="24"/>
          <w:szCs w:val="24"/>
        </w:rPr>
        <w:t>their prisoner to head-quarters’”</w:t>
      </w:r>
      <w:r w:rsidR="00C1408F">
        <w:rPr>
          <w:rFonts w:ascii="Times New Roman" w:hAnsi="Times New Roman" w:cs="Times New Roman"/>
          <w:sz w:val="24"/>
          <w:szCs w:val="24"/>
        </w:rPr>
        <w:t xml:space="preserve"> – not for torturing and killing Ranu.</w:t>
      </w:r>
      <w:r w:rsidR="00513A5E">
        <w:rPr>
          <w:rStyle w:val="FootnoteReference"/>
          <w:rFonts w:ascii="Times New Roman" w:hAnsi="Times New Roman" w:cs="Times New Roman"/>
          <w:sz w:val="24"/>
          <w:szCs w:val="24"/>
        </w:rPr>
        <w:footnoteReference w:id="90"/>
      </w:r>
      <w:r w:rsidR="00FD06EC">
        <w:rPr>
          <w:rFonts w:ascii="Times New Roman" w:hAnsi="Times New Roman" w:cs="Times New Roman"/>
          <w:sz w:val="24"/>
          <w:szCs w:val="24"/>
        </w:rPr>
        <w:t xml:space="preserve"> </w:t>
      </w:r>
    </w:p>
    <w:p w:rsidR="007A0870" w:rsidRDefault="00283243" w:rsidP="004A0B63">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Such a case reveals the ways in which</w:t>
      </w:r>
      <w:r w:rsidR="00764425">
        <w:rPr>
          <w:rFonts w:ascii="Times New Roman" w:hAnsi="Times New Roman" w:cs="Times New Roman"/>
          <w:sz w:val="24"/>
          <w:szCs w:val="24"/>
        </w:rPr>
        <w:t>, firstly,</w:t>
      </w:r>
      <w:r>
        <w:rPr>
          <w:rFonts w:ascii="Times New Roman" w:hAnsi="Times New Roman" w:cs="Times New Roman"/>
          <w:sz w:val="24"/>
          <w:szCs w:val="24"/>
        </w:rPr>
        <w:t xml:space="preserve"> governmentality served as a mask for </w:t>
      </w:r>
      <w:r w:rsidR="00296331">
        <w:rPr>
          <w:rFonts w:ascii="Times New Roman" w:hAnsi="Times New Roman" w:cs="Times New Roman"/>
          <w:sz w:val="24"/>
          <w:szCs w:val="24"/>
        </w:rPr>
        <w:t>reducing</w:t>
      </w:r>
      <w:r>
        <w:rPr>
          <w:rFonts w:ascii="Times New Roman" w:hAnsi="Times New Roman" w:cs="Times New Roman"/>
          <w:sz w:val="24"/>
          <w:szCs w:val="24"/>
        </w:rPr>
        <w:t xml:space="preserve"> torture suspects such as Ranu </w:t>
      </w:r>
      <w:r w:rsidR="00296331">
        <w:rPr>
          <w:rFonts w:ascii="Times New Roman" w:hAnsi="Times New Roman" w:cs="Times New Roman"/>
          <w:sz w:val="24"/>
          <w:szCs w:val="24"/>
        </w:rPr>
        <w:t xml:space="preserve">to </w:t>
      </w:r>
      <w:r w:rsidR="005E025A">
        <w:rPr>
          <w:rFonts w:ascii="Times New Roman" w:hAnsi="Times New Roman" w:cs="Times New Roman"/>
          <w:sz w:val="24"/>
          <w:szCs w:val="24"/>
        </w:rPr>
        <w:t>bare life</w:t>
      </w:r>
      <w:r>
        <w:rPr>
          <w:rFonts w:ascii="Times New Roman" w:hAnsi="Times New Roman" w:cs="Times New Roman"/>
          <w:sz w:val="24"/>
          <w:szCs w:val="24"/>
        </w:rPr>
        <w:t xml:space="preserve"> – </w:t>
      </w:r>
      <w:r w:rsidR="008B29F6">
        <w:rPr>
          <w:rFonts w:ascii="Times New Roman" w:hAnsi="Times New Roman" w:cs="Times New Roman"/>
          <w:sz w:val="24"/>
          <w:szCs w:val="24"/>
        </w:rPr>
        <w:t xml:space="preserve">as </w:t>
      </w:r>
      <w:r w:rsidR="00EF6116">
        <w:rPr>
          <w:rFonts w:ascii="Times New Roman" w:hAnsi="Times New Roman" w:cs="Times New Roman"/>
          <w:sz w:val="24"/>
          <w:szCs w:val="24"/>
        </w:rPr>
        <w:t>rendering them</w:t>
      </w:r>
      <w:r>
        <w:rPr>
          <w:rFonts w:ascii="Times New Roman" w:hAnsi="Times New Roman" w:cs="Times New Roman"/>
          <w:sz w:val="24"/>
          <w:szCs w:val="24"/>
        </w:rPr>
        <w:t xml:space="preserve">, in other words, </w:t>
      </w:r>
      <w:r w:rsidR="00EF6116">
        <w:rPr>
          <w:rFonts w:ascii="Times New Roman" w:hAnsi="Times New Roman" w:cs="Times New Roman"/>
          <w:sz w:val="24"/>
          <w:szCs w:val="24"/>
        </w:rPr>
        <w:t>capable of being</w:t>
      </w:r>
      <w:r>
        <w:rPr>
          <w:rFonts w:ascii="Times New Roman" w:hAnsi="Times New Roman" w:cs="Times New Roman"/>
          <w:sz w:val="24"/>
          <w:szCs w:val="24"/>
        </w:rPr>
        <w:t xml:space="preserve"> killed with impunity. </w:t>
      </w:r>
      <w:r w:rsidR="00790F56">
        <w:rPr>
          <w:rFonts w:ascii="Times New Roman" w:hAnsi="Times New Roman" w:cs="Times New Roman"/>
          <w:sz w:val="24"/>
          <w:szCs w:val="24"/>
        </w:rPr>
        <w:t>Such a politics of death is apparent in the rationale that the Chief Secretary to the Government of Bengal, the Honourable C. J. Stevenson-Moore, gave to the Indian government for Ranu’s treatment. Ranu, Steevenson-Moore observed, was charged with dacoity, a crime that had become “a standing menace to the peace” of Kishengang. Since s</w:t>
      </w:r>
      <w:r w:rsidR="00365882">
        <w:rPr>
          <w:rFonts w:ascii="Times New Roman" w:hAnsi="Times New Roman" w:cs="Times New Roman"/>
          <w:sz w:val="24"/>
          <w:szCs w:val="24"/>
        </w:rPr>
        <w:t xml:space="preserve">uch dacoities were, moreover, </w:t>
      </w:r>
      <w:r w:rsidR="00790F56">
        <w:rPr>
          <w:rFonts w:ascii="Times New Roman" w:hAnsi="Times New Roman" w:cs="Times New Roman"/>
          <w:sz w:val="24"/>
          <w:szCs w:val="24"/>
        </w:rPr>
        <w:t>“frequently accompanied with murder”, it had become “necessary to adopt special measures of police for their suppression”</w:t>
      </w:r>
      <w:r w:rsidR="00AC211F">
        <w:rPr>
          <w:rFonts w:ascii="Times New Roman" w:hAnsi="Times New Roman" w:cs="Times New Roman"/>
          <w:sz w:val="24"/>
          <w:szCs w:val="24"/>
        </w:rPr>
        <w:t xml:space="preserve">, and as the </w:t>
      </w:r>
      <w:r w:rsidR="00AC211F">
        <w:rPr>
          <w:rFonts w:ascii="Times New Roman" w:hAnsi="Times New Roman" w:cs="Times New Roman"/>
          <w:sz w:val="24"/>
          <w:szCs w:val="24"/>
        </w:rPr>
        <w:lastRenderedPageBreak/>
        <w:t>dacoity that Ranu was accused of having taken part in had been attended by violence (Gamher’</w:t>
      </w:r>
      <w:r w:rsidR="004A0B63">
        <w:rPr>
          <w:rFonts w:ascii="Times New Roman" w:hAnsi="Times New Roman" w:cs="Times New Roman"/>
          <w:sz w:val="24"/>
          <w:szCs w:val="24"/>
        </w:rPr>
        <w:t>s foot had been pierced by a spear</w:t>
      </w:r>
      <w:r w:rsidR="00AC211F">
        <w:rPr>
          <w:rFonts w:ascii="Times New Roman" w:hAnsi="Times New Roman" w:cs="Times New Roman"/>
          <w:sz w:val="24"/>
          <w:szCs w:val="24"/>
        </w:rPr>
        <w:t>), then “the Sub-Inspector was fully justified in taking special precautions to prevent the escape of the accused prisoners”.</w:t>
      </w:r>
      <w:r w:rsidR="00AC211F">
        <w:rPr>
          <w:rStyle w:val="FootnoteReference"/>
          <w:rFonts w:ascii="Times New Roman" w:hAnsi="Times New Roman" w:cs="Times New Roman"/>
          <w:sz w:val="24"/>
          <w:szCs w:val="24"/>
        </w:rPr>
        <w:footnoteReference w:id="91"/>
      </w:r>
      <w:r w:rsidR="004A0B63">
        <w:rPr>
          <w:rFonts w:ascii="Times New Roman" w:hAnsi="Times New Roman" w:cs="Times New Roman"/>
          <w:sz w:val="24"/>
          <w:szCs w:val="24"/>
        </w:rPr>
        <w:t xml:space="preserve"> Indeed, the concern of the many participants </w:t>
      </w:r>
      <w:r w:rsidR="000C6B8D">
        <w:rPr>
          <w:rFonts w:ascii="Times New Roman" w:hAnsi="Times New Roman" w:cs="Times New Roman"/>
          <w:sz w:val="24"/>
          <w:szCs w:val="24"/>
        </w:rPr>
        <w:t xml:space="preserve">and observers </w:t>
      </w:r>
      <w:r w:rsidR="004A0B63">
        <w:rPr>
          <w:rFonts w:ascii="Times New Roman" w:hAnsi="Times New Roman" w:cs="Times New Roman"/>
          <w:sz w:val="24"/>
          <w:szCs w:val="24"/>
        </w:rPr>
        <w:t xml:space="preserve">in this case was not with Ranu’s torture or death, but with the </w:t>
      </w:r>
      <w:r w:rsidR="007A0870" w:rsidRPr="004A0B63">
        <w:rPr>
          <w:rFonts w:ascii="Times New Roman" w:hAnsi="Times New Roman" w:cs="Times New Roman"/>
          <w:bCs/>
          <w:sz w:val="24"/>
          <w:szCs w:val="24"/>
        </w:rPr>
        <w:t>“the very unusual course of tying up an accused person tightly with a thin rope and sending him so bound in a bullock cart over a distance of 14 miles”</w:t>
      </w:r>
      <w:r w:rsidR="000C6B8D">
        <w:rPr>
          <w:rFonts w:ascii="Times New Roman" w:hAnsi="Times New Roman" w:cs="Times New Roman"/>
          <w:bCs/>
          <w:sz w:val="24"/>
          <w:szCs w:val="24"/>
        </w:rPr>
        <w:t xml:space="preserve"> – a procedural anomaly that, since it arose because of the zealousness of the Kishengang police in combatting dacoity (hence all of the handcuffs in Kishengang were in use at the time of Ranu’s arrest shackling other ‘dacoits</w:t>
      </w:r>
      <w:r w:rsidR="00B10805">
        <w:rPr>
          <w:rFonts w:ascii="Times New Roman" w:hAnsi="Times New Roman" w:cs="Times New Roman"/>
          <w:bCs/>
          <w:sz w:val="24"/>
          <w:szCs w:val="24"/>
        </w:rPr>
        <w:t>’</w:t>
      </w:r>
      <w:r w:rsidR="000C6B8D">
        <w:rPr>
          <w:rFonts w:ascii="Times New Roman" w:hAnsi="Times New Roman" w:cs="Times New Roman"/>
          <w:bCs/>
          <w:sz w:val="24"/>
          <w:szCs w:val="24"/>
        </w:rPr>
        <w:t>) led</w:t>
      </w:r>
      <w:r w:rsidR="00E77B85">
        <w:rPr>
          <w:rFonts w:ascii="Times New Roman" w:hAnsi="Times New Roman" w:cs="Times New Roman"/>
          <w:bCs/>
          <w:sz w:val="24"/>
          <w:szCs w:val="24"/>
        </w:rPr>
        <w:t>, as the case of Fazlit Hussain and the two constables reveal,</w:t>
      </w:r>
      <w:r w:rsidR="003316D9">
        <w:rPr>
          <w:rFonts w:ascii="Times New Roman" w:hAnsi="Times New Roman" w:cs="Times New Roman"/>
          <w:bCs/>
          <w:sz w:val="24"/>
          <w:szCs w:val="24"/>
        </w:rPr>
        <w:t xml:space="preserve"> to </w:t>
      </w:r>
      <w:r w:rsidR="00B10805">
        <w:rPr>
          <w:rFonts w:ascii="Times New Roman" w:hAnsi="Times New Roman" w:cs="Times New Roman"/>
          <w:bCs/>
          <w:sz w:val="24"/>
          <w:szCs w:val="24"/>
        </w:rPr>
        <w:t>few</w:t>
      </w:r>
      <w:r w:rsidR="000C6B8D">
        <w:rPr>
          <w:rFonts w:ascii="Times New Roman" w:hAnsi="Times New Roman" w:cs="Times New Roman"/>
          <w:bCs/>
          <w:sz w:val="24"/>
          <w:szCs w:val="24"/>
        </w:rPr>
        <w:t xml:space="preserve"> repercussions</w:t>
      </w:r>
      <w:r w:rsidR="007A0870" w:rsidRPr="004A0B63">
        <w:rPr>
          <w:rFonts w:ascii="Times New Roman" w:hAnsi="Times New Roman" w:cs="Times New Roman"/>
          <w:bCs/>
          <w:sz w:val="24"/>
          <w:szCs w:val="24"/>
        </w:rPr>
        <w:t>.</w:t>
      </w:r>
      <w:r w:rsidR="007A0870">
        <w:rPr>
          <w:rStyle w:val="FootnoteReference"/>
          <w:rFonts w:ascii="Times New Roman" w:hAnsi="Times New Roman" w:cs="Times New Roman"/>
          <w:bCs/>
          <w:sz w:val="24"/>
          <w:szCs w:val="24"/>
        </w:rPr>
        <w:footnoteReference w:id="92"/>
      </w:r>
    </w:p>
    <w:p w:rsidR="00A620C9" w:rsidRDefault="00764425" w:rsidP="003316D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But such a case also reveals </w:t>
      </w:r>
      <w:r w:rsidR="00736A14">
        <w:rPr>
          <w:rFonts w:ascii="Times New Roman" w:hAnsi="Times New Roman" w:cs="Times New Roman"/>
          <w:bCs/>
          <w:sz w:val="24"/>
          <w:szCs w:val="24"/>
        </w:rPr>
        <w:t>the relationship between subjective and objective violence in the operat</w:t>
      </w:r>
      <w:r w:rsidR="0085240E">
        <w:rPr>
          <w:rFonts w:ascii="Times New Roman" w:hAnsi="Times New Roman" w:cs="Times New Roman"/>
          <w:bCs/>
          <w:sz w:val="24"/>
          <w:szCs w:val="24"/>
        </w:rPr>
        <w:t xml:space="preserve">ion of colonial rule – of the ways in which, in other words, torture functioned merely as a symptom of the </w:t>
      </w:r>
      <w:r w:rsidR="00DA62E4">
        <w:rPr>
          <w:rFonts w:ascii="Times New Roman" w:hAnsi="Times New Roman" w:cs="Times New Roman"/>
          <w:bCs/>
          <w:sz w:val="24"/>
          <w:szCs w:val="24"/>
        </w:rPr>
        <w:t xml:space="preserve">many forms of </w:t>
      </w:r>
      <w:r w:rsidR="0085240E">
        <w:rPr>
          <w:rFonts w:ascii="Times New Roman" w:hAnsi="Times New Roman" w:cs="Times New Roman"/>
          <w:bCs/>
          <w:sz w:val="24"/>
          <w:szCs w:val="24"/>
        </w:rPr>
        <w:t xml:space="preserve">structural violence that underpinned colonial rule. </w:t>
      </w:r>
      <w:r w:rsidR="000346A7">
        <w:rPr>
          <w:rFonts w:ascii="Times New Roman" w:hAnsi="Times New Roman" w:cs="Times New Roman"/>
          <w:bCs/>
          <w:sz w:val="24"/>
          <w:szCs w:val="24"/>
        </w:rPr>
        <w:t xml:space="preserve">Such structural violence is apparent not only in the treatment that Ranu received at the hands of various officials, but in the operation of the legal system and the colonial bureaucracy. It is also apparent in the ways in which charges and complaints brought by other villagers in this case were dismissed, but those by the police were upheld. </w:t>
      </w:r>
      <w:r w:rsidR="00023FE5">
        <w:rPr>
          <w:rFonts w:ascii="Times New Roman" w:hAnsi="Times New Roman" w:cs="Times New Roman"/>
          <w:bCs/>
          <w:sz w:val="24"/>
          <w:szCs w:val="24"/>
        </w:rPr>
        <w:t xml:space="preserve">Thus the complaint of Khalni, wife of Patharu, that Sub-Inspector Ghani had cut her on the throat with a sword because she refused to give information against her husband was dismissed as “maliciously false”, as were the charges of two other villagers that Ghani and several </w:t>
      </w:r>
      <w:r w:rsidR="00023FE5">
        <w:rPr>
          <w:rFonts w:ascii="Times New Roman" w:hAnsi="Times New Roman" w:cs="Times New Roman"/>
          <w:bCs/>
          <w:sz w:val="24"/>
          <w:szCs w:val="24"/>
        </w:rPr>
        <w:lastRenderedPageBreak/>
        <w:t xml:space="preserve">constables had extorted money from them in return for not arresting them for dacoity (indeed, Barnicott wanted all such complainants prosecuted for bringing false charges, although this was over-ruled by the Sessions Judge). </w:t>
      </w:r>
      <w:r w:rsidR="007A0870" w:rsidRPr="00DA62E4">
        <w:rPr>
          <w:rFonts w:ascii="Times New Roman" w:hAnsi="Times New Roman" w:cs="Times New Roman"/>
          <w:bCs/>
          <w:sz w:val="24"/>
          <w:szCs w:val="24"/>
        </w:rPr>
        <w:t xml:space="preserve">But when </w:t>
      </w:r>
      <w:r w:rsidR="00023FE5">
        <w:rPr>
          <w:rFonts w:ascii="Times New Roman" w:hAnsi="Times New Roman" w:cs="Times New Roman"/>
          <w:bCs/>
          <w:sz w:val="24"/>
          <w:szCs w:val="24"/>
        </w:rPr>
        <w:t xml:space="preserve">Sub-Inspector Fazlit </w:t>
      </w:r>
      <w:r w:rsidR="007A0870" w:rsidRPr="00DA62E4">
        <w:rPr>
          <w:rFonts w:ascii="Times New Roman" w:hAnsi="Times New Roman" w:cs="Times New Roman"/>
          <w:bCs/>
          <w:sz w:val="24"/>
          <w:szCs w:val="24"/>
        </w:rPr>
        <w:t>Hussain laid a charge of criminal restraint against some villagers in connection with the case Barnicott convicted them (</w:t>
      </w:r>
      <w:r w:rsidR="00023FE5">
        <w:rPr>
          <w:rFonts w:ascii="Times New Roman" w:hAnsi="Times New Roman" w:cs="Times New Roman"/>
          <w:bCs/>
          <w:sz w:val="24"/>
          <w:szCs w:val="24"/>
        </w:rPr>
        <w:t>a</w:t>
      </w:r>
      <w:r w:rsidR="007A0870" w:rsidRPr="00DA62E4">
        <w:rPr>
          <w:rFonts w:ascii="Times New Roman" w:hAnsi="Times New Roman" w:cs="Times New Roman"/>
          <w:bCs/>
          <w:sz w:val="24"/>
          <w:szCs w:val="24"/>
        </w:rPr>
        <w:t xml:space="preserve"> conviction </w:t>
      </w:r>
      <w:r w:rsidR="00023FE5">
        <w:rPr>
          <w:rFonts w:ascii="Times New Roman" w:hAnsi="Times New Roman" w:cs="Times New Roman"/>
          <w:bCs/>
          <w:sz w:val="24"/>
          <w:szCs w:val="24"/>
        </w:rPr>
        <w:t xml:space="preserve">that </w:t>
      </w:r>
      <w:r w:rsidR="007A0870" w:rsidRPr="00DA62E4">
        <w:rPr>
          <w:rFonts w:ascii="Times New Roman" w:hAnsi="Times New Roman" w:cs="Times New Roman"/>
          <w:bCs/>
          <w:sz w:val="24"/>
          <w:szCs w:val="24"/>
        </w:rPr>
        <w:t xml:space="preserve">was upheld </w:t>
      </w:r>
      <w:r w:rsidR="00023FE5">
        <w:rPr>
          <w:rFonts w:ascii="Times New Roman" w:hAnsi="Times New Roman" w:cs="Times New Roman"/>
          <w:bCs/>
          <w:sz w:val="24"/>
          <w:szCs w:val="24"/>
        </w:rPr>
        <w:t xml:space="preserve">by the High Court, </w:t>
      </w:r>
      <w:r w:rsidR="007A0870" w:rsidRPr="00DA62E4">
        <w:rPr>
          <w:rFonts w:ascii="Times New Roman" w:hAnsi="Times New Roman" w:cs="Times New Roman"/>
          <w:bCs/>
          <w:sz w:val="24"/>
          <w:szCs w:val="24"/>
        </w:rPr>
        <w:t>although the sentence was reduced).</w:t>
      </w:r>
      <w:r w:rsidR="007A0870">
        <w:rPr>
          <w:rStyle w:val="FootnoteReference"/>
          <w:rFonts w:ascii="Times New Roman" w:hAnsi="Times New Roman" w:cs="Times New Roman"/>
          <w:bCs/>
          <w:sz w:val="24"/>
          <w:szCs w:val="24"/>
        </w:rPr>
        <w:footnoteReference w:id="93"/>
      </w:r>
      <w:r w:rsidR="007A0870" w:rsidRPr="00DA62E4">
        <w:rPr>
          <w:rFonts w:ascii="Times New Roman" w:hAnsi="Times New Roman" w:cs="Times New Roman"/>
          <w:bCs/>
          <w:sz w:val="24"/>
          <w:szCs w:val="24"/>
        </w:rPr>
        <w:t xml:space="preserve"> </w:t>
      </w:r>
      <w:r w:rsidR="00A620C9">
        <w:rPr>
          <w:rFonts w:ascii="Times New Roman" w:hAnsi="Times New Roman" w:cs="Times New Roman"/>
          <w:bCs/>
          <w:sz w:val="24"/>
          <w:szCs w:val="24"/>
        </w:rPr>
        <w:t xml:space="preserve">The main concern of the Bengal and Indian governments in </w:t>
      </w:r>
      <w:r w:rsidR="003316D9">
        <w:rPr>
          <w:rFonts w:ascii="Times New Roman" w:hAnsi="Times New Roman" w:cs="Times New Roman"/>
          <w:bCs/>
          <w:sz w:val="24"/>
          <w:szCs w:val="24"/>
        </w:rPr>
        <w:t>all of the</w:t>
      </w:r>
      <w:r w:rsidR="00A620C9">
        <w:rPr>
          <w:rFonts w:ascii="Times New Roman" w:hAnsi="Times New Roman" w:cs="Times New Roman"/>
          <w:bCs/>
          <w:sz w:val="24"/>
          <w:szCs w:val="24"/>
        </w:rPr>
        <w:t xml:space="preserve"> charges and counter-charges </w:t>
      </w:r>
      <w:r w:rsidR="003316D9">
        <w:rPr>
          <w:rFonts w:ascii="Times New Roman" w:hAnsi="Times New Roman" w:cs="Times New Roman"/>
          <w:bCs/>
          <w:sz w:val="24"/>
          <w:szCs w:val="24"/>
        </w:rPr>
        <w:t>surrounding R</w:t>
      </w:r>
      <w:r w:rsidR="001173F3">
        <w:rPr>
          <w:rFonts w:ascii="Times New Roman" w:hAnsi="Times New Roman" w:cs="Times New Roman"/>
          <w:bCs/>
          <w:sz w:val="24"/>
          <w:szCs w:val="24"/>
        </w:rPr>
        <w:t>a</w:t>
      </w:r>
      <w:r w:rsidR="003316D9">
        <w:rPr>
          <w:rFonts w:ascii="Times New Roman" w:hAnsi="Times New Roman" w:cs="Times New Roman"/>
          <w:bCs/>
          <w:sz w:val="24"/>
          <w:szCs w:val="24"/>
        </w:rPr>
        <w:t xml:space="preserve">nu’s case </w:t>
      </w:r>
      <w:r w:rsidR="00A620C9">
        <w:rPr>
          <w:rFonts w:ascii="Times New Roman" w:hAnsi="Times New Roman" w:cs="Times New Roman"/>
          <w:bCs/>
          <w:sz w:val="24"/>
          <w:szCs w:val="24"/>
        </w:rPr>
        <w:t>was, as Stevenson-Moore put it, that “The police emerged from all of the[m] successfully.”</w:t>
      </w:r>
      <w:r w:rsidR="000C6B8D">
        <w:rPr>
          <w:rStyle w:val="FootnoteReference"/>
          <w:rFonts w:ascii="Times New Roman" w:hAnsi="Times New Roman" w:cs="Times New Roman"/>
          <w:bCs/>
          <w:sz w:val="24"/>
          <w:szCs w:val="24"/>
        </w:rPr>
        <w:footnoteReference w:id="94"/>
      </w:r>
    </w:p>
    <w:p w:rsidR="00B77FB4" w:rsidRPr="008B20B0" w:rsidRDefault="001F202B" w:rsidP="008B20B0">
      <w:pPr>
        <w:spacing w:line="480" w:lineRule="auto"/>
        <w:ind w:firstLine="720"/>
        <w:rPr>
          <w:rFonts w:ascii="Times New Roman" w:hAnsi="Times New Roman" w:cs="Times New Roman"/>
          <w:sz w:val="24"/>
          <w:szCs w:val="24"/>
        </w:rPr>
      </w:pPr>
      <w:r w:rsidRPr="00CD303F">
        <w:rPr>
          <w:rFonts w:ascii="Times New Roman" w:hAnsi="Times New Roman" w:cs="Times New Roman"/>
          <w:bCs/>
          <w:sz w:val="24"/>
          <w:szCs w:val="24"/>
        </w:rPr>
        <w:t xml:space="preserve">Achille Mbembe argues that we need to look beyond the regime of Nazi extermination to understand the </w:t>
      </w:r>
      <w:r w:rsidR="00B96FF0" w:rsidRPr="00CD303F">
        <w:rPr>
          <w:rFonts w:ascii="Times New Roman" w:hAnsi="Times New Roman" w:cs="Times New Roman"/>
          <w:bCs/>
          <w:sz w:val="24"/>
          <w:szCs w:val="24"/>
        </w:rPr>
        <w:t>linkages</w:t>
      </w:r>
      <w:r w:rsidRPr="00CD303F">
        <w:rPr>
          <w:rFonts w:ascii="Times New Roman" w:hAnsi="Times New Roman" w:cs="Times New Roman"/>
          <w:bCs/>
          <w:sz w:val="24"/>
          <w:szCs w:val="24"/>
        </w:rPr>
        <w:t xml:space="preserve"> between modernity and terror, to locations such as the political practices of the </w:t>
      </w:r>
      <w:r w:rsidRPr="00CD303F">
        <w:rPr>
          <w:rFonts w:ascii="Times New Roman" w:hAnsi="Times New Roman" w:cs="Times New Roman"/>
          <w:sz w:val="24"/>
          <w:szCs w:val="24"/>
        </w:rPr>
        <w:t>ancien regime</w:t>
      </w:r>
      <w:r w:rsidR="004F09ED" w:rsidRPr="00CD303F">
        <w:rPr>
          <w:rFonts w:ascii="Times New Roman" w:hAnsi="Times New Roman" w:cs="Times New Roman"/>
          <w:sz w:val="24"/>
          <w:szCs w:val="24"/>
        </w:rPr>
        <w:t>, the French Revolution, slavery and the colony under an apartheid regime to locate what he terms parti</w:t>
      </w:r>
      <w:r w:rsidR="00657ADD" w:rsidRPr="00CD303F">
        <w:rPr>
          <w:rFonts w:ascii="Times New Roman" w:hAnsi="Times New Roman" w:cs="Times New Roman"/>
          <w:sz w:val="24"/>
          <w:szCs w:val="24"/>
        </w:rPr>
        <w:t>cular “terror formation[s]”</w:t>
      </w:r>
      <w:r w:rsidR="004F09ED" w:rsidRPr="00CD303F">
        <w:rPr>
          <w:rFonts w:ascii="Times New Roman" w:hAnsi="Times New Roman" w:cs="Times New Roman"/>
          <w:sz w:val="24"/>
          <w:szCs w:val="24"/>
        </w:rPr>
        <w:t>.</w:t>
      </w:r>
      <w:r w:rsidR="00383E45" w:rsidRPr="00CD303F">
        <w:rPr>
          <w:rStyle w:val="FootnoteReference"/>
          <w:rFonts w:ascii="Times New Roman" w:hAnsi="Times New Roman" w:cs="Times New Roman"/>
          <w:sz w:val="24"/>
          <w:szCs w:val="24"/>
        </w:rPr>
        <w:footnoteReference w:id="95"/>
      </w:r>
      <w:r w:rsidR="00836861" w:rsidRPr="00CD303F">
        <w:rPr>
          <w:rFonts w:ascii="Times New Roman" w:hAnsi="Times New Roman" w:cs="Times New Roman"/>
          <w:sz w:val="24"/>
          <w:szCs w:val="24"/>
        </w:rPr>
        <w:t xml:space="preserve"> </w:t>
      </w:r>
      <w:r w:rsidR="00383E45" w:rsidRPr="00CD303F">
        <w:rPr>
          <w:rFonts w:ascii="Times New Roman" w:hAnsi="Times New Roman" w:cs="Times New Roman"/>
          <w:sz w:val="24"/>
          <w:szCs w:val="24"/>
        </w:rPr>
        <w:t xml:space="preserve">Since </w:t>
      </w:r>
      <w:r w:rsidR="00D774F7" w:rsidRPr="00CD303F">
        <w:rPr>
          <w:rFonts w:ascii="Times New Roman" w:hAnsi="Times New Roman" w:cs="Times New Roman"/>
          <w:sz w:val="24"/>
          <w:szCs w:val="24"/>
        </w:rPr>
        <w:t>colonies</w:t>
      </w:r>
      <w:r w:rsidR="00383E45" w:rsidRPr="00CD303F">
        <w:rPr>
          <w:rFonts w:ascii="Times New Roman" w:hAnsi="Times New Roman" w:cs="Times New Roman"/>
          <w:sz w:val="24"/>
          <w:szCs w:val="24"/>
        </w:rPr>
        <w:t xml:space="preserve"> are “the location par excellence where the controls and guarantees of juridical order can be suspended – the zone where the violence of the state of exception is deemed to operate in the </w:t>
      </w:r>
      <w:r w:rsidR="00FF5D56" w:rsidRPr="00CD303F">
        <w:rPr>
          <w:rFonts w:ascii="Times New Roman" w:hAnsi="Times New Roman" w:cs="Times New Roman"/>
          <w:sz w:val="24"/>
          <w:szCs w:val="24"/>
        </w:rPr>
        <w:t>service of ‘civilization’”</w:t>
      </w:r>
      <w:r w:rsidR="00D774F7" w:rsidRPr="00CD303F">
        <w:rPr>
          <w:rFonts w:ascii="Times New Roman" w:hAnsi="Times New Roman" w:cs="Times New Roman"/>
          <w:sz w:val="24"/>
          <w:szCs w:val="24"/>
        </w:rPr>
        <w:t>, colonial sovereignty was fashioned through the implementation of powe</w:t>
      </w:r>
      <w:r w:rsidR="00FF5D56" w:rsidRPr="00CD303F">
        <w:rPr>
          <w:rFonts w:ascii="Times New Roman" w:hAnsi="Times New Roman" w:cs="Times New Roman"/>
          <w:sz w:val="24"/>
          <w:szCs w:val="24"/>
        </w:rPr>
        <w:t>r outside the boundaries of law</w:t>
      </w:r>
      <w:r w:rsidR="00D774F7" w:rsidRPr="00CD303F">
        <w:rPr>
          <w:rFonts w:ascii="Times New Roman" w:hAnsi="Times New Roman" w:cs="Times New Roman"/>
          <w:sz w:val="24"/>
          <w:szCs w:val="24"/>
        </w:rPr>
        <w:t>.</w:t>
      </w:r>
      <w:r w:rsidR="00BB6780" w:rsidRPr="00CD303F">
        <w:rPr>
          <w:rStyle w:val="FootnoteReference"/>
          <w:rFonts w:ascii="Times New Roman" w:hAnsi="Times New Roman" w:cs="Times New Roman"/>
          <w:sz w:val="24"/>
          <w:szCs w:val="24"/>
        </w:rPr>
        <w:footnoteReference w:id="96"/>
      </w:r>
      <w:r w:rsidR="00D774F7" w:rsidRPr="00CD303F">
        <w:rPr>
          <w:rFonts w:ascii="Times New Roman" w:hAnsi="Times New Roman" w:cs="Times New Roman"/>
          <w:sz w:val="24"/>
          <w:szCs w:val="24"/>
        </w:rPr>
        <w:t xml:space="preserve"> </w:t>
      </w:r>
      <w:r w:rsidR="0048692D" w:rsidRPr="00CD303F">
        <w:rPr>
          <w:rFonts w:ascii="Times New Roman" w:hAnsi="Times New Roman" w:cs="Times New Roman"/>
          <w:bCs/>
          <w:sz w:val="24"/>
          <w:szCs w:val="24"/>
        </w:rPr>
        <w:t>S</w:t>
      </w:r>
      <w:r w:rsidR="00D71E91" w:rsidRPr="00CD303F">
        <w:rPr>
          <w:rFonts w:ascii="Times New Roman" w:hAnsi="Times New Roman" w:cs="Times New Roman"/>
          <w:bCs/>
          <w:sz w:val="24"/>
          <w:szCs w:val="24"/>
        </w:rPr>
        <w:t>ince</w:t>
      </w:r>
      <w:r w:rsidR="00D774F7" w:rsidRPr="00CD303F">
        <w:rPr>
          <w:rFonts w:ascii="Times New Roman" w:hAnsi="Times New Roman" w:cs="Times New Roman"/>
          <w:bCs/>
          <w:sz w:val="24"/>
          <w:szCs w:val="24"/>
        </w:rPr>
        <w:t>, moreover,</w:t>
      </w:r>
      <w:r w:rsidR="00FF5D56" w:rsidRPr="00CD303F">
        <w:rPr>
          <w:rFonts w:ascii="Times New Roman" w:hAnsi="Times New Roman" w:cs="Times New Roman"/>
          <w:bCs/>
          <w:sz w:val="24"/>
          <w:szCs w:val="24"/>
        </w:rPr>
        <w:t xml:space="preserve"> sovereignty exists in the sovereign’s </w:t>
      </w:r>
      <w:r w:rsidR="00BC7A25" w:rsidRPr="00CD303F">
        <w:rPr>
          <w:rFonts w:ascii="Times New Roman" w:hAnsi="Times New Roman" w:cs="Times New Roman"/>
          <w:bCs/>
          <w:sz w:val="24"/>
          <w:szCs w:val="24"/>
        </w:rPr>
        <w:t>power to let die, and necropolitics</w:t>
      </w:r>
      <w:r w:rsidR="00FF5D56" w:rsidRPr="00CD303F">
        <w:rPr>
          <w:rFonts w:ascii="Times New Roman" w:hAnsi="Times New Roman" w:cs="Times New Roman"/>
          <w:bCs/>
          <w:sz w:val="24"/>
          <w:szCs w:val="24"/>
        </w:rPr>
        <w:t xml:space="preserve"> operates through the death of </w:t>
      </w:r>
      <w:r w:rsidR="00D77296" w:rsidRPr="00CD303F">
        <w:rPr>
          <w:rFonts w:ascii="Times New Roman" w:hAnsi="Times New Roman" w:cs="Times New Roman"/>
          <w:bCs/>
          <w:sz w:val="24"/>
          <w:szCs w:val="24"/>
        </w:rPr>
        <w:t xml:space="preserve">the other, </w:t>
      </w:r>
      <w:r w:rsidR="00715CB0" w:rsidRPr="00CD303F">
        <w:rPr>
          <w:rFonts w:ascii="Times New Roman" w:hAnsi="Times New Roman" w:cs="Times New Roman"/>
          <w:sz w:val="24"/>
          <w:szCs w:val="24"/>
        </w:rPr>
        <w:t xml:space="preserve">what </w:t>
      </w:r>
      <w:r w:rsidR="008B20B0">
        <w:rPr>
          <w:rFonts w:ascii="Times New Roman" w:hAnsi="Times New Roman" w:cs="Times New Roman"/>
          <w:sz w:val="24"/>
          <w:szCs w:val="24"/>
        </w:rPr>
        <w:t>links such forms of power is death</w:t>
      </w:r>
      <w:r w:rsidR="0048692D" w:rsidRPr="00CD303F">
        <w:rPr>
          <w:rFonts w:ascii="Times New Roman" w:hAnsi="Times New Roman" w:cs="Times New Roman"/>
          <w:sz w:val="24"/>
          <w:szCs w:val="24"/>
        </w:rPr>
        <w:t>.</w:t>
      </w:r>
      <w:r w:rsidR="00D71E91" w:rsidRPr="00CD303F">
        <w:rPr>
          <w:rStyle w:val="FootnoteReference"/>
          <w:rFonts w:ascii="Times New Roman" w:hAnsi="Times New Roman" w:cs="Times New Roman"/>
          <w:sz w:val="24"/>
          <w:szCs w:val="24"/>
        </w:rPr>
        <w:footnoteReference w:id="97"/>
      </w:r>
      <w:r w:rsidR="0048692D" w:rsidRPr="00CD303F">
        <w:rPr>
          <w:rFonts w:ascii="Times New Roman" w:hAnsi="Times New Roman" w:cs="Times New Roman"/>
          <w:bCs/>
          <w:sz w:val="24"/>
          <w:szCs w:val="24"/>
        </w:rPr>
        <w:t xml:space="preserve"> It </w:t>
      </w:r>
      <w:r w:rsidR="00D77296" w:rsidRPr="00CD303F">
        <w:rPr>
          <w:rFonts w:ascii="Times New Roman" w:hAnsi="Times New Roman" w:cs="Times New Roman"/>
          <w:bCs/>
          <w:sz w:val="24"/>
          <w:szCs w:val="24"/>
        </w:rPr>
        <w:t>is therefore the death of the other within the discourse of</w:t>
      </w:r>
      <w:r w:rsidR="000F627A" w:rsidRPr="00CD303F">
        <w:rPr>
          <w:rFonts w:ascii="Times New Roman" w:hAnsi="Times New Roman" w:cs="Times New Roman"/>
          <w:bCs/>
          <w:sz w:val="24"/>
          <w:szCs w:val="24"/>
        </w:rPr>
        <w:t xml:space="preserve"> biopower</w:t>
      </w:r>
      <w:r w:rsidR="00715CB0" w:rsidRPr="00CD303F">
        <w:rPr>
          <w:rFonts w:ascii="Times New Roman" w:hAnsi="Times New Roman" w:cs="Times New Roman"/>
          <w:bCs/>
          <w:sz w:val="24"/>
          <w:szCs w:val="24"/>
        </w:rPr>
        <w:t xml:space="preserve"> (or biopower as necropolitics)</w:t>
      </w:r>
      <w:r w:rsidR="000F627A" w:rsidRPr="00CD303F">
        <w:rPr>
          <w:rFonts w:ascii="Times New Roman" w:hAnsi="Times New Roman" w:cs="Times New Roman"/>
          <w:bCs/>
          <w:sz w:val="24"/>
          <w:szCs w:val="24"/>
        </w:rPr>
        <w:t xml:space="preserve">, in other words, </w:t>
      </w:r>
      <w:r w:rsidR="0048692D" w:rsidRPr="00CD303F">
        <w:rPr>
          <w:rFonts w:ascii="Times New Roman" w:hAnsi="Times New Roman" w:cs="Times New Roman"/>
          <w:bCs/>
          <w:sz w:val="24"/>
          <w:szCs w:val="24"/>
        </w:rPr>
        <w:t xml:space="preserve">that </w:t>
      </w:r>
      <w:r w:rsidR="00C53522" w:rsidRPr="00CD303F">
        <w:rPr>
          <w:rFonts w:ascii="Times New Roman" w:hAnsi="Times New Roman" w:cs="Times New Roman"/>
          <w:bCs/>
          <w:sz w:val="24"/>
          <w:szCs w:val="24"/>
        </w:rPr>
        <w:t xml:space="preserve">fashions a zone of </w:t>
      </w:r>
      <w:r w:rsidR="00C53522" w:rsidRPr="00CD303F">
        <w:rPr>
          <w:rFonts w:ascii="Times New Roman" w:hAnsi="Times New Roman" w:cs="Times New Roman"/>
          <w:bCs/>
          <w:sz w:val="24"/>
          <w:szCs w:val="24"/>
        </w:rPr>
        <w:lastRenderedPageBreak/>
        <w:t>exception within the operation of power that serves as an alibi for sovereignty.</w:t>
      </w:r>
      <w:r w:rsidR="00C53522" w:rsidRPr="00CD303F">
        <w:rPr>
          <w:rStyle w:val="FootnoteReference"/>
          <w:rFonts w:ascii="Times New Roman" w:hAnsi="Times New Roman" w:cs="Times New Roman"/>
          <w:bCs/>
          <w:sz w:val="24"/>
          <w:szCs w:val="24"/>
        </w:rPr>
        <w:footnoteReference w:id="98"/>
      </w:r>
      <w:r w:rsidR="00D77296" w:rsidRPr="00CD303F">
        <w:rPr>
          <w:rFonts w:ascii="Times New Roman" w:hAnsi="Times New Roman" w:cs="Times New Roman"/>
          <w:bCs/>
          <w:sz w:val="24"/>
          <w:szCs w:val="24"/>
        </w:rPr>
        <w:t xml:space="preserve"> </w:t>
      </w:r>
      <w:r w:rsidR="00894F85" w:rsidRPr="00CD303F">
        <w:rPr>
          <w:rFonts w:ascii="Times New Roman" w:hAnsi="Times New Roman" w:cs="Times New Roman"/>
          <w:bCs/>
          <w:sz w:val="24"/>
          <w:szCs w:val="24"/>
        </w:rPr>
        <w:t>Th</w:t>
      </w:r>
      <w:r w:rsidR="008B20B0">
        <w:rPr>
          <w:rFonts w:ascii="Times New Roman" w:hAnsi="Times New Roman" w:cs="Times New Roman"/>
          <w:bCs/>
          <w:sz w:val="24"/>
          <w:szCs w:val="24"/>
        </w:rPr>
        <w:t>e Commission thus represents a</w:t>
      </w:r>
      <w:r w:rsidR="00894F85" w:rsidRPr="00CD303F">
        <w:rPr>
          <w:rFonts w:ascii="Times New Roman" w:hAnsi="Times New Roman" w:cs="Times New Roman"/>
          <w:bCs/>
          <w:sz w:val="24"/>
          <w:szCs w:val="24"/>
        </w:rPr>
        <w:t xml:space="preserve"> moment at which biopower came to the aid of sovereign power </w:t>
      </w:r>
      <w:r w:rsidR="003E3F78" w:rsidRPr="00CD303F">
        <w:rPr>
          <w:rFonts w:ascii="Times New Roman" w:hAnsi="Times New Roman" w:cs="Times New Roman"/>
          <w:bCs/>
          <w:sz w:val="24"/>
          <w:szCs w:val="24"/>
        </w:rPr>
        <w:t>in colonial India -</w:t>
      </w:r>
      <w:r w:rsidR="003C1448" w:rsidRPr="00CD303F">
        <w:rPr>
          <w:rFonts w:ascii="Times New Roman" w:hAnsi="Times New Roman" w:cs="Times New Roman"/>
          <w:bCs/>
          <w:sz w:val="24"/>
          <w:szCs w:val="24"/>
        </w:rPr>
        <w:t xml:space="preserve"> </w:t>
      </w:r>
      <w:r w:rsidR="00BC7A25" w:rsidRPr="00CD303F">
        <w:rPr>
          <w:rFonts w:ascii="Times New Roman" w:hAnsi="Times New Roman" w:cs="Times New Roman"/>
          <w:bCs/>
          <w:sz w:val="24"/>
          <w:szCs w:val="24"/>
        </w:rPr>
        <w:t>while ef</w:t>
      </w:r>
      <w:r w:rsidR="003C1448" w:rsidRPr="00CD303F">
        <w:rPr>
          <w:rFonts w:ascii="Times New Roman" w:hAnsi="Times New Roman" w:cs="Times New Roman"/>
          <w:bCs/>
          <w:sz w:val="24"/>
          <w:szCs w:val="24"/>
        </w:rPr>
        <w:t>fectively masking such linkages</w:t>
      </w:r>
      <w:r w:rsidR="00894F85" w:rsidRPr="00CD303F">
        <w:rPr>
          <w:rFonts w:ascii="Times New Roman" w:hAnsi="Times New Roman" w:cs="Times New Roman"/>
          <w:bCs/>
          <w:sz w:val="24"/>
          <w:szCs w:val="24"/>
        </w:rPr>
        <w:t xml:space="preserve">. </w:t>
      </w:r>
      <w:r w:rsidR="00125711" w:rsidRPr="00CD303F">
        <w:rPr>
          <w:rFonts w:ascii="Times New Roman" w:eastAsia="Quadraat-RmnOsF" w:hAnsi="Times New Roman" w:cs="Times New Roman"/>
          <w:sz w:val="24"/>
          <w:szCs w:val="24"/>
        </w:rPr>
        <w:t xml:space="preserve">So while the colonial </w:t>
      </w:r>
      <w:r w:rsidR="00894F85" w:rsidRPr="00CD303F">
        <w:rPr>
          <w:rFonts w:ascii="Times New Roman" w:eastAsia="Quadraat-RmnOsF" w:hAnsi="Times New Roman" w:cs="Times New Roman"/>
          <w:sz w:val="24"/>
          <w:szCs w:val="24"/>
        </w:rPr>
        <w:t xml:space="preserve">state sought, on the one hand, to preserve life, </w:t>
      </w:r>
      <w:r w:rsidR="00125711" w:rsidRPr="00CD303F">
        <w:rPr>
          <w:rFonts w:ascii="Times New Roman" w:eastAsia="Quadraat-RmnOsF" w:hAnsi="Times New Roman" w:cs="Times New Roman"/>
          <w:sz w:val="24"/>
          <w:szCs w:val="24"/>
        </w:rPr>
        <w:t xml:space="preserve">it also </w:t>
      </w:r>
      <w:r w:rsidR="00C15F8D" w:rsidRPr="00CD303F">
        <w:rPr>
          <w:rFonts w:ascii="Times New Roman" w:eastAsia="Quadraat-RmnOsF" w:hAnsi="Times New Roman" w:cs="Times New Roman"/>
          <w:sz w:val="24"/>
          <w:szCs w:val="24"/>
        </w:rPr>
        <w:t>made the eradication of</w:t>
      </w:r>
      <w:r w:rsidR="00894F85" w:rsidRPr="00CD303F">
        <w:rPr>
          <w:rFonts w:ascii="Times New Roman" w:eastAsia="Quadraat-RmnOsF" w:hAnsi="Times New Roman" w:cs="Times New Roman"/>
          <w:sz w:val="24"/>
          <w:szCs w:val="24"/>
        </w:rPr>
        <w:t xml:space="preserve"> those ‘unworthy’</w:t>
      </w:r>
      <w:r w:rsidR="00125711" w:rsidRPr="00CD303F">
        <w:rPr>
          <w:rFonts w:ascii="Times New Roman" w:eastAsia="Quadraat-RmnOsF" w:hAnsi="Times New Roman" w:cs="Times New Roman"/>
          <w:sz w:val="24"/>
          <w:szCs w:val="24"/>
        </w:rPr>
        <w:t xml:space="preserve"> of life</w:t>
      </w:r>
      <w:r w:rsidR="00894F85" w:rsidRPr="00CD303F">
        <w:rPr>
          <w:rFonts w:ascii="Times New Roman" w:eastAsia="Quadraat-RmnOsF" w:hAnsi="Times New Roman" w:cs="Times New Roman"/>
          <w:sz w:val="24"/>
          <w:szCs w:val="24"/>
        </w:rPr>
        <w:t xml:space="preserve"> </w:t>
      </w:r>
      <w:r w:rsidR="00C15F8D" w:rsidRPr="00CD303F">
        <w:rPr>
          <w:rFonts w:ascii="Times New Roman" w:eastAsia="Quadraat-RmnOsF" w:hAnsi="Times New Roman" w:cs="Times New Roman"/>
          <w:sz w:val="24"/>
          <w:szCs w:val="24"/>
        </w:rPr>
        <w:t>possible</w:t>
      </w:r>
      <w:r w:rsidR="00F828BF" w:rsidRPr="00CD303F">
        <w:rPr>
          <w:rFonts w:ascii="Times New Roman" w:eastAsia="Quadraat-RmnOsF" w:hAnsi="Times New Roman" w:cs="Times New Roman"/>
          <w:sz w:val="24"/>
          <w:szCs w:val="24"/>
        </w:rPr>
        <w:t>. This means that for</w:t>
      </w:r>
      <w:r w:rsidR="00894F85" w:rsidRPr="00CD303F">
        <w:rPr>
          <w:rFonts w:ascii="Times New Roman" w:eastAsia="Quadraat-RmnOsF" w:hAnsi="Times New Roman" w:cs="Times New Roman"/>
          <w:sz w:val="24"/>
          <w:szCs w:val="24"/>
        </w:rPr>
        <w:t xml:space="preserve"> th</w:t>
      </w:r>
      <w:r w:rsidR="00F828BF" w:rsidRPr="00CD303F">
        <w:rPr>
          <w:rFonts w:ascii="Times New Roman" w:eastAsia="Quadraat-RmnOsF" w:hAnsi="Times New Roman" w:cs="Times New Roman"/>
          <w:sz w:val="24"/>
          <w:szCs w:val="24"/>
        </w:rPr>
        <w:t xml:space="preserve">e colonial regime </w:t>
      </w:r>
      <w:r w:rsidR="00894F85" w:rsidRPr="00CD303F">
        <w:rPr>
          <w:rFonts w:ascii="Times New Roman" w:eastAsia="Quadraat-RmnOsF" w:hAnsi="Times New Roman" w:cs="Times New Roman"/>
          <w:sz w:val="24"/>
          <w:szCs w:val="24"/>
        </w:rPr>
        <w:t>the difference between biopolitics and sovereignty was not that of the power to make live and let die, but the ways these two forms of power treated life and death.</w:t>
      </w:r>
      <w:r w:rsidR="00894F85" w:rsidRPr="00CD303F">
        <w:rPr>
          <w:rStyle w:val="FootnoteReference"/>
          <w:rFonts w:ascii="Times New Roman" w:eastAsia="Quadraat-RmnOsF" w:hAnsi="Times New Roman" w:cs="Times New Roman"/>
          <w:sz w:val="24"/>
          <w:szCs w:val="24"/>
        </w:rPr>
        <w:footnoteReference w:id="99"/>
      </w:r>
      <w:r w:rsidR="00656886" w:rsidRPr="00CD303F">
        <w:rPr>
          <w:rFonts w:ascii="Times New Roman" w:eastAsia="Quadraat-RmnOsF" w:hAnsi="Times New Roman" w:cs="Times New Roman"/>
          <w:sz w:val="24"/>
          <w:szCs w:val="24"/>
        </w:rPr>
        <w:t xml:space="preserve"> </w:t>
      </w:r>
      <w:r w:rsidR="00EA14FC">
        <w:rPr>
          <w:rFonts w:ascii="Times New Roman" w:eastAsia="Quadraat-RmnOsF" w:hAnsi="Times New Roman" w:cs="Times New Roman"/>
          <w:sz w:val="24"/>
          <w:szCs w:val="24"/>
        </w:rPr>
        <w:t xml:space="preserve">It was the tensions between such forms of power that led to the paradoxical situation in which the colonial regime went to considerable lengths to eradicate torture while at the same time </w:t>
      </w:r>
      <w:r w:rsidR="00A77CA4">
        <w:rPr>
          <w:rFonts w:ascii="Times New Roman" w:eastAsia="Quadraat-RmnOsF" w:hAnsi="Times New Roman" w:cs="Times New Roman"/>
          <w:sz w:val="24"/>
          <w:szCs w:val="24"/>
        </w:rPr>
        <w:t>enshrining</w:t>
      </w:r>
      <w:r w:rsidR="00EA14FC">
        <w:rPr>
          <w:rFonts w:ascii="Times New Roman" w:eastAsia="Quadraat-RmnOsF" w:hAnsi="Times New Roman" w:cs="Times New Roman"/>
          <w:sz w:val="24"/>
          <w:szCs w:val="24"/>
        </w:rPr>
        <w:t xml:space="preserve"> it as a </w:t>
      </w:r>
      <w:r w:rsidR="00A77CA4">
        <w:rPr>
          <w:rFonts w:ascii="Times New Roman" w:eastAsia="Quadraat-RmnOsF" w:hAnsi="Times New Roman" w:cs="Times New Roman"/>
          <w:sz w:val="24"/>
          <w:szCs w:val="24"/>
        </w:rPr>
        <w:t xml:space="preserve">fundamental </w:t>
      </w:r>
      <w:r w:rsidR="00EA14FC">
        <w:rPr>
          <w:rFonts w:ascii="Times New Roman" w:eastAsia="Quadraat-RmnOsF" w:hAnsi="Times New Roman" w:cs="Times New Roman"/>
          <w:sz w:val="24"/>
          <w:szCs w:val="24"/>
        </w:rPr>
        <w:t>technology of colonial rule.</w:t>
      </w:r>
    </w:p>
    <w:p w:rsidR="00B25C14" w:rsidRPr="00CD303F" w:rsidRDefault="00B25C14" w:rsidP="001B5C77">
      <w:pPr>
        <w:rPr>
          <w:rFonts w:ascii="Times New Roman" w:hAnsi="Times New Roman" w:cs="Times New Roman"/>
          <w:sz w:val="24"/>
          <w:szCs w:val="24"/>
        </w:rPr>
      </w:pPr>
    </w:p>
    <w:p w:rsidR="00F749AB" w:rsidRPr="00CD303F" w:rsidRDefault="00F749AB" w:rsidP="00F749AB">
      <w:pPr>
        <w:rPr>
          <w:rFonts w:ascii="Times New Roman" w:hAnsi="Times New Roman" w:cs="Times New Roman"/>
          <w:sz w:val="24"/>
          <w:szCs w:val="24"/>
        </w:rPr>
      </w:pPr>
    </w:p>
    <w:sectPr w:rsidR="00F749AB" w:rsidRPr="00CD303F" w:rsidSect="0079140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05" w:rsidRDefault="00720F05" w:rsidP="00F11659">
      <w:pPr>
        <w:spacing w:after="0" w:line="240" w:lineRule="auto"/>
      </w:pPr>
      <w:r>
        <w:separator/>
      </w:r>
    </w:p>
  </w:endnote>
  <w:endnote w:type="continuationSeparator" w:id="0">
    <w:p w:rsidR="00720F05" w:rsidRDefault="00720F05" w:rsidP="00F1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Quadraat-RmnOs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367979"/>
      <w:docPartObj>
        <w:docPartGallery w:val="Page Numbers (Bottom of Page)"/>
        <w:docPartUnique/>
      </w:docPartObj>
    </w:sdtPr>
    <w:sdtEndPr>
      <w:rPr>
        <w:noProof/>
      </w:rPr>
    </w:sdtEndPr>
    <w:sdtContent>
      <w:p w:rsidR="004E4B21" w:rsidRDefault="004E4B21">
        <w:pPr>
          <w:pStyle w:val="Footer"/>
          <w:jc w:val="right"/>
        </w:pPr>
        <w:r>
          <w:fldChar w:fldCharType="begin"/>
        </w:r>
        <w:r>
          <w:instrText xml:space="preserve"> PAGE   \* MERGEFORMAT </w:instrText>
        </w:r>
        <w:r>
          <w:fldChar w:fldCharType="separate"/>
        </w:r>
        <w:r w:rsidR="00D22C20">
          <w:rPr>
            <w:noProof/>
          </w:rPr>
          <w:t>18</w:t>
        </w:r>
        <w:r>
          <w:rPr>
            <w:noProof/>
          </w:rPr>
          <w:fldChar w:fldCharType="end"/>
        </w:r>
      </w:p>
    </w:sdtContent>
  </w:sdt>
  <w:p w:rsidR="004E4B21" w:rsidRDefault="004E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05" w:rsidRDefault="00720F05" w:rsidP="00F11659">
      <w:pPr>
        <w:spacing w:after="0" w:line="240" w:lineRule="auto"/>
      </w:pPr>
      <w:r>
        <w:separator/>
      </w:r>
    </w:p>
  </w:footnote>
  <w:footnote w:type="continuationSeparator" w:id="0">
    <w:p w:rsidR="00720F05" w:rsidRDefault="00720F05" w:rsidP="00F11659">
      <w:pPr>
        <w:spacing w:after="0" w:line="240" w:lineRule="auto"/>
      </w:pPr>
      <w:r>
        <w:continuationSeparator/>
      </w:r>
    </w:p>
  </w:footnote>
  <w:footnote w:id="1">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Michel Foucault, </w:t>
      </w:r>
      <w:r w:rsidRPr="00FA626B">
        <w:rPr>
          <w:rFonts w:ascii="Times New Roman" w:hAnsi="Times New Roman" w:cs="Times New Roman"/>
          <w:i/>
          <w:sz w:val="24"/>
          <w:szCs w:val="24"/>
        </w:rPr>
        <w:t>Discipline and Punish: The Birth of the Prison</w:t>
      </w:r>
      <w:r w:rsidRPr="00FA626B">
        <w:rPr>
          <w:rFonts w:ascii="Times New Roman" w:hAnsi="Times New Roman" w:cs="Times New Roman"/>
          <w:sz w:val="24"/>
          <w:szCs w:val="24"/>
        </w:rPr>
        <w:t xml:space="preserve">, Alan Sheridan (trans) (Harmondsworth: Penguin, 1991), pp 910. Cited in Baidik Bhattacharya, “Public Penology: postcolonial biopolitics and a death in Alipur Central Jail, Calcutta,” </w:t>
      </w:r>
      <w:r w:rsidRPr="00FA626B">
        <w:rPr>
          <w:rFonts w:ascii="Times New Roman" w:hAnsi="Times New Roman" w:cs="Times New Roman"/>
          <w:i/>
          <w:sz w:val="24"/>
          <w:szCs w:val="24"/>
        </w:rPr>
        <w:t>Postcolonial Studies</w:t>
      </w:r>
      <w:r w:rsidRPr="00FA626B">
        <w:rPr>
          <w:rFonts w:ascii="Times New Roman" w:hAnsi="Times New Roman" w:cs="Times New Roman"/>
          <w:sz w:val="24"/>
          <w:szCs w:val="24"/>
        </w:rPr>
        <w:t xml:space="preserve"> 12, 1 (2009), p. 9.</w:t>
      </w:r>
    </w:p>
  </w:footnote>
  <w:footnote w:id="2">
    <w:p w:rsidR="004E4B21" w:rsidRPr="00FA626B" w:rsidRDefault="004E4B21">
      <w:pPr>
        <w:pStyle w:val="FootnoteText"/>
        <w:rPr>
          <w:rFonts w:ascii="Times New Roman" w:hAnsi="Times New Roman" w:cs="Times New Roman"/>
          <w:b/>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Bhattacharya, “Public Penology”, p. 10. </w:t>
      </w:r>
    </w:p>
  </w:footnote>
  <w:footnote w:id="3">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 p. 11.</w:t>
      </w:r>
    </w:p>
  </w:footnote>
  <w:footnote w:id="4">
    <w:p w:rsidR="00790817"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“Bureaucracy, Power and Violence in Colonial India,” in Peter Crooks and Tim Parsons (ed.), </w:t>
      </w:r>
      <w:r w:rsidRPr="00FA626B">
        <w:rPr>
          <w:rFonts w:ascii="Times New Roman" w:hAnsi="Times New Roman" w:cs="Times New Roman"/>
          <w:i/>
          <w:sz w:val="24"/>
          <w:szCs w:val="24"/>
        </w:rPr>
        <w:t>Empires and Bureaucracy from Late Antiquity to the Modern World</w:t>
      </w:r>
      <w:r w:rsidRPr="00FA626B">
        <w:rPr>
          <w:rFonts w:ascii="Times New Roman" w:hAnsi="Times New Roman" w:cs="Times New Roman"/>
          <w:sz w:val="24"/>
          <w:szCs w:val="24"/>
        </w:rPr>
        <w:t xml:space="preserve"> (Cambridge, forthcoming).</w:t>
      </w:r>
      <w:r w:rsidR="005C4137" w:rsidRPr="00FA626B">
        <w:rPr>
          <w:rFonts w:ascii="Times New Roman" w:hAnsi="Times New Roman" w:cs="Times New Roman"/>
          <w:sz w:val="24"/>
          <w:szCs w:val="24"/>
        </w:rPr>
        <w:t xml:space="preserve"> </w:t>
      </w:r>
      <w:r w:rsidR="005E0312">
        <w:rPr>
          <w:rFonts w:ascii="Times New Roman" w:hAnsi="Times New Roman" w:cs="Times New Roman"/>
          <w:sz w:val="24"/>
          <w:szCs w:val="24"/>
        </w:rPr>
        <w:t>While t</w:t>
      </w:r>
      <w:r w:rsidR="000964F1" w:rsidRPr="00FA626B">
        <w:rPr>
          <w:rFonts w:ascii="Times New Roman" w:hAnsi="Times New Roman" w:cs="Times New Roman"/>
          <w:sz w:val="24"/>
          <w:szCs w:val="24"/>
        </w:rPr>
        <w:t>he use of torture in policing and in revenue collection has a lon</w:t>
      </w:r>
      <w:r w:rsidR="005E0312">
        <w:rPr>
          <w:rFonts w:ascii="Times New Roman" w:hAnsi="Times New Roman" w:cs="Times New Roman"/>
          <w:sz w:val="24"/>
          <w:szCs w:val="24"/>
        </w:rPr>
        <w:t>g history in the subcontinent, w</w:t>
      </w:r>
      <w:r w:rsidR="000964F1" w:rsidRPr="00FA626B">
        <w:rPr>
          <w:rFonts w:ascii="Times New Roman" w:hAnsi="Times New Roman" w:cs="Times New Roman"/>
          <w:sz w:val="24"/>
          <w:szCs w:val="24"/>
        </w:rPr>
        <w:t>hat changed under the British</w:t>
      </w:r>
      <w:r w:rsidR="005E0312">
        <w:rPr>
          <w:rFonts w:ascii="Times New Roman" w:hAnsi="Times New Roman" w:cs="Times New Roman"/>
          <w:sz w:val="24"/>
          <w:szCs w:val="24"/>
        </w:rPr>
        <w:t xml:space="preserve"> </w:t>
      </w:r>
      <w:r w:rsidR="000964F1" w:rsidRPr="00FA626B">
        <w:rPr>
          <w:rFonts w:ascii="Times New Roman" w:hAnsi="Times New Roman" w:cs="Times New Roman"/>
          <w:sz w:val="24"/>
          <w:szCs w:val="24"/>
        </w:rPr>
        <w:t xml:space="preserve">was the extent to which torture was </w:t>
      </w:r>
      <w:r w:rsidR="00F31FCE" w:rsidRPr="00FA626B">
        <w:rPr>
          <w:rFonts w:ascii="Times New Roman" w:hAnsi="Times New Roman" w:cs="Times New Roman"/>
          <w:sz w:val="24"/>
          <w:szCs w:val="24"/>
        </w:rPr>
        <w:t xml:space="preserve">incorporated into the legal and revenue systems. </w:t>
      </w:r>
      <w:r w:rsidR="00790817" w:rsidRPr="00FA626B">
        <w:rPr>
          <w:rFonts w:ascii="Times New Roman" w:hAnsi="Times New Roman" w:cs="Times New Roman"/>
          <w:sz w:val="24"/>
          <w:szCs w:val="24"/>
        </w:rPr>
        <w:t xml:space="preserve">Douglas Peers, “Torture, the Police, and the Colonial state in the Madras Presidency, 1816-55,” </w:t>
      </w:r>
      <w:r w:rsidR="00790817" w:rsidRPr="00FA626B">
        <w:rPr>
          <w:rFonts w:ascii="Times New Roman" w:hAnsi="Times New Roman" w:cs="Times New Roman"/>
          <w:i/>
          <w:sz w:val="24"/>
          <w:szCs w:val="24"/>
        </w:rPr>
        <w:t>Criminal Justice History: An International Annual</w:t>
      </w:r>
      <w:r w:rsidR="00790817" w:rsidRPr="00FA626B">
        <w:rPr>
          <w:rFonts w:ascii="Times New Roman" w:hAnsi="Times New Roman" w:cs="Times New Roman"/>
          <w:sz w:val="24"/>
          <w:szCs w:val="24"/>
        </w:rPr>
        <w:t>, 12 (1991), p. 31.</w:t>
      </w:r>
    </w:p>
  </w:footnote>
  <w:footnote w:id="5">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i/>
          <w:sz w:val="24"/>
          <w:szCs w:val="24"/>
        </w:rPr>
        <w:t>Discipline and Punish: The Birth of the Prison</w:t>
      </w:r>
      <w:r w:rsidRPr="00FA626B">
        <w:rPr>
          <w:rFonts w:ascii="Times New Roman" w:hAnsi="Times New Roman" w:cs="Times New Roman"/>
          <w:sz w:val="24"/>
          <w:szCs w:val="24"/>
        </w:rPr>
        <w:t>, trans. Alan Sheridan (New York: Vintage Books, 1979), p. 7.</w:t>
      </w:r>
      <w:r w:rsidR="00B3459A" w:rsidRPr="00FA626B">
        <w:rPr>
          <w:rFonts w:ascii="Times New Roman" w:hAnsi="Times New Roman" w:cs="Times New Roman"/>
          <w:sz w:val="24"/>
          <w:szCs w:val="24"/>
        </w:rPr>
        <w:t xml:space="preserve"> </w:t>
      </w:r>
      <w:r w:rsidR="006A6DE2" w:rsidRPr="00FA626B">
        <w:rPr>
          <w:rFonts w:ascii="Times New Roman" w:hAnsi="Times New Roman" w:cs="Times New Roman"/>
          <w:sz w:val="24"/>
          <w:szCs w:val="24"/>
        </w:rPr>
        <w:t>In contrast to Foucault, John Langbein, however, argues that juridical transformations in the law of proof, rather than the emergence of disciplinary power, were responsible</w:t>
      </w:r>
      <w:r w:rsidR="00B3459A" w:rsidRPr="00FA626B">
        <w:rPr>
          <w:rFonts w:ascii="Times New Roman" w:hAnsi="Times New Roman" w:cs="Times New Roman"/>
          <w:sz w:val="24"/>
          <w:szCs w:val="24"/>
        </w:rPr>
        <w:t xml:space="preserve"> for the gradual disappearance, or privatization, of torture</w:t>
      </w:r>
      <w:r w:rsidR="006A6DE2" w:rsidRPr="00FA626B">
        <w:rPr>
          <w:rFonts w:ascii="Times New Roman" w:hAnsi="Times New Roman" w:cs="Times New Roman"/>
          <w:sz w:val="24"/>
          <w:szCs w:val="24"/>
        </w:rPr>
        <w:t xml:space="preserve">. John Lanbein, </w:t>
      </w:r>
      <w:r w:rsidR="006A6DE2" w:rsidRPr="00FA626B">
        <w:rPr>
          <w:rFonts w:ascii="Times New Roman" w:hAnsi="Times New Roman" w:cs="Times New Roman"/>
          <w:i/>
          <w:sz w:val="24"/>
          <w:szCs w:val="24"/>
        </w:rPr>
        <w:t xml:space="preserve">Torture and the Law of Proof </w:t>
      </w:r>
      <w:r w:rsidR="006A6DE2" w:rsidRPr="00FA626B">
        <w:rPr>
          <w:rFonts w:ascii="Times New Roman" w:hAnsi="Times New Roman" w:cs="Times New Roman"/>
          <w:sz w:val="24"/>
          <w:szCs w:val="24"/>
        </w:rPr>
        <w:t>(Chicago: University of Chicago Press, 1977).</w:t>
      </w:r>
    </w:p>
  </w:footnote>
  <w:footnote w:id="6">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i/>
          <w:sz w:val="24"/>
          <w:szCs w:val="24"/>
        </w:rPr>
        <w:t>Discipline and Punish</w:t>
      </w:r>
      <w:r w:rsidRPr="00FA626B">
        <w:rPr>
          <w:rFonts w:ascii="Times New Roman" w:hAnsi="Times New Roman" w:cs="Times New Roman"/>
          <w:sz w:val="24"/>
          <w:szCs w:val="24"/>
        </w:rPr>
        <w:t>, p. 8.</w:t>
      </w:r>
    </w:p>
  </w:footnote>
  <w:footnote w:id="7">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For an elucidation of necropolitics see Achille Mbembe, “Necropolitics”, </w:t>
      </w:r>
      <w:r w:rsidRPr="00FA626B">
        <w:rPr>
          <w:rFonts w:ascii="Times New Roman" w:hAnsi="Times New Roman" w:cs="Times New Roman"/>
          <w:i/>
          <w:sz w:val="24"/>
          <w:szCs w:val="24"/>
        </w:rPr>
        <w:t>Public Culture</w:t>
      </w:r>
      <w:r w:rsidRPr="00FA626B">
        <w:rPr>
          <w:rFonts w:ascii="Times New Roman" w:hAnsi="Times New Roman" w:cs="Times New Roman"/>
          <w:sz w:val="24"/>
          <w:szCs w:val="24"/>
        </w:rPr>
        <w:t xml:space="preserve"> 15, 1 (2003): 11-40.</w:t>
      </w:r>
    </w:p>
  </w:footnote>
  <w:footnote w:id="8">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Dinesh Joseph Wadiwel, “The War Against Animals: Domination, Law and Sovereignty,” </w:t>
      </w:r>
      <w:r w:rsidRPr="00FA626B">
        <w:rPr>
          <w:rFonts w:ascii="Times New Roman" w:hAnsi="Times New Roman" w:cs="Times New Roman"/>
          <w:i/>
          <w:sz w:val="24"/>
          <w:szCs w:val="24"/>
        </w:rPr>
        <w:t>Griffith Law Review</w:t>
      </w:r>
      <w:r w:rsidRPr="00FA626B">
        <w:rPr>
          <w:rFonts w:ascii="Times New Roman" w:hAnsi="Times New Roman" w:cs="Times New Roman"/>
          <w:sz w:val="24"/>
          <w:szCs w:val="24"/>
        </w:rPr>
        <w:t>, 18, 2 (2009), p. 291</w:t>
      </w:r>
    </w:p>
  </w:footnote>
  <w:footnote w:id="9">
    <w:p w:rsidR="004E4B21" w:rsidRPr="00FA626B" w:rsidRDefault="004E4B21" w:rsidP="00E54123">
      <w:pPr>
        <w:autoSpaceDE w:val="0"/>
        <w:autoSpaceDN w:val="0"/>
        <w:adjustRightInd w:val="0"/>
        <w:spacing w:after="0" w:line="240" w:lineRule="auto"/>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Mitchell Dean, “’Demonic Societies” Liberalism, Biopolitics, and Sovereignty,” in Thomas Blom and Finn Stepputat (eds), </w:t>
      </w:r>
      <w:r w:rsidRPr="00FA626B">
        <w:rPr>
          <w:rFonts w:ascii="Times New Roman" w:hAnsi="Times New Roman" w:cs="Times New Roman"/>
          <w:i/>
          <w:sz w:val="24"/>
          <w:szCs w:val="24"/>
        </w:rPr>
        <w:t>States of Imagination: Ethnographic Explorations of the Postcolonial State</w:t>
      </w:r>
      <w:r w:rsidRPr="00FA626B">
        <w:rPr>
          <w:rFonts w:ascii="Times New Roman" w:hAnsi="Times New Roman" w:cs="Times New Roman"/>
          <w:sz w:val="24"/>
          <w:szCs w:val="24"/>
        </w:rPr>
        <w:t xml:space="preserve"> (Durham, NC: Duke University Press, 2001), p. 55.</w:t>
      </w:r>
    </w:p>
  </w:footnote>
  <w:footnote w:id="10">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David S</w:t>
      </w:r>
      <w:r w:rsidR="00D97248" w:rsidRPr="00FA626B">
        <w:rPr>
          <w:rFonts w:ascii="Times New Roman" w:hAnsi="Times New Roman" w:cs="Times New Roman"/>
          <w:sz w:val="24"/>
          <w:szCs w:val="24"/>
        </w:rPr>
        <w:t>cott, “Colonial Governmentality</w:t>
      </w:r>
      <w:r w:rsidRPr="00FA626B">
        <w:rPr>
          <w:rFonts w:ascii="Times New Roman" w:hAnsi="Times New Roman" w:cs="Times New Roman"/>
          <w:sz w:val="24"/>
          <w:szCs w:val="24"/>
        </w:rPr>
        <w:t>"</w:t>
      </w:r>
      <w:r w:rsidR="00D97248" w:rsidRPr="00FA626B">
        <w:rPr>
          <w:rFonts w:ascii="Times New Roman" w:hAnsi="Times New Roman" w:cs="Times New Roman"/>
          <w:sz w:val="24"/>
          <w:szCs w:val="24"/>
        </w:rPr>
        <w:t>,</w:t>
      </w:r>
      <w:r w:rsidRPr="00FA626B">
        <w:rPr>
          <w:rFonts w:ascii="Times New Roman" w:hAnsi="Times New Roman" w:cs="Times New Roman"/>
          <w:sz w:val="24"/>
          <w:szCs w:val="24"/>
        </w:rPr>
        <w:t xml:space="preserve"> </w:t>
      </w:r>
      <w:r w:rsidRPr="00FA626B">
        <w:rPr>
          <w:rFonts w:ascii="Times New Roman" w:hAnsi="Times New Roman" w:cs="Times New Roman"/>
          <w:i/>
          <w:sz w:val="24"/>
          <w:szCs w:val="24"/>
        </w:rPr>
        <w:t>Social Text</w:t>
      </w:r>
      <w:r w:rsidRPr="00FA626B">
        <w:rPr>
          <w:rFonts w:ascii="Times New Roman" w:hAnsi="Times New Roman" w:cs="Times New Roman"/>
          <w:sz w:val="24"/>
          <w:szCs w:val="24"/>
        </w:rPr>
        <w:t>, 43 (1995), p. 197.</w:t>
      </w:r>
    </w:p>
  </w:footnote>
  <w:footnote w:id="11">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Gyan Prakash, </w:t>
      </w:r>
      <w:r w:rsidRPr="00FA626B">
        <w:rPr>
          <w:rFonts w:ascii="Times New Roman" w:hAnsi="Times New Roman" w:cs="Times New Roman"/>
          <w:i/>
          <w:sz w:val="24"/>
          <w:szCs w:val="24"/>
        </w:rPr>
        <w:t>Another Reason: Science and the Imagination of Modern India</w:t>
      </w:r>
      <w:r w:rsidRPr="00FA626B">
        <w:rPr>
          <w:rFonts w:ascii="Times New Roman" w:hAnsi="Times New Roman" w:cs="Times New Roman"/>
          <w:sz w:val="24"/>
          <w:szCs w:val="24"/>
        </w:rPr>
        <w:t xml:space="preserve"> (Princeton: Princeton University Press, 1999), p. 125.</w:t>
      </w:r>
    </w:p>
  </w:footnote>
  <w:footnote w:id="12">
    <w:p w:rsidR="004E4B21" w:rsidRPr="00FA626B" w:rsidRDefault="004E4B21" w:rsidP="003F1220">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Deana Heath, </w:t>
      </w:r>
      <w:r w:rsidRPr="00FA626B">
        <w:rPr>
          <w:rFonts w:ascii="Times New Roman" w:hAnsi="Times New Roman" w:cs="Times New Roman"/>
          <w:i/>
          <w:sz w:val="24"/>
          <w:szCs w:val="24"/>
        </w:rPr>
        <w:t xml:space="preserve">Purifying Empire: Obscenity and the Politics of Moral Regulation in Britain, India and Australia </w:t>
      </w:r>
      <w:r w:rsidRPr="00FA626B">
        <w:rPr>
          <w:rFonts w:ascii="Times New Roman" w:hAnsi="Times New Roman" w:cs="Times New Roman"/>
          <w:sz w:val="24"/>
          <w:szCs w:val="24"/>
        </w:rPr>
        <w:t>(Cambridge: Cambridge University Press, 2010), p. 13.</w:t>
      </w:r>
    </w:p>
  </w:footnote>
  <w:footnote w:id="13">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Partha Chatterjee, </w:t>
      </w:r>
      <w:r w:rsidRPr="00FA626B">
        <w:rPr>
          <w:rFonts w:ascii="Times New Roman" w:hAnsi="Times New Roman" w:cs="Times New Roman"/>
          <w:i/>
          <w:sz w:val="24"/>
          <w:szCs w:val="24"/>
        </w:rPr>
        <w:t>The Nation and its Fragments: Colonial and Postcolonial Histories</w:t>
      </w:r>
      <w:r w:rsidRPr="00FA626B">
        <w:rPr>
          <w:rFonts w:ascii="Times New Roman" w:hAnsi="Times New Roman" w:cs="Times New Roman"/>
          <w:sz w:val="24"/>
          <w:szCs w:val="24"/>
        </w:rPr>
        <w:t xml:space="preserve"> (Princeton:  Princeton University Press, 1993), p. 10, and “The Disciplines in Colonial Bengal,” in Partha Chatterjee (ed.), </w:t>
      </w:r>
      <w:r w:rsidRPr="00FA626B">
        <w:rPr>
          <w:rFonts w:ascii="Times New Roman" w:hAnsi="Times New Roman" w:cs="Times New Roman"/>
          <w:i/>
          <w:sz w:val="24"/>
          <w:szCs w:val="24"/>
        </w:rPr>
        <w:t>Texts of Power:  Emerging Disciplines in Colonial Bengal</w:t>
      </w:r>
      <w:r w:rsidRPr="00FA626B">
        <w:rPr>
          <w:rFonts w:ascii="Times New Roman" w:hAnsi="Times New Roman" w:cs="Times New Roman"/>
          <w:sz w:val="24"/>
          <w:szCs w:val="24"/>
        </w:rPr>
        <w:t xml:space="preserve"> (Minneapolis and London:  University of Minnesota Press, 1995) p. 8.</w:t>
      </w:r>
    </w:p>
  </w:footnote>
  <w:footnote w:id="14">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Heath, </w:t>
      </w:r>
      <w:r w:rsidRPr="00FA626B">
        <w:rPr>
          <w:rFonts w:ascii="Times New Roman" w:hAnsi="Times New Roman" w:cs="Times New Roman"/>
          <w:i/>
          <w:sz w:val="24"/>
          <w:szCs w:val="24"/>
        </w:rPr>
        <w:t>Purifying Empire</w:t>
      </w:r>
      <w:r w:rsidRPr="00FA626B">
        <w:rPr>
          <w:rFonts w:ascii="Times New Roman" w:hAnsi="Times New Roman" w:cs="Times New Roman"/>
          <w:sz w:val="24"/>
          <w:szCs w:val="24"/>
        </w:rPr>
        <w:t>, pp. 12-14.</w:t>
      </w:r>
    </w:p>
  </w:footnote>
  <w:footnote w:id="15">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Prakash, </w:t>
      </w:r>
      <w:r w:rsidRPr="00FA626B">
        <w:rPr>
          <w:rFonts w:ascii="Times New Roman" w:hAnsi="Times New Roman" w:cs="Times New Roman"/>
          <w:i/>
          <w:sz w:val="24"/>
          <w:szCs w:val="24"/>
        </w:rPr>
        <w:t xml:space="preserve">Another Reason, </w:t>
      </w:r>
      <w:r w:rsidRPr="00FA626B">
        <w:rPr>
          <w:rFonts w:ascii="Times New Roman" w:hAnsi="Times New Roman" w:cs="Times New Roman"/>
          <w:sz w:val="24"/>
          <w:szCs w:val="24"/>
        </w:rPr>
        <w:t xml:space="preserve">p. 143; and Heath, </w:t>
      </w:r>
      <w:r w:rsidRPr="00FA626B">
        <w:rPr>
          <w:rFonts w:ascii="Times New Roman" w:hAnsi="Times New Roman" w:cs="Times New Roman"/>
          <w:i/>
          <w:sz w:val="24"/>
          <w:szCs w:val="24"/>
        </w:rPr>
        <w:t>Purifying Empire</w:t>
      </w:r>
      <w:r w:rsidRPr="00FA626B">
        <w:rPr>
          <w:rFonts w:ascii="Times New Roman" w:hAnsi="Times New Roman" w:cs="Times New Roman"/>
          <w:sz w:val="24"/>
          <w:szCs w:val="24"/>
        </w:rPr>
        <w:t>, p. 18.</w:t>
      </w:r>
    </w:p>
  </w:footnote>
  <w:footnote w:id="16">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Heath, </w:t>
      </w:r>
      <w:r w:rsidRPr="00FA626B">
        <w:rPr>
          <w:rFonts w:ascii="Times New Roman" w:hAnsi="Times New Roman" w:cs="Times New Roman"/>
          <w:i/>
          <w:sz w:val="24"/>
          <w:szCs w:val="24"/>
        </w:rPr>
        <w:t>Purifying Empire</w:t>
      </w:r>
      <w:r w:rsidRPr="00FA626B">
        <w:rPr>
          <w:rFonts w:ascii="Times New Roman" w:hAnsi="Times New Roman" w:cs="Times New Roman"/>
          <w:sz w:val="24"/>
          <w:szCs w:val="24"/>
        </w:rPr>
        <w:t>, p. 16.</w:t>
      </w:r>
    </w:p>
  </w:footnote>
  <w:footnote w:id="17">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T. B. Hansen and Finn Stepputat, “Introduction”, in Hansen and Stepputat (eds), </w:t>
      </w:r>
      <w:r w:rsidRPr="00FA626B">
        <w:rPr>
          <w:rFonts w:ascii="Times New Roman" w:hAnsi="Times New Roman" w:cs="Times New Roman"/>
          <w:i/>
          <w:sz w:val="24"/>
          <w:szCs w:val="24"/>
        </w:rPr>
        <w:t>Sovereign Bodies: Citizens, Migrants and States in the Postcolonial World</w:t>
      </w:r>
      <w:r w:rsidRPr="00FA626B">
        <w:rPr>
          <w:rFonts w:ascii="Times New Roman" w:hAnsi="Times New Roman" w:cs="Times New Roman"/>
          <w:sz w:val="24"/>
          <w:szCs w:val="24"/>
        </w:rPr>
        <w:t xml:space="preserve"> (Princeton: Princeton University Press, 2005), p. 4.</w:t>
      </w:r>
    </w:p>
  </w:footnote>
  <w:footnote w:id="18">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Anupama Rao and Steven Pierce, “Discipline and the Other Body: Humanitarianism, Violence, and the Colonial Exception”, in Steven Pierce and Anupama Rao (eds), </w:t>
      </w:r>
      <w:r w:rsidRPr="00FA626B">
        <w:rPr>
          <w:rFonts w:ascii="Times New Roman" w:hAnsi="Times New Roman" w:cs="Times New Roman"/>
          <w:i/>
          <w:sz w:val="24"/>
          <w:szCs w:val="24"/>
        </w:rPr>
        <w:t xml:space="preserve">Discipline and the Other Body: Correction, Corporeality, </w:t>
      </w:r>
      <w:r w:rsidRPr="00FA626B">
        <w:rPr>
          <w:rFonts w:ascii="Times New Roman" w:hAnsi="Times New Roman" w:cs="Times New Roman"/>
          <w:sz w:val="24"/>
          <w:szCs w:val="24"/>
        </w:rPr>
        <w:t xml:space="preserve">Colonialism (Durham and London: Duke University Press, 2006), p. </w:t>
      </w:r>
      <w:r w:rsidRPr="00FA626B">
        <w:rPr>
          <w:rFonts w:ascii="Times New Roman" w:hAnsi="Times New Roman" w:cs="Times New Roman"/>
          <w:sz w:val="24"/>
          <w:szCs w:val="24"/>
          <w:lang w:val="en-US"/>
        </w:rPr>
        <w:t>21.</w:t>
      </w:r>
    </w:p>
  </w:footnote>
  <w:footnote w:id="19">
    <w:p w:rsidR="004E4B21" w:rsidRPr="00FA626B" w:rsidRDefault="004E4B21" w:rsidP="00462406">
      <w:pPr>
        <w:pStyle w:val="FootnoteText"/>
        <w:contextualSpacing/>
        <w:rPr>
          <w:rFonts w:ascii="Times New Roman" w:hAnsi="Times New Roman" w:cs="Times New Roman"/>
          <w:sz w:val="24"/>
          <w:szCs w:val="24"/>
          <w:lang w:val="en-US"/>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Esme </w:t>
      </w:r>
      <w:r w:rsidRPr="00FA626B">
        <w:rPr>
          <w:rFonts w:ascii="Times New Roman" w:hAnsi="Times New Roman" w:cs="Times New Roman"/>
          <w:sz w:val="24"/>
          <w:szCs w:val="24"/>
          <w:lang w:val="en-US"/>
        </w:rPr>
        <w:t xml:space="preserve">Cleall, </w:t>
      </w:r>
      <w:r w:rsidRPr="00FA626B">
        <w:rPr>
          <w:rFonts w:ascii="Times New Roman" w:hAnsi="Times New Roman" w:cs="Times New Roman"/>
          <w:i/>
          <w:sz w:val="24"/>
          <w:szCs w:val="24"/>
          <w:lang w:val="en-US"/>
        </w:rPr>
        <w:t xml:space="preserve">Missionary Discourses of Difference: Negotiating Otherness in the British Empire, 1840-1900 </w:t>
      </w:r>
      <w:r w:rsidRPr="00FA626B">
        <w:rPr>
          <w:rFonts w:ascii="Times New Roman" w:hAnsi="Times New Roman" w:cs="Times New Roman"/>
          <w:sz w:val="24"/>
          <w:szCs w:val="24"/>
          <w:lang w:val="en-US"/>
        </w:rPr>
        <w:t>(Houndsmills, Hampshire: Palgrave Macmillan, 2012)</w:t>
      </w:r>
      <w:r w:rsidRPr="00FA626B">
        <w:rPr>
          <w:rFonts w:ascii="Times New Roman" w:hAnsi="Times New Roman" w:cs="Times New Roman"/>
          <w:i/>
          <w:sz w:val="24"/>
          <w:szCs w:val="24"/>
          <w:lang w:val="en-US"/>
        </w:rPr>
        <w:t xml:space="preserve">, </w:t>
      </w:r>
      <w:r w:rsidRPr="00FA626B">
        <w:rPr>
          <w:rFonts w:ascii="Times New Roman" w:hAnsi="Times New Roman" w:cs="Times New Roman"/>
          <w:sz w:val="24"/>
          <w:szCs w:val="24"/>
          <w:lang w:val="en-US"/>
        </w:rPr>
        <w:t>p.</w:t>
      </w:r>
      <w:r w:rsidRPr="00FA626B">
        <w:rPr>
          <w:rFonts w:ascii="Times New Roman" w:hAnsi="Times New Roman" w:cs="Times New Roman"/>
          <w:i/>
          <w:sz w:val="24"/>
          <w:szCs w:val="24"/>
          <w:lang w:val="en-US"/>
        </w:rPr>
        <w:t xml:space="preserve"> </w:t>
      </w:r>
      <w:r w:rsidRPr="00FA626B">
        <w:rPr>
          <w:rFonts w:ascii="Times New Roman" w:hAnsi="Times New Roman" w:cs="Times New Roman"/>
          <w:sz w:val="24"/>
          <w:szCs w:val="24"/>
          <w:lang w:val="en-US"/>
        </w:rPr>
        <w:t>133.</w:t>
      </w:r>
    </w:p>
  </w:footnote>
  <w:footnote w:id="20">
    <w:p w:rsidR="00D97248" w:rsidRPr="00FA626B" w:rsidRDefault="00D97248">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Mark Brown, “’That Heavy Machine’: Reprising the Colonial Apparatus in 21</w:t>
      </w:r>
      <w:r w:rsidRPr="00FA626B">
        <w:rPr>
          <w:rFonts w:ascii="Times New Roman" w:hAnsi="Times New Roman" w:cs="Times New Roman"/>
          <w:sz w:val="24"/>
          <w:szCs w:val="24"/>
          <w:vertAlign w:val="superscript"/>
        </w:rPr>
        <w:t>st</w:t>
      </w:r>
      <w:r w:rsidRPr="00FA626B">
        <w:rPr>
          <w:rFonts w:ascii="Times New Roman" w:hAnsi="Times New Roman" w:cs="Times New Roman"/>
          <w:sz w:val="24"/>
          <w:szCs w:val="24"/>
        </w:rPr>
        <w:t xml:space="preserve">-Century Social Control,” </w:t>
      </w:r>
      <w:r w:rsidRPr="00FA626B">
        <w:rPr>
          <w:rFonts w:ascii="Times New Roman" w:hAnsi="Times New Roman" w:cs="Times New Roman"/>
          <w:i/>
          <w:sz w:val="24"/>
          <w:szCs w:val="24"/>
        </w:rPr>
        <w:t>Social Justice</w:t>
      </w:r>
      <w:r w:rsidRPr="00FA626B">
        <w:rPr>
          <w:rFonts w:ascii="Times New Roman" w:hAnsi="Times New Roman" w:cs="Times New Roman"/>
          <w:sz w:val="24"/>
          <w:szCs w:val="24"/>
        </w:rPr>
        <w:t>, 32, 1 (2005), p. 46.</w:t>
      </w:r>
    </w:p>
  </w:footnote>
  <w:footnote w:id="21">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bCs/>
          <w:sz w:val="24"/>
          <w:szCs w:val="24"/>
        </w:rPr>
        <w:t xml:space="preserve">Slavoj </w:t>
      </w:r>
      <w:r w:rsidRPr="00FA626B">
        <w:rPr>
          <w:rFonts w:ascii="Times New Roman" w:eastAsia="MS Mincho" w:hAnsi="Times New Roman" w:cs="Times New Roman"/>
          <w:bCs/>
          <w:sz w:val="24"/>
          <w:szCs w:val="24"/>
        </w:rPr>
        <w:t>Ž</w:t>
      </w:r>
      <w:r w:rsidRPr="00FA626B">
        <w:rPr>
          <w:rFonts w:ascii="Times New Roman" w:hAnsi="Times New Roman" w:cs="Times New Roman"/>
          <w:bCs/>
          <w:sz w:val="24"/>
          <w:szCs w:val="24"/>
        </w:rPr>
        <w:t>i</w:t>
      </w:r>
      <w:r w:rsidRPr="00FA626B">
        <w:rPr>
          <w:rFonts w:ascii="Times New Roman" w:eastAsia="MS Mincho" w:hAnsi="Times New Roman" w:cs="Times New Roman"/>
          <w:bCs/>
          <w:sz w:val="24"/>
          <w:szCs w:val="24"/>
        </w:rPr>
        <w:t>ž</w:t>
      </w:r>
      <w:r w:rsidRPr="00FA626B">
        <w:rPr>
          <w:rFonts w:ascii="Times New Roman" w:hAnsi="Times New Roman" w:cs="Times New Roman"/>
          <w:bCs/>
          <w:sz w:val="24"/>
          <w:szCs w:val="24"/>
        </w:rPr>
        <w:t xml:space="preserve">ek, </w:t>
      </w:r>
      <w:r w:rsidRPr="00FA626B">
        <w:rPr>
          <w:rFonts w:ascii="Times New Roman" w:hAnsi="Times New Roman" w:cs="Times New Roman"/>
          <w:i/>
          <w:sz w:val="24"/>
          <w:szCs w:val="24"/>
        </w:rPr>
        <w:t>Violence: Six Sideways Reflections</w:t>
      </w:r>
      <w:r w:rsidRPr="00FA626B">
        <w:rPr>
          <w:rFonts w:ascii="Times New Roman" w:hAnsi="Times New Roman" w:cs="Times New Roman"/>
          <w:sz w:val="24"/>
          <w:szCs w:val="24"/>
        </w:rPr>
        <w:t xml:space="preserve"> (London: Profile Books, 2008), p. 1. </w:t>
      </w:r>
    </w:p>
  </w:footnote>
  <w:footnote w:id="22">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eastAsia="MS Mincho" w:hAnsi="Times New Roman" w:cs="Times New Roman"/>
          <w:bCs/>
          <w:sz w:val="24"/>
          <w:szCs w:val="24"/>
        </w:rPr>
        <w:t>Ibid,</w:t>
      </w:r>
      <w:r w:rsidRPr="00FA626B">
        <w:rPr>
          <w:rFonts w:ascii="Times New Roman" w:hAnsi="Times New Roman" w:cs="Times New Roman"/>
          <w:bCs/>
          <w:sz w:val="24"/>
          <w:szCs w:val="24"/>
        </w:rPr>
        <w:t xml:space="preserve"> </w:t>
      </w:r>
      <w:r w:rsidR="006A6DE2" w:rsidRPr="00FA626B">
        <w:rPr>
          <w:rFonts w:ascii="Times New Roman" w:hAnsi="Times New Roman" w:cs="Times New Roman"/>
          <w:bCs/>
          <w:sz w:val="24"/>
          <w:szCs w:val="24"/>
        </w:rPr>
        <w:t xml:space="preserve">p. </w:t>
      </w:r>
      <w:r w:rsidRPr="00FA626B">
        <w:rPr>
          <w:rFonts w:ascii="Times New Roman" w:hAnsi="Times New Roman" w:cs="Times New Roman"/>
          <w:bCs/>
          <w:sz w:val="24"/>
          <w:szCs w:val="24"/>
        </w:rPr>
        <w:t>1.</w:t>
      </w:r>
    </w:p>
  </w:footnote>
  <w:footnote w:id="23">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eastAsia="MS Mincho" w:hAnsi="Times New Roman" w:cs="Times New Roman"/>
          <w:bCs/>
          <w:sz w:val="24"/>
          <w:szCs w:val="24"/>
        </w:rPr>
        <w:t>Ibid</w:t>
      </w:r>
      <w:r w:rsidRPr="00FA626B">
        <w:rPr>
          <w:rFonts w:ascii="Times New Roman" w:hAnsi="Times New Roman" w:cs="Times New Roman"/>
          <w:bCs/>
          <w:sz w:val="24"/>
          <w:szCs w:val="24"/>
        </w:rPr>
        <w:t xml:space="preserve">, </w:t>
      </w:r>
      <w:r w:rsidR="006A6DE2" w:rsidRPr="00FA626B">
        <w:rPr>
          <w:rFonts w:ascii="Times New Roman" w:hAnsi="Times New Roman" w:cs="Times New Roman"/>
          <w:bCs/>
          <w:sz w:val="24"/>
          <w:szCs w:val="24"/>
        </w:rPr>
        <w:t xml:space="preserve">p. </w:t>
      </w:r>
      <w:r w:rsidRPr="00FA626B">
        <w:rPr>
          <w:rFonts w:ascii="Times New Roman" w:hAnsi="Times New Roman" w:cs="Times New Roman"/>
          <w:bCs/>
          <w:sz w:val="24"/>
          <w:szCs w:val="24"/>
        </w:rPr>
        <w:t>2.</w:t>
      </w:r>
    </w:p>
  </w:footnote>
  <w:footnote w:id="24">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eastAsia="MS Mincho" w:hAnsi="Times New Roman" w:cs="Times New Roman"/>
          <w:bCs/>
          <w:sz w:val="24"/>
          <w:szCs w:val="24"/>
        </w:rPr>
        <w:t>Ibid,</w:t>
      </w:r>
      <w:r w:rsidRPr="00FA626B">
        <w:rPr>
          <w:rFonts w:ascii="Times New Roman" w:hAnsi="Times New Roman" w:cs="Times New Roman"/>
          <w:bCs/>
          <w:sz w:val="24"/>
          <w:szCs w:val="24"/>
        </w:rPr>
        <w:t xml:space="preserve"> </w:t>
      </w:r>
      <w:r w:rsidR="006A6DE2" w:rsidRPr="00FA626B">
        <w:rPr>
          <w:rFonts w:ascii="Times New Roman" w:hAnsi="Times New Roman" w:cs="Times New Roman"/>
          <w:bCs/>
          <w:sz w:val="24"/>
          <w:szCs w:val="24"/>
        </w:rPr>
        <w:t xml:space="preserve">p. </w:t>
      </w:r>
      <w:r w:rsidRPr="00FA626B">
        <w:rPr>
          <w:rFonts w:ascii="Times New Roman" w:hAnsi="Times New Roman" w:cs="Times New Roman"/>
          <w:bCs/>
          <w:sz w:val="24"/>
          <w:szCs w:val="24"/>
        </w:rPr>
        <w:t>2.</w:t>
      </w:r>
    </w:p>
  </w:footnote>
  <w:footnote w:id="25">
    <w:p w:rsidR="004E4B21" w:rsidRPr="00FA626B" w:rsidRDefault="004E4B21" w:rsidP="000437C1">
      <w:pPr>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Michel Foucault, “The Subject and Power,” </w:t>
      </w:r>
      <w:r w:rsidRPr="00FA626B">
        <w:rPr>
          <w:rFonts w:ascii="Times New Roman" w:hAnsi="Times New Roman" w:cs="Times New Roman"/>
          <w:i/>
          <w:sz w:val="24"/>
          <w:szCs w:val="24"/>
        </w:rPr>
        <w:t>Critical Inquiry</w:t>
      </w:r>
      <w:r w:rsidRPr="00FA626B">
        <w:rPr>
          <w:rFonts w:ascii="Times New Roman" w:hAnsi="Times New Roman" w:cs="Times New Roman"/>
          <w:sz w:val="24"/>
          <w:szCs w:val="24"/>
        </w:rPr>
        <w:t xml:space="preserve"> 8 (1982), p. 789.</w:t>
      </w:r>
    </w:p>
  </w:footnote>
  <w:footnote w:id="26">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Michel Foucault, “Governmentality”, in </w:t>
      </w:r>
      <w:r w:rsidRPr="00FA626B">
        <w:rPr>
          <w:rFonts w:ascii="Times New Roman" w:hAnsi="Times New Roman" w:cs="Times New Roman"/>
          <w:i/>
          <w:sz w:val="24"/>
          <w:szCs w:val="24"/>
        </w:rPr>
        <w:t>The Foucault Effect: Studies in Governmentality:  With Two Lectures by and an Interview with Michel Foucault</w:t>
      </w:r>
      <w:r w:rsidRPr="00FA626B">
        <w:rPr>
          <w:rFonts w:ascii="Times New Roman" w:hAnsi="Times New Roman" w:cs="Times New Roman"/>
          <w:sz w:val="24"/>
          <w:szCs w:val="24"/>
        </w:rPr>
        <w:t>, Graham Burchell, Colin Gordon and Peter Miller (eds) (Chicago:  University of Chicago Press, 1991), p. 102.</w:t>
      </w:r>
    </w:p>
  </w:footnote>
  <w:footnote w:id="27">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Michel Foucault, “</w:t>
      </w:r>
      <w:r w:rsidRPr="00FA626B">
        <w:rPr>
          <w:rFonts w:ascii="Times New Roman" w:hAnsi="Times New Roman" w:cs="Times New Roman"/>
          <w:i/>
          <w:sz w:val="24"/>
          <w:szCs w:val="24"/>
        </w:rPr>
        <w:t xml:space="preserve">Society Must Be Defended”: Lectures at the Collège de France, 1975-76, </w:t>
      </w:r>
      <w:r w:rsidRPr="00FA626B">
        <w:rPr>
          <w:rFonts w:ascii="Times New Roman" w:hAnsi="Times New Roman" w:cs="Times New Roman"/>
          <w:sz w:val="24"/>
          <w:szCs w:val="24"/>
        </w:rPr>
        <w:t>Maurio Bertani and Alessandro Fontana (eds), trans. David Macey (New York: Picador, 1997).</w:t>
      </w:r>
    </w:p>
  </w:footnote>
  <w:footnote w:id="28">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Ann Stoler, </w:t>
      </w:r>
      <w:r w:rsidRPr="00FA626B">
        <w:rPr>
          <w:rFonts w:ascii="Times New Roman" w:hAnsi="Times New Roman" w:cs="Times New Roman"/>
          <w:i/>
          <w:sz w:val="24"/>
          <w:szCs w:val="24"/>
        </w:rPr>
        <w:t>Race and the Education of Desire: Foucault’s History of Sexuality and the Colonial Order of Things</w:t>
      </w:r>
      <w:r w:rsidRPr="00FA626B">
        <w:rPr>
          <w:rFonts w:ascii="Times New Roman" w:hAnsi="Times New Roman" w:cs="Times New Roman"/>
          <w:sz w:val="24"/>
          <w:szCs w:val="24"/>
        </w:rPr>
        <w:t xml:space="preserve"> (Durham and London: Duke University Press, 1995), p. 61. </w:t>
      </w:r>
    </w:p>
  </w:footnote>
  <w:footnote w:id="29">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Mika Ojakangas, “Impossible Dialogue on Bio-power,” </w:t>
      </w:r>
      <w:r w:rsidRPr="00FA626B">
        <w:rPr>
          <w:rFonts w:ascii="Times New Roman" w:hAnsi="Times New Roman" w:cs="Times New Roman"/>
          <w:i/>
          <w:sz w:val="24"/>
          <w:szCs w:val="24"/>
        </w:rPr>
        <w:t>Foucault Studies</w:t>
      </w:r>
      <w:r w:rsidRPr="00FA626B">
        <w:rPr>
          <w:rFonts w:ascii="Times New Roman" w:hAnsi="Times New Roman" w:cs="Times New Roman"/>
          <w:sz w:val="24"/>
          <w:szCs w:val="24"/>
        </w:rPr>
        <w:t>, 2 (2005), pp. 5-6.</w:t>
      </w:r>
    </w:p>
  </w:footnote>
  <w:footnote w:id="30">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Mitchell Dean, </w:t>
      </w:r>
      <w:r w:rsidR="003B5F12" w:rsidRPr="00FA626B">
        <w:rPr>
          <w:rFonts w:ascii="Times New Roman" w:hAnsi="Times New Roman" w:cs="Times New Roman"/>
          <w:i/>
          <w:sz w:val="24"/>
          <w:szCs w:val="24"/>
        </w:rPr>
        <w:t xml:space="preserve">The Signature of Power: </w:t>
      </w:r>
      <w:r w:rsidRPr="00FA626B">
        <w:rPr>
          <w:rFonts w:ascii="Times New Roman" w:hAnsi="Times New Roman" w:cs="Times New Roman"/>
          <w:i/>
          <w:sz w:val="24"/>
          <w:szCs w:val="24"/>
        </w:rPr>
        <w:t xml:space="preserve">Sovereignty, Governmentality and Biopolitics </w:t>
      </w:r>
      <w:r w:rsidRPr="00FA626B">
        <w:rPr>
          <w:rFonts w:ascii="Times New Roman" w:hAnsi="Times New Roman" w:cs="Times New Roman"/>
          <w:sz w:val="24"/>
          <w:szCs w:val="24"/>
        </w:rPr>
        <w:t xml:space="preserve">(Los Angeles: Sage, 2013), p. 28. As Johanna Oksala remarks, Foucault understood sovereign power “essentially as a repressive and coercive form of power, which operates through legal prohibitions”. Johanna Oksala, “Violence and the Biopolitics of Modernity,” </w:t>
      </w:r>
      <w:r w:rsidRPr="00FA626B">
        <w:rPr>
          <w:rFonts w:ascii="Times New Roman" w:hAnsi="Times New Roman" w:cs="Times New Roman"/>
          <w:i/>
          <w:sz w:val="24"/>
          <w:szCs w:val="24"/>
        </w:rPr>
        <w:t>Foucault Studies</w:t>
      </w:r>
      <w:r w:rsidRPr="00FA626B">
        <w:rPr>
          <w:rFonts w:ascii="Times New Roman" w:hAnsi="Times New Roman" w:cs="Times New Roman"/>
          <w:sz w:val="24"/>
          <w:szCs w:val="24"/>
        </w:rPr>
        <w:t>, 10 (2010), p. 36.</w:t>
      </w:r>
    </w:p>
  </w:footnote>
  <w:footnote w:id="31">
    <w:p w:rsidR="004E4B21" w:rsidRPr="00FA626B" w:rsidRDefault="004E4B21">
      <w:pPr>
        <w:pStyle w:val="FootnoteText"/>
        <w:rPr>
          <w:rFonts w:ascii="Times New Roman" w:hAnsi="Times New Roman" w:cs="Times New Roman"/>
          <w:bCs/>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Stoler, </w:t>
      </w:r>
      <w:r w:rsidRPr="00FA626B">
        <w:rPr>
          <w:rFonts w:ascii="Times New Roman" w:hAnsi="Times New Roman" w:cs="Times New Roman"/>
          <w:i/>
          <w:sz w:val="24"/>
          <w:szCs w:val="24"/>
        </w:rPr>
        <w:t xml:space="preserve">Race, </w:t>
      </w:r>
      <w:r w:rsidRPr="00FA626B">
        <w:rPr>
          <w:rFonts w:ascii="Times New Roman" w:hAnsi="Times New Roman" w:cs="Times New Roman"/>
          <w:sz w:val="24"/>
          <w:szCs w:val="24"/>
        </w:rPr>
        <w:t>p. 62; Foucault, “</w:t>
      </w:r>
      <w:r w:rsidRPr="00FA626B">
        <w:rPr>
          <w:rFonts w:ascii="Times New Roman" w:hAnsi="Times New Roman" w:cs="Times New Roman"/>
          <w:i/>
          <w:sz w:val="24"/>
          <w:szCs w:val="24"/>
        </w:rPr>
        <w:t>Society</w:t>
      </w:r>
      <w:r w:rsidRPr="00FA626B">
        <w:rPr>
          <w:rFonts w:ascii="Times New Roman" w:hAnsi="Times New Roman" w:cs="Times New Roman"/>
          <w:sz w:val="24"/>
          <w:szCs w:val="24"/>
        </w:rPr>
        <w:t>”, p. 257.</w:t>
      </w:r>
    </w:p>
  </w:footnote>
  <w:footnote w:id="32">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Stoler, </w:t>
      </w:r>
      <w:r w:rsidRPr="00FA626B">
        <w:rPr>
          <w:rFonts w:ascii="Times New Roman" w:hAnsi="Times New Roman" w:cs="Times New Roman"/>
          <w:i/>
          <w:sz w:val="24"/>
          <w:szCs w:val="24"/>
        </w:rPr>
        <w:t xml:space="preserve">Race, </w:t>
      </w:r>
      <w:r w:rsidRPr="00FA626B">
        <w:rPr>
          <w:rFonts w:ascii="Times New Roman" w:hAnsi="Times New Roman" w:cs="Times New Roman"/>
          <w:sz w:val="24"/>
          <w:szCs w:val="24"/>
        </w:rPr>
        <w:t>p. 85.</w:t>
      </w:r>
    </w:p>
  </w:footnote>
  <w:footnote w:id="33">
    <w:p w:rsidR="004E4B21" w:rsidRPr="00FA626B" w:rsidRDefault="004E4B21" w:rsidP="00CD6617">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Georgio Agamben, </w:t>
      </w:r>
      <w:r w:rsidRPr="00FA626B">
        <w:rPr>
          <w:rFonts w:ascii="Times New Roman" w:hAnsi="Times New Roman" w:cs="Times New Roman"/>
          <w:i/>
          <w:sz w:val="24"/>
          <w:szCs w:val="24"/>
        </w:rPr>
        <w:t>Homo Sacer: Sovereign Power and Bare Life</w:t>
      </w:r>
      <w:r w:rsidRPr="00FA626B">
        <w:rPr>
          <w:rFonts w:ascii="Times New Roman" w:hAnsi="Times New Roman" w:cs="Times New Roman"/>
          <w:sz w:val="24"/>
          <w:szCs w:val="24"/>
        </w:rPr>
        <w:t>, trans. Daniel Heller-Roazen (Stanford: Stanford University Press, 1998), p. 9.</w:t>
      </w:r>
    </w:p>
  </w:footnote>
  <w:footnote w:id="34">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Ojakanga</w:t>
      </w:r>
      <w:r w:rsidR="00CB49E6">
        <w:rPr>
          <w:rFonts w:ascii="Times New Roman" w:hAnsi="Times New Roman" w:cs="Times New Roman"/>
          <w:sz w:val="24"/>
          <w:szCs w:val="24"/>
        </w:rPr>
        <w:t>s, “Impossible Dialogue”, p. 12</w:t>
      </w:r>
      <w:r w:rsidRPr="00FA626B">
        <w:rPr>
          <w:rFonts w:ascii="Times New Roman" w:hAnsi="Times New Roman" w:cs="Times New Roman"/>
          <w:bCs/>
          <w:sz w:val="24"/>
          <w:szCs w:val="24"/>
        </w:rPr>
        <w:t>.</w:t>
      </w:r>
    </w:p>
  </w:footnote>
  <w:footnote w:id="35">
    <w:p w:rsidR="004E4B21" w:rsidRPr="00FA626B" w:rsidRDefault="004E4B21" w:rsidP="00462406">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Ojakangas, “Impossible Dialogue”, p. 14.</w:t>
      </w:r>
    </w:p>
  </w:footnote>
  <w:footnote w:id="36">
    <w:p w:rsidR="004E4B21" w:rsidRPr="00FA626B" w:rsidRDefault="004E4B21" w:rsidP="00F1520C">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 p. 15</w:t>
      </w:r>
      <w:r w:rsidRPr="00FA626B">
        <w:rPr>
          <w:rFonts w:ascii="Times New Roman" w:hAnsi="Times New Roman" w:cs="Times New Roman"/>
          <w:bCs/>
          <w:sz w:val="24"/>
          <w:szCs w:val="24"/>
        </w:rPr>
        <w:t>.</w:t>
      </w:r>
    </w:p>
  </w:footnote>
  <w:footnote w:id="37">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 p. 21; and Jenny Edkins and Véronique Pin-Fat, “Introduction: </w:t>
      </w:r>
      <w:r w:rsidRPr="00FA626B">
        <w:rPr>
          <w:rFonts w:ascii="Times New Roman" w:hAnsi="Times New Roman" w:cs="Times New Roman"/>
          <w:i/>
          <w:sz w:val="24"/>
          <w:szCs w:val="24"/>
        </w:rPr>
        <w:t>Life, power, Resistance</w:t>
      </w:r>
      <w:r w:rsidRPr="00FA626B">
        <w:rPr>
          <w:rFonts w:ascii="Times New Roman" w:hAnsi="Times New Roman" w:cs="Times New Roman"/>
          <w:sz w:val="24"/>
          <w:szCs w:val="24"/>
        </w:rPr>
        <w:t xml:space="preserve">,” in Jenny Edkins, Véronique Pin-Fat and Michael J. Shapiro, </w:t>
      </w:r>
      <w:r w:rsidRPr="00FA626B">
        <w:rPr>
          <w:rFonts w:ascii="Times New Roman" w:hAnsi="Times New Roman" w:cs="Times New Roman"/>
          <w:i/>
          <w:sz w:val="24"/>
          <w:szCs w:val="24"/>
        </w:rPr>
        <w:t xml:space="preserve">Sovereign Lives: Power in Global Politics </w:t>
      </w:r>
      <w:r w:rsidRPr="00FA626B">
        <w:rPr>
          <w:rFonts w:ascii="Times New Roman" w:hAnsi="Times New Roman" w:cs="Times New Roman"/>
          <w:sz w:val="24"/>
          <w:szCs w:val="24"/>
        </w:rPr>
        <w:t>(New York and London: Routledge, 2004), p. 4.</w:t>
      </w:r>
    </w:p>
  </w:footnote>
  <w:footnote w:id="38">
    <w:p w:rsidR="004E4B21" w:rsidRPr="00FA626B" w:rsidRDefault="004E4B21" w:rsidP="00202A35">
      <w:pPr>
        <w:pStyle w:val="FootnoteText"/>
        <w:contextualSpacing/>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Johanna Oksala, “Violence and the Biopolitics of Modernity”, </w:t>
      </w:r>
      <w:r w:rsidRPr="00FA626B">
        <w:rPr>
          <w:rFonts w:ascii="Times New Roman" w:hAnsi="Times New Roman" w:cs="Times New Roman"/>
          <w:i/>
          <w:sz w:val="24"/>
          <w:szCs w:val="24"/>
        </w:rPr>
        <w:t>Foucault Studies</w:t>
      </w:r>
      <w:r w:rsidRPr="00FA626B">
        <w:rPr>
          <w:rFonts w:ascii="Times New Roman" w:hAnsi="Times New Roman" w:cs="Times New Roman"/>
          <w:sz w:val="24"/>
          <w:szCs w:val="24"/>
        </w:rPr>
        <w:t xml:space="preserve">, 10 (2010), p. 38. </w:t>
      </w:r>
    </w:p>
  </w:footnote>
  <w:footnote w:id="39">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 p. 26; and Dean, “’Demonic Societies’</w:t>
      </w:r>
      <w:r w:rsidR="00D910D9" w:rsidRPr="00FA626B">
        <w:rPr>
          <w:rFonts w:ascii="Times New Roman" w:hAnsi="Times New Roman" w:cs="Times New Roman"/>
          <w:sz w:val="24"/>
          <w:szCs w:val="24"/>
        </w:rPr>
        <w:t>”</w:t>
      </w:r>
      <w:r w:rsidRPr="00FA626B">
        <w:rPr>
          <w:rFonts w:ascii="Times New Roman" w:hAnsi="Times New Roman" w:cs="Times New Roman"/>
          <w:sz w:val="24"/>
          <w:szCs w:val="24"/>
        </w:rPr>
        <w:t>, p. 52.</w:t>
      </w:r>
    </w:p>
  </w:footnote>
  <w:footnote w:id="40">
    <w:p w:rsidR="004E4B21" w:rsidRPr="00FA626B" w:rsidRDefault="004E4B21" w:rsidP="00C45884">
      <w:pPr>
        <w:pStyle w:val="FootnoteText"/>
        <w:rPr>
          <w:rFonts w:ascii="Times New Roman" w:hAnsi="Times New Roman" w:cs="Times New Roman"/>
          <w:bCs/>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The Regulating Act of 1773 granted the East India Company the power to act as sovereign on behalf of the British crown while subjecting it to oversight by Parliament</w:t>
      </w:r>
      <w:r w:rsidRPr="00FA626B">
        <w:rPr>
          <w:rFonts w:ascii="Times New Roman" w:hAnsi="Times New Roman" w:cs="Times New Roman"/>
          <w:bCs/>
          <w:sz w:val="24"/>
          <w:szCs w:val="24"/>
        </w:rPr>
        <w:t>.</w:t>
      </w:r>
    </w:p>
  </w:footnote>
  <w:footnote w:id="41">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IOR/E/4/879, 1792-1807, Military, 5</w:t>
      </w:r>
      <w:r w:rsidRPr="00FA626B">
        <w:rPr>
          <w:rFonts w:ascii="Times New Roman" w:hAnsi="Times New Roman" w:cs="Times New Roman"/>
          <w:sz w:val="24"/>
          <w:szCs w:val="24"/>
          <w:vertAlign w:val="superscript"/>
        </w:rPr>
        <w:t>th</w:t>
      </w:r>
      <w:r w:rsidRPr="00FA626B">
        <w:rPr>
          <w:rFonts w:ascii="Times New Roman" w:hAnsi="Times New Roman" w:cs="Times New Roman"/>
          <w:sz w:val="24"/>
          <w:szCs w:val="24"/>
        </w:rPr>
        <w:t xml:space="preserve"> April, 1793, p. 226, British Library (BL). The Chief, a British official, governed in conjunction </w:t>
      </w:r>
      <w:r w:rsidR="00226D22" w:rsidRPr="00FA626B">
        <w:rPr>
          <w:rFonts w:ascii="Times New Roman" w:hAnsi="Times New Roman" w:cs="Times New Roman"/>
          <w:sz w:val="24"/>
          <w:szCs w:val="24"/>
        </w:rPr>
        <w:t xml:space="preserve">with </w:t>
      </w:r>
      <w:r w:rsidRPr="00FA626B">
        <w:rPr>
          <w:rFonts w:ascii="Times New Roman" w:hAnsi="Times New Roman" w:cs="Times New Roman"/>
          <w:sz w:val="24"/>
          <w:szCs w:val="24"/>
        </w:rPr>
        <w:t>his Council, a body of British officials who were also, like the Chief, appointed by the Company. For further details on the governance of the Northern Circars see below.</w:t>
      </w:r>
    </w:p>
  </w:footnote>
  <w:footnote w:id="42">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 p. 227. </w:t>
      </w:r>
    </w:p>
  </w:footnote>
  <w:footnote w:id="43">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 p. 231.</w:t>
      </w:r>
    </w:p>
  </w:footnote>
  <w:footnote w:id="44">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 p. 234. N</w:t>
      </w:r>
      <w:r w:rsidRPr="00FA626B">
        <w:rPr>
          <w:rFonts w:ascii="Times New Roman" w:hAnsi="Times New Roman" w:cs="Times New Roman"/>
          <w:bCs/>
          <w:sz w:val="24"/>
          <w:szCs w:val="24"/>
        </w:rPr>
        <w:t>ot only did Towns deny its existence when under oath, but the escritoire was later found – according to Town’s servants it had been secreted by his agent.</w:t>
      </w:r>
    </w:p>
  </w:footnote>
  <w:footnote w:id="45">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 p. 238.</w:t>
      </w:r>
    </w:p>
  </w:footnote>
  <w:footnote w:id="46">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Walter Hamilton, </w:t>
      </w:r>
      <w:r w:rsidRPr="00FA626B">
        <w:rPr>
          <w:rFonts w:ascii="Times New Roman" w:hAnsi="Times New Roman" w:cs="Times New Roman"/>
          <w:i/>
          <w:sz w:val="24"/>
          <w:szCs w:val="24"/>
        </w:rPr>
        <w:t xml:space="preserve">A Geographical, Statistical, and Historical Description of Hindostan and the Adjacent Countries, </w:t>
      </w:r>
      <w:r w:rsidRPr="00FA626B">
        <w:rPr>
          <w:rFonts w:ascii="Times New Roman" w:hAnsi="Times New Roman" w:cs="Times New Roman"/>
          <w:sz w:val="24"/>
          <w:szCs w:val="24"/>
        </w:rPr>
        <w:t>Vol. II (London: John Murray, 1820),</w:t>
      </w:r>
      <w:r w:rsidRPr="00FA626B">
        <w:rPr>
          <w:rFonts w:ascii="Times New Roman" w:hAnsi="Times New Roman" w:cs="Times New Roman"/>
          <w:i/>
          <w:sz w:val="24"/>
          <w:szCs w:val="24"/>
        </w:rPr>
        <w:t xml:space="preserve"> </w:t>
      </w:r>
      <w:r w:rsidRPr="00FA626B">
        <w:rPr>
          <w:rFonts w:ascii="Times New Roman" w:hAnsi="Times New Roman" w:cs="Times New Roman"/>
          <w:sz w:val="24"/>
          <w:szCs w:val="24"/>
        </w:rPr>
        <w:t>p. 66.</w:t>
      </w:r>
    </w:p>
  </w:footnote>
  <w:footnote w:id="47">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Heath, “Bureaucracy”.</w:t>
      </w:r>
    </w:p>
  </w:footnote>
  <w:footnote w:id="48">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Most scholars of colonial governmentality in India date its emergence in the early decades of the nineteenth century. I am therefore suggesting that we may need to trace its genealogy to an earlier time period.</w:t>
      </w:r>
    </w:p>
  </w:footnote>
  <w:footnote w:id="49">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00E22E53" w:rsidRPr="00FA626B">
        <w:rPr>
          <w:rFonts w:ascii="Times New Roman" w:hAnsi="Times New Roman" w:cs="Times New Roman"/>
          <w:sz w:val="24"/>
          <w:szCs w:val="24"/>
        </w:rPr>
        <w:t xml:space="preserve"> Michel Foucault, “Governmentality,”</w:t>
      </w:r>
      <w:r w:rsidRPr="00FA626B">
        <w:rPr>
          <w:rFonts w:ascii="Times New Roman" w:hAnsi="Times New Roman" w:cs="Times New Roman"/>
          <w:sz w:val="24"/>
          <w:szCs w:val="24"/>
        </w:rPr>
        <w:t xml:space="preserve"> in Graham Burchell, Colin Gordon and Peter Miller (eds), </w:t>
      </w:r>
      <w:r w:rsidRPr="00FA626B">
        <w:rPr>
          <w:rFonts w:ascii="Times New Roman" w:hAnsi="Times New Roman" w:cs="Times New Roman"/>
          <w:i/>
          <w:sz w:val="24"/>
          <w:szCs w:val="24"/>
        </w:rPr>
        <w:t>The Foucault Effect: Studies in Governmentality: With Two Lectures by and an Interview with Michel Foucault</w:t>
      </w:r>
      <w:r w:rsidRPr="00FA626B">
        <w:rPr>
          <w:rFonts w:ascii="Times New Roman" w:hAnsi="Times New Roman" w:cs="Times New Roman"/>
          <w:sz w:val="24"/>
          <w:szCs w:val="24"/>
        </w:rPr>
        <w:t xml:space="preserve"> (Chicago:  University of Chicago Press, 1991), p. 104. See also “The Subject and Power”, pp. 782-</w:t>
      </w:r>
      <w:r w:rsidR="00E22E53" w:rsidRPr="00FA626B">
        <w:rPr>
          <w:rFonts w:ascii="Times New Roman" w:hAnsi="Times New Roman" w:cs="Times New Roman"/>
          <w:sz w:val="24"/>
          <w:szCs w:val="24"/>
        </w:rPr>
        <w:t>84.</w:t>
      </w:r>
    </w:p>
  </w:footnote>
  <w:footnote w:id="50">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008A3F4E" w:rsidRPr="00FA626B">
        <w:rPr>
          <w:rFonts w:ascii="Times New Roman" w:hAnsi="Times New Roman" w:cs="Times New Roman"/>
          <w:bCs/>
          <w:sz w:val="24"/>
          <w:szCs w:val="24"/>
        </w:rPr>
        <w:t>Michel Foucault</w:t>
      </w:r>
      <w:r w:rsidR="008A3F4E" w:rsidRPr="00FA626B">
        <w:rPr>
          <w:rFonts w:ascii="Times New Roman" w:hAnsi="Times New Roman" w:cs="Times New Roman"/>
          <w:sz w:val="24"/>
          <w:szCs w:val="24"/>
        </w:rPr>
        <w:t xml:space="preserve"> </w:t>
      </w:r>
      <w:r w:rsidR="008A3F4E" w:rsidRPr="00FA626B">
        <w:rPr>
          <w:rFonts w:ascii="Times New Roman" w:hAnsi="Times New Roman" w:cs="Times New Roman"/>
          <w:i/>
          <w:sz w:val="24"/>
          <w:szCs w:val="24"/>
        </w:rPr>
        <w:t xml:space="preserve">Security, Territory, Population: Lectures at the Collège de France, 1977-78, </w:t>
      </w:r>
      <w:r w:rsidR="008A3F4E" w:rsidRPr="00FA626B">
        <w:rPr>
          <w:rFonts w:ascii="Times New Roman" w:hAnsi="Times New Roman" w:cs="Times New Roman"/>
          <w:sz w:val="24"/>
          <w:szCs w:val="24"/>
        </w:rPr>
        <w:t>ed. Michel Senellart, trans. Graham Burchell (Houndmills, Basingstoke: Palgrave Macmillan, 2007)</w:t>
      </w:r>
      <w:r w:rsidRPr="00FA626B">
        <w:rPr>
          <w:rFonts w:ascii="Times New Roman" w:hAnsi="Times New Roman" w:cs="Times New Roman"/>
          <w:sz w:val="24"/>
          <w:szCs w:val="24"/>
        </w:rPr>
        <w:t>, pp. 127, 126.</w:t>
      </w:r>
    </w:p>
  </w:footnote>
  <w:footnote w:id="51">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003D1177" w:rsidRPr="00FA626B">
        <w:rPr>
          <w:rFonts w:ascii="Times New Roman" w:hAnsi="Times New Roman" w:cs="Times New Roman"/>
          <w:sz w:val="24"/>
          <w:szCs w:val="24"/>
        </w:rPr>
        <w:t>Ibid</w:t>
      </w:r>
      <w:r w:rsidRPr="00FA626B">
        <w:rPr>
          <w:rFonts w:ascii="Times New Roman" w:hAnsi="Times New Roman" w:cs="Times New Roman"/>
          <w:i/>
          <w:sz w:val="24"/>
          <w:szCs w:val="24"/>
        </w:rPr>
        <w:t xml:space="preserve">, </w:t>
      </w:r>
      <w:r w:rsidRPr="00FA626B">
        <w:rPr>
          <w:rFonts w:ascii="Times New Roman" w:hAnsi="Times New Roman" w:cs="Times New Roman"/>
          <w:sz w:val="24"/>
          <w:szCs w:val="24"/>
        </w:rPr>
        <w:t>p. 128.</w:t>
      </w:r>
    </w:p>
  </w:footnote>
  <w:footnote w:id="52">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00BE648D" w:rsidRPr="00FA626B">
        <w:rPr>
          <w:rFonts w:ascii="Times New Roman" w:hAnsi="Times New Roman" w:cs="Times New Roman"/>
          <w:sz w:val="24"/>
          <w:szCs w:val="24"/>
        </w:rPr>
        <w:t xml:space="preserve">Uma </w:t>
      </w:r>
      <w:r w:rsidR="00CB49E6">
        <w:rPr>
          <w:rFonts w:ascii="Times New Roman" w:hAnsi="Times New Roman" w:cs="Times New Roman"/>
          <w:sz w:val="24"/>
          <w:szCs w:val="24"/>
        </w:rPr>
        <w:t xml:space="preserve">Kalpagam, </w:t>
      </w:r>
      <w:r w:rsidRPr="00FA626B">
        <w:rPr>
          <w:rFonts w:ascii="Times New Roman" w:hAnsi="Times New Roman" w:cs="Times New Roman"/>
          <w:i/>
          <w:sz w:val="24"/>
          <w:szCs w:val="24"/>
        </w:rPr>
        <w:t>Rule by Numbers: Governmentality in Colonial India</w:t>
      </w:r>
      <w:r w:rsidRPr="00FA626B">
        <w:rPr>
          <w:rFonts w:ascii="Times New Roman" w:hAnsi="Times New Roman" w:cs="Times New Roman"/>
          <w:sz w:val="24"/>
          <w:szCs w:val="24"/>
        </w:rPr>
        <w:t xml:space="preserve"> (Lanham, MD: Lexington Books, 2013</w:t>
      </w:r>
      <w:r w:rsidR="00C36192" w:rsidRPr="00FA626B">
        <w:rPr>
          <w:rFonts w:ascii="Times New Roman" w:hAnsi="Times New Roman" w:cs="Times New Roman"/>
          <w:sz w:val="24"/>
          <w:szCs w:val="24"/>
        </w:rPr>
        <w:t xml:space="preserve">), p. </w:t>
      </w:r>
      <w:r w:rsidR="00CB49E6">
        <w:rPr>
          <w:rFonts w:ascii="Times New Roman" w:hAnsi="Times New Roman" w:cs="Times New Roman"/>
          <w:sz w:val="24"/>
          <w:szCs w:val="24"/>
        </w:rPr>
        <w:t>139.</w:t>
      </w:r>
    </w:p>
  </w:footnote>
  <w:footnote w:id="53">
    <w:p w:rsidR="004E4B21" w:rsidRPr="00FA626B" w:rsidRDefault="004E4B21" w:rsidP="002B199A">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Stephen Legg, </w:t>
      </w:r>
      <w:r w:rsidRPr="00FA626B">
        <w:rPr>
          <w:rFonts w:ascii="Times New Roman" w:hAnsi="Times New Roman" w:cs="Times New Roman"/>
          <w:i/>
          <w:sz w:val="24"/>
          <w:szCs w:val="24"/>
        </w:rPr>
        <w:t>Spaces of Colonialism: Delhi’s Urban Governmentalities</w:t>
      </w:r>
      <w:r w:rsidRPr="00FA626B">
        <w:rPr>
          <w:rFonts w:ascii="Times New Roman" w:hAnsi="Times New Roman" w:cs="Times New Roman"/>
          <w:sz w:val="24"/>
          <w:szCs w:val="24"/>
        </w:rPr>
        <w:t xml:space="preserve"> (Oxford: Blackwell, 2007), p. 23.</w:t>
      </w:r>
    </w:p>
  </w:footnote>
  <w:footnote w:id="54">
    <w:p w:rsidR="00A5237C" w:rsidRPr="00FA626B" w:rsidRDefault="00A5237C">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It was not until the passage of the Indian Evidence Act in 1871 that the colonial regime laid down clear rules against forced confessions, although since the act did not disallow the use of evidence that was discovered through “induced” confessions it did little to rem</w:t>
      </w:r>
      <w:r w:rsidR="0011082F" w:rsidRPr="00FA626B">
        <w:rPr>
          <w:rFonts w:ascii="Times New Roman" w:hAnsi="Times New Roman" w:cs="Times New Roman"/>
          <w:sz w:val="24"/>
          <w:szCs w:val="24"/>
        </w:rPr>
        <w:t>ove police incentive to torture</w:t>
      </w:r>
      <w:r w:rsidRPr="00FA626B">
        <w:rPr>
          <w:rFonts w:ascii="Times New Roman" w:hAnsi="Times New Roman" w:cs="Times New Roman"/>
          <w:sz w:val="24"/>
          <w:szCs w:val="24"/>
        </w:rPr>
        <w:t>.</w:t>
      </w:r>
    </w:p>
  </w:footnote>
  <w:footnote w:id="55">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bCs/>
          <w:sz w:val="24"/>
          <w:szCs w:val="24"/>
        </w:rPr>
        <w:t>IOR/P/311/47, Madras, Board of Revenue Proceedings, Fort St. George, 19</w:t>
      </w:r>
      <w:r w:rsidRPr="00FA626B">
        <w:rPr>
          <w:rFonts w:ascii="Times New Roman" w:hAnsi="Times New Roman" w:cs="Times New Roman"/>
          <w:bCs/>
          <w:sz w:val="24"/>
          <w:szCs w:val="24"/>
          <w:vertAlign w:val="superscript"/>
        </w:rPr>
        <w:t>th</w:t>
      </w:r>
      <w:r w:rsidRPr="00FA626B">
        <w:rPr>
          <w:rFonts w:ascii="Times New Roman" w:hAnsi="Times New Roman" w:cs="Times New Roman"/>
          <w:bCs/>
          <w:sz w:val="24"/>
          <w:szCs w:val="24"/>
        </w:rPr>
        <w:t xml:space="preserve"> October 1854, no. 955</w:t>
      </w:r>
      <w:r w:rsidR="00B84178" w:rsidRPr="00FA626B">
        <w:rPr>
          <w:rFonts w:ascii="Times New Roman" w:hAnsi="Times New Roman" w:cs="Times New Roman"/>
          <w:bCs/>
          <w:sz w:val="24"/>
          <w:szCs w:val="24"/>
        </w:rPr>
        <w:t>, BL</w:t>
      </w:r>
      <w:r w:rsidRPr="00FA626B">
        <w:rPr>
          <w:rFonts w:ascii="Times New Roman" w:hAnsi="Times New Roman" w:cs="Times New Roman"/>
          <w:bCs/>
          <w:sz w:val="24"/>
          <w:szCs w:val="24"/>
        </w:rPr>
        <w:t xml:space="preserve">. </w:t>
      </w:r>
    </w:p>
  </w:footnote>
  <w:footnote w:id="56">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00B24608" w:rsidRPr="00FA626B">
        <w:rPr>
          <w:rFonts w:ascii="Times New Roman" w:hAnsi="Times New Roman" w:cs="Times New Roman"/>
          <w:i/>
          <w:sz w:val="24"/>
          <w:szCs w:val="24"/>
        </w:rPr>
        <w:t>Report of the Commissioners for the Investigation of Alleged Cases of Torture in the Madras P</w:t>
      </w:r>
      <w:r w:rsidRPr="00FA626B">
        <w:rPr>
          <w:rFonts w:ascii="Times New Roman" w:hAnsi="Times New Roman" w:cs="Times New Roman"/>
          <w:i/>
          <w:sz w:val="24"/>
          <w:szCs w:val="24"/>
        </w:rPr>
        <w:t>residency</w:t>
      </w:r>
      <w:r w:rsidR="007E45F8" w:rsidRPr="00FA626B">
        <w:rPr>
          <w:rFonts w:ascii="Times New Roman" w:hAnsi="Times New Roman" w:cs="Times New Roman"/>
          <w:sz w:val="24"/>
          <w:szCs w:val="24"/>
        </w:rPr>
        <w:t xml:space="preserve"> (Madras: Fort St. George Gazette Press, 1855), </w:t>
      </w:r>
      <w:r w:rsidR="00F22987" w:rsidRPr="00FA626B">
        <w:rPr>
          <w:rFonts w:ascii="Times New Roman" w:hAnsi="Times New Roman" w:cs="Times New Roman"/>
          <w:sz w:val="24"/>
          <w:szCs w:val="24"/>
        </w:rPr>
        <w:t xml:space="preserve">Appendix, </w:t>
      </w:r>
      <w:r w:rsidRPr="00FA626B">
        <w:rPr>
          <w:rFonts w:ascii="Times New Roman" w:hAnsi="Times New Roman" w:cs="Times New Roman"/>
          <w:sz w:val="24"/>
          <w:szCs w:val="24"/>
        </w:rPr>
        <w:t>p. 59.</w:t>
      </w:r>
    </w:p>
  </w:footnote>
  <w:footnote w:id="57">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bCs/>
          <w:sz w:val="24"/>
          <w:szCs w:val="24"/>
        </w:rPr>
        <w:t>IOR/P/311/47, p. 13945.</w:t>
      </w:r>
    </w:p>
  </w:footnote>
  <w:footnote w:id="58">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It is important to note, however, that many torture suspects were not convicted for their crimes, particularly Europeans. As Elizabeth Kolsky has demonstrated, Europeans who committed violent acts against Indians were able to do so with increasing impunity as the nineteenth century progressed. Elizabeth Kolsky, </w:t>
      </w:r>
      <w:r w:rsidRPr="00FA626B">
        <w:rPr>
          <w:rFonts w:ascii="Times New Roman" w:hAnsi="Times New Roman" w:cs="Times New Roman"/>
          <w:i/>
          <w:sz w:val="24"/>
          <w:szCs w:val="24"/>
        </w:rPr>
        <w:t xml:space="preserve">Colonial Justice in British India: White Violence and the Rule of Law </w:t>
      </w:r>
      <w:r w:rsidRPr="00FA626B">
        <w:rPr>
          <w:rFonts w:ascii="Times New Roman" w:hAnsi="Times New Roman" w:cs="Times New Roman"/>
          <w:sz w:val="24"/>
          <w:szCs w:val="24"/>
        </w:rPr>
        <w:t>(New Delhi: Ca</w:t>
      </w:r>
      <w:r w:rsidR="005C1B0B">
        <w:rPr>
          <w:rFonts w:ascii="Times New Roman" w:hAnsi="Times New Roman" w:cs="Times New Roman"/>
          <w:sz w:val="24"/>
          <w:szCs w:val="24"/>
        </w:rPr>
        <w:t>mbridge University Press, 2010)</w:t>
      </w:r>
      <w:r w:rsidRPr="00FA626B">
        <w:rPr>
          <w:rFonts w:ascii="Times New Roman" w:hAnsi="Times New Roman" w:cs="Times New Roman"/>
          <w:sz w:val="24"/>
          <w:szCs w:val="24"/>
        </w:rPr>
        <w:t>.</w:t>
      </w:r>
    </w:p>
  </w:footnote>
  <w:footnote w:id="59">
    <w:p w:rsidR="004E4B21" w:rsidRPr="00FA626B" w:rsidRDefault="004E4B21" w:rsidP="00EF1F32">
      <w:pPr>
        <w:pStyle w:val="FootnoteText"/>
        <w:rPr>
          <w:rFonts w:ascii="Times New Roman" w:hAnsi="Times New Roman" w:cs="Times New Roman"/>
          <w:bCs/>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bCs/>
          <w:sz w:val="24"/>
          <w:szCs w:val="24"/>
        </w:rPr>
        <w:t xml:space="preserve">IOR/P/311/47, p. 13946. Such punishment, itself a form of torture, reveals </w:t>
      </w:r>
      <w:r w:rsidR="0011082F" w:rsidRPr="00FA626B">
        <w:rPr>
          <w:rFonts w:ascii="Times New Roman" w:hAnsi="Times New Roman" w:cs="Times New Roman"/>
          <w:bCs/>
          <w:sz w:val="24"/>
          <w:szCs w:val="24"/>
        </w:rPr>
        <w:t>both</w:t>
      </w:r>
      <w:r w:rsidRPr="00FA626B">
        <w:rPr>
          <w:rFonts w:ascii="Times New Roman" w:hAnsi="Times New Roman" w:cs="Times New Roman"/>
          <w:bCs/>
          <w:sz w:val="24"/>
          <w:szCs w:val="24"/>
        </w:rPr>
        <w:t xml:space="preserve"> that judicial punishment continued to be based, in part, on physical violence (corporal punishment by order of the courts was not abolished in Britain until 1948), </w:t>
      </w:r>
      <w:r w:rsidR="0011082F" w:rsidRPr="00FA626B">
        <w:rPr>
          <w:rFonts w:ascii="Times New Roman" w:hAnsi="Times New Roman" w:cs="Times New Roman"/>
          <w:bCs/>
          <w:sz w:val="24"/>
          <w:szCs w:val="24"/>
        </w:rPr>
        <w:t>and</w:t>
      </w:r>
      <w:r w:rsidRPr="00FA626B">
        <w:rPr>
          <w:rFonts w:ascii="Times New Roman" w:hAnsi="Times New Roman" w:cs="Times New Roman"/>
          <w:bCs/>
          <w:sz w:val="24"/>
          <w:szCs w:val="24"/>
        </w:rPr>
        <w:t xml:space="preserve"> that the colonial regime sought not to abolish torture but to ensure that only it had the authority to enact it.</w:t>
      </w:r>
    </w:p>
  </w:footnote>
  <w:footnote w:id="60">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007F344E" w:rsidRPr="00FA626B">
        <w:rPr>
          <w:rFonts w:ascii="Times New Roman" w:hAnsi="Times New Roman" w:cs="Times New Roman"/>
          <w:bCs/>
          <w:sz w:val="24"/>
          <w:szCs w:val="24"/>
        </w:rPr>
        <w:t>Ibid</w:t>
      </w:r>
      <w:r w:rsidRPr="00FA626B">
        <w:rPr>
          <w:rFonts w:ascii="Times New Roman" w:hAnsi="Times New Roman" w:cs="Times New Roman"/>
          <w:bCs/>
          <w:sz w:val="24"/>
          <w:szCs w:val="24"/>
        </w:rPr>
        <w:t>, p. 13946. An Ameen was head of the district police, and a peishcar was a revenue officer in charge of a division of a Taluk, or revenue area.</w:t>
      </w:r>
    </w:p>
  </w:footnote>
  <w:footnote w:id="61">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008E5F66" w:rsidRPr="00FA626B">
        <w:rPr>
          <w:rFonts w:ascii="Times New Roman" w:hAnsi="Times New Roman" w:cs="Times New Roman"/>
          <w:bCs/>
          <w:sz w:val="24"/>
          <w:szCs w:val="24"/>
        </w:rPr>
        <w:t xml:space="preserve">The first of these was </w:t>
      </w:r>
      <w:r w:rsidRPr="00FA626B">
        <w:rPr>
          <w:rFonts w:ascii="Times New Roman" w:hAnsi="Times New Roman" w:cs="Times New Roman"/>
          <w:bCs/>
          <w:sz w:val="24"/>
          <w:szCs w:val="24"/>
        </w:rPr>
        <w:t>Regulation XI of 1816</w:t>
      </w:r>
      <w:r w:rsidRPr="00FA626B">
        <w:rPr>
          <w:rFonts w:ascii="Times New Roman" w:hAnsi="Times New Roman" w:cs="Times New Roman"/>
          <w:sz w:val="24"/>
          <w:szCs w:val="24"/>
        </w:rPr>
        <w:t>.</w:t>
      </w:r>
    </w:p>
  </w:footnote>
  <w:footnote w:id="62">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IOR/E/4/933, 1824-1830, Madras Desptaches, Fort St. George, Judicial, 21 March, 1827</w:t>
      </w:r>
      <w:r w:rsidR="001D575B" w:rsidRPr="00FA626B">
        <w:rPr>
          <w:rFonts w:ascii="Times New Roman" w:hAnsi="Times New Roman" w:cs="Times New Roman"/>
          <w:sz w:val="24"/>
          <w:szCs w:val="24"/>
        </w:rPr>
        <w:t>, BL</w:t>
      </w:r>
      <w:r w:rsidRPr="00FA626B">
        <w:rPr>
          <w:rFonts w:ascii="Times New Roman" w:hAnsi="Times New Roman" w:cs="Times New Roman"/>
          <w:sz w:val="24"/>
          <w:szCs w:val="24"/>
        </w:rPr>
        <w:t>.</w:t>
      </w:r>
    </w:p>
  </w:footnote>
  <w:footnote w:id="63">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bCs/>
          <w:sz w:val="24"/>
          <w:szCs w:val="24"/>
        </w:rPr>
        <w:t xml:space="preserve">Victor Tadros, “Between Governance and Discipline: The Law and Michel Foucault”, </w:t>
      </w:r>
      <w:r w:rsidRPr="00FA626B">
        <w:rPr>
          <w:rFonts w:ascii="Times New Roman" w:hAnsi="Times New Roman" w:cs="Times New Roman"/>
          <w:bCs/>
          <w:i/>
          <w:sz w:val="24"/>
          <w:szCs w:val="24"/>
        </w:rPr>
        <w:t>Oxford Journal of Legal Studies</w:t>
      </w:r>
      <w:r w:rsidRPr="00FA626B">
        <w:rPr>
          <w:rFonts w:ascii="Times New Roman" w:hAnsi="Times New Roman" w:cs="Times New Roman"/>
          <w:bCs/>
          <w:sz w:val="24"/>
          <w:szCs w:val="24"/>
        </w:rPr>
        <w:t xml:space="preserve"> 14, 1 (1998), p. 79. </w:t>
      </w:r>
    </w:p>
  </w:footnote>
  <w:footnote w:id="64">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bCs/>
          <w:sz w:val="24"/>
          <w:szCs w:val="24"/>
        </w:rPr>
        <w:t>IOR/P/311/47, pp. 13947, 13945.</w:t>
      </w:r>
    </w:p>
  </w:footnote>
  <w:footnote w:id="65">
    <w:p w:rsidR="004E4B21" w:rsidRPr="00FA626B" w:rsidRDefault="004E4B21" w:rsidP="00527CE4">
      <w:pPr>
        <w:pStyle w:val="FootnoteText"/>
        <w:rPr>
          <w:rFonts w:ascii="Times New Roman" w:hAnsi="Times New Roman" w:cs="Times New Roman"/>
          <w:bCs/>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001D575B" w:rsidRPr="00FA626B">
        <w:rPr>
          <w:rFonts w:ascii="Times New Roman" w:hAnsi="Times New Roman" w:cs="Times New Roman"/>
          <w:bCs/>
          <w:sz w:val="24"/>
          <w:szCs w:val="24"/>
        </w:rPr>
        <w:t>Ibid</w:t>
      </w:r>
      <w:r w:rsidRPr="00FA626B">
        <w:rPr>
          <w:rFonts w:ascii="Times New Roman" w:hAnsi="Times New Roman" w:cs="Times New Roman"/>
          <w:bCs/>
          <w:sz w:val="24"/>
          <w:szCs w:val="24"/>
        </w:rPr>
        <w:t xml:space="preserve">, p. 13948; and Walter Benjamin, </w:t>
      </w:r>
      <w:r w:rsidRPr="00FA626B">
        <w:rPr>
          <w:rFonts w:ascii="Times New Roman" w:hAnsi="Times New Roman" w:cs="Times New Roman"/>
          <w:sz w:val="24"/>
          <w:szCs w:val="24"/>
        </w:rPr>
        <w:t xml:space="preserve">“Critique of Violence”, </w:t>
      </w:r>
      <w:r w:rsidRPr="00FA626B">
        <w:rPr>
          <w:rFonts w:ascii="Times New Roman" w:hAnsi="Times New Roman" w:cs="Times New Roman"/>
          <w:i/>
          <w:sz w:val="24"/>
          <w:szCs w:val="24"/>
        </w:rPr>
        <w:t>Reflections: Essays, Aphorisms, Autobiographical Writings</w:t>
      </w:r>
      <w:r w:rsidRPr="00FA626B">
        <w:rPr>
          <w:rFonts w:ascii="Times New Roman" w:hAnsi="Times New Roman" w:cs="Times New Roman"/>
          <w:sz w:val="24"/>
          <w:szCs w:val="24"/>
        </w:rPr>
        <w:t>, trans. Edmund Jephcott (New York: Shocken, 1978), p. 281.</w:t>
      </w:r>
    </w:p>
  </w:footnote>
  <w:footnote w:id="66">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IOR/E/4/756, 1837-1839, India, Judicial, 17</w:t>
      </w:r>
      <w:r w:rsidRPr="00FA626B">
        <w:rPr>
          <w:rFonts w:ascii="Times New Roman" w:hAnsi="Times New Roman" w:cs="Times New Roman"/>
          <w:sz w:val="24"/>
          <w:szCs w:val="24"/>
          <w:vertAlign w:val="superscript"/>
        </w:rPr>
        <w:t>th</w:t>
      </w:r>
      <w:r w:rsidRPr="00FA626B">
        <w:rPr>
          <w:rFonts w:ascii="Times New Roman" w:hAnsi="Times New Roman" w:cs="Times New Roman"/>
          <w:sz w:val="24"/>
          <w:szCs w:val="24"/>
        </w:rPr>
        <w:t xml:space="preserve"> August (no. 3) of 1838, p. 716</w:t>
      </w:r>
      <w:r w:rsidR="001D575B" w:rsidRPr="00FA626B">
        <w:rPr>
          <w:rFonts w:ascii="Times New Roman" w:hAnsi="Times New Roman" w:cs="Times New Roman"/>
          <w:sz w:val="24"/>
          <w:szCs w:val="24"/>
        </w:rPr>
        <w:t>, BL</w:t>
      </w:r>
      <w:r w:rsidRPr="00FA626B">
        <w:rPr>
          <w:rFonts w:ascii="Times New Roman" w:hAnsi="Times New Roman" w:cs="Times New Roman"/>
          <w:sz w:val="24"/>
          <w:szCs w:val="24"/>
        </w:rPr>
        <w:t>.</w:t>
      </w:r>
    </w:p>
  </w:footnote>
  <w:footnote w:id="67">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bCs/>
          <w:sz w:val="24"/>
          <w:szCs w:val="24"/>
        </w:rPr>
        <w:t xml:space="preserve">Benjamin, </w:t>
      </w:r>
      <w:r w:rsidRPr="00FA626B">
        <w:rPr>
          <w:rFonts w:ascii="Times New Roman" w:hAnsi="Times New Roman" w:cs="Times New Roman"/>
          <w:sz w:val="24"/>
          <w:szCs w:val="24"/>
        </w:rPr>
        <w:t>“Critique of Violence”, pp. 287, 295.</w:t>
      </w:r>
    </w:p>
  </w:footnote>
  <w:footnote w:id="68">
    <w:p w:rsidR="004E4B21" w:rsidRPr="00FA626B" w:rsidRDefault="004E4B21" w:rsidP="0080706C">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i/>
          <w:sz w:val="24"/>
          <w:szCs w:val="24"/>
        </w:rPr>
        <w:t>Report</w:t>
      </w:r>
      <w:r w:rsidRPr="00FA626B">
        <w:rPr>
          <w:rFonts w:ascii="Times New Roman" w:hAnsi="Times New Roman" w:cs="Times New Roman"/>
          <w:sz w:val="24"/>
          <w:szCs w:val="24"/>
        </w:rPr>
        <w:t>, p. 6.</w:t>
      </w:r>
      <w:r w:rsidR="00774F36" w:rsidRPr="00FA626B">
        <w:rPr>
          <w:rFonts w:ascii="Times New Roman" w:hAnsi="Times New Roman" w:cs="Times New Roman"/>
          <w:sz w:val="24"/>
          <w:szCs w:val="24"/>
        </w:rPr>
        <w:t xml:space="preserve"> </w:t>
      </w:r>
    </w:p>
  </w:footnote>
  <w:footnote w:id="69">
    <w:p w:rsidR="00774F36" w:rsidRPr="00FA626B" w:rsidRDefault="00774F36">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w:t>
      </w:r>
      <w:r w:rsidRPr="00FA626B">
        <w:rPr>
          <w:rFonts w:ascii="Times New Roman" w:hAnsi="Times New Roman" w:cs="Times New Roman"/>
          <w:i/>
          <w:sz w:val="24"/>
          <w:szCs w:val="24"/>
        </w:rPr>
        <w:t>,</w:t>
      </w:r>
      <w:r w:rsidRPr="00FA626B">
        <w:rPr>
          <w:rFonts w:ascii="Times New Roman" w:hAnsi="Times New Roman" w:cs="Times New Roman"/>
          <w:sz w:val="24"/>
          <w:szCs w:val="24"/>
        </w:rPr>
        <w:t xml:space="preserve"> pp. 5, 8, 107. The</w:t>
      </w:r>
      <w:r w:rsidR="005C1B0B">
        <w:rPr>
          <w:rFonts w:ascii="Times New Roman" w:hAnsi="Times New Roman" w:cs="Times New Roman"/>
          <w:sz w:val="24"/>
          <w:szCs w:val="24"/>
        </w:rPr>
        <w:t xml:space="preserve"> report thus</w:t>
      </w:r>
      <w:r w:rsidRPr="00FA626B">
        <w:rPr>
          <w:rFonts w:ascii="Times New Roman" w:hAnsi="Times New Roman" w:cs="Times New Roman"/>
          <w:sz w:val="24"/>
          <w:szCs w:val="24"/>
        </w:rPr>
        <w:t xml:space="preserve"> “addressed torture as a problem of personnel management, not as a symptom of the founding violence of colonial rule”. </w:t>
      </w:r>
      <w:r w:rsidR="005C1B0B">
        <w:rPr>
          <w:rFonts w:ascii="Times New Roman" w:hAnsi="Times New Roman" w:cs="Times New Roman"/>
          <w:sz w:val="24"/>
          <w:szCs w:val="24"/>
        </w:rPr>
        <w:t>Yet i</w:t>
      </w:r>
      <w:r w:rsidR="00D00BB5" w:rsidRPr="00FA626B">
        <w:rPr>
          <w:rFonts w:ascii="Times New Roman" w:hAnsi="Times New Roman" w:cs="Times New Roman"/>
          <w:sz w:val="24"/>
          <w:szCs w:val="24"/>
        </w:rPr>
        <w:t>n co</w:t>
      </w:r>
      <w:r w:rsidR="005C1B0B">
        <w:rPr>
          <w:rFonts w:ascii="Times New Roman" w:hAnsi="Times New Roman" w:cs="Times New Roman"/>
          <w:sz w:val="24"/>
          <w:szCs w:val="24"/>
        </w:rPr>
        <w:t>ntrast to the Townes affair</w:t>
      </w:r>
      <w:r w:rsidR="00D00BB5" w:rsidRPr="00FA626B">
        <w:rPr>
          <w:rFonts w:ascii="Times New Roman" w:hAnsi="Times New Roman" w:cs="Times New Roman"/>
          <w:sz w:val="24"/>
          <w:szCs w:val="24"/>
        </w:rPr>
        <w:t xml:space="preserve"> the personnel in need of management did not include Europeans. Indeed, even though the report acknowledged the high rates of acquittals in torture prosecutions and the lenient sentences awarded by European judges it did not consider the latter responsible for condoning, and hence being responsible for, the practice of torture</w:t>
      </w:r>
      <w:r w:rsidR="001D575B" w:rsidRPr="00FA626B">
        <w:rPr>
          <w:rFonts w:ascii="Times New Roman" w:hAnsi="Times New Roman" w:cs="Times New Roman"/>
          <w:sz w:val="24"/>
          <w:szCs w:val="24"/>
        </w:rPr>
        <w:t>,</w:t>
      </w:r>
      <w:r w:rsidR="002A4D49" w:rsidRPr="00FA626B">
        <w:rPr>
          <w:rFonts w:ascii="Times New Roman" w:hAnsi="Times New Roman" w:cs="Times New Roman"/>
          <w:sz w:val="24"/>
          <w:szCs w:val="24"/>
        </w:rPr>
        <w:t xml:space="preserve"> since “To have done so would have meant questioning the fundamental assumptions regarding the efficacy and morality of B</w:t>
      </w:r>
      <w:r w:rsidR="009909C2" w:rsidRPr="00FA626B">
        <w:rPr>
          <w:rFonts w:ascii="Times New Roman" w:hAnsi="Times New Roman" w:cs="Times New Roman"/>
          <w:sz w:val="24"/>
          <w:szCs w:val="24"/>
        </w:rPr>
        <w:t>ritish</w:t>
      </w:r>
      <w:r w:rsidR="002A4D49" w:rsidRPr="00FA626B">
        <w:rPr>
          <w:rFonts w:ascii="Times New Roman" w:hAnsi="Times New Roman" w:cs="Times New Roman"/>
          <w:sz w:val="24"/>
          <w:szCs w:val="24"/>
        </w:rPr>
        <w:t xml:space="preserve"> rule”. </w:t>
      </w:r>
      <w:r w:rsidR="00826E5C" w:rsidRPr="00FA626B">
        <w:rPr>
          <w:rFonts w:ascii="Times New Roman" w:hAnsi="Times New Roman" w:cs="Times New Roman"/>
          <w:sz w:val="24"/>
          <w:szCs w:val="24"/>
        </w:rPr>
        <w:t xml:space="preserve">Anupama Rao, “Problems of Violence, States of Terror: Torture in Colonial India,” in Steven Pierce and Anumpama Rao (eds.), </w:t>
      </w:r>
      <w:r w:rsidR="00826E5C" w:rsidRPr="00FA626B">
        <w:rPr>
          <w:rFonts w:ascii="Times New Roman" w:hAnsi="Times New Roman" w:cs="Times New Roman"/>
          <w:i/>
          <w:iCs/>
          <w:sz w:val="24"/>
          <w:szCs w:val="24"/>
        </w:rPr>
        <w:t>Discipline and the Other Body:  Correction, Corporeality, Colonialism</w:t>
      </w:r>
      <w:r w:rsidR="00826E5C" w:rsidRPr="00FA626B">
        <w:rPr>
          <w:rFonts w:ascii="Times New Roman" w:hAnsi="Times New Roman" w:cs="Times New Roman"/>
          <w:sz w:val="24"/>
          <w:szCs w:val="24"/>
        </w:rPr>
        <w:t xml:space="preserve"> (Durham and London:  Duke UP 2006), </w:t>
      </w:r>
      <w:r w:rsidR="00D00BB5" w:rsidRPr="00FA626B">
        <w:rPr>
          <w:rFonts w:ascii="Times New Roman" w:hAnsi="Times New Roman" w:cs="Times New Roman"/>
          <w:sz w:val="24"/>
          <w:szCs w:val="24"/>
        </w:rPr>
        <w:t xml:space="preserve">p. 162; </w:t>
      </w:r>
      <w:r w:rsidR="009909C2" w:rsidRPr="00FA626B">
        <w:rPr>
          <w:rFonts w:ascii="Times New Roman" w:hAnsi="Times New Roman" w:cs="Times New Roman"/>
          <w:sz w:val="24"/>
          <w:szCs w:val="24"/>
        </w:rPr>
        <w:t xml:space="preserve">Anuj </w:t>
      </w:r>
      <w:r w:rsidR="00D00BB5" w:rsidRPr="00FA626B">
        <w:rPr>
          <w:rFonts w:ascii="Times New Roman" w:hAnsi="Times New Roman" w:cs="Times New Roman"/>
          <w:sz w:val="24"/>
          <w:szCs w:val="24"/>
        </w:rPr>
        <w:t xml:space="preserve">Bhuwania, “Very </w:t>
      </w:r>
      <w:r w:rsidR="009909C2" w:rsidRPr="00FA626B">
        <w:rPr>
          <w:rFonts w:ascii="Times New Roman" w:hAnsi="Times New Roman" w:cs="Times New Roman"/>
          <w:sz w:val="24"/>
          <w:szCs w:val="24"/>
        </w:rPr>
        <w:t>W</w:t>
      </w:r>
      <w:r w:rsidR="00D00BB5" w:rsidRPr="00FA626B">
        <w:rPr>
          <w:rFonts w:ascii="Times New Roman" w:hAnsi="Times New Roman" w:cs="Times New Roman"/>
          <w:sz w:val="24"/>
          <w:szCs w:val="24"/>
        </w:rPr>
        <w:t xml:space="preserve">icked </w:t>
      </w:r>
      <w:r w:rsidR="009909C2" w:rsidRPr="00FA626B">
        <w:rPr>
          <w:rFonts w:ascii="Times New Roman" w:hAnsi="Times New Roman" w:cs="Times New Roman"/>
          <w:sz w:val="24"/>
          <w:szCs w:val="24"/>
        </w:rPr>
        <w:t>C</w:t>
      </w:r>
      <w:r w:rsidR="00D00BB5" w:rsidRPr="00FA626B">
        <w:rPr>
          <w:rFonts w:ascii="Times New Roman" w:hAnsi="Times New Roman" w:cs="Times New Roman"/>
          <w:sz w:val="24"/>
          <w:szCs w:val="24"/>
        </w:rPr>
        <w:t>hildren’</w:t>
      </w:r>
      <w:r w:rsidR="009909C2" w:rsidRPr="00FA626B">
        <w:rPr>
          <w:rFonts w:ascii="Times New Roman" w:hAnsi="Times New Roman" w:cs="Times New Roman"/>
          <w:sz w:val="24"/>
          <w:szCs w:val="24"/>
        </w:rPr>
        <w:t>: ‘Indian torture’ and the Madras Torture Commission Report of 1855</w:t>
      </w:r>
      <w:r w:rsidR="00D00BB5" w:rsidRPr="00FA626B">
        <w:rPr>
          <w:rFonts w:ascii="Times New Roman" w:hAnsi="Times New Roman" w:cs="Times New Roman"/>
          <w:sz w:val="24"/>
          <w:szCs w:val="24"/>
        </w:rPr>
        <w:t>”</w:t>
      </w:r>
      <w:r w:rsidR="009909C2" w:rsidRPr="00FA626B">
        <w:rPr>
          <w:rFonts w:ascii="Times New Roman" w:hAnsi="Times New Roman" w:cs="Times New Roman"/>
          <w:sz w:val="24"/>
          <w:szCs w:val="24"/>
        </w:rPr>
        <w:t xml:space="preserve"> </w:t>
      </w:r>
      <w:r w:rsidR="00A8406E" w:rsidRPr="00FA626B">
        <w:rPr>
          <w:rFonts w:ascii="Times New Roman" w:hAnsi="Times New Roman" w:cs="Times New Roman"/>
          <w:i/>
          <w:sz w:val="24"/>
          <w:szCs w:val="24"/>
        </w:rPr>
        <w:t xml:space="preserve">SUR, </w:t>
      </w:r>
      <w:r w:rsidR="00A8406E" w:rsidRPr="00FA626B">
        <w:rPr>
          <w:rFonts w:ascii="Times New Roman" w:hAnsi="Times New Roman" w:cs="Times New Roman"/>
          <w:sz w:val="24"/>
          <w:szCs w:val="24"/>
        </w:rPr>
        <w:t>(10)</w:t>
      </w:r>
      <w:r w:rsidR="00D00BB5" w:rsidRPr="00FA626B">
        <w:rPr>
          <w:rFonts w:ascii="Times New Roman" w:hAnsi="Times New Roman" w:cs="Times New Roman"/>
          <w:sz w:val="24"/>
          <w:szCs w:val="24"/>
        </w:rPr>
        <w:t>, p.</w:t>
      </w:r>
      <w:r w:rsidR="002A4D49" w:rsidRPr="00FA626B">
        <w:rPr>
          <w:rFonts w:ascii="Times New Roman" w:hAnsi="Times New Roman" w:cs="Times New Roman"/>
          <w:sz w:val="24"/>
          <w:szCs w:val="24"/>
        </w:rPr>
        <w:t xml:space="preserve"> 14; and Peers, “Torture”, p. 50.</w:t>
      </w:r>
      <w:r w:rsidR="00F244A1" w:rsidRPr="00FA626B">
        <w:rPr>
          <w:rFonts w:ascii="Times New Roman" w:hAnsi="Times New Roman" w:cs="Times New Roman"/>
          <w:sz w:val="24"/>
          <w:szCs w:val="24"/>
        </w:rPr>
        <w:t xml:space="preserve"> </w:t>
      </w:r>
    </w:p>
  </w:footnote>
  <w:footnote w:id="70">
    <w:p w:rsidR="00B3553E"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00D24AC9" w:rsidRPr="00FA626B">
        <w:rPr>
          <w:rFonts w:ascii="Times New Roman" w:hAnsi="Times New Roman" w:cs="Times New Roman"/>
          <w:sz w:val="24"/>
          <w:szCs w:val="24"/>
        </w:rPr>
        <w:t xml:space="preserve">Peers, “Torture”, p. 35. </w:t>
      </w:r>
      <w:r w:rsidRPr="00FA626B">
        <w:rPr>
          <w:rFonts w:ascii="Times New Roman" w:hAnsi="Times New Roman" w:cs="Times New Roman"/>
          <w:sz w:val="24"/>
          <w:szCs w:val="24"/>
        </w:rPr>
        <w:t>The Commission’s respondents</w:t>
      </w:r>
      <w:r w:rsidR="00B3553E" w:rsidRPr="00FA626B">
        <w:rPr>
          <w:rFonts w:ascii="Times New Roman" w:hAnsi="Times New Roman" w:cs="Times New Roman"/>
          <w:sz w:val="24"/>
          <w:szCs w:val="24"/>
        </w:rPr>
        <w:t>, in fact,</w:t>
      </w:r>
      <w:r w:rsidRPr="00FA626B">
        <w:rPr>
          <w:rFonts w:ascii="Times New Roman" w:hAnsi="Times New Roman" w:cs="Times New Roman"/>
          <w:sz w:val="24"/>
          <w:szCs w:val="24"/>
        </w:rPr>
        <w:t xml:space="preserve"> often betrayed a </w:t>
      </w:r>
      <w:r w:rsidR="00B3553E" w:rsidRPr="00FA626B">
        <w:rPr>
          <w:rFonts w:ascii="Times New Roman" w:hAnsi="Times New Roman" w:cs="Times New Roman"/>
          <w:sz w:val="24"/>
          <w:szCs w:val="24"/>
        </w:rPr>
        <w:t xml:space="preserve">very </w:t>
      </w:r>
      <w:r w:rsidRPr="00FA626B">
        <w:rPr>
          <w:rFonts w:ascii="Times New Roman" w:hAnsi="Times New Roman" w:cs="Times New Roman"/>
          <w:sz w:val="24"/>
          <w:szCs w:val="24"/>
        </w:rPr>
        <w:t xml:space="preserve">blasé attitude to torture. </w:t>
      </w:r>
      <w:r w:rsidRPr="00FA626B">
        <w:rPr>
          <w:rFonts w:ascii="Times New Roman" w:hAnsi="Times New Roman" w:cs="Times New Roman"/>
          <w:bCs/>
          <w:sz w:val="24"/>
          <w:szCs w:val="24"/>
        </w:rPr>
        <w:t xml:space="preserve">A </w:t>
      </w:r>
      <w:r w:rsidR="00B3553E" w:rsidRPr="00FA626B">
        <w:rPr>
          <w:rFonts w:ascii="Times New Roman" w:hAnsi="Times New Roman" w:cs="Times New Roman"/>
          <w:bCs/>
          <w:sz w:val="24"/>
          <w:szCs w:val="24"/>
        </w:rPr>
        <w:t>British businessman</w:t>
      </w:r>
      <w:r w:rsidRPr="00FA626B">
        <w:rPr>
          <w:rFonts w:ascii="Times New Roman" w:hAnsi="Times New Roman" w:cs="Times New Roman"/>
          <w:bCs/>
          <w:sz w:val="24"/>
          <w:szCs w:val="24"/>
        </w:rPr>
        <w:t xml:space="preserve">, for example, refused to disclose </w:t>
      </w:r>
      <w:r w:rsidR="00B3553E" w:rsidRPr="00FA626B">
        <w:rPr>
          <w:rFonts w:ascii="Times New Roman" w:hAnsi="Times New Roman" w:cs="Times New Roman"/>
          <w:bCs/>
          <w:sz w:val="24"/>
          <w:szCs w:val="24"/>
        </w:rPr>
        <w:t xml:space="preserve">his </w:t>
      </w:r>
      <w:r w:rsidRPr="00FA626B">
        <w:rPr>
          <w:rFonts w:ascii="Times New Roman" w:hAnsi="Times New Roman" w:cs="Times New Roman"/>
          <w:bCs/>
          <w:sz w:val="24"/>
          <w:szCs w:val="24"/>
        </w:rPr>
        <w:t xml:space="preserve">knowledge about the torture of ryots since it </w:t>
      </w:r>
      <w:r w:rsidR="00B3553E" w:rsidRPr="00FA626B">
        <w:rPr>
          <w:rFonts w:ascii="Times New Roman" w:hAnsi="Times New Roman" w:cs="Times New Roman"/>
          <w:bCs/>
          <w:sz w:val="24"/>
          <w:szCs w:val="24"/>
        </w:rPr>
        <w:t>might</w:t>
      </w:r>
      <w:r w:rsidRPr="00FA626B">
        <w:rPr>
          <w:rFonts w:ascii="Times New Roman" w:hAnsi="Times New Roman" w:cs="Times New Roman"/>
          <w:bCs/>
          <w:sz w:val="24"/>
          <w:szCs w:val="24"/>
        </w:rPr>
        <w:t xml:space="preserve"> </w:t>
      </w:r>
      <w:r w:rsidR="00B3553E" w:rsidRPr="00FA626B">
        <w:rPr>
          <w:rFonts w:ascii="Times New Roman" w:hAnsi="Times New Roman" w:cs="Times New Roman"/>
          <w:bCs/>
          <w:sz w:val="24"/>
          <w:szCs w:val="24"/>
        </w:rPr>
        <w:t>subject him</w:t>
      </w:r>
      <w:r w:rsidRPr="00FA626B">
        <w:rPr>
          <w:rFonts w:ascii="Times New Roman" w:hAnsi="Times New Roman" w:cs="Times New Roman"/>
          <w:sz w:val="24"/>
          <w:szCs w:val="24"/>
        </w:rPr>
        <w:t xml:space="preserve"> </w:t>
      </w:r>
      <w:r w:rsidR="00B3553E" w:rsidRPr="00FA626B">
        <w:rPr>
          <w:rFonts w:ascii="Times New Roman" w:hAnsi="Times New Roman" w:cs="Times New Roman"/>
          <w:sz w:val="24"/>
          <w:szCs w:val="24"/>
        </w:rPr>
        <w:t>“</w:t>
      </w:r>
      <w:r w:rsidRPr="00FA626B">
        <w:rPr>
          <w:rFonts w:ascii="Times New Roman" w:hAnsi="Times New Roman" w:cs="Times New Roman"/>
          <w:sz w:val="24"/>
          <w:szCs w:val="24"/>
        </w:rPr>
        <w:t xml:space="preserve">to great personal inconvenience and ultimate loss”, while a church minister complained that having to listen to such torture put him off his dinner. </w:t>
      </w:r>
      <w:r w:rsidRPr="00FA626B">
        <w:rPr>
          <w:rFonts w:ascii="Times New Roman" w:hAnsi="Times New Roman" w:cs="Times New Roman"/>
          <w:i/>
          <w:sz w:val="24"/>
          <w:szCs w:val="24"/>
        </w:rPr>
        <w:t xml:space="preserve">Report, </w:t>
      </w:r>
      <w:r w:rsidRPr="00FA626B">
        <w:rPr>
          <w:rFonts w:ascii="Times New Roman" w:hAnsi="Times New Roman" w:cs="Times New Roman"/>
          <w:sz w:val="24"/>
          <w:szCs w:val="24"/>
        </w:rPr>
        <w:t>pp. 139, 95.</w:t>
      </w:r>
    </w:p>
  </w:footnote>
  <w:footnote w:id="71">
    <w:p w:rsidR="004E4B21" w:rsidRPr="00FA626B" w:rsidRDefault="004E4B21" w:rsidP="00B3553E">
      <w:pPr>
        <w:pStyle w:val="FootnoteText"/>
        <w:tabs>
          <w:tab w:val="left" w:pos="5730"/>
        </w:tabs>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00E267D7" w:rsidRPr="00FA626B">
        <w:rPr>
          <w:rFonts w:ascii="Times New Roman" w:hAnsi="Times New Roman" w:cs="Times New Roman"/>
          <w:i/>
          <w:sz w:val="24"/>
          <w:szCs w:val="24"/>
        </w:rPr>
        <w:t>Report</w:t>
      </w:r>
      <w:r w:rsidRPr="00FA626B">
        <w:rPr>
          <w:rFonts w:ascii="Times New Roman" w:hAnsi="Times New Roman" w:cs="Times New Roman"/>
          <w:i/>
          <w:sz w:val="24"/>
          <w:szCs w:val="24"/>
        </w:rPr>
        <w:t xml:space="preserve">, </w:t>
      </w:r>
      <w:r w:rsidRPr="00FA626B">
        <w:rPr>
          <w:rFonts w:ascii="Times New Roman" w:hAnsi="Times New Roman" w:cs="Times New Roman"/>
          <w:sz w:val="24"/>
          <w:szCs w:val="24"/>
        </w:rPr>
        <w:t>p. 95.</w:t>
      </w:r>
      <w:r w:rsidR="00B3553E" w:rsidRPr="00FA626B">
        <w:rPr>
          <w:rFonts w:ascii="Times New Roman" w:hAnsi="Times New Roman" w:cs="Times New Roman"/>
          <w:sz w:val="24"/>
          <w:szCs w:val="24"/>
        </w:rPr>
        <w:tab/>
      </w:r>
    </w:p>
  </w:footnote>
  <w:footnote w:id="72">
    <w:p w:rsidR="004E4B21" w:rsidRPr="00FA626B" w:rsidRDefault="004E4B21" w:rsidP="001E1BD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bCs/>
          <w:sz w:val="24"/>
          <w:szCs w:val="24"/>
        </w:rPr>
        <w:t>IOR/P/311/49,</w:t>
      </w:r>
      <w:r w:rsidRPr="00FA626B">
        <w:rPr>
          <w:rFonts w:ascii="Times New Roman" w:hAnsi="Times New Roman" w:cs="Times New Roman"/>
          <w:b/>
          <w:bCs/>
          <w:sz w:val="24"/>
          <w:szCs w:val="24"/>
        </w:rPr>
        <w:t xml:space="preserve"> </w:t>
      </w:r>
      <w:r w:rsidRPr="00FA626B">
        <w:rPr>
          <w:rFonts w:ascii="Times New Roman" w:hAnsi="Times New Roman" w:cs="Times New Roman"/>
          <w:bCs/>
          <w:sz w:val="24"/>
          <w:szCs w:val="24"/>
        </w:rPr>
        <w:t>pp. 15106, 15105, 15125.</w:t>
      </w:r>
    </w:p>
  </w:footnote>
  <w:footnote w:id="73">
    <w:p w:rsidR="004E4B21" w:rsidRPr="00FA626B" w:rsidRDefault="004E4B21" w:rsidP="00B43AE0">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bCs/>
          <w:sz w:val="24"/>
          <w:szCs w:val="24"/>
        </w:rPr>
        <w:t xml:space="preserve">Ibid, pp. 15093, 15094; and </w:t>
      </w:r>
      <w:r w:rsidRPr="00FA626B">
        <w:rPr>
          <w:rFonts w:ascii="Times New Roman" w:hAnsi="Times New Roman" w:cs="Times New Roman"/>
          <w:bCs/>
          <w:i/>
          <w:sz w:val="24"/>
          <w:szCs w:val="24"/>
        </w:rPr>
        <w:t xml:space="preserve">Report, </w:t>
      </w:r>
      <w:r w:rsidRPr="00FA626B">
        <w:rPr>
          <w:rFonts w:ascii="Times New Roman" w:hAnsi="Times New Roman" w:cs="Times New Roman"/>
          <w:bCs/>
          <w:sz w:val="24"/>
          <w:szCs w:val="24"/>
        </w:rPr>
        <w:t>36.</w:t>
      </w:r>
    </w:p>
  </w:footnote>
  <w:footnote w:id="74">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i/>
          <w:sz w:val="24"/>
          <w:szCs w:val="24"/>
        </w:rPr>
        <w:t xml:space="preserve">Report, </w:t>
      </w:r>
      <w:r w:rsidRPr="00FA626B">
        <w:rPr>
          <w:rFonts w:ascii="Times New Roman" w:hAnsi="Times New Roman" w:cs="Times New Roman"/>
          <w:sz w:val="24"/>
          <w:szCs w:val="24"/>
        </w:rPr>
        <w:t>p. 72.</w:t>
      </w:r>
    </w:p>
  </w:footnote>
  <w:footnote w:id="75">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w:t>
      </w:r>
      <w:r w:rsidRPr="00FA626B">
        <w:rPr>
          <w:rFonts w:ascii="Times New Roman" w:hAnsi="Times New Roman" w:cs="Times New Roman"/>
          <w:i/>
          <w:sz w:val="24"/>
          <w:szCs w:val="24"/>
        </w:rPr>
        <w:t xml:space="preserve">, </w:t>
      </w:r>
      <w:r w:rsidRPr="00FA626B">
        <w:rPr>
          <w:rFonts w:ascii="Times New Roman" w:hAnsi="Times New Roman" w:cs="Times New Roman"/>
          <w:sz w:val="24"/>
          <w:szCs w:val="24"/>
        </w:rPr>
        <w:t>p. 103.</w:t>
      </w:r>
    </w:p>
  </w:footnote>
  <w:footnote w:id="76">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w:t>
      </w:r>
      <w:r w:rsidRPr="00FA626B">
        <w:rPr>
          <w:rFonts w:ascii="Times New Roman" w:hAnsi="Times New Roman" w:cs="Times New Roman"/>
          <w:i/>
          <w:sz w:val="24"/>
          <w:szCs w:val="24"/>
        </w:rPr>
        <w:t xml:space="preserve">, </w:t>
      </w:r>
      <w:r w:rsidRPr="00FA626B">
        <w:rPr>
          <w:rFonts w:ascii="Times New Roman" w:hAnsi="Times New Roman" w:cs="Times New Roman"/>
          <w:sz w:val="24"/>
          <w:szCs w:val="24"/>
        </w:rPr>
        <w:t xml:space="preserve">p. 92. </w:t>
      </w:r>
    </w:p>
  </w:footnote>
  <w:footnote w:id="77">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Home, Judicial, A Proceedings, </w:t>
      </w:r>
      <w:smartTag w:uri="urn:schemas-microsoft-com:office:smarttags" w:element="date">
        <w:smartTagPr>
          <w:attr w:name="Year" w:val="1856"/>
          <w:attr w:name="Day" w:val="5"/>
          <w:attr w:name="Month" w:val="1"/>
        </w:smartTagPr>
        <w:r w:rsidRPr="00FA626B">
          <w:rPr>
            <w:rFonts w:ascii="Times New Roman" w:hAnsi="Times New Roman" w:cs="Times New Roman"/>
            <w:sz w:val="24"/>
            <w:szCs w:val="24"/>
          </w:rPr>
          <w:t>5 January 1856</w:t>
        </w:r>
      </w:smartTag>
      <w:r w:rsidR="00EC2828" w:rsidRPr="00FA626B">
        <w:rPr>
          <w:rFonts w:ascii="Times New Roman" w:hAnsi="Times New Roman" w:cs="Times New Roman"/>
          <w:sz w:val="24"/>
          <w:szCs w:val="24"/>
        </w:rPr>
        <w:t>, no. 15</w:t>
      </w:r>
      <w:r w:rsidRPr="00FA626B">
        <w:rPr>
          <w:rFonts w:ascii="Times New Roman" w:hAnsi="Times New Roman" w:cs="Times New Roman"/>
          <w:sz w:val="24"/>
          <w:szCs w:val="24"/>
        </w:rPr>
        <w:t>, NAI.</w:t>
      </w:r>
    </w:p>
  </w:footnote>
  <w:footnote w:id="78">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w:t>
      </w:r>
      <w:r w:rsidRPr="00FA626B">
        <w:rPr>
          <w:rFonts w:ascii="Times New Roman" w:hAnsi="Times New Roman" w:cs="Times New Roman"/>
          <w:i/>
          <w:sz w:val="24"/>
          <w:szCs w:val="24"/>
        </w:rPr>
        <w:t xml:space="preserve">Report, </w:t>
      </w:r>
      <w:r w:rsidRPr="00FA626B">
        <w:rPr>
          <w:rFonts w:ascii="Times New Roman" w:hAnsi="Times New Roman" w:cs="Times New Roman"/>
          <w:sz w:val="24"/>
          <w:szCs w:val="24"/>
        </w:rPr>
        <w:t>p. 147.</w:t>
      </w:r>
    </w:p>
  </w:footnote>
  <w:footnote w:id="79">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IOR/E/4/846, 1857, p. 352.</w:t>
      </w:r>
    </w:p>
  </w:footnote>
  <w:footnote w:id="80">
    <w:p w:rsidR="00827BFC" w:rsidRPr="00FA626B" w:rsidRDefault="00827BFC">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Douglas Peers makes the important observation that, when it came to torture, “Only when abuses became public, and revealed the extent to which nominal subordinates were operating independent of British authority, was action demanded”. Peers, “Torture”, p. 31.</w:t>
      </w:r>
    </w:p>
  </w:footnote>
  <w:footnote w:id="81">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IOR/E/4/842, 1857, India, Judicial, 11</w:t>
      </w:r>
      <w:r w:rsidRPr="00FA626B">
        <w:rPr>
          <w:rFonts w:ascii="Times New Roman" w:hAnsi="Times New Roman" w:cs="Times New Roman"/>
          <w:sz w:val="24"/>
          <w:szCs w:val="24"/>
          <w:vertAlign w:val="superscript"/>
        </w:rPr>
        <w:t>th</w:t>
      </w:r>
      <w:r w:rsidRPr="00FA626B">
        <w:rPr>
          <w:rFonts w:ascii="Times New Roman" w:hAnsi="Times New Roman" w:cs="Times New Roman"/>
          <w:sz w:val="24"/>
          <w:szCs w:val="24"/>
        </w:rPr>
        <w:t xml:space="preserve"> March (No 200 1857), p. 1162</w:t>
      </w:r>
      <w:r w:rsidR="00A823ED" w:rsidRPr="00FA626B">
        <w:rPr>
          <w:rFonts w:ascii="Times New Roman" w:hAnsi="Times New Roman" w:cs="Times New Roman"/>
          <w:sz w:val="24"/>
          <w:szCs w:val="24"/>
        </w:rPr>
        <w:t>, BL</w:t>
      </w:r>
      <w:r w:rsidRPr="00FA626B">
        <w:rPr>
          <w:rFonts w:ascii="Times New Roman" w:hAnsi="Times New Roman" w:cs="Times New Roman"/>
          <w:sz w:val="24"/>
          <w:szCs w:val="24"/>
        </w:rPr>
        <w:t>.</w:t>
      </w:r>
    </w:p>
  </w:footnote>
  <w:footnote w:id="82">
    <w:p w:rsidR="003D3583" w:rsidRPr="00FA626B" w:rsidRDefault="003D3583">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“Extraordinary Allegation of Police Torture. Alleged Torture Ending in Death”, </w:t>
      </w:r>
      <w:r w:rsidRPr="00FA626B">
        <w:rPr>
          <w:rFonts w:ascii="Times New Roman" w:hAnsi="Times New Roman" w:cs="Times New Roman"/>
          <w:i/>
          <w:sz w:val="24"/>
          <w:szCs w:val="24"/>
        </w:rPr>
        <w:t xml:space="preserve">The Bengalee, </w:t>
      </w:r>
      <w:r w:rsidRPr="00FA626B">
        <w:rPr>
          <w:rFonts w:ascii="Times New Roman" w:hAnsi="Times New Roman" w:cs="Times New Roman"/>
          <w:sz w:val="24"/>
          <w:szCs w:val="24"/>
        </w:rPr>
        <w:t>24 June, 2010, IOR/L/PJ/6/1087, File 1608: 19 Dec 1910-21 Feb 1912, BL.</w:t>
      </w:r>
    </w:p>
  </w:footnote>
  <w:footnote w:id="83">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“Extraordinary Allegation of Police Torture”; and “The Emperor Versus Fazilat Hussain and Abdul Ghani”, February 28</w:t>
      </w:r>
      <w:r w:rsidRPr="00FA626B">
        <w:rPr>
          <w:rFonts w:ascii="Times New Roman" w:hAnsi="Times New Roman" w:cs="Times New Roman"/>
          <w:sz w:val="24"/>
          <w:szCs w:val="24"/>
          <w:vertAlign w:val="superscript"/>
        </w:rPr>
        <w:t>th</w:t>
      </w:r>
      <w:r w:rsidRPr="00FA626B">
        <w:rPr>
          <w:rFonts w:ascii="Times New Roman" w:hAnsi="Times New Roman" w:cs="Times New Roman"/>
          <w:sz w:val="24"/>
          <w:szCs w:val="24"/>
        </w:rPr>
        <w:t>, 1911, IOR/L/PJ/6/1087.</w:t>
      </w:r>
    </w:p>
  </w:footnote>
  <w:footnote w:id="84">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“The Emperor Versus Fazilat Hussain”. Lucas apparently believed that the charges had been engineered by an Honorary Magistrate by the name of Kalimuddin who had a grudge against one of the Sub-Inspectors. CJ Stevenson-Moore, Chief Secretary to the Government of Bengal, to the Secretary to the Government of India, Home, 11 March 1911, IOR/L/PJ/6/1087.</w:t>
      </w:r>
    </w:p>
  </w:footnote>
  <w:footnote w:id="85">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006C5B29" w:rsidRPr="00FA626B">
        <w:rPr>
          <w:rFonts w:ascii="Times New Roman" w:hAnsi="Times New Roman" w:cs="Times New Roman"/>
          <w:sz w:val="24"/>
          <w:szCs w:val="24"/>
        </w:rPr>
        <w:t xml:space="preserve"> “The Emperor v</w:t>
      </w:r>
      <w:r w:rsidRPr="00FA626B">
        <w:rPr>
          <w:rFonts w:ascii="Times New Roman" w:hAnsi="Times New Roman" w:cs="Times New Roman"/>
          <w:sz w:val="24"/>
          <w:szCs w:val="24"/>
        </w:rPr>
        <w:t>ersus Fazilat Hussain”.</w:t>
      </w:r>
    </w:p>
  </w:footnote>
  <w:footnote w:id="86">
    <w:p w:rsidR="00E17A0E" w:rsidRDefault="00E17A0E">
      <w:pPr>
        <w:pStyle w:val="FootnoteText"/>
      </w:pPr>
      <w:r>
        <w:rPr>
          <w:rStyle w:val="FootnoteReference"/>
        </w:rPr>
        <w:footnoteRef/>
      </w:r>
      <w:r>
        <w:t xml:space="preserve"> </w:t>
      </w:r>
      <w:r w:rsidRPr="00FA626B">
        <w:rPr>
          <w:rFonts w:ascii="Times New Roman" w:hAnsi="Times New Roman" w:cs="Times New Roman"/>
          <w:sz w:val="24"/>
          <w:szCs w:val="24"/>
        </w:rPr>
        <w:t xml:space="preserve">Ibid. The lack of faith of torture victims in the ability of the system that had sanctioned their torture to offer redress, as well as shame (particularly for victims who had been sexually abused) ensured the silence of many sufferers of torture, although for the Indian government the dearth of complaints revealed the non-existence of torture. See Heath “Bureaucracy” and “Torture, the State and Sexual Violence Against Men in Colonial India”, </w:t>
      </w:r>
      <w:r w:rsidRPr="00FA626B">
        <w:rPr>
          <w:rFonts w:ascii="Times New Roman" w:hAnsi="Times New Roman" w:cs="Times New Roman"/>
          <w:i/>
          <w:sz w:val="24"/>
          <w:szCs w:val="24"/>
        </w:rPr>
        <w:t>Radical History Review</w:t>
      </w:r>
      <w:r w:rsidRPr="00FA626B">
        <w:rPr>
          <w:rFonts w:ascii="Times New Roman" w:hAnsi="Times New Roman" w:cs="Times New Roman"/>
          <w:sz w:val="24"/>
          <w:szCs w:val="24"/>
        </w:rPr>
        <w:t xml:space="preserve"> 126, forthcoming; and Ruthven, </w:t>
      </w:r>
      <w:r>
        <w:rPr>
          <w:rFonts w:ascii="Times New Roman" w:hAnsi="Times New Roman" w:cs="Times New Roman"/>
          <w:i/>
          <w:sz w:val="24"/>
          <w:szCs w:val="24"/>
        </w:rPr>
        <w:t>Torture: The Grand Conspiracy</w:t>
      </w:r>
      <w:r>
        <w:rPr>
          <w:rFonts w:ascii="Times New Roman" w:hAnsi="Times New Roman" w:cs="Times New Roman"/>
          <w:sz w:val="24"/>
          <w:szCs w:val="24"/>
        </w:rPr>
        <w:t xml:space="preserve"> (London: Weidenfield and Nicolson, 1978)</w:t>
      </w:r>
      <w:r w:rsidRPr="00FA626B">
        <w:rPr>
          <w:rFonts w:ascii="Times New Roman" w:hAnsi="Times New Roman" w:cs="Times New Roman"/>
          <w:sz w:val="24"/>
          <w:szCs w:val="24"/>
        </w:rPr>
        <w:t>, pp. 196-97.</w:t>
      </w:r>
    </w:p>
  </w:footnote>
  <w:footnote w:id="87">
    <w:p w:rsidR="001173F3" w:rsidRDefault="001173F3">
      <w:pPr>
        <w:pStyle w:val="FootnoteText"/>
      </w:pPr>
      <w:r>
        <w:rPr>
          <w:rStyle w:val="FootnoteReference"/>
        </w:rPr>
        <w:footnoteRef/>
      </w:r>
      <w:r>
        <w:t xml:space="preserve"> </w:t>
      </w:r>
      <w:r w:rsidRPr="00FA626B">
        <w:rPr>
          <w:rFonts w:ascii="Times New Roman" w:hAnsi="Times New Roman" w:cs="Times New Roman"/>
          <w:sz w:val="24"/>
          <w:szCs w:val="24"/>
        </w:rPr>
        <w:t>Court of Sessions Order by W H Vincent Sessions Judge, Muzaffarpur, June 27 1911</w:t>
      </w:r>
      <w:r>
        <w:rPr>
          <w:rFonts w:ascii="Times New Roman" w:hAnsi="Times New Roman" w:cs="Times New Roman"/>
          <w:sz w:val="24"/>
          <w:szCs w:val="24"/>
        </w:rPr>
        <w:t>, IOR/L/PJ/1087</w:t>
      </w:r>
      <w:r w:rsidRPr="00FA626B">
        <w:rPr>
          <w:rFonts w:ascii="Times New Roman" w:hAnsi="Times New Roman" w:cs="Times New Roman"/>
          <w:sz w:val="24"/>
          <w:szCs w:val="24"/>
        </w:rPr>
        <w:t>. The only ‘evidence’ that Vincent had to support such an assertion was that, although Ranu was admitted to hospital on April 28</w:t>
      </w:r>
      <w:r w:rsidRPr="00FA626B">
        <w:rPr>
          <w:rFonts w:ascii="Times New Roman" w:hAnsi="Times New Roman" w:cs="Times New Roman"/>
          <w:sz w:val="24"/>
          <w:szCs w:val="24"/>
          <w:vertAlign w:val="superscript"/>
        </w:rPr>
        <w:t>th</w:t>
      </w:r>
      <w:r w:rsidRPr="00FA626B">
        <w:rPr>
          <w:rFonts w:ascii="Times New Roman" w:hAnsi="Times New Roman" w:cs="Times New Roman"/>
          <w:sz w:val="24"/>
          <w:szCs w:val="24"/>
        </w:rPr>
        <w:t>, he was not examined by the Civil Hospital Assistant until the following night after Ranu’s dying declaration was recorded, and the fact that the post mortem results were not sent to the Civil Surgeon until 6 days after the post mortem was carried out.</w:t>
      </w:r>
    </w:p>
  </w:footnote>
  <w:footnote w:id="88">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w:t>
      </w:r>
    </w:p>
  </w:footnote>
  <w:footnote w:id="89">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At this point Ranu’s son Ekin Ali tried again to seek redress by lodging a complaint at the High Court of Judicature at Fort William, but based on the lower courts’ ruling (Vincent had, notably, previously sat on the Bench of the High Court) and the medical evidence they felt there was no reason for putting Fazilat and others on trial again. IOR/L/PJ/6/1087.</w:t>
      </w:r>
    </w:p>
  </w:footnote>
  <w:footnote w:id="90">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00F90375" w:rsidRPr="00FA626B">
        <w:rPr>
          <w:rFonts w:ascii="Times New Roman" w:hAnsi="Times New Roman" w:cs="Times New Roman"/>
          <w:sz w:val="24"/>
          <w:szCs w:val="24"/>
        </w:rPr>
        <w:t xml:space="preserve"> Minute, TM, May 1911, IOR/L/PJ/6/1087.</w:t>
      </w:r>
    </w:p>
  </w:footnote>
  <w:footnote w:id="91">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The Honourable C J Stevenson-Moore, Chief Secretary to the Government of Bengal, to the Secretary to the Government of India, Home Department, 16 May, 1911, IOR/L/PJ/6/1087.</w:t>
      </w:r>
      <w:r w:rsidR="009F53E8" w:rsidRPr="00FA626B">
        <w:rPr>
          <w:rFonts w:ascii="Times New Roman" w:hAnsi="Times New Roman" w:cs="Times New Roman"/>
          <w:sz w:val="24"/>
          <w:szCs w:val="24"/>
        </w:rPr>
        <w:t xml:space="preserve"> Such observations conveniently elide, as in the case of the Torture Commission’s report, the causes of such violence, which as David Arnold argues can be </w:t>
      </w:r>
      <w:r w:rsidR="00C81B49" w:rsidRPr="00FA626B">
        <w:rPr>
          <w:rFonts w:ascii="Times New Roman" w:hAnsi="Times New Roman" w:cs="Times New Roman"/>
          <w:sz w:val="24"/>
          <w:szCs w:val="24"/>
        </w:rPr>
        <w:t>located</w:t>
      </w:r>
      <w:r w:rsidR="009F53E8" w:rsidRPr="00FA626B">
        <w:rPr>
          <w:rFonts w:ascii="Times New Roman" w:hAnsi="Times New Roman" w:cs="Times New Roman"/>
          <w:sz w:val="24"/>
          <w:szCs w:val="24"/>
        </w:rPr>
        <w:t xml:space="preserve"> in</w:t>
      </w:r>
      <w:r w:rsidR="00C81B49" w:rsidRPr="00FA626B">
        <w:rPr>
          <w:rFonts w:ascii="Times New Roman" w:hAnsi="Times New Roman" w:cs="Times New Roman"/>
          <w:sz w:val="24"/>
          <w:szCs w:val="24"/>
        </w:rPr>
        <w:t xml:space="preserve"> part in</w:t>
      </w:r>
      <w:r w:rsidR="009F53E8" w:rsidRPr="00FA626B">
        <w:rPr>
          <w:rFonts w:ascii="Times New Roman" w:hAnsi="Times New Roman" w:cs="Times New Roman"/>
          <w:sz w:val="24"/>
          <w:szCs w:val="24"/>
        </w:rPr>
        <w:t xml:space="preserve"> the disrupting and often devastating effect of coloni</w:t>
      </w:r>
      <w:r w:rsidR="001173F3">
        <w:rPr>
          <w:rFonts w:ascii="Times New Roman" w:hAnsi="Times New Roman" w:cs="Times New Roman"/>
          <w:sz w:val="24"/>
          <w:szCs w:val="24"/>
        </w:rPr>
        <w:t xml:space="preserve">alism on rural communities. </w:t>
      </w:r>
      <w:r w:rsidR="009F53E8" w:rsidRPr="00FA626B">
        <w:rPr>
          <w:rFonts w:ascii="Times New Roman" w:hAnsi="Times New Roman" w:cs="Times New Roman"/>
          <w:sz w:val="24"/>
          <w:szCs w:val="24"/>
        </w:rPr>
        <w:t xml:space="preserve">David Arnold, “Dacoity and Rural Crime in Madras, 1860-1940”, </w:t>
      </w:r>
      <w:r w:rsidR="009F53E8" w:rsidRPr="00FA626B">
        <w:rPr>
          <w:rFonts w:ascii="Times New Roman" w:hAnsi="Times New Roman" w:cs="Times New Roman"/>
          <w:i/>
          <w:sz w:val="24"/>
          <w:szCs w:val="24"/>
        </w:rPr>
        <w:t>The Journal of Peasant Studies</w:t>
      </w:r>
      <w:r w:rsidR="009F53E8" w:rsidRPr="00FA626B">
        <w:rPr>
          <w:rFonts w:ascii="Times New Roman" w:hAnsi="Times New Roman" w:cs="Times New Roman"/>
          <w:sz w:val="24"/>
          <w:szCs w:val="24"/>
        </w:rPr>
        <w:t xml:space="preserve"> 6, 2 (1979), pp. 140-167. </w:t>
      </w:r>
    </w:p>
  </w:footnote>
  <w:footnote w:id="92">
    <w:p w:rsidR="004E4B21" w:rsidRPr="00FA626B" w:rsidRDefault="004E4B21" w:rsidP="007A0870">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A. Earle, Officiating. Secretary to the Government of India, to the Chief Secretary to the Government of Bengal, 27 March 1911, IOR/L/PJ/6/1087.</w:t>
      </w:r>
    </w:p>
  </w:footnote>
  <w:footnote w:id="93">
    <w:p w:rsidR="004E4B21" w:rsidRPr="00FA626B" w:rsidRDefault="004E4B21" w:rsidP="007A0870">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“Th</w:t>
      </w:r>
      <w:r w:rsidR="000A446F" w:rsidRPr="00FA626B">
        <w:rPr>
          <w:rFonts w:ascii="Times New Roman" w:hAnsi="Times New Roman" w:cs="Times New Roman"/>
          <w:sz w:val="24"/>
          <w:szCs w:val="24"/>
        </w:rPr>
        <w:t xml:space="preserve">e Emperor </w:t>
      </w:r>
      <w:r w:rsidR="005C1B0B">
        <w:rPr>
          <w:rFonts w:ascii="Times New Roman" w:hAnsi="Times New Roman" w:cs="Times New Roman"/>
          <w:sz w:val="24"/>
          <w:szCs w:val="24"/>
        </w:rPr>
        <w:t>v</w:t>
      </w:r>
      <w:r w:rsidR="000A446F" w:rsidRPr="00FA626B">
        <w:rPr>
          <w:rFonts w:ascii="Times New Roman" w:hAnsi="Times New Roman" w:cs="Times New Roman"/>
          <w:sz w:val="24"/>
          <w:szCs w:val="24"/>
        </w:rPr>
        <w:t>ersus Fazilat Hussain”</w:t>
      </w:r>
      <w:r w:rsidRPr="00FA626B">
        <w:rPr>
          <w:rFonts w:ascii="Times New Roman" w:hAnsi="Times New Roman" w:cs="Times New Roman"/>
          <w:sz w:val="24"/>
          <w:szCs w:val="24"/>
        </w:rPr>
        <w:t>.</w:t>
      </w:r>
    </w:p>
  </w:footnote>
  <w:footnote w:id="94">
    <w:p w:rsidR="004E4B21" w:rsidRPr="00FA626B" w:rsidRDefault="004E4B21" w:rsidP="000C6B8D">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The Honourable C J Stevenson-Moore, Chief Secretary to the Government of Bengal, to the Secretary to the Government of India, Home Department, 16 May, 1911</w:t>
      </w:r>
      <w:r w:rsidR="00A116CC" w:rsidRPr="00FA626B">
        <w:rPr>
          <w:rFonts w:ascii="Times New Roman" w:hAnsi="Times New Roman" w:cs="Times New Roman"/>
          <w:sz w:val="24"/>
          <w:szCs w:val="24"/>
        </w:rPr>
        <w:t>, IOR/L/PJ/6/1087</w:t>
      </w:r>
      <w:r w:rsidRPr="00FA626B">
        <w:rPr>
          <w:rFonts w:ascii="Times New Roman" w:hAnsi="Times New Roman" w:cs="Times New Roman"/>
          <w:sz w:val="24"/>
          <w:szCs w:val="24"/>
        </w:rPr>
        <w:t>.</w:t>
      </w:r>
    </w:p>
  </w:footnote>
  <w:footnote w:id="95">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Mbembe, “Necropolitics”, p. 23. Necropower was central to all such terror formations, although </w:t>
      </w:r>
      <w:r w:rsidR="00DF1498" w:rsidRPr="00FA626B">
        <w:rPr>
          <w:rFonts w:ascii="Times New Roman" w:hAnsi="Times New Roman" w:cs="Times New Roman"/>
          <w:sz w:val="24"/>
          <w:szCs w:val="24"/>
        </w:rPr>
        <w:t xml:space="preserve">it could take different forms, </w:t>
      </w:r>
      <w:r w:rsidRPr="00FA626B">
        <w:rPr>
          <w:rFonts w:ascii="Times New Roman" w:hAnsi="Times New Roman" w:cs="Times New Roman"/>
          <w:sz w:val="24"/>
          <w:szCs w:val="24"/>
        </w:rPr>
        <w:t>namely “the terror of actual death”, or a more “’benevolent form’” that seeks to destroy a culture in order to “’save the people’ from themselves’”. Cited in Mbembe, “Necropolitics”, p. 22 (footnote).</w:t>
      </w:r>
    </w:p>
  </w:footnote>
  <w:footnote w:id="96">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Ibid, p. 24.</w:t>
      </w:r>
    </w:p>
  </w:footnote>
  <w:footnote w:id="97">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Bhattacharya, “Public Penology”, p. 17.</w:t>
      </w:r>
    </w:p>
  </w:footnote>
  <w:footnote w:id="98">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Bhattacharya, “Public Penology”, p. 16.</w:t>
      </w:r>
    </w:p>
  </w:footnote>
  <w:footnote w:id="99">
    <w:p w:rsidR="004E4B21" w:rsidRPr="00FA626B" w:rsidRDefault="004E4B21">
      <w:pPr>
        <w:pStyle w:val="FootnoteText"/>
        <w:rPr>
          <w:rFonts w:ascii="Times New Roman" w:hAnsi="Times New Roman" w:cs="Times New Roman"/>
          <w:sz w:val="24"/>
          <w:szCs w:val="24"/>
        </w:rPr>
      </w:pPr>
      <w:r w:rsidRPr="00FA626B">
        <w:rPr>
          <w:rStyle w:val="FootnoteReference"/>
          <w:rFonts w:ascii="Times New Roman" w:hAnsi="Times New Roman" w:cs="Times New Roman"/>
          <w:sz w:val="24"/>
          <w:szCs w:val="24"/>
        </w:rPr>
        <w:footnoteRef/>
      </w:r>
      <w:r w:rsidRPr="00FA626B">
        <w:rPr>
          <w:rFonts w:ascii="Times New Roman" w:hAnsi="Times New Roman" w:cs="Times New Roman"/>
          <w:sz w:val="24"/>
          <w:szCs w:val="24"/>
        </w:rPr>
        <w:t xml:space="preserve"> Dean, </w:t>
      </w:r>
      <w:r w:rsidR="00BD53E3" w:rsidRPr="00FA626B">
        <w:rPr>
          <w:rFonts w:ascii="Times New Roman" w:hAnsi="Times New Roman" w:cs="Times New Roman"/>
          <w:i/>
          <w:sz w:val="24"/>
          <w:szCs w:val="24"/>
        </w:rPr>
        <w:t xml:space="preserve">The Signature of Power, </w:t>
      </w:r>
      <w:r w:rsidRPr="00FA626B">
        <w:rPr>
          <w:rFonts w:ascii="Times New Roman" w:hAnsi="Times New Roman" w:cs="Times New Roman"/>
          <w:sz w:val="24"/>
          <w:szCs w:val="24"/>
        </w:rPr>
        <w:t>p.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EA9"/>
    <w:multiLevelType w:val="hybridMultilevel"/>
    <w:tmpl w:val="C2968808"/>
    <w:lvl w:ilvl="0" w:tplc="5D54E0EE">
      <w:numFmt w:val="bullet"/>
      <w:lvlText w:val="-"/>
      <w:lvlJc w:val="left"/>
      <w:pPr>
        <w:ind w:left="643"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647D8"/>
    <w:multiLevelType w:val="hybridMultilevel"/>
    <w:tmpl w:val="D13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42AB"/>
    <w:multiLevelType w:val="hybridMultilevel"/>
    <w:tmpl w:val="FBB63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C220C"/>
    <w:multiLevelType w:val="hybridMultilevel"/>
    <w:tmpl w:val="C7580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F533E"/>
    <w:multiLevelType w:val="hybridMultilevel"/>
    <w:tmpl w:val="244E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614E8"/>
    <w:multiLevelType w:val="hybridMultilevel"/>
    <w:tmpl w:val="9146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56"/>
    <w:rsid w:val="00001DAD"/>
    <w:rsid w:val="00005069"/>
    <w:rsid w:val="00005808"/>
    <w:rsid w:val="00005EFE"/>
    <w:rsid w:val="000071D0"/>
    <w:rsid w:val="000077F7"/>
    <w:rsid w:val="000078AA"/>
    <w:rsid w:val="00010FC1"/>
    <w:rsid w:val="0001286C"/>
    <w:rsid w:val="0001563F"/>
    <w:rsid w:val="00016E9E"/>
    <w:rsid w:val="00021CAE"/>
    <w:rsid w:val="00023FE5"/>
    <w:rsid w:val="000243E3"/>
    <w:rsid w:val="00024EDB"/>
    <w:rsid w:val="00025159"/>
    <w:rsid w:val="000346A7"/>
    <w:rsid w:val="00034BA0"/>
    <w:rsid w:val="000365A1"/>
    <w:rsid w:val="000365B7"/>
    <w:rsid w:val="000404B0"/>
    <w:rsid w:val="00042E19"/>
    <w:rsid w:val="000431D7"/>
    <w:rsid w:val="000437C1"/>
    <w:rsid w:val="00043FC2"/>
    <w:rsid w:val="000453D7"/>
    <w:rsid w:val="00045D72"/>
    <w:rsid w:val="0004607E"/>
    <w:rsid w:val="00046CD3"/>
    <w:rsid w:val="0005082C"/>
    <w:rsid w:val="00050D37"/>
    <w:rsid w:val="00052AF6"/>
    <w:rsid w:val="00052EC9"/>
    <w:rsid w:val="00054C68"/>
    <w:rsid w:val="00055F1C"/>
    <w:rsid w:val="00057FC4"/>
    <w:rsid w:val="00063119"/>
    <w:rsid w:val="000646B2"/>
    <w:rsid w:val="0006490D"/>
    <w:rsid w:val="00064F17"/>
    <w:rsid w:val="00065BEB"/>
    <w:rsid w:val="000673DE"/>
    <w:rsid w:val="0007069C"/>
    <w:rsid w:val="0007111D"/>
    <w:rsid w:val="0007125B"/>
    <w:rsid w:val="000726ED"/>
    <w:rsid w:val="000739F0"/>
    <w:rsid w:val="000811B9"/>
    <w:rsid w:val="00082E47"/>
    <w:rsid w:val="00085F38"/>
    <w:rsid w:val="000917CA"/>
    <w:rsid w:val="000929A0"/>
    <w:rsid w:val="0009393E"/>
    <w:rsid w:val="00095A94"/>
    <w:rsid w:val="00095E33"/>
    <w:rsid w:val="000964F1"/>
    <w:rsid w:val="000971A6"/>
    <w:rsid w:val="000976FA"/>
    <w:rsid w:val="000A0697"/>
    <w:rsid w:val="000A12CD"/>
    <w:rsid w:val="000A3025"/>
    <w:rsid w:val="000A3CAC"/>
    <w:rsid w:val="000A446F"/>
    <w:rsid w:val="000A68E1"/>
    <w:rsid w:val="000B0373"/>
    <w:rsid w:val="000B2E74"/>
    <w:rsid w:val="000B39D0"/>
    <w:rsid w:val="000B3F14"/>
    <w:rsid w:val="000B4E24"/>
    <w:rsid w:val="000C0505"/>
    <w:rsid w:val="000C1E8C"/>
    <w:rsid w:val="000C2773"/>
    <w:rsid w:val="000C38A6"/>
    <w:rsid w:val="000C4F27"/>
    <w:rsid w:val="000C59BD"/>
    <w:rsid w:val="000C5F4C"/>
    <w:rsid w:val="000C6B8D"/>
    <w:rsid w:val="000C73AB"/>
    <w:rsid w:val="000D0420"/>
    <w:rsid w:val="000D23C3"/>
    <w:rsid w:val="000D2E8A"/>
    <w:rsid w:val="000D3108"/>
    <w:rsid w:val="000D5B9B"/>
    <w:rsid w:val="000D6C6A"/>
    <w:rsid w:val="000E0D26"/>
    <w:rsid w:val="000E70B9"/>
    <w:rsid w:val="000E7C5F"/>
    <w:rsid w:val="000F258E"/>
    <w:rsid w:val="000F2EF5"/>
    <w:rsid w:val="000F627A"/>
    <w:rsid w:val="0010228D"/>
    <w:rsid w:val="00102D7A"/>
    <w:rsid w:val="0011082F"/>
    <w:rsid w:val="00116249"/>
    <w:rsid w:val="001173F3"/>
    <w:rsid w:val="00122907"/>
    <w:rsid w:val="00125711"/>
    <w:rsid w:val="00125E50"/>
    <w:rsid w:val="00127243"/>
    <w:rsid w:val="00127A41"/>
    <w:rsid w:val="00131634"/>
    <w:rsid w:val="00132A14"/>
    <w:rsid w:val="0013454C"/>
    <w:rsid w:val="001347E5"/>
    <w:rsid w:val="00135424"/>
    <w:rsid w:val="00136795"/>
    <w:rsid w:val="00136BAA"/>
    <w:rsid w:val="00136D3D"/>
    <w:rsid w:val="0013733E"/>
    <w:rsid w:val="001378B5"/>
    <w:rsid w:val="00141531"/>
    <w:rsid w:val="0014218A"/>
    <w:rsid w:val="00144F16"/>
    <w:rsid w:val="00145EA2"/>
    <w:rsid w:val="00146FA4"/>
    <w:rsid w:val="001474DE"/>
    <w:rsid w:val="00153B23"/>
    <w:rsid w:val="001550B1"/>
    <w:rsid w:val="00157710"/>
    <w:rsid w:val="00162AA5"/>
    <w:rsid w:val="001708F6"/>
    <w:rsid w:val="00171335"/>
    <w:rsid w:val="00172C53"/>
    <w:rsid w:val="00176B8C"/>
    <w:rsid w:val="001803FA"/>
    <w:rsid w:val="00180972"/>
    <w:rsid w:val="00181D8C"/>
    <w:rsid w:val="00184E24"/>
    <w:rsid w:val="001944C9"/>
    <w:rsid w:val="00196991"/>
    <w:rsid w:val="00196A6B"/>
    <w:rsid w:val="00196E66"/>
    <w:rsid w:val="00197BEA"/>
    <w:rsid w:val="001A0CDF"/>
    <w:rsid w:val="001A0E0A"/>
    <w:rsid w:val="001A15F2"/>
    <w:rsid w:val="001A5003"/>
    <w:rsid w:val="001A5E6F"/>
    <w:rsid w:val="001B01FD"/>
    <w:rsid w:val="001B0950"/>
    <w:rsid w:val="001B1F43"/>
    <w:rsid w:val="001B4631"/>
    <w:rsid w:val="001B471C"/>
    <w:rsid w:val="001B5073"/>
    <w:rsid w:val="001B5C77"/>
    <w:rsid w:val="001C3055"/>
    <w:rsid w:val="001C40AA"/>
    <w:rsid w:val="001C4A59"/>
    <w:rsid w:val="001C5C4D"/>
    <w:rsid w:val="001D1965"/>
    <w:rsid w:val="001D2C50"/>
    <w:rsid w:val="001D575B"/>
    <w:rsid w:val="001D61DB"/>
    <w:rsid w:val="001D6454"/>
    <w:rsid w:val="001D7943"/>
    <w:rsid w:val="001E1076"/>
    <w:rsid w:val="001E1A43"/>
    <w:rsid w:val="001E1BD1"/>
    <w:rsid w:val="001E24EB"/>
    <w:rsid w:val="001E57F9"/>
    <w:rsid w:val="001E600E"/>
    <w:rsid w:val="001E604C"/>
    <w:rsid w:val="001E6A4B"/>
    <w:rsid w:val="001F0835"/>
    <w:rsid w:val="001F1769"/>
    <w:rsid w:val="001F202B"/>
    <w:rsid w:val="001F43AE"/>
    <w:rsid w:val="001F43DF"/>
    <w:rsid w:val="001F516D"/>
    <w:rsid w:val="001F543A"/>
    <w:rsid w:val="001F5572"/>
    <w:rsid w:val="001F5FFD"/>
    <w:rsid w:val="00202A35"/>
    <w:rsid w:val="002046B4"/>
    <w:rsid w:val="00204DD2"/>
    <w:rsid w:val="00205D1E"/>
    <w:rsid w:val="00212BE8"/>
    <w:rsid w:val="0021564A"/>
    <w:rsid w:val="00215B34"/>
    <w:rsid w:val="002210AB"/>
    <w:rsid w:val="002214F1"/>
    <w:rsid w:val="00221DD6"/>
    <w:rsid w:val="002255E0"/>
    <w:rsid w:val="00226D22"/>
    <w:rsid w:val="00233250"/>
    <w:rsid w:val="002349E2"/>
    <w:rsid w:val="00235285"/>
    <w:rsid w:val="00236372"/>
    <w:rsid w:val="00242C21"/>
    <w:rsid w:val="00244D19"/>
    <w:rsid w:val="002464A0"/>
    <w:rsid w:val="00247865"/>
    <w:rsid w:val="00253E56"/>
    <w:rsid w:val="00254E51"/>
    <w:rsid w:val="0025660C"/>
    <w:rsid w:val="00260035"/>
    <w:rsid w:val="00260901"/>
    <w:rsid w:val="00262889"/>
    <w:rsid w:val="00262D9E"/>
    <w:rsid w:val="0026427A"/>
    <w:rsid w:val="0026434B"/>
    <w:rsid w:val="00265272"/>
    <w:rsid w:val="002659A7"/>
    <w:rsid w:val="00265F4D"/>
    <w:rsid w:val="0027000D"/>
    <w:rsid w:val="00270051"/>
    <w:rsid w:val="00270466"/>
    <w:rsid w:val="00271A7E"/>
    <w:rsid w:val="00274C50"/>
    <w:rsid w:val="00275F92"/>
    <w:rsid w:val="00275FD4"/>
    <w:rsid w:val="00282DF6"/>
    <w:rsid w:val="00283243"/>
    <w:rsid w:val="00285432"/>
    <w:rsid w:val="00287948"/>
    <w:rsid w:val="00287DFC"/>
    <w:rsid w:val="00291EE8"/>
    <w:rsid w:val="00292958"/>
    <w:rsid w:val="00294926"/>
    <w:rsid w:val="002949CA"/>
    <w:rsid w:val="00294FAF"/>
    <w:rsid w:val="00296331"/>
    <w:rsid w:val="00296A73"/>
    <w:rsid w:val="002A0C05"/>
    <w:rsid w:val="002A2535"/>
    <w:rsid w:val="002A4D49"/>
    <w:rsid w:val="002A7CD6"/>
    <w:rsid w:val="002A7F03"/>
    <w:rsid w:val="002B0502"/>
    <w:rsid w:val="002B199A"/>
    <w:rsid w:val="002B5F61"/>
    <w:rsid w:val="002C1D1F"/>
    <w:rsid w:val="002C3129"/>
    <w:rsid w:val="002C3C80"/>
    <w:rsid w:val="002C54D4"/>
    <w:rsid w:val="002D155E"/>
    <w:rsid w:val="002D2722"/>
    <w:rsid w:val="002D42BD"/>
    <w:rsid w:val="002D6328"/>
    <w:rsid w:val="002E36D8"/>
    <w:rsid w:val="002E4B23"/>
    <w:rsid w:val="002E4D8F"/>
    <w:rsid w:val="002F310A"/>
    <w:rsid w:val="002F37C6"/>
    <w:rsid w:val="002F4A9A"/>
    <w:rsid w:val="002F6041"/>
    <w:rsid w:val="003002D5"/>
    <w:rsid w:val="00302CE1"/>
    <w:rsid w:val="00302E43"/>
    <w:rsid w:val="0030303D"/>
    <w:rsid w:val="0030363E"/>
    <w:rsid w:val="00306C96"/>
    <w:rsid w:val="003107FD"/>
    <w:rsid w:val="00310DAB"/>
    <w:rsid w:val="00322084"/>
    <w:rsid w:val="00326E17"/>
    <w:rsid w:val="00326F32"/>
    <w:rsid w:val="003316D9"/>
    <w:rsid w:val="00332A8E"/>
    <w:rsid w:val="00336E0A"/>
    <w:rsid w:val="00340001"/>
    <w:rsid w:val="0034102D"/>
    <w:rsid w:val="0034275D"/>
    <w:rsid w:val="003439AB"/>
    <w:rsid w:val="00345403"/>
    <w:rsid w:val="00350F58"/>
    <w:rsid w:val="003510AD"/>
    <w:rsid w:val="00353ADE"/>
    <w:rsid w:val="003559E9"/>
    <w:rsid w:val="003565C1"/>
    <w:rsid w:val="00361808"/>
    <w:rsid w:val="00361A7F"/>
    <w:rsid w:val="003654CA"/>
    <w:rsid w:val="00365882"/>
    <w:rsid w:val="003661A2"/>
    <w:rsid w:val="0037095B"/>
    <w:rsid w:val="00371107"/>
    <w:rsid w:val="00374C97"/>
    <w:rsid w:val="00381337"/>
    <w:rsid w:val="00381349"/>
    <w:rsid w:val="00383E45"/>
    <w:rsid w:val="00386095"/>
    <w:rsid w:val="00395F0F"/>
    <w:rsid w:val="003975D5"/>
    <w:rsid w:val="00397CE4"/>
    <w:rsid w:val="003A0550"/>
    <w:rsid w:val="003A0CAC"/>
    <w:rsid w:val="003A20B2"/>
    <w:rsid w:val="003A2C22"/>
    <w:rsid w:val="003A2FDA"/>
    <w:rsid w:val="003A4B8C"/>
    <w:rsid w:val="003A5232"/>
    <w:rsid w:val="003A5C78"/>
    <w:rsid w:val="003A6C90"/>
    <w:rsid w:val="003A6CDC"/>
    <w:rsid w:val="003B131B"/>
    <w:rsid w:val="003B16E8"/>
    <w:rsid w:val="003B2AB3"/>
    <w:rsid w:val="003B3984"/>
    <w:rsid w:val="003B4AEA"/>
    <w:rsid w:val="003B4E17"/>
    <w:rsid w:val="003B5F12"/>
    <w:rsid w:val="003C1448"/>
    <w:rsid w:val="003C22F3"/>
    <w:rsid w:val="003C383A"/>
    <w:rsid w:val="003C439A"/>
    <w:rsid w:val="003C78E0"/>
    <w:rsid w:val="003D1177"/>
    <w:rsid w:val="003D151D"/>
    <w:rsid w:val="003D3583"/>
    <w:rsid w:val="003E189E"/>
    <w:rsid w:val="003E1FCE"/>
    <w:rsid w:val="003E3426"/>
    <w:rsid w:val="003E3E78"/>
    <w:rsid w:val="003E3F78"/>
    <w:rsid w:val="003E5A1A"/>
    <w:rsid w:val="003F1220"/>
    <w:rsid w:val="003F33C4"/>
    <w:rsid w:val="003F3F5D"/>
    <w:rsid w:val="003F507B"/>
    <w:rsid w:val="003F5FD4"/>
    <w:rsid w:val="003F6508"/>
    <w:rsid w:val="003F7505"/>
    <w:rsid w:val="00401581"/>
    <w:rsid w:val="004031E6"/>
    <w:rsid w:val="004058EA"/>
    <w:rsid w:val="00411E69"/>
    <w:rsid w:val="00412566"/>
    <w:rsid w:val="0041337C"/>
    <w:rsid w:val="00416578"/>
    <w:rsid w:val="00416ADF"/>
    <w:rsid w:val="00416EB7"/>
    <w:rsid w:val="00420A61"/>
    <w:rsid w:val="004222E3"/>
    <w:rsid w:val="00422645"/>
    <w:rsid w:val="00430D0D"/>
    <w:rsid w:val="00431C8B"/>
    <w:rsid w:val="00436DD1"/>
    <w:rsid w:val="004379B6"/>
    <w:rsid w:val="004448A2"/>
    <w:rsid w:val="00446BDF"/>
    <w:rsid w:val="004526C0"/>
    <w:rsid w:val="004532CF"/>
    <w:rsid w:val="004604F5"/>
    <w:rsid w:val="00460D5C"/>
    <w:rsid w:val="00462406"/>
    <w:rsid w:val="00465B5B"/>
    <w:rsid w:val="00466B52"/>
    <w:rsid w:val="00467392"/>
    <w:rsid w:val="00474405"/>
    <w:rsid w:val="00474E96"/>
    <w:rsid w:val="004756A1"/>
    <w:rsid w:val="00477007"/>
    <w:rsid w:val="00477AE5"/>
    <w:rsid w:val="0048029E"/>
    <w:rsid w:val="00481D69"/>
    <w:rsid w:val="00485E89"/>
    <w:rsid w:val="0048692D"/>
    <w:rsid w:val="00487798"/>
    <w:rsid w:val="00495FF0"/>
    <w:rsid w:val="00497C4D"/>
    <w:rsid w:val="004A0254"/>
    <w:rsid w:val="004A0B63"/>
    <w:rsid w:val="004A1638"/>
    <w:rsid w:val="004A402E"/>
    <w:rsid w:val="004A7337"/>
    <w:rsid w:val="004B5FC1"/>
    <w:rsid w:val="004C208E"/>
    <w:rsid w:val="004C3FB0"/>
    <w:rsid w:val="004D17E2"/>
    <w:rsid w:val="004D195E"/>
    <w:rsid w:val="004D4CB7"/>
    <w:rsid w:val="004D53FF"/>
    <w:rsid w:val="004D63B2"/>
    <w:rsid w:val="004D65FD"/>
    <w:rsid w:val="004D7F8E"/>
    <w:rsid w:val="004E0EA2"/>
    <w:rsid w:val="004E27A7"/>
    <w:rsid w:val="004E4263"/>
    <w:rsid w:val="004E4B21"/>
    <w:rsid w:val="004E4DA2"/>
    <w:rsid w:val="004E4F4B"/>
    <w:rsid w:val="004E57A5"/>
    <w:rsid w:val="004E6211"/>
    <w:rsid w:val="004E6A41"/>
    <w:rsid w:val="004E70FD"/>
    <w:rsid w:val="004F09ED"/>
    <w:rsid w:val="004F65D6"/>
    <w:rsid w:val="00503330"/>
    <w:rsid w:val="005033BE"/>
    <w:rsid w:val="00504A17"/>
    <w:rsid w:val="00505CD6"/>
    <w:rsid w:val="00507F45"/>
    <w:rsid w:val="00510A49"/>
    <w:rsid w:val="00510AA7"/>
    <w:rsid w:val="00513A5E"/>
    <w:rsid w:val="00515B7B"/>
    <w:rsid w:val="00516396"/>
    <w:rsid w:val="00517E1E"/>
    <w:rsid w:val="00520688"/>
    <w:rsid w:val="00522C06"/>
    <w:rsid w:val="00522D9F"/>
    <w:rsid w:val="005236DC"/>
    <w:rsid w:val="00524E21"/>
    <w:rsid w:val="00527CE4"/>
    <w:rsid w:val="00530F50"/>
    <w:rsid w:val="00531574"/>
    <w:rsid w:val="00532CC1"/>
    <w:rsid w:val="0053352C"/>
    <w:rsid w:val="00534556"/>
    <w:rsid w:val="00534A98"/>
    <w:rsid w:val="005362DF"/>
    <w:rsid w:val="005418C0"/>
    <w:rsid w:val="00541B0A"/>
    <w:rsid w:val="005438BC"/>
    <w:rsid w:val="0054606D"/>
    <w:rsid w:val="00547377"/>
    <w:rsid w:val="005534CD"/>
    <w:rsid w:val="00553705"/>
    <w:rsid w:val="005542A6"/>
    <w:rsid w:val="005606CF"/>
    <w:rsid w:val="00562C8B"/>
    <w:rsid w:val="00565194"/>
    <w:rsid w:val="00565AB1"/>
    <w:rsid w:val="00570BF9"/>
    <w:rsid w:val="00573098"/>
    <w:rsid w:val="0058261C"/>
    <w:rsid w:val="005858D9"/>
    <w:rsid w:val="005911F6"/>
    <w:rsid w:val="00592623"/>
    <w:rsid w:val="00592A5F"/>
    <w:rsid w:val="00594E36"/>
    <w:rsid w:val="005977EB"/>
    <w:rsid w:val="005A41CF"/>
    <w:rsid w:val="005A4292"/>
    <w:rsid w:val="005B0FCF"/>
    <w:rsid w:val="005B61D5"/>
    <w:rsid w:val="005B7B6F"/>
    <w:rsid w:val="005C1B0B"/>
    <w:rsid w:val="005C26C2"/>
    <w:rsid w:val="005C4137"/>
    <w:rsid w:val="005C6011"/>
    <w:rsid w:val="005D0625"/>
    <w:rsid w:val="005D248E"/>
    <w:rsid w:val="005D3E1E"/>
    <w:rsid w:val="005D42D1"/>
    <w:rsid w:val="005D483C"/>
    <w:rsid w:val="005D6EEA"/>
    <w:rsid w:val="005E025A"/>
    <w:rsid w:val="005E0312"/>
    <w:rsid w:val="005E0855"/>
    <w:rsid w:val="005E1049"/>
    <w:rsid w:val="005E76DD"/>
    <w:rsid w:val="005F0EE4"/>
    <w:rsid w:val="005F129D"/>
    <w:rsid w:val="005F1487"/>
    <w:rsid w:val="005F1F72"/>
    <w:rsid w:val="005F3A04"/>
    <w:rsid w:val="005F4FF6"/>
    <w:rsid w:val="005F5AA5"/>
    <w:rsid w:val="005F75B8"/>
    <w:rsid w:val="006004BE"/>
    <w:rsid w:val="00601728"/>
    <w:rsid w:val="006026CA"/>
    <w:rsid w:val="006035A2"/>
    <w:rsid w:val="0060616D"/>
    <w:rsid w:val="006063FC"/>
    <w:rsid w:val="006069D7"/>
    <w:rsid w:val="00612F84"/>
    <w:rsid w:val="00617151"/>
    <w:rsid w:val="00623160"/>
    <w:rsid w:val="006253E3"/>
    <w:rsid w:val="00625AD5"/>
    <w:rsid w:val="00626DD2"/>
    <w:rsid w:val="00626EB5"/>
    <w:rsid w:val="00627A0F"/>
    <w:rsid w:val="006320DD"/>
    <w:rsid w:val="00632697"/>
    <w:rsid w:val="00633594"/>
    <w:rsid w:val="00640AAA"/>
    <w:rsid w:val="006428AC"/>
    <w:rsid w:val="006440CD"/>
    <w:rsid w:val="0065050B"/>
    <w:rsid w:val="0065171D"/>
    <w:rsid w:val="00651F7F"/>
    <w:rsid w:val="0065206A"/>
    <w:rsid w:val="00653D2C"/>
    <w:rsid w:val="00655A77"/>
    <w:rsid w:val="00655E86"/>
    <w:rsid w:val="00656046"/>
    <w:rsid w:val="00656886"/>
    <w:rsid w:val="00657ADD"/>
    <w:rsid w:val="00657E46"/>
    <w:rsid w:val="006637F5"/>
    <w:rsid w:val="00666EF4"/>
    <w:rsid w:val="00677282"/>
    <w:rsid w:val="006806BC"/>
    <w:rsid w:val="006821B3"/>
    <w:rsid w:val="00687679"/>
    <w:rsid w:val="0069082B"/>
    <w:rsid w:val="00691631"/>
    <w:rsid w:val="006922A8"/>
    <w:rsid w:val="00692CA2"/>
    <w:rsid w:val="00694098"/>
    <w:rsid w:val="00696F39"/>
    <w:rsid w:val="006A259E"/>
    <w:rsid w:val="006A2DB3"/>
    <w:rsid w:val="006A4CB3"/>
    <w:rsid w:val="006A6DE2"/>
    <w:rsid w:val="006A7DDF"/>
    <w:rsid w:val="006B018D"/>
    <w:rsid w:val="006B1821"/>
    <w:rsid w:val="006B1DB4"/>
    <w:rsid w:val="006B3B92"/>
    <w:rsid w:val="006B5BD5"/>
    <w:rsid w:val="006C23FA"/>
    <w:rsid w:val="006C410A"/>
    <w:rsid w:val="006C418D"/>
    <w:rsid w:val="006C5B29"/>
    <w:rsid w:val="006C6B08"/>
    <w:rsid w:val="006D23B7"/>
    <w:rsid w:val="006D28CA"/>
    <w:rsid w:val="006D31CE"/>
    <w:rsid w:val="006D3C13"/>
    <w:rsid w:val="006D430F"/>
    <w:rsid w:val="006E0112"/>
    <w:rsid w:val="006E4890"/>
    <w:rsid w:val="006E5405"/>
    <w:rsid w:val="006F0160"/>
    <w:rsid w:val="006F0E6A"/>
    <w:rsid w:val="006F0F44"/>
    <w:rsid w:val="006F24EB"/>
    <w:rsid w:val="006F3109"/>
    <w:rsid w:val="006F4E95"/>
    <w:rsid w:val="006F606C"/>
    <w:rsid w:val="006F6C82"/>
    <w:rsid w:val="006F79D1"/>
    <w:rsid w:val="0070094D"/>
    <w:rsid w:val="00700D35"/>
    <w:rsid w:val="00701A29"/>
    <w:rsid w:val="00705D2E"/>
    <w:rsid w:val="0070635E"/>
    <w:rsid w:val="00706605"/>
    <w:rsid w:val="0070708A"/>
    <w:rsid w:val="00710016"/>
    <w:rsid w:val="007122AA"/>
    <w:rsid w:val="00714C80"/>
    <w:rsid w:val="00714D9E"/>
    <w:rsid w:val="00715CB0"/>
    <w:rsid w:val="00720F05"/>
    <w:rsid w:val="0072397B"/>
    <w:rsid w:val="007270B8"/>
    <w:rsid w:val="00730339"/>
    <w:rsid w:val="0073276E"/>
    <w:rsid w:val="00732EF0"/>
    <w:rsid w:val="00733CF4"/>
    <w:rsid w:val="00736A14"/>
    <w:rsid w:val="0073763E"/>
    <w:rsid w:val="00740B28"/>
    <w:rsid w:val="00740C0C"/>
    <w:rsid w:val="00741DA6"/>
    <w:rsid w:val="0074465D"/>
    <w:rsid w:val="007455AD"/>
    <w:rsid w:val="00754880"/>
    <w:rsid w:val="0075491C"/>
    <w:rsid w:val="00755983"/>
    <w:rsid w:val="0075764B"/>
    <w:rsid w:val="0076122F"/>
    <w:rsid w:val="00762FC9"/>
    <w:rsid w:val="00764425"/>
    <w:rsid w:val="00764CAC"/>
    <w:rsid w:val="00765A3F"/>
    <w:rsid w:val="00767515"/>
    <w:rsid w:val="007706DB"/>
    <w:rsid w:val="007738DE"/>
    <w:rsid w:val="00774F36"/>
    <w:rsid w:val="00775C86"/>
    <w:rsid w:val="00777D7B"/>
    <w:rsid w:val="00781245"/>
    <w:rsid w:val="0078466A"/>
    <w:rsid w:val="0078570C"/>
    <w:rsid w:val="00787F63"/>
    <w:rsid w:val="00790459"/>
    <w:rsid w:val="00790817"/>
    <w:rsid w:val="00790F56"/>
    <w:rsid w:val="0079140A"/>
    <w:rsid w:val="0079367C"/>
    <w:rsid w:val="007938FE"/>
    <w:rsid w:val="00795228"/>
    <w:rsid w:val="00795677"/>
    <w:rsid w:val="007962D1"/>
    <w:rsid w:val="007A0870"/>
    <w:rsid w:val="007A646F"/>
    <w:rsid w:val="007A681A"/>
    <w:rsid w:val="007B0086"/>
    <w:rsid w:val="007B08B7"/>
    <w:rsid w:val="007B0A67"/>
    <w:rsid w:val="007B48AA"/>
    <w:rsid w:val="007B64EC"/>
    <w:rsid w:val="007B7946"/>
    <w:rsid w:val="007C002C"/>
    <w:rsid w:val="007C3198"/>
    <w:rsid w:val="007C3674"/>
    <w:rsid w:val="007C4BE1"/>
    <w:rsid w:val="007C4F34"/>
    <w:rsid w:val="007C5502"/>
    <w:rsid w:val="007C5D0F"/>
    <w:rsid w:val="007C689E"/>
    <w:rsid w:val="007C71EC"/>
    <w:rsid w:val="007D2CB8"/>
    <w:rsid w:val="007D7F7B"/>
    <w:rsid w:val="007E2393"/>
    <w:rsid w:val="007E3C27"/>
    <w:rsid w:val="007E45F8"/>
    <w:rsid w:val="007E7004"/>
    <w:rsid w:val="007F09C3"/>
    <w:rsid w:val="007F0F7F"/>
    <w:rsid w:val="007F1108"/>
    <w:rsid w:val="007F1F35"/>
    <w:rsid w:val="007F344E"/>
    <w:rsid w:val="007F42DD"/>
    <w:rsid w:val="007F4BD3"/>
    <w:rsid w:val="007F4DF9"/>
    <w:rsid w:val="0080143E"/>
    <w:rsid w:val="0080420E"/>
    <w:rsid w:val="00804C90"/>
    <w:rsid w:val="00805A41"/>
    <w:rsid w:val="00806E58"/>
    <w:rsid w:val="0080706C"/>
    <w:rsid w:val="00815721"/>
    <w:rsid w:val="00817273"/>
    <w:rsid w:val="00820BB6"/>
    <w:rsid w:val="00821714"/>
    <w:rsid w:val="0082194E"/>
    <w:rsid w:val="0082365C"/>
    <w:rsid w:val="00823F9D"/>
    <w:rsid w:val="00824707"/>
    <w:rsid w:val="00824D9A"/>
    <w:rsid w:val="00826E5C"/>
    <w:rsid w:val="008275C1"/>
    <w:rsid w:val="00827BFC"/>
    <w:rsid w:val="0083020F"/>
    <w:rsid w:val="00833183"/>
    <w:rsid w:val="008331A5"/>
    <w:rsid w:val="00836861"/>
    <w:rsid w:val="00843ADE"/>
    <w:rsid w:val="00844A59"/>
    <w:rsid w:val="00845922"/>
    <w:rsid w:val="0085240E"/>
    <w:rsid w:val="008527FB"/>
    <w:rsid w:val="00860191"/>
    <w:rsid w:val="00861AA8"/>
    <w:rsid w:val="00861FB1"/>
    <w:rsid w:val="00866A71"/>
    <w:rsid w:val="008728BB"/>
    <w:rsid w:val="00873B43"/>
    <w:rsid w:val="00875CCC"/>
    <w:rsid w:val="00877226"/>
    <w:rsid w:val="0088274A"/>
    <w:rsid w:val="008827E9"/>
    <w:rsid w:val="00883829"/>
    <w:rsid w:val="00884175"/>
    <w:rsid w:val="008864EF"/>
    <w:rsid w:val="00887A4C"/>
    <w:rsid w:val="008946FA"/>
    <w:rsid w:val="00894BA5"/>
    <w:rsid w:val="00894F39"/>
    <w:rsid w:val="00894F85"/>
    <w:rsid w:val="008952EB"/>
    <w:rsid w:val="0089782B"/>
    <w:rsid w:val="008A0D3E"/>
    <w:rsid w:val="008A10E1"/>
    <w:rsid w:val="008A164F"/>
    <w:rsid w:val="008A1E4C"/>
    <w:rsid w:val="008A2B2A"/>
    <w:rsid w:val="008A3F4E"/>
    <w:rsid w:val="008A55EC"/>
    <w:rsid w:val="008A5F3B"/>
    <w:rsid w:val="008A676C"/>
    <w:rsid w:val="008A7449"/>
    <w:rsid w:val="008B1928"/>
    <w:rsid w:val="008B1A4A"/>
    <w:rsid w:val="008B20B0"/>
    <w:rsid w:val="008B29F6"/>
    <w:rsid w:val="008B2F46"/>
    <w:rsid w:val="008B5C95"/>
    <w:rsid w:val="008C1510"/>
    <w:rsid w:val="008C28EC"/>
    <w:rsid w:val="008C3388"/>
    <w:rsid w:val="008C53E3"/>
    <w:rsid w:val="008C58BD"/>
    <w:rsid w:val="008D0233"/>
    <w:rsid w:val="008D0C10"/>
    <w:rsid w:val="008D1982"/>
    <w:rsid w:val="008D3416"/>
    <w:rsid w:val="008D37DF"/>
    <w:rsid w:val="008D6227"/>
    <w:rsid w:val="008D663E"/>
    <w:rsid w:val="008D6804"/>
    <w:rsid w:val="008D7438"/>
    <w:rsid w:val="008E288F"/>
    <w:rsid w:val="008E2A6B"/>
    <w:rsid w:val="008E3969"/>
    <w:rsid w:val="008E3C5A"/>
    <w:rsid w:val="008E4421"/>
    <w:rsid w:val="008E5F66"/>
    <w:rsid w:val="008E62B7"/>
    <w:rsid w:val="008E6D03"/>
    <w:rsid w:val="008E7242"/>
    <w:rsid w:val="008F290F"/>
    <w:rsid w:val="008F3FBE"/>
    <w:rsid w:val="008F4C0B"/>
    <w:rsid w:val="008F4F4A"/>
    <w:rsid w:val="008F5688"/>
    <w:rsid w:val="009009A0"/>
    <w:rsid w:val="00901613"/>
    <w:rsid w:val="00905336"/>
    <w:rsid w:val="00906EE6"/>
    <w:rsid w:val="009110DC"/>
    <w:rsid w:val="009128D2"/>
    <w:rsid w:val="00912CA1"/>
    <w:rsid w:val="00913689"/>
    <w:rsid w:val="009145DC"/>
    <w:rsid w:val="0091498F"/>
    <w:rsid w:val="00914AE1"/>
    <w:rsid w:val="00914FE9"/>
    <w:rsid w:val="00916FF3"/>
    <w:rsid w:val="009206D8"/>
    <w:rsid w:val="00921828"/>
    <w:rsid w:val="00922EE1"/>
    <w:rsid w:val="009247DA"/>
    <w:rsid w:val="00926552"/>
    <w:rsid w:val="009316CC"/>
    <w:rsid w:val="00932BF5"/>
    <w:rsid w:val="0093336F"/>
    <w:rsid w:val="00934BB0"/>
    <w:rsid w:val="0093505E"/>
    <w:rsid w:val="0093552D"/>
    <w:rsid w:val="009409C1"/>
    <w:rsid w:val="009421B7"/>
    <w:rsid w:val="00944C38"/>
    <w:rsid w:val="00945C70"/>
    <w:rsid w:val="00946731"/>
    <w:rsid w:val="00946F5E"/>
    <w:rsid w:val="009470BF"/>
    <w:rsid w:val="00950A68"/>
    <w:rsid w:val="00950CE5"/>
    <w:rsid w:val="00952ACC"/>
    <w:rsid w:val="00952BFC"/>
    <w:rsid w:val="00956F54"/>
    <w:rsid w:val="0096047B"/>
    <w:rsid w:val="00963072"/>
    <w:rsid w:val="0097043D"/>
    <w:rsid w:val="00970EA2"/>
    <w:rsid w:val="00970EFD"/>
    <w:rsid w:val="009719C0"/>
    <w:rsid w:val="0097512B"/>
    <w:rsid w:val="00975CF1"/>
    <w:rsid w:val="00977AC7"/>
    <w:rsid w:val="0098410E"/>
    <w:rsid w:val="00987471"/>
    <w:rsid w:val="009909C2"/>
    <w:rsid w:val="009A3813"/>
    <w:rsid w:val="009A6478"/>
    <w:rsid w:val="009B0345"/>
    <w:rsid w:val="009B1BF9"/>
    <w:rsid w:val="009B285A"/>
    <w:rsid w:val="009B4435"/>
    <w:rsid w:val="009B5675"/>
    <w:rsid w:val="009C6FBE"/>
    <w:rsid w:val="009C70A2"/>
    <w:rsid w:val="009D19BF"/>
    <w:rsid w:val="009D2A8E"/>
    <w:rsid w:val="009D3A9B"/>
    <w:rsid w:val="009D3BE7"/>
    <w:rsid w:val="009D5C56"/>
    <w:rsid w:val="009D7798"/>
    <w:rsid w:val="009E0BBE"/>
    <w:rsid w:val="009E4E2C"/>
    <w:rsid w:val="009F039A"/>
    <w:rsid w:val="009F258E"/>
    <w:rsid w:val="009F35AC"/>
    <w:rsid w:val="009F438A"/>
    <w:rsid w:val="009F5285"/>
    <w:rsid w:val="009F53E8"/>
    <w:rsid w:val="009F5E36"/>
    <w:rsid w:val="009F6AC1"/>
    <w:rsid w:val="009F740B"/>
    <w:rsid w:val="009F7732"/>
    <w:rsid w:val="009F7F9A"/>
    <w:rsid w:val="00A0079C"/>
    <w:rsid w:val="00A02000"/>
    <w:rsid w:val="00A056B2"/>
    <w:rsid w:val="00A06B90"/>
    <w:rsid w:val="00A07967"/>
    <w:rsid w:val="00A10143"/>
    <w:rsid w:val="00A10406"/>
    <w:rsid w:val="00A10762"/>
    <w:rsid w:val="00A113BB"/>
    <w:rsid w:val="00A116CC"/>
    <w:rsid w:val="00A1224D"/>
    <w:rsid w:val="00A14FE2"/>
    <w:rsid w:val="00A14FE5"/>
    <w:rsid w:val="00A16DD9"/>
    <w:rsid w:val="00A20650"/>
    <w:rsid w:val="00A220E9"/>
    <w:rsid w:val="00A236C7"/>
    <w:rsid w:val="00A244FD"/>
    <w:rsid w:val="00A24B79"/>
    <w:rsid w:val="00A262FF"/>
    <w:rsid w:val="00A2675C"/>
    <w:rsid w:val="00A26F88"/>
    <w:rsid w:val="00A302BC"/>
    <w:rsid w:val="00A30478"/>
    <w:rsid w:val="00A3250C"/>
    <w:rsid w:val="00A33A99"/>
    <w:rsid w:val="00A35D27"/>
    <w:rsid w:val="00A369BC"/>
    <w:rsid w:val="00A36FD2"/>
    <w:rsid w:val="00A42A6E"/>
    <w:rsid w:val="00A45176"/>
    <w:rsid w:val="00A460B4"/>
    <w:rsid w:val="00A478BD"/>
    <w:rsid w:val="00A51173"/>
    <w:rsid w:val="00A5237C"/>
    <w:rsid w:val="00A547F4"/>
    <w:rsid w:val="00A55D0F"/>
    <w:rsid w:val="00A579A8"/>
    <w:rsid w:val="00A60798"/>
    <w:rsid w:val="00A620C9"/>
    <w:rsid w:val="00A63F16"/>
    <w:rsid w:val="00A65843"/>
    <w:rsid w:val="00A65A69"/>
    <w:rsid w:val="00A660C0"/>
    <w:rsid w:val="00A67C3F"/>
    <w:rsid w:val="00A67DEB"/>
    <w:rsid w:val="00A70245"/>
    <w:rsid w:val="00A74676"/>
    <w:rsid w:val="00A7665F"/>
    <w:rsid w:val="00A771C4"/>
    <w:rsid w:val="00A77CA4"/>
    <w:rsid w:val="00A80121"/>
    <w:rsid w:val="00A81484"/>
    <w:rsid w:val="00A823ED"/>
    <w:rsid w:val="00A827F1"/>
    <w:rsid w:val="00A82867"/>
    <w:rsid w:val="00A832C3"/>
    <w:rsid w:val="00A8406E"/>
    <w:rsid w:val="00A84EE6"/>
    <w:rsid w:val="00A85B94"/>
    <w:rsid w:val="00A8639B"/>
    <w:rsid w:val="00A8727E"/>
    <w:rsid w:val="00A87A6F"/>
    <w:rsid w:val="00A87DAB"/>
    <w:rsid w:val="00A91EFE"/>
    <w:rsid w:val="00A924F6"/>
    <w:rsid w:val="00A9760C"/>
    <w:rsid w:val="00AA0169"/>
    <w:rsid w:val="00AA1B4F"/>
    <w:rsid w:val="00AA1ED0"/>
    <w:rsid w:val="00AA4BEB"/>
    <w:rsid w:val="00AA5745"/>
    <w:rsid w:val="00AA75D0"/>
    <w:rsid w:val="00AB018E"/>
    <w:rsid w:val="00AB0E24"/>
    <w:rsid w:val="00AB19D6"/>
    <w:rsid w:val="00AB4D09"/>
    <w:rsid w:val="00AB5B8A"/>
    <w:rsid w:val="00AB70C2"/>
    <w:rsid w:val="00AB753F"/>
    <w:rsid w:val="00AC211F"/>
    <w:rsid w:val="00AC2A8A"/>
    <w:rsid w:val="00AC3CF7"/>
    <w:rsid w:val="00AD0CD6"/>
    <w:rsid w:val="00AD115B"/>
    <w:rsid w:val="00AD2177"/>
    <w:rsid w:val="00AD3A6D"/>
    <w:rsid w:val="00AD4F74"/>
    <w:rsid w:val="00AD5506"/>
    <w:rsid w:val="00AE3153"/>
    <w:rsid w:val="00AE31AF"/>
    <w:rsid w:val="00AE3F64"/>
    <w:rsid w:val="00AE778C"/>
    <w:rsid w:val="00AE7E99"/>
    <w:rsid w:val="00AF1B18"/>
    <w:rsid w:val="00AF5ED6"/>
    <w:rsid w:val="00B00C48"/>
    <w:rsid w:val="00B0497D"/>
    <w:rsid w:val="00B05A9F"/>
    <w:rsid w:val="00B062BD"/>
    <w:rsid w:val="00B07E81"/>
    <w:rsid w:val="00B10805"/>
    <w:rsid w:val="00B15681"/>
    <w:rsid w:val="00B16ADF"/>
    <w:rsid w:val="00B24608"/>
    <w:rsid w:val="00B24F69"/>
    <w:rsid w:val="00B2563D"/>
    <w:rsid w:val="00B256E4"/>
    <w:rsid w:val="00B25C14"/>
    <w:rsid w:val="00B26FAC"/>
    <w:rsid w:val="00B27A71"/>
    <w:rsid w:val="00B31D56"/>
    <w:rsid w:val="00B3271E"/>
    <w:rsid w:val="00B3459A"/>
    <w:rsid w:val="00B3553E"/>
    <w:rsid w:val="00B43660"/>
    <w:rsid w:val="00B43AE0"/>
    <w:rsid w:val="00B445B9"/>
    <w:rsid w:val="00B44B02"/>
    <w:rsid w:val="00B471FC"/>
    <w:rsid w:val="00B47396"/>
    <w:rsid w:val="00B523EE"/>
    <w:rsid w:val="00B531DF"/>
    <w:rsid w:val="00B538A5"/>
    <w:rsid w:val="00B60C8D"/>
    <w:rsid w:val="00B61578"/>
    <w:rsid w:val="00B626BC"/>
    <w:rsid w:val="00B62A3F"/>
    <w:rsid w:val="00B64DD6"/>
    <w:rsid w:val="00B71FD6"/>
    <w:rsid w:val="00B72505"/>
    <w:rsid w:val="00B7257C"/>
    <w:rsid w:val="00B728AE"/>
    <w:rsid w:val="00B73DEA"/>
    <w:rsid w:val="00B75146"/>
    <w:rsid w:val="00B758B0"/>
    <w:rsid w:val="00B76A49"/>
    <w:rsid w:val="00B77598"/>
    <w:rsid w:val="00B77722"/>
    <w:rsid w:val="00B77FB4"/>
    <w:rsid w:val="00B80685"/>
    <w:rsid w:val="00B839B9"/>
    <w:rsid w:val="00B83D0F"/>
    <w:rsid w:val="00B84178"/>
    <w:rsid w:val="00B84190"/>
    <w:rsid w:val="00B938E7"/>
    <w:rsid w:val="00B93B17"/>
    <w:rsid w:val="00B965E0"/>
    <w:rsid w:val="00B96E1C"/>
    <w:rsid w:val="00B96E95"/>
    <w:rsid w:val="00B96FF0"/>
    <w:rsid w:val="00B97E96"/>
    <w:rsid w:val="00BA092E"/>
    <w:rsid w:val="00BA1112"/>
    <w:rsid w:val="00BA20F9"/>
    <w:rsid w:val="00BA4677"/>
    <w:rsid w:val="00BA4A15"/>
    <w:rsid w:val="00BA4C0B"/>
    <w:rsid w:val="00BA6B71"/>
    <w:rsid w:val="00BB568B"/>
    <w:rsid w:val="00BB6780"/>
    <w:rsid w:val="00BC0911"/>
    <w:rsid w:val="00BC11BA"/>
    <w:rsid w:val="00BC513D"/>
    <w:rsid w:val="00BC5757"/>
    <w:rsid w:val="00BC7012"/>
    <w:rsid w:val="00BC75D8"/>
    <w:rsid w:val="00BC7A25"/>
    <w:rsid w:val="00BD0118"/>
    <w:rsid w:val="00BD12B5"/>
    <w:rsid w:val="00BD2269"/>
    <w:rsid w:val="00BD45FD"/>
    <w:rsid w:val="00BD53E3"/>
    <w:rsid w:val="00BD549F"/>
    <w:rsid w:val="00BD6E16"/>
    <w:rsid w:val="00BE244D"/>
    <w:rsid w:val="00BE3123"/>
    <w:rsid w:val="00BE3866"/>
    <w:rsid w:val="00BE47FA"/>
    <w:rsid w:val="00BE5ABD"/>
    <w:rsid w:val="00BE648D"/>
    <w:rsid w:val="00BF3441"/>
    <w:rsid w:val="00BF4A64"/>
    <w:rsid w:val="00C02361"/>
    <w:rsid w:val="00C027C7"/>
    <w:rsid w:val="00C05BAA"/>
    <w:rsid w:val="00C06A42"/>
    <w:rsid w:val="00C1232C"/>
    <w:rsid w:val="00C12F30"/>
    <w:rsid w:val="00C1382C"/>
    <w:rsid w:val="00C1408F"/>
    <w:rsid w:val="00C14591"/>
    <w:rsid w:val="00C15F8D"/>
    <w:rsid w:val="00C1610B"/>
    <w:rsid w:val="00C20104"/>
    <w:rsid w:val="00C23AFD"/>
    <w:rsid w:val="00C23B0D"/>
    <w:rsid w:val="00C24942"/>
    <w:rsid w:val="00C2520E"/>
    <w:rsid w:val="00C25865"/>
    <w:rsid w:val="00C27792"/>
    <w:rsid w:val="00C36192"/>
    <w:rsid w:val="00C3683A"/>
    <w:rsid w:val="00C36963"/>
    <w:rsid w:val="00C41CBB"/>
    <w:rsid w:val="00C42CB2"/>
    <w:rsid w:val="00C433A0"/>
    <w:rsid w:val="00C43B22"/>
    <w:rsid w:val="00C43EB7"/>
    <w:rsid w:val="00C45884"/>
    <w:rsid w:val="00C4596E"/>
    <w:rsid w:val="00C464FE"/>
    <w:rsid w:val="00C465D9"/>
    <w:rsid w:val="00C47B29"/>
    <w:rsid w:val="00C53522"/>
    <w:rsid w:val="00C55996"/>
    <w:rsid w:val="00C57B70"/>
    <w:rsid w:val="00C61E43"/>
    <w:rsid w:val="00C6349E"/>
    <w:rsid w:val="00C65C78"/>
    <w:rsid w:val="00C6603D"/>
    <w:rsid w:val="00C72BA3"/>
    <w:rsid w:val="00C74637"/>
    <w:rsid w:val="00C747A9"/>
    <w:rsid w:val="00C76BB4"/>
    <w:rsid w:val="00C7758E"/>
    <w:rsid w:val="00C77FCB"/>
    <w:rsid w:val="00C815A9"/>
    <w:rsid w:val="00C81B49"/>
    <w:rsid w:val="00C8221B"/>
    <w:rsid w:val="00C84860"/>
    <w:rsid w:val="00C92D01"/>
    <w:rsid w:val="00C96AB3"/>
    <w:rsid w:val="00CA7DAF"/>
    <w:rsid w:val="00CB0F79"/>
    <w:rsid w:val="00CB17E2"/>
    <w:rsid w:val="00CB2F69"/>
    <w:rsid w:val="00CB48C1"/>
    <w:rsid w:val="00CB49E6"/>
    <w:rsid w:val="00CB5735"/>
    <w:rsid w:val="00CD303F"/>
    <w:rsid w:val="00CD43E9"/>
    <w:rsid w:val="00CD4B4D"/>
    <w:rsid w:val="00CD6617"/>
    <w:rsid w:val="00CD7D37"/>
    <w:rsid w:val="00CE168E"/>
    <w:rsid w:val="00CE2FCE"/>
    <w:rsid w:val="00CE4A21"/>
    <w:rsid w:val="00CE5EE5"/>
    <w:rsid w:val="00CE6FB6"/>
    <w:rsid w:val="00CE7A27"/>
    <w:rsid w:val="00CF0F53"/>
    <w:rsid w:val="00CF2A24"/>
    <w:rsid w:val="00CF2B3D"/>
    <w:rsid w:val="00CF52BB"/>
    <w:rsid w:val="00CF5F4E"/>
    <w:rsid w:val="00D00BB5"/>
    <w:rsid w:val="00D029CB"/>
    <w:rsid w:val="00D03AA9"/>
    <w:rsid w:val="00D040A4"/>
    <w:rsid w:val="00D065F6"/>
    <w:rsid w:val="00D07857"/>
    <w:rsid w:val="00D07DD0"/>
    <w:rsid w:val="00D120F7"/>
    <w:rsid w:val="00D12EFA"/>
    <w:rsid w:val="00D14ECF"/>
    <w:rsid w:val="00D217F5"/>
    <w:rsid w:val="00D2236D"/>
    <w:rsid w:val="00D22C20"/>
    <w:rsid w:val="00D22DB0"/>
    <w:rsid w:val="00D23FDB"/>
    <w:rsid w:val="00D24A7D"/>
    <w:rsid w:val="00D24AC9"/>
    <w:rsid w:val="00D25B52"/>
    <w:rsid w:val="00D2706C"/>
    <w:rsid w:val="00D300E2"/>
    <w:rsid w:val="00D30373"/>
    <w:rsid w:val="00D3042F"/>
    <w:rsid w:val="00D313AE"/>
    <w:rsid w:val="00D31CD5"/>
    <w:rsid w:val="00D32CDA"/>
    <w:rsid w:val="00D33546"/>
    <w:rsid w:val="00D34640"/>
    <w:rsid w:val="00D34822"/>
    <w:rsid w:val="00D40AF9"/>
    <w:rsid w:val="00D418F6"/>
    <w:rsid w:val="00D42772"/>
    <w:rsid w:val="00D4502C"/>
    <w:rsid w:val="00D46043"/>
    <w:rsid w:val="00D465E1"/>
    <w:rsid w:val="00D517D9"/>
    <w:rsid w:val="00D51C37"/>
    <w:rsid w:val="00D51E21"/>
    <w:rsid w:val="00D548FD"/>
    <w:rsid w:val="00D54A11"/>
    <w:rsid w:val="00D563FB"/>
    <w:rsid w:val="00D56576"/>
    <w:rsid w:val="00D57BFA"/>
    <w:rsid w:val="00D617C6"/>
    <w:rsid w:val="00D6232D"/>
    <w:rsid w:val="00D628B5"/>
    <w:rsid w:val="00D66CD8"/>
    <w:rsid w:val="00D71E91"/>
    <w:rsid w:val="00D74850"/>
    <w:rsid w:val="00D749D3"/>
    <w:rsid w:val="00D77296"/>
    <w:rsid w:val="00D774F7"/>
    <w:rsid w:val="00D8296B"/>
    <w:rsid w:val="00D873E5"/>
    <w:rsid w:val="00D9098E"/>
    <w:rsid w:val="00D910D9"/>
    <w:rsid w:val="00D94520"/>
    <w:rsid w:val="00D945ED"/>
    <w:rsid w:val="00D94808"/>
    <w:rsid w:val="00D95A95"/>
    <w:rsid w:val="00D97248"/>
    <w:rsid w:val="00DA0060"/>
    <w:rsid w:val="00DA3EB0"/>
    <w:rsid w:val="00DA3FC3"/>
    <w:rsid w:val="00DA4D11"/>
    <w:rsid w:val="00DA537E"/>
    <w:rsid w:val="00DA62E4"/>
    <w:rsid w:val="00DB3701"/>
    <w:rsid w:val="00DC16E5"/>
    <w:rsid w:val="00DC198E"/>
    <w:rsid w:val="00DC21FF"/>
    <w:rsid w:val="00DC5F55"/>
    <w:rsid w:val="00DC6649"/>
    <w:rsid w:val="00DC6CBF"/>
    <w:rsid w:val="00DC7B42"/>
    <w:rsid w:val="00DD06C2"/>
    <w:rsid w:val="00DD2A6F"/>
    <w:rsid w:val="00DD47FA"/>
    <w:rsid w:val="00DD49F4"/>
    <w:rsid w:val="00DD5157"/>
    <w:rsid w:val="00DE5B0E"/>
    <w:rsid w:val="00DE763C"/>
    <w:rsid w:val="00DE7703"/>
    <w:rsid w:val="00DF0BCC"/>
    <w:rsid w:val="00DF0DEC"/>
    <w:rsid w:val="00DF1163"/>
    <w:rsid w:val="00DF1498"/>
    <w:rsid w:val="00DF5A60"/>
    <w:rsid w:val="00DF7271"/>
    <w:rsid w:val="00E073F7"/>
    <w:rsid w:val="00E10453"/>
    <w:rsid w:val="00E10CE8"/>
    <w:rsid w:val="00E14758"/>
    <w:rsid w:val="00E15C89"/>
    <w:rsid w:val="00E17A0E"/>
    <w:rsid w:val="00E17FBC"/>
    <w:rsid w:val="00E20E3E"/>
    <w:rsid w:val="00E21143"/>
    <w:rsid w:val="00E21DF5"/>
    <w:rsid w:val="00E22E53"/>
    <w:rsid w:val="00E23738"/>
    <w:rsid w:val="00E267D7"/>
    <w:rsid w:val="00E31EFA"/>
    <w:rsid w:val="00E31F47"/>
    <w:rsid w:val="00E36433"/>
    <w:rsid w:val="00E3672B"/>
    <w:rsid w:val="00E369E8"/>
    <w:rsid w:val="00E407F4"/>
    <w:rsid w:val="00E4204E"/>
    <w:rsid w:val="00E455C5"/>
    <w:rsid w:val="00E457F7"/>
    <w:rsid w:val="00E4607F"/>
    <w:rsid w:val="00E517E1"/>
    <w:rsid w:val="00E52A70"/>
    <w:rsid w:val="00E5322A"/>
    <w:rsid w:val="00E54123"/>
    <w:rsid w:val="00E54F4A"/>
    <w:rsid w:val="00E57CC6"/>
    <w:rsid w:val="00E6062B"/>
    <w:rsid w:val="00E6377E"/>
    <w:rsid w:val="00E65C8A"/>
    <w:rsid w:val="00E701BA"/>
    <w:rsid w:val="00E71055"/>
    <w:rsid w:val="00E71734"/>
    <w:rsid w:val="00E72DDB"/>
    <w:rsid w:val="00E73A43"/>
    <w:rsid w:val="00E753B2"/>
    <w:rsid w:val="00E761C4"/>
    <w:rsid w:val="00E76ABA"/>
    <w:rsid w:val="00E77B85"/>
    <w:rsid w:val="00E87B51"/>
    <w:rsid w:val="00E91667"/>
    <w:rsid w:val="00EA14FC"/>
    <w:rsid w:val="00EA22D4"/>
    <w:rsid w:val="00EA2654"/>
    <w:rsid w:val="00EA2683"/>
    <w:rsid w:val="00EA466B"/>
    <w:rsid w:val="00EA50FC"/>
    <w:rsid w:val="00EA65D9"/>
    <w:rsid w:val="00EA781B"/>
    <w:rsid w:val="00EB2916"/>
    <w:rsid w:val="00EB295A"/>
    <w:rsid w:val="00EB3B11"/>
    <w:rsid w:val="00EB5ACA"/>
    <w:rsid w:val="00EB6611"/>
    <w:rsid w:val="00EC2828"/>
    <w:rsid w:val="00EC2DB5"/>
    <w:rsid w:val="00EC6BE7"/>
    <w:rsid w:val="00ED0978"/>
    <w:rsid w:val="00ED2A0A"/>
    <w:rsid w:val="00ED51B3"/>
    <w:rsid w:val="00ED703C"/>
    <w:rsid w:val="00EE052D"/>
    <w:rsid w:val="00EE0830"/>
    <w:rsid w:val="00EE1031"/>
    <w:rsid w:val="00EE1BCE"/>
    <w:rsid w:val="00EE4A4C"/>
    <w:rsid w:val="00EE6BEE"/>
    <w:rsid w:val="00EF1340"/>
    <w:rsid w:val="00EF1F32"/>
    <w:rsid w:val="00EF40BC"/>
    <w:rsid w:val="00EF475C"/>
    <w:rsid w:val="00EF6116"/>
    <w:rsid w:val="00F00D3D"/>
    <w:rsid w:val="00F10378"/>
    <w:rsid w:val="00F11659"/>
    <w:rsid w:val="00F144B8"/>
    <w:rsid w:val="00F1520C"/>
    <w:rsid w:val="00F15E51"/>
    <w:rsid w:val="00F22987"/>
    <w:rsid w:val="00F22EDE"/>
    <w:rsid w:val="00F237EB"/>
    <w:rsid w:val="00F244A1"/>
    <w:rsid w:val="00F25013"/>
    <w:rsid w:val="00F31FCE"/>
    <w:rsid w:val="00F343B2"/>
    <w:rsid w:val="00F34828"/>
    <w:rsid w:val="00F34F44"/>
    <w:rsid w:val="00F35B8F"/>
    <w:rsid w:val="00F35CC4"/>
    <w:rsid w:val="00F36060"/>
    <w:rsid w:val="00F37807"/>
    <w:rsid w:val="00F40B60"/>
    <w:rsid w:val="00F41420"/>
    <w:rsid w:val="00F445C5"/>
    <w:rsid w:val="00F44CF2"/>
    <w:rsid w:val="00F50EAD"/>
    <w:rsid w:val="00F51DF7"/>
    <w:rsid w:val="00F5466C"/>
    <w:rsid w:val="00F555BC"/>
    <w:rsid w:val="00F56768"/>
    <w:rsid w:val="00F63140"/>
    <w:rsid w:val="00F706FB"/>
    <w:rsid w:val="00F70B65"/>
    <w:rsid w:val="00F70B8B"/>
    <w:rsid w:val="00F73931"/>
    <w:rsid w:val="00F742E7"/>
    <w:rsid w:val="00F749AB"/>
    <w:rsid w:val="00F81205"/>
    <w:rsid w:val="00F828BF"/>
    <w:rsid w:val="00F82C60"/>
    <w:rsid w:val="00F83B0B"/>
    <w:rsid w:val="00F867D5"/>
    <w:rsid w:val="00F90375"/>
    <w:rsid w:val="00F9140E"/>
    <w:rsid w:val="00F92CE4"/>
    <w:rsid w:val="00F93638"/>
    <w:rsid w:val="00F94B03"/>
    <w:rsid w:val="00F96B0E"/>
    <w:rsid w:val="00FA2533"/>
    <w:rsid w:val="00FA3025"/>
    <w:rsid w:val="00FA347A"/>
    <w:rsid w:val="00FA44C3"/>
    <w:rsid w:val="00FA48F5"/>
    <w:rsid w:val="00FA4CB2"/>
    <w:rsid w:val="00FA60B3"/>
    <w:rsid w:val="00FA626B"/>
    <w:rsid w:val="00FB053A"/>
    <w:rsid w:val="00FB11DB"/>
    <w:rsid w:val="00FB1F92"/>
    <w:rsid w:val="00FB222C"/>
    <w:rsid w:val="00FB2A38"/>
    <w:rsid w:val="00FC0514"/>
    <w:rsid w:val="00FC14C2"/>
    <w:rsid w:val="00FC56D1"/>
    <w:rsid w:val="00FC75AE"/>
    <w:rsid w:val="00FD06EC"/>
    <w:rsid w:val="00FD12C3"/>
    <w:rsid w:val="00FD2575"/>
    <w:rsid w:val="00FD46CE"/>
    <w:rsid w:val="00FD4812"/>
    <w:rsid w:val="00FD5CE2"/>
    <w:rsid w:val="00FD7976"/>
    <w:rsid w:val="00FE3E09"/>
    <w:rsid w:val="00FE63C3"/>
    <w:rsid w:val="00FE63FF"/>
    <w:rsid w:val="00FF00E0"/>
    <w:rsid w:val="00FF06EF"/>
    <w:rsid w:val="00FF143D"/>
    <w:rsid w:val="00FF1CAB"/>
    <w:rsid w:val="00FF28C9"/>
    <w:rsid w:val="00FF47BA"/>
    <w:rsid w:val="00FF5D56"/>
    <w:rsid w:val="00FF631D"/>
    <w:rsid w:val="00FF7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A322871-4D8E-4261-9ECE-3245A9E0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11659"/>
    <w:pPr>
      <w:spacing w:after="0" w:line="240" w:lineRule="auto"/>
    </w:pPr>
    <w:rPr>
      <w:sz w:val="20"/>
      <w:szCs w:val="20"/>
    </w:rPr>
  </w:style>
  <w:style w:type="character" w:customStyle="1" w:styleId="FootnoteTextChar">
    <w:name w:val="Footnote Text Char"/>
    <w:basedOn w:val="DefaultParagraphFont"/>
    <w:link w:val="FootnoteText"/>
    <w:rsid w:val="00F11659"/>
    <w:rPr>
      <w:sz w:val="20"/>
      <w:szCs w:val="20"/>
    </w:rPr>
  </w:style>
  <w:style w:type="character" w:styleId="FootnoteReference">
    <w:name w:val="footnote reference"/>
    <w:basedOn w:val="DefaultParagraphFont"/>
    <w:unhideWhenUsed/>
    <w:rsid w:val="00F11659"/>
    <w:rPr>
      <w:vertAlign w:val="superscript"/>
    </w:rPr>
  </w:style>
  <w:style w:type="paragraph" w:styleId="Header">
    <w:name w:val="header"/>
    <w:basedOn w:val="Normal"/>
    <w:link w:val="HeaderChar"/>
    <w:unhideWhenUsed/>
    <w:rsid w:val="00791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40A"/>
  </w:style>
  <w:style w:type="paragraph" w:styleId="Footer">
    <w:name w:val="footer"/>
    <w:basedOn w:val="Normal"/>
    <w:link w:val="FooterChar"/>
    <w:uiPriority w:val="99"/>
    <w:unhideWhenUsed/>
    <w:rsid w:val="00791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40A"/>
  </w:style>
  <w:style w:type="paragraph" w:styleId="EndnoteText">
    <w:name w:val="endnote text"/>
    <w:basedOn w:val="Normal"/>
    <w:link w:val="EndnoteTextChar"/>
    <w:uiPriority w:val="99"/>
    <w:semiHidden/>
    <w:unhideWhenUsed/>
    <w:rsid w:val="00477007"/>
    <w:pPr>
      <w:spacing w:after="0" w:line="240" w:lineRule="auto"/>
      <w:ind w:left="567"/>
    </w:pPr>
    <w:rPr>
      <w:sz w:val="20"/>
      <w:szCs w:val="20"/>
    </w:rPr>
  </w:style>
  <w:style w:type="character" w:customStyle="1" w:styleId="EndnoteTextChar">
    <w:name w:val="Endnote Text Char"/>
    <w:basedOn w:val="DefaultParagraphFont"/>
    <w:link w:val="EndnoteText"/>
    <w:uiPriority w:val="99"/>
    <w:semiHidden/>
    <w:rsid w:val="00477007"/>
    <w:rPr>
      <w:sz w:val="20"/>
      <w:szCs w:val="20"/>
    </w:rPr>
  </w:style>
  <w:style w:type="character" w:styleId="EndnoteReference">
    <w:name w:val="endnote reference"/>
    <w:basedOn w:val="DefaultParagraphFont"/>
    <w:uiPriority w:val="99"/>
    <w:semiHidden/>
    <w:unhideWhenUsed/>
    <w:rsid w:val="00477007"/>
    <w:rPr>
      <w:vertAlign w:val="superscript"/>
    </w:rPr>
  </w:style>
  <w:style w:type="character" w:styleId="CommentReference">
    <w:name w:val="annotation reference"/>
    <w:basedOn w:val="DefaultParagraphFont"/>
    <w:uiPriority w:val="99"/>
    <w:semiHidden/>
    <w:unhideWhenUsed/>
    <w:rsid w:val="003C22F3"/>
    <w:rPr>
      <w:sz w:val="16"/>
      <w:szCs w:val="16"/>
    </w:rPr>
  </w:style>
  <w:style w:type="paragraph" w:styleId="CommentText">
    <w:name w:val="annotation text"/>
    <w:basedOn w:val="Normal"/>
    <w:link w:val="CommentTextChar"/>
    <w:uiPriority w:val="99"/>
    <w:semiHidden/>
    <w:unhideWhenUsed/>
    <w:rsid w:val="003C22F3"/>
    <w:pPr>
      <w:spacing w:line="240" w:lineRule="auto"/>
    </w:pPr>
    <w:rPr>
      <w:sz w:val="20"/>
      <w:szCs w:val="20"/>
    </w:rPr>
  </w:style>
  <w:style w:type="character" w:customStyle="1" w:styleId="CommentTextChar">
    <w:name w:val="Comment Text Char"/>
    <w:basedOn w:val="DefaultParagraphFont"/>
    <w:link w:val="CommentText"/>
    <w:uiPriority w:val="99"/>
    <w:semiHidden/>
    <w:rsid w:val="003C22F3"/>
    <w:rPr>
      <w:sz w:val="20"/>
      <w:szCs w:val="20"/>
    </w:rPr>
  </w:style>
  <w:style w:type="paragraph" w:styleId="CommentSubject">
    <w:name w:val="annotation subject"/>
    <w:basedOn w:val="CommentText"/>
    <w:next w:val="CommentText"/>
    <w:link w:val="CommentSubjectChar"/>
    <w:uiPriority w:val="99"/>
    <w:semiHidden/>
    <w:unhideWhenUsed/>
    <w:rsid w:val="003C22F3"/>
    <w:rPr>
      <w:b/>
      <w:bCs/>
    </w:rPr>
  </w:style>
  <w:style w:type="character" w:customStyle="1" w:styleId="CommentSubjectChar">
    <w:name w:val="Comment Subject Char"/>
    <w:basedOn w:val="CommentTextChar"/>
    <w:link w:val="CommentSubject"/>
    <w:uiPriority w:val="99"/>
    <w:semiHidden/>
    <w:rsid w:val="003C22F3"/>
    <w:rPr>
      <w:b/>
      <w:bCs/>
      <w:sz w:val="20"/>
      <w:szCs w:val="20"/>
    </w:rPr>
  </w:style>
  <w:style w:type="paragraph" w:styleId="BalloonText">
    <w:name w:val="Balloon Text"/>
    <w:basedOn w:val="Normal"/>
    <w:link w:val="BalloonTextChar"/>
    <w:uiPriority w:val="99"/>
    <w:semiHidden/>
    <w:unhideWhenUsed/>
    <w:rsid w:val="003C2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F3"/>
    <w:rPr>
      <w:rFonts w:ascii="Segoe UI" w:hAnsi="Segoe UI" w:cs="Segoe UI"/>
      <w:sz w:val="18"/>
      <w:szCs w:val="18"/>
    </w:rPr>
  </w:style>
  <w:style w:type="paragraph" w:styleId="ListParagraph">
    <w:name w:val="List Paragraph"/>
    <w:basedOn w:val="Normal"/>
    <w:uiPriority w:val="34"/>
    <w:qFormat/>
    <w:rsid w:val="00F9140E"/>
    <w:pPr>
      <w:ind w:left="720"/>
      <w:contextualSpacing/>
    </w:pPr>
  </w:style>
  <w:style w:type="paragraph" w:styleId="NormalWeb">
    <w:name w:val="Normal (Web)"/>
    <w:basedOn w:val="Normal"/>
    <w:uiPriority w:val="99"/>
    <w:semiHidden/>
    <w:unhideWhenUsed/>
    <w:rsid w:val="00533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352C"/>
  </w:style>
  <w:style w:type="character" w:styleId="Hyperlink">
    <w:name w:val="Hyperlink"/>
    <w:basedOn w:val="DefaultParagraphFont"/>
    <w:uiPriority w:val="99"/>
    <w:semiHidden/>
    <w:unhideWhenUsed/>
    <w:rsid w:val="0053352C"/>
    <w:rPr>
      <w:color w:val="0000FF"/>
      <w:u w:val="single"/>
    </w:rPr>
  </w:style>
  <w:style w:type="table" w:styleId="TableGrid">
    <w:name w:val="Table Grid"/>
    <w:basedOn w:val="TableNormal"/>
    <w:rsid w:val="008A67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874F-83D5-40F9-B6B3-B18DBBF8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8942</TotalTime>
  <Pages>1</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Deana</cp:lastModifiedBy>
  <cp:revision>1110</cp:revision>
  <cp:lastPrinted>2016-04-06T09:30:00Z</cp:lastPrinted>
  <dcterms:created xsi:type="dcterms:W3CDTF">2016-01-05T21:43:00Z</dcterms:created>
  <dcterms:modified xsi:type="dcterms:W3CDTF">2016-04-07T11:55:00Z</dcterms:modified>
</cp:coreProperties>
</file>