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6E" w:rsidRPr="006858DE" w:rsidRDefault="00A06C6E" w:rsidP="001C60F3">
      <w:pPr>
        <w:pStyle w:val="Title1"/>
        <w:spacing w:before="0"/>
        <w:rPr>
          <w:i/>
          <w:lang w:val="en-GB"/>
        </w:rPr>
      </w:pPr>
      <w:r w:rsidRPr="006858DE">
        <w:rPr>
          <w:lang w:val="en-GB"/>
        </w:rPr>
        <w:t>Solvent Mediated Control of the Electrochemical Discharge Products of Non-aqueous Sodium Oxygen Electrochemistry</w:t>
      </w:r>
    </w:p>
    <w:p w:rsidR="00A06C6E" w:rsidRDefault="00A06C6E" w:rsidP="006E5CCC">
      <w:pPr>
        <w:pStyle w:val="Authors"/>
        <w:spacing w:before="0" w:after="0"/>
        <w:rPr>
          <w:vertAlign w:val="superscript"/>
        </w:rPr>
      </w:pPr>
      <w:r w:rsidRPr="00AD6F47">
        <w:rPr>
          <w:lang w:val="de-DE"/>
        </w:rPr>
        <w:t>Iain M. Aldous and Laurence J. Hardwick*</w:t>
      </w:r>
      <w:r>
        <w:rPr>
          <w:noProof/>
          <w:lang w:eastAsia="en-GB"/>
        </w:rPr>
        <mc:AlternateContent>
          <mc:Choice Requires="wps">
            <w:drawing>
              <wp:anchor distT="180340" distB="0" distL="114300" distR="180340" simplePos="0" relativeHeight="251659264" behindDoc="0" locked="1" layoutInCell="1" allowOverlap="1" wp14:anchorId="515EAFDA" wp14:editId="388D0C7F">
                <wp:simplePos x="0" y="0"/>
                <wp:positionH relativeFrom="column">
                  <wp:posOffset>-377825</wp:posOffset>
                </wp:positionH>
                <wp:positionV relativeFrom="page">
                  <wp:posOffset>8636635</wp:posOffset>
                </wp:positionV>
                <wp:extent cx="3150235" cy="986790"/>
                <wp:effectExtent l="0" t="0" r="0" b="0"/>
                <wp:wrapSquare wrapText="right"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986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C6E" w:rsidRPr="00567B5A" w:rsidRDefault="00A06C6E" w:rsidP="001611AF">
                            <w:pPr>
                              <w:pStyle w:val="Adress"/>
                              <w:pBdr>
                                <w:top w:val="single" w:sz="4" w:space="1" w:color="000000"/>
                              </w:pBdr>
                              <w:rPr>
                                <w:lang w:val="en-GB"/>
                              </w:rPr>
                            </w:pPr>
                            <w:r w:rsidRPr="000D37AC">
                              <w:rPr>
                                <w:lang w:val="en-GB"/>
                              </w:rPr>
                              <w:t>[</w:t>
                            </w:r>
                            <w:r>
                              <w:rPr>
                                <w:lang w:val="en-GB"/>
                              </w:rPr>
                              <w:t>*</w:t>
                            </w:r>
                            <w:r w:rsidRPr="000D37AC">
                              <w:rPr>
                                <w:lang w:val="en-GB"/>
                              </w:rPr>
                              <w:t>]</w:t>
                            </w:r>
                            <w:r w:rsidRPr="000D37AC"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 xml:space="preserve">Mr. I. M. Aldous,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Dr.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Laurence J. Hardwick</w:t>
                            </w:r>
                            <w:r w:rsidRPr="007E3A49">
                              <w:rPr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br/>
                              <w:t xml:space="preserve">Department of Chemistry, Stephenson Institute for Renewable </w:t>
                            </w:r>
                            <w:r w:rsidR="00C137A8">
                              <w:rPr>
                                <w:lang w:val="en-GB"/>
                              </w:rPr>
                              <w:t>Energy, University</w:t>
                            </w:r>
                            <w:r>
                              <w:rPr>
                                <w:lang w:val="en-GB"/>
                              </w:rPr>
                              <w:t xml:space="preserve"> of Liverpool, Liverpool, L69 7ZF, UK</w:t>
                            </w:r>
                            <w:r w:rsidRPr="007E3A49">
                              <w:rPr>
                                <w:lang w:val="en-GB"/>
                              </w:rPr>
                              <w:br/>
                              <w:t>E-mail:</w:t>
                            </w:r>
                            <w:r>
                              <w:rPr>
                                <w:lang w:val="en-GB"/>
                              </w:rPr>
                              <w:t>hardwick@liverpool.ac.uk</w:t>
                            </w:r>
                            <w:r w:rsidRPr="007E3A49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:rsidR="00A06C6E" w:rsidRPr="007E3A49" w:rsidRDefault="00A06C6E" w:rsidP="00BF14BC">
                            <w:pPr>
                              <w:pStyle w:val="Footnote"/>
                            </w:pPr>
                            <w:r w:rsidRPr="007E3A49">
                              <w:tab/>
                            </w:r>
                            <w:r w:rsidRPr="004532F9">
                              <w:t xml:space="preserve">Supporting information for this article is </w:t>
                            </w:r>
                            <w:r>
                              <w:t>given via a link at the end of the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29.75pt;margin-top:680.05pt;width:248.05pt;height:77.7pt;z-index:251659264;visibility:visible;mso-wrap-style:square;mso-width-percent:0;mso-height-percent:0;mso-wrap-distance-left:9pt;mso-wrap-distance-top:14.2pt;mso-wrap-distance-right:14.2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QokwIAAC0FAAAOAAAAZHJzL2Uyb0RvYy54bWysVFtv2yAUfp+0/4B4T32pc7FVp2rSeZrU&#10;XaR2P4BgHKNhYEBid9P++w44SZPuZZrmB8zhHL5z+w43t0Mn0J4Zy5UscXIVY8QkVTWX2xJ/faom&#10;C4ysI7ImQklW4mdm8e3y7ZubXhcsVa0SNTMIQKQtel3i1jldRJGlLeuIvVKaSVA2ynTEgWi2UW1I&#10;D+idiNI4nkW9MrU2ijJr4fR+VOJlwG8aRt3nprHMIVFiiM2F1YR149doeUOKrSG65fQQBvmHKDrC&#10;JTg9Qd0TR9DO8D+gOk6NsqpxV1R1kWoaTlnIAbJJ4lfZPLZEs5ALFMfqU5ns/4Oln/ZfDOJ1iWcY&#10;SdJBi57Y4NBKDeg6lKfXtgCrRw12boBzaHNI1eoHRb9ZJNW6JXLL7oxRfctIDeElvrDR2VXfEFtY&#10;D7LpP6oa/JCdUwFoaEznawfVQIAObXo+tcbHQuHwOpnG6fUUIwq6fDGb5yG4iBTH29pY956pDvlN&#10;iQ20PqCT/YN1PhpSHE28M6sErysuRBDMdrMWBu0J0KQK33hX6JaMp0d3djQNeBcYQnokqTzm6G48&#10;gQwgAK/zuQRO/MyTNItXaT6pZov5JKuy6SSfx4tJnOSrfBZneXZf/fIRJFnR8rpm8oFLduRnkv1d&#10;/w+TMjIrMBT1ULxpOg3JXUR/SOuQa+y/0MJXheq4g3EVvCvx4mRECt/1d7IOw+QIF+M+ugw/lAxq&#10;cPyHqgSOeFqMBHHDZgAUz5WNqp+BLUZBM4ES8MbAplXmB0Y9zGuJ7fcdMQwj8UEC4/Iky/yAByGb&#10;zlMQzLlmc64hkgJUiR1G43btxkdhpw3ftuDpyPE7YGnFA4FeooIUvAAzGZI5vB9+6M/lYPXyyi1/&#10;AwAA//8DAFBLAwQUAAYACAAAACEAcNaK8eIAAAANAQAADwAAAGRycy9kb3ducmV2LnhtbEyPwU7D&#10;MAyG75N4h8hI3La0G6lGaTqhIS5ITLDBPUu8tKJJqibbyp5+5gRH+//0+3O1Gl3HTjjENngJ+SwD&#10;hl4H03or4XP3Ml0Ci0l5o7rgUcIPRljVN5NKlSac/QeetskyKvGxVBKalPqS86gbdCrOQo+eskMY&#10;nEo0DpabQZ2p3HV8nmUFd6r1dKFRPa4b1N/bo5Ogd0u8bL7wfWOfdW8vr4f1/I1LeXc7Pj0CSzim&#10;Pxh+9UkdanLah6M3kXUSpuJBEErBoshyYITcL4oC2J5WIhcCeF3x/1/UVwAAAP//AwBQSwECLQAU&#10;AAYACAAAACEAtoM4kv4AAADhAQAAEwAAAAAAAAAAAAAAAAAAAAAAW0NvbnRlbnRfVHlwZXNdLnht&#10;bFBLAQItABQABgAIAAAAIQA4/SH/1gAAAJQBAAALAAAAAAAAAAAAAAAAAC8BAABfcmVscy8ucmVs&#10;c1BLAQItABQABgAIAAAAIQBfpDQokwIAAC0FAAAOAAAAAAAAAAAAAAAAAC4CAABkcnMvZTJvRG9j&#10;LnhtbFBLAQItABQABgAIAAAAIQBw1orx4gAAAA0BAAAPAAAAAAAAAAAAAAAAAO0EAABkcnMvZG93&#10;bnJldi54bWxQSwUGAAAAAAQABADzAAAA/AUAAAAA&#10;" stroked="f">
                <v:fill opacity="0"/>
                <v:textbox style="mso-fit-shape-to-text:t">
                  <w:txbxContent>
                    <w:p w:rsidR="00A06C6E" w:rsidRPr="00567B5A" w:rsidRDefault="00A06C6E" w:rsidP="001611AF">
                      <w:pPr>
                        <w:pStyle w:val="Adress"/>
                        <w:pBdr>
                          <w:top w:val="single" w:sz="4" w:space="1" w:color="000000"/>
                        </w:pBdr>
                        <w:rPr>
                          <w:lang w:val="en-GB"/>
                        </w:rPr>
                      </w:pPr>
                      <w:r w:rsidRPr="000D37AC">
                        <w:rPr>
                          <w:lang w:val="en-GB"/>
                        </w:rPr>
                        <w:t>[</w:t>
                      </w:r>
                      <w:r>
                        <w:rPr>
                          <w:lang w:val="en-GB"/>
                        </w:rPr>
                        <w:t>*</w:t>
                      </w:r>
                      <w:r w:rsidRPr="000D37AC">
                        <w:rPr>
                          <w:lang w:val="en-GB"/>
                        </w:rPr>
                        <w:t>]</w:t>
                      </w:r>
                      <w:r w:rsidRPr="000D37AC"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 xml:space="preserve">Mr. I. M. Aldous, </w:t>
                      </w:r>
                      <w:proofErr w:type="spellStart"/>
                      <w:r>
                        <w:rPr>
                          <w:lang w:val="en-GB"/>
                        </w:rPr>
                        <w:t>Dr.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Laurence J. Hardwick</w:t>
                      </w:r>
                      <w:r w:rsidRPr="007E3A49">
                        <w:rPr>
                          <w:lang w:val="en-GB"/>
                        </w:rPr>
                        <w:t>,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br/>
                        <w:t xml:space="preserve">Department of Chemistry, Stephenson Institute for Renewable </w:t>
                      </w:r>
                      <w:r w:rsidR="00C137A8">
                        <w:rPr>
                          <w:lang w:val="en-GB"/>
                        </w:rPr>
                        <w:t>Energy, University</w:t>
                      </w:r>
                      <w:r>
                        <w:rPr>
                          <w:lang w:val="en-GB"/>
                        </w:rPr>
                        <w:t xml:space="preserve"> of Liverpool, Liverpool, L69 7ZF, UK</w:t>
                      </w:r>
                      <w:r w:rsidRPr="007E3A49">
                        <w:rPr>
                          <w:lang w:val="en-GB"/>
                        </w:rPr>
                        <w:br/>
                        <w:t>E-mail:</w:t>
                      </w:r>
                      <w:r>
                        <w:rPr>
                          <w:lang w:val="en-GB"/>
                        </w:rPr>
                        <w:t>hardwick@liverpool.ac.uk</w:t>
                      </w:r>
                      <w:r w:rsidRPr="007E3A49">
                        <w:rPr>
                          <w:lang w:val="en-GB"/>
                        </w:rPr>
                        <w:t xml:space="preserve"> </w:t>
                      </w:r>
                    </w:p>
                    <w:p w:rsidR="00A06C6E" w:rsidRPr="007E3A49" w:rsidRDefault="00A06C6E" w:rsidP="00BF14BC">
                      <w:pPr>
                        <w:pStyle w:val="Footnote"/>
                      </w:pPr>
                      <w:r w:rsidRPr="007E3A49">
                        <w:tab/>
                      </w:r>
                      <w:r w:rsidRPr="004532F9">
                        <w:t xml:space="preserve">Supporting information for this article is </w:t>
                      </w:r>
                      <w:r>
                        <w:t>given via a link at the end of the document</w:t>
                      </w:r>
                    </w:p>
                  </w:txbxContent>
                </v:textbox>
                <w10:wrap type="square" side="right" anchory="page"/>
                <w10:anchorlock/>
              </v:shape>
            </w:pict>
          </mc:Fallback>
        </mc:AlternateContent>
      </w:r>
    </w:p>
    <w:p w:rsidR="00A06C6E" w:rsidRDefault="00A06C6E" w:rsidP="006E5CCC">
      <w:pPr>
        <w:pStyle w:val="Authors"/>
        <w:spacing w:before="0" w:after="0"/>
        <w:rPr>
          <w:vertAlign w:val="superscript"/>
        </w:rPr>
      </w:pPr>
    </w:p>
    <w:p w:rsidR="00A06C6E" w:rsidRPr="005D1EBB" w:rsidRDefault="00A06C6E" w:rsidP="006E5CCC">
      <w:pPr>
        <w:pStyle w:val="Authors"/>
        <w:spacing w:before="0" w:after="0"/>
        <w:rPr>
          <w:lang w:val="en-US"/>
        </w:rPr>
        <w:sectPr w:rsidR="00A06C6E" w:rsidRPr="005D1EBB" w:rsidSect="00C137A8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06C6E" w:rsidRDefault="00A06C6E" w:rsidP="001C60F3">
      <w:pPr>
        <w:pStyle w:val="Abstract"/>
        <w:spacing w:after="0"/>
      </w:pPr>
      <w:r w:rsidRPr="002D5B99">
        <w:rPr>
          <w:b/>
          <w:lang w:val="en-US"/>
        </w:rPr>
        <w:lastRenderedPageBreak/>
        <w:t>Abstract:</w:t>
      </w:r>
      <w:r>
        <w:rPr>
          <w:lang w:val="en-US"/>
        </w:rPr>
        <w:t xml:space="preserve"> </w:t>
      </w:r>
      <w:r w:rsidRPr="00AD6F47">
        <w:rPr>
          <w:lang w:val="de-DE"/>
        </w:rPr>
        <w:t xml:space="preserve">The reduction of </w:t>
      </w:r>
      <w:r w:rsidR="00880C23">
        <w:rPr>
          <w:lang w:val="de-DE"/>
        </w:rPr>
        <w:t>di</w:t>
      </w:r>
      <w:r w:rsidRPr="00AD6F47">
        <w:rPr>
          <w:lang w:val="de-DE"/>
        </w:rPr>
        <w:t xml:space="preserve">oxygen in the presence of sodium cations </w:t>
      </w:r>
      <w:r>
        <w:rPr>
          <w:lang w:val="de-DE"/>
        </w:rPr>
        <w:t>can be tuned to give</w:t>
      </w:r>
      <w:r w:rsidRPr="00AD6F47">
        <w:rPr>
          <w:lang w:val="de-DE"/>
        </w:rPr>
        <w:t xml:space="preserve"> </w:t>
      </w:r>
      <w:r>
        <w:rPr>
          <w:lang w:val="de-DE"/>
        </w:rPr>
        <w:t xml:space="preserve">either </w:t>
      </w:r>
      <w:r w:rsidRPr="00AD6F47">
        <w:rPr>
          <w:lang w:val="de-DE"/>
        </w:rPr>
        <w:t xml:space="preserve">sodium superoxide </w:t>
      </w:r>
      <w:r>
        <w:rPr>
          <w:lang w:val="de-DE"/>
        </w:rPr>
        <w:t>or</w:t>
      </w:r>
      <w:r w:rsidRPr="00AD6F47">
        <w:rPr>
          <w:lang w:val="de-DE"/>
        </w:rPr>
        <w:t xml:space="preserve"> sodium peroxide discharge products</w:t>
      </w:r>
      <w:r>
        <w:rPr>
          <w:lang w:val="de-DE"/>
        </w:rPr>
        <w:t xml:space="preserve"> at the electrode surface</w:t>
      </w:r>
      <w:r w:rsidRPr="00AD6F47">
        <w:rPr>
          <w:lang w:val="de-DE"/>
        </w:rPr>
        <w:t>. Control of the mechanistic direction of these processes may enhance the ability to tailor the energy density of sodium oxygen batteries (NaO</w:t>
      </w:r>
      <w:r w:rsidRPr="00AD6F47">
        <w:rPr>
          <w:vertAlign w:val="subscript"/>
          <w:lang w:val="de-DE"/>
        </w:rPr>
        <w:t>2</w:t>
      </w:r>
      <w:r w:rsidRPr="00AD6F47">
        <w:rPr>
          <w:lang w:val="de-DE"/>
        </w:rPr>
        <w:t>: 1071 Wh kg</w:t>
      </w:r>
      <w:r w:rsidRPr="00AD6F47">
        <w:rPr>
          <w:vertAlign w:val="superscript"/>
          <w:lang w:val="de-DE"/>
        </w:rPr>
        <w:t>-1</w:t>
      </w:r>
      <w:r w:rsidRPr="00AD6F47">
        <w:rPr>
          <w:lang w:val="de-DE"/>
        </w:rPr>
        <w:t xml:space="preserve"> and Na</w:t>
      </w:r>
      <w:r w:rsidRPr="00AD6F47">
        <w:rPr>
          <w:vertAlign w:val="subscript"/>
          <w:lang w:val="de-DE"/>
        </w:rPr>
        <w:t>2</w:t>
      </w:r>
      <w:r w:rsidRPr="00AD6F47">
        <w:rPr>
          <w:lang w:val="de-DE"/>
        </w:rPr>
        <w:t>O</w:t>
      </w:r>
      <w:r w:rsidRPr="00AD6F47">
        <w:rPr>
          <w:vertAlign w:val="subscript"/>
          <w:lang w:val="de-DE"/>
        </w:rPr>
        <w:t>2</w:t>
      </w:r>
      <w:r w:rsidRPr="00AD6F47">
        <w:rPr>
          <w:lang w:val="de-DE"/>
        </w:rPr>
        <w:t>: 1505 Wh kg</w:t>
      </w:r>
      <w:r w:rsidRPr="00AD6F47">
        <w:rPr>
          <w:vertAlign w:val="superscript"/>
          <w:lang w:val="de-DE"/>
        </w:rPr>
        <w:t>-1</w:t>
      </w:r>
      <w:r w:rsidRPr="00AD6F47">
        <w:rPr>
          <w:lang w:val="de-DE"/>
        </w:rPr>
        <w:t xml:space="preserve">). Through spectroelectrochemical analysis of </w:t>
      </w:r>
      <w:r>
        <w:rPr>
          <w:lang w:val="de-DE"/>
        </w:rPr>
        <w:t>a range</w:t>
      </w:r>
      <w:bookmarkStart w:id="0" w:name="_GoBack"/>
      <w:bookmarkEnd w:id="0"/>
      <w:r>
        <w:rPr>
          <w:lang w:val="de-DE"/>
        </w:rPr>
        <w:t xml:space="preserve"> of non-aqueous solvents</w:t>
      </w:r>
      <w:r w:rsidRPr="00AD6F47">
        <w:rPr>
          <w:lang w:val="de-DE"/>
        </w:rPr>
        <w:t xml:space="preserve"> we describe the dependence of these processes on the electrolyte solvent and subsequent interaction</w:t>
      </w:r>
      <w:r w:rsidR="00875136">
        <w:rPr>
          <w:lang w:val="de-DE"/>
        </w:rPr>
        <w:t xml:space="preserve">s formed between </w:t>
      </w:r>
      <w:r w:rsidRPr="00AD6F47">
        <w:rPr>
          <w:lang w:val="de-DE"/>
        </w:rPr>
        <w:t>Na</w:t>
      </w:r>
      <w:r w:rsidR="00875136" w:rsidRPr="00875136">
        <w:rPr>
          <w:vertAlign w:val="superscript"/>
          <w:lang w:val="de-DE"/>
        </w:rPr>
        <w:t>+</w:t>
      </w:r>
      <w:r w:rsidR="00875136">
        <w:rPr>
          <w:lang w:val="de-DE"/>
        </w:rPr>
        <w:t xml:space="preserve"> and </w:t>
      </w:r>
      <w:r w:rsidRPr="00AD6F47">
        <w:rPr>
          <w:lang w:val="de-DE"/>
        </w:rPr>
        <w:t>O</w:t>
      </w:r>
      <w:r w:rsidRPr="00AD6F47">
        <w:rPr>
          <w:vertAlign w:val="subscript"/>
          <w:lang w:val="de-DE"/>
        </w:rPr>
        <w:t>2</w:t>
      </w:r>
      <w:r w:rsidR="00875136" w:rsidRPr="00875136">
        <w:rPr>
          <w:vertAlign w:val="superscript"/>
          <w:lang w:val="de-DE"/>
        </w:rPr>
        <w:t>-</w:t>
      </w:r>
      <w:r w:rsidRPr="00AD6F47">
        <w:rPr>
          <w:lang w:val="de-DE"/>
        </w:rPr>
        <w:t>. The</w:t>
      </w:r>
      <w:r w:rsidRPr="00AD6F47">
        <w:rPr>
          <w:vertAlign w:val="subscript"/>
          <w:lang w:val="de-DE"/>
        </w:rPr>
        <w:t xml:space="preserve"> </w:t>
      </w:r>
      <w:r w:rsidRPr="00AD6F47">
        <w:rPr>
          <w:lang w:val="de-DE"/>
        </w:rPr>
        <w:t xml:space="preserve">solvents ability to </w:t>
      </w:r>
      <w:r w:rsidR="00875136">
        <w:rPr>
          <w:lang w:val="de-DE"/>
        </w:rPr>
        <w:t xml:space="preserve">form and </w:t>
      </w:r>
      <w:r>
        <w:rPr>
          <w:lang w:val="de-DE"/>
        </w:rPr>
        <w:t xml:space="preserve">remove </w:t>
      </w:r>
      <w:r w:rsidR="00875136">
        <w:rPr>
          <w:lang w:val="de-DE"/>
        </w:rPr>
        <w:t>[</w:t>
      </w:r>
      <w:r w:rsidRPr="00AD6F47">
        <w:rPr>
          <w:lang w:val="de-DE"/>
        </w:rPr>
        <w:t>Na</w:t>
      </w:r>
      <w:r w:rsidR="00875136" w:rsidRPr="00875136">
        <w:rPr>
          <w:vertAlign w:val="superscript"/>
          <w:lang w:val="de-DE"/>
        </w:rPr>
        <w:t>+</w:t>
      </w:r>
      <w:r w:rsidR="00875136">
        <w:rPr>
          <w:lang w:val="de-DE"/>
        </w:rPr>
        <w:t>--</w:t>
      </w:r>
      <w:r w:rsidRPr="00AD6F47">
        <w:rPr>
          <w:lang w:val="de-DE"/>
        </w:rPr>
        <w:t>O</w:t>
      </w:r>
      <w:r w:rsidRPr="00AD6F47">
        <w:rPr>
          <w:vertAlign w:val="subscript"/>
          <w:lang w:val="de-DE"/>
        </w:rPr>
        <w:t>2</w:t>
      </w:r>
      <w:r w:rsidR="00875136" w:rsidRPr="00875136">
        <w:rPr>
          <w:vertAlign w:val="superscript"/>
          <w:lang w:val="de-DE"/>
        </w:rPr>
        <w:t>-</w:t>
      </w:r>
      <w:r w:rsidR="00875136">
        <w:rPr>
          <w:lang w:val="de-DE"/>
        </w:rPr>
        <w:t xml:space="preserve">] </w:t>
      </w:r>
      <w:r w:rsidR="00875136" w:rsidRPr="00875136">
        <w:rPr>
          <w:vertAlign w:val="subscript"/>
          <w:lang w:val="de-DE"/>
        </w:rPr>
        <w:t>ads</w:t>
      </w:r>
      <w:r w:rsidRPr="00AD6F47">
        <w:rPr>
          <w:vertAlign w:val="subscript"/>
          <w:lang w:val="de-DE"/>
        </w:rPr>
        <w:t xml:space="preserve"> </w:t>
      </w:r>
      <w:r w:rsidRPr="00AD6F47">
        <w:rPr>
          <w:lang w:val="de-DE"/>
        </w:rPr>
        <w:t>based on Gutmann donor number influences the final discharge product and mechanism of the cell. Utilising surface enhanced Raman spectroscopy and electrochemical techniques here</w:t>
      </w:r>
      <w:r>
        <w:rPr>
          <w:lang w:val="de-DE"/>
        </w:rPr>
        <w:t xml:space="preserve">in, we demonstrate an </w:t>
      </w:r>
      <w:r w:rsidRPr="00AD6F47">
        <w:rPr>
          <w:lang w:val="de-DE"/>
        </w:rPr>
        <w:t>analysis of the response of Na-O</w:t>
      </w:r>
      <w:r w:rsidRPr="00AD6F47">
        <w:rPr>
          <w:vertAlign w:val="subscript"/>
          <w:lang w:val="de-DE"/>
        </w:rPr>
        <w:t xml:space="preserve">2 </w:t>
      </w:r>
      <w:r w:rsidRPr="00AD6F47">
        <w:rPr>
          <w:lang w:val="de-DE"/>
        </w:rPr>
        <w:t>cell chemistry with sulfoxid</w:t>
      </w:r>
      <w:r>
        <w:rPr>
          <w:lang w:val="de-DE"/>
        </w:rPr>
        <w:t xml:space="preserve">e, </w:t>
      </w:r>
      <w:r w:rsidRPr="00AD6F47">
        <w:rPr>
          <w:lang w:val="de-DE"/>
        </w:rPr>
        <w:t>amide, ether, and nitrile electrolyte solvents.</w:t>
      </w:r>
    </w:p>
    <w:p w:rsidR="00A06C6E" w:rsidRDefault="00A06C6E" w:rsidP="006E5CCC">
      <w:pPr>
        <w:pStyle w:val="P1withIndendation"/>
        <w:spacing w:after="0"/>
      </w:pPr>
    </w:p>
    <w:p w:rsidR="00A06C6E" w:rsidRPr="00AD6F47" w:rsidRDefault="00A06C6E" w:rsidP="006E5CCC">
      <w:pPr>
        <w:pStyle w:val="P1withIndendation"/>
        <w:spacing w:after="0"/>
      </w:pPr>
      <w:r w:rsidRPr="00AD6F47">
        <w:t>Intensive research into lithium oxygen (Li-O</w:t>
      </w:r>
      <w:r w:rsidRPr="00AD6F47">
        <w:rPr>
          <w:vertAlign w:val="subscript"/>
        </w:rPr>
        <w:t>2</w:t>
      </w:r>
      <w:r w:rsidRPr="00AD6F47">
        <w:t>) batteries in recent years has now led to the study of alternative alkali metal oxygen cell chemistries</w:t>
      </w:r>
      <w:proofErr w:type="gramStart"/>
      <w:r w:rsidRPr="00AD6F47">
        <w:t>.</w:t>
      </w:r>
      <w:r w:rsidRPr="00791CCA">
        <w:rPr>
          <w:noProof/>
          <w:vertAlign w:val="superscript"/>
        </w:rPr>
        <w:t>[</w:t>
      </w:r>
      <w:proofErr w:type="gramEnd"/>
      <w:r w:rsidRPr="00791CCA">
        <w:rPr>
          <w:noProof/>
          <w:vertAlign w:val="superscript"/>
        </w:rPr>
        <w:t>1]</w:t>
      </w:r>
      <w:r w:rsidRPr="00AD6F47">
        <w:t xml:space="preserve"> The </w:t>
      </w:r>
      <w:r w:rsidRPr="00AD6F47">
        <w:t>inclusion of other alkali metals in research of energy storage devices beyond Li-ion batteries is merited by enhancing sustainability, yet still providing striking theoretical values for specific energy (Na-O</w:t>
      </w:r>
      <w:r w:rsidRPr="00AD6F47">
        <w:rPr>
          <w:vertAlign w:val="subscript"/>
        </w:rPr>
        <w:t>2</w:t>
      </w:r>
      <w:r w:rsidRPr="00AD6F47">
        <w:t xml:space="preserve"> 1505 </w:t>
      </w:r>
      <w:proofErr w:type="spellStart"/>
      <w:r w:rsidRPr="00AD6F47">
        <w:t>Wh</w:t>
      </w:r>
      <w:proofErr w:type="spellEnd"/>
      <w:r w:rsidRPr="00AD6F47">
        <w:t xml:space="preserve"> kg</w:t>
      </w:r>
      <w:r w:rsidRPr="00AD6F47">
        <w:rPr>
          <w:vertAlign w:val="superscript"/>
        </w:rPr>
        <w:t>-1</w:t>
      </w:r>
      <w:r w:rsidRPr="00AD6F47">
        <w:t xml:space="preserve"> K-O</w:t>
      </w:r>
      <w:r w:rsidRPr="00AD6F47">
        <w:rPr>
          <w:vertAlign w:val="subscript"/>
        </w:rPr>
        <w:t>2</w:t>
      </w:r>
      <w:r w:rsidRPr="00AD6F47">
        <w:t xml:space="preserve"> 1100 </w:t>
      </w:r>
      <w:proofErr w:type="spellStart"/>
      <w:r w:rsidRPr="00AD6F47">
        <w:t>Wh</w:t>
      </w:r>
      <w:proofErr w:type="spellEnd"/>
      <w:r w:rsidRPr="00AD6F47">
        <w:t xml:space="preserve"> kg</w:t>
      </w:r>
      <w:r w:rsidRPr="00AD6F47">
        <w:rPr>
          <w:vertAlign w:val="superscript"/>
        </w:rPr>
        <w:t>-1</w:t>
      </w:r>
      <w:r w:rsidRPr="00AD6F47">
        <w:t>). The possible reduced oxygen discharge products for M-O</w:t>
      </w:r>
      <w:r w:rsidRPr="00AD6F47">
        <w:rPr>
          <w:vertAlign w:val="subscript"/>
        </w:rPr>
        <w:t>2</w:t>
      </w:r>
      <w:r w:rsidRPr="00AD6F47">
        <w:t xml:space="preserve"> electrochemistry include</w:t>
      </w:r>
      <w:r>
        <w:t>,</w:t>
      </w:r>
      <w:r w:rsidRPr="00AD6F47">
        <w:t xml:space="preserve"> superoxide (MO</w:t>
      </w:r>
      <w:r w:rsidRPr="00AD6F47">
        <w:rPr>
          <w:vertAlign w:val="subscript"/>
        </w:rPr>
        <w:t>2</w:t>
      </w:r>
      <w:r w:rsidRPr="00AD6F47">
        <w:t>), peroxide (M</w:t>
      </w:r>
      <w:r w:rsidRPr="00AD6F47">
        <w:rPr>
          <w:vertAlign w:val="subscript"/>
        </w:rPr>
        <w:t>2</w:t>
      </w:r>
      <w:r w:rsidRPr="00AD6F47">
        <w:t>O</w:t>
      </w:r>
      <w:r w:rsidRPr="00AD6F47">
        <w:rPr>
          <w:vertAlign w:val="subscript"/>
        </w:rPr>
        <w:t>2</w:t>
      </w:r>
      <w:r w:rsidRPr="00AD6F47">
        <w:t>) and oxide (M</w:t>
      </w:r>
      <w:r w:rsidRPr="00AD6F47">
        <w:rPr>
          <w:vertAlign w:val="subscript"/>
        </w:rPr>
        <w:t>2</w:t>
      </w:r>
      <w:r w:rsidRPr="00AD6F47">
        <w:t>O) (where</w:t>
      </w:r>
      <w:r>
        <w:t>by</w:t>
      </w:r>
      <w:r w:rsidRPr="00AD6F47">
        <w:t xml:space="preserve"> M=</w:t>
      </w:r>
      <w:r>
        <w:t>a</w:t>
      </w:r>
      <w:r w:rsidRPr="00AD6F47">
        <w:t xml:space="preserve">lkali </w:t>
      </w:r>
      <w:r>
        <w:t>m</w:t>
      </w:r>
      <w:r w:rsidRPr="00AD6F47">
        <w:t>etal) species.</w:t>
      </w:r>
      <w:r w:rsidRPr="00791CCA">
        <w:rPr>
          <w:noProof/>
          <w:vertAlign w:val="superscript"/>
        </w:rPr>
        <w:t>[2]</w:t>
      </w:r>
      <w:r w:rsidRPr="00AD6F47">
        <w:t xml:space="preserve"> </w:t>
      </w:r>
      <w:r>
        <w:t>With the exception of one recent study detecting LiO</w:t>
      </w:r>
      <w:r w:rsidRPr="00C137A8">
        <w:rPr>
          <w:vertAlign w:val="subscript"/>
        </w:rPr>
        <w:t>2</w:t>
      </w:r>
      <w:r w:rsidRPr="009B4CED">
        <w:rPr>
          <w:noProof/>
          <w:vertAlign w:val="superscript"/>
        </w:rPr>
        <w:t>[3]</w:t>
      </w:r>
      <w:r>
        <w:t xml:space="preserve"> t</w:t>
      </w:r>
      <w:r w:rsidRPr="00AD6F47">
        <w:t>he main discharge product of Li-O</w:t>
      </w:r>
      <w:r w:rsidRPr="00AD6F47">
        <w:rPr>
          <w:vertAlign w:val="subscript"/>
        </w:rPr>
        <w:t>2</w:t>
      </w:r>
      <w:r w:rsidRPr="00AD6F47">
        <w:t xml:space="preserve"> is Li</w:t>
      </w:r>
      <w:r w:rsidRPr="00AD6F47">
        <w:rPr>
          <w:vertAlign w:val="subscript"/>
        </w:rPr>
        <w:t>2</w:t>
      </w:r>
      <w:r w:rsidRPr="00AD6F47">
        <w:t>O</w:t>
      </w:r>
      <w:r w:rsidRPr="00AD6F47">
        <w:rPr>
          <w:vertAlign w:val="subscript"/>
        </w:rPr>
        <w:t>2</w:t>
      </w:r>
      <w:r w:rsidRPr="009B4CED">
        <w:rPr>
          <w:noProof/>
          <w:vertAlign w:val="superscript"/>
        </w:rPr>
        <w:t>[4]</w:t>
      </w:r>
      <w:r>
        <w:t>.</w:t>
      </w:r>
      <w:r w:rsidRPr="00AD6F47">
        <w:t xml:space="preserve"> </w:t>
      </w:r>
      <w:r>
        <w:t>However</w:t>
      </w:r>
      <w:r w:rsidRPr="00AD6F47">
        <w:t xml:space="preserve"> for Na-O</w:t>
      </w:r>
      <w:r w:rsidRPr="00AD6F47">
        <w:rPr>
          <w:vertAlign w:val="subscript"/>
        </w:rPr>
        <w:t>2</w:t>
      </w:r>
      <w:r>
        <w:rPr>
          <w:vertAlign w:val="subscript"/>
        </w:rPr>
        <w:t xml:space="preserve"> </w:t>
      </w:r>
      <w:r w:rsidRPr="00667551">
        <w:t>batteries</w:t>
      </w:r>
      <w:r>
        <w:t>,</w:t>
      </w:r>
      <w:r>
        <w:rPr>
          <w:vertAlign w:val="subscript"/>
        </w:rPr>
        <w:t xml:space="preserve"> </w:t>
      </w:r>
      <w:r>
        <w:t xml:space="preserve">both </w:t>
      </w:r>
      <w:proofErr w:type="gramStart"/>
      <w:r w:rsidRPr="00AD6F47">
        <w:t>Na</w:t>
      </w:r>
      <w:r w:rsidRPr="00AD6F47">
        <w:rPr>
          <w:vertAlign w:val="subscript"/>
        </w:rPr>
        <w:t>2</w:t>
      </w:r>
      <w:r w:rsidRPr="00AD6F47">
        <w:t>O</w:t>
      </w:r>
      <w:r w:rsidRPr="00AD6F47">
        <w:rPr>
          <w:vertAlign w:val="subscript"/>
        </w:rPr>
        <w:t>2</w:t>
      </w:r>
      <w:r w:rsidRPr="00AD6F47">
        <w:rPr>
          <w:b/>
          <w:vertAlign w:val="superscript"/>
        </w:rPr>
        <w:t>.</w:t>
      </w:r>
      <w:r w:rsidRPr="00AD6F47">
        <w:t>2H</w:t>
      </w:r>
      <w:r w:rsidRPr="00AD6F47">
        <w:rPr>
          <w:vertAlign w:val="subscript"/>
        </w:rPr>
        <w:t>2</w:t>
      </w:r>
      <w:r w:rsidRPr="00AD6F47">
        <w:t>O</w:t>
      </w:r>
      <w:r w:rsidRPr="009B4CED">
        <w:rPr>
          <w:noProof/>
          <w:vertAlign w:val="superscript"/>
        </w:rPr>
        <w:t>[</w:t>
      </w:r>
      <w:proofErr w:type="gramEnd"/>
      <w:r w:rsidRPr="009B4CED">
        <w:rPr>
          <w:noProof/>
          <w:vertAlign w:val="superscript"/>
        </w:rPr>
        <w:t>5]</w:t>
      </w:r>
      <w:r w:rsidRPr="00AD6F47">
        <w:rPr>
          <w:vertAlign w:val="subscript"/>
        </w:rPr>
        <w:t xml:space="preserve"> </w:t>
      </w:r>
      <w:r w:rsidRPr="00AD6F47">
        <w:t>and NaO</w:t>
      </w:r>
      <w:r w:rsidRPr="00AD6F47">
        <w:rPr>
          <w:vertAlign w:val="subscript"/>
        </w:rPr>
        <w:t>2</w:t>
      </w:r>
      <w:r w:rsidRPr="009B4CED">
        <w:rPr>
          <w:noProof/>
          <w:vertAlign w:val="superscript"/>
        </w:rPr>
        <w:t>[1b, 6]</w:t>
      </w:r>
      <w:r w:rsidRPr="00AD6F47">
        <w:rPr>
          <w:vertAlign w:val="subscript"/>
        </w:rPr>
        <w:t xml:space="preserve"> </w:t>
      </w:r>
      <w:r w:rsidRPr="00AD6F47">
        <w:t>have been reported</w:t>
      </w:r>
      <w:r>
        <w:t>,</w:t>
      </w:r>
      <w:r w:rsidRPr="00AD6F47">
        <w:t xml:space="preserve"> along with KO</w:t>
      </w:r>
      <w:r w:rsidRPr="00AD6F47">
        <w:rPr>
          <w:vertAlign w:val="subscript"/>
        </w:rPr>
        <w:t>2</w:t>
      </w:r>
      <w:r w:rsidRPr="00791CCA">
        <w:rPr>
          <w:noProof/>
          <w:vertAlign w:val="superscript"/>
        </w:rPr>
        <w:t>[1a]</w:t>
      </w:r>
      <w:r w:rsidRPr="00AD6F47">
        <w:t xml:space="preserve"> for K-O</w:t>
      </w:r>
      <w:r w:rsidRPr="00AD6F47">
        <w:rPr>
          <w:vertAlign w:val="subscript"/>
        </w:rPr>
        <w:t>2</w:t>
      </w:r>
      <w:r w:rsidRPr="00AD6F47">
        <w:t xml:space="preserve"> batteries.</w:t>
      </w:r>
    </w:p>
    <w:p w:rsidR="00A06C6E" w:rsidRPr="00AD6F47" w:rsidRDefault="00A06C6E" w:rsidP="006E5CCC">
      <w:pPr>
        <w:pStyle w:val="P1withIndendation"/>
        <w:spacing w:after="0"/>
      </w:pPr>
      <w:r w:rsidRPr="00AD6F47">
        <w:t>Although well documented for Li-O</w:t>
      </w:r>
      <w:r w:rsidRPr="00AD6F47">
        <w:rPr>
          <w:vertAlign w:val="subscript"/>
        </w:rPr>
        <w:t>2</w:t>
      </w:r>
      <w:r w:rsidRPr="009B4CED">
        <w:rPr>
          <w:noProof/>
          <w:vertAlign w:val="superscript"/>
        </w:rPr>
        <w:t>[7]</w:t>
      </w:r>
      <w:r w:rsidRPr="00AD6F47">
        <w:rPr>
          <w:vertAlign w:val="subscript"/>
        </w:rPr>
        <w:t>,</w:t>
      </w:r>
      <w:r w:rsidRPr="00AD6F47">
        <w:t xml:space="preserve"> Na-O</w:t>
      </w:r>
      <w:r w:rsidRPr="00AD6F47">
        <w:rPr>
          <w:vertAlign w:val="subscript"/>
        </w:rPr>
        <w:t>2</w:t>
      </w:r>
      <w:r w:rsidRPr="00AD6F47">
        <w:t xml:space="preserve"> electrolytes have thus fa</w:t>
      </w:r>
      <w:r>
        <w:t xml:space="preserve">r been limited to carbonate, </w:t>
      </w:r>
      <w:r w:rsidRPr="00AD6F47">
        <w:t>ether</w:t>
      </w:r>
      <w:r>
        <w:t xml:space="preserve"> and the ionic liquid (IL)</w:t>
      </w:r>
      <w:r w:rsidRPr="00AD6F47">
        <w:t xml:space="preserve"> N-methyl-N-</w:t>
      </w:r>
      <w:proofErr w:type="spellStart"/>
      <w:r w:rsidRPr="00AD6F47">
        <w:t>propylpiperidinum</w:t>
      </w:r>
      <w:proofErr w:type="spellEnd"/>
      <w:r>
        <w:t xml:space="preserve"> </w:t>
      </w:r>
      <w:proofErr w:type="spellStart"/>
      <w:r w:rsidRPr="00AD6F47">
        <w:t>bis</w:t>
      </w:r>
      <w:proofErr w:type="spellEnd"/>
      <w:r w:rsidRPr="00AD6F47">
        <w:t>(</w:t>
      </w:r>
      <w:proofErr w:type="spellStart"/>
      <w:r w:rsidRPr="00AD6F47">
        <w:t>trifluorosulfonyl</w:t>
      </w:r>
      <w:proofErr w:type="spellEnd"/>
      <w:r w:rsidRPr="00AD6F47">
        <w:t>)</w:t>
      </w:r>
      <w:r>
        <w:t xml:space="preserve"> </w:t>
      </w:r>
      <w:r w:rsidRPr="00AD6F47">
        <w:t>imide (PP</w:t>
      </w:r>
      <w:r w:rsidRPr="00826B30">
        <w:rPr>
          <w:vertAlign w:val="subscript"/>
        </w:rPr>
        <w:t>13</w:t>
      </w:r>
      <w:r w:rsidRPr="00AD6F47">
        <w:t>TFSI)</w:t>
      </w:r>
      <w:r>
        <w:t xml:space="preserve"> based electrolytes</w:t>
      </w:r>
      <w:r w:rsidRPr="00AD6F47">
        <w:t>.</w:t>
      </w:r>
      <w:r w:rsidRPr="009B4CED">
        <w:rPr>
          <w:noProof/>
          <w:vertAlign w:val="superscript"/>
        </w:rPr>
        <w:t>[6a, 6d]</w:t>
      </w:r>
      <w:r>
        <w:t xml:space="preserve"> Carbonate and the aforementioned IL have been shown to be unstable electrolytes for NaO</w:t>
      </w:r>
      <w:r w:rsidRPr="0010173F">
        <w:rPr>
          <w:vertAlign w:val="subscript"/>
        </w:rPr>
        <w:t>2</w:t>
      </w:r>
      <w:r w:rsidRPr="00AD6F47">
        <w:t>.</w:t>
      </w:r>
      <w:r w:rsidRPr="009B4CED">
        <w:rPr>
          <w:noProof/>
          <w:vertAlign w:val="superscript"/>
        </w:rPr>
        <w:t>[8]</w:t>
      </w:r>
      <w:r w:rsidRPr="00AD6F47">
        <w:t xml:space="preserve"> Carbonate based electrolytes </w:t>
      </w:r>
      <w:r>
        <w:t>were initially shown to give</w:t>
      </w:r>
      <w:r w:rsidRPr="00AD6F47">
        <w:t xml:space="preserve"> Na</w:t>
      </w:r>
      <w:r w:rsidRPr="00AD6F47">
        <w:rPr>
          <w:vertAlign w:val="subscript"/>
        </w:rPr>
        <w:t>2</w:t>
      </w:r>
      <w:r w:rsidRPr="00AD6F47">
        <w:t>O</w:t>
      </w:r>
      <w:r w:rsidRPr="00AD6F47">
        <w:rPr>
          <w:vertAlign w:val="subscript"/>
        </w:rPr>
        <w:t xml:space="preserve">2 </w:t>
      </w:r>
      <w:r w:rsidRPr="00667551">
        <w:t>as</w:t>
      </w:r>
      <w:r>
        <w:rPr>
          <w:vertAlign w:val="subscript"/>
        </w:rPr>
        <w:t xml:space="preserve"> </w:t>
      </w:r>
      <w:r w:rsidRPr="00667551">
        <w:t>the</w:t>
      </w:r>
      <w:r>
        <w:rPr>
          <w:vertAlign w:val="subscript"/>
        </w:rPr>
        <w:t xml:space="preserve"> </w:t>
      </w:r>
      <w:r w:rsidRPr="003955CD">
        <w:t>discharge</w:t>
      </w:r>
      <w:r>
        <w:rPr>
          <w:vertAlign w:val="subscript"/>
        </w:rPr>
        <w:t xml:space="preserve"> </w:t>
      </w:r>
      <w:r>
        <w:t>product,</w:t>
      </w:r>
      <w:r w:rsidRPr="00AD6F47">
        <w:t xml:space="preserve"> </w:t>
      </w:r>
      <w:r>
        <w:t>however</w:t>
      </w:r>
      <w:r w:rsidRPr="00AD6F47">
        <w:t xml:space="preserve"> sodium carbonate and carboxylates </w:t>
      </w:r>
      <w:r>
        <w:t>have now been</w:t>
      </w:r>
      <w:r w:rsidRPr="00AD6F47">
        <w:t xml:space="preserve"> detected more recent</w:t>
      </w:r>
      <w:r>
        <w:t xml:space="preserve">ly, and </w:t>
      </w:r>
      <w:proofErr w:type="spellStart"/>
      <w:r>
        <w:t>throught</w:t>
      </w:r>
      <w:proofErr w:type="spellEnd"/>
      <w:r>
        <w:t xml:space="preserve"> to be the major discharge product</w:t>
      </w:r>
      <w:r w:rsidRPr="00AD6F47">
        <w:t>.</w:t>
      </w:r>
      <w:r w:rsidRPr="009B4CED">
        <w:rPr>
          <w:noProof/>
          <w:vertAlign w:val="superscript"/>
        </w:rPr>
        <w:t>[8]</w:t>
      </w:r>
      <w:r>
        <w:t xml:space="preserve"> These</w:t>
      </w:r>
      <w:r w:rsidRPr="00AD6F47">
        <w:t xml:space="preserve"> </w:t>
      </w:r>
      <w:r>
        <w:t>observations</w:t>
      </w:r>
      <w:r w:rsidRPr="00AD6F47">
        <w:t xml:space="preserve"> </w:t>
      </w:r>
      <w:r>
        <w:t xml:space="preserve">match the behaviour observed in </w:t>
      </w:r>
      <w:r w:rsidRPr="00AD6F47">
        <w:t xml:space="preserve"> Li-O</w:t>
      </w:r>
      <w:r w:rsidRPr="00AD6F47">
        <w:rPr>
          <w:vertAlign w:val="subscript"/>
        </w:rPr>
        <w:t>2</w:t>
      </w:r>
      <w:r w:rsidRPr="00AD6F47">
        <w:t xml:space="preserve"> cell</w:t>
      </w:r>
      <w:r>
        <w:t>s cycled in organic carbonates as the main solvent</w:t>
      </w:r>
      <w:r w:rsidRPr="00AD6F47">
        <w:t>.</w:t>
      </w:r>
      <w:r w:rsidRPr="009B4CED">
        <w:rPr>
          <w:noProof/>
          <w:vertAlign w:val="superscript"/>
        </w:rPr>
        <w:t>[6d]</w:t>
      </w:r>
      <w:r w:rsidRPr="00AD6F47">
        <w:t xml:space="preserve"> </w:t>
      </w:r>
      <w:proofErr w:type="spellStart"/>
      <w:r w:rsidRPr="00AD6F47">
        <w:t>Glyme</w:t>
      </w:r>
      <w:proofErr w:type="spellEnd"/>
      <w:r w:rsidRPr="00AD6F47">
        <w:t xml:space="preserve"> based electrolytes; including </w:t>
      </w:r>
      <w:proofErr w:type="spellStart"/>
      <w:r w:rsidRPr="00AD6F47">
        <w:t>tetraethylene</w:t>
      </w:r>
      <w:proofErr w:type="spellEnd"/>
      <w:r w:rsidRPr="00AD6F47">
        <w:t xml:space="preserve"> glycol dimethyl ether (TEGDME) and </w:t>
      </w:r>
      <w:proofErr w:type="spellStart"/>
      <w:r w:rsidRPr="00AD6F47">
        <w:t>diethylene</w:t>
      </w:r>
      <w:proofErr w:type="spellEnd"/>
      <w:r w:rsidRPr="00AD6F47">
        <w:t xml:space="preserve"> glycol dimethyl ether (DEGDME) have shown evidence of NaO</w:t>
      </w:r>
      <w:r w:rsidRPr="00AD6F47">
        <w:rPr>
          <w:vertAlign w:val="subscript"/>
        </w:rPr>
        <w:t>2</w:t>
      </w:r>
      <w:r>
        <w:t>,</w:t>
      </w:r>
      <w:r w:rsidRPr="00AD6F47">
        <w:t xml:space="preserve"> Na</w:t>
      </w:r>
      <w:r w:rsidRPr="00AD6F47">
        <w:rPr>
          <w:vertAlign w:val="subscript"/>
        </w:rPr>
        <w:t>2</w:t>
      </w:r>
      <w:r w:rsidRPr="00AD6F47">
        <w:t>O</w:t>
      </w:r>
      <w:r w:rsidRPr="00AD6F47">
        <w:rPr>
          <w:vertAlign w:val="subscript"/>
        </w:rPr>
        <w:t>2</w:t>
      </w:r>
      <w:r>
        <w:t xml:space="preserve"> and Na</w:t>
      </w:r>
      <w:r w:rsidRPr="00D77CE9">
        <w:rPr>
          <w:vertAlign w:val="subscript"/>
        </w:rPr>
        <w:t>2</w:t>
      </w:r>
      <w:r>
        <w:t>O</w:t>
      </w:r>
      <w:r w:rsidRPr="00D77CE9">
        <w:rPr>
          <w:vertAlign w:val="subscript"/>
        </w:rPr>
        <w:t>2</w:t>
      </w:r>
      <w:r>
        <w:t>.H</w:t>
      </w:r>
      <w:r w:rsidRPr="00D77CE9">
        <w:rPr>
          <w:vertAlign w:val="subscript"/>
        </w:rPr>
        <w:t>2</w:t>
      </w:r>
      <w:r>
        <w:t>O</w:t>
      </w:r>
      <w:r w:rsidRPr="00AD6F47">
        <w:rPr>
          <w:vertAlign w:val="subscript"/>
        </w:rPr>
        <w:t xml:space="preserve"> </w:t>
      </w:r>
      <w:r w:rsidRPr="00AD6F47">
        <w:lastRenderedPageBreak/>
        <w:t>products.</w:t>
      </w:r>
      <w:r w:rsidRPr="009B4CED">
        <w:rPr>
          <w:noProof/>
          <w:vertAlign w:val="superscript"/>
        </w:rPr>
        <w:t>[6a, 8]</w:t>
      </w:r>
      <w:r w:rsidRPr="00AD6F47">
        <w:t xml:space="preserve"> One </w:t>
      </w:r>
      <w:r>
        <w:t>major aspect</w:t>
      </w:r>
      <w:r w:rsidRPr="00AD6F47">
        <w:t xml:space="preserve"> of </w:t>
      </w:r>
      <w:r>
        <w:t>metal-O</w:t>
      </w:r>
      <w:r w:rsidRPr="00D77CE9">
        <w:rPr>
          <w:vertAlign w:val="subscript"/>
        </w:rPr>
        <w:t>2</w:t>
      </w:r>
      <w:r>
        <w:t xml:space="preserve"> battery enquiry</w:t>
      </w:r>
      <w:r w:rsidRPr="00AD6F47">
        <w:t xml:space="preserve"> is the inducement of a solution based mechanism to enhance discharge capacity.</w:t>
      </w:r>
      <w:r w:rsidRPr="009B4CED">
        <w:rPr>
          <w:noProof/>
          <w:vertAlign w:val="superscript"/>
        </w:rPr>
        <w:t>[6a, 9]</w:t>
      </w:r>
      <w:r w:rsidRPr="00AD6F47">
        <w:t xml:space="preserve"> This is achieved through the solvation of superoxide or control of the Lewis acidity of the alkali metal cation and hence the strength of alkali metal superoxide interactions.</w:t>
      </w:r>
      <w:r w:rsidRPr="009B4CED">
        <w:rPr>
          <w:noProof/>
          <w:vertAlign w:val="superscript"/>
        </w:rPr>
        <w:t>[9b, 10]</w:t>
      </w:r>
      <w:r w:rsidRPr="00AD6F47">
        <w:t xml:space="preserve"> </w:t>
      </w:r>
    </w:p>
    <w:p w:rsidR="00A06C6E" w:rsidRDefault="00A06C6E" w:rsidP="001C60F3">
      <w:pPr>
        <w:pStyle w:val="P1withIndendation"/>
        <w:spacing w:after="0"/>
      </w:pPr>
      <w:r w:rsidRPr="00AD6F47">
        <w:t xml:space="preserve">Solvation of superoxide through </w:t>
      </w:r>
      <w:r>
        <w:t>controlled water content increases</w:t>
      </w:r>
      <w:r w:rsidRPr="00AD6F47">
        <w:t xml:space="preserve"> discharge product</w:t>
      </w:r>
      <w:r>
        <w:t xml:space="preserve"> size including</w:t>
      </w:r>
      <w:r w:rsidRPr="00AD6F47">
        <w:t xml:space="preserve"> </w:t>
      </w:r>
      <w:proofErr w:type="spellStart"/>
      <w:r w:rsidRPr="00AD6F47">
        <w:t>toroid</w:t>
      </w:r>
      <w:r>
        <w:t>al</w:t>
      </w:r>
      <w:proofErr w:type="spellEnd"/>
      <w:r w:rsidRPr="00AD6F47">
        <w:t xml:space="preserve"> </w:t>
      </w:r>
      <w:proofErr w:type="gramStart"/>
      <w:r w:rsidRPr="00AD6F47">
        <w:t>Li</w:t>
      </w:r>
      <w:r w:rsidRPr="00AD6F47">
        <w:rPr>
          <w:vertAlign w:val="subscript"/>
        </w:rPr>
        <w:t>2</w:t>
      </w:r>
      <w:r w:rsidRPr="00AD6F47">
        <w:t>O</w:t>
      </w:r>
      <w:r w:rsidRPr="00AD6F47">
        <w:rPr>
          <w:vertAlign w:val="subscript"/>
        </w:rPr>
        <w:t>2</w:t>
      </w:r>
      <w:r w:rsidRPr="009B4CED">
        <w:rPr>
          <w:noProof/>
          <w:vertAlign w:val="superscript"/>
        </w:rPr>
        <w:t>[</w:t>
      </w:r>
      <w:proofErr w:type="gramEnd"/>
      <w:r w:rsidRPr="009B4CED">
        <w:rPr>
          <w:noProof/>
          <w:vertAlign w:val="superscript"/>
        </w:rPr>
        <w:t>9a]</w:t>
      </w:r>
      <w:r w:rsidRPr="00AD6F47">
        <w:t xml:space="preserve"> and </w:t>
      </w:r>
      <w:r>
        <w:t xml:space="preserve">cubic </w:t>
      </w:r>
      <w:r w:rsidRPr="00AD6F47">
        <w:t>NaO</w:t>
      </w:r>
      <w:r w:rsidRPr="00AD6F47">
        <w:rPr>
          <w:vertAlign w:val="subscript"/>
        </w:rPr>
        <w:t>2</w:t>
      </w:r>
      <w:r>
        <w:t>.</w:t>
      </w:r>
      <w:r w:rsidRPr="009B4CED">
        <w:rPr>
          <w:noProof/>
          <w:vertAlign w:val="superscript"/>
        </w:rPr>
        <w:t>[6a, 11]</w:t>
      </w:r>
      <w:r w:rsidRPr="00AD6F47">
        <w:t>. Further understanding of this process in Na-O</w:t>
      </w:r>
      <w:r w:rsidRPr="00AD6F47">
        <w:rPr>
          <w:vertAlign w:val="subscript"/>
        </w:rPr>
        <w:t>2</w:t>
      </w:r>
      <w:r>
        <w:t xml:space="preserve"> has established</w:t>
      </w:r>
      <w:r w:rsidRPr="00AD6F47">
        <w:t xml:space="preserve"> </w:t>
      </w:r>
      <w:r>
        <w:t xml:space="preserve">that the </w:t>
      </w:r>
      <w:r w:rsidRPr="00AD6F47">
        <w:t>electrolyte acidic proton content promot</w:t>
      </w:r>
      <w:r>
        <w:t>es</w:t>
      </w:r>
      <w:r w:rsidRPr="00AD6F47">
        <w:t xml:space="preserve"> the formation of HO</w:t>
      </w:r>
      <w:r w:rsidRPr="00AD6F47">
        <w:rPr>
          <w:vertAlign w:val="subscript"/>
        </w:rPr>
        <w:t>2</w:t>
      </w:r>
      <w:r w:rsidRPr="00AD6F47">
        <w:t xml:space="preserve"> radicals as a phase transfer catalyst</w:t>
      </w:r>
      <w:proofErr w:type="gramStart"/>
      <w:r w:rsidRPr="00AD6F47">
        <w:t>.</w:t>
      </w:r>
      <w:r w:rsidRPr="009B4CED">
        <w:rPr>
          <w:noProof/>
          <w:vertAlign w:val="superscript"/>
        </w:rPr>
        <w:t>[</w:t>
      </w:r>
      <w:proofErr w:type="gramEnd"/>
      <w:r w:rsidRPr="009B4CED">
        <w:rPr>
          <w:noProof/>
          <w:vertAlign w:val="superscript"/>
        </w:rPr>
        <w:t>6a, 12]</w:t>
      </w:r>
      <w:r w:rsidRPr="00AD6F47">
        <w:t xml:space="preserve"> According to </w:t>
      </w:r>
      <w:r>
        <w:t>Xia</w:t>
      </w:r>
      <w:r w:rsidRPr="00AD6F47">
        <w:t xml:space="preserve"> </w:t>
      </w:r>
      <w:r w:rsidRPr="00AD6F47">
        <w:rPr>
          <w:i/>
        </w:rPr>
        <w:t>et al</w:t>
      </w:r>
      <w:r w:rsidRPr="009B4CED">
        <w:rPr>
          <w:i/>
          <w:noProof/>
          <w:vertAlign w:val="superscript"/>
        </w:rPr>
        <w:t>[6a]</w:t>
      </w:r>
      <w:r w:rsidRPr="00AD6F47">
        <w:rPr>
          <w:i/>
        </w:rPr>
        <w:t xml:space="preserve"> </w:t>
      </w:r>
      <w:r w:rsidRPr="00AD6F47">
        <w:t>HO</w:t>
      </w:r>
      <w:r w:rsidRPr="00AD6F47">
        <w:rPr>
          <w:vertAlign w:val="subscript"/>
        </w:rPr>
        <w:t>2</w:t>
      </w:r>
      <w:r w:rsidRPr="00AD6F47">
        <w:t xml:space="preserve"> enables the removal of superoxide from the surface above 5</w:t>
      </w:r>
      <w:r>
        <w:t xml:space="preserve"> </w:t>
      </w:r>
      <w:r w:rsidRPr="00AD6F47">
        <w:t>ppm H</w:t>
      </w:r>
      <w:r w:rsidRPr="00AD6F47">
        <w:rPr>
          <w:vertAlign w:val="subscript"/>
        </w:rPr>
        <w:t>2</w:t>
      </w:r>
      <w:r w:rsidRPr="00AD6F47">
        <w:t>O/H</w:t>
      </w:r>
      <w:r w:rsidRPr="00AD6F47">
        <w:rPr>
          <w:vertAlign w:val="superscript"/>
        </w:rPr>
        <w:t>+</w:t>
      </w:r>
      <w:r w:rsidRPr="00AD6F47">
        <w:t xml:space="preserve"> content and a subsequent solution metathesis reaction with Na</w:t>
      </w:r>
      <w:r w:rsidRPr="00AD6F47">
        <w:rPr>
          <w:vertAlign w:val="superscript"/>
        </w:rPr>
        <w:t>+</w:t>
      </w:r>
      <w:r w:rsidRPr="00AD6F47">
        <w:t xml:space="preserve"> creates NaO</w:t>
      </w:r>
      <w:r w:rsidRPr="00AD6F47">
        <w:rPr>
          <w:vertAlign w:val="subscript"/>
        </w:rPr>
        <w:t>2</w:t>
      </w:r>
      <w:r w:rsidRPr="00AD6F47">
        <w:t xml:space="preserve"> nuclei that precipitate on the electrode</w:t>
      </w:r>
      <w:r>
        <w:t xml:space="preserve"> surface</w:t>
      </w:r>
      <w:r w:rsidRPr="00AD6F47">
        <w:t xml:space="preserve">. Similarly </w:t>
      </w:r>
      <w:r>
        <w:t>a</w:t>
      </w:r>
      <w:r w:rsidRPr="00AD6F47">
        <w:t xml:space="preserve"> recent study by </w:t>
      </w:r>
      <w:proofErr w:type="spellStart"/>
      <w:r w:rsidRPr="00AD6F47">
        <w:t>Jirkovsky</w:t>
      </w:r>
      <w:proofErr w:type="spellEnd"/>
      <w:r w:rsidRPr="00AD6F47">
        <w:t xml:space="preserve"> </w:t>
      </w:r>
      <w:r w:rsidRPr="00AD6F47">
        <w:rPr>
          <w:i/>
        </w:rPr>
        <w:t>et al</w:t>
      </w:r>
      <w:r w:rsidR="00E21CDE">
        <w:rPr>
          <w:i/>
        </w:rPr>
        <w:t xml:space="preserve"> </w:t>
      </w:r>
      <w:r w:rsidRPr="00E21CDE">
        <w:rPr>
          <w:noProof/>
          <w:vertAlign w:val="superscript"/>
        </w:rPr>
        <w:t>[13]</w:t>
      </w:r>
      <w:r w:rsidRPr="00AD6F47">
        <w:rPr>
          <w:i/>
        </w:rPr>
        <w:t xml:space="preserve"> </w:t>
      </w:r>
      <w:r w:rsidRPr="00AD6F47">
        <w:t>states that even small amounts of water (10-16</w:t>
      </w:r>
      <w:r>
        <w:t xml:space="preserve"> </w:t>
      </w:r>
      <w:r w:rsidRPr="00AD6F47">
        <w:t xml:space="preserve">ppm) enhances the oxygen reduction reaction </w:t>
      </w:r>
      <w:r>
        <w:t>(ORR) kinetics</w:t>
      </w:r>
      <w:r w:rsidRPr="00AD6F47">
        <w:t xml:space="preserve">. The </w:t>
      </w:r>
      <w:r w:rsidR="00C70B54" w:rsidRPr="00AD6F47">
        <w:t>suggested</w:t>
      </w:r>
      <w:r w:rsidR="00C70B54" w:rsidRPr="00AD6F47">
        <w:t xml:space="preserve"> </w:t>
      </w:r>
      <w:r w:rsidRPr="00AD6F47">
        <w:t xml:space="preserve">mechanism </w:t>
      </w:r>
      <w:r w:rsidR="00C70B54">
        <w:t xml:space="preserve">defines </w:t>
      </w:r>
      <w:r w:rsidRPr="00AD6F47">
        <w:t xml:space="preserve">the role of water as </w:t>
      </w:r>
      <w:r w:rsidR="00C70B54">
        <w:t xml:space="preserve">an active </w:t>
      </w:r>
      <w:r w:rsidRPr="00AD6F47">
        <w:t xml:space="preserve">part of surface intermediates, </w:t>
      </w:r>
      <w:r w:rsidR="00C70B54">
        <w:t>via hydrogen bonding</w:t>
      </w:r>
      <w:r w:rsidRPr="00AD6F47">
        <w:t xml:space="preserve"> to LiO</w:t>
      </w:r>
      <w:r w:rsidRPr="00AD6F47">
        <w:rPr>
          <w:vertAlign w:val="subscript"/>
        </w:rPr>
        <w:t>2</w:t>
      </w:r>
      <w:r w:rsidRPr="00AD6F47">
        <w:t>, which promotes the formation of Li</w:t>
      </w:r>
      <w:r w:rsidRPr="00AD6F47">
        <w:rPr>
          <w:vertAlign w:val="subscript"/>
        </w:rPr>
        <w:t>2</w:t>
      </w:r>
      <w:r w:rsidRPr="00AD6F47">
        <w:t>O</w:t>
      </w:r>
      <w:r w:rsidRPr="00AD6F47">
        <w:rPr>
          <w:vertAlign w:val="subscript"/>
        </w:rPr>
        <w:t xml:space="preserve">2 </w:t>
      </w:r>
      <w:r w:rsidRPr="00AD6F47">
        <w:t>and the resulting partial dissociation of H</w:t>
      </w:r>
      <w:r w:rsidRPr="00AD6F47">
        <w:rPr>
          <w:vertAlign w:val="subscript"/>
        </w:rPr>
        <w:t>2</w:t>
      </w:r>
      <w:r w:rsidRPr="00AD6F47">
        <w:t>O to HO</w:t>
      </w:r>
      <w:r w:rsidRPr="00AD6F47">
        <w:rPr>
          <w:vertAlign w:val="subscript"/>
        </w:rPr>
        <w:t xml:space="preserve">2 </w:t>
      </w:r>
      <w:r w:rsidRPr="00AD6F47">
        <w:t>and</w:t>
      </w:r>
      <w:r w:rsidRPr="00AD6F47">
        <w:rPr>
          <w:vertAlign w:val="subscript"/>
        </w:rPr>
        <w:t xml:space="preserve"> </w:t>
      </w:r>
      <w:r w:rsidRPr="00AD6F47">
        <w:t>OH</w:t>
      </w:r>
      <w:r w:rsidRPr="00AD6F47">
        <w:rPr>
          <w:vertAlign w:val="superscript"/>
        </w:rPr>
        <w:t>-</w:t>
      </w:r>
      <w:r w:rsidR="00E21CDE">
        <w:rPr>
          <w:vertAlign w:val="subscript"/>
        </w:rPr>
        <w:t>.</w:t>
      </w:r>
      <w:r w:rsidRPr="009B4CED">
        <w:rPr>
          <w:noProof/>
          <w:vertAlign w:val="superscript"/>
        </w:rPr>
        <w:t>[13]</w:t>
      </w:r>
      <w:r w:rsidRPr="00AD6F47">
        <w:rPr>
          <w:vertAlign w:val="subscript"/>
        </w:rPr>
        <w:t xml:space="preserve"> </w:t>
      </w:r>
      <w:r>
        <w:t xml:space="preserve">Superior discharge capacity has been </w:t>
      </w:r>
      <w:r>
        <w:t>demonstrated with</w:t>
      </w:r>
      <w:r w:rsidRPr="00AD6F47">
        <w:t xml:space="preserve"> </w:t>
      </w:r>
      <w:r>
        <w:t xml:space="preserve">benzoic, and </w:t>
      </w:r>
      <w:r w:rsidRPr="00AD6F47">
        <w:t>acetic acid</w:t>
      </w:r>
      <w:r>
        <w:t xml:space="preserve"> </w:t>
      </w:r>
      <w:r w:rsidRPr="00AD6F47">
        <w:t>in Na-O</w:t>
      </w:r>
      <w:r w:rsidRPr="00AD6F47">
        <w:rPr>
          <w:vertAlign w:val="subscript"/>
        </w:rPr>
        <w:t>2</w:t>
      </w:r>
      <w:r w:rsidRPr="00AD6F47">
        <w:t xml:space="preserve"> and </w:t>
      </w:r>
      <w:r>
        <w:t xml:space="preserve">along with phenol and </w:t>
      </w:r>
      <w:r w:rsidRPr="00AD6F47">
        <w:t>ethanol in Li-O</w:t>
      </w:r>
      <w:r w:rsidRPr="00AD6F47">
        <w:rPr>
          <w:vertAlign w:val="subscript"/>
        </w:rPr>
        <w:t>2</w:t>
      </w:r>
      <w:r>
        <w:rPr>
          <w:vertAlign w:val="subscript"/>
        </w:rPr>
        <w:t>.</w:t>
      </w:r>
      <w:r>
        <w:t xml:space="preserve"> This provides additional evidence for this phenomenon</w:t>
      </w:r>
      <w:proofErr w:type="gramStart"/>
      <w:r w:rsidRPr="00AD6F47">
        <w:t>.</w:t>
      </w:r>
      <w:r w:rsidRPr="009B4CED">
        <w:rPr>
          <w:noProof/>
          <w:vertAlign w:val="superscript"/>
        </w:rPr>
        <w:t>[</w:t>
      </w:r>
      <w:proofErr w:type="gramEnd"/>
      <w:r w:rsidRPr="009B4CED">
        <w:rPr>
          <w:noProof/>
          <w:vertAlign w:val="superscript"/>
        </w:rPr>
        <w:t>6a, 6b]</w:t>
      </w:r>
      <w:r w:rsidRPr="00AD6F47">
        <w:t xml:space="preserve"> </w:t>
      </w:r>
    </w:p>
    <w:p w:rsidR="00A06C6E" w:rsidRDefault="00A06C6E" w:rsidP="006E5CCC">
      <w:pPr>
        <w:pStyle w:val="P1withIndendation"/>
      </w:pPr>
      <w:r w:rsidRPr="00AD6F47">
        <w:t xml:space="preserve">In </w:t>
      </w:r>
      <w:r>
        <w:t xml:space="preserve">very </w:t>
      </w:r>
      <w:r w:rsidRPr="00AD6F47">
        <w:t>dry electrolytes (≤</w:t>
      </w:r>
      <w:r>
        <w:t xml:space="preserve"> </w:t>
      </w:r>
      <w:r w:rsidRPr="00AD6F47">
        <w:t>10</w:t>
      </w:r>
      <w:r>
        <w:t xml:space="preserve"> </w:t>
      </w:r>
      <w:r w:rsidRPr="00AD6F47">
        <w:t>ppm) control of the Lewis acidity of the alkali metal cation through electrolyte solvation allows alkali metal – superoxide ion pairs to form and react within the double layer enhancing discharge capacity</w:t>
      </w:r>
      <w:proofErr w:type="gramStart"/>
      <w:r w:rsidRPr="00AD6F47">
        <w:t>.</w:t>
      </w:r>
      <w:r w:rsidRPr="009B4CED">
        <w:rPr>
          <w:noProof/>
          <w:vertAlign w:val="superscript"/>
        </w:rPr>
        <w:t>[</w:t>
      </w:r>
      <w:proofErr w:type="gramEnd"/>
      <w:r w:rsidRPr="009B4CED">
        <w:rPr>
          <w:noProof/>
          <w:vertAlign w:val="superscript"/>
        </w:rPr>
        <w:t>9b]</w:t>
      </w:r>
      <w:r w:rsidRPr="00AD6F47">
        <w:t xml:space="preserve"> Once in solution LiO</w:t>
      </w:r>
      <w:r w:rsidRPr="00AD6F47">
        <w:rPr>
          <w:vertAlign w:val="subscript"/>
        </w:rPr>
        <w:t>2</w:t>
      </w:r>
      <w:r w:rsidRPr="00AD6F47">
        <w:t xml:space="preserve"> may undergo a 2</w:t>
      </w:r>
      <w:r w:rsidRPr="00AD6F47">
        <w:rPr>
          <w:vertAlign w:val="superscript"/>
        </w:rPr>
        <w:t>nd</w:t>
      </w:r>
      <w:r w:rsidRPr="00AD6F47">
        <w:t xml:space="preserve"> electron addition or a chemical disproportionation reaction to form Li</w:t>
      </w:r>
      <w:r w:rsidRPr="00AD6F47">
        <w:rPr>
          <w:vertAlign w:val="subscript"/>
        </w:rPr>
        <w:t>2</w:t>
      </w:r>
      <w:r w:rsidRPr="00AD6F47">
        <w:t>O</w:t>
      </w:r>
      <w:r w:rsidRPr="00AD6F47">
        <w:rPr>
          <w:vertAlign w:val="subscript"/>
        </w:rPr>
        <w:t>2.</w:t>
      </w:r>
      <w:r w:rsidRPr="00AD6F47">
        <w:t xml:space="preserve"> These observations were qualitatively compared to Guttmann donor number</w:t>
      </w:r>
      <w:r w:rsidR="00A71048">
        <w:t>,</w:t>
      </w:r>
      <w:r w:rsidRPr="00AD6F47">
        <w:t xml:space="preserve"> whereby high donor number solvents, including </w:t>
      </w:r>
      <w:proofErr w:type="spellStart"/>
      <w:r w:rsidRPr="00AD6F47">
        <w:t>dimethylsulfoxide</w:t>
      </w:r>
      <w:proofErr w:type="spellEnd"/>
      <w:r w:rsidRPr="00AD6F47">
        <w:t xml:space="preserve"> (DMSO), are able to better support a solution based mechanism enhancing battery capacity.</w:t>
      </w:r>
      <w:r w:rsidRPr="009B4CED">
        <w:rPr>
          <w:noProof/>
          <w:vertAlign w:val="superscript"/>
        </w:rPr>
        <w:t>[9b]</w:t>
      </w:r>
      <w:r w:rsidRPr="00AD6F47">
        <w:t xml:space="preserve"> Mid and low ranged donor number solvents lack the solvation power to support a solution based mechanism.</w:t>
      </w:r>
      <w:r w:rsidRPr="009B4CED">
        <w:rPr>
          <w:noProof/>
          <w:vertAlign w:val="superscript"/>
        </w:rPr>
        <w:t>[9b]</w:t>
      </w:r>
      <w:r w:rsidRPr="00AD6F47">
        <w:t xml:space="preserve"> By utilising </w:t>
      </w:r>
      <w:r w:rsidRPr="00AD6F47">
        <w:rPr>
          <w:i/>
        </w:rPr>
        <w:t xml:space="preserve">in situ </w:t>
      </w:r>
      <w:r w:rsidRPr="00AD6F47">
        <w:t>surface enhanced Raman spectroscopy</w:t>
      </w:r>
      <w:r>
        <w:t xml:space="preserve"> (SERS)</w:t>
      </w:r>
      <w:r w:rsidRPr="00AD6F47">
        <w:t xml:space="preserve"> as a interfacial probe</w:t>
      </w:r>
      <w:r>
        <w:t>,</w:t>
      </w:r>
      <w:r w:rsidRPr="00AD6F47">
        <w:t xml:space="preserve"> </w:t>
      </w:r>
      <w:r>
        <w:t>we</w:t>
      </w:r>
      <w:r w:rsidRPr="00AD6F47">
        <w:t xml:space="preserve"> will </w:t>
      </w:r>
      <w:r>
        <w:t>investigate</w:t>
      </w:r>
      <w:r w:rsidRPr="00AD6F47">
        <w:t xml:space="preserve"> the different features </w:t>
      </w:r>
      <w:r>
        <w:t>for</w:t>
      </w:r>
      <w:r w:rsidRPr="00AD6F47">
        <w:t xml:space="preserve"> inducing a solution based mechanism on the oxygen reduction reaction (ORR) in relation to the fundamental chemistry of sodium oxygen cells.</w:t>
      </w:r>
    </w:p>
    <w:p w:rsidR="00D56D97" w:rsidRDefault="00A06C6E" w:rsidP="00D56D97">
      <w:pPr>
        <w:pStyle w:val="P1withIndendation"/>
        <w:spacing w:after="0"/>
        <w:sectPr w:rsidR="00D56D97" w:rsidSect="006E5CCC">
          <w:type w:val="continuous"/>
          <w:pgSz w:w="11906" w:h="16838" w:code="9"/>
          <w:pgMar w:top="1673" w:right="936" w:bottom="1134" w:left="936" w:header="709" w:footer="709" w:gutter="0"/>
          <w:cols w:num="2" w:space="284"/>
          <w:docGrid w:linePitch="360"/>
        </w:sectPr>
      </w:pPr>
      <w:r w:rsidRPr="00536D53">
        <w:rPr>
          <w:b/>
        </w:rPr>
        <w:t>Results and discussion</w:t>
      </w:r>
      <w:r>
        <w:rPr>
          <w:b/>
        </w:rPr>
        <w:t xml:space="preserve">: </w:t>
      </w:r>
      <w:r>
        <w:t>A detailed electrochemical study is presented within the supporting information (</w:t>
      </w:r>
      <w:r w:rsidRPr="00D76B89">
        <w:rPr>
          <w:b/>
        </w:rPr>
        <w:t>Fig</w:t>
      </w:r>
      <w:r>
        <w:rPr>
          <w:b/>
        </w:rPr>
        <w:t>s</w:t>
      </w:r>
      <w:r w:rsidRPr="00D76B89">
        <w:rPr>
          <w:b/>
        </w:rPr>
        <w:t>. S1</w:t>
      </w:r>
      <w:r>
        <w:rPr>
          <w:b/>
        </w:rPr>
        <w:t xml:space="preserve"> and S2, tables S1-S4).</w:t>
      </w:r>
      <w:r>
        <w:t xml:space="preserve"> Variations in the CV response are observed that are dependent both on electrode substrate and solvent, however limited mechanistic insight can be directly acquired. </w:t>
      </w:r>
      <w:r w:rsidRPr="00536D53">
        <w:t>SERS data provides insight into surface present species</w:t>
      </w:r>
      <w:r>
        <w:t xml:space="preserve"> and intermediates</w:t>
      </w:r>
      <w:r w:rsidRPr="00536D53">
        <w:t>. Applying this</w:t>
      </w:r>
      <w:r>
        <w:t xml:space="preserve"> technique to each electrolyte system it is apparent </w:t>
      </w:r>
    </w:p>
    <w:p w:rsidR="00D56D97" w:rsidRDefault="00D56D97" w:rsidP="00D56D97">
      <w:pPr>
        <w:pStyle w:val="P1withIndendation"/>
        <w:spacing w:after="0"/>
      </w:pPr>
    </w:p>
    <w:p w:rsidR="00D56D97" w:rsidRDefault="00D56D97" w:rsidP="00D56D97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noProof/>
          <w:sz w:val="17"/>
          <w:szCs w:val="17"/>
          <w:lang w:val="en-GB"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0EE2716A" wp14:editId="20259F50">
            <wp:simplePos x="594995" y="2173605"/>
            <wp:positionH relativeFrom="margin">
              <wp:align>center</wp:align>
            </wp:positionH>
            <wp:positionV relativeFrom="margin">
              <wp:align>top</wp:align>
            </wp:positionV>
            <wp:extent cx="6371590" cy="5461635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2.01.02.16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1590" cy="546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6D97" w:rsidRDefault="00D56D97" w:rsidP="00D56D97">
      <w:pPr>
        <w:rPr>
          <w:rFonts w:ascii="Arial" w:hAnsi="Arial" w:cs="Arial"/>
          <w:b/>
          <w:sz w:val="17"/>
          <w:szCs w:val="17"/>
        </w:rPr>
        <w:sectPr w:rsidR="00D56D97" w:rsidSect="00A27FCA">
          <w:type w:val="continuous"/>
          <w:pgSz w:w="11906" w:h="16838" w:code="9"/>
          <w:pgMar w:top="1673" w:right="936" w:bottom="1134" w:left="936" w:header="709" w:footer="709" w:gutter="0"/>
          <w:cols w:num="2" w:space="284"/>
          <w:docGrid w:linePitch="360"/>
        </w:sectPr>
      </w:pPr>
    </w:p>
    <w:p w:rsidR="00D56D97" w:rsidRDefault="00D56D97" w:rsidP="00D56D97">
      <w:pPr>
        <w:rPr>
          <w:rFonts w:ascii="Arial" w:hAnsi="Arial" w:cs="Arial"/>
          <w:b/>
          <w:sz w:val="17"/>
          <w:szCs w:val="17"/>
        </w:rPr>
        <w:sectPr w:rsidR="00D56D97" w:rsidSect="00D56D97">
          <w:type w:val="continuous"/>
          <w:pgSz w:w="11906" w:h="16838" w:code="9"/>
          <w:pgMar w:top="1673" w:right="936" w:bottom="1134" w:left="936" w:header="709" w:footer="709" w:gutter="0"/>
          <w:cols w:space="284"/>
          <w:docGrid w:linePitch="360"/>
        </w:sectPr>
      </w:pPr>
      <w:r w:rsidRPr="000237D5">
        <w:rPr>
          <w:rFonts w:ascii="Arial" w:hAnsi="Arial" w:cs="Arial"/>
          <w:b/>
          <w:sz w:val="17"/>
          <w:szCs w:val="17"/>
        </w:rPr>
        <w:lastRenderedPageBreak/>
        <w:t xml:space="preserve">Fig </w:t>
      </w:r>
      <w:r>
        <w:rPr>
          <w:rFonts w:ascii="Arial" w:hAnsi="Arial" w:cs="Arial"/>
          <w:b/>
          <w:sz w:val="17"/>
          <w:szCs w:val="17"/>
        </w:rPr>
        <w:t>1</w:t>
      </w:r>
      <w:r w:rsidRPr="000237D5">
        <w:rPr>
          <w:rFonts w:ascii="Arial" w:hAnsi="Arial" w:cs="Arial"/>
          <w:b/>
          <w:sz w:val="17"/>
          <w:szCs w:val="17"/>
        </w:rPr>
        <w:t xml:space="preserve">. </w:t>
      </w:r>
      <w:r w:rsidRPr="00C137A8">
        <w:rPr>
          <w:rFonts w:ascii="Arial" w:hAnsi="Arial" w:cs="Arial"/>
          <w:b/>
          <w:i/>
          <w:sz w:val="17"/>
          <w:szCs w:val="17"/>
        </w:rPr>
        <w:t>In situ</w:t>
      </w:r>
      <w:r w:rsidRPr="000237D5">
        <w:rPr>
          <w:rFonts w:ascii="Arial" w:hAnsi="Arial" w:cs="Arial"/>
          <w:b/>
          <w:sz w:val="17"/>
          <w:szCs w:val="17"/>
        </w:rPr>
        <w:t xml:space="preserve"> SERS of oxygen enriched 0.1M NaOTf in a) DMSO, b) DMA, c) 1M NaOTf in DEGDME, and 0.1M NaOTf d) MeCN and roughened Au working disc electrodes at 23 °C, 0.1 V s</w:t>
      </w:r>
      <w:r w:rsidRPr="000237D5">
        <w:rPr>
          <w:rFonts w:ascii="Arial" w:hAnsi="Arial" w:cs="Arial"/>
          <w:b/>
          <w:sz w:val="17"/>
          <w:szCs w:val="17"/>
          <w:vertAlign w:val="superscript"/>
        </w:rPr>
        <w:t>−1</w:t>
      </w:r>
      <w:r w:rsidRPr="000237D5">
        <w:rPr>
          <w:rFonts w:ascii="Arial" w:hAnsi="Arial" w:cs="Arial"/>
          <w:b/>
          <w:sz w:val="17"/>
          <w:szCs w:val="17"/>
        </w:rPr>
        <w:t xml:space="preserve"> at varying potentials. </w:t>
      </w:r>
    </w:p>
    <w:p w:rsidR="00D56D97" w:rsidRDefault="00D56D97" w:rsidP="00D56D97">
      <w:pPr>
        <w:rPr>
          <w:rFonts w:ascii="Arial" w:hAnsi="Arial" w:cs="Arial"/>
          <w:b/>
          <w:sz w:val="17"/>
          <w:szCs w:val="17"/>
        </w:rPr>
        <w:sectPr w:rsidR="00D56D97" w:rsidSect="00A27FCA">
          <w:type w:val="continuous"/>
          <w:pgSz w:w="11906" w:h="16838" w:code="9"/>
          <w:pgMar w:top="1673" w:right="936" w:bottom="1134" w:left="936" w:header="709" w:footer="709" w:gutter="0"/>
          <w:cols w:num="2" w:space="284"/>
          <w:docGrid w:linePitch="360"/>
        </w:sectPr>
      </w:pPr>
    </w:p>
    <w:p w:rsidR="00D56D97" w:rsidRPr="000237D5" w:rsidRDefault="00D56D97" w:rsidP="00D56D97">
      <w:pPr>
        <w:rPr>
          <w:rFonts w:ascii="Arial" w:hAnsi="Arial" w:cs="Arial"/>
          <w:b/>
          <w:sz w:val="17"/>
          <w:szCs w:val="17"/>
        </w:rPr>
      </w:pPr>
    </w:p>
    <w:p w:rsidR="00A06C6E" w:rsidRDefault="00AB14B4" w:rsidP="00E107FC">
      <w:pPr>
        <w:pStyle w:val="P1withIndendation"/>
        <w:spacing w:after="0"/>
        <w:ind w:firstLine="0"/>
      </w:pPr>
      <w:proofErr w:type="gramStart"/>
      <w:r>
        <w:t>that</w:t>
      </w:r>
      <w:proofErr w:type="gramEnd"/>
      <w:r>
        <w:t xml:space="preserve"> </w:t>
      </w:r>
      <w:r w:rsidRPr="00536D53">
        <w:t xml:space="preserve">solvent </w:t>
      </w:r>
      <w:r>
        <w:t>choice can strongly affect</w:t>
      </w:r>
      <w:r w:rsidRPr="00536D53">
        <w:t xml:space="preserve"> the </w:t>
      </w:r>
      <w:r>
        <w:t>identity of</w:t>
      </w:r>
      <w:r w:rsidRPr="00536D53">
        <w:t xml:space="preserve"> </w:t>
      </w:r>
      <w:proofErr w:type="spellStart"/>
      <w:r>
        <w:t>Na</w:t>
      </w:r>
      <w:r w:rsidRPr="00C8030F">
        <w:rPr>
          <w:vertAlign w:val="subscript"/>
        </w:rPr>
        <w:t>x</w:t>
      </w:r>
      <w:r>
        <w:t>O</w:t>
      </w:r>
      <w:r w:rsidRPr="00C8030F">
        <w:rPr>
          <w:vertAlign w:val="subscript"/>
        </w:rPr>
        <w:t>y</w:t>
      </w:r>
      <w:proofErr w:type="spellEnd"/>
      <w:r>
        <w:t xml:space="preserve"> </w:t>
      </w:r>
      <w:r w:rsidRPr="00536D53">
        <w:t xml:space="preserve">species on planar roughened Au electrodes. </w:t>
      </w:r>
      <w:r>
        <w:t xml:space="preserve">High donor number </w:t>
      </w:r>
      <w:r w:rsidR="00A06C6E" w:rsidRPr="00536D53">
        <w:t xml:space="preserve">solvents, DMSO and DMA, upon discharge detect signals in the region for </w:t>
      </w:r>
      <w:r w:rsidR="00A06C6E">
        <w:t>O</w:t>
      </w:r>
      <w:r w:rsidR="00A06C6E" w:rsidRPr="005C425B">
        <w:rPr>
          <w:vertAlign w:val="subscript"/>
        </w:rPr>
        <w:t>2</w:t>
      </w:r>
      <w:r w:rsidR="00A06C6E" w:rsidRPr="005C425B">
        <w:rPr>
          <w:vertAlign w:val="superscript"/>
        </w:rPr>
        <w:t>-</w:t>
      </w:r>
      <w:r w:rsidR="00A06C6E" w:rsidRPr="008B1583">
        <w:t xml:space="preserve"> </w:t>
      </w:r>
      <w:r w:rsidR="00A06C6E" w:rsidRPr="00536D53">
        <w:t xml:space="preserve">and </w:t>
      </w:r>
      <w:r w:rsidR="00A06C6E">
        <w:t>NaO</w:t>
      </w:r>
      <w:r w:rsidR="00A06C6E" w:rsidRPr="005C425B">
        <w:rPr>
          <w:vertAlign w:val="subscript"/>
        </w:rPr>
        <w:t>2</w:t>
      </w:r>
      <w:r w:rsidR="00A06C6E">
        <w:t xml:space="preserve"> </w:t>
      </w:r>
      <w:r w:rsidR="00A06C6E" w:rsidRPr="004829E5">
        <w:rPr>
          <w:b/>
        </w:rPr>
        <w:t>(Fig. 1</w:t>
      </w:r>
      <w:r w:rsidR="00A06C6E">
        <w:rPr>
          <w:b/>
        </w:rPr>
        <w:t>a, b and Table 1</w:t>
      </w:r>
      <w:r w:rsidR="00A06C6E" w:rsidRPr="004829E5">
        <w:rPr>
          <w:b/>
        </w:rPr>
        <w:t>)</w:t>
      </w:r>
      <w:r w:rsidR="00A06C6E" w:rsidRPr="00536D53">
        <w:t xml:space="preserve">. </w:t>
      </w:r>
      <w:r w:rsidR="00A06C6E">
        <w:t>This agrees</w:t>
      </w:r>
      <w:r w:rsidR="00A06C6E" w:rsidRPr="00C8030F">
        <w:t xml:space="preserve"> </w:t>
      </w:r>
      <w:r w:rsidR="00A06C6E" w:rsidRPr="00536D53">
        <w:t>with electrochemical analysis for DMSO</w:t>
      </w:r>
      <w:r w:rsidR="00A06C6E">
        <w:t>,</w:t>
      </w:r>
      <w:r w:rsidR="00A06C6E" w:rsidRPr="00536D53">
        <w:t xml:space="preserve"> where upon exchanging the TEA</w:t>
      </w:r>
      <w:r w:rsidR="00A06C6E" w:rsidRPr="00536D53">
        <w:rPr>
          <w:vertAlign w:val="superscript"/>
        </w:rPr>
        <w:t xml:space="preserve">+ </w:t>
      </w:r>
      <w:r w:rsidR="00A06C6E" w:rsidRPr="00536D53">
        <w:t>with Na</w:t>
      </w:r>
      <w:r w:rsidR="00A06C6E" w:rsidRPr="00536D53">
        <w:rPr>
          <w:vertAlign w:val="superscript"/>
        </w:rPr>
        <w:t>+</w:t>
      </w:r>
      <w:r w:rsidR="00A06C6E" w:rsidRPr="00BB58B2">
        <w:t>,</w:t>
      </w:r>
      <w:r w:rsidR="00A06C6E" w:rsidRPr="00536D53">
        <w:t xml:space="preserve"> </w:t>
      </w:r>
      <w:r w:rsidR="00A06C6E">
        <w:t xml:space="preserve">only a small </w:t>
      </w:r>
      <w:r w:rsidR="00A06C6E" w:rsidRPr="00536D53">
        <w:t>variation</w:t>
      </w:r>
      <w:r w:rsidR="00A06C6E">
        <w:t xml:space="preserve"> in the CV response</w:t>
      </w:r>
      <w:r w:rsidR="00A06C6E" w:rsidRPr="00536D53">
        <w:t xml:space="preserve"> is </w:t>
      </w:r>
      <w:r w:rsidR="00A06C6E">
        <w:t>noted</w:t>
      </w:r>
      <w:r w:rsidR="00A06C6E" w:rsidRPr="00536D53">
        <w:t xml:space="preserve">. Corresponding Raman spectra for systems in the absence of alkali metal </w:t>
      </w:r>
      <w:proofErr w:type="spellStart"/>
      <w:r w:rsidR="00A06C6E" w:rsidRPr="00536D53">
        <w:t>cations</w:t>
      </w:r>
      <w:proofErr w:type="spellEnd"/>
      <w:r w:rsidR="00A06C6E" w:rsidRPr="00536D53">
        <w:t xml:space="preserve"> only display a signal at 1110</w:t>
      </w:r>
      <w:r w:rsidR="00A06C6E">
        <w:t xml:space="preserve"> </w:t>
      </w:r>
      <w:r w:rsidR="00A06C6E" w:rsidRPr="00536D53">
        <w:t>cm</w:t>
      </w:r>
      <w:r w:rsidR="00A06C6E" w:rsidRPr="00536D53">
        <w:rPr>
          <w:vertAlign w:val="superscript"/>
        </w:rPr>
        <w:t>-1</w:t>
      </w:r>
      <w:r w:rsidR="00A06C6E" w:rsidRPr="00536D53">
        <w:t xml:space="preserve"> for </w:t>
      </w:r>
      <w:r w:rsidR="00A06C6E">
        <w:t>the O-O</w:t>
      </w:r>
      <w:r w:rsidR="00A06C6E" w:rsidRPr="00536D53">
        <w:t xml:space="preserve"> stretch of </w:t>
      </w:r>
      <w:r w:rsidR="00A06C6E">
        <w:t>O</w:t>
      </w:r>
      <w:r w:rsidR="00A06C6E" w:rsidRPr="005C425B">
        <w:rPr>
          <w:vertAlign w:val="subscript"/>
        </w:rPr>
        <w:t>2</w:t>
      </w:r>
      <w:r w:rsidR="00A06C6E" w:rsidRPr="005C425B">
        <w:rPr>
          <w:vertAlign w:val="superscript"/>
        </w:rPr>
        <w:t>-</w:t>
      </w:r>
      <w:r w:rsidR="00A06C6E" w:rsidRPr="00536D53">
        <w:t xml:space="preserve"> adsorbed at the surface.</w:t>
      </w:r>
      <w:r w:rsidR="00A06C6E" w:rsidRPr="009B4CED">
        <w:rPr>
          <w:noProof/>
          <w:vertAlign w:val="superscript"/>
        </w:rPr>
        <w:t>[9b]</w:t>
      </w:r>
      <w:r w:rsidR="00A06C6E" w:rsidRPr="00536D53">
        <w:t xml:space="preserve"> Movin</w:t>
      </w:r>
      <w:r w:rsidR="00A06C6E">
        <w:t>g to DMA</w:t>
      </w:r>
      <w:r w:rsidR="00A06C6E" w:rsidRPr="00536D53">
        <w:t xml:space="preserve"> there is little change in the spectra upon discharge. The same formation of </w:t>
      </w:r>
      <w:r w:rsidR="00A06C6E">
        <w:t>O</w:t>
      </w:r>
      <w:r w:rsidR="00A06C6E" w:rsidRPr="005C425B">
        <w:rPr>
          <w:vertAlign w:val="subscript"/>
        </w:rPr>
        <w:t>2</w:t>
      </w:r>
      <w:r w:rsidR="00A06C6E" w:rsidRPr="005C425B">
        <w:rPr>
          <w:vertAlign w:val="superscript"/>
        </w:rPr>
        <w:t>-</w:t>
      </w:r>
      <w:r w:rsidR="00A06C6E" w:rsidRPr="000B5C2E">
        <w:t xml:space="preserve"> </w:t>
      </w:r>
      <w:r w:rsidR="00A06C6E" w:rsidRPr="00536D53">
        <w:t>and subsequent NaO</w:t>
      </w:r>
      <w:r w:rsidR="00A06C6E" w:rsidRPr="00536D53">
        <w:rPr>
          <w:vertAlign w:val="subscript"/>
        </w:rPr>
        <w:t>2</w:t>
      </w:r>
      <w:r w:rsidR="00A06C6E">
        <w:t xml:space="preserve"> formation is observed</w:t>
      </w:r>
      <w:r w:rsidR="00A06C6E" w:rsidRPr="00536D53">
        <w:t xml:space="preserve">. A </w:t>
      </w:r>
      <w:r w:rsidR="00A06C6E">
        <w:t xml:space="preserve">blue </w:t>
      </w:r>
      <w:r w:rsidR="00A06C6E" w:rsidRPr="00536D53">
        <w:t>shift</w:t>
      </w:r>
      <w:r w:rsidR="00A06C6E">
        <w:t xml:space="preserve"> of</w:t>
      </w:r>
      <w:r w:rsidR="00A06C6E" w:rsidRPr="00536D53">
        <w:t xml:space="preserve"> </w:t>
      </w:r>
      <w:r w:rsidR="00A06C6E">
        <w:t>ca. 5-10 cm</w:t>
      </w:r>
      <w:r w:rsidR="00A06C6E" w:rsidRPr="00290792">
        <w:rPr>
          <w:vertAlign w:val="superscript"/>
        </w:rPr>
        <w:t>-1</w:t>
      </w:r>
      <w:r w:rsidR="00A06C6E">
        <w:t xml:space="preserve"> </w:t>
      </w:r>
      <w:r w:rsidR="00A06C6E" w:rsidRPr="00536D53">
        <w:t xml:space="preserve">is </w:t>
      </w:r>
      <w:r w:rsidR="00A06C6E">
        <w:t>identified</w:t>
      </w:r>
      <w:r w:rsidR="00D56D97">
        <w:t xml:space="preserve"> </w:t>
      </w:r>
      <w:r w:rsidR="00A06C6E" w:rsidRPr="00536D53">
        <w:t xml:space="preserve">from </w:t>
      </w:r>
      <w:r w:rsidR="00A06C6E">
        <w:t xml:space="preserve">the expected values of </w:t>
      </w:r>
      <w:r w:rsidR="00A06C6E" w:rsidRPr="00536D53">
        <w:t>1110 cm</w:t>
      </w:r>
      <w:r w:rsidR="00A06C6E" w:rsidRPr="00536D53">
        <w:rPr>
          <w:vertAlign w:val="superscript"/>
        </w:rPr>
        <w:t>-1</w:t>
      </w:r>
      <w:r w:rsidR="00A06C6E">
        <w:t xml:space="preserve"> (</w:t>
      </w:r>
      <w:r w:rsidR="00A06C6E" w:rsidRPr="00DF6825">
        <w:rPr>
          <w:rFonts w:ascii="Symbol" w:hAnsi="Symbol"/>
        </w:rPr>
        <w:t></w:t>
      </w:r>
      <w:r w:rsidR="00A06C6E" w:rsidRPr="00DF6825">
        <w:rPr>
          <w:vertAlign w:val="subscript"/>
        </w:rPr>
        <w:t>O-O</w:t>
      </w:r>
      <w:r w:rsidR="00A06C6E" w:rsidRPr="00DF6825">
        <w:t>,</w:t>
      </w:r>
      <w:r w:rsidR="00A06C6E">
        <w:rPr>
          <w:vertAlign w:val="subscript"/>
        </w:rPr>
        <w:t xml:space="preserve"> </w:t>
      </w:r>
      <w:r w:rsidR="00A06C6E" w:rsidRPr="00DF6825">
        <w:t>O</w:t>
      </w:r>
      <w:r w:rsidR="00A06C6E" w:rsidRPr="00DF6825">
        <w:rPr>
          <w:vertAlign w:val="subscript"/>
        </w:rPr>
        <w:t>2</w:t>
      </w:r>
      <w:r w:rsidR="00A06C6E" w:rsidRPr="00DF6825">
        <w:rPr>
          <w:vertAlign w:val="superscript"/>
        </w:rPr>
        <w:t>-</w:t>
      </w:r>
      <w:r w:rsidR="00A06C6E">
        <w:t>)</w:t>
      </w:r>
      <w:r w:rsidR="00A06C6E" w:rsidRPr="00536D53">
        <w:t xml:space="preserve"> </w:t>
      </w:r>
      <w:r w:rsidR="00A06C6E">
        <w:t>and</w:t>
      </w:r>
      <w:r w:rsidR="00A06C6E" w:rsidRPr="00536D53">
        <w:t xml:space="preserve"> 1156 cm</w:t>
      </w:r>
      <w:r w:rsidR="00A06C6E" w:rsidRPr="00536D53">
        <w:rPr>
          <w:vertAlign w:val="superscript"/>
        </w:rPr>
        <w:t>-1</w:t>
      </w:r>
      <w:r w:rsidR="00A06C6E">
        <w:rPr>
          <w:vertAlign w:val="superscript"/>
        </w:rPr>
        <w:t xml:space="preserve"> </w:t>
      </w:r>
      <w:r w:rsidR="00A06C6E" w:rsidRPr="00DF6825">
        <w:t>(</w:t>
      </w:r>
      <w:r w:rsidR="00A06C6E" w:rsidRPr="00DF6825">
        <w:rPr>
          <w:rFonts w:ascii="Symbol" w:hAnsi="Symbol"/>
        </w:rPr>
        <w:t></w:t>
      </w:r>
      <w:r w:rsidR="00A06C6E" w:rsidRPr="00DF6825">
        <w:rPr>
          <w:vertAlign w:val="subscript"/>
        </w:rPr>
        <w:t>O-O</w:t>
      </w:r>
      <w:r w:rsidR="00A06C6E">
        <w:rPr>
          <w:vertAlign w:val="subscript"/>
        </w:rPr>
        <w:t xml:space="preserve">, </w:t>
      </w:r>
      <w:r w:rsidR="00A06C6E" w:rsidRPr="00DF6825">
        <w:t>NaO</w:t>
      </w:r>
      <w:r w:rsidR="00A06C6E" w:rsidRPr="00DF6825">
        <w:rPr>
          <w:vertAlign w:val="subscript"/>
        </w:rPr>
        <w:t>2</w:t>
      </w:r>
      <w:r w:rsidR="00A06C6E" w:rsidRPr="00DF6825">
        <w:t>)</w:t>
      </w:r>
      <w:r w:rsidR="00A06C6E">
        <w:t xml:space="preserve">, </w:t>
      </w:r>
      <w:r w:rsidR="00A06C6E" w:rsidRPr="00536D53">
        <w:t>denot</w:t>
      </w:r>
      <w:r w:rsidR="00A06C6E">
        <w:t>ing</w:t>
      </w:r>
      <w:r w:rsidR="00A06C6E" w:rsidRPr="00536D53">
        <w:t xml:space="preserve"> varying interactions of </w:t>
      </w:r>
      <w:r w:rsidR="00A06C6E">
        <w:t>O</w:t>
      </w:r>
      <w:r w:rsidR="00A06C6E" w:rsidRPr="005C425B">
        <w:rPr>
          <w:vertAlign w:val="subscript"/>
        </w:rPr>
        <w:t>2</w:t>
      </w:r>
      <w:r w:rsidR="00A06C6E" w:rsidRPr="005C425B">
        <w:rPr>
          <w:vertAlign w:val="superscript"/>
        </w:rPr>
        <w:t>-</w:t>
      </w:r>
      <w:r w:rsidR="00A06C6E" w:rsidRPr="00536D53">
        <w:t xml:space="preserve">, cation </w:t>
      </w:r>
      <w:r w:rsidR="00A06C6E">
        <w:t>between different</w:t>
      </w:r>
      <w:r w:rsidR="00A06C6E" w:rsidRPr="00536D53">
        <w:t xml:space="preserve"> solvent</w:t>
      </w:r>
      <w:r w:rsidR="00A06C6E">
        <w:t>s</w:t>
      </w:r>
      <w:r w:rsidR="00A06C6E" w:rsidRPr="00536D53">
        <w:t>.</w:t>
      </w:r>
      <w:r w:rsidR="00A06C6E" w:rsidRPr="009B4CED">
        <w:rPr>
          <w:noProof/>
          <w:vertAlign w:val="superscript"/>
        </w:rPr>
        <w:t>[9b, 14]</w:t>
      </w:r>
    </w:p>
    <w:p w:rsidR="00A06C6E" w:rsidRDefault="00A06C6E" w:rsidP="001C60F3">
      <w:pPr>
        <w:pStyle w:val="P1withIndendation"/>
        <w:spacing w:after="0"/>
      </w:pPr>
      <w:r w:rsidRPr="00536D53">
        <w:lastRenderedPageBreak/>
        <w:t>Within these systems the mechanism initial</w:t>
      </w:r>
      <w:r>
        <w:t>ly</w:t>
      </w:r>
      <w:r w:rsidRPr="00536D53">
        <w:t xml:space="preserve"> form</w:t>
      </w:r>
      <w:r>
        <w:t>s</w:t>
      </w:r>
      <w:r w:rsidRPr="00536D53">
        <w:t xml:space="preserve"> superoxide in the presence of </w:t>
      </w:r>
      <w:r>
        <w:t>Na</w:t>
      </w:r>
      <w:r w:rsidRPr="006E5CCC">
        <w:rPr>
          <w:vertAlign w:val="superscript"/>
        </w:rPr>
        <w:t>+</w:t>
      </w:r>
      <w:r w:rsidRPr="00536D53">
        <w:t xml:space="preserve"> as </w:t>
      </w:r>
      <w:r>
        <w:t xml:space="preserve">shown </w:t>
      </w:r>
      <w:r w:rsidRPr="00536D53">
        <w:t xml:space="preserve">in </w:t>
      </w:r>
      <w:r>
        <w:t>Eqs.</w:t>
      </w:r>
      <w:r w:rsidRPr="00536D53">
        <w:t>1</w:t>
      </w:r>
      <w:r>
        <w:t xml:space="preserve"> and 2</w:t>
      </w:r>
      <w:r w:rsidRPr="00536D53">
        <w:t xml:space="preserve">. </w:t>
      </w:r>
    </w:p>
    <w:p w:rsidR="00A06C6E" w:rsidRDefault="00A06C6E" w:rsidP="001C60F3">
      <w:pPr>
        <w:pStyle w:val="P1withIndendation"/>
        <w:spacing w:after="0"/>
      </w:pPr>
    </w:p>
    <w:p w:rsidR="00A06C6E" w:rsidRPr="00536D53" w:rsidRDefault="00A06C6E" w:rsidP="003302EA">
      <w:pPr>
        <w:pStyle w:val="P1withIndendation"/>
        <w:spacing w:after="0"/>
        <w:ind w:firstLine="0"/>
        <w:rPr>
          <w:lang w:val="pt-PT"/>
        </w:rPr>
      </w:pPr>
      <w:r>
        <w:t>O</w:t>
      </w:r>
      <w:r w:rsidRPr="00536D53">
        <w:rPr>
          <w:vertAlign w:val="subscript"/>
          <w:lang w:val="pt-PT"/>
        </w:rPr>
        <w:t xml:space="preserve">2 (ads) </w:t>
      </w:r>
      <w:r w:rsidRPr="00536D53">
        <w:rPr>
          <w:lang w:val="pt-PT"/>
        </w:rPr>
        <w:t>+ e</w:t>
      </w:r>
      <w:r w:rsidRPr="00536D53">
        <w:rPr>
          <w:vertAlign w:val="superscript"/>
          <w:lang w:val="pt-PT"/>
        </w:rPr>
        <w:t>-</w:t>
      </w:r>
      <w:r w:rsidRPr="00536D53">
        <w:rPr>
          <w:lang w:val="pt-PT"/>
        </w:rPr>
        <w:t xml:space="preserve"> </w:t>
      </w:r>
      <w:r w:rsidRPr="00536D53">
        <w:sym w:font="Wingdings 3" w:char="F044"/>
      </w:r>
      <w:r w:rsidRPr="00536D53">
        <w:rPr>
          <w:lang w:val="pt-PT"/>
        </w:rPr>
        <w:t xml:space="preserve"> O</w:t>
      </w:r>
      <w:r w:rsidRPr="00536D53">
        <w:rPr>
          <w:vertAlign w:val="subscript"/>
          <w:lang w:val="pt-PT"/>
        </w:rPr>
        <w:t>2</w:t>
      </w:r>
      <w:r w:rsidRPr="00536D53">
        <w:rPr>
          <w:vertAlign w:val="superscript"/>
          <w:lang w:val="pt-PT"/>
        </w:rPr>
        <w:t>-</w:t>
      </w:r>
      <w:r w:rsidRPr="00536D53">
        <w:rPr>
          <w:lang w:val="pt-PT"/>
        </w:rPr>
        <w:t xml:space="preserve"> </w:t>
      </w:r>
      <w:r w:rsidRPr="00536D53">
        <w:rPr>
          <w:vertAlign w:val="subscript"/>
          <w:lang w:val="pt-PT"/>
        </w:rPr>
        <w:t>(ads)</w:t>
      </w:r>
      <w:r w:rsidR="00D56D97">
        <w:rPr>
          <w:lang w:val="pt-PT"/>
        </w:rPr>
        <w:tab/>
      </w:r>
      <w:r w:rsidR="00D56D97">
        <w:rPr>
          <w:lang w:val="pt-PT"/>
        </w:rPr>
        <w:tab/>
      </w:r>
      <w:r w:rsidR="00D56D97">
        <w:rPr>
          <w:lang w:val="pt-PT"/>
        </w:rPr>
        <w:tab/>
      </w:r>
      <w:r w:rsidR="00D56D97">
        <w:rPr>
          <w:lang w:val="pt-PT"/>
        </w:rPr>
        <w:tab/>
      </w:r>
      <w:r w:rsidRPr="00536D53">
        <w:rPr>
          <w:lang w:val="pt-PT"/>
        </w:rPr>
        <w:t>(1)</w:t>
      </w:r>
    </w:p>
    <w:p w:rsidR="00A06C6E" w:rsidRPr="00536D53" w:rsidRDefault="00A06C6E" w:rsidP="003302EA">
      <w:pPr>
        <w:pStyle w:val="P1withIndendation"/>
        <w:spacing w:after="0"/>
        <w:ind w:firstLine="0"/>
        <w:rPr>
          <w:lang w:val="pt-PT"/>
        </w:rPr>
      </w:pPr>
      <w:r w:rsidRPr="00536D53">
        <w:rPr>
          <w:lang w:val="pt-PT"/>
        </w:rPr>
        <w:t>Na</w:t>
      </w:r>
      <w:r w:rsidRPr="00536D53">
        <w:rPr>
          <w:vertAlign w:val="superscript"/>
          <w:lang w:val="pt-PT"/>
        </w:rPr>
        <w:t>+</w:t>
      </w:r>
      <w:r w:rsidRPr="00536D53">
        <w:rPr>
          <w:lang w:val="pt-PT"/>
        </w:rPr>
        <w:t xml:space="preserve"> + O</w:t>
      </w:r>
      <w:r w:rsidRPr="00536D53">
        <w:rPr>
          <w:vertAlign w:val="subscript"/>
          <w:lang w:val="pt-PT"/>
        </w:rPr>
        <w:t>2</w:t>
      </w:r>
      <w:r w:rsidRPr="00536D53">
        <w:rPr>
          <w:vertAlign w:val="superscript"/>
          <w:lang w:val="pt-PT"/>
        </w:rPr>
        <w:t xml:space="preserve">- </w:t>
      </w:r>
      <w:r>
        <w:rPr>
          <w:vertAlign w:val="subscript"/>
          <w:lang w:val="pt-PT"/>
        </w:rPr>
        <w:t>(ads</w:t>
      </w:r>
      <w:r w:rsidRPr="00353751">
        <w:rPr>
          <w:vertAlign w:val="subscript"/>
          <w:lang w:val="pt-PT"/>
        </w:rPr>
        <w:t>)</w:t>
      </w:r>
      <w:r>
        <w:rPr>
          <w:vertAlign w:val="subscript"/>
          <w:lang w:val="pt-PT"/>
        </w:rPr>
        <w:t xml:space="preserve"> </w:t>
      </w:r>
      <w:r w:rsidRPr="00536D53">
        <w:sym w:font="Wingdings 3" w:char="F044"/>
      </w:r>
      <w:r w:rsidRPr="00536D53">
        <w:rPr>
          <w:lang w:val="pt-PT"/>
        </w:rPr>
        <w:t xml:space="preserve"> [Na</w:t>
      </w:r>
      <w:r w:rsidRPr="00536D53">
        <w:rPr>
          <w:vertAlign w:val="superscript"/>
          <w:lang w:val="pt-PT"/>
        </w:rPr>
        <w:t>+</w:t>
      </w:r>
      <w:r w:rsidRPr="00536D53">
        <w:rPr>
          <w:lang w:val="pt-PT"/>
        </w:rPr>
        <w:t>--O</w:t>
      </w:r>
      <w:r w:rsidRPr="00536D53">
        <w:rPr>
          <w:vertAlign w:val="subscript"/>
          <w:lang w:val="pt-PT"/>
        </w:rPr>
        <w:t>2</w:t>
      </w:r>
      <w:r w:rsidRPr="00536D53">
        <w:rPr>
          <w:vertAlign w:val="superscript"/>
          <w:lang w:val="pt-PT"/>
        </w:rPr>
        <w:t>-</w:t>
      </w:r>
      <w:r w:rsidRPr="00536D53">
        <w:rPr>
          <w:lang w:val="pt-PT"/>
        </w:rPr>
        <w:t xml:space="preserve">] </w:t>
      </w:r>
      <w:r w:rsidRPr="00536D53">
        <w:rPr>
          <w:vertAlign w:val="subscript"/>
          <w:lang w:val="pt-PT"/>
        </w:rPr>
        <w:t>(ads)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Pr="00536D53">
        <w:rPr>
          <w:lang w:val="pt-PT"/>
        </w:rPr>
        <w:t>(2)</w:t>
      </w:r>
    </w:p>
    <w:p w:rsidR="00A06C6E" w:rsidRPr="00536D53" w:rsidRDefault="00A06C6E" w:rsidP="003302EA">
      <w:pPr>
        <w:pStyle w:val="P1withIndendation"/>
        <w:spacing w:after="0"/>
        <w:ind w:firstLine="0"/>
        <w:rPr>
          <w:lang w:val="pt-PT"/>
        </w:rPr>
      </w:pPr>
      <w:r w:rsidRPr="00536D53">
        <w:rPr>
          <w:lang w:val="pt-PT"/>
        </w:rPr>
        <w:t>[Na</w:t>
      </w:r>
      <w:r w:rsidRPr="00536D53">
        <w:rPr>
          <w:vertAlign w:val="superscript"/>
          <w:lang w:val="pt-PT"/>
        </w:rPr>
        <w:t>+</w:t>
      </w:r>
      <w:r w:rsidRPr="00536D53">
        <w:rPr>
          <w:lang w:val="pt-PT"/>
        </w:rPr>
        <w:t>--O</w:t>
      </w:r>
      <w:r w:rsidRPr="00536D53">
        <w:rPr>
          <w:vertAlign w:val="subscript"/>
          <w:lang w:val="pt-PT"/>
        </w:rPr>
        <w:t>2</w:t>
      </w:r>
      <w:r w:rsidRPr="00536D53">
        <w:rPr>
          <w:vertAlign w:val="superscript"/>
          <w:lang w:val="pt-PT"/>
        </w:rPr>
        <w:t>-</w:t>
      </w:r>
      <w:r w:rsidRPr="00536D53">
        <w:rPr>
          <w:lang w:val="pt-PT"/>
        </w:rPr>
        <w:t xml:space="preserve">] </w:t>
      </w:r>
      <w:r w:rsidRPr="00536D53">
        <w:rPr>
          <w:vertAlign w:val="subscript"/>
          <w:lang w:val="pt-PT"/>
        </w:rPr>
        <w:t xml:space="preserve">(ads) </w:t>
      </w:r>
      <w:r w:rsidRPr="00536D53">
        <w:sym w:font="Wingdings 3" w:char="F022"/>
      </w:r>
      <w:r w:rsidRPr="00536D53">
        <w:rPr>
          <w:lang w:val="pt-PT"/>
        </w:rPr>
        <w:t xml:space="preserve"> [Na</w:t>
      </w:r>
      <w:r w:rsidRPr="00536D53">
        <w:rPr>
          <w:vertAlign w:val="superscript"/>
          <w:lang w:val="pt-PT"/>
        </w:rPr>
        <w:t>+</w:t>
      </w:r>
      <w:r w:rsidRPr="00536D53">
        <w:rPr>
          <w:lang w:val="pt-PT"/>
        </w:rPr>
        <w:t>--O</w:t>
      </w:r>
      <w:r w:rsidRPr="00536D53">
        <w:rPr>
          <w:vertAlign w:val="subscript"/>
          <w:lang w:val="pt-PT"/>
        </w:rPr>
        <w:t>2</w:t>
      </w:r>
      <w:r w:rsidRPr="00536D53">
        <w:rPr>
          <w:vertAlign w:val="superscript"/>
          <w:lang w:val="pt-PT"/>
        </w:rPr>
        <w:t>-</w:t>
      </w:r>
      <w:r w:rsidRPr="00536D53">
        <w:rPr>
          <w:lang w:val="pt-PT"/>
        </w:rPr>
        <w:t xml:space="preserve">] </w:t>
      </w:r>
      <w:r w:rsidRPr="00536D53">
        <w:rPr>
          <w:vertAlign w:val="subscript"/>
          <w:lang w:val="pt-PT"/>
        </w:rPr>
        <w:t>(sol)</w:t>
      </w:r>
      <w:r w:rsidRPr="00536D53">
        <w:rPr>
          <w:lang w:val="pt-PT"/>
        </w:rPr>
        <w:tab/>
      </w:r>
      <w:r w:rsidRPr="00536D53">
        <w:rPr>
          <w:lang w:val="pt-PT"/>
        </w:rPr>
        <w:tab/>
      </w:r>
      <w:r w:rsidRPr="00536D53">
        <w:rPr>
          <w:lang w:val="pt-PT"/>
        </w:rPr>
        <w:tab/>
        <w:t>(3)</w:t>
      </w:r>
    </w:p>
    <w:p w:rsidR="00A06C6E" w:rsidRDefault="00A06C6E" w:rsidP="001C60F3">
      <w:pPr>
        <w:pStyle w:val="P1withIndendation"/>
        <w:spacing w:after="0"/>
      </w:pPr>
    </w:p>
    <w:p w:rsidR="00A06C6E" w:rsidRDefault="00A06C6E" w:rsidP="00D56D97">
      <w:pPr>
        <w:pStyle w:val="P1withIndendation"/>
        <w:spacing w:after="0"/>
      </w:pPr>
      <w:r w:rsidRPr="00536D53">
        <w:t xml:space="preserve">The addition of an electron to the surface adsorbed </w:t>
      </w:r>
      <w:r>
        <w:t>O</w:t>
      </w:r>
      <w:r w:rsidRPr="005C425B">
        <w:rPr>
          <w:vertAlign w:val="subscript"/>
        </w:rPr>
        <w:t>2</w:t>
      </w:r>
      <w:r>
        <w:t xml:space="preserve"> leads to the formation of superoxide that subsequently</w:t>
      </w:r>
      <w:r w:rsidRPr="00536D53">
        <w:t xml:space="preserve"> interacts with Na</w:t>
      </w:r>
      <w:r w:rsidRPr="00536D53">
        <w:rPr>
          <w:vertAlign w:val="superscript"/>
        </w:rPr>
        <w:t xml:space="preserve">+ </w:t>
      </w:r>
      <w:r w:rsidRPr="00536D53">
        <w:t>at the</w:t>
      </w:r>
      <w:r>
        <w:t xml:space="preserve"> interface</w:t>
      </w:r>
      <w:r w:rsidRPr="00536D53">
        <w:t xml:space="preserve">. This interaction is heavily dependent on the solvation of both </w:t>
      </w:r>
      <w:r>
        <w:t>O</w:t>
      </w:r>
      <w:r w:rsidRPr="005C425B">
        <w:rPr>
          <w:vertAlign w:val="subscript"/>
        </w:rPr>
        <w:t>2</w:t>
      </w:r>
      <w:r w:rsidRPr="005C425B">
        <w:rPr>
          <w:vertAlign w:val="superscript"/>
        </w:rPr>
        <w:t>-</w:t>
      </w:r>
      <w:r w:rsidRPr="00536D53">
        <w:t xml:space="preserve"> at the surface and </w:t>
      </w:r>
      <w:r>
        <w:t>the solvation of Na</w:t>
      </w:r>
      <w:r w:rsidRPr="00DD1EFD">
        <w:rPr>
          <w:vertAlign w:val="superscript"/>
        </w:rPr>
        <w:t>+</w:t>
      </w:r>
      <w:r w:rsidRPr="00536D53">
        <w:t>. These interactions control the acidity and basicity of the Na</w:t>
      </w:r>
      <w:r w:rsidRPr="00536D53">
        <w:rPr>
          <w:vertAlign w:val="superscript"/>
        </w:rPr>
        <w:t>+</w:t>
      </w:r>
      <w:r w:rsidRPr="00536D53">
        <w:t xml:space="preserve"> and O</w:t>
      </w:r>
      <w:r w:rsidRPr="00536D53">
        <w:rPr>
          <w:vertAlign w:val="subscript"/>
        </w:rPr>
        <w:t>2</w:t>
      </w:r>
      <w:r w:rsidRPr="00536D53">
        <w:rPr>
          <w:vertAlign w:val="superscript"/>
        </w:rPr>
        <w:t>-</w:t>
      </w:r>
      <w:r w:rsidRPr="00536D53">
        <w:t>. The solvation shell in these cases will consist of anions (O</w:t>
      </w:r>
      <w:r w:rsidRPr="00536D53">
        <w:rPr>
          <w:vertAlign w:val="subscript"/>
        </w:rPr>
        <w:t>2</w:t>
      </w:r>
      <w:r w:rsidRPr="00536D53">
        <w:rPr>
          <w:vertAlign w:val="superscript"/>
        </w:rPr>
        <w:t>-</w:t>
      </w:r>
      <w:r w:rsidRPr="00536D53">
        <w:t xml:space="preserve"> and </w:t>
      </w:r>
      <w:proofErr w:type="spellStart"/>
      <w:r w:rsidRPr="00536D53">
        <w:t>OTf</w:t>
      </w:r>
      <w:proofErr w:type="spellEnd"/>
      <w:r w:rsidRPr="00536D53">
        <w:rPr>
          <w:vertAlign w:val="superscript"/>
        </w:rPr>
        <w:t>-</w:t>
      </w:r>
      <w:r w:rsidRPr="00536D53">
        <w:t>), cation (Na</w:t>
      </w:r>
      <w:r w:rsidRPr="00536D53">
        <w:rPr>
          <w:vertAlign w:val="superscript"/>
        </w:rPr>
        <w:t>+</w:t>
      </w:r>
      <w:r w:rsidRPr="00536D53">
        <w:t>) and solvent molecules.</w:t>
      </w:r>
      <w:r w:rsidRPr="009B4CED">
        <w:rPr>
          <w:noProof/>
          <w:vertAlign w:val="superscript"/>
        </w:rPr>
        <w:t>[15]</w:t>
      </w:r>
      <w:r w:rsidRPr="00536D53">
        <w:t xml:space="preserve"> The </w:t>
      </w:r>
      <w:proofErr w:type="spellStart"/>
      <w:r>
        <w:t>OTf</w:t>
      </w:r>
      <w:proofErr w:type="spellEnd"/>
      <w:r w:rsidRPr="005C425B">
        <w:rPr>
          <w:vertAlign w:val="superscript"/>
        </w:rPr>
        <w:t>-</w:t>
      </w:r>
      <w:r w:rsidRPr="00536D53">
        <w:t xml:space="preserve"> presence is based on the solubility of the salt within each solvent, which induces the formation of contact, solvent separated, and “free” ion pairs in solution.</w:t>
      </w:r>
      <w:r w:rsidRPr="009B4CED">
        <w:rPr>
          <w:noProof/>
          <w:vertAlign w:val="superscript"/>
        </w:rPr>
        <w:t>[16]</w:t>
      </w:r>
      <w:r w:rsidRPr="00536D53">
        <w:t xml:space="preserve"> In DMSO</w:t>
      </w:r>
      <w:r>
        <w:t>,</w:t>
      </w:r>
      <w:r w:rsidRPr="00536D53">
        <w:t xml:space="preserve"> the peak </w:t>
      </w:r>
      <w:r w:rsidRPr="00536D53">
        <w:lastRenderedPageBreak/>
        <w:t>at 1032 cm</w:t>
      </w:r>
      <w:r w:rsidRPr="00536D53">
        <w:rPr>
          <w:vertAlign w:val="superscript"/>
        </w:rPr>
        <w:t>-1</w:t>
      </w:r>
      <w:r w:rsidRPr="00536D53">
        <w:t xml:space="preserve"> </w:t>
      </w:r>
      <w:r>
        <w:t>(</w:t>
      </w:r>
      <w:r w:rsidRPr="0082284A">
        <w:rPr>
          <w:b/>
        </w:rPr>
        <w:t>Table S5</w:t>
      </w:r>
      <w:r>
        <w:t>),</w:t>
      </w:r>
      <w:r w:rsidRPr="00536D53">
        <w:t xml:space="preserve"> splits at </w:t>
      </w:r>
      <w:r>
        <w:t xml:space="preserve">a potential of </w:t>
      </w:r>
      <w:r w:rsidRPr="00536D53">
        <w:t>2.0</w:t>
      </w:r>
      <w:r>
        <w:t xml:space="preserve"> </w:t>
      </w:r>
      <w:r w:rsidRPr="00536D53">
        <w:t>V vs Na/Na</w:t>
      </w:r>
      <w:r w:rsidRPr="00536D53">
        <w:rPr>
          <w:vertAlign w:val="superscript"/>
        </w:rPr>
        <w:t>+</w:t>
      </w:r>
      <w:r>
        <w:t xml:space="preserve"> denoting</w:t>
      </w:r>
      <w:r w:rsidRPr="00536D53">
        <w:t xml:space="preserve"> ion pair formation</w:t>
      </w:r>
      <w:r>
        <w:t>,</w:t>
      </w:r>
      <w:r w:rsidRPr="00536D53">
        <w:t xml:space="preserve"> but does not observably affect the </w:t>
      </w:r>
      <w:proofErr w:type="spellStart"/>
      <w:r w:rsidRPr="00536D53">
        <w:t>Na</w:t>
      </w:r>
      <w:r w:rsidRPr="00DD1EFD">
        <w:rPr>
          <w:vertAlign w:val="subscript"/>
        </w:rPr>
        <w:t>x</w:t>
      </w:r>
      <w:r w:rsidRPr="00536D53">
        <w:t>O</w:t>
      </w:r>
      <w:r w:rsidRPr="00DD1EFD">
        <w:rPr>
          <w:vertAlign w:val="subscript"/>
        </w:rPr>
        <w:t>y</w:t>
      </w:r>
      <w:proofErr w:type="spellEnd"/>
      <w:r w:rsidRPr="00536D53">
        <w:t xml:space="preserve"> peaks within the spectra. </w:t>
      </w:r>
    </w:p>
    <w:p w:rsidR="00A06C6E" w:rsidRPr="00536D53" w:rsidRDefault="00A06C6E" w:rsidP="001C60F3">
      <w:pPr>
        <w:pStyle w:val="P1withIndendation"/>
        <w:spacing w:after="0"/>
      </w:pPr>
      <w:r w:rsidRPr="00536D53">
        <w:t xml:space="preserve">The interaction between DMSO solvated </w:t>
      </w:r>
      <w:r>
        <w:t>[</w:t>
      </w:r>
      <w:r w:rsidRPr="00536D53">
        <w:t>Na</w:t>
      </w:r>
      <w:r>
        <w:t>+--</w:t>
      </w:r>
      <w:r w:rsidRPr="00536D53">
        <w:t>O</w:t>
      </w:r>
      <w:r>
        <w:rPr>
          <w:vertAlign w:val="subscript"/>
        </w:rPr>
        <w:t>2</w:t>
      </w:r>
      <w:r w:rsidRPr="00937DB3">
        <w:rPr>
          <w:vertAlign w:val="superscript"/>
        </w:rPr>
        <w:t>-</w:t>
      </w:r>
      <w:r w:rsidRPr="00937DB3">
        <w:t>]</w:t>
      </w:r>
      <w:r w:rsidRPr="00536D53">
        <w:rPr>
          <w:vertAlign w:val="superscript"/>
        </w:rPr>
        <w:t xml:space="preserve"> </w:t>
      </w:r>
      <w:r w:rsidRPr="00536D53">
        <w:t>is highly favourable</w:t>
      </w:r>
      <w:r>
        <w:t>,</w:t>
      </w:r>
      <w:r w:rsidRPr="00536D53">
        <w:t xml:space="preserve"> allowing the interaction to be ascribed to an ion pair</w:t>
      </w:r>
      <w:r>
        <w:t xml:space="preserve">, </w:t>
      </w:r>
      <w:r w:rsidRPr="00536D53">
        <w:t>which corresponds to th</w:t>
      </w:r>
      <w:r>
        <w:t xml:space="preserve">e detection of the band at 1107 </w:t>
      </w:r>
      <w:r w:rsidRPr="00536D53">
        <w:t>cm</w:t>
      </w:r>
      <w:r w:rsidRPr="00536D53">
        <w:rPr>
          <w:vertAlign w:val="superscript"/>
        </w:rPr>
        <w:t>-1</w:t>
      </w:r>
      <w:r w:rsidRPr="00536D53">
        <w:t>. This soluble</w:t>
      </w:r>
      <w:r>
        <w:t xml:space="preserve"> species is</w:t>
      </w:r>
      <w:r w:rsidRPr="00536D53">
        <w:t xml:space="preserve"> easily removed from the surface </w:t>
      </w:r>
      <w:r>
        <w:t>that</w:t>
      </w:r>
      <w:r w:rsidRPr="00536D53">
        <w:t xml:space="preserve"> explains the quasi reversible</w:t>
      </w:r>
      <w:r>
        <w:t xml:space="preserve"> nature of</w:t>
      </w:r>
      <w:r w:rsidRPr="00536D53">
        <w:t xml:space="preserve"> </w:t>
      </w:r>
      <w:r>
        <w:t>O</w:t>
      </w:r>
      <w:r w:rsidRPr="00B13BAC">
        <w:rPr>
          <w:vertAlign w:val="subscript"/>
        </w:rPr>
        <w:t>2</w:t>
      </w:r>
      <w:r>
        <w:t xml:space="preserve"> and Na</w:t>
      </w:r>
      <w:r w:rsidRPr="00DD1EFD">
        <w:rPr>
          <w:vertAlign w:val="superscript"/>
        </w:rPr>
        <w:t>+</w:t>
      </w:r>
      <w:r>
        <w:t xml:space="preserve"> electrochemistry within DMSO. Furthermore </w:t>
      </w:r>
      <w:r w:rsidRPr="00536D53">
        <w:t>the detection of the signal for NaO</w:t>
      </w:r>
      <w:r w:rsidRPr="00536D53">
        <w:rPr>
          <w:vertAlign w:val="subscript"/>
        </w:rPr>
        <w:t>2</w:t>
      </w:r>
      <w:r>
        <w:t xml:space="preserve"> at 1156 </w:t>
      </w:r>
      <w:r w:rsidRPr="00536D53">
        <w:t>cm</w:t>
      </w:r>
      <w:r w:rsidRPr="00536D53">
        <w:rPr>
          <w:vertAlign w:val="superscript"/>
        </w:rPr>
        <w:t>-1</w:t>
      </w:r>
      <w:r w:rsidRPr="00536D53">
        <w:t xml:space="preserve"> is likely due to the aggregation and precipitation of NaO</w:t>
      </w:r>
      <w:r w:rsidRPr="00536D53">
        <w:rPr>
          <w:vertAlign w:val="subscript"/>
        </w:rPr>
        <w:t>2</w:t>
      </w:r>
      <w:r w:rsidRPr="00536D53">
        <w:t xml:space="preserve"> on the surface as the </w:t>
      </w:r>
      <w:r>
        <w:t xml:space="preserve">reductive </w:t>
      </w:r>
      <w:r w:rsidRPr="00536D53">
        <w:t xml:space="preserve">potential </w:t>
      </w:r>
      <w:r>
        <w:t>increases to</w:t>
      </w:r>
      <w:r w:rsidRPr="00536D53">
        <w:t xml:space="preserve"> 2.0 V vs. Na/Na</w:t>
      </w:r>
      <w:r w:rsidRPr="00536D53">
        <w:rPr>
          <w:vertAlign w:val="superscript"/>
        </w:rPr>
        <w:t>+</w:t>
      </w:r>
      <w:r w:rsidRPr="00536D53">
        <w:t xml:space="preserve">. </w:t>
      </w:r>
      <w:r>
        <w:t xml:space="preserve">Multiple CV scans within </w:t>
      </w:r>
      <w:r w:rsidRPr="00524984">
        <w:t xml:space="preserve">0.1M Na </w:t>
      </w:r>
      <w:proofErr w:type="spellStart"/>
      <w:r w:rsidRPr="00524984">
        <w:t>OTf</w:t>
      </w:r>
      <w:proofErr w:type="spellEnd"/>
      <w:r>
        <w:t xml:space="preserve"> shows</w:t>
      </w:r>
      <w:r w:rsidRPr="00536D53">
        <w:t xml:space="preserve"> that the quasi reversible process breaks down</w:t>
      </w:r>
      <w:r>
        <w:t>,</w:t>
      </w:r>
      <w:r w:rsidRPr="00536D53">
        <w:t xml:space="preserve"> and reveals the formation of </w:t>
      </w:r>
      <w:r>
        <w:t>two</w:t>
      </w:r>
      <w:r w:rsidRPr="00536D53">
        <w:t xml:space="preserve"> </w:t>
      </w:r>
      <w:r>
        <w:t xml:space="preserve">oxidation </w:t>
      </w:r>
      <w:r w:rsidRPr="00536D53">
        <w:t xml:space="preserve">peaks within the initial cycle </w:t>
      </w:r>
      <w:proofErr w:type="spellStart"/>
      <w:r w:rsidRPr="00536D53">
        <w:t>voltammetric</w:t>
      </w:r>
      <w:proofErr w:type="spellEnd"/>
      <w:r w:rsidRPr="00536D53">
        <w:t xml:space="preserve"> peak (</w:t>
      </w:r>
      <w:r w:rsidRPr="003A23BA">
        <w:rPr>
          <w:b/>
        </w:rPr>
        <w:t>Fig</w:t>
      </w:r>
      <w:r w:rsidRPr="00536D53">
        <w:t>.</w:t>
      </w:r>
      <w:r>
        <w:t xml:space="preserve"> </w:t>
      </w:r>
      <w:r w:rsidRPr="00536D53">
        <w:rPr>
          <w:b/>
        </w:rPr>
        <w:t>S</w:t>
      </w:r>
      <w:r>
        <w:rPr>
          <w:b/>
        </w:rPr>
        <w:t>3</w:t>
      </w:r>
      <w:r w:rsidRPr="00536D53">
        <w:t>). This corroborates the initial ion pair formation and subsequent aggregation and precipitation of NaO</w:t>
      </w:r>
      <w:r w:rsidRPr="00536D53">
        <w:rPr>
          <w:vertAlign w:val="subscript"/>
        </w:rPr>
        <w:t>2</w:t>
      </w:r>
      <w:r w:rsidRPr="00536D53">
        <w:t xml:space="preserve"> on the surface</w:t>
      </w:r>
      <w:r>
        <w:t>, as the number of CV sweeps increases, more time has been allowed for NaO</w:t>
      </w:r>
      <w:r w:rsidRPr="00346EC3">
        <w:rPr>
          <w:vertAlign w:val="subscript"/>
        </w:rPr>
        <w:t>2</w:t>
      </w:r>
      <w:r>
        <w:t xml:space="preserve"> to precipitate, that leads to the growth of the second oxidation peak at ca. 2.75 V vs. Na/Na</w:t>
      </w:r>
      <w:r w:rsidRPr="00346EC3">
        <w:rPr>
          <w:vertAlign w:val="superscript"/>
        </w:rPr>
        <w:t>+</w:t>
      </w:r>
      <w:r w:rsidRPr="00536D53">
        <w:t xml:space="preserve">. </w:t>
      </w:r>
    </w:p>
    <w:p w:rsidR="00A06C6E" w:rsidRDefault="00AB14B4" w:rsidP="003302EA">
      <w:pPr>
        <w:pStyle w:val="P1withIndendation"/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FEEF695" wp14:editId="5D7665FA">
            <wp:simplePos x="0" y="0"/>
            <wp:positionH relativeFrom="margin">
              <wp:posOffset>3267075</wp:posOffset>
            </wp:positionH>
            <wp:positionV relativeFrom="margin">
              <wp:posOffset>3223260</wp:posOffset>
            </wp:positionV>
            <wp:extent cx="3145790" cy="17373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6C6E" w:rsidRPr="00536D53">
        <w:t xml:space="preserve">A similar situation is induced by </w:t>
      </w:r>
      <w:r w:rsidR="00A06C6E">
        <w:t xml:space="preserve">DMA solvated </w:t>
      </w:r>
      <w:proofErr w:type="spellStart"/>
      <w:r w:rsidR="00A06C6E">
        <w:t>Na</w:t>
      </w:r>
      <w:r w:rsidR="00A06C6E" w:rsidRPr="00536D53">
        <w:t>OTf</w:t>
      </w:r>
      <w:proofErr w:type="spellEnd"/>
      <w:r w:rsidR="00A06C6E">
        <w:t>,</w:t>
      </w:r>
      <w:r w:rsidR="00A06C6E" w:rsidRPr="00536D53">
        <w:t xml:space="preserve"> but the change in donation from solvent to cation the Lewis acidity of sodium which may explain the distinct shift from [Na</w:t>
      </w:r>
      <w:r w:rsidR="00A06C6E" w:rsidRPr="00536D53">
        <w:rPr>
          <w:vertAlign w:val="superscript"/>
        </w:rPr>
        <w:t>+</w:t>
      </w:r>
      <w:r w:rsidR="00A06C6E" w:rsidRPr="00593AC6">
        <w:t>-</w:t>
      </w:r>
      <w:r w:rsidR="00A06C6E" w:rsidRPr="00536D53">
        <w:t>-O</w:t>
      </w:r>
      <w:r w:rsidR="00A06C6E" w:rsidRPr="00536D53">
        <w:rPr>
          <w:vertAlign w:val="subscript"/>
        </w:rPr>
        <w:t>2</w:t>
      </w:r>
      <w:r w:rsidR="00A06C6E" w:rsidRPr="00536D53">
        <w:rPr>
          <w:vertAlign w:val="superscript"/>
        </w:rPr>
        <w:t>-</w:t>
      </w:r>
      <w:r w:rsidR="00A06C6E" w:rsidRPr="00536D53">
        <w:t>] to NaO</w:t>
      </w:r>
      <w:r w:rsidR="00A06C6E" w:rsidRPr="00536D53">
        <w:rPr>
          <w:vertAlign w:val="subscript"/>
        </w:rPr>
        <w:t xml:space="preserve">2 </w:t>
      </w:r>
      <w:r w:rsidR="00A06C6E" w:rsidRPr="00536D53">
        <w:t xml:space="preserve">within the spectra. The mechanism here </w:t>
      </w:r>
      <w:r w:rsidR="00A06C6E">
        <w:t>is</w:t>
      </w:r>
      <w:r w:rsidR="00A06C6E" w:rsidRPr="00536D53">
        <w:t xml:space="preserve"> considered to be as </w:t>
      </w:r>
      <w:r w:rsidR="00A06C6E">
        <w:t xml:space="preserve">stated </w:t>
      </w:r>
      <w:r w:rsidR="00A06C6E" w:rsidRPr="00536D53">
        <w:t xml:space="preserve">in </w:t>
      </w:r>
      <w:r w:rsidR="00A06C6E">
        <w:t>E</w:t>
      </w:r>
      <w:r w:rsidR="00A06C6E" w:rsidRPr="00536D53">
        <w:t>q</w:t>
      </w:r>
      <w:r w:rsidR="00A06C6E">
        <w:t>.</w:t>
      </w:r>
      <w:r w:rsidR="00A06C6E" w:rsidRPr="00536D53">
        <w:t xml:space="preserve"> 1 and 2. This follows upon the removal</w:t>
      </w:r>
      <w:r w:rsidR="00A06C6E">
        <w:t xml:space="preserve"> of NaO</w:t>
      </w:r>
      <w:r w:rsidR="00A06C6E" w:rsidRPr="00DD1EFD">
        <w:rPr>
          <w:vertAlign w:val="subscript"/>
        </w:rPr>
        <w:t>2</w:t>
      </w:r>
      <w:r w:rsidR="00A06C6E" w:rsidRPr="00536D53">
        <w:t xml:space="preserve"> from the surface</w:t>
      </w:r>
      <w:r w:rsidR="00A06C6E">
        <w:t>,</w:t>
      </w:r>
      <w:r w:rsidR="00A06C6E" w:rsidRPr="00536D53">
        <w:t xml:space="preserve"> and </w:t>
      </w:r>
      <w:r w:rsidR="00A06C6E">
        <w:t>subsequent</w:t>
      </w:r>
      <w:r w:rsidR="00A06C6E" w:rsidRPr="00536D53">
        <w:t xml:space="preserve"> electrolyt</w:t>
      </w:r>
      <w:r w:rsidR="00A06C6E">
        <w:t>ic</w:t>
      </w:r>
      <w:r w:rsidR="00A06C6E" w:rsidRPr="00536D53">
        <w:t xml:space="preserve"> saturat</w:t>
      </w:r>
      <w:r w:rsidR="00A06C6E">
        <w:t>ion</w:t>
      </w:r>
      <w:r w:rsidR="00A06C6E" w:rsidRPr="00536D53">
        <w:t xml:space="preserve"> within the double layer</w:t>
      </w:r>
      <w:r w:rsidR="00A06C6E">
        <w:t xml:space="preserve"> occurs,</w:t>
      </w:r>
      <w:r w:rsidR="00A06C6E" w:rsidRPr="00536D53">
        <w:t xml:space="preserve"> </w:t>
      </w:r>
      <w:r w:rsidR="00A06C6E">
        <w:t>aggregation and</w:t>
      </w:r>
      <w:r w:rsidR="00A06C6E" w:rsidRPr="00536D53">
        <w:t xml:space="preserve"> precipitat</w:t>
      </w:r>
      <w:r w:rsidR="00A06C6E">
        <w:t>ion</w:t>
      </w:r>
      <w:r w:rsidR="00A06C6E" w:rsidRPr="00536D53">
        <w:t xml:space="preserve"> </w:t>
      </w:r>
      <w:r w:rsidR="00A06C6E">
        <w:t xml:space="preserve">of </w:t>
      </w:r>
      <w:r w:rsidR="00A06C6E" w:rsidRPr="00536D53">
        <w:t>NaO</w:t>
      </w:r>
      <w:r w:rsidR="00A06C6E" w:rsidRPr="00536D53">
        <w:rPr>
          <w:vertAlign w:val="subscript"/>
        </w:rPr>
        <w:t>2</w:t>
      </w:r>
      <w:r w:rsidR="00A06C6E">
        <w:t xml:space="preserve"> (</w:t>
      </w:r>
      <w:r w:rsidR="00A06C6E" w:rsidRPr="003302EA">
        <w:rPr>
          <w:b/>
        </w:rPr>
        <w:t>Scheme 1</w:t>
      </w:r>
      <w:r w:rsidR="00A06C6E">
        <w:t>).</w:t>
      </w:r>
      <w:r w:rsidR="00A06C6E" w:rsidRPr="00536D53">
        <w:t xml:space="preserve"> However,</w:t>
      </w:r>
      <w:r w:rsidR="00A06C6E">
        <w:t xml:space="preserve"> </w:t>
      </w:r>
      <w:r w:rsidR="00A06C6E" w:rsidRPr="00536D53">
        <w:t>considering the water content of these systems (≤ 20ppm)</w:t>
      </w:r>
      <w:r w:rsidR="00A06C6E">
        <w:t xml:space="preserve"> and</w:t>
      </w:r>
      <w:r w:rsidR="00A06C6E" w:rsidRPr="00536D53">
        <w:t xml:space="preserve"> recent data by </w:t>
      </w:r>
      <w:r w:rsidR="00A06C6E">
        <w:t>Xia</w:t>
      </w:r>
      <w:r w:rsidR="00A06C6E" w:rsidRPr="00536D53">
        <w:rPr>
          <w:i/>
        </w:rPr>
        <w:t xml:space="preserve"> et al </w:t>
      </w:r>
      <w:r w:rsidR="00A06C6E" w:rsidRPr="009B4CED">
        <w:rPr>
          <w:noProof/>
          <w:vertAlign w:val="superscript"/>
        </w:rPr>
        <w:t>[6a]</w:t>
      </w:r>
      <w:r w:rsidR="00A06C6E" w:rsidRPr="00536D53">
        <w:t xml:space="preserve"> the proposed inducement of this reaction </w:t>
      </w:r>
      <w:r w:rsidR="00A06C6E">
        <w:t>through HO</w:t>
      </w:r>
      <w:r w:rsidR="00A06C6E" w:rsidRPr="00DD1EFD">
        <w:rPr>
          <w:vertAlign w:val="subscript"/>
        </w:rPr>
        <w:t>2</w:t>
      </w:r>
      <w:r w:rsidR="00A06C6E" w:rsidRPr="00536D53">
        <w:t xml:space="preserve"> formation should enhance the formation of cuboid NaO</w:t>
      </w:r>
      <w:r w:rsidR="00A06C6E" w:rsidRPr="00536D53">
        <w:rPr>
          <w:vertAlign w:val="subscript"/>
        </w:rPr>
        <w:t>2</w:t>
      </w:r>
      <w:r w:rsidR="00A06C6E" w:rsidRPr="00536D53">
        <w:t xml:space="preserve">. Therefore in a similar manner that water can solvate and remove </w:t>
      </w:r>
      <w:r w:rsidR="00A06C6E">
        <w:t>O</w:t>
      </w:r>
      <w:r w:rsidR="00A06C6E" w:rsidRPr="005C425B">
        <w:rPr>
          <w:vertAlign w:val="subscript"/>
        </w:rPr>
        <w:t>2</w:t>
      </w:r>
      <w:r w:rsidR="00A06C6E" w:rsidRPr="005C425B">
        <w:rPr>
          <w:vertAlign w:val="superscript"/>
        </w:rPr>
        <w:t>-</w:t>
      </w:r>
      <w:r w:rsidR="00A06C6E" w:rsidRPr="00536D53">
        <w:t xml:space="preserve"> from the surface as suggested by </w:t>
      </w:r>
      <w:r w:rsidR="00A06C6E">
        <w:t>Xia</w:t>
      </w:r>
      <w:r w:rsidR="00A06C6E" w:rsidRPr="00536D53">
        <w:t xml:space="preserve"> </w:t>
      </w:r>
      <w:r w:rsidR="00A06C6E" w:rsidRPr="00536D53">
        <w:rPr>
          <w:i/>
        </w:rPr>
        <w:t xml:space="preserve">et </w:t>
      </w:r>
      <w:proofErr w:type="gramStart"/>
      <w:r w:rsidR="00A06C6E" w:rsidRPr="00536D53">
        <w:rPr>
          <w:i/>
        </w:rPr>
        <w:t>al</w:t>
      </w:r>
      <w:r w:rsidR="00A06C6E" w:rsidRPr="00483A15">
        <w:rPr>
          <w:i/>
          <w:noProof/>
          <w:vertAlign w:val="superscript"/>
        </w:rPr>
        <w:t>[</w:t>
      </w:r>
      <w:proofErr w:type="gramEnd"/>
      <w:r w:rsidR="00A06C6E" w:rsidRPr="00483A15">
        <w:rPr>
          <w:i/>
          <w:noProof/>
          <w:vertAlign w:val="superscript"/>
        </w:rPr>
        <w:t>6a]</w:t>
      </w:r>
      <w:r w:rsidR="00A06C6E" w:rsidRPr="00536D53">
        <w:t xml:space="preserve">, and similarly with </w:t>
      </w:r>
      <w:r w:rsidR="00A06C6E">
        <w:t>Li-O</w:t>
      </w:r>
      <w:r w:rsidR="00A06C6E" w:rsidRPr="005C425B">
        <w:rPr>
          <w:vertAlign w:val="subscript"/>
        </w:rPr>
        <w:t>2</w:t>
      </w:r>
      <w:r w:rsidR="00A06C6E" w:rsidRPr="00536D53">
        <w:t xml:space="preserve"> solvent</w:t>
      </w:r>
      <w:r w:rsidR="00A06C6E">
        <w:t>s</w:t>
      </w:r>
      <w:r w:rsidR="00A06C6E" w:rsidRPr="00536D53">
        <w:t xml:space="preserve"> can induce the removal of </w:t>
      </w:r>
      <w:proofErr w:type="spellStart"/>
      <w:r w:rsidR="00A06C6E">
        <w:t>Na</w:t>
      </w:r>
      <w:r w:rsidR="00A06C6E" w:rsidRPr="005C425B">
        <w:rPr>
          <w:vertAlign w:val="subscript"/>
        </w:rPr>
        <w:t>x</w:t>
      </w:r>
      <w:r w:rsidR="00A06C6E">
        <w:t>O</w:t>
      </w:r>
      <w:r w:rsidR="00A06C6E" w:rsidRPr="005C425B">
        <w:rPr>
          <w:vertAlign w:val="subscript"/>
        </w:rPr>
        <w:t>y</w:t>
      </w:r>
      <w:proofErr w:type="spellEnd"/>
      <w:r w:rsidR="00A06C6E">
        <w:rPr>
          <w:vertAlign w:val="subscript"/>
        </w:rPr>
        <w:t xml:space="preserve"> </w:t>
      </w:r>
      <w:r w:rsidR="00A06C6E" w:rsidRPr="00536D53">
        <w:t xml:space="preserve">from the surface. However, </w:t>
      </w:r>
      <w:r w:rsidR="00A06C6E">
        <w:t xml:space="preserve">we have found </w:t>
      </w:r>
      <w:r w:rsidR="00A06C6E" w:rsidRPr="00536D53">
        <w:t xml:space="preserve">no spectroscopic </w:t>
      </w:r>
      <w:r w:rsidR="00A06C6E">
        <w:t xml:space="preserve">evidence, either indirect or directly of the presence of </w:t>
      </w:r>
      <w:r w:rsidR="00A06C6E" w:rsidRPr="00710BFB">
        <w:t>H</w:t>
      </w:r>
      <w:r w:rsidR="00A06C6E" w:rsidRPr="00151D0E">
        <w:rPr>
          <w:vertAlign w:val="subscript"/>
        </w:rPr>
        <w:t>2</w:t>
      </w:r>
      <w:r w:rsidR="00A06C6E" w:rsidRPr="00710BFB">
        <w:t>O or</w:t>
      </w:r>
      <w:r w:rsidR="00A06C6E">
        <w:t xml:space="preserve"> HO</w:t>
      </w:r>
      <w:r w:rsidR="00A06C6E" w:rsidRPr="00710BFB">
        <w:rPr>
          <w:vertAlign w:val="subscript"/>
        </w:rPr>
        <w:t>2</w:t>
      </w:r>
      <w:r w:rsidR="00A06C6E">
        <w:t>,</w:t>
      </w:r>
      <w:r w:rsidR="00A06C6E" w:rsidRPr="00536D53">
        <w:t xml:space="preserve"> as discussed </w:t>
      </w:r>
      <w:r w:rsidR="00A06C6E">
        <w:t xml:space="preserve">in detail </w:t>
      </w:r>
      <w:r w:rsidR="00A06C6E" w:rsidRPr="00536D53">
        <w:t xml:space="preserve">by both </w:t>
      </w:r>
      <w:r w:rsidR="00A06C6E">
        <w:t>Xia</w:t>
      </w:r>
      <w:r w:rsidR="00A06C6E" w:rsidRPr="00536D53">
        <w:t xml:space="preserve"> </w:t>
      </w:r>
      <w:r w:rsidR="00A06C6E" w:rsidRPr="00536D53">
        <w:rPr>
          <w:i/>
        </w:rPr>
        <w:t>et al</w:t>
      </w:r>
      <w:r w:rsidR="00A06C6E" w:rsidRPr="00483A15">
        <w:rPr>
          <w:i/>
          <w:noProof/>
          <w:vertAlign w:val="superscript"/>
        </w:rPr>
        <w:t>[6a]</w:t>
      </w:r>
      <w:r w:rsidR="00A06C6E" w:rsidRPr="00536D53">
        <w:t xml:space="preserve"> and </w:t>
      </w:r>
      <w:proofErr w:type="spellStart"/>
      <w:r w:rsidR="00A06C6E" w:rsidRPr="00536D53">
        <w:t>Jirkovsky</w:t>
      </w:r>
      <w:proofErr w:type="spellEnd"/>
      <w:r w:rsidR="00A06C6E" w:rsidRPr="00536D53">
        <w:t xml:space="preserve"> </w:t>
      </w:r>
      <w:r w:rsidR="00A06C6E" w:rsidRPr="00536D53">
        <w:rPr>
          <w:i/>
        </w:rPr>
        <w:t>et al</w:t>
      </w:r>
      <w:r w:rsidR="00A06C6E" w:rsidRPr="00536D53">
        <w:t>.</w:t>
      </w:r>
      <w:r w:rsidR="00A06C6E" w:rsidRPr="00483A15">
        <w:rPr>
          <w:noProof/>
          <w:vertAlign w:val="superscript"/>
        </w:rPr>
        <w:t>[13]</w:t>
      </w:r>
      <w:r w:rsidR="00A06C6E" w:rsidRPr="00536D53">
        <w:t xml:space="preserve"> </w:t>
      </w:r>
    </w:p>
    <w:p w:rsidR="00A06C6E" w:rsidRDefault="00A06C6E" w:rsidP="003302EA">
      <w:pPr>
        <w:pStyle w:val="P1withIndendation"/>
        <w:spacing w:after="0"/>
      </w:pPr>
      <w:r>
        <w:t xml:space="preserve">The poor conductivity of </w:t>
      </w:r>
      <w:r w:rsidRPr="00536D53">
        <w:t>low concentration</w:t>
      </w:r>
      <w:r>
        <w:t xml:space="preserve"> salt (0.1M)</w:t>
      </w:r>
      <w:r w:rsidRPr="00536D53">
        <w:t xml:space="preserve">, </w:t>
      </w:r>
      <w:r>
        <w:t>DEGDME based electrolyte, required that Raman analysis to be</w:t>
      </w:r>
      <w:r w:rsidRPr="00536D53">
        <w:t xml:space="preserve"> </w:t>
      </w:r>
      <w:r>
        <w:t>carried out</w:t>
      </w:r>
      <w:r w:rsidRPr="00536D53">
        <w:t xml:space="preserve"> at 1M </w:t>
      </w:r>
      <w:proofErr w:type="spellStart"/>
      <w:r w:rsidRPr="00536D53">
        <w:t>NaOTf</w:t>
      </w:r>
      <w:proofErr w:type="spellEnd"/>
      <w:r>
        <w:t xml:space="preserve">, in order to reduce significant </w:t>
      </w:r>
      <w:proofErr w:type="spellStart"/>
      <w:r>
        <w:t>overpotentials</w:t>
      </w:r>
      <w:proofErr w:type="spellEnd"/>
      <w:r>
        <w:t xml:space="preserve"> </w:t>
      </w:r>
      <w:r w:rsidRPr="00A70705">
        <w:rPr>
          <w:b/>
        </w:rPr>
        <w:t>(Fig 1c)</w:t>
      </w:r>
      <w:r w:rsidRPr="00AB159D">
        <w:t>.</w:t>
      </w:r>
      <w:r w:rsidRPr="00536D53">
        <w:t xml:space="preserve"> </w:t>
      </w:r>
      <w:r w:rsidRPr="002847F5">
        <w:t>SERS data shows that the main discharge product is Na</w:t>
      </w:r>
      <w:r w:rsidRPr="002847F5">
        <w:rPr>
          <w:vertAlign w:val="subscript"/>
        </w:rPr>
        <w:t>2</w:t>
      </w:r>
      <w:r w:rsidRPr="002847F5">
        <w:t>O</w:t>
      </w:r>
      <w:r w:rsidRPr="002847F5">
        <w:rPr>
          <w:vertAlign w:val="subscript"/>
        </w:rPr>
        <w:t>2</w:t>
      </w:r>
      <w:r w:rsidRPr="0027767C">
        <w:t>,</w:t>
      </w:r>
      <w:r>
        <w:rPr>
          <w:vertAlign w:val="subscript"/>
        </w:rPr>
        <w:t xml:space="preserve"> </w:t>
      </w:r>
      <w:r w:rsidRPr="002847F5">
        <w:t>via the observation of a shifted</w:t>
      </w:r>
      <w:r>
        <w:rPr>
          <w:vertAlign w:val="subscript"/>
        </w:rPr>
        <w:t xml:space="preserve"> </w:t>
      </w:r>
      <w:r>
        <w:t>doublet peak at 710 and 760 cm</w:t>
      </w:r>
      <w:r w:rsidRPr="002847F5">
        <w:rPr>
          <w:vertAlign w:val="superscript"/>
        </w:rPr>
        <w:t>-1</w:t>
      </w:r>
      <w:r>
        <w:t>. This is in contrast to the majority of Na-O</w:t>
      </w:r>
      <w:r w:rsidRPr="002847F5">
        <w:rPr>
          <w:vertAlign w:val="subscript"/>
        </w:rPr>
        <w:t>2</w:t>
      </w:r>
      <w:r>
        <w:t xml:space="preserve"> cell observations on a number of bulk carbon electrodes in which NaO</w:t>
      </w:r>
      <w:r w:rsidRPr="002847F5">
        <w:rPr>
          <w:vertAlign w:val="subscript"/>
        </w:rPr>
        <w:t>2</w:t>
      </w:r>
      <w:r>
        <w:t xml:space="preserve"> is the major product identified</w:t>
      </w:r>
      <w:r w:rsidRPr="00536D53">
        <w:rPr>
          <w:vertAlign w:val="subscript"/>
        </w:rPr>
        <w:t>.</w:t>
      </w:r>
      <w:r w:rsidRPr="00536D53">
        <w:t xml:space="preserve"> </w:t>
      </w:r>
      <w:r w:rsidRPr="009B4CED">
        <w:rPr>
          <w:noProof/>
          <w:vertAlign w:val="superscript"/>
        </w:rPr>
        <w:t>[6c, 11, 14, 17]</w:t>
      </w:r>
      <w:r>
        <w:t xml:space="preserve"> </w:t>
      </w:r>
      <w:r w:rsidRPr="00536D53">
        <w:t xml:space="preserve">The detection of </w:t>
      </w:r>
      <w:r>
        <w:t>Na</w:t>
      </w:r>
      <w:r w:rsidRPr="002847F5">
        <w:rPr>
          <w:vertAlign w:val="subscript"/>
        </w:rPr>
        <w:t>2</w:t>
      </w:r>
      <w:r>
        <w:t>O</w:t>
      </w:r>
      <w:r w:rsidRPr="002847F5">
        <w:rPr>
          <w:vertAlign w:val="subscript"/>
        </w:rPr>
        <w:t>2</w:t>
      </w:r>
      <w:r>
        <w:t xml:space="preserve"> rather than NaO</w:t>
      </w:r>
      <w:r w:rsidRPr="002847F5">
        <w:rPr>
          <w:vertAlign w:val="subscript"/>
        </w:rPr>
        <w:t>2</w:t>
      </w:r>
      <w:r>
        <w:t xml:space="preserve"> on a planar roughened gold electrode</w:t>
      </w:r>
      <w:r w:rsidRPr="00536D53">
        <w:t xml:space="preserve"> may be due to </w:t>
      </w:r>
      <w:r w:rsidRPr="000200AB">
        <w:t>surface</w:t>
      </w:r>
      <w:r w:rsidRPr="00536D53">
        <w:t xml:space="preserve"> morphology as the current role of surface is unclear in directing preferential formation of NaO</w:t>
      </w:r>
      <w:r w:rsidRPr="00536D53">
        <w:rPr>
          <w:vertAlign w:val="subscript"/>
        </w:rPr>
        <w:t>2</w:t>
      </w:r>
      <w:r w:rsidRPr="00536D53">
        <w:t xml:space="preserve"> or Na</w:t>
      </w:r>
      <w:r w:rsidRPr="00536D53">
        <w:rPr>
          <w:vertAlign w:val="subscript"/>
        </w:rPr>
        <w:t>2</w:t>
      </w:r>
      <w:r w:rsidRPr="00536D53">
        <w:t>O</w:t>
      </w:r>
      <w:r w:rsidRPr="00536D53">
        <w:rPr>
          <w:vertAlign w:val="subscript"/>
        </w:rPr>
        <w:t>2</w:t>
      </w:r>
      <w:proofErr w:type="gramStart"/>
      <w:r w:rsidRPr="00536D53">
        <w:t>.</w:t>
      </w:r>
      <w:r w:rsidRPr="009B4CED">
        <w:rPr>
          <w:noProof/>
          <w:vertAlign w:val="superscript"/>
        </w:rPr>
        <w:t>[</w:t>
      </w:r>
      <w:proofErr w:type="gramEnd"/>
      <w:r w:rsidRPr="009B4CED">
        <w:rPr>
          <w:noProof/>
          <w:vertAlign w:val="superscript"/>
        </w:rPr>
        <w:t>17a]</w:t>
      </w:r>
      <w:r w:rsidRPr="00536D53">
        <w:t xml:space="preserve"> DEGDME is a medium donor number solvent that in Li-O</w:t>
      </w:r>
      <w:r w:rsidRPr="00536D53">
        <w:rPr>
          <w:vertAlign w:val="subscript"/>
        </w:rPr>
        <w:t>2</w:t>
      </w:r>
      <w:r w:rsidRPr="00536D53">
        <w:t xml:space="preserve"> chemistry has been shown to support a solution based mechanism and surface mechanism </w:t>
      </w:r>
      <w:r>
        <w:t>by increasing the longevity of LiO</w:t>
      </w:r>
      <w:r w:rsidRPr="00DD1EFD">
        <w:rPr>
          <w:vertAlign w:val="subscript"/>
        </w:rPr>
        <w:t>2</w:t>
      </w:r>
      <w:r w:rsidRPr="00536D53">
        <w:t xml:space="preserve">. Here it is believed that a different process is occurring. In this case the </w:t>
      </w:r>
      <w:r>
        <w:t xml:space="preserve">lifetime and energetics of </w:t>
      </w:r>
      <w:r w:rsidRPr="00536D53">
        <w:t>the ion pair of [Na</w:t>
      </w:r>
      <w:r w:rsidRPr="00536D53">
        <w:rPr>
          <w:vertAlign w:val="superscript"/>
        </w:rPr>
        <w:t>+</w:t>
      </w:r>
      <w:r>
        <w:t>--</w:t>
      </w:r>
      <w:r w:rsidRPr="00536D53">
        <w:t>O</w:t>
      </w:r>
      <w:r w:rsidRPr="00536D53">
        <w:rPr>
          <w:vertAlign w:val="subscript"/>
        </w:rPr>
        <w:t>2</w:t>
      </w:r>
      <w:r w:rsidRPr="00536D53">
        <w:rPr>
          <w:vertAlign w:val="superscript"/>
        </w:rPr>
        <w:t>-</w:t>
      </w:r>
      <w:r w:rsidRPr="00536D53">
        <w:t>] may increase the amount of Na</w:t>
      </w:r>
      <w:r w:rsidRPr="00536D53">
        <w:rPr>
          <w:vertAlign w:val="subscript"/>
        </w:rPr>
        <w:t>2</w:t>
      </w:r>
      <w:r w:rsidRPr="00536D53">
        <w:t>O</w:t>
      </w:r>
      <w:r w:rsidRPr="00536D53">
        <w:rPr>
          <w:vertAlign w:val="subscript"/>
        </w:rPr>
        <w:t>2</w:t>
      </w:r>
      <w:r w:rsidRPr="00536D53">
        <w:t xml:space="preserve"> formed due to </w:t>
      </w:r>
      <w:r>
        <w:t>the transfer of a second electron,</w:t>
      </w:r>
      <w:r w:rsidRPr="00536D53">
        <w:t xml:space="preserve"> but also due to the kinetic and thermodynamically stability of the products.</w:t>
      </w:r>
      <w:r w:rsidRPr="009B4CED">
        <w:rPr>
          <w:noProof/>
          <w:vertAlign w:val="superscript"/>
        </w:rPr>
        <w:t>[17a]</w:t>
      </w:r>
      <w:r w:rsidRPr="00536D53">
        <w:t xml:space="preserve"> Na</w:t>
      </w:r>
      <w:r w:rsidRPr="005C425B">
        <w:rPr>
          <w:vertAlign w:val="subscript"/>
        </w:rPr>
        <w:t>2</w:t>
      </w:r>
      <w:r w:rsidRPr="00536D53">
        <w:t>O</w:t>
      </w:r>
      <w:r w:rsidRPr="00536D53">
        <w:rPr>
          <w:vertAlign w:val="subscript"/>
        </w:rPr>
        <w:t>2</w:t>
      </w:r>
      <w:r w:rsidRPr="00536D53">
        <w:t xml:space="preserve"> </w:t>
      </w:r>
      <w:r>
        <w:t>being shown to be the thermodynamically favourable product over NaO</w:t>
      </w:r>
      <w:r w:rsidRPr="005C425B">
        <w:rPr>
          <w:vertAlign w:val="subscript"/>
        </w:rPr>
        <w:t>2</w:t>
      </w:r>
      <w:r>
        <w:t xml:space="preserve"> above </w:t>
      </w:r>
      <w:r w:rsidRPr="00536D53">
        <w:t>10</w:t>
      </w:r>
      <w:r>
        <w:t xml:space="preserve"> </w:t>
      </w:r>
      <w:proofErr w:type="spellStart"/>
      <w:r>
        <w:rPr>
          <w:rFonts w:cs="Arial"/>
        </w:rPr>
        <w:t>μ</w:t>
      </w:r>
      <w:r>
        <w:t>m</w:t>
      </w:r>
      <w:proofErr w:type="spellEnd"/>
      <w:r w:rsidRPr="00536D53">
        <w:t>.</w:t>
      </w:r>
      <w:r w:rsidRPr="00483A15">
        <w:rPr>
          <w:noProof/>
          <w:vertAlign w:val="superscript"/>
        </w:rPr>
        <w:t>[17a]</w:t>
      </w:r>
    </w:p>
    <w:p w:rsidR="00A06C6E" w:rsidRDefault="00A06C6E" w:rsidP="001C60F3">
      <w:pPr>
        <w:pStyle w:val="P1withIndendation"/>
        <w:spacing w:after="0"/>
      </w:pPr>
    </w:p>
    <w:tbl>
      <w:tblPr>
        <w:tblW w:w="5070" w:type="dxa"/>
        <w:tblLayout w:type="fixed"/>
        <w:tblLook w:val="01E0" w:firstRow="1" w:lastRow="1" w:firstColumn="1" w:lastColumn="1" w:noHBand="0" w:noVBand="0"/>
      </w:tblPr>
      <w:tblGrid>
        <w:gridCol w:w="1101"/>
        <w:gridCol w:w="708"/>
        <w:gridCol w:w="851"/>
        <w:gridCol w:w="850"/>
        <w:gridCol w:w="567"/>
        <w:gridCol w:w="993"/>
      </w:tblGrid>
      <w:tr w:rsidR="00A06C6E" w:rsidTr="0093418D">
        <w:tc>
          <w:tcPr>
            <w:tcW w:w="5070" w:type="dxa"/>
            <w:gridSpan w:val="6"/>
            <w:tcBorders>
              <w:bottom w:val="single" w:sz="8" w:space="0" w:color="000000"/>
            </w:tcBorders>
            <w:shd w:val="clear" w:color="auto" w:fill="auto"/>
          </w:tcPr>
          <w:p w:rsidR="00A06C6E" w:rsidRPr="00826B30" w:rsidRDefault="00A06C6E" w:rsidP="001C60F3">
            <w:pPr>
              <w:pStyle w:val="TableCaption"/>
              <w:spacing w:after="0"/>
              <w:rPr>
                <w:b/>
              </w:rPr>
            </w:pPr>
            <w:r w:rsidRPr="00826B30">
              <w:rPr>
                <w:b/>
                <w:sz w:val="16"/>
              </w:rPr>
              <w:lastRenderedPageBreak/>
              <w:t>Table 1.</w:t>
            </w:r>
            <w:r w:rsidRPr="00826B30">
              <w:rPr>
                <w:sz w:val="16"/>
              </w:rPr>
              <w:t xml:space="preserve"> </w:t>
            </w:r>
            <w:r>
              <w:rPr>
                <w:b/>
                <w:sz w:val="16"/>
                <w:lang w:val="de-DE"/>
              </w:rPr>
              <w:t xml:space="preserve">Raman Bands for ORR discharge </w:t>
            </w:r>
            <w:r w:rsidRPr="00826B30">
              <w:rPr>
                <w:b/>
                <w:sz w:val="16"/>
                <w:lang w:val="de-DE"/>
              </w:rPr>
              <w:t>products / cm</w:t>
            </w:r>
            <w:r w:rsidRPr="00826B30">
              <w:rPr>
                <w:b/>
                <w:sz w:val="16"/>
                <w:vertAlign w:val="superscript"/>
                <w:lang w:val="de-DE"/>
              </w:rPr>
              <w:t>-1</w:t>
            </w:r>
            <w:r w:rsidRPr="00826B30">
              <w:t xml:space="preserve">. </w:t>
            </w:r>
          </w:p>
        </w:tc>
      </w:tr>
      <w:tr w:rsidR="00A06C6E" w:rsidRPr="00EA067A" w:rsidTr="00722E07">
        <w:tc>
          <w:tcPr>
            <w:tcW w:w="110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06C6E" w:rsidRPr="00966CDB" w:rsidRDefault="00A06C6E" w:rsidP="001C60F3">
            <w:pPr>
              <w:pStyle w:val="08ArticleText"/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06C6E" w:rsidRPr="00966CDB" w:rsidRDefault="00A06C6E" w:rsidP="001C60F3">
            <w:pPr>
              <w:pStyle w:val="TableHead"/>
              <w:jc w:val="center"/>
              <w:rPr>
                <w:b/>
              </w:rPr>
            </w:pPr>
            <w:r w:rsidRPr="00966CDB">
              <w:rPr>
                <w:b/>
              </w:rPr>
              <w:t>O</w:t>
            </w:r>
            <w:r w:rsidRPr="00966CDB">
              <w:rPr>
                <w:b/>
                <w:vertAlign w:val="subscript"/>
              </w:rPr>
              <w:t>2</w:t>
            </w:r>
            <w:r w:rsidRPr="00966CDB">
              <w:rPr>
                <w:b/>
                <w:vertAlign w:val="superscript"/>
              </w:rPr>
              <w:t>-</w:t>
            </w:r>
          </w:p>
          <w:p w:rsidR="00A06C6E" w:rsidRPr="00966CDB" w:rsidRDefault="00A06C6E" w:rsidP="001C60F3">
            <w:pPr>
              <w:pStyle w:val="TableHead"/>
              <w:jc w:val="center"/>
            </w:pPr>
            <w:r w:rsidRPr="00722E07">
              <w:rPr>
                <w:lang w:val="de-DE"/>
              </w:rPr>
              <w:t>(Au-O</w:t>
            </w:r>
            <w:r w:rsidRPr="00722E07">
              <w:rPr>
                <w:vertAlign w:val="subscript"/>
                <w:lang w:val="de-DE"/>
              </w:rPr>
              <w:t>2</w:t>
            </w:r>
            <w:r w:rsidRPr="00722E07">
              <w:rPr>
                <w:lang w:val="de-DE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06C6E" w:rsidRPr="00966CDB" w:rsidRDefault="00A06C6E" w:rsidP="001C60F3">
            <w:pPr>
              <w:pStyle w:val="TableHead"/>
              <w:jc w:val="center"/>
              <w:rPr>
                <w:vertAlign w:val="subscript"/>
              </w:rPr>
            </w:pPr>
            <w:r w:rsidRPr="00966CDB">
              <w:rPr>
                <w:b/>
              </w:rPr>
              <w:t>Na</w:t>
            </w:r>
            <w:r w:rsidRPr="00966CDB">
              <w:rPr>
                <w:b/>
                <w:vertAlign w:val="subscript"/>
              </w:rPr>
              <w:t>2</w:t>
            </w:r>
            <w:r w:rsidRPr="00966CDB">
              <w:rPr>
                <w:b/>
              </w:rPr>
              <w:t>O</w:t>
            </w:r>
            <w:r w:rsidRPr="00966CDB">
              <w:rPr>
                <w:b/>
                <w:vertAlign w:val="subscript"/>
              </w:rPr>
              <w:t>2</w:t>
            </w:r>
          </w:p>
          <w:p w:rsidR="00A06C6E" w:rsidRPr="00966CDB" w:rsidRDefault="00A06C6E" w:rsidP="001C60F3">
            <w:pPr>
              <w:pStyle w:val="TableHead"/>
              <w:jc w:val="center"/>
            </w:pPr>
            <w:r w:rsidRPr="00966CDB">
              <w:rPr>
                <w:lang w:val="de-DE"/>
              </w:rPr>
              <w:t>(736</w:t>
            </w:r>
            <w:r>
              <w:rPr>
                <w:lang w:val="de-DE"/>
              </w:rPr>
              <w:t xml:space="preserve"> </w:t>
            </w:r>
            <w:r w:rsidRPr="00966CDB">
              <w:rPr>
                <w:lang w:val="de-DE"/>
              </w:rPr>
              <w:t>cm</w:t>
            </w:r>
            <w:r w:rsidRPr="00966CDB">
              <w:rPr>
                <w:vertAlign w:val="superscript"/>
                <w:lang w:val="de-DE"/>
              </w:rPr>
              <w:t>-1</w:t>
            </w:r>
            <w:r w:rsidRPr="00966CDB">
              <w:rPr>
                <w:lang w:val="de-DE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06C6E" w:rsidRPr="00966CDB" w:rsidRDefault="00A06C6E" w:rsidP="001C60F3">
            <w:pPr>
              <w:pStyle w:val="TableHead"/>
              <w:jc w:val="center"/>
              <w:rPr>
                <w:b/>
                <w:vertAlign w:val="subscript"/>
              </w:rPr>
            </w:pPr>
            <w:r w:rsidRPr="00966CDB">
              <w:rPr>
                <w:b/>
              </w:rPr>
              <w:t>Na</w:t>
            </w:r>
            <w:r w:rsidRPr="00966CDB">
              <w:rPr>
                <w:b/>
                <w:vertAlign w:val="subscript"/>
              </w:rPr>
              <w:t>2</w:t>
            </w:r>
            <w:r w:rsidRPr="00966CDB">
              <w:rPr>
                <w:b/>
              </w:rPr>
              <w:t>O</w:t>
            </w:r>
            <w:r w:rsidRPr="00966CDB">
              <w:rPr>
                <w:b/>
                <w:vertAlign w:val="subscript"/>
              </w:rPr>
              <w:t>2</w:t>
            </w:r>
          </w:p>
          <w:p w:rsidR="00A06C6E" w:rsidRPr="00966CDB" w:rsidRDefault="00A06C6E" w:rsidP="001C60F3">
            <w:pPr>
              <w:pStyle w:val="TableHead"/>
              <w:jc w:val="center"/>
            </w:pPr>
            <w:r w:rsidRPr="00966CDB">
              <w:rPr>
                <w:lang w:val="de-DE"/>
              </w:rPr>
              <w:t>(792</w:t>
            </w:r>
            <w:r>
              <w:rPr>
                <w:lang w:val="de-DE"/>
              </w:rPr>
              <w:t xml:space="preserve"> </w:t>
            </w:r>
            <w:r w:rsidRPr="00966CDB">
              <w:rPr>
                <w:lang w:val="de-DE"/>
              </w:rPr>
              <w:t>cm</w:t>
            </w:r>
            <w:r w:rsidRPr="00966CDB">
              <w:rPr>
                <w:vertAlign w:val="superscript"/>
                <w:lang w:val="de-DE"/>
              </w:rPr>
              <w:t>-1</w:t>
            </w:r>
            <w:r w:rsidRPr="00966CDB">
              <w:rPr>
                <w:lang w:val="de-DE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06C6E" w:rsidRPr="00966CDB" w:rsidRDefault="00A06C6E" w:rsidP="001C60F3">
            <w:pPr>
              <w:pStyle w:val="TableHead"/>
              <w:jc w:val="center"/>
              <w:rPr>
                <w:b/>
              </w:rPr>
            </w:pPr>
            <w:r w:rsidRPr="00966CDB">
              <w:rPr>
                <w:b/>
              </w:rPr>
              <w:t>O</w:t>
            </w:r>
            <w:r w:rsidRPr="00966CDB">
              <w:rPr>
                <w:b/>
                <w:vertAlign w:val="subscript"/>
              </w:rPr>
              <w:t>2</w:t>
            </w:r>
            <w:r w:rsidRPr="00966CDB">
              <w:rPr>
                <w:b/>
                <w:vertAlign w:val="superscript"/>
              </w:rPr>
              <w:t>-</w:t>
            </w:r>
          </w:p>
          <w:p w:rsidR="00A06C6E" w:rsidRPr="00722E07" w:rsidRDefault="00A06C6E" w:rsidP="001C60F3">
            <w:pPr>
              <w:pStyle w:val="TableHead"/>
              <w:jc w:val="center"/>
            </w:pPr>
            <w:r w:rsidRPr="00722E07">
              <w:rPr>
                <w:lang w:val="de-DE"/>
              </w:rPr>
              <w:t>(O</w:t>
            </w:r>
            <w:r w:rsidRPr="00722E07">
              <w:rPr>
                <w:vertAlign w:val="subscript"/>
                <w:lang w:val="de-DE"/>
              </w:rPr>
              <w:t>2</w:t>
            </w:r>
            <w:r w:rsidRPr="00722E07">
              <w:rPr>
                <w:vertAlign w:val="superscript"/>
                <w:lang w:val="de-DE"/>
              </w:rPr>
              <w:t>-</w:t>
            </w:r>
            <w:r w:rsidRPr="00722E07">
              <w:rPr>
                <w:lang w:val="de-DE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06C6E" w:rsidRPr="00966CDB" w:rsidRDefault="00A06C6E" w:rsidP="001C60F3">
            <w:pPr>
              <w:pStyle w:val="08ArticleText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  <w:r w:rsidRPr="00966CDB">
              <w:rPr>
                <w:rFonts w:ascii="Arial" w:hAnsi="Arial" w:cs="Arial"/>
                <w:b/>
                <w:sz w:val="14"/>
                <w:szCs w:val="20"/>
              </w:rPr>
              <w:t>NaO</w:t>
            </w:r>
            <w:r w:rsidRPr="00966CDB">
              <w:rPr>
                <w:rFonts w:ascii="Arial" w:hAnsi="Arial" w:cs="Arial"/>
                <w:b/>
                <w:sz w:val="14"/>
                <w:szCs w:val="20"/>
                <w:vertAlign w:val="subscript"/>
              </w:rPr>
              <w:t>2</w:t>
            </w:r>
          </w:p>
          <w:p w:rsidR="00A06C6E" w:rsidRPr="00966CDB" w:rsidRDefault="00A06C6E" w:rsidP="001C60F3">
            <w:pPr>
              <w:pStyle w:val="08ArticleText"/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966CDB">
              <w:rPr>
                <w:rFonts w:ascii="Arial" w:hAnsi="Arial" w:cs="Arial"/>
                <w:sz w:val="14"/>
                <w:szCs w:val="20"/>
              </w:rPr>
              <w:t>(1156</w:t>
            </w:r>
            <w:r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Pr="00966CDB">
              <w:rPr>
                <w:rFonts w:ascii="Arial" w:hAnsi="Arial" w:cs="Arial"/>
                <w:sz w:val="14"/>
                <w:szCs w:val="20"/>
              </w:rPr>
              <w:t>cm</w:t>
            </w:r>
            <w:r w:rsidRPr="00966CDB">
              <w:rPr>
                <w:rFonts w:ascii="Arial" w:hAnsi="Arial" w:cs="Arial"/>
                <w:sz w:val="14"/>
                <w:szCs w:val="20"/>
                <w:vertAlign w:val="superscript"/>
              </w:rPr>
              <w:t>-1</w:t>
            </w:r>
            <w:r w:rsidRPr="00966CDB">
              <w:rPr>
                <w:rFonts w:ascii="Arial" w:hAnsi="Arial" w:cs="Arial"/>
                <w:sz w:val="14"/>
                <w:szCs w:val="20"/>
              </w:rPr>
              <w:t>)</w:t>
            </w:r>
          </w:p>
        </w:tc>
      </w:tr>
      <w:tr w:rsidR="00A06C6E" w:rsidRPr="00324724" w:rsidTr="00722E07">
        <w:tc>
          <w:tcPr>
            <w:tcW w:w="1101" w:type="dxa"/>
            <w:tcBorders>
              <w:bottom w:val="single" w:sz="8" w:space="0" w:color="000000"/>
            </w:tcBorders>
            <w:vAlign w:val="center"/>
          </w:tcPr>
          <w:p w:rsidR="00A06C6E" w:rsidRPr="00966CDB" w:rsidRDefault="00A06C6E" w:rsidP="001C60F3">
            <w:pPr>
              <w:pStyle w:val="08ArticleText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966CDB">
              <w:rPr>
                <w:rFonts w:ascii="Times New Roman" w:hAnsi="Times New Roman"/>
                <w:szCs w:val="16"/>
              </w:rPr>
              <w:t>DMSO</w:t>
            </w:r>
          </w:p>
        </w:tc>
        <w:tc>
          <w:tcPr>
            <w:tcW w:w="708" w:type="dxa"/>
            <w:tcBorders>
              <w:bottom w:val="single" w:sz="8" w:space="0" w:color="000000"/>
            </w:tcBorders>
            <w:vAlign w:val="center"/>
          </w:tcPr>
          <w:p w:rsidR="00A06C6E" w:rsidRPr="00966CDB" w:rsidRDefault="00A06C6E" w:rsidP="001C60F3">
            <w:pPr>
              <w:pStyle w:val="08ArticleText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966CDB">
              <w:rPr>
                <w:rFonts w:ascii="Times New Roman" w:hAnsi="Times New Roman"/>
                <w:szCs w:val="16"/>
              </w:rPr>
              <w:t>488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A06C6E" w:rsidRPr="00966CDB" w:rsidRDefault="00A06C6E" w:rsidP="001C60F3">
            <w:pPr>
              <w:pStyle w:val="08ArticleText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966CDB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vAlign w:val="center"/>
          </w:tcPr>
          <w:p w:rsidR="00A06C6E" w:rsidRPr="00966CDB" w:rsidRDefault="00A06C6E" w:rsidP="001C60F3">
            <w:pPr>
              <w:pStyle w:val="08ArticleText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966CDB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center"/>
          </w:tcPr>
          <w:p w:rsidR="00A06C6E" w:rsidRPr="00966CDB" w:rsidRDefault="00A06C6E" w:rsidP="001C60F3">
            <w:pPr>
              <w:pStyle w:val="08ArticleText"/>
              <w:spacing w:line="240" w:lineRule="auto"/>
              <w:jc w:val="center"/>
              <w:rPr>
                <w:rFonts w:ascii="Times New Roman" w:hAnsi="Times New Roman"/>
                <w:szCs w:val="16"/>
                <w:vertAlign w:val="subscript"/>
              </w:rPr>
            </w:pPr>
            <w:r w:rsidRPr="00966CDB">
              <w:rPr>
                <w:rFonts w:ascii="Times New Roman" w:hAnsi="Times New Roman"/>
                <w:szCs w:val="16"/>
              </w:rPr>
              <w:t>1107</w:t>
            </w:r>
          </w:p>
        </w:tc>
        <w:tc>
          <w:tcPr>
            <w:tcW w:w="993" w:type="dxa"/>
            <w:tcBorders>
              <w:bottom w:val="single" w:sz="8" w:space="0" w:color="000000"/>
            </w:tcBorders>
            <w:vAlign w:val="center"/>
          </w:tcPr>
          <w:p w:rsidR="00A06C6E" w:rsidRPr="00966CDB" w:rsidRDefault="00A06C6E" w:rsidP="006E5CCC">
            <w:pPr>
              <w:pStyle w:val="08ArticleText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966CDB">
              <w:rPr>
                <w:rFonts w:ascii="Times New Roman" w:hAnsi="Times New Roman"/>
                <w:szCs w:val="16"/>
              </w:rPr>
              <w:t>11</w:t>
            </w:r>
            <w:r>
              <w:rPr>
                <w:rFonts w:ascii="Times New Roman" w:hAnsi="Times New Roman"/>
                <w:szCs w:val="16"/>
              </w:rPr>
              <w:t>56</w:t>
            </w:r>
          </w:p>
        </w:tc>
      </w:tr>
      <w:tr w:rsidR="00A06C6E" w:rsidRPr="00324724" w:rsidTr="00722E07">
        <w:tc>
          <w:tcPr>
            <w:tcW w:w="1101" w:type="dxa"/>
            <w:tcBorders>
              <w:bottom w:val="single" w:sz="8" w:space="0" w:color="000000"/>
            </w:tcBorders>
            <w:vAlign w:val="center"/>
          </w:tcPr>
          <w:p w:rsidR="00A06C6E" w:rsidRPr="00966CDB" w:rsidRDefault="00A06C6E" w:rsidP="001C60F3">
            <w:pPr>
              <w:pStyle w:val="08ArticleText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966CDB">
              <w:rPr>
                <w:rFonts w:ascii="Times New Roman" w:hAnsi="Times New Roman"/>
                <w:szCs w:val="16"/>
              </w:rPr>
              <w:t>DMA</w:t>
            </w:r>
          </w:p>
        </w:tc>
        <w:tc>
          <w:tcPr>
            <w:tcW w:w="708" w:type="dxa"/>
            <w:tcBorders>
              <w:bottom w:val="single" w:sz="8" w:space="0" w:color="000000"/>
            </w:tcBorders>
            <w:vAlign w:val="center"/>
          </w:tcPr>
          <w:p w:rsidR="00A06C6E" w:rsidRPr="00966CDB" w:rsidRDefault="00A06C6E" w:rsidP="001C60F3">
            <w:pPr>
              <w:pStyle w:val="08ArticleText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966CDB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A06C6E" w:rsidRPr="00966CDB" w:rsidRDefault="00A06C6E" w:rsidP="001C60F3">
            <w:pPr>
              <w:pStyle w:val="08ArticleText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966CDB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vAlign w:val="center"/>
          </w:tcPr>
          <w:p w:rsidR="00A06C6E" w:rsidRPr="00966CDB" w:rsidRDefault="00A06C6E" w:rsidP="001C60F3">
            <w:pPr>
              <w:pStyle w:val="08ArticleText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966CDB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center"/>
          </w:tcPr>
          <w:p w:rsidR="00A06C6E" w:rsidRPr="00966CDB" w:rsidRDefault="00A06C6E" w:rsidP="001C60F3">
            <w:pPr>
              <w:pStyle w:val="08ArticleText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966CDB">
              <w:rPr>
                <w:rFonts w:ascii="Times New Roman" w:hAnsi="Times New Roman"/>
                <w:szCs w:val="16"/>
              </w:rPr>
              <w:t>1119</w:t>
            </w:r>
          </w:p>
        </w:tc>
        <w:tc>
          <w:tcPr>
            <w:tcW w:w="993" w:type="dxa"/>
            <w:tcBorders>
              <w:bottom w:val="single" w:sz="8" w:space="0" w:color="000000"/>
            </w:tcBorders>
            <w:vAlign w:val="center"/>
          </w:tcPr>
          <w:p w:rsidR="00A06C6E" w:rsidRPr="00966CDB" w:rsidRDefault="00A06C6E" w:rsidP="001C60F3">
            <w:pPr>
              <w:pStyle w:val="08ArticleText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966CDB">
              <w:rPr>
                <w:rFonts w:ascii="Times New Roman" w:hAnsi="Times New Roman"/>
                <w:szCs w:val="16"/>
              </w:rPr>
              <w:t>1161</w:t>
            </w:r>
          </w:p>
        </w:tc>
      </w:tr>
      <w:tr w:rsidR="00A06C6E" w:rsidRPr="00324724" w:rsidTr="00722E07">
        <w:tc>
          <w:tcPr>
            <w:tcW w:w="1101" w:type="dxa"/>
            <w:tcBorders>
              <w:bottom w:val="single" w:sz="8" w:space="0" w:color="000000"/>
            </w:tcBorders>
            <w:vAlign w:val="center"/>
          </w:tcPr>
          <w:p w:rsidR="00A06C6E" w:rsidRPr="00966CDB" w:rsidRDefault="00A06C6E" w:rsidP="001C60F3">
            <w:pPr>
              <w:pStyle w:val="08ArticleText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966CDB">
              <w:rPr>
                <w:rFonts w:ascii="Times New Roman" w:hAnsi="Times New Roman"/>
                <w:szCs w:val="16"/>
              </w:rPr>
              <w:t>DEGDME</w:t>
            </w:r>
          </w:p>
        </w:tc>
        <w:tc>
          <w:tcPr>
            <w:tcW w:w="708" w:type="dxa"/>
            <w:tcBorders>
              <w:bottom w:val="single" w:sz="8" w:space="0" w:color="000000"/>
            </w:tcBorders>
            <w:vAlign w:val="center"/>
          </w:tcPr>
          <w:p w:rsidR="00A06C6E" w:rsidRPr="00966CDB" w:rsidRDefault="00A06C6E" w:rsidP="001C60F3">
            <w:pPr>
              <w:pStyle w:val="08ArticleText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966CDB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A06C6E" w:rsidRPr="00966CDB" w:rsidRDefault="00A06C6E" w:rsidP="001C60F3">
            <w:pPr>
              <w:pStyle w:val="08ArticleText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966CDB">
              <w:rPr>
                <w:rFonts w:ascii="Times New Roman" w:hAnsi="Times New Roman"/>
                <w:szCs w:val="16"/>
              </w:rPr>
              <w:t>710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vAlign w:val="center"/>
          </w:tcPr>
          <w:p w:rsidR="00A06C6E" w:rsidRPr="00966CDB" w:rsidRDefault="00A06C6E" w:rsidP="001C60F3">
            <w:pPr>
              <w:pStyle w:val="08ArticleText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966CDB">
              <w:rPr>
                <w:rFonts w:ascii="Times New Roman" w:hAnsi="Times New Roman"/>
                <w:szCs w:val="16"/>
              </w:rPr>
              <w:t>760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center"/>
          </w:tcPr>
          <w:p w:rsidR="00A06C6E" w:rsidRPr="00966CDB" w:rsidRDefault="00A06C6E" w:rsidP="001C60F3">
            <w:pPr>
              <w:pStyle w:val="08ArticleText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966CDB">
              <w:rPr>
                <w:rFonts w:ascii="Times New Roman" w:hAnsi="Times New Roman"/>
                <w:szCs w:val="16"/>
              </w:rPr>
              <w:t>1109</w:t>
            </w:r>
          </w:p>
        </w:tc>
        <w:tc>
          <w:tcPr>
            <w:tcW w:w="993" w:type="dxa"/>
            <w:tcBorders>
              <w:bottom w:val="single" w:sz="8" w:space="0" w:color="000000"/>
            </w:tcBorders>
            <w:vAlign w:val="center"/>
          </w:tcPr>
          <w:p w:rsidR="00A06C6E" w:rsidRPr="00966CDB" w:rsidRDefault="00A06C6E" w:rsidP="001C60F3">
            <w:pPr>
              <w:pStyle w:val="08ArticleText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966CDB">
              <w:rPr>
                <w:rFonts w:ascii="Times New Roman" w:hAnsi="Times New Roman"/>
                <w:szCs w:val="16"/>
              </w:rPr>
              <w:t>-</w:t>
            </w:r>
          </w:p>
        </w:tc>
      </w:tr>
      <w:tr w:rsidR="00A06C6E" w:rsidRPr="00324724" w:rsidTr="00722E07">
        <w:tc>
          <w:tcPr>
            <w:tcW w:w="1101" w:type="dxa"/>
            <w:tcBorders>
              <w:bottom w:val="single" w:sz="8" w:space="0" w:color="000000"/>
            </w:tcBorders>
            <w:vAlign w:val="center"/>
          </w:tcPr>
          <w:p w:rsidR="00A06C6E" w:rsidRPr="00966CDB" w:rsidRDefault="00A06C6E" w:rsidP="001C60F3">
            <w:pPr>
              <w:pStyle w:val="08ArticleText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  <w:proofErr w:type="spellStart"/>
            <w:r w:rsidRPr="00966CDB">
              <w:rPr>
                <w:rFonts w:ascii="Times New Roman" w:hAnsi="Times New Roman"/>
                <w:szCs w:val="16"/>
              </w:rPr>
              <w:t>MeCN</w:t>
            </w:r>
            <w:proofErr w:type="spellEnd"/>
          </w:p>
        </w:tc>
        <w:tc>
          <w:tcPr>
            <w:tcW w:w="708" w:type="dxa"/>
            <w:tcBorders>
              <w:bottom w:val="single" w:sz="8" w:space="0" w:color="000000"/>
            </w:tcBorders>
            <w:vAlign w:val="center"/>
          </w:tcPr>
          <w:p w:rsidR="00A06C6E" w:rsidRPr="00966CDB" w:rsidRDefault="00A06C6E" w:rsidP="001C60F3">
            <w:pPr>
              <w:pStyle w:val="08ArticleText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966CDB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A06C6E" w:rsidRPr="00966CDB" w:rsidRDefault="00A06C6E" w:rsidP="001C60F3">
            <w:pPr>
              <w:pStyle w:val="08ArticleText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966CDB">
              <w:rPr>
                <w:rFonts w:ascii="Times New Roman" w:hAnsi="Times New Roman"/>
                <w:szCs w:val="16"/>
              </w:rPr>
              <w:t>706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vAlign w:val="center"/>
          </w:tcPr>
          <w:p w:rsidR="00A06C6E" w:rsidRPr="00966CDB" w:rsidRDefault="00A06C6E" w:rsidP="001C60F3">
            <w:pPr>
              <w:pStyle w:val="08ArticleText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966CDB">
              <w:rPr>
                <w:rFonts w:ascii="Times New Roman" w:hAnsi="Times New Roman"/>
                <w:szCs w:val="16"/>
              </w:rPr>
              <w:t>764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center"/>
          </w:tcPr>
          <w:p w:rsidR="00A06C6E" w:rsidRPr="00966CDB" w:rsidRDefault="00A06C6E" w:rsidP="001C60F3">
            <w:pPr>
              <w:pStyle w:val="08ArticleText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1108</w:t>
            </w:r>
          </w:p>
        </w:tc>
        <w:tc>
          <w:tcPr>
            <w:tcW w:w="993" w:type="dxa"/>
            <w:tcBorders>
              <w:bottom w:val="single" w:sz="8" w:space="0" w:color="000000"/>
            </w:tcBorders>
            <w:vAlign w:val="center"/>
          </w:tcPr>
          <w:p w:rsidR="00A06C6E" w:rsidRPr="00966CDB" w:rsidRDefault="00A06C6E" w:rsidP="001C60F3">
            <w:pPr>
              <w:pStyle w:val="08ArticleText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-</w:t>
            </w:r>
          </w:p>
        </w:tc>
      </w:tr>
    </w:tbl>
    <w:p w:rsidR="00A06C6E" w:rsidRDefault="00A06C6E" w:rsidP="001C60F3">
      <w:pPr>
        <w:pStyle w:val="P1withIndendation"/>
        <w:spacing w:after="0"/>
      </w:pPr>
    </w:p>
    <w:p w:rsidR="00A06C6E" w:rsidRDefault="00A06C6E" w:rsidP="001C60F3">
      <w:pPr>
        <w:pStyle w:val="P1withIndendation"/>
        <w:spacing w:after="0"/>
      </w:pPr>
      <w:proofErr w:type="spellStart"/>
      <w:r w:rsidRPr="00536D53">
        <w:t>MeCN</w:t>
      </w:r>
      <w:proofErr w:type="spellEnd"/>
      <w:r w:rsidRPr="00536D53">
        <w:t xml:space="preserve"> based electrolyte SERS data </w:t>
      </w:r>
      <w:r>
        <w:t xml:space="preserve">also </w:t>
      </w:r>
      <w:r w:rsidRPr="00536D53">
        <w:t>displays a double band at 714 &amp; 767 cm</w:t>
      </w:r>
      <w:r w:rsidRPr="006E5CCC">
        <w:rPr>
          <w:vertAlign w:val="superscript"/>
        </w:rPr>
        <w:t>-1</w:t>
      </w:r>
      <w:r w:rsidRPr="00536D53">
        <w:t xml:space="preserve"> that is assigned </w:t>
      </w:r>
      <w:r>
        <w:t>as</w:t>
      </w:r>
      <w:r w:rsidRPr="00536D53">
        <w:t xml:space="preserve"> Na</w:t>
      </w:r>
      <w:r w:rsidRPr="00536D53">
        <w:rPr>
          <w:vertAlign w:val="subscript"/>
        </w:rPr>
        <w:t>2</w:t>
      </w:r>
      <w:r w:rsidRPr="00536D53">
        <w:t>O</w:t>
      </w:r>
      <w:r w:rsidRPr="00536D53">
        <w:rPr>
          <w:vertAlign w:val="subscript"/>
        </w:rPr>
        <w:t>2</w:t>
      </w:r>
      <w:r>
        <w:t xml:space="preserve"> (</w:t>
      </w:r>
      <w:r w:rsidRPr="00CC5697">
        <w:rPr>
          <w:b/>
        </w:rPr>
        <w:t>Fig 1d</w:t>
      </w:r>
      <w:r>
        <w:t>)</w:t>
      </w:r>
      <w:r w:rsidRPr="00536D53">
        <w:t xml:space="preserve">. The </w:t>
      </w:r>
      <w:r>
        <w:t>absence</w:t>
      </w:r>
      <w:r w:rsidRPr="00536D53">
        <w:t xml:space="preserve"> of </w:t>
      </w:r>
      <w:r>
        <w:t>NaO</w:t>
      </w:r>
      <w:r>
        <w:rPr>
          <w:vertAlign w:val="subscript"/>
        </w:rPr>
        <w:t>2</w:t>
      </w:r>
      <w:r w:rsidRPr="00536D53">
        <w:t xml:space="preserve"> signal </w:t>
      </w:r>
      <w:r>
        <w:t xml:space="preserve">suggests preferential </w:t>
      </w:r>
      <w:r w:rsidRPr="00536D53">
        <w:t>Na</w:t>
      </w:r>
      <w:r w:rsidRPr="00536D53">
        <w:rPr>
          <w:vertAlign w:val="subscript"/>
        </w:rPr>
        <w:t>2</w:t>
      </w:r>
      <w:r w:rsidRPr="00536D53">
        <w:t>O</w:t>
      </w:r>
      <w:r w:rsidRPr="00536D53">
        <w:rPr>
          <w:vertAlign w:val="subscript"/>
        </w:rPr>
        <w:t>2</w:t>
      </w:r>
      <w:r w:rsidRPr="00536D53">
        <w:t xml:space="preserve"> </w:t>
      </w:r>
      <w:r>
        <w:t>formation, suggesting that</w:t>
      </w:r>
      <w:r w:rsidRPr="00536D53">
        <w:t xml:space="preserve"> </w:t>
      </w:r>
      <w:r>
        <w:t>any initially formed NaO</w:t>
      </w:r>
      <w:r w:rsidRPr="00722E07">
        <w:rPr>
          <w:vertAlign w:val="subscript"/>
        </w:rPr>
        <w:t>2</w:t>
      </w:r>
      <w:r>
        <w:t xml:space="preserve"> is short lived or that superoxide is solely present before a second electron transfer. Hence if a surface bound NaO</w:t>
      </w:r>
      <w:r w:rsidRPr="006F47A9">
        <w:rPr>
          <w:vertAlign w:val="subscript"/>
        </w:rPr>
        <w:t>2</w:t>
      </w:r>
      <w:r>
        <w:t xml:space="preserve"> film</w:t>
      </w:r>
      <w:r w:rsidRPr="00536D53">
        <w:t xml:space="preserve"> </w:t>
      </w:r>
      <w:r>
        <w:t>is present it rapidly grows beyond kinetic stability allowing for a 2</w:t>
      </w:r>
      <w:r w:rsidRPr="00722E07">
        <w:rPr>
          <w:vertAlign w:val="superscript"/>
        </w:rPr>
        <w:t>nd</w:t>
      </w:r>
      <w:r>
        <w:t xml:space="preserve"> electron reduction and a subsequent Na</w:t>
      </w:r>
      <w:r w:rsidRPr="00722E07">
        <w:rPr>
          <w:vertAlign w:val="subscript"/>
        </w:rPr>
        <w:t>2</w:t>
      </w:r>
      <w:r>
        <w:t>O</w:t>
      </w:r>
      <w:r w:rsidRPr="00722E07">
        <w:rPr>
          <w:vertAlign w:val="subscript"/>
        </w:rPr>
        <w:t>2</w:t>
      </w:r>
      <w:r>
        <w:t xml:space="preserve"> discharge product</w:t>
      </w:r>
      <w:proofErr w:type="gramStart"/>
      <w:r w:rsidRPr="00536D53">
        <w:t>.</w:t>
      </w:r>
      <w:r w:rsidRPr="009B4CED">
        <w:rPr>
          <w:noProof/>
          <w:vertAlign w:val="superscript"/>
        </w:rPr>
        <w:t>[</w:t>
      </w:r>
      <w:proofErr w:type="gramEnd"/>
      <w:r w:rsidRPr="009B4CED">
        <w:rPr>
          <w:noProof/>
          <w:vertAlign w:val="superscript"/>
        </w:rPr>
        <w:t>17a]</w:t>
      </w:r>
      <w:r w:rsidRPr="00536D53">
        <w:t xml:space="preserve"> </w:t>
      </w:r>
      <w:r w:rsidRPr="000200AB">
        <w:t xml:space="preserve">The </w:t>
      </w:r>
      <w:r>
        <w:t>increased Lewis acidity of Na</w:t>
      </w:r>
      <w:r w:rsidRPr="00722E07">
        <w:rPr>
          <w:vertAlign w:val="superscript"/>
        </w:rPr>
        <w:t>+</w:t>
      </w:r>
      <w:r>
        <w:rPr>
          <w:vertAlign w:val="superscript"/>
        </w:rPr>
        <w:t xml:space="preserve"> </w:t>
      </w:r>
      <w:r w:rsidRPr="00107F75">
        <w:t>in</w:t>
      </w:r>
      <w:r w:rsidRPr="000200AB">
        <w:t xml:space="preserve"> </w:t>
      </w:r>
      <w:proofErr w:type="spellStart"/>
      <w:r w:rsidRPr="00C137A8">
        <w:t>MeCN</w:t>
      </w:r>
      <w:proofErr w:type="spellEnd"/>
      <w:r w:rsidR="00C137A8">
        <w:t xml:space="preserve"> </w:t>
      </w:r>
      <w:r>
        <w:t>causes the formation</w:t>
      </w:r>
      <w:r w:rsidRPr="00536D53">
        <w:t xml:space="preserve"> </w:t>
      </w:r>
      <w:r>
        <w:t>of a dense passivation</w:t>
      </w:r>
      <w:r w:rsidRPr="00536D53">
        <w:t xml:space="preserve"> film</w:t>
      </w:r>
      <w:r>
        <w:t xml:space="preserve"> of Na</w:t>
      </w:r>
      <w:r w:rsidRPr="00097C61">
        <w:rPr>
          <w:vertAlign w:val="subscript"/>
        </w:rPr>
        <w:t>2</w:t>
      </w:r>
      <w:r>
        <w:t>O</w:t>
      </w:r>
      <w:r w:rsidRPr="00097C61">
        <w:rPr>
          <w:vertAlign w:val="subscript"/>
        </w:rPr>
        <w:t>2</w:t>
      </w:r>
      <w:r>
        <w:t>, which is comparable to the behaviour observed in Li</w:t>
      </w:r>
      <w:r w:rsidRPr="00107F75">
        <w:rPr>
          <w:vertAlign w:val="superscript"/>
        </w:rPr>
        <w:t>+</w:t>
      </w:r>
      <w:r>
        <w:t xml:space="preserve"> in the same solvent (</w:t>
      </w:r>
      <w:r w:rsidRPr="00AB159D">
        <w:rPr>
          <w:b/>
        </w:rPr>
        <w:t>Fig S</w:t>
      </w:r>
      <w:r>
        <w:rPr>
          <w:b/>
        </w:rPr>
        <w:t>4</w:t>
      </w:r>
      <w:r>
        <w:t>)</w:t>
      </w:r>
      <w:r w:rsidRPr="00536D53">
        <w:t xml:space="preserve">. The assigned </w:t>
      </w:r>
      <w:r>
        <w:t>Na</w:t>
      </w:r>
      <w:r w:rsidRPr="00722E07">
        <w:rPr>
          <w:vertAlign w:val="subscript"/>
        </w:rPr>
        <w:t>2</w:t>
      </w:r>
      <w:r>
        <w:t>O</w:t>
      </w:r>
      <w:r w:rsidRPr="00722E07">
        <w:rPr>
          <w:vertAlign w:val="subscript"/>
        </w:rPr>
        <w:t>2</w:t>
      </w:r>
      <w:r w:rsidRPr="00536D53">
        <w:t xml:space="preserve"> signals here are shifted from</w:t>
      </w:r>
      <w:r>
        <w:t xml:space="preserve"> our Raman standard</w:t>
      </w:r>
      <w:r w:rsidRPr="00536D53">
        <w:t xml:space="preserve">. This is a similar case for DEGDME as shown in </w:t>
      </w:r>
      <w:r w:rsidRPr="00CC5697">
        <w:rPr>
          <w:b/>
        </w:rPr>
        <w:t xml:space="preserve">Fig </w:t>
      </w:r>
      <w:r>
        <w:rPr>
          <w:b/>
        </w:rPr>
        <w:t>1</w:t>
      </w:r>
      <w:r w:rsidRPr="00CC5697">
        <w:rPr>
          <w:b/>
        </w:rPr>
        <w:t>c</w:t>
      </w:r>
      <w:r>
        <w:rPr>
          <w:b/>
        </w:rPr>
        <w:t xml:space="preserve">, </w:t>
      </w:r>
      <w:r w:rsidRPr="007C196C">
        <w:t>which we will explain further below</w:t>
      </w:r>
      <w:r w:rsidRPr="00536D53">
        <w:t xml:space="preserve">. </w:t>
      </w:r>
    </w:p>
    <w:p w:rsidR="00E107FC" w:rsidRDefault="00E107FC" w:rsidP="00E107FC">
      <w:pPr>
        <w:pStyle w:val="Abstract"/>
        <w:spacing w:after="0"/>
        <w:rPr>
          <w:b/>
        </w:rPr>
      </w:pPr>
      <w:r>
        <w:rPr>
          <w:b/>
        </w:rPr>
        <w:t>Scheme 1</w:t>
      </w:r>
      <w:r w:rsidRPr="00795FAB">
        <w:rPr>
          <w:b/>
        </w:rPr>
        <w:t xml:space="preserve"> Mechanistic scheme of oxygen reduction in non-aqueous solvents in the presence of Na</w:t>
      </w:r>
      <w:r w:rsidRPr="00795FAB">
        <w:rPr>
          <w:b/>
          <w:vertAlign w:val="superscript"/>
        </w:rPr>
        <w:t xml:space="preserve">+ </w:t>
      </w:r>
      <w:proofErr w:type="spellStart"/>
      <w:r w:rsidRPr="00795FAB">
        <w:rPr>
          <w:b/>
        </w:rPr>
        <w:t>cations</w:t>
      </w:r>
      <w:proofErr w:type="spellEnd"/>
      <w:r w:rsidRPr="00795FAB">
        <w:rPr>
          <w:b/>
        </w:rPr>
        <w:t xml:space="preserve"> </w:t>
      </w:r>
      <w:r>
        <w:rPr>
          <w:b/>
        </w:rPr>
        <w:t>(</w:t>
      </w:r>
      <w:r w:rsidRPr="00795FAB">
        <w:rPr>
          <w:b/>
        </w:rPr>
        <w:t>with H</w:t>
      </w:r>
      <w:r w:rsidRPr="00795FAB">
        <w:rPr>
          <w:b/>
          <w:vertAlign w:val="subscript"/>
        </w:rPr>
        <w:t>2</w:t>
      </w:r>
      <w:r>
        <w:rPr>
          <w:b/>
        </w:rPr>
        <w:t>O below 20</w:t>
      </w:r>
      <w:r w:rsidRPr="00795FAB">
        <w:rPr>
          <w:b/>
        </w:rPr>
        <w:t xml:space="preserve"> ppm</w:t>
      </w:r>
      <w:r>
        <w:rPr>
          <w:b/>
        </w:rPr>
        <w:t>)</w:t>
      </w:r>
    </w:p>
    <w:p w:rsidR="00CA1FD3" w:rsidRPr="00795FAB" w:rsidRDefault="00CA1FD3" w:rsidP="00E107FC">
      <w:pPr>
        <w:pStyle w:val="Abstract"/>
        <w:spacing w:after="0"/>
        <w:rPr>
          <w:b/>
        </w:rPr>
      </w:pPr>
    </w:p>
    <w:p w:rsidR="00A06C6E" w:rsidRPr="007C196C" w:rsidRDefault="00A06C6E" w:rsidP="007C196C">
      <w:pPr>
        <w:pStyle w:val="P1withIndendation"/>
        <w:spacing w:after="0"/>
      </w:pPr>
      <w:r w:rsidRPr="00536D53">
        <w:t xml:space="preserve">To </w:t>
      </w:r>
      <w:r>
        <w:t>confirm</w:t>
      </w:r>
      <w:r w:rsidRPr="00536D53">
        <w:t xml:space="preserve"> that </w:t>
      </w:r>
      <w:r>
        <w:t xml:space="preserve">the </w:t>
      </w:r>
      <w:r w:rsidRPr="00536D53">
        <w:t xml:space="preserve">shifted </w:t>
      </w:r>
      <w:r>
        <w:t>bands assigned as Na</w:t>
      </w:r>
      <w:r w:rsidRPr="007C196C">
        <w:rPr>
          <w:vertAlign w:val="subscript"/>
        </w:rPr>
        <w:t>2</w:t>
      </w:r>
      <w:r>
        <w:t>O</w:t>
      </w:r>
      <w:r w:rsidRPr="007C196C">
        <w:rPr>
          <w:vertAlign w:val="subscript"/>
        </w:rPr>
        <w:t>2</w:t>
      </w:r>
      <w:r w:rsidRPr="00536D53">
        <w:t xml:space="preserve"> are due to reduced oxygen species</w:t>
      </w:r>
      <w:r>
        <w:t>,</w:t>
      </w:r>
      <w:r w:rsidRPr="00536D53">
        <w:t xml:space="preserve"> careful control </w:t>
      </w:r>
      <w:r>
        <w:t xml:space="preserve">SERS </w:t>
      </w:r>
      <w:r w:rsidRPr="00536D53">
        <w:t xml:space="preserve">experiments have been carried out. Electrolytes purged under </w:t>
      </w:r>
      <w:proofErr w:type="spellStart"/>
      <w:r>
        <w:t>Ar</w:t>
      </w:r>
      <w:proofErr w:type="spellEnd"/>
      <w:r w:rsidRPr="00536D53">
        <w:t xml:space="preserve"> do not show any signals assigned to reduced </w:t>
      </w:r>
      <w:r>
        <w:t>O</w:t>
      </w:r>
      <w:r w:rsidRPr="00722E07">
        <w:rPr>
          <w:vertAlign w:val="subscript"/>
        </w:rPr>
        <w:t>2</w:t>
      </w:r>
      <w:r w:rsidRPr="00722E07">
        <w:rPr>
          <w:vertAlign w:val="superscript"/>
        </w:rPr>
        <w:t>-</w:t>
      </w:r>
      <w:r w:rsidRPr="00536D53">
        <w:t xml:space="preserve"> species as above (</w:t>
      </w:r>
      <w:r w:rsidRPr="005C5DA5">
        <w:rPr>
          <w:b/>
        </w:rPr>
        <w:t>Fig S</w:t>
      </w:r>
      <w:r>
        <w:rPr>
          <w:b/>
        </w:rPr>
        <w:t>5</w:t>
      </w:r>
      <w:r w:rsidRPr="005C5DA5">
        <w:rPr>
          <w:b/>
        </w:rPr>
        <w:t>-S</w:t>
      </w:r>
      <w:r>
        <w:rPr>
          <w:b/>
        </w:rPr>
        <w:t>8</w:t>
      </w:r>
      <w:r w:rsidRPr="00536D53">
        <w:t>). In the</w:t>
      </w:r>
      <w:r>
        <w:t xml:space="preserve"> same</w:t>
      </w:r>
      <w:r w:rsidRPr="00536D53">
        <w:t xml:space="preserve"> </w:t>
      </w:r>
      <w:r w:rsidR="00C137A8">
        <w:t xml:space="preserve">spectral </w:t>
      </w:r>
      <w:r w:rsidRPr="00536D53">
        <w:t>region as the higher Na</w:t>
      </w:r>
      <w:r w:rsidRPr="00536D53">
        <w:rPr>
          <w:vertAlign w:val="subscript"/>
        </w:rPr>
        <w:t>2</w:t>
      </w:r>
      <w:r w:rsidRPr="00536D53">
        <w:t>O</w:t>
      </w:r>
      <w:r w:rsidRPr="00536D53">
        <w:rPr>
          <w:vertAlign w:val="subscript"/>
        </w:rPr>
        <w:t xml:space="preserve">2 </w:t>
      </w:r>
      <w:r w:rsidR="00C137A8" w:rsidRPr="00C137A8">
        <w:t xml:space="preserve">peak </w:t>
      </w:r>
      <w:r w:rsidRPr="00536D53">
        <w:t xml:space="preserve">in the SERS data there is a corresponding </w:t>
      </w:r>
      <w:proofErr w:type="spellStart"/>
      <w:r>
        <w:t>OTf</w:t>
      </w:r>
      <w:proofErr w:type="spellEnd"/>
      <w:r w:rsidRPr="00A27FCA">
        <w:rPr>
          <w:vertAlign w:val="superscript"/>
        </w:rPr>
        <w:t>-</w:t>
      </w:r>
      <w:r w:rsidRPr="00536D53">
        <w:t xml:space="preserve"> anion peak at 760 cm</w:t>
      </w:r>
      <w:r w:rsidRPr="00536D53">
        <w:rPr>
          <w:vertAlign w:val="superscript"/>
        </w:rPr>
        <w:t>-1</w:t>
      </w:r>
      <w:r>
        <w:rPr>
          <w:vertAlign w:val="superscript"/>
        </w:rPr>
        <w:t xml:space="preserve"> </w:t>
      </w:r>
      <w:r w:rsidRPr="006E5CCC">
        <w:t>at OCV</w:t>
      </w:r>
      <w:r>
        <w:t>,</w:t>
      </w:r>
      <w:r w:rsidRPr="00536D53">
        <w:rPr>
          <w:vertAlign w:val="superscript"/>
        </w:rPr>
        <w:t xml:space="preserve"> </w:t>
      </w:r>
      <w:r w:rsidRPr="00536D53">
        <w:t>however there are no peaks that appear around 710 cm</w:t>
      </w:r>
      <w:r w:rsidRPr="00536D53">
        <w:rPr>
          <w:vertAlign w:val="superscript"/>
        </w:rPr>
        <w:t>-1</w:t>
      </w:r>
      <w:r w:rsidRPr="00536D53">
        <w:t xml:space="preserve">. </w:t>
      </w:r>
      <w:r>
        <w:t xml:space="preserve">The </w:t>
      </w:r>
      <w:proofErr w:type="spellStart"/>
      <w:r>
        <w:t>OTf</w:t>
      </w:r>
      <w:proofErr w:type="spellEnd"/>
      <w:r w:rsidRPr="00C137A8">
        <w:rPr>
          <w:vertAlign w:val="superscript"/>
        </w:rPr>
        <w:t>-</w:t>
      </w:r>
      <w:r>
        <w:t xml:space="preserve"> band</w:t>
      </w:r>
      <w:r w:rsidRPr="00536D53">
        <w:t xml:space="preserve"> does </w:t>
      </w:r>
      <w:r w:rsidRPr="007C196C">
        <w:t>not change in intensity under potential control and so therefore it is established this feature is due to Na</w:t>
      </w:r>
      <w:r w:rsidRPr="007C196C">
        <w:rPr>
          <w:vertAlign w:val="subscript"/>
        </w:rPr>
        <w:t>2</w:t>
      </w:r>
      <w:r w:rsidRPr="007C196C">
        <w:t>O</w:t>
      </w:r>
      <w:r w:rsidRPr="007C196C">
        <w:rPr>
          <w:vertAlign w:val="subscript"/>
        </w:rPr>
        <w:t>2</w:t>
      </w:r>
      <w:r w:rsidRPr="007C196C">
        <w:t xml:space="preserve"> due to O</w:t>
      </w:r>
      <w:r w:rsidRPr="007C196C">
        <w:rPr>
          <w:vertAlign w:val="subscript"/>
        </w:rPr>
        <w:t xml:space="preserve">2 </w:t>
      </w:r>
      <w:r w:rsidRPr="007C196C">
        <w:t>present species.</w:t>
      </w:r>
      <w:r w:rsidRPr="00536D53">
        <w:t xml:space="preserve"> </w:t>
      </w:r>
      <w:r>
        <w:t xml:space="preserve">The presence of </w:t>
      </w:r>
      <w:r w:rsidRPr="00536D53">
        <w:t>interfacial</w:t>
      </w:r>
      <w:r>
        <w:t xml:space="preserve"> </w:t>
      </w:r>
      <w:proofErr w:type="spellStart"/>
      <w:r>
        <w:t>OTf</w:t>
      </w:r>
      <w:proofErr w:type="spellEnd"/>
      <w:r w:rsidRPr="00A27FCA">
        <w:rPr>
          <w:vertAlign w:val="superscript"/>
        </w:rPr>
        <w:t>-</w:t>
      </w:r>
      <w:r>
        <w:t xml:space="preserve"> can be explained by</w:t>
      </w:r>
      <w:r w:rsidRPr="00536D53">
        <w:t xml:space="preserve"> the formation of ion pairs or aggregation of ion pairs at the interface. The shifted doublet feature assigned to Na</w:t>
      </w:r>
      <w:r w:rsidRPr="00536D53">
        <w:rPr>
          <w:vertAlign w:val="subscript"/>
        </w:rPr>
        <w:t>2</w:t>
      </w:r>
      <w:r w:rsidRPr="00536D53">
        <w:t>O</w:t>
      </w:r>
      <w:r w:rsidRPr="00536D53">
        <w:rPr>
          <w:vertAlign w:val="subscript"/>
        </w:rPr>
        <w:t>2</w:t>
      </w:r>
      <w:r w:rsidRPr="00536D53">
        <w:t xml:space="preserve"> is shifted to a lower wavenumber than expected. If this shift is due to </w:t>
      </w:r>
      <w:r>
        <w:t>H</w:t>
      </w:r>
      <w:r w:rsidRPr="00A27FCA">
        <w:rPr>
          <w:vertAlign w:val="subscript"/>
        </w:rPr>
        <w:t>2</w:t>
      </w:r>
      <w:r>
        <w:t>O</w:t>
      </w:r>
      <w:r w:rsidRPr="00536D53">
        <w:t xml:space="preserve"> it would be expected to increase the signal to a higher wavenumber.</w:t>
      </w:r>
      <w:r w:rsidRPr="009B4CED">
        <w:rPr>
          <w:noProof/>
          <w:vertAlign w:val="superscript"/>
        </w:rPr>
        <w:t>[18]</w:t>
      </w:r>
      <w:r w:rsidRPr="00536D53">
        <w:t xml:space="preserve"> The strong </w:t>
      </w:r>
      <w:r>
        <w:t>presence of ion-</w:t>
      </w:r>
      <w:r w:rsidRPr="00536D53">
        <w:t xml:space="preserve">pairs within the double layer may enhance the interaction of surface </w:t>
      </w:r>
      <w:r>
        <w:t>Na</w:t>
      </w:r>
      <w:r w:rsidRPr="00A27FCA">
        <w:rPr>
          <w:vertAlign w:val="subscript"/>
        </w:rPr>
        <w:t>2</w:t>
      </w:r>
      <w:r>
        <w:t>O</w:t>
      </w:r>
      <w:r w:rsidRPr="00A27FCA">
        <w:rPr>
          <w:vertAlign w:val="subscript"/>
        </w:rPr>
        <w:t>2</w:t>
      </w:r>
      <w:r w:rsidRPr="00536D53">
        <w:t xml:space="preserve"> and the </w:t>
      </w:r>
      <w:proofErr w:type="spellStart"/>
      <w:r>
        <w:t>OTf</w:t>
      </w:r>
      <w:proofErr w:type="spellEnd"/>
      <w:r w:rsidRPr="00A27FCA">
        <w:rPr>
          <w:vertAlign w:val="superscript"/>
        </w:rPr>
        <w:t>-</w:t>
      </w:r>
      <w:r w:rsidRPr="00536D53">
        <w:t xml:space="preserve"> anion which </w:t>
      </w:r>
      <w:r>
        <w:t xml:space="preserve">could of </w:t>
      </w:r>
      <w:r w:rsidRPr="00536D53">
        <w:t>explain the</w:t>
      </w:r>
      <w:r>
        <w:t xml:space="preserve"> observation of the</w:t>
      </w:r>
      <w:r w:rsidRPr="00536D53">
        <w:t xml:space="preserve"> </w:t>
      </w:r>
      <w:r>
        <w:t>red-</w:t>
      </w:r>
      <w:r w:rsidRPr="00536D53">
        <w:t xml:space="preserve">shifted </w:t>
      </w:r>
      <w:r>
        <w:t>bands (by ca. 30 cm</w:t>
      </w:r>
      <w:r w:rsidRPr="00937DB3">
        <w:rPr>
          <w:vertAlign w:val="superscript"/>
        </w:rPr>
        <w:t>-1</w:t>
      </w:r>
      <w:r>
        <w:t>) of Na</w:t>
      </w:r>
      <w:r w:rsidRPr="00937DB3">
        <w:rPr>
          <w:vertAlign w:val="subscript"/>
        </w:rPr>
        <w:t>2</w:t>
      </w:r>
      <w:r>
        <w:t>O</w:t>
      </w:r>
      <w:r w:rsidRPr="00937DB3">
        <w:rPr>
          <w:vertAlign w:val="subscript"/>
        </w:rPr>
        <w:t>2</w:t>
      </w:r>
      <w:r>
        <w:t>.</w:t>
      </w:r>
    </w:p>
    <w:p w:rsidR="00A06C6E" w:rsidRDefault="00A06C6E" w:rsidP="007C196C">
      <w:pPr>
        <w:pStyle w:val="Abstract"/>
        <w:spacing w:after="0"/>
        <w:ind w:firstLine="284"/>
        <w:rPr>
          <w:sz w:val="17"/>
          <w:szCs w:val="14"/>
        </w:rPr>
      </w:pPr>
      <w:r w:rsidRPr="00536D53">
        <w:rPr>
          <w:sz w:val="17"/>
          <w:szCs w:val="14"/>
        </w:rPr>
        <w:lastRenderedPageBreak/>
        <w:t>The formation of ion pairs is revealed</w:t>
      </w:r>
      <w:r>
        <w:rPr>
          <w:sz w:val="17"/>
          <w:szCs w:val="14"/>
        </w:rPr>
        <w:t xml:space="preserve"> by the appearance</w:t>
      </w:r>
      <w:r w:rsidRPr="00536D53">
        <w:rPr>
          <w:sz w:val="17"/>
          <w:szCs w:val="14"/>
        </w:rPr>
        <w:t xml:space="preserve"> of a peak at 1040 cm</w:t>
      </w:r>
      <w:r w:rsidRPr="00536D53">
        <w:rPr>
          <w:sz w:val="17"/>
          <w:szCs w:val="14"/>
          <w:vertAlign w:val="superscript"/>
        </w:rPr>
        <w:t>-1</w:t>
      </w:r>
      <w:r w:rsidRPr="00536D53">
        <w:rPr>
          <w:sz w:val="17"/>
          <w:szCs w:val="14"/>
        </w:rPr>
        <w:t xml:space="preserve">. This region denotes the </w:t>
      </w:r>
      <w:proofErr w:type="spellStart"/>
      <w:r>
        <w:rPr>
          <w:rFonts w:ascii="Times New Roman" w:hAnsi="Times New Roman"/>
          <w:sz w:val="17"/>
          <w:szCs w:val="14"/>
        </w:rPr>
        <w:t>ν</w:t>
      </w:r>
      <w:r w:rsidRPr="00536D53">
        <w:rPr>
          <w:sz w:val="17"/>
          <w:szCs w:val="14"/>
          <w:vertAlign w:val="subscript"/>
        </w:rPr>
        <w:t>as</w:t>
      </w:r>
      <w:proofErr w:type="spellEnd"/>
      <w:r w:rsidRPr="00536D53">
        <w:rPr>
          <w:sz w:val="17"/>
          <w:szCs w:val="14"/>
        </w:rPr>
        <w:t xml:space="preserve"> SO</w:t>
      </w:r>
      <w:r w:rsidRPr="00536D53">
        <w:rPr>
          <w:sz w:val="17"/>
          <w:szCs w:val="14"/>
          <w:vertAlign w:val="subscript"/>
        </w:rPr>
        <w:t>3</w:t>
      </w:r>
      <w:r>
        <w:rPr>
          <w:sz w:val="17"/>
          <w:szCs w:val="14"/>
        </w:rPr>
        <w:t>,</w:t>
      </w:r>
      <w:r w:rsidRPr="00536D53">
        <w:rPr>
          <w:sz w:val="17"/>
          <w:szCs w:val="14"/>
        </w:rPr>
        <w:t xml:space="preserve"> which is considered the group within the anion that interacts with alkali metal </w:t>
      </w:r>
      <w:proofErr w:type="spellStart"/>
      <w:r w:rsidRPr="00536D53">
        <w:rPr>
          <w:sz w:val="17"/>
          <w:szCs w:val="14"/>
        </w:rPr>
        <w:t>cations</w:t>
      </w:r>
      <w:proofErr w:type="spellEnd"/>
      <w:proofErr w:type="gramStart"/>
      <w:r w:rsidRPr="00536D53">
        <w:rPr>
          <w:sz w:val="17"/>
          <w:szCs w:val="14"/>
        </w:rPr>
        <w:t>.</w:t>
      </w:r>
      <w:r w:rsidRPr="009B4CED">
        <w:rPr>
          <w:noProof/>
          <w:sz w:val="17"/>
          <w:szCs w:val="14"/>
          <w:vertAlign w:val="superscript"/>
        </w:rPr>
        <w:t>[</w:t>
      </w:r>
      <w:proofErr w:type="gramEnd"/>
      <w:r w:rsidRPr="009B4CED">
        <w:rPr>
          <w:noProof/>
          <w:sz w:val="17"/>
          <w:szCs w:val="14"/>
          <w:vertAlign w:val="superscript"/>
        </w:rPr>
        <w:t>16, 19]</w:t>
      </w:r>
      <w:r>
        <w:rPr>
          <w:sz w:val="17"/>
          <w:szCs w:val="14"/>
        </w:rPr>
        <w:t xml:space="preserve"> The formation of ion-</w:t>
      </w:r>
      <w:r w:rsidRPr="00536D53">
        <w:rPr>
          <w:sz w:val="17"/>
          <w:szCs w:val="14"/>
        </w:rPr>
        <w:t>pairs interacting with the Na</w:t>
      </w:r>
      <w:r>
        <w:rPr>
          <w:sz w:val="17"/>
          <w:szCs w:val="14"/>
        </w:rPr>
        <w:t xml:space="preserve"> atom</w:t>
      </w:r>
      <w:r w:rsidRPr="00536D53">
        <w:rPr>
          <w:sz w:val="17"/>
          <w:szCs w:val="14"/>
        </w:rPr>
        <w:t xml:space="preserve"> within Na</w:t>
      </w:r>
      <w:r w:rsidRPr="00536D53">
        <w:rPr>
          <w:sz w:val="17"/>
          <w:szCs w:val="14"/>
          <w:vertAlign w:val="subscript"/>
        </w:rPr>
        <w:t>2</w:t>
      </w:r>
      <w:r w:rsidRPr="00536D53">
        <w:rPr>
          <w:sz w:val="17"/>
          <w:szCs w:val="14"/>
        </w:rPr>
        <w:t>O</w:t>
      </w:r>
      <w:r w:rsidRPr="00536D53">
        <w:rPr>
          <w:sz w:val="17"/>
          <w:szCs w:val="14"/>
          <w:vertAlign w:val="subscript"/>
        </w:rPr>
        <w:t>2</w:t>
      </w:r>
      <w:r w:rsidRPr="00536D53">
        <w:rPr>
          <w:sz w:val="17"/>
          <w:szCs w:val="14"/>
        </w:rPr>
        <w:t xml:space="preserve"> at the surface may cause this </w:t>
      </w:r>
      <w:r>
        <w:rPr>
          <w:sz w:val="17"/>
          <w:szCs w:val="14"/>
        </w:rPr>
        <w:t xml:space="preserve">observed </w:t>
      </w:r>
      <w:r w:rsidRPr="00536D53">
        <w:rPr>
          <w:sz w:val="17"/>
          <w:szCs w:val="14"/>
        </w:rPr>
        <w:t xml:space="preserve">shift. These </w:t>
      </w:r>
      <w:r>
        <w:rPr>
          <w:sz w:val="17"/>
          <w:szCs w:val="14"/>
        </w:rPr>
        <w:t xml:space="preserve">bands relating to ion-pair formation are detected </w:t>
      </w:r>
      <w:r w:rsidRPr="00536D53">
        <w:rPr>
          <w:sz w:val="17"/>
          <w:szCs w:val="14"/>
        </w:rPr>
        <w:t xml:space="preserve">in </w:t>
      </w:r>
      <w:r>
        <w:rPr>
          <w:sz w:val="17"/>
          <w:szCs w:val="14"/>
        </w:rPr>
        <w:t>DMSO and DEGDME,</w:t>
      </w:r>
      <w:r w:rsidRPr="00536D53">
        <w:rPr>
          <w:sz w:val="17"/>
          <w:szCs w:val="14"/>
        </w:rPr>
        <w:t xml:space="preserve"> suggesting</w:t>
      </w:r>
      <w:r w:rsidR="00C137A8">
        <w:rPr>
          <w:sz w:val="17"/>
          <w:szCs w:val="14"/>
        </w:rPr>
        <w:t xml:space="preserve"> </w:t>
      </w:r>
      <w:r>
        <w:rPr>
          <w:sz w:val="17"/>
          <w:szCs w:val="14"/>
        </w:rPr>
        <w:t>that ion solvation may influence the discharge product</w:t>
      </w:r>
      <w:r w:rsidRPr="00536D53">
        <w:rPr>
          <w:sz w:val="17"/>
          <w:szCs w:val="14"/>
        </w:rPr>
        <w:t xml:space="preserve">. </w:t>
      </w:r>
    </w:p>
    <w:p w:rsidR="00A06C6E" w:rsidRDefault="00A06C6E" w:rsidP="001C60F3">
      <w:pPr>
        <w:pStyle w:val="P1withIndendation"/>
        <w:spacing w:after="0"/>
        <w:rPr>
          <w:lang w:val="pt-PT"/>
        </w:rPr>
      </w:pPr>
      <w:r w:rsidRPr="00536D53">
        <w:t xml:space="preserve">Therefore </w:t>
      </w:r>
      <w:r>
        <w:t>the SERS data provides spectroscopic evidence that the lack of solvation of O</w:t>
      </w:r>
      <w:r w:rsidRPr="00722E07">
        <w:rPr>
          <w:vertAlign w:val="subscript"/>
        </w:rPr>
        <w:t>2</w:t>
      </w:r>
      <w:r w:rsidRPr="00722E07">
        <w:rPr>
          <w:vertAlign w:val="superscript"/>
        </w:rPr>
        <w:t>-</w:t>
      </w:r>
      <w:r w:rsidRPr="00536D53">
        <w:t xml:space="preserve"> in </w:t>
      </w:r>
      <w:r>
        <w:t>low donor number solvents increases the proximity of O</w:t>
      </w:r>
      <w:r w:rsidRPr="00722E07">
        <w:rPr>
          <w:vertAlign w:val="subscript"/>
        </w:rPr>
        <w:t>2</w:t>
      </w:r>
      <w:r w:rsidRPr="00722E07">
        <w:rPr>
          <w:vertAlign w:val="superscript"/>
        </w:rPr>
        <w:t>-</w:t>
      </w:r>
      <w:r w:rsidRPr="00536D53">
        <w:t xml:space="preserve"> allowing for a second electron reduction to form a </w:t>
      </w:r>
      <w:r>
        <w:t xml:space="preserve">thin </w:t>
      </w:r>
      <w:r w:rsidRPr="00536D53">
        <w:t>passivating film of Na</w:t>
      </w:r>
      <w:r w:rsidRPr="00536D53">
        <w:rPr>
          <w:vertAlign w:val="subscript"/>
        </w:rPr>
        <w:t>2</w:t>
      </w:r>
      <w:r w:rsidRPr="00536D53">
        <w:t>O</w:t>
      </w:r>
      <w:r w:rsidRPr="00536D53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(</w:t>
      </w:r>
      <w:proofErr w:type="spellStart"/>
      <w:r>
        <w:t>Eq</w:t>
      </w:r>
      <w:proofErr w:type="spellEnd"/>
      <w:r>
        <w:t xml:space="preserve"> 4-5) </w:t>
      </w:r>
      <w:r w:rsidRPr="00871E86">
        <w:t>(</w:t>
      </w:r>
      <w:r w:rsidRPr="00871E86">
        <w:rPr>
          <w:b/>
        </w:rPr>
        <w:t>Scheme 1</w:t>
      </w:r>
      <w:r w:rsidRPr="00871E86">
        <w:t>)</w:t>
      </w:r>
      <w:r w:rsidRPr="00536D53">
        <w:t xml:space="preserve">. </w:t>
      </w:r>
      <w:r w:rsidRPr="00536D53">
        <w:rPr>
          <w:lang w:val="pt-PT"/>
        </w:rPr>
        <w:t xml:space="preserve">This mechanism follows: </w:t>
      </w:r>
    </w:p>
    <w:p w:rsidR="00A06C6E" w:rsidRPr="00536D53" w:rsidRDefault="00A06C6E" w:rsidP="001C60F3">
      <w:pPr>
        <w:pStyle w:val="P1withIndendation"/>
        <w:spacing w:after="0"/>
        <w:rPr>
          <w:lang w:val="pt-PT"/>
        </w:rPr>
      </w:pPr>
    </w:p>
    <w:p w:rsidR="00A06C6E" w:rsidRPr="00536D53" w:rsidRDefault="00A06C6E" w:rsidP="001C60F3">
      <w:pPr>
        <w:pStyle w:val="P1withIndendation"/>
        <w:spacing w:after="0"/>
        <w:rPr>
          <w:lang w:val="pt-PT"/>
        </w:rPr>
      </w:pPr>
      <w:r w:rsidRPr="00536D53">
        <w:rPr>
          <w:lang w:val="pt-PT"/>
        </w:rPr>
        <w:t>O</w:t>
      </w:r>
      <w:r w:rsidRPr="00536D53">
        <w:rPr>
          <w:vertAlign w:val="subscript"/>
          <w:lang w:val="pt-PT"/>
        </w:rPr>
        <w:t xml:space="preserve">2 (ads) </w:t>
      </w:r>
      <w:r w:rsidRPr="00536D53">
        <w:rPr>
          <w:lang w:val="pt-PT"/>
        </w:rPr>
        <w:t>+ e</w:t>
      </w:r>
      <w:r w:rsidRPr="00536D53">
        <w:rPr>
          <w:vertAlign w:val="superscript"/>
          <w:lang w:val="pt-PT"/>
        </w:rPr>
        <w:t>-</w:t>
      </w:r>
      <w:r w:rsidRPr="00536D53">
        <w:rPr>
          <w:lang w:val="pt-PT"/>
        </w:rPr>
        <w:t xml:space="preserve"> </w:t>
      </w:r>
      <w:r w:rsidRPr="00536D53">
        <w:sym w:font="Wingdings 3" w:char="F044"/>
      </w:r>
      <w:r w:rsidRPr="00536D53">
        <w:rPr>
          <w:lang w:val="pt-PT"/>
        </w:rPr>
        <w:t xml:space="preserve"> O</w:t>
      </w:r>
      <w:r w:rsidRPr="00536D53">
        <w:rPr>
          <w:vertAlign w:val="subscript"/>
          <w:lang w:val="pt-PT"/>
        </w:rPr>
        <w:t>2</w:t>
      </w:r>
      <w:r w:rsidRPr="00536D53">
        <w:rPr>
          <w:vertAlign w:val="superscript"/>
          <w:lang w:val="pt-PT"/>
        </w:rPr>
        <w:t>-</w:t>
      </w:r>
      <w:r w:rsidRPr="00536D53">
        <w:rPr>
          <w:lang w:val="pt-PT"/>
        </w:rPr>
        <w:t xml:space="preserve"> </w:t>
      </w:r>
      <w:r w:rsidRPr="00536D53">
        <w:rPr>
          <w:vertAlign w:val="subscript"/>
          <w:lang w:val="pt-PT"/>
        </w:rPr>
        <w:t>(ads)</w:t>
      </w:r>
      <w:r w:rsidRPr="00536D53">
        <w:rPr>
          <w:lang w:val="pt-PT"/>
        </w:rPr>
        <w:tab/>
      </w:r>
      <w:r w:rsidRPr="00536D53">
        <w:rPr>
          <w:lang w:val="pt-PT"/>
        </w:rPr>
        <w:tab/>
      </w:r>
      <w:r w:rsidRPr="00536D53">
        <w:rPr>
          <w:lang w:val="pt-PT"/>
        </w:rPr>
        <w:tab/>
      </w:r>
      <w:r w:rsidRPr="00536D53">
        <w:rPr>
          <w:lang w:val="pt-PT"/>
        </w:rPr>
        <w:tab/>
        <w:t>(4)</w:t>
      </w:r>
    </w:p>
    <w:p w:rsidR="00A06C6E" w:rsidRPr="00536D53" w:rsidRDefault="00A06C6E" w:rsidP="001C60F3">
      <w:pPr>
        <w:pStyle w:val="P1withIndendation"/>
        <w:spacing w:after="0"/>
        <w:rPr>
          <w:lang w:val="pt-PT"/>
        </w:rPr>
      </w:pPr>
      <w:r>
        <w:rPr>
          <w:lang w:val="pt-PT"/>
        </w:rPr>
        <w:t>2</w:t>
      </w:r>
      <w:r w:rsidRPr="00536D53">
        <w:rPr>
          <w:lang w:val="pt-PT"/>
        </w:rPr>
        <w:t>Na</w:t>
      </w:r>
      <w:r w:rsidRPr="00536D53">
        <w:rPr>
          <w:vertAlign w:val="superscript"/>
          <w:lang w:val="pt-PT"/>
        </w:rPr>
        <w:t>+</w:t>
      </w:r>
      <w:r w:rsidRPr="00536D53">
        <w:rPr>
          <w:lang w:val="pt-PT"/>
        </w:rPr>
        <w:t xml:space="preserve"> + e</w:t>
      </w:r>
      <w:r w:rsidRPr="00536D53">
        <w:rPr>
          <w:vertAlign w:val="superscript"/>
          <w:lang w:val="pt-PT"/>
        </w:rPr>
        <w:t>-</w:t>
      </w:r>
      <w:r w:rsidRPr="00536D53">
        <w:rPr>
          <w:lang w:val="pt-PT"/>
        </w:rPr>
        <w:t xml:space="preserve"> </w:t>
      </w:r>
      <w:r>
        <w:rPr>
          <w:lang w:val="pt-PT"/>
        </w:rPr>
        <w:t xml:space="preserve">+ </w:t>
      </w:r>
      <w:r w:rsidRPr="00536D53">
        <w:rPr>
          <w:lang w:val="pt-PT"/>
        </w:rPr>
        <w:t>O</w:t>
      </w:r>
      <w:r w:rsidRPr="00536D53">
        <w:rPr>
          <w:vertAlign w:val="subscript"/>
          <w:lang w:val="pt-PT"/>
        </w:rPr>
        <w:t>2</w:t>
      </w:r>
      <w:r w:rsidRPr="00536D53">
        <w:rPr>
          <w:vertAlign w:val="superscript"/>
          <w:lang w:val="pt-PT"/>
        </w:rPr>
        <w:t>-</w:t>
      </w:r>
      <w:r w:rsidRPr="00DC1AD9">
        <w:rPr>
          <w:vertAlign w:val="subscript"/>
          <w:lang w:val="pt-PT"/>
        </w:rPr>
        <w:t>(ads)</w:t>
      </w:r>
      <w:r w:rsidRPr="00536D53">
        <w:rPr>
          <w:vertAlign w:val="superscript"/>
          <w:lang w:val="pt-PT"/>
        </w:rPr>
        <w:t xml:space="preserve"> </w:t>
      </w:r>
      <w:r>
        <w:sym w:font="Wingdings" w:char="F0E0"/>
      </w:r>
      <w:r w:rsidRPr="00536D53">
        <w:rPr>
          <w:lang w:val="pt-PT"/>
        </w:rPr>
        <w:t xml:space="preserve"> Na</w:t>
      </w:r>
      <w:r w:rsidRPr="00DC1AD9">
        <w:rPr>
          <w:vertAlign w:val="subscript"/>
          <w:lang w:val="pt-PT"/>
        </w:rPr>
        <w:t>2</w:t>
      </w:r>
      <w:r w:rsidRPr="00536D53">
        <w:rPr>
          <w:lang w:val="pt-PT"/>
        </w:rPr>
        <w:t>O</w:t>
      </w:r>
      <w:r w:rsidRPr="00536D53">
        <w:rPr>
          <w:vertAlign w:val="subscript"/>
          <w:lang w:val="pt-PT"/>
        </w:rPr>
        <w:t>2</w:t>
      </w:r>
      <w:r w:rsidRPr="00536D53">
        <w:rPr>
          <w:lang w:val="pt-PT"/>
        </w:rPr>
        <w:tab/>
      </w:r>
      <w:r w:rsidRPr="00536D53">
        <w:rPr>
          <w:lang w:val="pt-PT"/>
        </w:rPr>
        <w:tab/>
      </w:r>
      <w:r w:rsidRPr="00536D53">
        <w:rPr>
          <w:lang w:val="pt-PT"/>
        </w:rPr>
        <w:tab/>
        <w:t>(5)</w:t>
      </w:r>
    </w:p>
    <w:p w:rsidR="00D56D97" w:rsidRDefault="00D56D97" w:rsidP="001C60F3">
      <w:pPr>
        <w:pStyle w:val="Abstract"/>
        <w:spacing w:after="0"/>
        <w:ind w:firstLine="284"/>
        <w:rPr>
          <w:sz w:val="17"/>
          <w:szCs w:val="14"/>
        </w:rPr>
      </w:pPr>
    </w:p>
    <w:p w:rsidR="00A06C6E" w:rsidRDefault="00A06C6E" w:rsidP="001C60F3">
      <w:pPr>
        <w:pStyle w:val="Abstract"/>
        <w:spacing w:after="0"/>
        <w:ind w:firstLine="284"/>
        <w:rPr>
          <w:sz w:val="17"/>
          <w:szCs w:val="14"/>
        </w:rPr>
      </w:pPr>
      <w:r w:rsidRPr="00536D53">
        <w:rPr>
          <w:sz w:val="17"/>
          <w:szCs w:val="14"/>
        </w:rPr>
        <w:t>In conclusion</w:t>
      </w:r>
      <w:r>
        <w:rPr>
          <w:sz w:val="17"/>
          <w:szCs w:val="14"/>
        </w:rPr>
        <w:t xml:space="preserve">, </w:t>
      </w:r>
      <w:r w:rsidRPr="007C196C">
        <w:rPr>
          <w:i/>
          <w:sz w:val="17"/>
          <w:szCs w:val="14"/>
        </w:rPr>
        <w:t>in situ</w:t>
      </w:r>
      <w:r>
        <w:rPr>
          <w:sz w:val="17"/>
          <w:szCs w:val="14"/>
        </w:rPr>
        <w:t xml:space="preserve"> SERS investigations have shown that </w:t>
      </w:r>
      <w:r w:rsidRPr="00536D53">
        <w:rPr>
          <w:sz w:val="17"/>
          <w:szCs w:val="14"/>
        </w:rPr>
        <w:t xml:space="preserve">solvent choice can influence the overall </w:t>
      </w:r>
      <w:r>
        <w:rPr>
          <w:sz w:val="17"/>
          <w:szCs w:val="14"/>
        </w:rPr>
        <w:t xml:space="preserve">surface </w:t>
      </w:r>
      <w:r w:rsidRPr="00536D53">
        <w:rPr>
          <w:sz w:val="17"/>
          <w:szCs w:val="14"/>
        </w:rPr>
        <w:t>discharge product of Na-O</w:t>
      </w:r>
      <w:r w:rsidRPr="00536D53">
        <w:rPr>
          <w:sz w:val="17"/>
          <w:szCs w:val="14"/>
          <w:vertAlign w:val="subscript"/>
        </w:rPr>
        <w:t>2</w:t>
      </w:r>
      <w:r w:rsidRPr="00536D53">
        <w:rPr>
          <w:sz w:val="17"/>
          <w:szCs w:val="14"/>
        </w:rPr>
        <w:t xml:space="preserve"> cell chemistry. Observable, yet shifted, SERS signals for Na</w:t>
      </w:r>
      <w:r w:rsidRPr="00536D53">
        <w:rPr>
          <w:sz w:val="17"/>
          <w:szCs w:val="14"/>
          <w:vertAlign w:val="subscript"/>
        </w:rPr>
        <w:t>2</w:t>
      </w:r>
      <w:r w:rsidRPr="00536D53">
        <w:rPr>
          <w:sz w:val="17"/>
          <w:szCs w:val="14"/>
        </w:rPr>
        <w:t>O</w:t>
      </w:r>
      <w:r w:rsidRPr="00536D53">
        <w:rPr>
          <w:sz w:val="17"/>
          <w:szCs w:val="14"/>
          <w:vertAlign w:val="subscript"/>
        </w:rPr>
        <w:t>2</w:t>
      </w:r>
      <w:r w:rsidRPr="00536D53">
        <w:rPr>
          <w:sz w:val="17"/>
          <w:szCs w:val="14"/>
        </w:rPr>
        <w:t xml:space="preserve"> in low donor number solvents suggest solvation of initially formed </w:t>
      </w:r>
      <w:r>
        <w:rPr>
          <w:sz w:val="17"/>
          <w:szCs w:val="14"/>
        </w:rPr>
        <w:t>O</w:t>
      </w:r>
      <w:r w:rsidRPr="00A27FCA">
        <w:rPr>
          <w:sz w:val="17"/>
          <w:szCs w:val="14"/>
          <w:vertAlign w:val="subscript"/>
        </w:rPr>
        <w:t>2</w:t>
      </w:r>
      <w:r w:rsidRPr="00A27FCA">
        <w:rPr>
          <w:sz w:val="17"/>
          <w:szCs w:val="14"/>
          <w:vertAlign w:val="superscript"/>
        </w:rPr>
        <w:t>-</w:t>
      </w:r>
      <w:r w:rsidRPr="00536D53">
        <w:rPr>
          <w:sz w:val="17"/>
          <w:szCs w:val="14"/>
        </w:rPr>
        <w:t xml:space="preserve"> is important in the control of this mechanism on </w:t>
      </w:r>
      <w:r>
        <w:rPr>
          <w:sz w:val="17"/>
          <w:szCs w:val="14"/>
        </w:rPr>
        <w:t>Au</w:t>
      </w:r>
      <w:r w:rsidRPr="00536D53">
        <w:rPr>
          <w:sz w:val="17"/>
          <w:szCs w:val="14"/>
        </w:rPr>
        <w:t xml:space="preserve"> electrodes. Higher solvation leads to the absence of Na</w:t>
      </w:r>
      <w:r w:rsidRPr="00536D53">
        <w:rPr>
          <w:sz w:val="17"/>
          <w:szCs w:val="14"/>
          <w:vertAlign w:val="subscript"/>
        </w:rPr>
        <w:t>2</w:t>
      </w:r>
      <w:r w:rsidRPr="00536D53">
        <w:rPr>
          <w:sz w:val="17"/>
          <w:szCs w:val="14"/>
        </w:rPr>
        <w:t>O</w:t>
      </w:r>
      <w:r w:rsidRPr="00536D53">
        <w:rPr>
          <w:sz w:val="17"/>
          <w:szCs w:val="14"/>
          <w:vertAlign w:val="subscript"/>
        </w:rPr>
        <w:t>2</w:t>
      </w:r>
      <w:r w:rsidRPr="00536D53">
        <w:rPr>
          <w:sz w:val="17"/>
          <w:szCs w:val="14"/>
        </w:rPr>
        <w:t xml:space="preserve"> due to initial formation of an ion pair between Na</w:t>
      </w:r>
      <w:r w:rsidRPr="00536D53">
        <w:rPr>
          <w:sz w:val="17"/>
          <w:szCs w:val="14"/>
          <w:vertAlign w:val="superscript"/>
        </w:rPr>
        <w:t xml:space="preserve">+ </w:t>
      </w:r>
      <w:r w:rsidRPr="00536D53">
        <w:rPr>
          <w:sz w:val="17"/>
          <w:szCs w:val="14"/>
        </w:rPr>
        <w:t>and O</w:t>
      </w:r>
      <w:r w:rsidRPr="00536D53">
        <w:rPr>
          <w:sz w:val="17"/>
          <w:szCs w:val="14"/>
          <w:vertAlign w:val="subscript"/>
        </w:rPr>
        <w:t>2</w:t>
      </w:r>
      <w:r w:rsidRPr="00536D53">
        <w:rPr>
          <w:sz w:val="17"/>
          <w:szCs w:val="14"/>
          <w:vertAlign w:val="superscript"/>
        </w:rPr>
        <w:t>-</w:t>
      </w:r>
      <w:r w:rsidRPr="00536D53">
        <w:rPr>
          <w:sz w:val="17"/>
          <w:szCs w:val="14"/>
          <w:vertAlign w:val="subscript"/>
        </w:rPr>
        <w:t>(ads)</w:t>
      </w:r>
      <w:r w:rsidRPr="00175725">
        <w:rPr>
          <w:sz w:val="17"/>
          <w:szCs w:val="14"/>
        </w:rPr>
        <w:t>,</w:t>
      </w:r>
      <w:r w:rsidRPr="00536D53">
        <w:rPr>
          <w:sz w:val="17"/>
          <w:szCs w:val="14"/>
          <w:vertAlign w:val="subscript"/>
        </w:rPr>
        <w:t xml:space="preserve"> </w:t>
      </w:r>
      <w:r w:rsidRPr="00536D53">
        <w:rPr>
          <w:sz w:val="17"/>
          <w:szCs w:val="14"/>
        </w:rPr>
        <w:t>which is removed from the surface and then aggregates</w:t>
      </w:r>
      <w:r>
        <w:rPr>
          <w:sz w:val="17"/>
          <w:szCs w:val="14"/>
        </w:rPr>
        <w:t xml:space="preserve"> and precipitates out later as NaO</w:t>
      </w:r>
      <w:r w:rsidRPr="00175725">
        <w:rPr>
          <w:sz w:val="17"/>
          <w:szCs w:val="14"/>
          <w:vertAlign w:val="subscript"/>
        </w:rPr>
        <w:t>2</w:t>
      </w:r>
      <w:r w:rsidRPr="00536D53">
        <w:rPr>
          <w:sz w:val="17"/>
          <w:szCs w:val="14"/>
        </w:rPr>
        <w:t xml:space="preserve"> in the discharge process</w:t>
      </w:r>
      <w:r w:rsidRPr="006F47A9">
        <w:rPr>
          <w:sz w:val="17"/>
          <w:szCs w:val="14"/>
        </w:rPr>
        <w:t>. Solvents with a lower ability to control the Lewis acidity</w:t>
      </w:r>
      <w:r w:rsidRPr="00536D53">
        <w:rPr>
          <w:sz w:val="17"/>
          <w:szCs w:val="14"/>
        </w:rPr>
        <w:t xml:space="preserve"> of Na</w:t>
      </w:r>
      <w:r w:rsidRPr="00536D53">
        <w:rPr>
          <w:sz w:val="17"/>
          <w:szCs w:val="14"/>
          <w:vertAlign w:val="superscript"/>
        </w:rPr>
        <w:t>+</w:t>
      </w:r>
      <w:r w:rsidRPr="00536D53">
        <w:rPr>
          <w:sz w:val="17"/>
          <w:szCs w:val="14"/>
        </w:rPr>
        <w:t xml:space="preserve"> do not form an ion pair interaction</w:t>
      </w:r>
      <w:r>
        <w:rPr>
          <w:sz w:val="17"/>
          <w:szCs w:val="14"/>
        </w:rPr>
        <w:t xml:space="preserve"> with O</w:t>
      </w:r>
      <w:r w:rsidRPr="00A27FCA">
        <w:rPr>
          <w:sz w:val="17"/>
          <w:szCs w:val="14"/>
          <w:vertAlign w:val="subscript"/>
        </w:rPr>
        <w:t>2</w:t>
      </w:r>
      <w:r w:rsidRPr="00A27FCA">
        <w:rPr>
          <w:sz w:val="17"/>
          <w:szCs w:val="14"/>
          <w:vertAlign w:val="superscript"/>
        </w:rPr>
        <w:t>-</w:t>
      </w:r>
      <w:r w:rsidRPr="00536D53">
        <w:rPr>
          <w:sz w:val="17"/>
          <w:szCs w:val="14"/>
        </w:rPr>
        <w:t xml:space="preserve"> and </w:t>
      </w:r>
      <w:r>
        <w:rPr>
          <w:sz w:val="17"/>
          <w:szCs w:val="14"/>
        </w:rPr>
        <w:t>proceeds</w:t>
      </w:r>
      <w:r w:rsidRPr="00536D53">
        <w:rPr>
          <w:sz w:val="17"/>
          <w:szCs w:val="14"/>
        </w:rPr>
        <w:t xml:space="preserve"> via a surface mechanism</w:t>
      </w:r>
      <w:r>
        <w:rPr>
          <w:sz w:val="17"/>
          <w:szCs w:val="14"/>
        </w:rPr>
        <w:t>,</w:t>
      </w:r>
      <w:r w:rsidRPr="00536D53">
        <w:rPr>
          <w:sz w:val="17"/>
          <w:szCs w:val="14"/>
        </w:rPr>
        <w:t xml:space="preserve"> whereby </w:t>
      </w:r>
      <w:r>
        <w:rPr>
          <w:sz w:val="17"/>
          <w:szCs w:val="14"/>
        </w:rPr>
        <w:t>upon</w:t>
      </w:r>
      <w:r w:rsidRPr="00536D53">
        <w:rPr>
          <w:sz w:val="17"/>
          <w:szCs w:val="14"/>
        </w:rPr>
        <w:t xml:space="preserve"> </w:t>
      </w:r>
      <w:r>
        <w:rPr>
          <w:sz w:val="17"/>
          <w:szCs w:val="14"/>
        </w:rPr>
        <w:t>further oxygen reduction</w:t>
      </w:r>
      <w:r w:rsidR="00725304">
        <w:rPr>
          <w:sz w:val="17"/>
          <w:szCs w:val="14"/>
        </w:rPr>
        <w:t>,</w:t>
      </w:r>
      <w:r>
        <w:rPr>
          <w:sz w:val="17"/>
          <w:szCs w:val="14"/>
        </w:rPr>
        <w:t xml:space="preserve"> </w:t>
      </w:r>
      <w:r w:rsidRPr="00536D53">
        <w:rPr>
          <w:sz w:val="17"/>
          <w:szCs w:val="14"/>
        </w:rPr>
        <w:t>Na</w:t>
      </w:r>
      <w:r w:rsidRPr="00536D53">
        <w:rPr>
          <w:sz w:val="17"/>
          <w:szCs w:val="14"/>
          <w:vertAlign w:val="subscript"/>
        </w:rPr>
        <w:t>2</w:t>
      </w:r>
      <w:r w:rsidRPr="00536D53">
        <w:rPr>
          <w:sz w:val="17"/>
          <w:szCs w:val="14"/>
        </w:rPr>
        <w:t>O</w:t>
      </w:r>
      <w:r w:rsidRPr="00536D53">
        <w:rPr>
          <w:sz w:val="17"/>
          <w:szCs w:val="14"/>
          <w:vertAlign w:val="subscript"/>
        </w:rPr>
        <w:t>2</w:t>
      </w:r>
      <w:r>
        <w:rPr>
          <w:sz w:val="17"/>
          <w:szCs w:val="14"/>
          <w:vertAlign w:val="subscript"/>
        </w:rPr>
        <w:t xml:space="preserve"> </w:t>
      </w:r>
      <w:r w:rsidRPr="00A27FCA">
        <w:rPr>
          <w:sz w:val="17"/>
          <w:szCs w:val="14"/>
        </w:rPr>
        <w:t xml:space="preserve">is </w:t>
      </w:r>
      <w:r>
        <w:rPr>
          <w:sz w:val="17"/>
          <w:szCs w:val="14"/>
        </w:rPr>
        <w:t xml:space="preserve">preferentially </w:t>
      </w:r>
      <w:r w:rsidRPr="00A27FCA">
        <w:rPr>
          <w:sz w:val="17"/>
          <w:szCs w:val="14"/>
        </w:rPr>
        <w:t>formed</w:t>
      </w:r>
      <w:r>
        <w:rPr>
          <w:sz w:val="17"/>
          <w:szCs w:val="14"/>
        </w:rPr>
        <w:t xml:space="preserve"> at the interface</w:t>
      </w:r>
      <w:r w:rsidRPr="00536D53">
        <w:rPr>
          <w:sz w:val="17"/>
          <w:szCs w:val="14"/>
        </w:rPr>
        <w:t xml:space="preserve">. </w:t>
      </w:r>
    </w:p>
    <w:p w:rsidR="00A06C6E" w:rsidRDefault="00A06C6E" w:rsidP="001C60F3">
      <w:pPr>
        <w:pStyle w:val="Abstract"/>
        <w:spacing w:after="0"/>
        <w:ind w:firstLine="284"/>
        <w:rPr>
          <w:sz w:val="17"/>
          <w:szCs w:val="14"/>
        </w:rPr>
      </w:pPr>
    </w:p>
    <w:p w:rsidR="00A06C6E" w:rsidRPr="00AB191F" w:rsidRDefault="00A06C6E" w:rsidP="001C60F3">
      <w:pPr>
        <w:pStyle w:val="HAcknowledgements"/>
        <w:spacing w:before="0" w:after="0"/>
      </w:pPr>
      <w:r>
        <w:t xml:space="preserve">Acknowledgements </w:t>
      </w:r>
    </w:p>
    <w:p w:rsidR="00A06C6E" w:rsidRPr="00AD6F47" w:rsidRDefault="00A06C6E" w:rsidP="001C60F3">
      <w:pPr>
        <w:pStyle w:val="Keywords"/>
        <w:spacing w:before="0" w:after="0"/>
        <w:rPr>
          <w:sz w:val="16"/>
          <w:szCs w:val="24"/>
          <w:lang w:val="de-DE"/>
        </w:rPr>
      </w:pPr>
      <w:r w:rsidRPr="00AD6F47">
        <w:rPr>
          <w:sz w:val="16"/>
          <w:szCs w:val="24"/>
          <w:lang w:val="de-DE"/>
        </w:rPr>
        <w:t xml:space="preserve">The authors would like to gratefully acknowledge the financial support from the Engineering and Physical Sciences Research Council (EPSRC), U.K., under grant number </w:t>
      </w:r>
      <w:bookmarkStart w:id="1" w:name="OLE_LINK4"/>
      <w:r w:rsidRPr="00AD6F47">
        <w:rPr>
          <w:sz w:val="16"/>
          <w:szCs w:val="24"/>
          <w:lang w:val="de-DE"/>
        </w:rPr>
        <w:t>EP/J020265/1</w:t>
      </w:r>
      <w:bookmarkEnd w:id="1"/>
      <w:r w:rsidRPr="00AD6F47">
        <w:rPr>
          <w:sz w:val="16"/>
          <w:szCs w:val="24"/>
          <w:lang w:val="de-DE"/>
        </w:rPr>
        <w:t>.</w:t>
      </w:r>
    </w:p>
    <w:p w:rsidR="00A06C6E" w:rsidRDefault="00A06C6E" w:rsidP="001C60F3">
      <w:pPr>
        <w:pStyle w:val="Keywords"/>
        <w:spacing w:before="0" w:after="0"/>
        <w:rPr>
          <w:b/>
          <w:sz w:val="16"/>
        </w:rPr>
      </w:pPr>
    </w:p>
    <w:p w:rsidR="00A06C6E" w:rsidRDefault="00A06C6E" w:rsidP="001C60F3">
      <w:pPr>
        <w:pStyle w:val="Keywords"/>
        <w:spacing w:before="0" w:after="0"/>
        <w:rPr>
          <w:sz w:val="16"/>
        </w:rPr>
      </w:pPr>
      <w:r w:rsidRPr="00AD6F47">
        <w:rPr>
          <w:b/>
          <w:sz w:val="16"/>
        </w:rPr>
        <w:t>Keywords:</w:t>
      </w:r>
      <w:r w:rsidRPr="00AD6F47">
        <w:rPr>
          <w:sz w:val="16"/>
        </w:rPr>
        <w:t xml:space="preserve"> Superoxide • Sodium Oxygen Battery • </w:t>
      </w:r>
      <w:r>
        <w:rPr>
          <w:sz w:val="16"/>
        </w:rPr>
        <w:t>Oxygen Reduction Reaction</w:t>
      </w:r>
      <w:r w:rsidRPr="00AD6F47">
        <w:rPr>
          <w:sz w:val="16"/>
        </w:rPr>
        <w:t xml:space="preserve"> • Surfa</w:t>
      </w:r>
      <w:r>
        <w:rPr>
          <w:sz w:val="16"/>
        </w:rPr>
        <w:t>ce Enhanced Raman Spectroscopy • Peroxide</w:t>
      </w:r>
    </w:p>
    <w:p w:rsidR="00A06C6E" w:rsidRPr="00AD6F47" w:rsidRDefault="00A06C6E" w:rsidP="001C60F3">
      <w:pPr>
        <w:pStyle w:val="Keywords"/>
        <w:spacing w:before="0" w:after="0"/>
        <w:rPr>
          <w:sz w:val="16"/>
        </w:rPr>
      </w:pPr>
    </w:p>
    <w:p w:rsidR="00A06C6E" w:rsidRPr="0000173A" w:rsidRDefault="00A06C6E" w:rsidP="0000173A">
      <w:pPr>
        <w:pStyle w:val="EndNoteBibliography"/>
        <w:ind w:left="720" w:hanging="720"/>
      </w:pPr>
      <w:r w:rsidRPr="0000173A">
        <w:t>[1]</w:t>
      </w:r>
      <w:r w:rsidRPr="0000173A">
        <w:tab/>
        <w:t xml:space="preserve">aX. Ren, Y. Wu, </w:t>
      </w:r>
      <w:r w:rsidRPr="0000173A">
        <w:rPr>
          <w:i/>
        </w:rPr>
        <w:t xml:space="preserve">J. Am. Chem. Soc. </w:t>
      </w:r>
      <w:r w:rsidRPr="0000173A">
        <w:rPr>
          <w:b/>
        </w:rPr>
        <w:t>2013</w:t>
      </w:r>
      <w:r w:rsidRPr="0000173A">
        <w:t xml:space="preserve">, </w:t>
      </w:r>
      <w:r w:rsidRPr="0000173A">
        <w:rPr>
          <w:i/>
        </w:rPr>
        <w:t>135</w:t>
      </w:r>
      <w:r w:rsidRPr="0000173A">
        <w:t xml:space="preserve">, 2923-2926; bP. Hartmann, C. L. Bender, M. Vračar, A. K. Dürr, A. Garsuch, J. Janek, P. Adelhelm, </w:t>
      </w:r>
      <w:r w:rsidRPr="0000173A">
        <w:rPr>
          <w:i/>
        </w:rPr>
        <w:t xml:space="preserve">Nat. Mater. </w:t>
      </w:r>
      <w:r w:rsidRPr="0000173A">
        <w:rPr>
          <w:b/>
        </w:rPr>
        <w:t>2013</w:t>
      </w:r>
      <w:r w:rsidRPr="0000173A">
        <w:t xml:space="preserve">, </w:t>
      </w:r>
      <w:r w:rsidRPr="0000173A">
        <w:rPr>
          <w:i/>
        </w:rPr>
        <w:t>12</w:t>
      </w:r>
      <w:r w:rsidRPr="0000173A">
        <w:t xml:space="preserve">, 228-232; cK. M. Abraham, Z. Jiang, </w:t>
      </w:r>
      <w:r w:rsidRPr="0000173A">
        <w:rPr>
          <w:i/>
        </w:rPr>
        <w:t xml:space="preserve">J. Electrochem. Soc. </w:t>
      </w:r>
      <w:r w:rsidRPr="0000173A">
        <w:rPr>
          <w:b/>
        </w:rPr>
        <w:t>1996</w:t>
      </w:r>
      <w:r w:rsidRPr="0000173A">
        <w:t xml:space="preserve">, </w:t>
      </w:r>
      <w:r w:rsidRPr="0000173A">
        <w:rPr>
          <w:i/>
        </w:rPr>
        <w:t>143</w:t>
      </w:r>
      <w:r w:rsidRPr="0000173A">
        <w:t>, 1-5.</w:t>
      </w:r>
    </w:p>
    <w:p w:rsidR="00A06C6E" w:rsidRPr="0000173A" w:rsidRDefault="00A06C6E" w:rsidP="0000173A">
      <w:pPr>
        <w:pStyle w:val="EndNoteBibliography"/>
        <w:ind w:left="720" w:hanging="720"/>
      </w:pPr>
      <w:r w:rsidRPr="0000173A">
        <w:t>[2]</w:t>
      </w:r>
      <w:r w:rsidRPr="0000173A">
        <w:tab/>
        <w:t xml:space="preserve">K. M. Abraham, </w:t>
      </w:r>
      <w:r w:rsidRPr="0000173A">
        <w:rPr>
          <w:i/>
        </w:rPr>
        <w:t xml:space="preserve">J. Electrochem. Soc. </w:t>
      </w:r>
      <w:r w:rsidRPr="0000173A">
        <w:rPr>
          <w:b/>
        </w:rPr>
        <w:t>2015</w:t>
      </w:r>
      <w:r w:rsidRPr="0000173A">
        <w:t xml:space="preserve">, </w:t>
      </w:r>
      <w:r w:rsidRPr="0000173A">
        <w:rPr>
          <w:i/>
        </w:rPr>
        <w:t>162</w:t>
      </w:r>
      <w:r w:rsidRPr="0000173A">
        <w:t>, A3021-A3031.</w:t>
      </w:r>
    </w:p>
    <w:p w:rsidR="00A06C6E" w:rsidRPr="0000173A" w:rsidRDefault="00A06C6E" w:rsidP="0000173A">
      <w:pPr>
        <w:pStyle w:val="EndNoteBibliography"/>
        <w:ind w:left="720" w:hanging="720"/>
      </w:pPr>
      <w:r w:rsidRPr="0000173A">
        <w:t>[3]</w:t>
      </w:r>
      <w:r w:rsidRPr="0000173A">
        <w:tab/>
        <w:t xml:space="preserve">J. Lu, Y. Jung Lee, X. Luo, K. Chun Lau, M. Asadi, H.-H. Wang, S. Brombosz, J. Wen, D. Zhai, Z. Chen, D. J. Miller, Y. Sub Jeong, J.-B. Park, Z. Zak Fang, B. Kumar, A. Salehi-Khojin, Y.-K. Sun, L. A. Curtiss, K. Amine, </w:t>
      </w:r>
      <w:r w:rsidRPr="0000173A">
        <w:rPr>
          <w:i/>
        </w:rPr>
        <w:t xml:space="preserve">Nature </w:t>
      </w:r>
      <w:r w:rsidRPr="0000173A">
        <w:rPr>
          <w:b/>
        </w:rPr>
        <w:t>2016</w:t>
      </w:r>
      <w:r w:rsidRPr="0000173A">
        <w:t xml:space="preserve">, </w:t>
      </w:r>
      <w:r w:rsidRPr="0000173A">
        <w:rPr>
          <w:i/>
        </w:rPr>
        <w:t>529</w:t>
      </w:r>
      <w:r w:rsidRPr="0000173A">
        <w:t>, 377-382.</w:t>
      </w:r>
    </w:p>
    <w:p w:rsidR="00A06C6E" w:rsidRPr="0000173A" w:rsidRDefault="00A06C6E" w:rsidP="0000173A">
      <w:pPr>
        <w:pStyle w:val="EndNoteBibliography"/>
        <w:ind w:left="720" w:hanging="720"/>
      </w:pPr>
      <w:r w:rsidRPr="0000173A">
        <w:lastRenderedPageBreak/>
        <w:t>[4]</w:t>
      </w:r>
      <w:r w:rsidRPr="0000173A">
        <w:tab/>
        <w:t xml:space="preserve">Z. Peng, S. A. Freunberger, L. J. Hardwick, Y. Chen, V. Giordani, F. Bardé, P. Novák, D. Graham, J.-M. Tarascon, P. G. Bruce, </w:t>
      </w:r>
      <w:r w:rsidRPr="0000173A">
        <w:rPr>
          <w:i/>
        </w:rPr>
        <w:t xml:space="preserve">Angew. Chemie. Int. </w:t>
      </w:r>
      <w:r w:rsidRPr="0000173A">
        <w:rPr>
          <w:b/>
        </w:rPr>
        <w:t>2011</w:t>
      </w:r>
      <w:r w:rsidRPr="0000173A">
        <w:t xml:space="preserve">, </w:t>
      </w:r>
      <w:r w:rsidRPr="0000173A">
        <w:rPr>
          <w:i/>
        </w:rPr>
        <w:t>50</w:t>
      </w:r>
      <w:r w:rsidRPr="0000173A">
        <w:t>, 6351-6355.</w:t>
      </w:r>
    </w:p>
    <w:p w:rsidR="00A06C6E" w:rsidRPr="0000173A" w:rsidRDefault="00A06C6E" w:rsidP="0000173A">
      <w:pPr>
        <w:pStyle w:val="EndNoteBibliography"/>
        <w:ind w:left="720" w:hanging="720"/>
      </w:pPr>
      <w:r w:rsidRPr="0000173A">
        <w:t>[5]</w:t>
      </w:r>
      <w:r w:rsidRPr="0000173A">
        <w:tab/>
        <w:t xml:space="preserve">aY. Li, H. Yadegari, X. Li, M. N. Banis, R. Li, X. Sun, </w:t>
      </w:r>
      <w:r w:rsidRPr="0000173A">
        <w:rPr>
          <w:i/>
        </w:rPr>
        <w:t xml:space="preserve">Chem. Commun. </w:t>
      </w:r>
      <w:r w:rsidRPr="0000173A">
        <w:rPr>
          <w:b/>
        </w:rPr>
        <w:t>2013</w:t>
      </w:r>
      <w:r w:rsidRPr="0000173A">
        <w:t xml:space="preserve">, </w:t>
      </w:r>
      <w:r w:rsidRPr="0000173A">
        <w:rPr>
          <w:i/>
        </w:rPr>
        <w:t>49</w:t>
      </w:r>
      <w:r w:rsidRPr="0000173A">
        <w:t xml:space="preserve">, 11731-11733; bQ. Sun, Y. Yang, Z.-W. Fu, </w:t>
      </w:r>
      <w:r w:rsidRPr="0000173A">
        <w:rPr>
          <w:i/>
        </w:rPr>
        <w:t xml:space="preserve">Electrochem Commun </w:t>
      </w:r>
      <w:r w:rsidRPr="0000173A">
        <w:rPr>
          <w:b/>
        </w:rPr>
        <w:t>2012</w:t>
      </w:r>
      <w:r w:rsidRPr="0000173A">
        <w:t xml:space="preserve">, </w:t>
      </w:r>
      <w:r w:rsidRPr="0000173A">
        <w:rPr>
          <w:i/>
        </w:rPr>
        <w:t>16</w:t>
      </w:r>
      <w:r w:rsidRPr="0000173A">
        <w:t xml:space="preserve">, 22-25; cH. Yadegari, Y. Li, M. N. Banis, X. Li, B. Wang, Q. Sun, R. Li, T.-K. Sham, X. Cui, X. Sun, </w:t>
      </w:r>
      <w:r w:rsidRPr="0000173A">
        <w:rPr>
          <w:i/>
        </w:rPr>
        <w:t xml:space="preserve">Energy and Environ. Sci. </w:t>
      </w:r>
      <w:r w:rsidRPr="0000173A">
        <w:rPr>
          <w:b/>
        </w:rPr>
        <w:t>2014</w:t>
      </w:r>
      <w:r w:rsidRPr="0000173A">
        <w:t xml:space="preserve">, </w:t>
      </w:r>
      <w:r w:rsidRPr="0000173A">
        <w:rPr>
          <w:i/>
        </w:rPr>
        <w:t>7</w:t>
      </w:r>
      <w:r w:rsidRPr="0000173A">
        <w:t xml:space="preserve">, 3747-3757; dY. C. Zelang Jian, Fujun Li, Tao Zhang, Chang Liu, Haoshen Zhou,, </w:t>
      </w:r>
      <w:r w:rsidRPr="0000173A">
        <w:rPr>
          <w:i/>
        </w:rPr>
        <w:t xml:space="preserve">J. Power Sources </w:t>
      </w:r>
      <w:r w:rsidRPr="0000173A">
        <w:rPr>
          <w:b/>
        </w:rPr>
        <w:t>2014</w:t>
      </w:r>
      <w:r w:rsidRPr="0000173A">
        <w:t xml:space="preserve">, </w:t>
      </w:r>
      <w:r w:rsidRPr="0000173A">
        <w:rPr>
          <w:i/>
        </w:rPr>
        <w:t>251</w:t>
      </w:r>
      <w:r w:rsidRPr="0000173A">
        <w:t>, 466-469.</w:t>
      </w:r>
    </w:p>
    <w:p w:rsidR="00A06C6E" w:rsidRPr="0000173A" w:rsidRDefault="00A06C6E" w:rsidP="0000173A">
      <w:pPr>
        <w:pStyle w:val="EndNoteBibliography"/>
        <w:ind w:left="720" w:hanging="720"/>
      </w:pPr>
      <w:r w:rsidRPr="0000173A">
        <w:t>[6]</w:t>
      </w:r>
      <w:r w:rsidRPr="0000173A">
        <w:tab/>
        <w:t xml:space="preserve">aC. Xia, R. Black, R. Fernandes, B. Adams, L. F. Nazar, </w:t>
      </w:r>
      <w:r w:rsidRPr="0000173A">
        <w:rPr>
          <w:i/>
        </w:rPr>
        <w:t xml:space="preserve">Nat. Chem </w:t>
      </w:r>
      <w:r w:rsidRPr="0000173A">
        <w:rPr>
          <w:b/>
        </w:rPr>
        <w:t>2015</w:t>
      </w:r>
      <w:r w:rsidRPr="0000173A">
        <w:t xml:space="preserve">, </w:t>
      </w:r>
      <w:r w:rsidRPr="0000173A">
        <w:rPr>
          <w:i/>
        </w:rPr>
        <w:t>7</w:t>
      </w:r>
      <w:r w:rsidRPr="0000173A">
        <w:t xml:space="preserve">, 496-501; bB. D. McCloskey, J. M. Garcia, A. C. Luntz, </w:t>
      </w:r>
      <w:r w:rsidRPr="0000173A">
        <w:rPr>
          <w:i/>
        </w:rPr>
        <w:t xml:space="preserve">J. Phys. Chem. Lett. </w:t>
      </w:r>
      <w:r w:rsidRPr="0000173A">
        <w:rPr>
          <w:b/>
        </w:rPr>
        <w:t>2014</w:t>
      </w:r>
      <w:r w:rsidRPr="0000173A">
        <w:t xml:space="preserve">, </w:t>
      </w:r>
      <w:r w:rsidRPr="0000173A">
        <w:rPr>
          <w:i/>
        </w:rPr>
        <w:t>5</w:t>
      </w:r>
      <w:r w:rsidRPr="0000173A">
        <w:t xml:space="preserve">, 1230-1235; cP. Hartmann, C. L. Bender, J. Sann, A. K. Durr, M. Jansen, J. Janek, P. Adelhelm, </w:t>
      </w:r>
      <w:r w:rsidRPr="0000173A">
        <w:rPr>
          <w:i/>
        </w:rPr>
        <w:t xml:space="preserve">J. Phys. Chem. Lett. </w:t>
      </w:r>
      <w:r w:rsidRPr="0000173A">
        <w:rPr>
          <w:b/>
        </w:rPr>
        <w:t>2013</w:t>
      </w:r>
      <w:r w:rsidRPr="0000173A">
        <w:t xml:space="preserve">, </w:t>
      </w:r>
      <w:r w:rsidRPr="0000173A">
        <w:rPr>
          <w:i/>
        </w:rPr>
        <w:t>15</w:t>
      </w:r>
      <w:r w:rsidRPr="0000173A">
        <w:t xml:space="preserve">, 11661-11672; dJ. Kim, H.-D. Lim, H. Gwon, K. Kang, </w:t>
      </w:r>
      <w:r w:rsidRPr="0000173A">
        <w:rPr>
          <w:i/>
        </w:rPr>
        <w:t xml:space="preserve">Phys. Chem. Chem. Phys. </w:t>
      </w:r>
      <w:r w:rsidRPr="0000173A">
        <w:rPr>
          <w:b/>
        </w:rPr>
        <w:t>2013</w:t>
      </w:r>
      <w:r w:rsidRPr="0000173A">
        <w:t xml:space="preserve">, </w:t>
      </w:r>
      <w:r w:rsidRPr="0000173A">
        <w:rPr>
          <w:i/>
        </w:rPr>
        <w:t>15</w:t>
      </w:r>
      <w:r w:rsidRPr="0000173A">
        <w:t>, 3623-3629.</w:t>
      </w:r>
    </w:p>
    <w:p w:rsidR="00A06C6E" w:rsidRPr="0000173A" w:rsidRDefault="00A06C6E" w:rsidP="0000173A">
      <w:pPr>
        <w:pStyle w:val="EndNoteBibliography"/>
        <w:ind w:left="720" w:hanging="720"/>
      </w:pPr>
      <w:r w:rsidRPr="0000173A">
        <w:t>[7]</w:t>
      </w:r>
      <w:r w:rsidRPr="0000173A">
        <w:tab/>
        <w:t xml:space="preserve">aD. Sharon, D. Hirsberg, M. Afri, A. Garsuch, A. A. Frimer, D. Aurbach, </w:t>
      </w:r>
      <w:r w:rsidRPr="0000173A">
        <w:rPr>
          <w:i/>
        </w:rPr>
        <w:t xml:space="preserve">J.Phys. Chem. C </w:t>
      </w:r>
      <w:r w:rsidRPr="0000173A">
        <w:rPr>
          <w:b/>
        </w:rPr>
        <w:t>2014</w:t>
      </w:r>
      <w:r w:rsidRPr="0000173A">
        <w:t xml:space="preserve">, </w:t>
      </w:r>
      <w:r w:rsidRPr="0000173A">
        <w:rPr>
          <w:i/>
        </w:rPr>
        <w:t>118</w:t>
      </w:r>
      <w:r w:rsidRPr="0000173A">
        <w:t xml:space="preserve">, 15207-15213; bQ. Yu, S. Ye, </w:t>
      </w:r>
      <w:r w:rsidRPr="0000173A">
        <w:rPr>
          <w:i/>
        </w:rPr>
        <w:t xml:space="preserve">J. Phys. Chem. C. </w:t>
      </w:r>
      <w:r w:rsidRPr="0000173A">
        <w:rPr>
          <w:b/>
        </w:rPr>
        <w:t>2015</w:t>
      </w:r>
      <w:r w:rsidRPr="0000173A">
        <w:t xml:space="preserve">, </w:t>
      </w:r>
      <w:r w:rsidRPr="0000173A">
        <w:rPr>
          <w:i/>
        </w:rPr>
        <w:t>119</w:t>
      </w:r>
      <w:r w:rsidRPr="0000173A">
        <w:t xml:space="preserve">, 12236-12250; cS. A. Freunberger, Y. Chen, Z. Peng, J. M. Griffin, L. J. Hardwick, F. Bardé, P. Novák, P. G. Bruce, </w:t>
      </w:r>
      <w:r w:rsidRPr="0000173A">
        <w:rPr>
          <w:i/>
        </w:rPr>
        <w:t xml:space="preserve">J. Am. Chem. Soc. </w:t>
      </w:r>
      <w:r w:rsidRPr="0000173A">
        <w:rPr>
          <w:b/>
        </w:rPr>
        <w:t>2011</w:t>
      </w:r>
      <w:r w:rsidRPr="0000173A">
        <w:t xml:space="preserve">, </w:t>
      </w:r>
      <w:r w:rsidRPr="0000173A">
        <w:rPr>
          <w:i/>
        </w:rPr>
        <w:t>133</w:t>
      </w:r>
      <w:r w:rsidRPr="0000173A">
        <w:t xml:space="preserve">, 8040-8047; dS. A. Freunberger, Y. Chen, N. E. Drewett, L. J. Hardwick, F. Bardé, P. G. Bruce, </w:t>
      </w:r>
      <w:r w:rsidRPr="0000173A">
        <w:rPr>
          <w:i/>
        </w:rPr>
        <w:t xml:space="preserve">Angew. Chem. Int.  </w:t>
      </w:r>
      <w:r w:rsidRPr="0000173A">
        <w:rPr>
          <w:b/>
        </w:rPr>
        <w:t>2011</w:t>
      </w:r>
      <w:r w:rsidRPr="0000173A">
        <w:t xml:space="preserve">, </w:t>
      </w:r>
      <w:r w:rsidRPr="0000173A">
        <w:rPr>
          <w:i/>
        </w:rPr>
        <w:t>50</w:t>
      </w:r>
      <w:r w:rsidRPr="0000173A">
        <w:t xml:space="preserve">, 8609-8613; eF. Bardé, Y. Chen, L. Johnson, S. Schaltin, J. Fransaer, P. G. Bruce, </w:t>
      </w:r>
      <w:r w:rsidRPr="0000173A">
        <w:rPr>
          <w:i/>
        </w:rPr>
        <w:t xml:space="preserve">J. Phys. Chem. C. </w:t>
      </w:r>
      <w:r w:rsidRPr="0000173A">
        <w:rPr>
          <w:b/>
        </w:rPr>
        <w:t>2014</w:t>
      </w:r>
      <w:r w:rsidRPr="0000173A">
        <w:t xml:space="preserve">, </w:t>
      </w:r>
      <w:r w:rsidRPr="0000173A">
        <w:rPr>
          <w:i/>
        </w:rPr>
        <w:t>118</w:t>
      </w:r>
      <w:r w:rsidRPr="0000173A">
        <w:t>, 18892-18898.</w:t>
      </w:r>
    </w:p>
    <w:p w:rsidR="00A06C6E" w:rsidRPr="0000173A" w:rsidRDefault="00A06C6E" w:rsidP="0000173A">
      <w:pPr>
        <w:pStyle w:val="EndNoteBibliography"/>
        <w:ind w:left="720" w:hanging="720"/>
      </w:pPr>
      <w:r w:rsidRPr="0000173A">
        <w:t>[8]</w:t>
      </w:r>
      <w:r w:rsidRPr="0000173A">
        <w:tab/>
        <w:t xml:space="preserve">N. Zhao, X. Guo, </w:t>
      </w:r>
      <w:r w:rsidRPr="0000173A">
        <w:rPr>
          <w:i/>
        </w:rPr>
        <w:t xml:space="preserve">J. Phys. Chem. C. </w:t>
      </w:r>
      <w:r w:rsidRPr="0000173A">
        <w:rPr>
          <w:b/>
        </w:rPr>
        <w:t>2015</w:t>
      </w:r>
      <w:r w:rsidRPr="0000173A">
        <w:t xml:space="preserve">, </w:t>
      </w:r>
      <w:r w:rsidRPr="0000173A">
        <w:rPr>
          <w:i/>
        </w:rPr>
        <w:t>119</w:t>
      </w:r>
      <w:r w:rsidRPr="0000173A">
        <w:t>, 25319-25326.</w:t>
      </w:r>
    </w:p>
    <w:p w:rsidR="00A06C6E" w:rsidRPr="0000173A" w:rsidRDefault="00A06C6E" w:rsidP="0000173A">
      <w:pPr>
        <w:pStyle w:val="EndNoteBibliography"/>
        <w:ind w:left="720" w:hanging="720"/>
      </w:pPr>
      <w:r w:rsidRPr="0000173A">
        <w:t>[9]</w:t>
      </w:r>
      <w:r w:rsidRPr="0000173A">
        <w:tab/>
        <w:t xml:space="preserve">aN. B. Aetukuri, B. D. McCloskey, J. M. García, L. E. Krupp, V. Viswanathan, A. C. Luntz, </w:t>
      </w:r>
      <w:r w:rsidRPr="0000173A">
        <w:rPr>
          <w:i/>
        </w:rPr>
        <w:t xml:space="preserve">Nat Chem </w:t>
      </w:r>
      <w:r w:rsidRPr="0000173A">
        <w:rPr>
          <w:b/>
        </w:rPr>
        <w:t>2015</w:t>
      </w:r>
      <w:r w:rsidRPr="0000173A">
        <w:t xml:space="preserve">, </w:t>
      </w:r>
      <w:r w:rsidRPr="0000173A">
        <w:rPr>
          <w:i/>
        </w:rPr>
        <w:t>7</w:t>
      </w:r>
      <w:r w:rsidRPr="0000173A">
        <w:t xml:space="preserve">, 50-56; bL. Johnson, C. Li, Z. Liu, Y. Chen, S. A. Freunberger, P. C. Ashok, B. B. Praveen, K. Dholakia, J.-M. Tarascon, P. G. Bruce, </w:t>
      </w:r>
      <w:r w:rsidRPr="0000173A">
        <w:rPr>
          <w:i/>
        </w:rPr>
        <w:t xml:space="preserve">Nat Chem </w:t>
      </w:r>
      <w:r w:rsidRPr="0000173A">
        <w:rPr>
          <w:b/>
        </w:rPr>
        <w:t>2014</w:t>
      </w:r>
      <w:r w:rsidRPr="0000173A">
        <w:t xml:space="preserve">, </w:t>
      </w:r>
      <w:r w:rsidRPr="0000173A">
        <w:rPr>
          <w:i/>
        </w:rPr>
        <w:t>6</w:t>
      </w:r>
      <w:r w:rsidRPr="0000173A">
        <w:t>, 1091-1099.</w:t>
      </w:r>
    </w:p>
    <w:p w:rsidR="00A06C6E" w:rsidRPr="0000173A" w:rsidRDefault="00A06C6E" w:rsidP="0000173A">
      <w:pPr>
        <w:pStyle w:val="EndNoteBibliography"/>
        <w:ind w:left="720" w:hanging="720"/>
      </w:pPr>
      <w:r w:rsidRPr="0000173A">
        <w:t>[10]</w:t>
      </w:r>
      <w:r w:rsidRPr="0000173A">
        <w:tab/>
        <w:t xml:space="preserve">C. O. Laoire, S. Mukerjee, K. M. Abraham, E. J. Plichta, M. A. Hendrickson, </w:t>
      </w:r>
      <w:r w:rsidRPr="0000173A">
        <w:rPr>
          <w:i/>
        </w:rPr>
        <w:t xml:space="preserve">J. Phys. Chem. C. </w:t>
      </w:r>
      <w:r w:rsidRPr="0000173A">
        <w:rPr>
          <w:b/>
        </w:rPr>
        <w:t>2009</w:t>
      </w:r>
      <w:r w:rsidRPr="0000173A">
        <w:t xml:space="preserve">, </w:t>
      </w:r>
      <w:r w:rsidRPr="0000173A">
        <w:rPr>
          <w:i/>
        </w:rPr>
        <w:t>113</w:t>
      </w:r>
      <w:r w:rsidRPr="0000173A">
        <w:t>, 20127-20134.</w:t>
      </w:r>
    </w:p>
    <w:p w:rsidR="00A06C6E" w:rsidRPr="0000173A" w:rsidRDefault="00A06C6E" w:rsidP="0000173A">
      <w:pPr>
        <w:pStyle w:val="EndNoteBibliography"/>
        <w:ind w:left="720" w:hanging="720"/>
      </w:pPr>
      <w:r w:rsidRPr="0000173A">
        <w:t>[11]</w:t>
      </w:r>
      <w:r w:rsidRPr="0000173A">
        <w:tab/>
        <w:t xml:space="preserve">N. Ortiz-Vitoriano, T. P. Batcho, D. G. Kwabi, B. Han, N. Pour, K. P. C. Yao, C. V. Thompson, Y. Shao-Horn, </w:t>
      </w:r>
      <w:r w:rsidRPr="0000173A">
        <w:rPr>
          <w:i/>
        </w:rPr>
        <w:t xml:space="preserve">J. Phys. CHem. Lett. </w:t>
      </w:r>
      <w:r w:rsidRPr="0000173A">
        <w:rPr>
          <w:b/>
        </w:rPr>
        <w:t>2015</w:t>
      </w:r>
      <w:r w:rsidRPr="0000173A">
        <w:t xml:space="preserve">, </w:t>
      </w:r>
      <w:r w:rsidRPr="0000173A">
        <w:rPr>
          <w:i/>
        </w:rPr>
        <w:t>6</w:t>
      </w:r>
      <w:r w:rsidRPr="0000173A">
        <w:t>, 2636-2643.</w:t>
      </w:r>
    </w:p>
    <w:p w:rsidR="00A06C6E" w:rsidRPr="0000173A" w:rsidRDefault="00A06C6E" w:rsidP="0000173A">
      <w:pPr>
        <w:pStyle w:val="EndNoteBibliography"/>
        <w:ind w:left="720" w:hanging="720"/>
      </w:pPr>
      <w:r w:rsidRPr="0000173A">
        <w:t>[12]</w:t>
      </w:r>
      <w:r w:rsidRPr="0000173A">
        <w:tab/>
        <w:t xml:space="preserve">Z. Peng, Y. Chen, P. G. Bruce, Y. Xu, </w:t>
      </w:r>
      <w:r w:rsidRPr="0000173A">
        <w:rPr>
          <w:i/>
        </w:rPr>
        <w:t xml:space="preserve">Angew. Chem. Int. </w:t>
      </w:r>
      <w:r w:rsidRPr="0000173A">
        <w:rPr>
          <w:b/>
        </w:rPr>
        <w:t>2015</w:t>
      </w:r>
      <w:r w:rsidRPr="0000173A">
        <w:t xml:space="preserve">, </w:t>
      </w:r>
      <w:r w:rsidRPr="0000173A">
        <w:rPr>
          <w:i/>
        </w:rPr>
        <w:t>54</w:t>
      </w:r>
      <w:r w:rsidRPr="0000173A">
        <w:t>, 8165-8168.</w:t>
      </w:r>
    </w:p>
    <w:p w:rsidR="00A06C6E" w:rsidRPr="0000173A" w:rsidRDefault="00A06C6E" w:rsidP="0000173A">
      <w:pPr>
        <w:pStyle w:val="EndNoteBibliography"/>
        <w:ind w:left="720" w:hanging="720"/>
      </w:pPr>
      <w:r w:rsidRPr="0000173A">
        <w:t>[13]</w:t>
      </w:r>
      <w:r w:rsidRPr="0000173A">
        <w:tab/>
        <w:t xml:space="preserve">J. Staszak-Jirkovský, R. Subbaraman, D. Strmcnik, K. L. Harrison, C. E. Diesendruck, R. Assary, O. Frank, L. Kobr, G. K. H. Wiberg, B. Genorio, J. G. Connell, P. P. Lopes, V. R. Stamenkovic, L. Curtiss, J. S. Moore, K. R. Zavadil, N. M. Markovic, </w:t>
      </w:r>
      <w:r w:rsidRPr="0000173A">
        <w:rPr>
          <w:i/>
        </w:rPr>
        <w:t xml:space="preserve">ACS Catal </w:t>
      </w:r>
      <w:r w:rsidRPr="0000173A">
        <w:rPr>
          <w:b/>
        </w:rPr>
        <w:t>2015</w:t>
      </w:r>
      <w:r w:rsidRPr="0000173A">
        <w:t xml:space="preserve">, </w:t>
      </w:r>
      <w:r w:rsidRPr="0000173A">
        <w:rPr>
          <w:i/>
        </w:rPr>
        <w:t>5</w:t>
      </w:r>
      <w:r w:rsidRPr="0000173A">
        <w:t>, 6600-6607.</w:t>
      </w:r>
    </w:p>
    <w:p w:rsidR="00A06C6E" w:rsidRPr="0000173A" w:rsidRDefault="00A06C6E" w:rsidP="0000173A">
      <w:pPr>
        <w:pStyle w:val="EndNoteBibliography"/>
        <w:ind w:left="720" w:hanging="720"/>
      </w:pPr>
      <w:r w:rsidRPr="0000173A">
        <w:t>[14]</w:t>
      </w:r>
      <w:r w:rsidRPr="0000173A">
        <w:tab/>
        <w:t xml:space="preserve">P. Hartmann, C. L. Bender, M. Vračar, A. K. Dürr, A. Garsuch, J. Janek, P. Adelhelm, </w:t>
      </w:r>
      <w:r w:rsidRPr="0000173A">
        <w:rPr>
          <w:i/>
        </w:rPr>
        <w:t xml:space="preserve">Nat. Mater </w:t>
      </w:r>
      <w:r w:rsidRPr="0000173A">
        <w:rPr>
          <w:b/>
        </w:rPr>
        <w:t>2013</w:t>
      </w:r>
      <w:r w:rsidRPr="0000173A">
        <w:t xml:space="preserve">, </w:t>
      </w:r>
      <w:r w:rsidRPr="0000173A">
        <w:rPr>
          <w:i/>
        </w:rPr>
        <w:t>12</w:t>
      </w:r>
      <w:r w:rsidRPr="0000173A">
        <w:t>, 228-232.</w:t>
      </w:r>
    </w:p>
    <w:p w:rsidR="00A06C6E" w:rsidRPr="0000173A" w:rsidRDefault="00A06C6E" w:rsidP="0000173A">
      <w:pPr>
        <w:pStyle w:val="EndNoteBibliography"/>
        <w:ind w:left="720" w:hanging="720"/>
      </w:pPr>
      <w:r w:rsidRPr="0000173A">
        <w:t>[15]</w:t>
      </w:r>
      <w:r w:rsidRPr="0000173A">
        <w:tab/>
        <w:t xml:space="preserve">W. Huang, R. Frech, R. A. Wheeler, </w:t>
      </w:r>
      <w:r w:rsidRPr="0000173A">
        <w:rPr>
          <w:i/>
        </w:rPr>
        <w:t xml:space="preserve">J. Phys. Chem. </w:t>
      </w:r>
      <w:r w:rsidRPr="0000173A">
        <w:rPr>
          <w:b/>
        </w:rPr>
        <w:t>1994</w:t>
      </w:r>
      <w:r w:rsidRPr="0000173A">
        <w:t xml:space="preserve">, </w:t>
      </w:r>
      <w:r w:rsidRPr="0000173A">
        <w:rPr>
          <w:i/>
        </w:rPr>
        <w:t>98</w:t>
      </w:r>
      <w:r w:rsidRPr="0000173A">
        <w:t>, 100-110.</w:t>
      </w:r>
    </w:p>
    <w:p w:rsidR="00A06C6E" w:rsidRPr="0000173A" w:rsidRDefault="00A06C6E" w:rsidP="0000173A">
      <w:pPr>
        <w:pStyle w:val="EndNoteBibliography"/>
        <w:ind w:left="720" w:hanging="720"/>
      </w:pPr>
      <w:r w:rsidRPr="0000173A">
        <w:t>[16]</w:t>
      </w:r>
      <w:r w:rsidRPr="0000173A">
        <w:tab/>
        <w:t xml:space="preserve">S. Schantz, J. Sandahl, L. Börjesson, L. M. Torell, J. R. Stevens, </w:t>
      </w:r>
      <w:r w:rsidRPr="0000173A">
        <w:rPr>
          <w:i/>
        </w:rPr>
        <w:t xml:space="preserve">Solid State Ionics </w:t>
      </w:r>
      <w:r w:rsidRPr="0000173A">
        <w:rPr>
          <w:b/>
        </w:rPr>
        <w:t>1988</w:t>
      </w:r>
      <w:r w:rsidRPr="0000173A">
        <w:t xml:space="preserve">, </w:t>
      </w:r>
      <w:r w:rsidRPr="0000173A">
        <w:rPr>
          <w:i/>
        </w:rPr>
        <w:t>28–30, Part 2</w:t>
      </w:r>
      <w:r w:rsidRPr="0000173A">
        <w:t>, 1047-1053.</w:t>
      </w:r>
    </w:p>
    <w:p w:rsidR="00A06C6E" w:rsidRPr="0000173A" w:rsidRDefault="00A06C6E" w:rsidP="0000173A">
      <w:pPr>
        <w:pStyle w:val="EndNoteBibliography"/>
        <w:ind w:left="720" w:hanging="720"/>
      </w:pPr>
      <w:r w:rsidRPr="0000173A">
        <w:t>[17]</w:t>
      </w:r>
      <w:r w:rsidRPr="0000173A">
        <w:tab/>
        <w:t xml:space="preserve">aC. L. Bender, P. Hartmann, M. Vračar, P. Adelhelm, J. Janek, </w:t>
      </w:r>
      <w:r w:rsidRPr="0000173A">
        <w:rPr>
          <w:i/>
        </w:rPr>
        <w:t xml:space="preserve">Adv. Energy. Mater. </w:t>
      </w:r>
      <w:r w:rsidRPr="0000173A">
        <w:rPr>
          <w:b/>
        </w:rPr>
        <w:t>2014</w:t>
      </w:r>
      <w:r w:rsidRPr="0000173A">
        <w:t xml:space="preserve">, </w:t>
      </w:r>
      <w:r w:rsidRPr="0000173A">
        <w:rPr>
          <w:i/>
        </w:rPr>
        <w:t>4</w:t>
      </w:r>
      <w:r w:rsidRPr="0000173A">
        <w:t xml:space="preserve">, 1031863-1031963; bC. L. Bender, Bartuli, W., Schwab, M. G., Adelhelm, P. and Janek, J., </w:t>
      </w:r>
      <w:r w:rsidRPr="0000173A">
        <w:rPr>
          <w:i/>
        </w:rPr>
        <w:t xml:space="preserve">Ener. Tech. </w:t>
      </w:r>
      <w:r w:rsidRPr="0000173A">
        <w:rPr>
          <w:b/>
        </w:rPr>
        <w:t>2015</w:t>
      </w:r>
      <w:r w:rsidRPr="0000173A">
        <w:t xml:space="preserve">, </w:t>
      </w:r>
      <w:r w:rsidRPr="0000173A">
        <w:rPr>
          <w:i/>
        </w:rPr>
        <w:t>3</w:t>
      </w:r>
      <w:r w:rsidRPr="0000173A">
        <w:t>, 242-248.</w:t>
      </w:r>
    </w:p>
    <w:p w:rsidR="00A06C6E" w:rsidRPr="0000173A" w:rsidRDefault="00A06C6E" w:rsidP="0000173A">
      <w:pPr>
        <w:pStyle w:val="EndNoteBibliography"/>
        <w:ind w:left="720" w:hanging="720"/>
      </w:pPr>
      <w:r w:rsidRPr="0000173A">
        <w:t>[18]</w:t>
      </w:r>
      <w:r w:rsidRPr="0000173A">
        <w:tab/>
        <w:t xml:space="preserve">H. H. Eysel, S. Thym, </w:t>
      </w:r>
      <w:r w:rsidRPr="0000173A">
        <w:rPr>
          <w:i/>
        </w:rPr>
        <w:t xml:space="preserve">Z. Anorg. Allg. Chem. </w:t>
      </w:r>
      <w:r w:rsidRPr="0000173A">
        <w:rPr>
          <w:b/>
        </w:rPr>
        <w:t>1975</w:t>
      </w:r>
      <w:r w:rsidRPr="0000173A">
        <w:t xml:space="preserve">, </w:t>
      </w:r>
      <w:r w:rsidRPr="0000173A">
        <w:rPr>
          <w:i/>
        </w:rPr>
        <w:t>411</w:t>
      </w:r>
      <w:r w:rsidRPr="0000173A">
        <w:t>, 97-102.</w:t>
      </w:r>
    </w:p>
    <w:p w:rsidR="00A06C6E" w:rsidRPr="0000173A" w:rsidRDefault="00A06C6E" w:rsidP="0000173A">
      <w:pPr>
        <w:pStyle w:val="EndNoteBibliography"/>
        <w:ind w:left="720" w:hanging="720"/>
      </w:pPr>
      <w:r w:rsidRPr="0000173A">
        <w:t>[19]</w:t>
      </w:r>
      <w:r w:rsidRPr="0000173A">
        <w:tab/>
        <w:t xml:space="preserve">aJ. M. Alı́a, H. G. M. Edwards, </w:t>
      </w:r>
      <w:r w:rsidRPr="0000173A">
        <w:rPr>
          <w:i/>
        </w:rPr>
        <w:t xml:space="preserve">Vib. Spectrosc </w:t>
      </w:r>
      <w:r w:rsidRPr="0000173A">
        <w:rPr>
          <w:b/>
        </w:rPr>
        <w:t>2000</w:t>
      </w:r>
      <w:r w:rsidRPr="0000173A">
        <w:t xml:space="preserve">, </w:t>
      </w:r>
      <w:r w:rsidRPr="0000173A">
        <w:rPr>
          <w:i/>
        </w:rPr>
        <w:t>24</w:t>
      </w:r>
      <w:r w:rsidRPr="0000173A">
        <w:t xml:space="preserve">, 185-200; bA. Brodin, B. Mattsson, K. Nilsson, L. M. Torell, J. Hamara, </w:t>
      </w:r>
      <w:r w:rsidRPr="0000173A">
        <w:rPr>
          <w:i/>
        </w:rPr>
        <w:t xml:space="preserve">Solid State Ionics </w:t>
      </w:r>
      <w:r w:rsidRPr="0000173A">
        <w:rPr>
          <w:b/>
        </w:rPr>
        <w:t>1996</w:t>
      </w:r>
      <w:r w:rsidRPr="0000173A">
        <w:t xml:space="preserve">, </w:t>
      </w:r>
      <w:r w:rsidRPr="0000173A">
        <w:rPr>
          <w:i/>
        </w:rPr>
        <w:t>85</w:t>
      </w:r>
      <w:r w:rsidRPr="0000173A">
        <w:t xml:space="preserve">, 111-120; cD. W. James, R. E. Mayes, </w:t>
      </w:r>
      <w:r w:rsidRPr="0000173A">
        <w:rPr>
          <w:i/>
        </w:rPr>
        <w:t xml:space="preserve">The Journal of Physical Chemistry </w:t>
      </w:r>
      <w:r w:rsidRPr="0000173A">
        <w:rPr>
          <w:b/>
        </w:rPr>
        <w:t>1984</w:t>
      </w:r>
      <w:r w:rsidRPr="0000173A">
        <w:t xml:space="preserve">, </w:t>
      </w:r>
      <w:r w:rsidRPr="0000173A">
        <w:rPr>
          <w:i/>
        </w:rPr>
        <w:t>88</w:t>
      </w:r>
      <w:r w:rsidRPr="0000173A">
        <w:t xml:space="preserve">, 637-642; dS. F. Johnston, I. M. Ward, J. Cruickshank, G. R. Davies, </w:t>
      </w:r>
      <w:r w:rsidRPr="0000173A">
        <w:rPr>
          <w:i/>
        </w:rPr>
        <w:t xml:space="preserve">Solid State Ionics </w:t>
      </w:r>
      <w:r w:rsidRPr="0000173A">
        <w:rPr>
          <w:b/>
        </w:rPr>
        <w:t>1996</w:t>
      </w:r>
      <w:r w:rsidRPr="0000173A">
        <w:t xml:space="preserve">, </w:t>
      </w:r>
      <w:r w:rsidRPr="0000173A">
        <w:rPr>
          <w:i/>
        </w:rPr>
        <w:t>90</w:t>
      </w:r>
      <w:r w:rsidRPr="0000173A">
        <w:t xml:space="preserve">, 39-48; eG. Petersen, P. Jacobsson, L. M. Torell, </w:t>
      </w:r>
      <w:r w:rsidRPr="0000173A">
        <w:rPr>
          <w:i/>
        </w:rPr>
        <w:t xml:space="preserve">Electrochimica Acta </w:t>
      </w:r>
      <w:r w:rsidRPr="0000173A">
        <w:rPr>
          <w:b/>
        </w:rPr>
        <w:t>1992</w:t>
      </w:r>
      <w:r w:rsidRPr="0000173A">
        <w:t xml:space="preserve">, </w:t>
      </w:r>
      <w:r w:rsidRPr="0000173A">
        <w:rPr>
          <w:i/>
        </w:rPr>
        <w:t>37</w:t>
      </w:r>
      <w:r w:rsidRPr="0000173A">
        <w:t xml:space="preserve">, 1495-1497; fS. Schantz, </w:t>
      </w:r>
      <w:r w:rsidRPr="0000173A">
        <w:rPr>
          <w:i/>
        </w:rPr>
        <w:t xml:space="preserve">The </w:t>
      </w:r>
      <w:r>
        <w:rPr>
          <w:i/>
        </w:rPr>
        <w:t>J. Chem. Phys.</w:t>
      </w:r>
      <w:r w:rsidRPr="0000173A">
        <w:rPr>
          <w:i/>
        </w:rPr>
        <w:t xml:space="preserve"> </w:t>
      </w:r>
      <w:r w:rsidRPr="0000173A">
        <w:rPr>
          <w:b/>
        </w:rPr>
        <w:t>1991</w:t>
      </w:r>
      <w:r w:rsidRPr="0000173A">
        <w:t xml:space="preserve">, </w:t>
      </w:r>
      <w:r w:rsidRPr="0000173A">
        <w:rPr>
          <w:i/>
        </w:rPr>
        <w:t>94</w:t>
      </w:r>
      <w:r w:rsidRPr="0000173A">
        <w:t xml:space="preserve">, 6296-6306; gS. Schantz, L. M. Torell, J. R. Stevens, </w:t>
      </w:r>
      <w:r>
        <w:t xml:space="preserve">J. </w:t>
      </w:r>
      <w:r w:rsidRPr="0000173A">
        <w:rPr>
          <w:i/>
        </w:rPr>
        <w:t>Chem</w:t>
      </w:r>
      <w:r>
        <w:rPr>
          <w:i/>
        </w:rPr>
        <w:t>.</w:t>
      </w:r>
      <w:r w:rsidRPr="0000173A">
        <w:rPr>
          <w:i/>
        </w:rPr>
        <w:t xml:space="preserve"> Phys</w:t>
      </w:r>
      <w:r>
        <w:rPr>
          <w:i/>
        </w:rPr>
        <w:t>.</w:t>
      </w:r>
      <w:r w:rsidRPr="0000173A">
        <w:rPr>
          <w:i/>
        </w:rPr>
        <w:t xml:space="preserve"> </w:t>
      </w:r>
      <w:r w:rsidRPr="0000173A">
        <w:rPr>
          <w:b/>
        </w:rPr>
        <w:t>1991</w:t>
      </w:r>
      <w:r w:rsidRPr="0000173A">
        <w:t xml:space="preserve">, </w:t>
      </w:r>
      <w:r w:rsidRPr="0000173A">
        <w:rPr>
          <w:i/>
        </w:rPr>
        <w:t>94</w:t>
      </w:r>
      <w:r w:rsidRPr="0000173A">
        <w:t>, 6862-6867.</w:t>
      </w:r>
    </w:p>
    <w:p w:rsidR="00A06C6E" w:rsidRDefault="00A06C6E" w:rsidP="001C60F3">
      <w:pPr>
        <w:pStyle w:val="HExperimentalSection"/>
        <w:spacing w:before="0" w:after="0"/>
      </w:pPr>
    </w:p>
    <w:p w:rsidR="00A06C6E" w:rsidRPr="006722A0" w:rsidRDefault="00A06C6E" w:rsidP="001C60F3">
      <w:pPr>
        <w:rPr>
          <w:lang w:val="en-GB"/>
        </w:rPr>
      </w:pPr>
    </w:p>
    <w:p w:rsidR="00A06C6E" w:rsidRPr="006722A0" w:rsidRDefault="00A06C6E" w:rsidP="001C60F3">
      <w:pPr>
        <w:rPr>
          <w:lang w:val="en-GB"/>
        </w:rPr>
        <w:sectPr w:rsidR="00A06C6E" w:rsidRPr="006722A0" w:rsidSect="00A27FCA">
          <w:type w:val="continuous"/>
          <w:pgSz w:w="11906" w:h="16838" w:code="9"/>
          <w:pgMar w:top="1673" w:right="936" w:bottom="1134" w:left="936" w:header="709" w:footer="709" w:gutter="0"/>
          <w:cols w:num="2" w:space="284"/>
          <w:docGrid w:linePitch="360"/>
        </w:sectPr>
      </w:pPr>
    </w:p>
    <w:p w:rsidR="00A06C6E" w:rsidRDefault="00A06C6E" w:rsidP="001C60F3">
      <w:pPr>
        <w:rPr>
          <w:bCs/>
          <w:lang w:val="en-GB"/>
        </w:rPr>
      </w:pPr>
    </w:p>
    <w:p w:rsidR="00A06C6E" w:rsidRDefault="00A06C6E" w:rsidP="001C60F3">
      <w:pPr>
        <w:rPr>
          <w:bCs/>
          <w:lang w:val="en-GB"/>
        </w:rPr>
        <w:sectPr w:rsidR="00A06C6E" w:rsidSect="001A3E2C">
          <w:type w:val="continuous"/>
          <w:pgSz w:w="11906" w:h="16838" w:code="9"/>
          <w:pgMar w:top="1134" w:right="936" w:bottom="1134" w:left="936" w:header="1021" w:footer="0" w:gutter="0"/>
          <w:cols w:space="284"/>
          <w:docGrid w:linePitch="360"/>
        </w:sectPr>
      </w:pPr>
    </w:p>
    <w:p w:rsidR="00A06C6E" w:rsidRDefault="00A06C6E" w:rsidP="001C60F3">
      <w:pPr>
        <w:rPr>
          <w:bCs/>
          <w:lang w:val="en-GB"/>
        </w:rPr>
      </w:pPr>
    </w:p>
    <w:p w:rsidR="00A06C6E" w:rsidRDefault="00A06C6E" w:rsidP="001C60F3">
      <w:pPr>
        <w:rPr>
          <w:b/>
          <w:lang w:val="en-GB"/>
        </w:rPr>
      </w:pPr>
      <w:r w:rsidRPr="00621868">
        <w:rPr>
          <w:b/>
          <w:lang w:val="en-GB"/>
        </w:rPr>
        <w:t>Entry for the Table of Contents</w:t>
      </w:r>
      <w:r>
        <w:rPr>
          <w:lang w:val="en-GB"/>
        </w:rPr>
        <w:t xml:space="preserve"> </w:t>
      </w:r>
    </w:p>
    <w:p w:rsidR="00A06C6E" w:rsidRPr="00621868" w:rsidRDefault="00A06C6E" w:rsidP="001C60F3">
      <w:pPr>
        <w:rPr>
          <w:b/>
          <w:lang w:val="en-GB"/>
        </w:rPr>
      </w:pPr>
    </w:p>
    <w:p w:rsidR="00A06C6E" w:rsidRDefault="00A06C6E" w:rsidP="001C60F3">
      <w:pPr>
        <w:rPr>
          <w:lang w:val="en-GB"/>
        </w:rPr>
      </w:pPr>
    </w:p>
    <w:tbl>
      <w:tblPr>
        <w:tblW w:w="10093" w:type="dxa"/>
        <w:tblLook w:val="01E0" w:firstRow="1" w:lastRow="1" w:firstColumn="1" w:lastColumn="1" w:noHBand="0" w:noVBand="0"/>
      </w:tblPr>
      <w:tblGrid>
        <w:gridCol w:w="3118"/>
        <w:gridCol w:w="284"/>
        <w:gridCol w:w="3118"/>
        <w:gridCol w:w="284"/>
        <w:gridCol w:w="3289"/>
      </w:tblGrid>
      <w:tr w:rsidR="00A06C6E" w:rsidTr="00A968D0">
        <w:trPr>
          <w:trHeight w:hRule="exact" w:val="340"/>
        </w:trPr>
        <w:tc>
          <w:tcPr>
            <w:tcW w:w="10093" w:type="dxa"/>
            <w:gridSpan w:val="5"/>
            <w:tcBorders>
              <w:bottom w:val="single" w:sz="36" w:space="0" w:color="BFBFBF"/>
            </w:tcBorders>
            <w:shd w:val="clear" w:color="auto" w:fill="auto"/>
          </w:tcPr>
          <w:p w:rsidR="00A06C6E" w:rsidRDefault="00A06C6E" w:rsidP="001C60F3">
            <w:pPr>
              <w:pStyle w:val="ColumnTitleTOC"/>
            </w:pPr>
            <w:r>
              <w:t>COMMUNICATION</w:t>
            </w:r>
          </w:p>
        </w:tc>
      </w:tr>
      <w:tr w:rsidR="00A06C6E" w:rsidTr="00A968D0">
        <w:trPr>
          <w:trHeight w:val="340"/>
        </w:trPr>
        <w:tc>
          <w:tcPr>
            <w:tcW w:w="3118" w:type="dxa"/>
            <w:vMerge w:val="restart"/>
            <w:tcBorders>
              <w:top w:val="single" w:sz="36" w:space="0" w:color="BFBFBF"/>
            </w:tcBorders>
            <w:shd w:val="clear" w:color="auto" w:fill="auto"/>
          </w:tcPr>
          <w:p w:rsidR="00A06C6E" w:rsidRDefault="00A06C6E" w:rsidP="001850E1">
            <w:pPr>
              <w:pStyle w:val="TableOfContentText"/>
              <w:spacing w:before="0"/>
            </w:pPr>
            <w:r>
              <w:t>A solvent dependency of the</w:t>
            </w:r>
            <w:r w:rsidRPr="00E00D74">
              <w:t xml:space="preserve"> oxygen reduction </w:t>
            </w:r>
            <w:r>
              <w:t xml:space="preserve">reaction </w:t>
            </w:r>
            <w:r w:rsidRPr="00E00D74">
              <w:t>mechanism in th</w:t>
            </w:r>
            <w:r>
              <w:t>e presence of sodium is reported. In high donor number solvents NaO</w:t>
            </w:r>
            <w:r w:rsidRPr="00134E8A">
              <w:rPr>
                <w:vertAlign w:val="subscript"/>
              </w:rPr>
              <w:t>2</w:t>
            </w:r>
            <w:r>
              <w:t xml:space="preserve"> is formed and in low donor number solvents Na</w:t>
            </w:r>
            <w:r w:rsidRPr="001850E1">
              <w:rPr>
                <w:vertAlign w:val="subscript"/>
              </w:rPr>
              <w:t>2</w:t>
            </w:r>
            <w:r>
              <w:t>O</w:t>
            </w:r>
            <w:r w:rsidRPr="001850E1">
              <w:rPr>
                <w:vertAlign w:val="subscript"/>
              </w:rPr>
              <w:t>2</w:t>
            </w:r>
            <w:r>
              <w:t xml:space="preserve"> formation is observed. </w:t>
            </w:r>
          </w:p>
        </w:tc>
        <w:tc>
          <w:tcPr>
            <w:tcW w:w="284" w:type="dxa"/>
            <w:tcBorders>
              <w:top w:val="single" w:sz="36" w:space="0" w:color="BFBFBF"/>
            </w:tcBorders>
            <w:shd w:val="clear" w:color="auto" w:fill="auto"/>
          </w:tcPr>
          <w:p w:rsidR="00A06C6E" w:rsidRDefault="00A06C6E" w:rsidP="001C60F3">
            <w:pPr>
              <w:rPr>
                <w:lang w:val="en-GB"/>
              </w:rPr>
            </w:pPr>
          </w:p>
        </w:tc>
        <w:tc>
          <w:tcPr>
            <w:tcW w:w="3118" w:type="dxa"/>
            <w:vMerge w:val="restart"/>
            <w:tcBorders>
              <w:top w:val="single" w:sz="36" w:space="0" w:color="BFBFBF"/>
            </w:tcBorders>
            <w:shd w:val="clear" w:color="auto" w:fill="auto"/>
          </w:tcPr>
          <w:p w:rsidR="00A06C6E" w:rsidRDefault="00A06C6E" w:rsidP="001C60F3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16AF52" wp14:editId="1950D38E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97790</wp:posOffset>
                      </wp:positionV>
                      <wp:extent cx="1988185" cy="1857375"/>
                      <wp:effectExtent l="1270" t="0" r="1270" b="1905"/>
                      <wp:wrapNone/>
                      <wp:docPr id="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8185" cy="185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6C6E" w:rsidRPr="006F5ABC" w:rsidRDefault="00A06C6E" w:rsidP="00096A9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7BDC641B" wp14:editId="50F952BF">
                                        <wp:extent cx="1805305" cy="1799013"/>
                                        <wp:effectExtent l="0" t="0" r="4445" b="0"/>
                                        <wp:docPr id="66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r="697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5305" cy="17990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7" style="position:absolute;margin-left:-5.3pt;margin-top:7.7pt;width:156.55pt;height:1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AnrhgIAAA8FAAAOAAAAZHJzL2Uyb0RvYy54bWysVFFv2yAQfp+0/4B4T22nTmNbdao2aaZJ&#10;3Vat2w8ggGM0DAxInG7af9+BkzTZ9jBNSyQM3HF83913XN/sOom23DqhVY2zixQjrqhmQq1r/PnT&#10;clRg5DxRjEiteI2fucM3s9evrntT8bFutWTcIgiiXNWbGrfemypJHG15R9yFNlyBsdG2Ix6Wdp0w&#10;S3qI3slknKZXSa8tM1ZT7hzsLgYjnsX4TcOp/9A0jnskawzYfBxtHFdhTGbXpFpbYlpB9zDIP6Do&#10;iFBw6THUgniCNlb8FqoT1GqnG39BdZfophGURw7AJkt/YfPUEsMjF0iOM8c0uf8Xlr7fPlokWI0n&#10;GCnSQYk+QtKIWkuOLichP71xFbg9mUcbGDrzoOkXh5Set+DGb63VfcsJA1RZ8E/ODoSFg6No1b/T&#10;DMKTjdcxVbvGdiEgJAHtYkWejxXhO48obGZlUWQFQKNgg8n0choxJaQ6HDfW+TdcdyhMamwBfQxP&#10;tg/OBzikOrhE+FoKthRSxoVdr+bSoi0Bedzfhn9kACxP3aQKzkqHY0PEYQdQwh3BFvDGcn8vs3Ge&#10;3o3L0fKqmI7yZT4ZldO0GKVZeVdepXmZL5Y/AsAsr1rBGFcPQvGD9LL870q7b4JBNFF8qK9xORlP&#10;Ivcz9O6UZBp/fyLZCQ+dKEVX4+LoRKpQ2XvFgDapPBFymCfn8GOWIQeHb8xK1EEo/SAhv1vtotCi&#10;SIIsVpo9gzCshrJBb8IrApNW228Y9dCRNXZfN8RyjORbBeIqszwPLRwX+WQ6hoU9taxOLURRCFVj&#10;j9Ewnfuh7TfGinULN2UxVUrfgiAbEaXygmovY+i6yGn/QoS2Pl1Hr5d3bPYTAAD//wMAUEsDBBQA&#10;BgAIAAAAIQBXYGpM3wAAAAoBAAAPAAAAZHJzL2Rvd25yZXYueG1sTI/BTsMwDIbvSLxDZCRuW7LB&#10;NihNJ1QBJw5Qdtgxa0xbLXGqJts6nh7vBDdb/6ffn/P16J044hC7QBpmUwUCqQ62o0bD5ut18gAi&#10;JkPWuECo4YwR1sX1VW4yG070iccqNYJLKGZGQ5tSn0kZ6xa9idPQI3H2HQZvEq9DI+1gTlzunZwr&#10;tZTedMQXWtNj2WK9rw5eQ9y6N6o+9hv13tY/aSzP8cWXWt/ejM9PIBKO6Q+Giz6rQ8FOu3AgG4XT&#10;MJmpJaMcLO5BMHCn5gsQu8uwegRZ5PL/C8UvAAAA//8DAFBLAQItABQABgAIAAAAIQC2gziS/gAA&#10;AOEBAAATAAAAAAAAAAAAAAAAAAAAAABbQ29udGVudF9UeXBlc10ueG1sUEsBAi0AFAAGAAgAAAAh&#10;ADj9If/WAAAAlAEAAAsAAAAAAAAAAAAAAAAALwEAAF9yZWxzLy5yZWxzUEsBAi0AFAAGAAgAAAAh&#10;AH3ACeuGAgAADwUAAA4AAAAAAAAAAAAAAAAALgIAAGRycy9lMm9Eb2MueG1sUEsBAi0AFAAGAAgA&#10;AAAhAFdgakzfAAAACgEAAA8AAAAAAAAAAAAAAAAA4AQAAGRycy9kb3ducmV2LnhtbFBLBQYAAAAA&#10;BAAEAPMAAADsBQAAAAA=&#10;" fillcolor="#eaeaea" stroked="f">
                      <v:textbox>
                        <w:txbxContent>
                          <w:p w:rsidR="00A06C6E" w:rsidRPr="006F5ABC" w:rsidRDefault="00A06C6E" w:rsidP="00096A9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BDC641B" wp14:editId="50F952BF">
                                  <wp:extent cx="1805305" cy="1799013"/>
                                  <wp:effectExtent l="0" t="0" r="4445" b="0"/>
                                  <wp:docPr id="6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97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5305" cy="1799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36" w:space="0" w:color="BFBFBF"/>
            </w:tcBorders>
            <w:shd w:val="clear" w:color="auto" w:fill="auto"/>
          </w:tcPr>
          <w:p w:rsidR="00A06C6E" w:rsidRDefault="00A06C6E" w:rsidP="001C60F3">
            <w:pPr>
              <w:rPr>
                <w:lang w:val="en-GB"/>
              </w:rPr>
            </w:pPr>
          </w:p>
        </w:tc>
        <w:tc>
          <w:tcPr>
            <w:tcW w:w="3289" w:type="dxa"/>
            <w:vMerge w:val="restart"/>
            <w:tcBorders>
              <w:top w:val="single" w:sz="36" w:space="0" w:color="BFBFBF"/>
            </w:tcBorders>
            <w:shd w:val="clear" w:color="auto" w:fill="auto"/>
          </w:tcPr>
          <w:p w:rsidR="00A06C6E" w:rsidRDefault="00A06C6E" w:rsidP="001C60F3">
            <w:pPr>
              <w:pStyle w:val="AuthorsTOC"/>
              <w:spacing w:before="0"/>
            </w:pPr>
            <w:r w:rsidRPr="006B3956">
              <w:t>Auth</w:t>
            </w:r>
            <w:r>
              <w:t>or(s), Corresponding Author(s)*</w:t>
            </w:r>
          </w:p>
          <w:p w:rsidR="00A06C6E" w:rsidRPr="004B0B74" w:rsidRDefault="00A06C6E" w:rsidP="001C60F3">
            <w:pPr>
              <w:pStyle w:val="PageNumbers"/>
              <w:spacing w:before="0"/>
              <w:rPr>
                <w:lang w:val="en-GB"/>
              </w:rPr>
            </w:pPr>
            <w:r w:rsidRPr="004B0B74">
              <w:rPr>
                <w:lang w:val="en-GB"/>
              </w:rPr>
              <w:t>Page No. – Page No.</w:t>
            </w:r>
          </w:p>
          <w:p w:rsidR="00A06C6E" w:rsidRDefault="00A06C6E" w:rsidP="001C60F3">
            <w:pPr>
              <w:pStyle w:val="TitleTOC"/>
              <w:framePr w:hSpace="141" w:wrap="around" w:vAnchor="page" w:hAnchor="margin" w:y="1504"/>
              <w:spacing w:before="0"/>
            </w:pPr>
            <w:r>
              <w:t>Title</w:t>
            </w:r>
          </w:p>
          <w:p w:rsidR="00A06C6E" w:rsidRPr="00AE01EC" w:rsidRDefault="00A06C6E" w:rsidP="001C60F3">
            <w:pPr>
              <w:framePr w:hSpace="141" w:wrap="around" w:vAnchor="page" w:hAnchor="margin" w:y="1504"/>
              <w:rPr>
                <w:lang w:val="en-GB"/>
              </w:rPr>
            </w:pPr>
          </w:p>
        </w:tc>
      </w:tr>
      <w:tr w:rsidR="00A06C6E" w:rsidTr="003B6C60">
        <w:trPr>
          <w:trHeight w:hRule="exact" w:val="2796"/>
        </w:trPr>
        <w:tc>
          <w:tcPr>
            <w:tcW w:w="3118" w:type="dxa"/>
            <w:vMerge/>
            <w:shd w:val="clear" w:color="auto" w:fill="auto"/>
          </w:tcPr>
          <w:p w:rsidR="00A06C6E" w:rsidRDefault="00A06C6E" w:rsidP="001C60F3">
            <w:pPr>
              <w:rPr>
                <w:lang w:val="en-GB"/>
              </w:rPr>
            </w:pPr>
          </w:p>
        </w:tc>
        <w:tc>
          <w:tcPr>
            <w:tcW w:w="284" w:type="dxa"/>
            <w:shd w:val="clear" w:color="auto" w:fill="auto"/>
          </w:tcPr>
          <w:p w:rsidR="00A06C6E" w:rsidRDefault="00A06C6E" w:rsidP="001C60F3">
            <w:pPr>
              <w:rPr>
                <w:lang w:val="en-GB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06C6E" w:rsidRDefault="00A06C6E" w:rsidP="001C60F3">
            <w:pPr>
              <w:rPr>
                <w:lang w:val="en-GB"/>
              </w:rPr>
            </w:pPr>
          </w:p>
        </w:tc>
        <w:tc>
          <w:tcPr>
            <w:tcW w:w="284" w:type="dxa"/>
            <w:shd w:val="clear" w:color="auto" w:fill="auto"/>
          </w:tcPr>
          <w:p w:rsidR="00A06C6E" w:rsidRDefault="00A06C6E" w:rsidP="001C60F3">
            <w:pPr>
              <w:rPr>
                <w:lang w:val="en-GB"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A06C6E" w:rsidRDefault="00A06C6E" w:rsidP="001C60F3">
            <w:pPr>
              <w:rPr>
                <w:lang w:val="en-GB"/>
              </w:rPr>
            </w:pPr>
          </w:p>
        </w:tc>
      </w:tr>
    </w:tbl>
    <w:p w:rsidR="00A06C6E" w:rsidRDefault="00A06C6E" w:rsidP="001C60F3">
      <w:pPr>
        <w:rPr>
          <w:lang w:val="en-GB"/>
        </w:rPr>
      </w:pPr>
    </w:p>
    <w:tbl>
      <w:tblPr>
        <w:tblW w:w="10093" w:type="dxa"/>
        <w:tblLayout w:type="fixed"/>
        <w:tblLook w:val="01E0" w:firstRow="1" w:lastRow="1" w:firstColumn="1" w:lastColumn="1" w:noHBand="0" w:noVBand="0"/>
      </w:tblPr>
      <w:tblGrid>
        <w:gridCol w:w="6520"/>
        <w:gridCol w:w="284"/>
        <w:gridCol w:w="3289"/>
      </w:tblGrid>
      <w:tr w:rsidR="00A06C6E" w:rsidTr="003B6C60">
        <w:trPr>
          <w:trHeight w:hRule="exact" w:val="2722"/>
        </w:trPr>
        <w:tc>
          <w:tcPr>
            <w:tcW w:w="6520" w:type="dxa"/>
            <w:shd w:val="clear" w:color="auto" w:fill="auto"/>
          </w:tcPr>
          <w:p w:rsidR="00A06C6E" w:rsidRDefault="00A06C6E" w:rsidP="00134E8A">
            <w:pPr>
              <w:rPr>
                <w:lang w:val="en-GB"/>
              </w:rPr>
            </w:pPr>
          </w:p>
        </w:tc>
        <w:tc>
          <w:tcPr>
            <w:tcW w:w="284" w:type="dxa"/>
            <w:shd w:val="clear" w:color="auto" w:fill="auto"/>
          </w:tcPr>
          <w:p w:rsidR="00A06C6E" w:rsidRDefault="00A06C6E" w:rsidP="001C60F3">
            <w:pPr>
              <w:rPr>
                <w:lang w:val="en-GB"/>
              </w:rPr>
            </w:pPr>
          </w:p>
        </w:tc>
        <w:tc>
          <w:tcPr>
            <w:tcW w:w="3289" w:type="dxa"/>
            <w:shd w:val="clear" w:color="auto" w:fill="auto"/>
          </w:tcPr>
          <w:p w:rsidR="00A06C6E" w:rsidRDefault="00A06C6E" w:rsidP="001C60F3">
            <w:pPr>
              <w:rPr>
                <w:lang w:val="en-GB"/>
              </w:rPr>
            </w:pPr>
          </w:p>
        </w:tc>
      </w:tr>
    </w:tbl>
    <w:p w:rsidR="00A06C6E" w:rsidRPr="008F525A" w:rsidRDefault="00A06C6E" w:rsidP="00134E8A">
      <w:pPr>
        <w:rPr>
          <w:bCs/>
          <w:lang w:val="en-GB"/>
        </w:rPr>
      </w:pPr>
    </w:p>
    <w:p w:rsidR="00172E18" w:rsidRDefault="00172E18"/>
    <w:sectPr w:rsidR="00172E18" w:rsidSect="001A3E2C">
      <w:pgSz w:w="11906" w:h="16838" w:code="9"/>
      <w:pgMar w:top="1134" w:right="936" w:bottom="1134" w:left="936" w:header="1021" w:footer="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6C5" w:rsidRDefault="002036C5">
      <w:r>
        <w:separator/>
      </w:r>
    </w:p>
  </w:endnote>
  <w:endnote w:type="continuationSeparator" w:id="0">
    <w:p w:rsidR="002036C5" w:rsidRDefault="0020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EFD" w:rsidRDefault="002036C5" w:rsidP="000C4579">
    <w:pPr>
      <w:pStyle w:val="Footer"/>
      <w:pBdr>
        <w:top w:val="single" w:sz="18" w:space="1" w:color="C0C0C0"/>
      </w:pBdr>
    </w:pPr>
  </w:p>
  <w:p w:rsidR="00DD1EFD" w:rsidRDefault="002036C5" w:rsidP="000C4579">
    <w:pPr>
      <w:pStyle w:val="Footer"/>
    </w:pPr>
  </w:p>
  <w:p w:rsidR="00DD1EFD" w:rsidRDefault="002036C5" w:rsidP="000C4579">
    <w:pPr>
      <w:pStyle w:val="Footer"/>
    </w:pPr>
  </w:p>
  <w:p w:rsidR="00DD1EFD" w:rsidRPr="00205632" w:rsidRDefault="002036C5" w:rsidP="000C45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6C5" w:rsidRDefault="002036C5">
      <w:r>
        <w:separator/>
      </w:r>
    </w:p>
  </w:footnote>
  <w:footnote w:type="continuationSeparator" w:id="0">
    <w:p w:rsidR="002036C5" w:rsidRDefault="00203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EFD" w:rsidRPr="00C8278A" w:rsidRDefault="002036C5" w:rsidP="00490E63">
    <w:pPr>
      <w:pStyle w:val="Header"/>
      <w:pBdr>
        <w:bottom w:val="single" w:sz="36" w:space="1" w:color="C0C0C0"/>
      </w:pBdr>
      <w:rPr>
        <w:rFonts w:ascii="Arial Narrow" w:hAnsi="Arial Narrow" w:cs="Arial"/>
        <w:b/>
        <w:bCs/>
        <w:color w:val="C0C0C0"/>
        <w:sz w:val="36"/>
        <w:szCs w:val="36"/>
      </w:rPr>
    </w:pPr>
    <w:r>
      <w:rPr>
        <w:rFonts w:ascii="Arial Narrow" w:hAnsi="Arial Narrow" w:cs="Arial"/>
        <w:b/>
        <w:bCs/>
        <w:noProof/>
        <w:color w:val="C0C0C0"/>
        <w:sz w:val="40"/>
        <w:szCs w:val="36"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8795" o:spid="_x0000_s2050" type="#_x0000_t75" style="position:absolute;margin-left:0;margin-top:0;width:688.65pt;height:937.8pt;z-index:-251655168;mso-position-horizontal:center;mso-position-horizontal-relative:margin;mso-position-vertical:center;mso-position-vertical-relative:margin" o:allowincell="f">
          <v:imagedata r:id="rId1" o:title="Wiley-VCH_gedreht" gain="19661f" blacklevel="22938f"/>
          <w10:wrap anchorx="margin" anchory="margin"/>
        </v:shape>
      </w:pict>
    </w:r>
    <w:r w:rsidR="00C93018">
      <w:rPr>
        <w:rFonts w:ascii="Arial Narrow" w:hAnsi="Arial Narrow" w:cs="Arial"/>
        <w:b/>
        <w:bCs/>
        <w:noProof/>
        <w:color w:val="C0C0C0"/>
        <w:sz w:val="40"/>
        <w:szCs w:val="36"/>
        <w:lang w:val="en-GB" w:eastAsia="en-GB"/>
      </w:rPr>
      <w:drawing>
        <wp:inline distT="0" distB="0" distL="0" distR="0" wp14:anchorId="2656366C" wp14:editId="54729A1C">
          <wp:extent cx="1460500" cy="3683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3018">
      <w:rPr>
        <w:rFonts w:ascii="Arial Narrow" w:hAnsi="Arial Narrow" w:cs="Arial"/>
        <w:b/>
        <w:bCs/>
        <w:color w:val="C0C0C0"/>
        <w:sz w:val="40"/>
        <w:szCs w:val="36"/>
      </w:rPr>
      <w:tab/>
    </w:r>
    <w:r w:rsidR="00C93018">
      <w:rPr>
        <w:rFonts w:ascii="Arial Narrow" w:hAnsi="Arial Narrow" w:cs="Arial"/>
        <w:b/>
        <w:bCs/>
        <w:color w:val="C0C0C0"/>
        <w:sz w:val="40"/>
        <w:szCs w:val="36"/>
      </w:rPr>
      <w:tab/>
      <w:t xml:space="preserve">                            </w:t>
    </w:r>
    <w:r w:rsidR="00C93018" w:rsidRPr="00FB4551">
      <w:rPr>
        <w:rFonts w:ascii="Arial" w:hAnsi="Arial" w:cs="Arial"/>
        <w:b/>
        <w:bCs/>
        <w:color w:val="C0C0C0"/>
      </w:rPr>
      <w:t>www.chemsuschem.org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EFD" w:rsidRPr="00971FC5" w:rsidRDefault="002036C5" w:rsidP="000C4579">
    <w:pPr>
      <w:pStyle w:val="Header"/>
      <w:pBdr>
        <w:bottom w:val="single" w:sz="18" w:space="1" w:color="C0C0C0"/>
      </w:pBdr>
      <w:rPr>
        <w:rFonts w:ascii="Arial Narrow" w:hAnsi="Arial Narrow" w:cs="Arial"/>
        <w:sz w:val="32"/>
        <w:szCs w:val="36"/>
      </w:rPr>
    </w:pPr>
    <w:r>
      <w:rPr>
        <w:noProof/>
        <w:sz w:val="20"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8796" o:spid="_x0000_s2051" type="#_x0000_t75" style="position:absolute;margin-left:0;margin-top:0;width:688.65pt;height:937.8pt;z-index:-251654144;mso-position-horizontal:center;mso-position-horizontal-relative:margin;mso-position-vertical:center;mso-position-vertical-relative:margin" o:allowincell="f">
          <v:imagedata r:id="rId1" o:title="Wiley-VCH_gedreht" gain="19661f" blacklevel="22938f"/>
          <w10:wrap anchorx="margin" anchory="margin"/>
        </v:shape>
      </w:pict>
    </w:r>
    <w:r w:rsidR="00C93018">
      <w:rPr>
        <w:noProof/>
        <w:sz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4B8F0BF2" wp14:editId="49CA32B5">
          <wp:simplePos x="0" y="0"/>
          <wp:positionH relativeFrom="column">
            <wp:posOffset>5344160</wp:posOffset>
          </wp:positionH>
          <wp:positionV relativeFrom="paragraph">
            <wp:posOffset>-40005</wp:posOffset>
          </wp:positionV>
          <wp:extent cx="1079500" cy="273050"/>
          <wp:effectExtent l="0" t="0" r="6350" b="0"/>
          <wp:wrapTopAndBottom/>
          <wp:docPr id="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3018" w:rsidRPr="00971FC5">
      <w:rPr>
        <w:rFonts w:ascii="Arial Narrow" w:hAnsi="Arial Narrow" w:cs="Arial"/>
        <w:b/>
        <w:bCs/>
        <w:color w:val="C0C0C0"/>
        <w:sz w:val="32"/>
        <w:szCs w:val="36"/>
      </w:rPr>
      <w:t>COMMUNICATION</w:t>
    </w:r>
    <w:r w:rsidR="00C93018" w:rsidRPr="00971FC5">
      <w:rPr>
        <w:rFonts w:ascii="Arial Narrow" w:hAnsi="Arial Narrow" w:cs="Arial"/>
        <w:sz w:val="32"/>
        <w:szCs w:val="36"/>
      </w:rPr>
      <w:tab/>
    </w:r>
    <w:r w:rsidR="00C93018" w:rsidRPr="00971FC5">
      <w:rPr>
        <w:rFonts w:ascii="Arial Narrow" w:hAnsi="Arial Narrow" w:cs="Arial"/>
        <w:sz w:val="32"/>
        <w:szCs w:val="36"/>
      </w:rPr>
      <w:tab/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EFD" w:rsidRDefault="002036C5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8794" o:spid="_x0000_s2049" type="#_x0000_t75" style="position:absolute;margin-left:0;margin-top:0;width:688.65pt;height:937.8pt;z-index:-251656192;mso-position-horizontal:center;mso-position-horizontal-relative:margin;mso-position-vertical:center;mso-position-vertical-relative:margin" o:allowincell="f">
          <v:imagedata r:id="rId1" o:title="Wiley-VCH_gedreh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06C6E"/>
    <w:rsid w:val="00085439"/>
    <w:rsid w:val="00160D48"/>
    <w:rsid w:val="00172E18"/>
    <w:rsid w:val="001C0EFA"/>
    <w:rsid w:val="001C778F"/>
    <w:rsid w:val="002036C5"/>
    <w:rsid w:val="002B16EB"/>
    <w:rsid w:val="003C5B88"/>
    <w:rsid w:val="00444A72"/>
    <w:rsid w:val="004A3041"/>
    <w:rsid w:val="005B2286"/>
    <w:rsid w:val="00686932"/>
    <w:rsid w:val="00704760"/>
    <w:rsid w:val="00725304"/>
    <w:rsid w:val="007E5E48"/>
    <w:rsid w:val="007E7819"/>
    <w:rsid w:val="00875136"/>
    <w:rsid w:val="00880C23"/>
    <w:rsid w:val="008B638D"/>
    <w:rsid w:val="008F1F04"/>
    <w:rsid w:val="009D6B7E"/>
    <w:rsid w:val="00A06C6E"/>
    <w:rsid w:val="00A71048"/>
    <w:rsid w:val="00AB14B4"/>
    <w:rsid w:val="00C137A8"/>
    <w:rsid w:val="00C70B54"/>
    <w:rsid w:val="00C93018"/>
    <w:rsid w:val="00CA1FD3"/>
    <w:rsid w:val="00D176BB"/>
    <w:rsid w:val="00D56D97"/>
    <w:rsid w:val="00E06366"/>
    <w:rsid w:val="00E107FC"/>
    <w:rsid w:val="00E21CDE"/>
    <w:rsid w:val="00FA38FA"/>
    <w:rsid w:val="00FD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C6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next w:val="Normal"/>
    <w:qFormat/>
    <w:rsid w:val="00A06C6E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"/>
    <w:qFormat/>
    <w:rsid w:val="00A06C6E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"/>
    <w:qFormat/>
    <w:rsid w:val="00A06C6E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"/>
    <w:qFormat/>
    <w:rsid w:val="00A06C6E"/>
    <w:pPr>
      <w:spacing w:line="225" w:lineRule="exact"/>
      <w:jc w:val="both"/>
    </w:pPr>
    <w:rPr>
      <w:rFonts w:ascii="Arial" w:hAnsi="Arial"/>
      <w:sz w:val="17"/>
    </w:rPr>
  </w:style>
  <w:style w:type="paragraph" w:customStyle="1" w:styleId="History">
    <w:name w:val="History"/>
    <w:basedOn w:val="Normal"/>
    <w:rsid w:val="00A06C6E"/>
    <w:pPr>
      <w:spacing w:before="230" w:after="460" w:line="180" w:lineRule="exact"/>
    </w:pPr>
    <w:rPr>
      <w:rFonts w:ascii="Arial" w:hAnsi="Arial"/>
      <w:sz w:val="14"/>
      <w:szCs w:val="16"/>
    </w:rPr>
  </w:style>
  <w:style w:type="paragraph" w:customStyle="1" w:styleId="Adress">
    <w:name w:val="Adress"/>
    <w:basedOn w:val="Normal"/>
    <w:qFormat/>
    <w:rsid w:val="00A06C6E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Footnote">
    <w:name w:val="Footnote"/>
    <w:basedOn w:val="Adress"/>
    <w:rsid w:val="00A06C6E"/>
    <w:pPr>
      <w:spacing w:before="120"/>
    </w:pPr>
    <w:rPr>
      <w:szCs w:val="14"/>
      <w:lang w:val="en-GB"/>
    </w:rPr>
  </w:style>
  <w:style w:type="paragraph" w:customStyle="1" w:styleId="References">
    <w:name w:val="References"/>
    <w:basedOn w:val="Normal"/>
    <w:qFormat/>
    <w:rsid w:val="00A06C6E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ColumnTitle">
    <w:name w:val="ColumnTitle"/>
    <w:basedOn w:val="Normal"/>
    <w:rsid w:val="00A06C6E"/>
    <w:pPr>
      <w:pBdr>
        <w:bottom w:val="single" w:sz="36" w:space="1" w:color="DDDDDD"/>
      </w:pBdr>
      <w:spacing w:after="320"/>
      <w:jc w:val="right"/>
    </w:pPr>
    <w:rPr>
      <w:rFonts w:ascii="Arial" w:hAnsi="Arial" w:cs="Arial"/>
      <w:b/>
      <w:color w:val="C0C0C0"/>
      <w:sz w:val="36"/>
      <w:szCs w:val="36"/>
      <w:lang w:val="en-GB"/>
    </w:rPr>
  </w:style>
  <w:style w:type="paragraph" w:customStyle="1" w:styleId="ExperimentalSection">
    <w:name w:val="ExperimentalSection"/>
    <w:basedOn w:val="Normal"/>
    <w:qFormat/>
    <w:rsid w:val="00A06C6E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"/>
    <w:autoRedefine/>
    <w:qFormat/>
    <w:rsid w:val="00A06C6E"/>
    <w:pPr>
      <w:spacing w:before="460" w:after="230" w:line="230" w:lineRule="atLeast"/>
    </w:pPr>
    <w:rPr>
      <w:rFonts w:ascii="Arial" w:hAnsi="Arial"/>
      <w:b/>
      <w:sz w:val="22"/>
      <w:szCs w:val="20"/>
    </w:rPr>
  </w:style>
  <w:style w:type="paragraph" w:customStyle="1" w:styleId="SchemeCaption">
    <w:name w:val="SchemeCaption"/>
    <w:basedOn w:val="Normal"/>
    <w:rsid w:val="00A06C6E"/>
    <w:pPr>
      <w:spacing w:before="230" w:after="460"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FigureCaption">
    <w:name w:val="FigureCaption"/>
    <w:basedOn w:val="Normal"/>
    <w:rsid w:val="00A06C6E"/>
    <w:pPr>
      <w:spacing w:before="230" w:after="460"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TableCaption">
    <w:name w:val="TableCaption"/>
    <w:basedOn w:val="Normal"/>
    <w:link w:val="TableCaptionChar"/>
    <w:qFormat/>
    <w:rsid w:val="00A06C6E"/>
    <w:pPr>
      <w:spacing w:after="120"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TableHead">
    <w:name w:val="TableHead"/>
    <w:basedOn w:val="TableCaption"/>
    <w:qFormat/>
    <w:rsid w:val="00A06C6E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pacing w:after="0"/>
    </w:pPr>
  </w:style>
  <w:style w:type="paragraph" w:customStyle="1" w:styleId="TableBody">
    <w:name w:val="TableBody"/>
    <w:basedOn w:val="TableHead"/>
    <w:rsid w:val="00A06C6E"/>
  </w:style>
  <w:style w:type="paragraph" w:customStyle="1" w:styleId="TableFoot">
    <w:name w:val="TableFoot"/>
    <w:basedOn w:val="TableBody"/>
    <w:rsid w:val="00A06C6E"/>
    <w:pPr>
      <w:spacing w:before="60" w:after="60"/>
    </w:pPr>
  </w:style>
  <w:style w:type="paragraph" w:customStyle="1" w:styleId="Keywords">
    <w:name w:val="Keywords"/>
    <w:basedOn w:val="Normal"/>
    <w:qFormat/>
    <w:rsid w:val="00A06C6E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"/>
    <w:qFormat/>
    <w:rsid w:val="00A06C6E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AuthorsTOC">
    <w:name w:val="Authors_TOC"/>
    <w:basedOn w:val="Authors"/>
    <w:rsid w:val="00A06C6E"/>
    <w:pPr>
      <w:spacing w:after="0" w:line="225" w:lineRule="atLeast"/>
    </w:pPr>
    <w:rPr>
      <w:i/>
      <w:sz w:val="17"/>
      <w:szCs w:val="20"/>
    </w:rPr>
  </w:style>
  <w:style w:type="paragraph" w:customStyle="1" w:styleId="TitleTOC">
    <w:name w:val="Title_TOC"/>
    <w:basedOn w:val="AuthorsTOC"/>
    <w:rsid w:val="00A06C6E"/>
    <w:rPr>
      <w:b/>
      <w:i w:val="0"/>
    </w:rPr>
  </w:style>
  <w:style w:type="paragraph" w:customStyle="1" w:styleId="TableOfContentText">
    <w:name w:val="TableOfContentText"/>
    <w:basedOn w:val="AuthorsTOC"/>
    <w:rsid w:val="00A06C6E"/>
    <w:rPr>
      <w:i w:val="0"/>
      <w:color w:val="000000"/>
    </w:rPr>
  </w:style>
  <w:style w:type="paragraph" w:customStyle="1" w:styleId="P1withIndendation">
    <w:name w:val="P1_with_Indendation"/>
    <w:basedOn w:val="TableCaption"/>
    <w:link w:val="P1withIndendationChar"/>
    <w:qFormat/>
    <w:rsid w:val="00A06C6E"/>
    <w:pP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"/>
    <w:qFormat/>
    <w:rsid w:val="00A06C6E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A06C6E"/>
    <w:pPr>
      <w:spacing w:after="240" w:line="230" w:lineRule="atLeast"/>
    </w:pPr>
  </w:style>
  <w:style w:type="paragraph" w:customStyle="1" w:styleId="ColumnTitleTOC">
    <w:name w:val="ColumnTitle_TOC"/>
    <w:basedOn w:val="ColumnTitle"/>
    <w:rsid w:val="00A06C6E"/>
    <w:pPr>
      <w:pBdr>
        <w:bottom w:val="single" w:sz="36" w:space="3" w:color="008080"/>
      </w:pBdr>
      <w:spacing w:after="0"/>
      <w:jc w:val="left"/>
    </w:pPr>
    <w:rPr>
      <w:b w:val="0"/>
      <w:color w:val="000000"/>
      <w:sz w:val="28"/>
      <w:szCs w:val="28"/>
    </w:rPr>
  </w:style>
  <w:style w:type="paragraph" w:customStyle="1" w:styleId="SubjectHeadingTOC">
    <w:name w:val="SubjectHeading_TOC"/>
    <w:basedOn w:val="Normal"/>
    <w:rsid w:val="00A06C6E"/>
    <w:pPr>
      <w:spacing w:before="60" w:after="60" w:line="230" w:lineRule="exact"/>
    </w:pPr>
    <w:rPr>
      <w:rFonts w:ascii="Arial" w:hAnsi="Arial"/>
      <w:b/>
      <w:i/>
      <w:color w:val="FFFFFF"/>
      <w:sz w:val="21"/>
      <w:szCs w:val="18"/>
      <w:lang w:val="en-GB"/>
    </w:rPr>
  </w:style>
  <w:style w:type="paragraph" w:customStyle="1" w:styleId="GAAuthors">
    <w:name w:val="GAAuthors"/>
    <w:basedOn w:val="Normal"/>
    <w:rsid w:val="00A06C6E"/>
    <w:pPr>
      <w:spacing w:before="360" w:after="60" w:line="220" w:lineRule="exact"/>
    </w:pPr>
    <w:rPr>
      <w:b/>
      <w:sz w:val="18"/>
      <w:szCs w:val="20"/>
      <w:lang w:val="en-GB"/>
    </w:rPr>
  </w:style>
  <w:style w:type="paragraph" w:customStyle="1" w:styleId="GACatchPhrase">
    <w:name w:val="GACatchPhrase"/>
    <w:basedOn w:val="Normal"/>
    <w:rsid w:val="00A06C6E"/>
    <w:pPr>
      <w:spacing w:before="40"/>
      <w:jc w:val="right"/>
    </w:pPr>
    <w:rPr>
      <w:rFonts w:cs="Arial"/>
      <w:b/>
      <w:color w:val="008080"/>
      <w:sz w:val="18"/>
      <w:szCs w:val="16"/>
      <w:lang w:val="en-GB"/>
    </w:rPr>
  </w:style>
  <w:style w:type="paragraph" w:customStyle="1" w:styleId="GAText">
    <w:name w:val="GAText"/>
    <w:basedOn w:val="Normal"/>
    <w:rsid w:val="00A06C6E"/>
    <w:pPr>
      <w:spacing w:before="120" w:line="220" w:lineRule="exact"/>
    </w:pPr>
    <w:rPr>
      <w:color w:val="000000"/>
      <w:sz w:val="18"/>
    </w:rPr>
  </w:style>
  <w:style w:type="paragraph" w:customStyle="1" w:styleId="GATitel">
    <w:name w:val="GATitel"/>
    <w:basedOn w:val="GAAuthors"/>
    <w:rsid w:val="00A06C6E"/>
    <w:pPr>
      <w:spacing w:before="240"/>
    </w:pPr>
    <w:rPr>
      <w:b w:val="0"/>
    </w:rPr>
  </w:style>
  <w:style w:type="paragraph" w:customStyle="1" w:styleId="GAKeywords">
    <w:name w:val="GAKeywords"/>
    <w:basedOn w:val="Keywords"/>
    <w:rsid w:val="00A06C6E"/>
    <w:pPr>
      <w:framePr w:hSpace="141" w:wrap="around" w:hAnchor="text" w:y="673"/>
      <w:spacing w:before="200" w:after="0" w:line="220" w:lineRule="exact"/>
    </w:pPr>
    <w:rPr>
      <w:rFonts w:ascii="Times New Roman" w:hAnsi="Times New Roman"/>
      <w:b/>
      <w:szCs w:val="24"/>
    </w:rPr>
  </w:style>
  <w:style w:type="paragraph" w:customStyle="1" w:styleId="MSType">
    <w:name w:val="MSType"/>
    <w:basedOn w:val="ColumnTitleTOC"/>
    <w:rsid w:val="00A06C6E"/>
    <w:pPr>
      <w:framePr w:hSpace="141" w:wrap="around" w:vAnchor="page" w:hAnchor="margin" w:y="1504"/>
      <w:pBdr>
        <w:bottom w:val="none" w:sz="0" w:space="0" w:color="auto"/>
      </w:pBdr>
      <w:spacing w:before="60" w:after="60"/>
    </w:pPr>
    <w:rPr>
      <w:rFonts w:ascii="Arial Black" w:hAnsi="Arial Black"/>
      <w:b/>
      <w:color w:val="FFFFFF"/>
      <w:spacing w:val="20"/>
      <w:sz w:val="20"/>
      <w:szCs w:val="20"/>
    </w:rPr>
  </w:style>
  <w:style w:type="paragraph" w:customStyle="1" w:styleId="PageNumbers">
    <w:name w:val="PageNumbers"/>
    <w:basedOn w:val="Normal"/>
    <w:rsid w:val="00A06C6E"/>
    <w:pPr>
      <w:spacing w:before="230"/>
    </w:pPr>
    <w:rPr>
      <w:rFonts w:ascii="Arial" w:hAnsi="Arial"/>
      <w:b/>
      <w:i/>
      <w:sz w:val="17"/>
    </w:rPr>
  </w:style>
  <w:style w:type="paragraph" w:styleId="Header">
    <w:name w:val="header"/>
    <w:basedOn w:val="Normal"/>
    <w:link w:val="HeaderChar"/>
    <w:uiPriority w:val="99"/>
    <w:unhideWhenUsed/>
    <w:rsid w:val="00A06C6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A06C6E"/>
    <w:rPr>
      <w:rFonts w:ascii="Times New Roman" w:eastAsia="MS Mincho" w:hAnsi="Times New Roman" w:cs="Times New Roman"/>
      <w:sz w:val="24"/>
      <w:szCs w:val="24"/>
      <w:lang w:val="de-DE" w:eastAsia="ja-JP"/>
    </w:rPr>
  </w:style>
  <w:style w:type="paragraph" w:styleId="Footer">
    <w:name w:val="footer"/>
    <w:basedOn w:val="Normal"/>
    <w:link w:val="FooterChar"/>
    <w:uiPriority w:val="99"/>
    <w:unhideWhenUsed/>
    <w:rsid w:val="00A06C6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A06C6E"/>
    <w:rPr>
      <w:rFonts w:ascii="Times New Roman" w:eastAsia="MS Mincho" w:hAnsi="Times New Roman" w:cs="Times New Roman"/>
      <w:sz w:val="24"/>
      <w:szCs w:val="24"/>
      <w:lang w:val="de-DE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6C6E"/>
    <w:rPr>
      <w:rFonts w:ascii="Tahoma" w:eastAsia="MS Mincho" w:hAnsi="Tahoma" w:cs="Tahoma"/>
      <w:sz w:val="16"/>
      <w:szCs w:val="16"/>
      <w:lang w:val="de-DE" w:eastAsia="ja-JP"/>
    </w:rPr>
  </w:style>
  <w:style w:type="paragraph" w:customStyle="1" w:styleId="FormatvorlageHistoryObenEinfacheeinfarbigeLinie05PtZeilenbr">
    <w:name w:val="Formatvorlage History + Oben: (Einfache einfarbige Linie  05 Pt. Zeilenbr..."/>
    <w:basedOn w:val="History"/>
    <w:qFormat/>
    <w:rsid w:val="00A06C6E"/>
    <w:pPr>
      <w:pBdr>
        <w:top w:val="single" w:sz="4" w:space="14" w:color="000000"/>
      </w:pBdr>
    </w:pPr>
    <w:rPr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A06C6E"/>
    <w:pPr>
      <w:spacing w:before="720"/>
    </w:pPr>
    <w:rPr>
      <w:szCs w:val="20"/>
    </w:rPr>
  </w:style>
  <w:style w:type="paragraph" w:customStyle="1" w:styleId="TableSpacer">
    <w:name w:val="TableSpacer"/>
    <w:basedOn w:val="Normal"/>
    <w:qFormat/>
    <w:rsid w:val="00A06C6E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"/>
    <w:qFormat/>
    <w:rsid w:val="00A06C6E"/>
    <w:pPr>
      <w:spacing w:after="36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P1">
    <w:name w:val="P1"/>
    <w:basedOn w:val="P1withoutIndendation"/>
    <w:qFormat/>
    <w:rsid w:val="00A06C6E"/>
    <w:rPr>
      <w:lang w:val="en-US"/>
    </w:rPr>
  </w:style>
  <w:style w:type="paragraph" w:customStyle="1" w:styleId="08ArticleText">
    <w:name w:val="08 Article Text"/>
    <w:basedOn w:val="Normal"/>
    <w:link w:val="08ArticleTextChar"/>
    <w:qFormat/>
    <w:rsid w:val="00A06C6E"/>
    <w:pPr>
      <w:tabs>
        <w:tab w:val="left" w:pos="284"/>
      </w:tabs>
      <w:spacing w:line="240" w:lineRule="exact"/>
      <w:jc w:val="both"/>
    </w:pPr>
    <w:rPr>
      <w:rFonts w:ascii="Myriad Pro" w:eastAsia="Times New Roman" w:hAnsi="Myriad Pro"/>
      <w:w w:val="108"/>
      <w:sz w:val="16"/>
      <w:szCs w:val="18"/>
      <w:lang w:val="en-GB" w:eastAsia="en-GB"/>
    </w:rPr>
  </w:style>
  <w:style w:type="character" w:customStyle="1" w:styleId="08ArticleTextChar">
    <w:name w:val="08 Article Text Char"/>
    <w:link w:val="08ArticleText"/>
    <w:rsid w:val="00A06C6E"/>
    <w:rPr>
      <w:rFonts w:ascii="Myriad Pro" w:eastAsia="Times New Roman" w:hAnsi="Myriad Pro" w:cs="Times New Roman"/>
      <w:w w:val="108"/>
      <w:sz w:val="16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06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C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C6E"/>
    <w:rPr>
      <w:rFonts w:ascii="Times New Roman" w:eastAsia="MS Mincho" w:hAnsi="Times New Roman" w:cs="Times New Roman"/>
      <w:sz w:val="20"/>
      <w:szCs w:val="20"/>
      <w:lang w:val="de-DE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C6E"/>
    <w:rPr>
      <w:rFonts w:ascii="Times New Roman" w:eastAsia="MS Mincho" w:hAnsi="Times New Roman" w:cs="Times New Roman"/>
      <w:b/>
      <w:bCs/>
      <w:sz w:val="20"/>
      <w:szCs w:val="20"/>
      <w:lang w:val="de-DE" w:eastAsia="ja-JP"/>
    </w:rPr>
  </w:style>
  <w:style w:type="paragraph" w:customStyle="1" w:styleId="EndNoteBibliographyTitle">
    <w:name w:val="EndNote Bibliography Title"/>
    <w:basedOn w:val="Normal"/>
    <w:link w:val="EndNoteBibliographyTitleChar"/>
    <w:rsid w:val="00A06C6E"/>
    <w:pPr>
      <w:jc w:val="center"/>
    </w:pPr>
    <w:rPr>
      <w:rFonts w:ascii="Arial" w:hAnsi="Arial" w:cs="Arial"/>
      <w:noProof/>
      <w:sz w:val="14"/>
    </w:rPr>
  </w:style>
  <w:style w:type="character" w:customStyle="1" w:styleId="TableCaptionChar">
    <w:name w:val="TableCaption Char"/>
    <w:basedOn w:val="DefaultParagraphFont"/>
    <w:link w:val="TableCaption"/>
    <w:rsid w:val="00A06C6E"/>
    <w:rPr>
      <w:rFonts w:ascii="Arial" w:eastAsia="MS Mincho" w:hAnsi="Arial" w:cs="Times New Roman"/>
      <w:sz w:val="14"/>
      <w:szCs w:val="14"/>
      <w:lang w:eastAsia="ja-JP"/>
    </w:rPr>
  </w:style>
  <w:style w:type="character" w:customStyle="1" w:styleId="P1withIndendationChar">
    <w:name w:val="P1_with_Indendation Char"/>
    <w:basedOn w:val="TableCaptionChar"/>
    <w:link w:val="P1withIndendation"/>
    <w:rsid w:val="00A06C6E"/>
    <w:rPr>
      <w:rFonts w:ascii="Arial" w:eastAsia="MS Mincho" w:hAnsi="Arial" w:cs="Times New Roman"/>
      <w:sz w:val="17"/>
      <w:szCs w:val="14"/>
      <w:lang w:eastAsia="ja-JP"/>
    </w:rPr>
  </w:style>
  <w:style w:type="character" w:customStyle="1" w:styleId="EndNoteBibliographyTitleChar">
    <w:name w:val="EndNote Bibliography Title Char"/>
    <w:basedOn w:val="P1withIndendationChar"/>
    <w:link w:val="EndNoteBibliographyTitle"/>
    <w:rsid w:val="00A06C6E"/>
    <w:rPr>
      <w:rFonts w:ascii="Arial" w:eastAsia="MS Mincho" w:hAnsi="Arial" w:cs="Arial"/>
      <w:noProof/>
      <w:sz w:val="14"/>
      <w:szCs w:val="24"/>
      <w:lang w:val="de-DE" w:eastAsia="ja-JP"/>
    </w:rPr>
  </w:style>
  <w:style w:type="paragraph" w:customStyle="1" w:styleId="EndNoteBibliography">
    <w:name w:val="EndNote Bibliography"/>
    <w:basedOn w:val="Normal"/>
    <w:link w:val="EndNoteBibliographyChar"/>
    <w:rsid w:val="00A06C6E"/>
    <w:pPr>
      <w:jc w:val="both"/>
    </w:pPr>
    <w:rPr>
      <w:rFonts w:ascii="Arial" w:hAnsi="Arial" w:cs="Arial"/>
      <w:noProof/>
      <w:sz w:val="14"/>
    </w:rPr>
  </w:style>
  <w:style w:type="character" w:customStyle="1" w:styleId="EndNoteBibliographyChar">
    <w:name w:val="EndNote Bibliography Char"/>
    <w:basedOn w:val="P1withIndendationChar"/>
    <w:link w:val="EndNoteBibliography"/>
    <w:rsid w:val="00A06C6E"/>
    <w:rPr>
      <w:rFonts w:ascii="Arial" w:eastAsia="MS Mincho" w:hAnsi="Arial" w:cs="Arial"/>
      <w:noProof/>
      <w:sz w:val="14"/>
      <w:szCs w:val="24"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C6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next w:val="Normal"/>
    <w:qFormat/>
    <w:rsid w:val="00A06C6E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"/>
    <w:qFormat/>
    <w:rsid w:val="00A06C6E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"/>
    <w:qFormat/>
    <w:rsid w:val="00A06C6E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"/>
    <w:qFormat/>
    <w:rsid w:val="00A06C6E"/>
    <w:pPr>
      <w:spacing w:line="225" w:lineRule="exact"/>
      <w:jc w:val="both"/>
    </w:pPr>
    <w:rPr>
      <w:rFonts w:ascii="Arial" w:hAnsi="Arial"/>
      <w:sz w:val="17"/>
    </w:rPr>
  </w:style>
  <w:style w:type="paragraph" w:customStyle="1" w:styleId="History">
    <w:name w:val="History"/>
    <w:basedOn w:val="Normal"/>
    <w:rsid w:val="00A06C6E"/>
    <w:pPr>
      <w:spacing w:before="230" w:after="460" w:line="180" w:lineRule="exact"/>
    </w:pPr>
    <w:rPr>
      <w:rFonts w:ascii="Arial" w:hAnsi="Arial"/>
      <w:sz w:val="14"/>
      <w:szCs w:val="16"/>
    </w:rPr>
  </w:style>
  <w:style w:type="paragraph" w:customStyle="1" w:styleId="Adress">
    <w:name w:val="Adress"/>
    <w:basedOn w:val="Normal"/>
    <w:qFormat/>
    <w:rsid w:val="00A06C6E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Footnote">
    <w:name w:val="Footnote"/>
    <w:basedOn w:val="Adress"/>
    <w:rsid w:val="00A06C6E"/>
    <w:pPr>
      <w:spacing w:before="120"/>
    </w:pPr>
    <w:rPr>
      <w:szCs w:val="14"/>
      <w:lang w:val="en-GB"/>
    </w:rPr>
  </w:style>
  <w:style w:type="paragraph" w:customStyle="1" w:styleId="References">
    <w:name w:val="References"/>
    <w:basedOn w:val="Normal"/>
    <w:qFormat/>
    <w:rsid w:val="00A06C6E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ColumnTitle">
    <w:name w:val="ColumnTitle"/>
    <w:basedOn w:val="Normal"/>
    <w:rsid w:val="00A06C6E"/>
    <w:pPr>
      <w:pBdr>
        <w:bottom w:val="single" w:sz="36" w:space="1" w:color="DDDDDD"/>
      </w:pBdr>
      <w:spacing w:after="320"/>
      <w:jc w:val="right"/>
    </w:pPr>
    <w:rPr>
      <w:rFonts w:ascii="Arial" w:hAnsi="Arial" w:cs="Arial"/>
      <w:b/>
      <w:color w:val="C0C0C0"/>
      <w:sz w:val="36"/>
      <w:szCs w:val="36"/>
      <w:lang w:val="en-GB"/>
    </w:rPr>
  </w:style>
  <w:style w:type="paragraph" w:customStyle="1" w:styleId="ExperimentalSection">
    <w:name w:val="ExperimentalSection"/>
    <w:basedOn w:val="Normal"/>
    <w:qFormat/>
    <w:rsid w:val="00A06C6E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"/>
    <w:autoRedefine/>
    <w:qFormat/>
    <w:rsid w:val="00A06C6E"/>
    <w:pPr>
      <w:spacing w:before="460" w:after="230" w:line="230" w:lineRule="atLeast"/>
    </w:pPr>
    <w:rPr>
      <w:rFonts w:ascii="Arial" w:hAnsi="Arial"/>
      <w:b/>
      <w:sz w:val="22"/>
      <w:szCs w:val="20"/>
    </w:rPr>
  </w:style>
  <w:style w:type="paragraph" w:customStyle="1" w:styleId="SchemeCaption">
    <w:name w:val="SchemeCaption"/>
    <w:basedOn w:val="Normal"/>
    <w:rsid w:val="00A06C6E"/>
    <w:pPr>
      <w:spacing w:before="230" w:after="460"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FigureCaption">
    <w:name w:val="FigureCaption"/>
    <w:basedOn w:val="Normal"/>
    <w:rsid w:val="00A06C6E"/>
    <w:pPr>
      <w:spacing w:before="230" w:after="460"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TableCaption">
    <w:name w:val="TableCaption"/>
    <w:basedOn w:val="Normal"/>
    <w:link w:val="TableCaptionChar"/>
    <w:qFormat/>
    <w:rsid w:val="00A06C6E"/>
    <w:pPr>
      <w:spacing w:after="120"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TableHead">
    <w:name w:val="TableHead"/>
    <w:basedOn w:val="TableCaption"/>
    <w:qFormat/>
    <w:rsid w:val="00A06C6E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pacing w:after="0"/>
    </w:pPr>
  </w:style>
  <w:style w:type="paragraph" w:customStyle="1" w:styleId="TableBody">
    <w:name w:val="TableBody"/>
    <w:basedOn w:val="TableHead"/>
    <w:rsid w:val="00A06C6E"/>
  </w:style>
  <w:style w:type="paragraph" w:customStyle="1" w:styleId="TableFoot">
    <w:name w:val="TableFoot"/>
    <w:basedOn w:val="TableBody"/>
    <w:rsid w:val="00A06C6E"/>
    <w:pPr>
      <w:spacing w:before="60" w:after="60"/>
    </w:pPr>
  </w:style>
  <w:style w:type="paragraph" w:customStyle="1" w:styleId="Keywords">
    <w:name w:val="Keywords"/>
    <w:basedOn w:val="Normal"/>
    <w:qFormat/>
    <w:rsid w:val="00A06C6E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"/>
    <w:qFormat/>
    <w:rsid w:val="00A06C6E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AuthorsTOC">
    <w:name w:val="Authors_TOC"/>
    <w:basedOn w:val="Authors"/>
    <w:rsid w:val="00A06C6E"/>
    <w:pPr>
      <w:spacing w:after="0" w:line="225" w:lineRule="atLeast"/>
    </w:pPr>
    <w:rPr>
      <w:i/>
      <w:sz w:val="17"/>
      <w:szCs w:val="20"/>
    </w:rPr>
  </w:style>
  <w:style w:type="paragraph" w:customStyle="1" w:styleId="TitleTOC">
    <w:name w:val="Title_TOC"/>
    <w:basedOn w:val="AuthorsTOC"/>
    <w:rsid w:val="00A06C6E"/>
    <w:rPr>
      <w:b/>
      <w:i w:val="0"/>
    </w:rPr>
  </w:style>
  <w:style w:type="paragraph" w:customStyle="1" w:styleId="TableOfContentText">
    <w:name w:val="TableOfContentText"/>
    <w:basedOn w:val="AuthorsTOC"/>
    <w:rsid w:val="00A06C6E"/>
    <w:rPr>
      <w:i w:val="0"/>
      <w:color w:val="000000"/>
    </w:rPr>
  </w:style>
  <w:style w:type="paragraph" w:customStyle="1" w:styleId="P1withIndendation">
    <w:name w:val="P1_with_Indendation"/>
    <w:basedOn w:val="TableCaption"/>
    <w:link w:val="P1withIndendationChar"/>
    <w:qFormat/>
    <w:rsid w:val="00A06C6E"/>
    <w:pP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"/>
    <w:qFormat/>
    <w:rsid w:val="00A06C6E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A06C6E"/>
    <w:pPr>
      <w:spacing w:after="240" w:line="230" w:lineRule="atLeast"/>
    </w:pPr>
  </w:style>
  <w:style w:type="paragraph" w:customStyle="1" w:styleId="ColumnTitleTOC">
    <w:name w:val="ColumnTitle_TOC"/>
    <w:basedOn w:val="ColumnTitle"/>
    <w:rsid w:val="00A06C6E"/>
    <w:pPr>
      <w:pBdr>
        <w:bottom w:val="single" w:sz="36" w:space="3" w:color="008080"/>
      </w:pBdr>
      <w:spacing w:after="0"/>
      <w:jc w:val="left"/>
    </w:pPr>
    <w:rPr>
      <w:b w:val="0"/>
      <w:color w:val="000000"/>
      <w:sz w:val="28"/>
      <w:szCs w:val="28"/>
    </w:rPr>
  </w:style>
  <w:style w:type="paragraph" w:customStyle="1" w:styleId="SubjectHeadingTOC">
    <w:name w:val="SubjectHeading_TOC"/>
    <w:basedOn w:val="Normal"/>
    <w:rsid w:val="00A06C6E"/>
    <w:pPr>
      <w:spacing w:before="60" w:after="60" w:line="230" w:lineRule="exact"/>
    </w:pPr>
    <w:rPr>
      <w:rFonts w:ascii="Arial" w:hAnsi="Arial"/>
      <w:b/>
      <w:i/>
      <w:color w:val="FFFFFF"/>
      <w:sz w:val="21"/>
      <w:szCs w:val="18"/>
      <w:lang w:val="en-GB"/>
    </w:rPr>
  </w:style>
  <w:style w:type="paragraph" w:customStyle="1" w:styleId="GAAuthors">
    <w:name w:val="GAAuthors"/>
    <w:basedOn w:val="Normal"/>
    <w:rsid w:val="00A06C6E"/>
    <w:pPr>
      <w:spacing w:before="360" w:after="60" w:line="220" w:lineRule="exact"/>
    </w:pPr>
    <w:rPr>
      <w:b/>
      <w:sz w:val="18"/>
      <w:szCs w:val="20"/>
      <w:lang w:val="en-GB"/>
    </w:rPr>
  </w:style>
  <w:style w:type="paragraph" w:customStyle="1" w:styleId="GACatchPhrase">
    <w:name w:val="GACatchPhrase"/>
    <w:basedOn w:val="Normal"/>
    <w:rsid w:val="00A06C6E"/>
    <w:pPr>
      <w:spacing w:before="40"/>
      <w:jc w:val="right"/>
    </w:pPr>
    <w:rPr>
      <w:rFonts w:cs="Arial"/>
      <w:b/>
      <w:color w:val="008080"/>
      <w:sz w:val="18"/>
      <w:szCs w:val="16"/>
      <w:lang w:val="en-GB"/>
    </w:rPr>
  </w:style>
  <w:style w:type="paragraph" w:customStyle="1" w:styleId="GAText">
    <w:name w:val="GAText"/>
    <w:basedOn w:val="Normal"/>
    <w:rsid w:val="00A06C6E"/>
    <w:pPr>
      <w:spacing w:before="120" w:line="220" w:lineRule="exact"/>
    </w:pPr>
    <w:rPr>
      <w:color w:val="000000"/>
      <w:sz w:val="18"/>
    </w:rPr>
  </w:style>
  <w:style w:type="paragraph" w:customStyle="1" w:styleId="GATitel">
    <w:name w:val="GATitel"/>
    <w:basedOn w:val="GAAuthors"/>
    <w:rsid w:val="00A06C6E"/>
    <w:pPr>
      <w:spacing w:before="240"/>
    </w:pPr>
    <w:rPr>
      <w:b w:val="0"/>
    </w:rPr>
  </w:style>
  <w:style w:type="paragraph" w:customStyle="1" w:styleId="GAKeywords">
    <w:name w:val="GAKeywords"/>
    <w:basedOn w:val="Keywords"/>
    <w:rsid w:val="00A06C6E"/>
    <w:pPr>
      <w:framePr w:hSpace="141" w:wrap="around" w:hAnchor="text" w:y="673"/>
      <w:spacing w:before="200" w:after="0" w:line="220" w:lineRule="exact"/>
    </w:pPr>
    <w:rPr>
      <w:rFonts w:ascii="Times New Roman" w:hAnsi="Times New Roman"/>
      <w:b/>
      <w:szCs w:val="24"/>
    </w:rPr>
  </w:style>
  <w:style w:type="paragraph" w:customStyle="1" w:styleId="MSType">
    <w:name w:val="MSType"/>
    <w:basedOn w:val="ColumnTitleTOC"/>
    <w:rsid w:val="00A06C6E"/>
    <w:pPr>
      <w:framePr w:hSpace="141" w:wrap="around" w:vAnchor="page" w:hAnchor="margin" w:y="1504"/>
      <w:pBdr>
        <w:bottom w:val="none" w:sz="0" w:space="0" w:color="auto"/>
      </w:pBdr>
      <w:spacing w:before="60" w:after="60"/>
    </w:pPr>
    <w:rPr>
      <w:rFonts w:ascii="Arial Black" w:hAnsi="Arial Black"/>
      <w:b/>
      <w:color w:val="FFFFFF"/>
      <w:spacing w:val="20"/>
      <w:sz w:val="20"/>
      <w:szCs w:val="20"/>
    </w:rPr>
  </w:style>
  <w:style w:type="paragraph" w:customStyle="1" w:styleId="PageNumbers">
    <w:name w:val="PageNumbers"/>
    <w:basedOn w:val="Normal"/>
    <w:rsid w:val="00A06C6E"/>
    <w:pPr>
      <w:spacing w:before="230"/>
    </w:pPr>
    <w:rPr>
      <w:rFonts w:ascii="Arial" w:hAnsi="Arial"/>
      <w:b/>
      <w:i/>
      <w:sz w:val="17"/>
    </w:rPr>
  </w:style>
  <w:style w:type="paragraph" w:styleId="Header">
    <w:name w:val="header"/>
    <w:basedOn w:val="Normal"/>
    <w:link w:val="HeaderChar"/>
    <w:uiPriority w:val="99"/>
    <w:unhideWhenUsed/>
    <w:rsid w:val="00A06C6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A06C6E"/>
    <w:rPr>
      <w:rFonts w:ascii="Times New Roman" w:eastAsia="MS Mincho" w:hAnsi="Times New Roman" w:cs="Times New Roman"/>
      <w:sz w:val="24"/>
      <w:szCs w:val="24"/>
      <w:lang w:val="de-DE" w:eastAsia="ja-JP"/>
    </w:rPr>
  </w:style>
  <w:style w:type="paragraph" w:styleId="Footer">
    <w:name w:val="footer"/>
    <w:basedOn w:val="Normal"/>
    <w:link w:val="FooterChar"/>
    <w:uiPriority w:val="99"/>
    <w:unhideWhenUsed/>
    <w:rsid w:val="00A06C6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A06C6E"/>
    <w:rPr>
      <w:rFonts w:ascii="Times New Roman" w:eastAsia="MS Mincho" w:hAnsi="Times New Roman" w:cs="Times New Roman"/>
      <w:sz w:val="24"/>
      <w:szCs w:val="24"/>
      <w:lang w:val="de-DE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6C6E"/>
    <w:rPr>
      <w:rFonts w:ascii="Tahoma" w:eastAsia="MS Mincho" w:hAnsi="Tahoma" w:cs="Tahoma"/>
      <w:sz w:val="16"/>
      <w:szCs w:val="16"/>
      <w:lang w:val="de-DE" w:eastAsia="ja-JP"/>
    </w:rPr>
  </w:style>
  <w:style w:type="paragraph" w:customStyle="1" w:styleId="FormatvorlageHistoryObenEinfacheeinfarbigeLinie05PtZeilenbr">
    <w:name w:val="Formatvorlage History + Oben: (Einfache einfarbige Linie  05 Pt. Zeilenbr..."/>
    <w:basedOn w:val="History"/>
    <w:qFormat/>
    <w:rsid w:val="00A06C6E"/>
    <w:pPr>
      <w:pBdr>
        <w:top w:val="single" w:sz="4" w:space="14" w:color="000000"/>
      </w:pBdr>
    </w:pPr>
    <w:rPr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A06C6E"/>
    <w:pPr>
      <w:spacing w:before="720"/>
    </w:pPr>
    <w:rPr>
      <w:szCs w:val="20"/>
    </w:rPr>
  </w:style>
  <w:style w:type="paragraph" w:customStyle="1" w:styleId="TableSpacer">
    <w:name w:val="TableSpacer"/>
    <w:basedOn w:val="Normal"/>
    <w:qFormat/>
    <w:rsid w:val="00A06C6E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"/>
    <w:qFormat/>
    <w:rsid w:val="00A06C6E"/>
    <w:pPr>
      <w:spacing w:after="36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P1">
    <w:name w:val="P1"/>
    <w:basedOn w:val="P1withoutIndendation"/>
    <w:qFormat/>
    <w:rsid w:val="00A06C6E"/>
    <w:rPr>
      <w:lang w:val="en-US"/>
    </w:rPr>
  </w:style>
  <w:style w:type="paragraph" w:customStyle="1" w:styleId="08ArticleText">
    <w:name w:val="08 Article Text"/>
    <w:basedOn w:val="Normal"/>
    <w:link w:val="08ArticleTextChar"/>
    <w:qFormat/>
    <w:rsid w:val="00A06C6E"/>
    <w:pPr>
      <w:tabs>
        <w:tab w:val="left" w:pos="284"/>
      </w:tabs>
      <w:spacing w:line="240" w:lineRule="exact"/>
      <w:jc w:val="both"/>
    </w:pPr>
    <w:rPr>
      <w:rFonts w:ascii="Myriad Pro" w:eastAsia="Times New Roman" w:hAnsi="Myriad Pro"/>
      <w:w w:val="108"/>
      <w:sz w:val="16"/>
      <w:szCs w:val="18"/>
      <w:lang w:val="en-GB" w:eastAsia="en-GB"/>
    </w:rPr>
  </w:style>
  <w:style w:type="character" w:customStyle="1" w:styleId="08ArticleTextChar">
    <w:name w:val="08 Article Text Char"/>
    <w:link w:val="08ArticleText"/>
    <w:rsid w:val="00A06C6E"/>
    <w:rPr>
      <w:rFonts w:ascii="Myriad Pro" w:eastAsia="Times New Roman" w:hAnsi="Myriad Pro" w:cs="Times New Roman"/>
      <w:w w:val="108"/>
      <w:sz w:val="16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06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C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C6E"/>
    <w:rPr>
      <w:rFonts w:ascii="Times New Roman" w:eastAsia="MS Mincho" w:hAnsi="Times New Roman" w:cs="Times New Roman"/>
      <w:sz w:val="20"/>
      <w:szCs w:val="20"/>
      <w:lang w:val="de-DE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C6E"/>
    <w:rPr>
      <w:rFonts w:ascii="Times New Roman" w:eastAsia="MS Mincho" w:hAnsi="Times New Roman" w:cs="Times New Roman"/>
      <w:b/>
      <w:bCs/>
      <w:sz w:val="20"/>
      <w:szCs w:val="20"/>
      <w:lang w:val="de-DE" w:eastAsia="ja-JP"/>
    </w:rPr>
  </w:style>
  <w:style w:type="paragraph" w:customStyle="1" w:styleId="EndNoteBibliographyTitle">
    <w:name w:val="EndNote Bibliography Title"/>
    <w:basedOn w:val="Normal"/>
    <w:link w:val="EndNoteBibliographyTitleChar"/>
    <w:rsid w:val="00A06C6E"/>
    <w:pPr>
      <w:jc w:val="center"/>
    </w:pPr>
    <w:rPr>
      <w:rFonts w:ascii="Arial" w:hAnsi="Arial" w:cs="Arial"/>
      <w:noProof/>
      <w:sz w:val="14"/>
    </w:rPr>
  </w:style>
  <w:style w:type="character" w:customStyle="1" w:styleId="TableCaptionChar">
    <w:name w:val="TableCaption Char"/>
    <w:basedOn w:val="DefaultParagraphFont"/>
    <w:link w:val="TableCaption"/>
    <w:rsid w:val="00A06C6E"/>
    <w:rPr>
      <w:rFonts w:ascii="Arial" w:eastAsia="MS Mincho" w:hAnsi="Arial" w:cs="Times New Roman"/>
      <w:sz w:val="14"/>
      <w:szCs w:val="14"/>
      <w:lang w:eastAsia="ja-JP"/>
    </w:rPr>
  </w:style>
  <w:style w:type="character" w:customStyle="1" w:styleId="P1withIndendationChar">
    <w:name w:val="P1_with_Indendation Char"/>
    <w:basedOn w:val="TableCaptionChar"/>
    <w:link w:val="P1withIndendation"/>
    <w:rsid w:val="00A06C6E"/>
    <w:rPr>
      <w:rFonts w:ascii="Arial" w:eastAsia="MS Mincho" w:hAnsi="Arial" w:cs="Times New Roman"/>
      <w:sz w:val="17"/>
      <w:szCs w:val="14"/>
      <w:lang w:eastAsia="ja-JP"/>
    </w:rPr>
  </w:style>
  <w:style w:type="character" w:customStyle="1" w:styleId="EndNoteBibliographyTitleChar">
    <w:name w:val="EndNote Bibliography Title Char"/>
    <w:basedOn w:val="P1withIndendationChar"/>
    <w:link w:val="EndNoteBibliographyTitle"/>
    <w:rsid w:val="00A06C6E"/>
    <w:rPr>
      <w:rFonts w:ascii="Arial" w:eastAsia="MS Mincho" w:hAnsi="Arial" w:cs="Arial"/>
      <w:noProof/>
      <w:sz w:val="14"/>
      <w:szCs w:val="24"/>
      <w:lang w:val="de-DE" w:eastAsia="ja-JP"/>
    </w:rPr>
  </w:style>
  <w:style w:type="paragraph" w:customStyle="1" w:styleId="EndNoteBibliography">
    <w:name w:val="EndNote Bibliography"/>
    <w:basedOn w:val="Normal"/>
    <w:link w:val="EndNoteBibliographyChar"/>
    <w:rsid w:val="00A06C6E"/>
    <w:pPr>
      <w:jc w:val="both"/>
    </w:pPr>
    <w:rPr>
      <w:rFonts w:ascii="Arial" w:hAnsi="Arial" w:cs="Arial"/>
      <w:noProof/>
      <w:sz w:val="14"/>
    </w:rPr>
  </w:style>
  <w:style w:type="character" w:customStyle="1" w:styleId="EndNoteBibliographyChar">
    <w:name w:val="EndNote Bibliography Char"/>
    <w:basedOn w:val="P1withIndendationChar"/>
    <w:link w:val="EndNoteBibliography"/>
    <w:rsid w:val="00A06C6E"/>
    <w:rPr>
      <w:rFonts w:ascii="Arial" w:eastAsia="MS Mincho" w:hAnsi="Arial" w:cs="Arial"/>
      <w:noProof/>
      <w:sz w:val="1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2961</Words>
  <Characters>16882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Aldous, Iain</dc:creator>
  <cp:lastModifiedBy>Hardwick</cp:lastModifiedBy>
  <cp:revision>2</cp:revision>
  <cp:lastPrinted>2016-04-22T10:02:00Z</cp:lastPrinted>
  <dcterms:created xsi:type="dcterms:W3CDTF">2016-04-23T11:29:00Z</dcterms:created>
  <dcterms:modified xsi:type="dcterms:W3CDTF">2016-04-23T11:29:00Z</dcterms:modified>
</cp:coreProperties>
</file>