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3D7" w:rsidRPr="00091994" w:rsidRDefault="0040315A" w:rsidP="008666FD">
      <w:pPr>
        <w:pStyle w:val="Title"/>
        <w:rPr>
          <w:rFonts w:eastAsia="Times New Roman"/>
          <w:sz w:val="40"/>
          <w:lang w:eastAsia="nl-NL"/>
        </w:rPr>
      </w:pPr>
      <w:r w:rsidRPr="00091994">
        <w:rPr>
          <w:rFonts w:eastAsia="Times New Roman"/>
          <w:sz w:val="40"/>
          <w:lang w:eastAsia="nl-NL"/>
        </w:rPr>
        <w:t>F</w:t>
      </w:r>
      <w:r w:rsidR="00D21DE4" w:rsidRPr="00091994">
        <w:rPr>
          <w:rFonts w:eastAsia="Times New Roman"/>
          <w:sz w:val="40"/>
          <w:lang w:eastAsia="nl-NL"/>
        </w:rPr>
        <w:t xml:space="preserve">actors influencing the compressive strength </w:t>
      </w:r>
      <w:r w:rsidR="00B16E9D" w:rsidRPr="00091994">
        <w:rPr>
          <w:rFonts w:eastAsia="Times New Roman"/>
          <w:sz w:val="40"/>
          <w:lang w:eastAsia="nl-NL"/>
        </w:rPr>
        <w:t>of pulverised fuel ash based geopolymers</w:t>
      </w:r>
    </w:p>
    <w:p w:rsidR="008873D7" w:rsidRPr="00710B28" w:rsidRDefault="00B16E9D" w:rsidP="004F2D66">
      <w:pPr>
        <w:pStyle w:val="Authors"/>
        <w:spacing w:before="0" w:after="0" w:line="480" w:lineRule="auto"/>
        <w:rPr>
          <w:rFonts w:ascii="Times New Roman" w:hAnsi="Times New Roman"/>
          <w:sz w:val="20"/>
          <w:szCs w:val="20"/>
        </w:rPr>
      </w:pPr>
      <w:r w:rsidRPr="00710B28">
        <w:rPr>
          <w:rFonts w:ascii="Times New Roman" w:hAnsi="Times New Roman"/>
          <w:sz w:val="20"/>
          <w:szCs w:val="20"/>
        </w:rPr>
        <w:t>Marios Soutsos</w:t>
      </w:r>
      <w:r>
        <w:rPr>
          <w:rFonts w:ascii="Times New Roman" w:hAnsi="Times New Roman"/>
          <w:sz w:val="20"/>
          <w:szCs w:val="20"/>
          <w:vertAlign w:val="superscript"/>
        </w:rPr>
        <w:t>1</w:t>
      </w:r>
      <w:r>
        <w:rPr>
          <w:rFonts w:ascii="Times New Roman" w:hAnsi="Times New Roman"/>
          <w:sz w:val="20"/>
          <w:szCs w:val="20"/>
        </w:rPr>
        <w:t xml:space="preserve">, </w:t>
      </w:r>
      <w:r w:rsidR="008873D7" w:rsidRPr="00710B28">
        <w:rPr>
          <w:rFonts w:ascii="Times New Roman" w:hAnsi="Times New Roman"/>
          <w:sz w:val="20"/>
          <w:szCs w:val="20"/>
        </w:rPr>
        <w:t xml:space="preserve">Alan </w:t>
      </w:r>
      <w:r w:rsidR="003E331F">
        <w:rPr>
          <w:rFonts w:ascii="Times New Roman" w:hAnsi="Times New Roman"/>
          <w:sz w:val="20"/>
          <w:szCs w:val="20"/>
        </w:rPr>
        <w:t xml:space="preserve">P. </w:t>
      </w:r>
      <w:r w:rsidR="008873D7" w:rsidRPr="00710B28">
        <w:rPr>
          <w:rFonts w:ascii="Times New Roman" w:hAnsi="Times New Roman"/>
          <w:sz w:val="20"/>
          <w:szCs w:val="20"/>
        </w:rPr>
        <w:t>Boyle</w:t>
      </w:r>
      <w:r>
        <w:rPr>
          <w:rFonts w:ascii="Times New Roman" w:hAnsi="Times New Roman"/>
          <w:sz w:val="20"/>
          <w:szCs w:val="20"/>
          <w:vertAlign w:val="superscript"/>
        </w:rPr>
        <w:t>2</w:t>
      </w:r>
      <w:r w:rsidR="008873D7" w:rsidRPr="00710B28">
        <w:rPr>
          <w:rFonts w:ascii="Times New Roman" w:hAnsi="Times New Roman"/>
          <w:sz w:val="20"/>
          <w:szCs w:val="20"/>
        </w:rPr>
        <w:t>, Raffaele Vinai</w:t>
      </w:r>
      <w:r>
        <w:rPr>
          <w:rFonts w:ascii="Times New Roman" w:hAnsi="Times New Roman"/>
          <w:sz w:val="20"/>
          <w:szCs w:val="20"/>
          <w:vertAlign w:val="superscript"/>
        </w:rPr>
        <w:t>1</w:t>
      </w:r>
      <w:r w:rsidR="00955F1A">
        <w:rPr>
          <w:rFonts w:ascii="Times New Roman" w:hAnsi="Times New Roman"/>
          <w:sz w:val="20"/>
          <w:szCs w:val="20"/>
        </w:rPr>
        <w:t>,</w:t>
      </w:r>
      <w:r w:rsidR="00DF4CBB">
        <w:rPr>
          <w:rFonts w:ascii="Times New Roman" w:hAnsi="Times New Roman"/>
          <w:sz w:val="20"/>
          <w:szCs w:val="20"/>
        </w:rPr>
        <w:t xml:space="preserve"> </w:t>
      </w:r>
      <w:r w:rsidR="00955F1A" w:rsidRPr="00710B28">
        <w:rPr>
          <w:rFonts w:ascii="Times New Roman" w:hAnsi="Times New Roman"/>
          <w:sz w:val="20"/>
          <w:szCs w:val="20"/>
        </w:rPr>
        <w:t>Anastasis Hadjierakleous</w:t>
      </w:r>
      <w:r w:rsidR="00955F1A">
        <w:rPr>
          <w:rFonts w:ascii="Times New Roman" w:hAnsi="Times New Roman"/>
          <w:sz w:val="20"/>
          <w:szCs w:val="20"/>
          <w:vertAlign w:val="superscript"/>
        </w:rPr>
        <w:t>2</w:t>
      </w:r>
      <w:r w:rsidR="00955F1A" w:rsidRPr="00710B28">
        <w:rPr>
          <w:rFonts w:ascii="Times New Roman" w:hAnsi="Times New Roman"/>
          <w:sz w:val="20"/>
          <w:szCs w:val="20"/>
        </w:rPr>
        <w:t xml:space="preserve">, </w:t>
      </w:r>
      <w:r>
        <w:rPr>
          <w:rFonts w:ascii="Times New Roman" w:hAnsi="Times New Roman"/>
          <w:sz w:val="20"/>
          <w:szCs w:val="20"/>
        </w:rPr>
        <w:t>and</w:t>
      </w:r>
      <w:r w:rsidR="008873D7" w:rsidRPr="00710B28">
        <w:rPr>
          <w:rFonts w:ascii="Times New Roman" w:hAnsi="Times New Roman"/>
          <w:sz w:val="20"/>
          <w:szCs w:val="20"/>
        </w:rPr>
        <w:t xml:space="preserve"> Stephanie </w:t>
      </w:r>
      <w:r w:rsidR="00BA5ED8">
        <w:rPr>
          <w:rFonts w:ascii="Times New Roman" w:hAnsi="Times New Roman"/>
          <w:sz w:val="20"/>
          <w:szCs w:val="20"/>
        </w:rPr>
        <w:t xml:space="preserve">J. </w:t>
      </w:r>
      <w:r w:rsidR="008873D7" w:rsidRPr="00710B28">
        <w:rPr>
          <w:rFonts w:ascii="Times New Roman" w:hAnsi="Times New Roman"/>
          <w:sz w:val="20"/>
          <w:szCs w:val="20"/>
        </w:rPr>
        <w:t>Barnett</w:t>
      </w:r>
      <w:r w:rsidR="008873D7" w:rsidRPr="00710B28">
        <w:rPr>
          <w:rFonts w:ascii="Times New Roman" w:hAnsi="Times New Roman"/>
          <w:sz w:val="20"/>
          <w:szCs w:val="20"/>
          <w:vertAlign w:val="superscript"/>
        </w:rPr>
        <w:t>3</w:t>
      </w:r>
    </w:p>
    <w:p w:rsidR="00B16E9D" w:rsidRPr="00710B28" w:rsidRDefault="00B16E9D" w:rsidP="00B16E9D">
      <w:pPr>
        <w:pStyle w:val="Affiliation"/>
        <w:spacing w:line="480" w:lineRule="auto"/>
        <w:rPr>
          <w:rFonts w:ascii="Times New Roman" w:hAnsi="Times New Roman"/>
          <w:szCs w:val="20"/>
        </w:rPr>
      </w:pPr>
      <w:r>
        <w:rPr>
          <w:rFonts w:ascii="Times New Roman" w:hAnsi="Times New Roman"/>
          <w:szCs w:val="20"/>
          <w:vertAlign w:val="superscript"/>
        </w:rPr>
        <w:t>1</w:t>
      </w:r>
      <w:r w:rsidRPr="00710B28">
        <w:rPr>
          <w:rFonts w:ascii="Times New Roman" w:hAnsi="Times New Roman"/>
          <w:szCs w:val="20"/>
        </w:rPr>
        <w:t xml:space="preserve"> School of Planning, Architecture and Civil Engineering, Queen’s University Belfast, BT9 5AG</w:t>
      </w:r>
      <w:r>
        <w:rPr>
          <w:rFonts w:ascii="Times New Roman" w:hAnsi="Times New Roman"/>
          <w:szCs w:val="20"/>
        </w:rPr>
        <w:t>,</w:t>
      </w:r>
      <w:r w:rsidRPr="00710B28">
        <w:rPr>
          <w:rFonts w:ascii="Times New Roman" w:hAnsi="Times New Roman"/>
          <w:szCs w:val="20"/>
        </w:rPr>
        <w:t xml:space="preserve"> UK</w:t>
      </w:r>
    </w:p>
    <w:p w:rsidR="008873D7" w:rsidRPr="00710B28" w:rsidRDefault="00B16E9D" w:rsidP="004F2D66">
      <w:pPr>
        <w:pStyle w:val="Affiliation"/>
        <w:spacing w:line="480" w:lineRule="auto"/>
        <w:rPr>
          <w:rFonts w:ascii="Times New Roman" w:hAnsi="Times New Roman"/>
          <w:szCs w:val="20"/>
        </w:rPr>
      </w:pPr>
      <w:r>
        <w:rPr>
          <w:rFonts w:ascii="Times New Roman" w:hAnsi="Times New Roman"/>
          <w:szCs w:val="20"/>
          <w:vertAlign w:val="superscript"/>
        </w:rPr>
        <w:t>2</w:t>
      </w:r>
      <w:r w:rsidR="008873D7" w:rsidRPr="00710B28">
        <w:rPr>
          <w:rFonts w:ascii="Times New Roman" w:hAnsi="Times New Roman"/>
          <w:szCs w:val="20"/>
        </w:rPr>
        <w:t xml:space="preserve"> School of Environmental Sciences, University of Liverpool, L69 3GP, UK</w:t>
      </w:r>
    </w:p>
    <w:p w:rsidR="008873D7" w:rsidRPr="00710B28" w:rsidRDefault="008873D7" w:rsidP="004F2D66">
      <w:pPr>
        <w:rPr>
          <w:rFonts w:ascii="Times New Roman" w:hAnsi="Times New Roman" w:cs="Times New Roman"/>
          <w:szCs w:val="20"/>
        </w:rPr>
      </w:pPr>
      <w:r w:rsidRPr="00710B28">
        <w:rPr>
          <w:rFonts w:ascii="Times New Roman" w:hAnsi="Times New Roman" w:cs="Times New Roman"/>
          <w:szCs w:val="20"/>
          <w:vertAlign w:val="superscript"/>
        </w:rPr>
        <w:t>3</w:t>
      </w:r>
      <w:r w:rsidRPr="00710B28">
        <w:rPr>
          <w:rFonts w:ascii="Times New Roman" w:hAnsi="Times New Roman" w:cs="Times New Roman"/>
          <w:szCs w:val="20"/>
        </w:rPr>
        <w:t xml:space="preserve"> School of Civil Engineering and Surveying, University of Portsmouth, PO1 2UP, UK</w:t>
      </w:r>
    </w:p>
    <w:p w:rsidR="008873D7" w:rsidRPr="00710B28" w:rsidRDefault="008873D7" w:rsidP="004F2D66">
      <w:pPr>
        <w:spacing w:after="0"/>
        <w:jc w:val="both"/>
        <w:rPr>
          <w:rFonts w:ascii="Times New Roman" w:hAnsi="Times New Roman" w:cs="Times New Roman"/>
          <w:b/>
          <w:szCs w:val="20"/>
        </w:rPr>
      </w:pPr>
      <w:r w:rsidRPr="00710B28">
        <w:rPr>
          <w:rFonts w:ascii="Times New Roman" w:hAnsi="Times New Roman" w:cs="Times New Roman"/>
          <w:b/>
          <w:szCs w:val="20"/>
        </w:rPr>
        <w:t>Abstract</w:t>
      </w:r>
    </w:p>
    <w:p w:rsidR="008873D7" w:rsidRDefault="00635BE3" w:rsidP="00091994">
      <w:r>
        <w:t xml:space="preserve">Several </w:t>
      </w:r>
      <w:r w:rsidRPr="00635BE3">
        <w:t xml:space="preserve">factors affecting the reactivity of pulverised fuel ash (pfa) </w:t>
      </w:r>
      <w:r w:rsidR="00B16E9D">
        <w:t xml:space="preserve">as a precursor for </w:t>
      </w:r>
      <w:r w:rsidRPr="00635BE3">
        <w:t xml:space="preserve">geopolymer </w:t>
      </w:r>
      <w:r w:rsidR="00B16E9D">
        <w:t xml:space="preserve">concrete </w:t>
      </w:r>
      <w:r w:rsidRPr="00635BE3">
        <w:t xml:space="preserve">have been investigated. </w:t>
      </w:r>
      <w:r w:rsidR="00B16E9D">
        <w:t xml:space="preserve">These include </w:t>
      </w:r>
      <w:r w:rsidRPr="00635BE3">
        <w:t>physic</w:t>
      </w:r>
      <w:r w:rsidR="00B16E9D">
        <w:t>al</w:t>
      </w:r>
      <w:r w:rsidRPr="00635BE3">
        <w:t xml:space="preserve"> and chemical </w:t>
      </w:r>
      <w:r w:rsidR="00B16E9D">
        <w:t xml:space="preserve">properties </w:t>
      </w:r>
      <w:r w:rsidRPr="00635BE3">
        <w:t xml:space="preserve">of </w:t>
      </w:r>
      <w:r w:rsidR="00B16E9D">
        <w:t xml:space="preserve">various </w:t>
      </w:r>
      <w:r>
        <w:t xml:space="preserve">pfa </w:t>
      </w:r>
      <w:r w:rsidRPr="00635BE3">
        <w:t>sources</w:t>
      </w:r>
      <w:r w:rsidR="00B16E9D">
        <w:t>,</w:t>
      </w:r>
      <w:r w:rsidRPr="00635BE3">
        <w:t xml:space="preserve"> inclusion of ground granulated blast furnace slag (ggbs)</w:t>
      </w:r>
      <w:r w:rsidR="00B16E9D">
        <w:t>, chemical activator dosages and curing temperature</w:t>
      </w:r>
      <w:r w:rsidRPr="00635BE3">
        <w:t xml:space="preserve">. </w:t>
      </w:r>
      <w:r w:rsidR="00B16E9D" w:rsidRPr="00710B28">
        <w:t>Alkali</w:t>
      </w:r>
      <w:r w:rsidR="003E331F">
        <w:t>-</w:t>
      </w:r>
      <w:r w:rsidR="00B16E9D" w:rsidRPr="00710B28">
        <w:t xml:space="preserve">activated </w:t>
      </w:r>
      <w:r w:rsidR="00B16E9D">
        <w:t>pfa</w:t>
      </w:r>
      <w:r w:rsidR="00B16E9D" w:rsidRPr="00710B28">
        <w:t xml:space="preserve"> </w:t>
      </w:r>
      <w:r w:rsidR="00B16E9D">
        <w:t>was found to require</w:t>
      </w:r>
      <w:r w:rsidR="00B16E9D" w:rsidRPr="00710B28">
        <w:t xml:space="preserve"> elevated curing temperatures and high alkali concentrations. A mixture of sodium hydroxide and sodium silicate was </w:t>
      </w:r>
      <w:r w:rsidR="00B16E9D">
        <w:t xml:space="preserve">used and this was shown to result in </w:t>
      </w:r>
      <w:r w:rsidR="00B16E9D" w:rsidRPr="00710B28">
        <w:t>high strength</w:t>
      </w:r>
      <w:r w:rsidR="00B16E9D">
        <w:t xml:space="preserve">s, as high as </w:t>
      </w:r>
      <w:r w:rsidR="00B65D80">
        <w:t>70</w:t>
      </w:r>
      <w:r w:rsidR="00B16E9D">
        <w:t xml:space="preserve"> MPa at 28</w:t>
      </w:r>
      <w:r w:rsidR="00955F1A">
        <w:t xml:space="preserve"> </w:t>
      </w:r>
      <w:r w:rsidR="00B16E9D">
        <w:t>days.</w:t>
      </w:r>
      <w:r w:rsidR="00B16E9D" w:rsidRPr="00710B28">
        <w:t xml:space="preserve"> </w:t>
      </w:r>
      <w:r w:rsidR="00B16E9D">
        <w:t>T</w:t>
      </w:r>
      <w:r w:rsidR="00B16E9D" w:rsidRPr="00710B28">
        <w:t xml:space="preserve">he presence of silicates in solution was found to be </w:t>
      </w:r>
      <w:r w:rsidR="00955F1A">
        <w:t>an important parameter affecting strength</w:t>
      </w:r>
      <w:r w:rsidR="00B16E9D" w:rsidRPr="00710B28">
        <w:t>.</w:t>
      </w:r>
      <w:r w:rsidR="00B16E9D">
        <w:t xml:space="preserve"> Detailed </w:t>
      </w:r>
      <w:r>
        <w:t xml:space="preserve">physical and chemical characterisation was carried out on </w:t>
      </w:r>
      <w:r w:rsidR="00B16E9D">
        <w:t xml:space="preserve">thirteen </w:t>
      </w:r>
      <w:r>
        <w:t>pfa sources</w:t>
      </w:r>
      <w:r w:rsidR="00B16E9D">
        <w:t xml:space="preserve"> from the UK</w:t>
      </w:r>
      <w:r w:rsidR="00474123">
        <w:t xml:space="preserve">. </w:t>
      </w:r>
      <w:r w:rsidR="00B16E9D">
        <w:t>The most important factor</w:t>
      </w:r>
      <w:r>
        <w:t xml:space="preserve"> affecting the reactivity </w:t>
      </w:r>
      <w:r w:rsidR="00B16E9D">
        <w:t xml:space="preserve">was </w:t>
      </w:r>
      <w:r>
        <w:t xml:space="preserve">found to be </w:t>
      </w:r>
      <w:r w:rsidR="00B16E9D">
        <w:t>the particle size of pfa. T</w:t>
      </w:r>
      <w:r>
        <w:t>he loss on ignition (LOI)</w:t>
      </w:r>
      <w:r w:rsidR="00B16E9D">
        <w:t xml:space="preserve"> and</w:t>
      </w:r>
      <w:r>
        <w:t xml:space="preserve"> the amorphous content</w:t>
      </w:r>
      <w:r w:rsidR="00B16E9D">
        <w:t xml:space="preserve"> are also important parameters that need to be considered for the selection of pfa for use in geopolymer concrete</w:t>
      </w:r>
      <w:r>
        <w:t xml:space="preserve">. </w:t>
      </w:r>
      <w:r w:rsidR="008873D7" w:rsidRPr="00710B28">
        <w:t xml:space="preserve">The </w:t>
      </w:r>
      <w:r w:rsidR="003E331F">
        <w:t xml:space="preserve">partial replacement of pfa </w:t>
      </w:r>
      <w:r w:rsidR="00955F1A">
        <w:t>with</w:t>
      </w:r>
      <w:r w:rsidR="008873D7" w:rsidRPr="00710B28">
        <w:t xml:space="preserve"> </w:t>
      </w:r>
      <w:r w:rsidR="00B16E9D">
        <w:t>ground granulated blast furnace slag (</w:t>
      </w:r>
      <w:r>
        <w:t>ggbs</w:t>
      </w:r>
      <w:r w:rsidR="00B16E9D">
        <w:t>)</w:t>
      </w:r>
      <w:r w:rsidR="008873D7" w:rsidRPr="00710B28">
        <w:t xml:space="preserve"> was found to </w:t>
      </w:r>
      <w:r w:rsidR="00474123">
        <w:t xml:space="preserve">be beneficial in not only avoiding </w:t>
      </w:r>
      <w:r w:rsidR="008873D7" w:rsidRPr="00710B28">
        <w:t xml:space="preserve">the need for elevated </w:t>
      </w:r>
      <w:r w:rsidR="00474123">
        <w:t xml:space="preserve">curing </w:t>
      </w:r>
      <w:r w:rsidR="008873D7" w:rsidRPr="00710B28">
        <w:t>temperature</w:t>
      </w:r>
      <w:r w:rsidR="00474123">
        <w:t>s but also in improving</w:t>
      </w:r>
      <w:r>
        <w:t xml:space="preserve"> compressive strength</w:t>
      </w:r>
      <w:r w:rsidR="00474123">
        <w:t>s</w:t>
      </w:r>
      <w:r w:rsidR="008873D7" w:rsidRPr="00710B28">
        <w:t>.</w:t>
      </w:r>
      <w:r w:rsidR="00474123">
        <w:t xml:space="preserve"> </w:t>
      </w:r>
      <w:r w:rsidR="00B16E9D">
        <w:t xml:space="preserve">Microstructural characterisation with scanning electron microscope (SEM) coupled with </w:t>
      </w:r>
      <w:r w:rsidR="003E331F">
        <w:rPr>
          <w:rFonts w:cs="Times New Roman"/>
          <w:szCs w:val="20"/>
        </w:rPr>
        <w:t xml:space="preserve">energy dispersive X-ray spectroscopy </w:t>
      </w:r>
      <w:r w:rsidR="00B16E9D">
        <w:rPr>
          <w:rFonts w:cs="Times New Roman"/>
          <w:szCs w:val="20"/>
        </w:rPr>
        <w:t xml:space="preserve">(EDS) was performed on </w:t>
      </w:r>
      <w:r w:rsidR="00474123">
        <w:rPr>
          <w:rFonts w:cs="Times New Roman"/>
          <w:szCs w:val="20"/>
        </w:rPr>
        <w:t xml:space="preserve">pfa/ggbs </w:t>
      </w:r>
      <w:r w:rsidR="00B16E9D">
        <w:rPr>
          <w:rFonts w:cs="Times New Roman"/>
          <w:szCs w:val="20"/>
        </w:rPr>
        <w:t>paste</w:t>
      </w:r>
      <w:r w:rsidR="00474123">
        <w:rPr>
          <w:rFonts w:cs="Times New Roman"/>
          <w:szCs w:val="20"/>
        </w:rPr>
        <w:t>s</w:t>
      </w:r>
      <w:r w:rsidR="00B16E9D">
        <w:rPr>
          <w:rFonts w:cs="Times New Roman"/>
          <w:szCs w:val="20"/>
        </w:rPr>
        <w:t>.</w:t>
      </w:r>
      <w:r w:rsidR="00474123">
        <w:rPr>
          <w:rFonts w:cs="Times New Roman"/>
          <w:szCs w:val="20"/>
        </w:rPr>
        <w:t xml:space="preserve"> </w:t>
      </w:r>
      <w:r w:rsidR="00474123">
        <w:t>T</w:t>
      </w:r>
      <w:r w:rsidR="008873D7" w:rsidRPr="00710B28">
        <w:t>he reaction</w:t>
      </w:r>
      <w:r w:rsidR="00474123">
        <w:t xml:space="preserve"> product</w:t>
      </w:r>
      <w:r w:rsidR="008873D7" w:rsidRPr="00710B28">
        <w:t xml:space="preserve"> of pfa and ggbs in these </w:t>
      </w:r>
      <w:r w:rsidR="00474123">
        <w:t xml:space="preserve">binary </w:t>
      </w:r>
      <w:r w:rsidR="008873D7" w:rsidRPr="00710B28">
        <w:t>systems</w:t>
      </w:r>
      <w:r>
        <w:t xml:space="preserve"> </w:t>
      </w:r>
      <w:r w:rsidR="003562F0">
        <w:t>w</w:t>
      </w:r>
      <w:r w:rsidR="00474123">
        <w:t>as</w:t>
      </w:r>
      <w:r w:rsidR="003562F0">
        <w:t xml:space="preserve"> </w:t>
      </w:r>
      <w:r>
        <w:t>calcium aluminium silicate hydrate gel (C-A-S-H)</w:t>
      </w:r>
      <w:r w:rsidR="003A3E07">
        <w:t xml:space="preserve"> with </w:t>
      </w:r>
      <w:r w:rsidR="00FE7953">
        <w:t xml:space="preserve">inclusion </w:t>
      </w:r>
      <w:r w:rsidR="00474123">
        <w:t>of Na in the structure</w:t>
      </w:r>
      <w:r w:rsidR="008873D7" w:rsidRPr="00710B28">
        <w:t>.</w:t>
      </w:r>
    </w:p>
    <w:p w:rsidR="007C4EB1" w:rsidRPr="00710B28" w:rsidRDefault="007C4EB1" w:rsidP="00091994">
      <w:r w:rsidRPr="007C4EB1">
        <w:rPr>
          <w:b/>
        </w:rPr>
        <w:t>Keywords:</w:t>
      </w:r>
      <w:r>
        <w:t xml:space="preserve"> geopolymer, alkali activated material, fly ash, slag, structural characterisation, mechanical properties, alkali dosage</w:t>
      </w:r>
      <w:r w:rsidR="00713C5E">
        <w:t>s</w:t>
      </w:r>
      <w:r>
        <w:t xml:space="preserve"> optimisation</w:t>
      </w:r>
    </w:p>
    <w:p w:rsidR="008873D7" w:rsidRPr="00710B28" w:rsidRDefault="008873D7" w:rsidP="00091994">
      <w:pPr>
        <w:pStyle w:val="Heading1"/>
      </w:pPr>
      <w:r w:rsidRPr="00710B28">
        <w:t>Introduction</w:t>
      </w:r>
    </w:p>
    <w:p w:rsidR="008873D7" w:rsidRPr="00710B28" w:rsidRDefault="008873D7" w:rsidP="00091994">
      <w:r w:rsidRPr="00710B28">
        <w:t>The term “</w:t>
      </w:r>
      <w:r>
        <w:t>g</w:t>
      </w:r>
      <w:r w:rsidRPr="00710B28">
        <w:t xml:space="preserve">eopolymer” was introduced by Davidovits in the 1970s referring to </w:t>
      </w:r>
      <w:r w:rsidR="003E331F" w:rsidRPr="00710B28">
        <w:t>alkali</w:t>
      </w:r>
      <w:r w:rsidR="003E331F">
        <w:t>-</w:t>
      </w:r>
      <w:r w:rsidRPr="00710B28">
        <w:t>activated metakaolin [</w:t>
      </w:r>
      <w:r w:rsidR="00476E25">
        <w:t>1</w:t>
      </w:r>
      <w:r w:rsidRPr="00710B28">
        <w:t xml:space="preserve">]. It has since </w:t>
      </w:r>
      <w:r w:rsidR="00FE7953" w:rsidRPr="00710B28">
        <w:t xml:space="preserve">been </w:t>
      </w:r>
      <w:r w:rsidRPr="00710B28">
        <w:t xml:space="preserve">used for a range of synthetic low-calcium aluminosilicate polymeric materials, as a sub-range </w:t>
      </w:r>
      <w:r w:rsidRPr="00710B28">
        <w:lastRenderedPageBreak/>
        <w:t xml:space="preserve">of a more general definition which is alkali-activated </w:t>
      </w:r>
      <w:r w:rsidR="00FE7953">
        <w:t>binders</w:t>
      </w:r>
      <w:r w:rsidRPr="00710B28">
        <w:t xml:space="preserve"> (AA</w:t>
      </w:r>
      <w:r w:rsidR="00FE7953">
        <w:t>B</w:t>
      </w:r>
      <w:r w:rsidRPr="00710B28">
        <w:t xml:space="preserve">). Although the initial studies were focused on geological materials such as </w:t>
      </w:r>
      <w:r w:rsidRPr="00710B28">
        <w:rPr>
          <w:bCs/>
        </w:rPr>
        <w:t>metakaolin activated with siliceous solutions [</w:t>
      </w:r>
      <w:r w:rsidR="00476E25">
        <w:rPr>
          <w:bCs/>
        </w:rPr>
        <w:t>2</w:t>
      </w:r>
      <w:r w:rsidRPr="00710B28">
        <w:rPr>
          <w:bCs/>
        </w:rPr>
        <w:t>-</w:t>
      </w:r>
      <w:r w:rsidR="00476E25">
        <w:rPr>
          <w:bCs/>
        </w:rPr>
        <w:t>6</w:t>
      </w:r>
      <w:r w:rsidRPr="00710B28">
        <w:rPr>
          <w:bCs/>
        </w:rPr>
        <w:t>]</w:t>
      </w:r>
      <w:r w:rsidRPr="00710B28">
        <w:t xml:space="preserve">, the potential of using other </w:t>
      </w:r>
      <w:r w:rsidRPr="00710B28">
        <w:rPr>
          <w:bCs/>
        </w:rPr>
        <w:t xml:space="preserve">synthetic reactive aluminosilicate materials activated with a range of concentrated alkaline solutions </w:t>
      </w:r>
      <w:r w:rsidRPr="00710B28">
        <w:t>became apparent [</w:t>
      </w:r>
      <w:r w:rsidR="00476E25">
        <w:t>1,7</w:t>
      </w:r>
      <w:r w:rsidRPr="00710B28">
        <w:t>-8].</w:t>
      </w:r>
    </w:p>
    <w:p w:rsidR="008873D7" w:rsidRPr="00710B28" w:rsidRDefault="008873D7" w:rsidP="00091994">
      <w:r w:rsidRPr="00710B28">
        <w:t>AA</w:t>
      </w:r>
      <w:r w:rsidR="00FE7953">
        <w:t>Bs</w:t>
      </w:r>
      <w:r w:rsidRPr="00710B28">
        <w:t xml:space="preserve"> have been studied for the last 40 years [</w:t>
      </w:r>
      <w:r w:rsidR="00D21DE4">
        <w:t>9</w:t>
      </w:r>
      <w:r w:rsidRPr="00710B28">
        <w:t>] and have applications in ceramics, hazardous waste containment, fire-resistant construction materials and refractories [</w:t>
      </w:r>
      <w:r w:rsidR="00D21DE4">
        <w:t>10,</w:t>
      </w:r>
      <w:r w:rsidR="00091994">
        <w:t xml:space="preserve"> </w:t>
      </w:r>
      <w:r w:rsidR="001F37B4">
        <w:t>1</w:t>
      </w:r>
      <w:r w:rsidR="00D21DE4">
        <w:t>1</w:t>
      </w:r>
      <w:r w:rsidRPr="00710B28">
        <w:t xml:space="preserve">]. One of the most interesting </w:t>
      </w:r>
      <w:r w:rsidR="00AA7182" w:rsidRPr="00710B28">
        <w:t>applications</w:t>
      </w:r>
      <w:r w:rsidRPr="00710B28">
        <w:t xml:space="preserve"> is their use as a cement-free binder that can replace Portland cement-based pastes in construction materials such as </w:t>
      </w:r>
      <w:r w:rsidR="00D21DE4">
        <w:t>concrete and mortar products [12</w:t>
      </w:r>
      <w:r w:rsidRPr="00710B28">
        <w:t>].</w:t>
      </w:r>
    </w:p>
    <w:p w:rsidR="008873D7" w:rsidRPr="00710B28" w:rsidRDefault="008873D7" w:rsidP="00091994">
      <w:r w:rsidRPr="00710B28">
        <w:t xml:space="preserve">Geopolymers </w:t>
      </w:r>
      <w:r>
        <w:t xml:space="preserve">can </w:t>
      </w:r>
      <w:r w:rsidRPr="00710B28">
        <w:t xml:space="preserve">provide a desirable alternative to Portland cement </w:t>
      </w:r>
      <w:r>
        <w:t xml:space="preserve">(PC) </w:t>
      </w:r>
      <w:r w:rsidRPr="00710B28">
        <w:t>binders</w:t>
      </w:r>
      <w:r w:rsidR="003E331F">
        <w:t>,</w:t>
      </w:r>
      <w:r w:rsidRPr="00710B28">
        <w:t xml:space="preserve"> </w:t>
      </w:r>
      <w:r>
        <w:t>not only for the environmental benefits arising from the avoidance of CO</w:t>
      </w:r>
      <w:r>
        <w:rPr>
          <w:vertAlign w:val="subscript"/>
        </w:rPr>
        <w:t>2</w:t>
      </w:r>
      <w:r>
        <w:t xml:space="preserve"> emissions associate</w:t>
      </w:r>
      <w:r w:rsidR="00FE7953">
        <w:t>d with</w:t>
      </w:r>
      <w:r>
        <w:t xml:space="preserve"> PC production, but also </w:t>
      </w:r>
      <w:r w:rsidRPr="00710B28">
        <w:t xml:space="preserve">in terms of their performance and durability, where </w:t>
      </w:r>
      <w:r>
        <w:t xml:space="preserve">such </w:t>
      </w:r>
      <w:r w:rsidRPr="00710B28">
        <w:t xml:space="preserve">properties </w:t>
      </w:r>
      <w:r>
        <w:t xml:space="preserve">are </w:t>
      </w:r>
      <w:r w:rsidRPr="00710B28">
        <w:t xml:space="preserve">not only </w:t>
      </w:r>
      <w:r>
        <w:t>equivalent</w:t>
      </w:r>
      <w:r w:rsidRPr="00710B28">
        <w:t xml:space="preserve">, but often </w:t>
      </w:r>
      <w:r>
        <w:t xml:space="preserve">better </w:t>
      </w:r>
      <w:r w:rsidR="00FE7953">
        <w:t>than</w:t>
      </w:r>
      <w:r>
        <w:t xml:space="preserve"> those achieved with PC</w:t>
      </w:r>
      <w:r w:rsidRPr="00710B28">
        <w:t xml:space="preserve">. </w:t>
      </w:r>
      <w:r>
        <w:t>T</w:t>
      </w:r>
      <w:r w:rsidRPr="00710B28">
        <w:t xml:space="preserve">he nature of the reactions </w:t>
      </w:r>
      <w:r>
        <w:t xml:space="preserve">occurring </w:t>
      </w:r>
      <w:r w:rsidRPr="00710B28">
        <w:t>in geopolymerisation</w:t>
      </w:r>
      <w:r>
        <w:t xml:space="preserve"> </w:t>
      </w:r>
      <w:r w:rsidRPr="00710B28">
        <w:t>can be s</w:t>
      </w:r>
      <w:r w:rsidR="00FE7953">
        <w:t>um</w:t>
      </w:r>
      <w:r w:rsidR="00EE56E6">
        <w:t>marized in three basic steps</w:t>
      </w:r>
      <w:r w:rsidRPr="00710B28">
        <w:t xml:space="preserve"> [1</w:t>
      </w:r>
      <w:r w:rsidR="00D21DE4">
        <w:t>3</w:t>
      </w:r>
      <w:r w:rsidRPr="00710B28">
        <w:t>]:</w:t>
      </w:r>
    </w:p>
    <w:p w:rsidR="008873D7" w:rsidRPr="00710B28" w:rsidRDefault="008873D7" w:rsidP="00091994">
      <w:pPr>
        <w:pStyle w:val="ListParagraph"/>
        <w:numPr>
          <w:ilvl w:val="0"/>
          <w:numId w:val="9"/>
        </w:numPr>
      </w:pPr>
      <w:r w:rsidRPr="00091994">
        <w:rPr>
          <w:i/>
        </w:rPr>
        <w:t>Dissolution of the aluminosilicate solids:</w:t>
      </w:r>
      <w:r w:rsidRPr="00710B28">
        <w:t xml:space="preserve"> aluminosilicates in the pozzolanic solid are dissolved by alkaline hydrolysis in the high pH solution of the concentrated alkaline activator. This forms a solution of silicate, aluminate and aluminosilicate species.</w:t>
      </w:r>
    </w:p>
    <w:p w:rsidR="008873D7" w:rsidRPr="00710B28" w:rsidRDefault="008873D7" w:rsidP="00091994">
      <w:pPr>
        <w:pStyle w:val="ListParagraph"/>
        <w:numPr>
          <w:ilvl w:val="0"/>
          <w:numId w:val="9"/>
        </w:numPr>
      </w:pPr>
      <w:r w:rsidRPr="00091994">
        <w:rPr>
          <w:i/>
        </w:rPr>
        <w:t>Gel Formation:</w:t>
      </w:r>
      <w:r w:rsidRPr="00710B28">
        <w:t xml:space="preserve"> species released by dissolution are held in the aqueous phase, which may also contain silicate present from the activating solution. This supersaturated aluminosilicate solution forms a gel as oligomers form long chains and networks. This stage releases complexing water</w:t>
      </w:r>
      <w:r w:rsidR="003E331F">
        <w:t>,</w:t>
      </w:r>
      <w:r w:rsidRPr="00710B28">
        <w:t xml:space="preserve"> which resides in pores.</w:t>
      </w:r>
    </w:p>
    <w:p w:rsidR="008873D7" w:rsidRPr="00710B28" w:rsidRDefault="008873D7" w:rsidP="00091994">
      <w:pPr>
        <w:pStyle w:val="ListParagraph"/>
        <w:numPr>
          <w:ilvl w:val="0"/>
          <w:numId w:val="9"/>
        </w:numPr>
      </w:pPr>
      <w:r w:rsidRPr="00091994">
        <w:rPr>
          <w:i/>
        </w:rPr>
        <w:t>Polycondensation:</w:t>
      </w:r>
      <w:r w:rsidRPr="00710B28">
        <w:t xml:space="preserve"> the gel species continue to rearrange and reorganize, forming an increasingly larger network. This results in the three-dimensional aluminosilicate network of the geopolymer binder.</w:t>
      </w:r>
    </w:p>
    <w:p w:rsidR="008873D7" w:rsidRPr="00710B28" w:rsidRDefault="008873D7" w:rsidP="00091994">
      <w:r w:rsidRPr="00710B28">
        <w:t xml:space="preserve">These processes often occur </w:t>
      </w:r>
      <w:r w:rsidR="003E331F">
        <w:t>contemporaneously</w:t>
      </w:r>
      <w:r w:rsidR="003E331F" w:rsidRPr="00710B28">
        <w:t xml:space="preserve"> </w:t>
      </w:r>
      <w:r w:rsidRPr="00710B28">
        <w:t>throughout the mixture, rather than in a linear time series.</w:t>
      </w:r>
      <w:r w:rsidR="00091994">
        <w:t xml:space="preserve"> </w:t>
      </w:r>
      <w:r w:rsidRPr="00710B28">
        <w:t>The dense inorganic polymer that forms the geopolymer binder thus provides physi</w:t>
      </w:r>
      <w:r w:rsidR="00B05986">
        <w:t>c</w:t>
      </w:r>
      <w:r w:rsidRPr="00710B28">
        <w:t xml:space="preserve">ochemical features that </w:t>
      </w:r>
      <w:r w:rsidR="00FE7953">
        <w:t xml:space="preserve">may be superior to </w:t>
      </w:r>
      <w:r w:rsidRPr="00710B28">
        <w:t>Portland cement systems</w:t>
      </w:r>
      <w:r w:rsidR="00FE7953">
        <w:t>, i.e.:</w:t>
      </w:r>
    </w:p>
    <w:p w:rsidR="008873D7" w:rsidRPr="00710B28" w:rsidRDefault="008873D7" w:rsidP="00091994">
      <w:pPr>
        <w:pStyle w:val="ListParagraph"/>
        <w:numPr>
          <w:ilvl w:val="0"/>
          <w:numId w:val="10"/>
        </w:numPr>
      </w:pPr>
      <w:r w:rsidRPr="00710B28">
        <w:lastRenderedPageBreak/>
        <w:t>The interconnected framework gives geopolymers high compressive strengths</w:t>
      </w:r>
      <w:r w:rsidR="00EE56E6">
        <w:t xml:space="preserve"> [13</w:t>
      </w:r>
      <w:r w:rsidR="00967AE3">
        <w:t>, 14</w:t>
      </w:r>
      <w:r w:rsidR="00EE56E6">
        <w:t>]</w:t>
      </w:r>
      <w:r w:rsidRPr="00710B28">
        <w:t>.</w:t>
      </w:r>
    </w:p>
    <w:p w:rsidR="008873D7" w:rsidRPr="00710B28" w:rsidRDefault="00A346DC" w:rsidP="00091994">
      <w:pPr>
        <w:pStyle w:val="ListParagraph"/>
        <w:numPr>
          <w:ilvl w:val="0"/>
          <w:numId w:val="10"/>
        </w:numPr>
      </w:pPr>
      <w:r>
        <w:t xml:space="preserve">Due to the microstructure of the reaction products, geopolymer and AAB can show good to very good resistance to chemical degradation (sulphate attack, acid attack, seawater attack) [9]. </w:t>
      </w:r>
    </w:p>
    <w:p w:rsidR="008873D7" w:rsidRPr="00710B28" w:rsidRDefault="008873D7" w:rsidP="00091994">
      <w:pPr>
        <w:pStyle w:val="ListParagraph"/>
        <w:numPr>
          <w:ilvl w:val="0"/>
          <w:numId w:val="10"/>
        </w:numPr>
      </w:pPr>
      <w:r w:rsidRPr="00710B28">
        <w:t>The geopolymer matrix shows high thermal and fire resistance up to 1000-1200</w:t>
      </w:r>
      <w:r w:rsidRPr="00091994">
        <w:rPr>
          <w:vertAlign w:val="superscript"/>
        </w:rPr>
        <w:t xml:space="preserve"> </w:t>
      </w:r>
      <w:r w:rsidRPr="00710B28">
        <w:t>°C</w:t>
      </w:r>
      <w:r w:rsidR="00EE56E6">
        <w:t xml:space="preserve"> [14]</w:t>
      </w:r>
      <w:r w:rsidRPr="00710B28">
        <w:t>.</w:t>
      </w:r>
    </w:p>
    <w:p w:rsidR="008873D7" w:rsidRPr="00710B28" w:rsidRDefault="008873D7" w:rsidP="00091994">
      <w:pPr>
        <w:pStyle w:val="ListParagraph"/>
        <w:numPr>
          <w:ilvl w:val="0"/>
          <w:numId w:val="10"/>
        </w:numPr>
      </w:pPr>
      <w:r w:rsidRPr="00710B28">
        <w:t xml:space="preserve">Geopolymers </w:t>
      </w:r>
      <w:r>
        <w:t xml:space="preserve">may </w:t>
      </w:r>
      <w:r w:rsidRPr="00710B28">
        <w:t>exhibit rapid setting without long term deterioration of strength</w:t>
      </w:r>
      <w:r w:rsidR="00967AE3">
        <w:t xml:space="preserve"> [</w:t>
      </w:r>
      <w:r w:rsidR="007670C7">
        <w:t>13]</w:t>
      </w:r>
      <w:r w:rsidRPr="00710B28">
        <w:t>.</w:t>
      </w:r>
    </w:p>
    <w:p w:rsidR="009E0F14" w:rsidRDefault="00BF418B" w:rsidP="00091994">
      <w:r>
        <w:t xml:space="preserve">Of particular interest is </w:t>
      </w:r>
      <w:r w:rsidR="008873D7">
        <w:t>the selection of prec</w:t>
      </w:r>
      <w:r>
        <w:t>ursor aluminosilicate materials</w:t>
      </w:r>
      <w:r w:rsidR="008873D7">
        <w:t xml:space="preserve"> </w:t>
      </w:r>
      <w:r w:rsidR="002D3577">
        <w:t xml:space="preserve">that </w:t>
      </w:r>
      <w:r>
        <w:t>arise from</w:t>
      </w:r>
      <w:r w:rsidR="008873D7">
        <w:t xml:space="preserve"> </w:t>
      </w:r>
      <w:r w:rsidR="008873D7" w:rsidRPr="00710B28">
        <w:rPr>
          <w:bCs/>
        </w:rPr>
        <w:t>waste-stream</w:t>
      </w:r>
      <w:r>
        <w:rPr>
          <w:bCs/>
        </w:rPr>
        <w:t>s</w:t>
      </w:r>
      <w:r w:rsidR="008873D7" w:rsidRPr="00710B28">
        <w:t xml:space="preserve"> or </w:t>
      </w:r>
      <w:r>
        <w:t xml:space="preserve">as </w:t>
      </w:r>
      <w:r w:rsidR="008873D7" w:rsidRPr="00710B28">
        <w:rPr>
          <w:bCs/>
        </w:rPr>
        <w:t>by-product pozzolans</w:t>
      </w:r>
      <w:r w:rsidR="00307BDB">
        <w:rPr>
          <w:bCs/>
        </w:rPr>
        <w:t>,</w:t>
      </w:r>
      <w:r w:rsidR="008873D7" w:rsidRPr="00710B28">
        <w:t xml:space="preserve"> </w:t>
      </w:r>
      <w:r>
        <w:t xml:space="preserve">which are </w:t>
      </w:r>
      <w:r w:rsidR="008873D7" w:rsidRPr="00710B28">
        <w:t>readily available from existing industries [1</w:t>
      </w:r>
      <w:r w:rsidR="00D21DE4">
        <w:t>5</w:t>
      </w:r>
      <w:r w:rsidR="008873D7" w:rsidRPr="00710B28">
        <w:t xml:space="preserve">]. These include pulverised fuel ash (pfa) </w:t>
      </w:r>
      <w:r w:rsidR="00AC2B47">
        <w:t>and</w:t>
      </w:r>
      <w:r w:rsidR="008873D7" w:rsidRPr="00710B28">
        <w:t xml:space="preserve"> ground granulated blast furnace slag (ggbs). Although ggbs has a relatively high demand from an existing market-base, and an associated relatively high value</w:t>
      </w:r>
      <w:r>
        <w:t>,</w:t>
      </w:r>
      <w:r w:rsidR="008873D7" w:rsidRPr="00710B28">
        <w:t xml:space="preserve"> </w:t>
      </w:r>
      <w:r>
        <w:t xml:space="preserve">perhaps </w:t>
      </w:r>
      <w:r w:rsidR="008873D7" w:rsidRPr="00710B28">
        <w:t xml:space="preserve">equivalent to that of Portland cement, waste-stream pozzolans such as pfa are </w:t>
      </w:r>
      <w:r w:rsidR="008873D7" w:rsidRPr="00710B28">
        <w:rPr>
          <w:bCs/>
        </w:rPr>
        <w:t>not fully recycled</w:t>
      </w:r>
      <w:r w:rsidR="008873D7" w:rsidRPr="00710B28">
        <w:t xml:space="preserve"> into value added products, and </w:t>
      </w:r>
      <w:r w:rsidR="008873D7" w:rsidRPr="00710B28">
        <w:rPr>
          <w:bCs/>
        </w:rPr>
        <w:t>excesses are stockpiled or landfilled</w:t>
      </w:r>
      <w:r w:rsidR="008873D7" w:rsidRPr="00710B28">
        <w:t xml:space="preserve">. </w:t>
      </w:r>
    </w:p>
    <w:p w:rsidR="0042773A" w:rsidRDefault="00BF418B" w:rsidP="00091994">
      <w:r>
        <w:t>R</w:t>
      </w:r>
      <w:r w:rsidR="0042773A" w:rsidRPr="009E0F14">
        <w:t>eaction mechanisms</w:t>
      </w:r>
      <w:r w:rsidR="0042773A">
        <w:t xml:space="preserve"> responsible for the creation of an amorphous gel from fly ash</w:t>
      </w:r>
      <w:r w:rsidR="0042773A" w:rsidRPr="009E0F14">
        <w:t xml:space="preserve"> are complex</w:t>
      </w:r>
      <w:r w:rsidR="0042773A">
        <w:t xml:space="preserve"> </w:t>
      </w:r>
      <w:r w:rsidR="0042773A" w:rsidRPr="009E0F14">
        <w:t xml:space="preserve">and </w:t>
      </w:r>
      <w:r w:rsidR="0042773A">
        <w:t xml:space="preserve">still </w:t>
      </w:r>
      <w:r>
        <w:t xml:space="preserve">not </w:t>
      </w:r>
      <w:r w:rsidR="000727E4">
        <w:t xml:space="preserve">fully </w:t>
      </w:r>
      <w:r w:rsidR="0042773A" w:rsidRPr="009E0F14">
        <w:t>understood</w:t>
      </w:r>
      <w:r>
        <w:t xml:space="preserve"> [9]</w:t>
      </w:r>
      <w:r w:rsidR="0042773A" w:rsidRPr="009E0F14">
        <w:t xml:space="preserve">. </w:t>
      </w:r>
      <w:r w:rsidR="002E3474">
        <w:t>A w</w:t>
      </w:r>
      <w:r w:rsidR="002E3474" w:rsidRPr="009E0F14">
        <w:t xml:space="preserve">ide variability </w:t>
      </w:r>
      <w:r>
        <w:t>in chemical</w:t>
      </w:r>
      <w:r w:rsidR="000727E4">
        <w:t xml:space="preserve"> </w:t>
      </w:r>
      <w:r w:rsidR="002E3474">
        <w:t>dosage</w:t>
      </w:r>
      <w:r>
        <w:t>s</w:t>
      </w:r>
      <w:r w:rsidR="002E3474">
        <w:t xml:space="preserve"> </w:t>
      </w:r>
      <w:r w:rsidR="0042773A">
        <w:t xml:space="preserve">can be found </w:t>
      </w:r>
      <w:r w:rsidR="000727E4">
        <w:t xml:space="preserve">in </w:t>
      </w:r>
      <w:r w:rsidR="002E3474">
        <w:t xml:space="preserve">the </w:t>
      </w:r>
      <w:r w:rsidR="002E3474" w:rsidRPr="009E0F14">
        <w:t>scientific literature related to the activation of pfa systems</w:t>
      </w:r>
      <w:r w:rsidR="0042773A">
        <w:t xml:space="preserve"> [16]</w:t>
      </w:r>
      <w:r w:rsidR="00476635">
        <w:t xml:space="preserve">, indicating that </w:t>
      </w:r>
      <w:r w:rsidR="00EC0D70">
        <w:t xml:space="preserve">optimum </w:t>
      </w:r>
      <w:r w:rsidR="00476635">
        <w:t xml:space="preserve">proportions of alkali species (hydroxides and silicates) in the activating solution, as well as </w:t>
      </w:r>
      <w:r w:rsidR="00EC0D70">
        <w:t xml:space="preserve">quantity </w:t>
      </w:r>
      <w:r w:rsidR="0042773A">
        <w:t xml:space="preserve">of alkali </w:t>
      </w:r>
      <w:r w:rsidR="000727E4">
        <w:t xml:space="preserve">per </w:t>
      </w:r>
      <w:r w:rsidR="0042773A">
        <w:t xml:space="preserve">binder mass, </w:t>
      </w:r>
      <w:r w:rsidR="00EC0D70">
        <w:t xml:space="preserve">still </w:t>
      </w:r>
      <w:r>
        <w:t xml:space="preserve">need </w:t>
      </w:r>
      <w:r w:rsidR="00EC0D70">
        <w:t xml:space="preserve">to be investigated </w:t>
      </w:r>
      <w:r>
        <w:t xml:space="preserve">to improve our </w:t>
      </w:r>
      <w:r w:rsidR="00EC0D70">
        <w:t>understanding of t</w:t>
      </w:r>
      <w:r w:rsidR="0042773A">
        <w:t>he reaction mechanisms.</w:t>
      </w:r>
      <w:r w:rsidR="00ED5434">
        <w:t xml:space="preserve"> </w:t>
      </w:r>
      <w:r>
        <w:t>C</w:t>
      </w:r>
      <w:r w:rsidR="00ED5434">
        <w:t xml:space="preserve">uring </w:t>
      </w:r>
      <w:r w:rsidR="00EC0D70">
        <w:t>parameters</w:t>
      </w:r>
      <w:r w:rsidR="000727E4">
        <w:t xml:space="preserve"> </w:t>
      </w:r>
      <w:r>
        <w:t xml:space="preserve">such as </w:t>
      </w:r>
      <w:r w:rsidR="00ED5434">
        <w:t xml:space="preserve">curing temperature and </w:t>
      </w:r>
      <w:r w:rsidR="000727E4">
        <w:t>stand time</w:t>
      </w:r>
      <w:r>
        <w:t xml:space="preserve">, </w:t>
      </w:r>
      <w:r w:rsidR="00ED5434">
        <w:t xml:space="preserve">i.e. the time elapsed before </w:t>
      </w:r>
      <w:r w:rsidR="000727E4">
        <w:t xml:space="preserve">the </w:t>
      </w:r>
      <w:r w:rsidR="00ED5434">
        <w:t>start</w:t>
      </w:r>
      <w:r w:rsidR="000727E4">
        <w:t xml:space="preserve"> of </w:t>
      </w:r>
      <w:r w:rsidR="00ED5434">
        <w:t>high temperature curing</w:t>
      </w:r>
      <w:r>
        <w:t>,</w:t>
      </w:r>
      <w:r w:rsidR="00ED5434">
        <w:t xml:space="preserve"> </w:t>
      </w:r>
      <w:r w:rsidR="00EC0D70">
        <w:t xml:space="preserve">play an important role in </w:t>
      </w:r>
      <w:r w:rsidR="00ED5434">
        <w:t xml:space="preserve">the full development of the reaction </w:t>
      </w:r>
      <w:r>
        <w:t>products. I</w:t>
      </w:r>
      <w:r w:rsidR="00ED5434">
        <w:t xml:space="preserve">nformation available in technical literature is </w:t>
      </w:r>
      <w:r>
        <w:t>relatively limited</w:t>
      </w:r>
      <w:r w:rsidR="00ED5434">
        <w:t xml:space="preserve">, and </w:t>
      </w:r>
      <w:r>
        <w:t xml:space="preserve">thus </w:t>
      </w:r>
      <w:r w:rsidR="00ED5434">
        <w:t xml:space="preserve">a systematic investigation </w:t>
      </w:r>
      <w:r>
        <w:t xml:space="preserve">is still needed for determining </w:t>
      </w:r>
      <w:r w:rsidR="00ED5434">
        <w:t>optimum curing conditions.</w:t>
      </w:r>
    </w:p>
    <w:p w:rsidR="002E3474" w:rsidRDefault="00BF418B" w:rsidP="00091994">
      <w:r>
        <w:t>F</w:t>
      </w:r>
      <w:r w:rsidR="0042773A" w:rsidRPr="009E0F14">
        <w:t>ly</w:t>
      </w:r>
      <w:r w:rsidR="0042773A">
        <w:t xml:space="preserve"> </w:t>
      </w:r>
      <w:r w:rsidR="0042773A" w:rsidRPr="009E0F14">
        <w:t xml:space="preserve">ashes </w:t>
      </w:r>
      <w:r>
        <w:t>are not a “standard product”</w:t>
      </w:r>
      <w:r w:rsidR="0042773A">
        <w:t xml:space="preserve"> </w:t>
      </w:r>
      <w:r>
        <w:t xml:space="preserve">as </w:t>
      </w:r>
      <w:r w:rsidR="0042773A">
        <w:t xml:space="preserve">their physical and chemical </w:t>
      </w:r>
      <w:r>
        <w:t xml:space="preserve">properties </w:t>
      </w:r>
      <w:r w:rsidR="0042773A" w:rsidRPr="009E0F14">
        <w:t xml:space="preserve">vary </w:t>
      </w:r>
      <w:r>
        <w:t xml:space="preserve">considerably </w:t>
      </w:r>
      <w:r w:rsidR="0042773A">
        <w:t>not only from source to source</w:t>
      </w:r>
      <w:r w:rsidR="0042773A" w:rsidRPr="009E0F14">
        <w:t xml:space="preserve"> </w:t>
      </w:r>
      <w:r w:rsidR="0042773A">
        <w:t xml:space="preserve">but also over </w:t>
      </w:r>
      <w:r w:rsidR="0042773A" w:rsidRPr="009E0F14">
        <w:t>time from the same power station</w:t>
      </w:r>
      <w:r>
        <w:t xml:space="preserve"> [9]</w:t>
      </w:r>
      <w:r w:rsidR="0042773A" w:rsidRPr="009E0F14">
        <w:t xml:space="preserve">. </w:t>
      </w:r>
      <w:r>
        <w:t>T</w:t>
      </w:r>
      <w:r w:rsidR="003163CB">
        <w:t>he Department of En</w:t>
      </w:r>
      <w:r w:rsidR="00EC0D70">
        <w:t xml:space="preserve">ergy and Climate Change </w:t>
      </w:r>
      <w:r>
        <w:t xml:space="preserve">in its digest of UK energy statistics [17] quoted </w:t>
      </w:r>
      <w:r w:rsidR="003163CB">
        <w:t xml:space="preserve">14 power stations operational at the end of May 2014 </w:t>
      </w:r>
      <w:r>
        <w:t xml:space="preserve">that </w:t>
      </w:r>
      <w:r w:rsidR="003323F5">
        <w:t>we</w:t>
      </w:r>
      <w:r>
        <w:t xml:space="preserve">re using </w:t>
      </w:r>
      <w:r w:rsidR="003163CB">
        <w:t xml:space="preserve">coal or coal mixed </w:t>
      </w:r>
      <w:r w:rsidR="00EC0D70">
        <w:t xml:space="preserve">(gas/oil) </w:t>
      </w:r>
      <w:r w:rsidR="003163CB">
        <w:t xml:space="preserve">fuel, representing 26% of </w:t>
      </w:r>
      <w:r>
        <w:t>total electricity generated</w:t>
      </w:r>
      <w:r w:rsidR="003163CB">
        <w:t xml:space="preserve">. </w:t>
      </w:r>
      <w:r w:rsidR="0042773A">
        <w:t xml:space="preserve">Heath et al. [18] reported that pfa production </w:t>
      </w:r>
      <w:r w:rsidR="00EC0D70">
        <w:t xml:space="preserve">in UK </w:t>
      </w:r>
      <w:r w:rsidR="0042773A">
        <w:t>is estimated at about 6</w:t>
      </w:r>
      <w:r>
        <w:t>∙</w:t>
      </w:r>
      <w:r w:rsidR="0042773A">
        <w:t>10</w:t>
      </w:r>
      <w:r w:rsidR="0042773A">
        <w:rPr>
          <w:vertAlign w:val="superscript"/>
        </w:rPr>
        <w:t>6</w:t>
      </w:r>
      <w:r w:rsidR="0042773A">
        <w:t xml:space="preserve"> t per annum, half of which is </w:t>
      </w:r>
      <w:r w:rsidR="00B05986">
        <w:t xml:space="preserve">sent </w:t>
      </w:r>
      <w:r w:rsidR="0042773A">
        <w:t>to landfill, whereas about 114</w:t>
      </w:r>
      <w:r>
        <w:t>∙</w:t>
      </w:r>
      <w:r w:rsidR="0042773A">
        <w:t>10</w:t>
      </w:r>
      <w:r w:rsidR="0042773A">
        <w:rPr>
          <w:vertAlign w:val="superscript"/>
        </w:rPr>
        <w:t>6</w:t>
      </w:r>
      <w:r w:rsidR="0042773A">
        <w:t xml:space="preserve"> t of pfa </w:t>
      </w:r>
      <w:r w:rsidR="00EC0D70">
        <w:t>is</w:t>
      </w:r>
      <w:r w:rsidR="0042773A">
        <w:t xml:space="preserve"> available in stockpiles. </w:t>
      </w:r>
      <w:r w:rsidR="003163CB">
        <w:t>The potential availability for pfa-based concrete production is therefore</w:t>
      </w:r>
      <w:r w:rsidR="002E3474">
        <w:t xml:space="preserve"> significant in </w:t>
      </w:r>
      <w:r>
        <w:t xml:space="preserve">the </w:t>
      </w:r>
      <w:r w:rsidR="002E3474">
        <w:t>UK, although the suitability of such available ashes has never been investigated in a comprehensive manner.</w:t>
      </w:r>
    </w:p>
    <w:p w:rsidR="00C03163" w:rsidRDefault="006355C8" w:rsidP="00091994">
      <w:r>
        <w:lastRenderedPageBreak/>
        <w:t>P</w:t>
      </w:r>
      <w:r w:rsidR="00C03163">
        <w:t>fa</w:t>
      </w:r>
      <w:r>
        <w:t>-based geopolymer</w:t>
      </w:r>
      <w:r w:rsidR="00BF418B">
        <w:t>s need</w:t>
      </w:r>
      <w:r w:rsidR="00C03163">
        <w:t xml:space="preserve"> </w:t>
      </w:r>
      <w:r w:rsidR="00BF418B">
        <w:t xml:space="preserve">an </w:t>
      </w:r>
      <w:r w:rsidR="00C03163">
        <w:t xml:space="preserve">external energy source in the form of thermal curing for </w:t>
      </w:r>
      <w:r>
        <w:t xml:space="preserve">the reaction </w:t>
      </w:r>
      <w:r w:rsidR="00BF418B">
        <w:t>to take place.</w:t>
      </w:r>
      <w:r w:rsidR="00C03163">
        <w:t xml:space="preserve"> </w:t>
      </w:r>
      <w:r w:rsidR="00BF418B">
        <w:t>T</w:t>
      </w:r>
      <w:r w:rsidR="00C03163">
        <w:t>his can be a drawback for the upscaling of the process to the industrial level</w:t>
      </w:r>
      <w:r w:rsidR="00B05986">
        <w:t>.  O</w:t>
      </w:r>
      <w:r w:rsidR="00BF418B">
        <w:t xml:space="preserve">n the other hand, </w:t>
      </w:r>
      <w:r w:rsidR="00C03163">
        <w:t xml:space="preserve">Ca-rich slags </w:t>
      </w:r>
      <w:r w:rsidR="00BF418B">
        <w:t xml:space="preserve">such </w:t>
      </w:r>
      <w:r w:rsidR="00C03163">
        <w:t>as ggbs</w:t>
      </w:r>
      <w:r w:rsidR="00BF418B">
        <w:t xml:space="preserve"> </w:t>
      </w:r>
      <w:r w:rsidR="00C03163">
        <w:t>react at room temperature since their reaction</w:t>
      </w:r>
      <w:r w:rsidR="00BF418B">
        <w:t xml:space="preserve">, i.e. the hydration of Ca species and the creation of a calcium-aluminium-silicate-hydrate (C-A-S-H) gel, </w:t>
      </w:r>
      <w:r w:rsidR="00C03163">
        <w:t>is different from low-calcium precursors</w:t>
      </w:r>
      <w:r w:rsidR="00BF418B">
        <w:t xml:space="preserve">. </w:t>
      </w:r>
      <w:r w:rsidR="00C03163">
        <w:t xml:space="preserve">Moreover, the reaction develops at a very rapid pace, </w:t>
      </w:r>
      <w:r>
        <w:t xml:space="preserve">often </w:t>
      </w:r>
      <w:r w:rsidR="00C03163">
        <w:t xml:space="preserve">resulting in a very short initial setting time. The blend of pfa/ggbs for achieving a </w:t>
      </w:r>
      <w:r w:rsidR="00CD77F7">
        <w:t xml:space="preserve">system reacting at </w:t>
      </w:r>
      <w:r w:rsidR="00C03163">
        <w:t>room temperature</w:t>
      </w:r>
      <w:r w:rsidR="00CD77F7">
        <w:t xml:space="preserve"> without </w:t>
      </w:r>
      <w:r w:rsidR="00BF418B">
        <w:t xml:space="preserve">rapid </w:t>
      </w:r>
      <w:r w:rsidR="00CD77F7">
        <w:t>setting would suit most concrete applications</w:t>
      </w:r>
      <w:r w:rsidR="00BF418B">
        <w:t>.</w:t>
      </w:r>
      <w:r w:rsidR="00CD77F7">
        <w:t xml:space="preserve"> </w:t>
      </w:r>
      <w:r w:rsidR="00BF418B">
        <w:t>R</w:t>
      </w:r>
      <w:r w:rsidR="00CD77F7">
        <w:t xml:space="preserve">elatively few </w:t>
      </w:r>
      <w:r w:rsidR="00BF418B">
        <w:t xml:space="preserve">publications </w:t>
      </w:r>
      <w:r w:rsidR="00CD77F7">
        <w:t xml:space="preserve">are available in the literature [19-23] and </w:t>
      </w:r>
      <w:r w:rsidR="00BF418B">
        <w:t xml:space="preserve">thus </w:t>
      </w:r>
      <w:r w:rsidR="00CD77F7">
        <w:t xml:space="preserve">further </w:t>
      </w:r>
      <w:r w:rsidR="00BF418B">
        <w:t xml:space="preserve">investigations are needed to provide </w:t>
      </w:r>
      <w:r w:rsidR="00CD77F7">
        <w:t xml:space="preserve">a better insight </w:t>
      </w:r>
      <w:r w:rsidR="00BF418B">
        <w:t>into the properties and performance of such binary system</w:t>
      </w:r>
      <w:r w:rsidR="00F47716">
        <w:t>s</w:t>
      </w:r>
      <w:r>
        <w:t>.</w:t>
      </w:r>
    </w:p>
    <w:p w:rsidR="006355C8" w:rsidRDefault="00BF418B" w:rsidP="00091994">
      <w:r>
        <w:t xml:space="preserve">The work described here aimed to study </w:t>
      </w:r>
      <w:r w:rsidR="00257485">
        <w:t xml:space="preserve">(a) the effect of </w:t>
      </w:r>
      <w:r w:rsidR="000C767F">
        <w:t xml:space="preserve">curing procedure and </w:t>
      </w:r>
      <w:r w:rsidR="00257485">
        <w:t>activat</w:t>
      </w:r>
      <w:r w:rsidR="008C0055">
        <w:t>or</w:t>
      </w:r>
      <w:r w:rsidR="00257485">
        <w:t xml:space="preserve"> dosages on the strength development of pfa-based mortar</w:t>
      </w:r>
      <w:r w:rsidR="008C0055">
        <w:t>,</w:t>
      </w:r>
      <w:r w:rsidR="00257485">
        <w:t xml:space="preserve"> (b) the influence of physic</w:t>
      </w:r>
      <w:r w:rsidR="008C0055">
        <w:t>al</w:t>
      </w:r>
      <w:r w:rsidR="00257485">
        <w:t xml:space="preserve"> and chemical properties of </w:t>
      </w:r>
      <w:r w:rsidR="009F0943">
        <w:t xml:space="preserve">13 </w:t>
      </w:r>
      <w:r w:rsidR="00257485">
        <w:t>pfa</w:t>
      </w:r>
      <w:r w:rsidR="009F0943">
        <w:t xml:space="preserve"> sources obtained </w:t>
      </w:r>
      <w:r w:rsidR="00257485">
        <w:t xml:space="preserve">from </w:t>
      </w:r>
      <w:r w:rsidR="009F0943">
        <w:t xml:space="preserve">8 UK </w:t>
      </w:r>
      <w:r w:rsidR="00257485">
        <w:t>power stations</w:t>
      </w:r>
      <w:r w:rsidR="008C0055">
        <w:t>,</w:t>
      </w:r>
      <w:r w:rsidR="00257485">
        <w:t xml:space="preserve"> (c) the effect of </w:t>
      </w:r>
      <w:r w:rsidR="008C0055">
        <w:t xml:space="preserve">partial substitution with </w:t>
      </w:r>
      <w:r w:rsidR="00257485">
        <w:t xml:space="preserve">ggbs </w:t>
      </w:r>
      <w:r w:rsidR="008C0055">
        <w:t xml:space="preserve">on the </w:t>
      </w:r>
      <w:r w:rsidR="00257485">
        <w:t>compressive strength development and microstructure of the react</w:t>
      </w:r>
      <w:r w:rsidR="00A41704">
        <w:t>ed mortar</w:t>
      </w:r>
      <w:r w:rsidR="00257485">
        <w:t>.</w:t>
      </w:r>
      <w:r w:rsidR="00AB03D0">
        <w:t xml:space="preserve"> </w:t>
      </w:r>
    </w:p>
    <w:p w:rsidR="008873D7" w:rsidRPr="00AB03D0" w:rsidRDefault="008873D7" w:rsidP="00091994">
      <w:pPr>
        <w:pStyle w:val="Heading1"/>
      </w:pPr>
      <w:r w:rsidRPr="00AB03D0">
        <w:t>Materials and Methods</w:t>
      </w:r>
    </w:p>
    <w:p w:rsidR="00651668" w:rsidRDefault="00294FDE" w:rsidP="00091994">
      <w:r>
        <w:t>The chemical composition</w:t>
      </w:r>
      <w:r w:rsidR="00A41704">
        <w:t xml:space="preserve"> of 13 pfa sources from the UK</w:t>
      </w:r>
      <w:r>
        <w:t xml:space="preserve"> w</w:t>
      </w:r>
      <w:r w:rsidR="00A41704">
        <w:t>ere</w:t>
      </w:r>
      <w:r>
        <w:t xml:space="preserve"> assessed by X-ray fluorescence (XRF)</w:t>
      </w:r>
      <w:r w:rsidR="00A41704">
        <w:t xml:space="preserve"> </w:t>
      </w:r>
      <w:r w:rsidR="00DC14E3">
        <w:t xml:space="preserve">at the University of Leicester </w:t>
      </w:r>
      <w:r w:rsidR="00A41704">
        <w:t>and these are shown</w:t>
      </w:r>
      <w:r>
        <w:t xml:space="preserve"> in Table</w:t>
      </w:r>
      <w:r w:rsidR="00D91784">
        <w:t xml:space="preserve"> </w:t>
      </w:r>
      <w:r>
        <w:t xml:space="preserve">1. </w:t>
      </w:r>
      <w:r w:rsidRPr="00294FDE">
        <w:t>Mineralogical characterisation was c</w:t>
      </w:r>
      <w:r>
        <w:t xml:space="preserve">arried out by X-ray diffraction (XRD) </w:t>
      </w:r>
      <w:r w:rsidR="001C1FA2">
        <w:t xml:space="preserve">using a </w:t>
      </w:r>
      <w:r w:rsidR="001C1FA2" w:rsidRPr="001C1FA2">
        <w:t>PANalytical X'Pert PRO X-ray dif</w:t>
      </w:r>
      <w:r w:rsidR="00F67742">
        <w:t>f</w:t>
      </w:r>
      <w:r w:rsidR="001C1FA2" w:rsidRPr="001C1FA2">
        <w:t>ractometer, equipped with programmable anti scatter slits, rotating sample stage and the X’Celerator Real Time Mult</w:t>
      </w:r>
      <w:r w:rsidR="001C1FA2">
        <w:t xml:space="preserve">iple Strip X’lerator Detector. </w:t>
      </w:r>
      <w:r w:rsidR="001C1FA2" w:rsidRPr="001C1FA2">
        <w:t>The incident X-rays were from a Copper K</w:t>
      </w:r>
      <w:r w:rsidR="001C1FA2">
        <w:t>α</w:t>
      </w:r>
      <w:r w:rsidR="001C1FA2" w:rsidRPr="001C1FA2">
        <w:t xml:space="preserve"> X-ray source, running at 40 kV and 40 mA</w:t>
      </w:r>
      <w:r w:rsidR="001C1FA2">
        <w:t xml:space="preserve"> </w:t>
      </w:r>
      <w:r>
        <w:t xml:space="preserve">and obtained spectra are </w:t>
      </w:r>
      <w:r w:rsidR="00A41704">
        <w:t xml:space="preserve">shown </w:t>
      </w:r>
      <w:r>
        <w:t xml:space="preserve">in </w:t>
      </w:r>
      <w:r w:rsidR="00F47716">
        <w:t>F</w:t>
      </w:r>
      <w:r w:rsidRPr="00294FDE">
        <w:t>igure 1. Quartz (SiO</w:t>
      </w:r>
      <w:r w:rsidRPr="00294FDE">
        <w:rPr>
          <w:vertAlign w:val="subscript"/>
        </w:rPr>
        <w:t>2</w:t>
      </w:r>
      <w:r w:rsidRPr="00294FDE">
        <w:t>) and mullite (3Al</w:t>
      </w:r>
      <w:r w:rsidRPr="00294FDE">
        <w:rPr>
          <w:vertAlign w:val="subscript"/>
        </w:rPr>
        <w:t>2</w:t>
      </w:r>
      <w:r w:rsidRPr="00294FDE">
        <w:t>O</w:t>
      </w:r>
      <w:r w:rsidRPr="00294FDE">
        <w:rPr>
          <w:vertAlign w:val="subscript"/>
        </w:rPr>
        <w:t>3</w:t>
      </w:r>
      <w:r>
        <w:t>∙</w:t>
      </w:r>
      <w:r w:rsidRPr="00294FDE">
        <w:t>2SiO</w:t>
      </w:r>
      <w:r w:rsidRPr="00294FDE">
        <w:rPr>
          <w:vertAlign w:val="subscript"/>
        </w:rPr>
        <w:t>2</w:t>
      </w:r>
      <w:r w:rsidRPr="00294FDE">
        <w:t xml:space="preserve">) were the </w:t>
      </w:r>
      <w:r>
        <w:t xml:space="preserve">main </w:t>
      </w:r>
      <w:r w:rsidRPr="00294FDE">
        <w:t>crystalline components identified</w:t>
      </w:r>
      <w:r>
        <w:t>.</w:t>
      </w:r>
      <w:r w:rsidRPr="00294FDE">
        <w:t xml:space="preserve"> </w:t>
      </w:r>
      <w:r>
        <w:t xml:space="preserve">The </w:t>
      </w:r>
      <w:r w:rsidRPr="00294FDE">
        <w:t xml:space="preserve">amorphous </w:t>
      </w:r>
      <w:r>
        <w:t xml:space="preserve">content (visible as </w:t>
      </w:r>
      <w:r w:rsidRPr="00294FDE">
        <w:t xml:space="preserve">the broad hump in the background of the </w:t>
      </w:r>
      <w:r>
        <w:t>XRD</w:t>
      </w:r>
      <w:r w:rsidRPr="00294FDE">
        <w:t xml:space="preserve"> pattern </w:t>
      </w:r>
      <w:r>
        <w:t>centred at 20 –</w:t>
      </w:r>
      <w:r w:rsidRPr="00294FDE">
        <w:t xml:space="preserve"> 30° 2θ)</w:t>
      </w:r>
      <w:r>
        <w:t xml:space="preserve"> </w:t>
      </w:r>
      <w:r w:rsidRPr="00294FDE">
        <w:t xml:space="preserve">was </w:t>
      </w:r>
      <w:r>
        <w:t>quantified by adding an internal standard (corundum) and performing a Rietveld method-based analysis</w:t>
      </w:r>
      <w:r w:rsidR="00FD4666">
        <w:t xml:space="preserve"> (results are </w:t>
      </w:r>
      <w:r w:rsidR="00A41704">
        <w:t xml:space="preserve">shown </w:t>
      </w:r>
      <w:r w:rsidR="00FD4666">
        <w:t xml:space="preserve">in Table </w:t>
      </w:r>
      <w:r w:rsidR="00E26FFF">
        <w:t>2</w:t>
      </w:r>
      <w:r w:rsidR="00FD4666">
        <w:t>)</w:t>
      </w:r>
      <w:r>
        <w:t>.</w:t>
      </w:r>
      <w:r w:rsidRPr="00294FDE">
        <w:t xml:space="preserve"> </w:t>
      </w:r>
      <w:r w:rsidR="00D91784" w:rsidRPr="00D91784">
        <w:t xml:space="preserve">Laser diffraction </w:t>
      </w:r>
      <w:r w:rsidR="00D91784">
        <w:t>grain size distribution</w:t>
      </w:r>
      <w:r w:rsidR="00D91784" w:rsidRPr="00D91784">
        <w:t xml:space="preserve"> was </w:t>
      </w:r>
      <w:r w:rsidR="00A41704">
        <w:t xml:space="preserve">used </w:t>
      </w:r>
      <w:r w:rsidR="00D91784" w:rsidRPr="00D91784">
        <w:t>to assess the particle size distribution</w:t>
      </w:r>
      <w:r w:rsidR="00D91784">
        <w:t xml:space="preserve"> of </w:t>
      </w:r>
      <w:r w:rsidR="00A41704">
        <w:t xml:space="preserve">all </w:t>
      </w:r>
      <w:r w:rsidR="00D91784">
        <w:t xml:space="preserve">the </w:t>
      </w:r>
      <w:r w:rsidR="00307BDB">
        <w:t xml:space="preserve">investigated </w:t>
      </w:r>
      <w:r w:rsidR="00A41704">
        <w:t>sources of pfa</w:t>
      </w:r>
      <w:r w:rsidR="00D91784">
        <w:t>. Results are show</w:t>
      </w:r>
      <w:r w:rsidR="00FD4666">
        <w:t>n</w:t>
      </w:r>
      <w:r w:rsidR="00D91784">
        <w:t xml:space="preserve"> in </w:t>
      </w:r>
      <w:r w:rsidR="00F47716">
        <w:t>F</w:t>
      </w:r>
      <w:r w:rsidR="00D91784">
        <w:t xml:space="preserve">igure 2, where the 13 pfa </w:t>
      </w:r>
      <w:r w:rsidR="00307BDB">
        <w:t>sam</w:t>
      </w:r>
      <w:r w:rsidR="001C1FA2">
        <w:t>p</w:t>
      </w:r>
      <w:r w:rsidR="00307BDB">
        <w:t xml:space="preserve">les are </w:t>
      </w:r>
      <w:r w:rsidR="00D91784">
        <w:t xml:space="preserve">divided in three classes according to their </w:t>
      </w:r>
      <w:r w:rsidR="00FD7584">
        <w:t>D</w:t>
      </w:r>
      <w:r w:rsidR="00D91784">
        <w:rPr>
          <w:vertAlign w:val="subscript"/>
        </w:rPr>
        <w:t>50</w:t>
      </w:r>
      <w:r w:rsidR="00D91784">
        <w:t xml:space="preserve"> value</w:t>
      </w:r>
      <w:r w:rsidR="00FD4666">
        <w:t xml:space="preserve"> (</w:t>
      </w:r>
      <w:r w:rsidR="00A41704">
        <w:t xml:space="preserve">shown </w:t>
      </w:r>
      <w:r w:rsidR="00FD4666">
        <w:t>in Table</w:t>
      </w:r>
      <w:r w:rsidR="00FD7584">
        <w:t xml:space="preserve"> </w:t>
      </w:r>
      <w:r w:rsidR="00E26FFF">
        <w:t>2</w:t>
      </w:r>
      <w:r w:rsidR="00FD4666">
        <w:t>)</w:t>
      </w:r>
      <w:r w:rsidR="00D91784">
        <w:t>: low (</w:t>
      </w:r>
      <w:r w:rsidR="00FD7584">
        <w:t>D</w:t>
      </w:r>
      <w:r w:rsidR="00D91784">
        <w:rPr>
          <w:vertAlign w:val="subscript"/>
        </w:rPr>
        <w:t xml:space="preserve">50 </w:t>
      </w:r>
      <w:r w:rsidR="00D91784">
        <w:t xml:space="preserve">&lt; 25µm), medium (26 &lt; </w:t>
      </w:r>
      <w:r w:rsidR="00FD7584">
        <w:t>D</w:t>
      </w:r>
      <w:r w:rsidR="00D91784">
        <w:rPr>
          <w:vertAlign w:val="subscript"/>
        </w:rPr>
        <w:t xml:space="preserve">50 </w:t>
      </w:r>
      <w:r w:rsidR="00D91784">
        <w:t>&lt; 30.5µm), and high (</w:t>
      </w:r>
      <w:r w:rsidR="00FD7584">
        <w:t>D</w:t>
      </w:r>
      <w:r w:rsidR="00D91784">
        <w:rPr>
          <w:vertAlign w:val="subscript"/>
        </w:rPr>
        <w:t xml:space="preserve">50 </w:t>
      </w:r>
      <w:r w:rsidR="00D91784">
        <w:t>&gt; 30.5µm).</w:t>
      </w:r>
      <w:r w:rsidR="002D3EF0">
        <w:t xml:space="preserve"> </w:t>
      </w:r>
      <w:r w:rsidR="00A41704">
        <w:t>Pfa A was the only one used to study t</w:t>
      </w:r>
      <w:r w:rsidR="00651668" w:rsidRPr="00CD39FA">
        <w:t xml:space="preserve">he effect of </w:t>
      </w:r>
      <w:r w:rsidR="000C767F" w:rsidRPr="00CD39FA">
        <w:t xml:space="preserve">curing procedure and </w:t>
      </w:r>
      <w:r w:rsidR="00651668" w:rsidRPr="00CD39FA">
        <w:t>activat</w:t>
      </w:r>
      <w:r w:rsidR="00F47716">
        <w:t>or</w:t>
      </w:r>
      <w:r w:rsidR="00651668" w:rsidRPr="00CD39FA">
        <w:t xml:space="preserve"> dosage</w:t>
      </w:r>
      <w:r w:rsidR="00F47716">
        <w:t>s</w:t>
      </w:r>
      <w:r w:rsidR="00651668">
        <w:t>.</w:t>
      </w:r>
    </w:p>
    <w:p w:rsidR="00E849CB" w:rsidRPr="00BC0732" w:rsidRDefault="00E849CB" w:rsidP="00E849CB">
      <w:pPr>
        <w:rPr>
          <w:rFonts w:cs="Times New Roman"/>
          <w:szCs w:val="20"/>
        </w:rPr>
      </w:pPr>
      <w:r w:rsidRPr="00BC0732">
        <w:rPr>
          <w:rFonts w:cs="Times New Roman"/>
          <w:b/>
          <w:szCs w:val="20"/>
        </w:rPr>
        <w:lastRenderedPageBreak/>
        <w:t xml:space="preserve">Table 1. </w:t>
      </w:r>
      <w:r w:rsidRPr="00BC0732">
        <w:rPr>
          <w:rFonts w:cs="Times New Roman"/>
          <w:szCs w:val="20"/>
        </w:rPr>
        <w:t>Elemental composition (XRF) of the 13 pfa sources investigated.</w:t>
      </w:r>
    </w:p>
    <w:tbl>
      <w:tblPr>
        <w:tblStyle w:val="LightShading"/>
        <w:tblW w:w="9853" w:type="dxa"/>
        <w:tblInd w:w="-318" w:type="dxa"/>
        <w:tblLayout w:type="fixed"/>
        <w:tblLook w:val="04A0" w:firstRow="1" w:lastRow="0" w:firstColumn="1" w:lastColumn="0" w:noHBand="0" w:noVBand="1"/>
      </w:tblPr>
      <w:tblGrid>
        <w:gridCol w:w="703"/>
        <w:gridCol w:w="704"/>
        <w:gridCol w:w="704"/>
        <w:gridCol w:w="704"/>
        <w:gridCol w:w="703"/>
        <w:gridCol w:w="704"/>
        <w:gridCol w:w="704"/>
        <w:gridCol w:w="704"/>
        <w:gridCol w:w="704"/>
        <w:gridCol w:w="703"/>
        <w:gridCol w:w="704"/>
        <w:gridCol w:w="704"/>
        <w:gridCol w:w="704"/>
        <w:gridCol w:w="704"/>
      </w:tblGrid>
      <w:tr w:rsidR="00E849CB" w:rsidRPr="00BC0732" w:rsidTr="000D3DC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PFA source</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A</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B</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C</w:t>
            </w:r>
          </w:p>
        </w:tc>
        <w:tc>
          <w:tcPr>
            <w:tcW w:w="703"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D</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E</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F</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G</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H</w:t>
            </w:r>
          </w:p>
        </w:tc>
        <w:tc>
          <w:tcPr>
            <w:tcW w:w="703"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I</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J</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K</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L</w:t>
            </w:r>
          </w:p>
        </w:tc>
        <w:tc>
          <w:tcPr>
            <w:tcW w:w="704" w:type="dxa"/>
            <w:shd w:val="clear" w:color="auto" w:fill="auto"/>
            <w:noWrap/>
            <w:vAlign w:val="center"/>
            <w:hideMark/>
          </w:tcPr>
          <w:p w:rsidR="00E849CB" w:rsidRPr="00BC0732" w:rsidRDefault="00E849CB" w:rsidP="000D3D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M</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SiO</w:t>
            </w:r>
            <w:r w:rsidRPr="00BC0732">
              <w:rPr>
                <w:rFonts w:eastAsia="Times New Roman" w:cs="Times New Roman"/>
                <w:sz w:val="16"/>
                <w:szCs w:val="16"/>
                <w:vertAlign w:val="subscript"/>
                <w:lang w:eastAsia="en-GB"/>
              </w:rPr>
              <w:t>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51.52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48.90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44.58</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49.28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48.48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56.40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51.32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43.38</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51.33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51.05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51.23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49.90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51.76</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TiO</w:t>
            </w:r>
            <w:r w:rsidRPr="00BC0732">
              <w:rPr>
                <w:rFonts w:eastAsia="Times New Roman" w:cs="Times New Roman"/>
                <w:sz w:val="16"/>
                <w:szCs w:val="16"/>
                <w:vertAlign w:val="subscript"/>
                <w:lang w:eastAsia="en-GB"/>
              </w:rPr>
              <w:t>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0.91</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0.84</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0.89</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Al</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23.58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23.51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21.94</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23.43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24.86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22.14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24.85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23.63</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24.12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25.06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18.37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27.12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24.51</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Fe</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7.11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12.36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10.59</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10.61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9.49</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6.63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7.24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6.56</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8.51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8.60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4.55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7.38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8.58</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Mn</w:t>
            </w:r>
            <w:r w:rsidRPr="00BC0732">
              <w:rPr>
                <w:rFonts w:eastAsia="Times New Roman" w:cs="Times New Roman"/>
                <w:sz w:val="16"/>
                <w:szCs w:val="16"/>
                <w:vertAlign w:val="subscript"/>
                <w:lang w:eastAsia="en-GB"/>
              </w:rPr>
              <w:t>3</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0.13</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0.09</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0.13</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0.09</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MgO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1.75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1.97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1.93</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1.73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2.22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1.59</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1.56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1.36</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1.92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1.79</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1.36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1.45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1.92</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CaO</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3.86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3.41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3.61</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2.68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4.53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2.97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2.88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2.83</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2.75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2.37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2.55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2.25</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3.78</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Na</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0.74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0.83</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1.55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0.57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0.79</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0.98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0.67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0.49</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K</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2.42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3.26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2.61</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3.57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2.60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1.91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1.63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1.39</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3.61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3.47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1.60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3.23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2.87</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P</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0.38</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0.58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0.75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0.72</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0.61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0.25</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SO</w:t>
            </w:r>
            <w:r w:rsidRPr="00BC0732">
              <w:rPr>
                <w:rFonts w:eastAsia="Times New Roman" w:cs="Times New Roman"/>
                <w:sz w:val="16"/>
                <w:szCs w:val="16"/>
                <w:vertAlign w:val="subscript"/>
                <w:lang w:eastAsia="en-GB"/>
              </w:rPr>
              <w:t>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0.84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0.49</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0.59</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0.63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0.28</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0.49</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0.39</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0.18</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0.32</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V</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0.09</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Cr</w:t>
            </w:r>
            <w:r w:rsidRPr="00BC0732">
              <w:rPr>
                <w:rFonts w:eastAsia="Times New Roman" w:cs="Times New Roman"/>
                <w:sz w:val="16"/>
                <w:szCs w:val="16"/>
                <w:vertAlign w:val="subscript"/>
                <w:lang w:eastAsia="en-GB"/>
              </w:rPr>
              <w:t>2</w:t>
            </w:r>
            <w:r w:rsidRPr="00BC0732">
              <w:rPr>
                <w:rFonts w:eastAsia="Times New Roman" w:cs="Times New Roman"/>
                <w:sz w:val="16"/>
                <w:szCs w:val="16"/>
                <w:lang w:eastAsia="en-GB"/>
              </w:rPr>
              <w:t>O</w:t>
            </w:r>
            <w:r w:rsidRPr="00BC0732">
              <w:rPr>
                <w:rFonts w:eastAsia="Times New Roman" w:cs="Times New Roman"/>
                <w:sz w:val="16"/>
                <w:szCs w:val="16"/>
                <w:vertAlign w:val="subscript"/>
                <w:lang w:eastAsia="en-GB"/>
              </w:rPr>
              <w:t>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SrO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0.08</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ZrO</w:t>
            </w:r>
            <w:r w:rsidRPr="00BC0732">
              <w:rPr>
                <w:rFonts w:eastAsia="Times New Roman" w:cs="Times New Roman"/>
                <w:sz w:val="16"/>
                <w:szCs w:val="16"/>
                <w:vertAlign w:val="subscript"/>
                <w:lang w:eastAsia="en-GB"/>
              </w:rPr>
              <w:t>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0.00</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0.11</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0.07</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BaO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0.14</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0.18</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0.26</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0.21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0.18</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NiO</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CuO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0.00</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0.00</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ZnO</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3"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0.01</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shd w:val="clear" w:color="auto" w:fill="auto"/>
            <w:noWrap/>
            <w:vAlign w:val="center"/>
            <w:hideMark/>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PbO</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0.03</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0.06</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3"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0.04</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0.05</w:t>
            </w:r>
          </w:p>
        </w:tc>
        <w:tc>
          <w:tcPr>
            <w:tcW w:w="704" w:type="dxa"/>
            <w:shd w:val="clear" w:color="auto" w:fill="auto"/>
            <w:noWrap/>
            <w:vAlign w:val="center"/>
            <w:hideMark/>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0.02</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dxa"/>
            <w:tcBorders>
              <w:bottom w:val="single" w:sz="4" w:space="0" w:color="auto"/>
            </w:tcBorders>
            <w:shd w:val="clear" w:color="auto" w:fill="auto"/>
            <w:noWrap/>
            <w:vAlign w:val="center"/>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LOI (%)</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4.92</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3.60</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11.17</w:t>
            </w:r>
          </w:p>
        </w:tc>
        <w:tc>
          <w:tcPr>
            <w:tcW w:w="703"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5.01</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4.07</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4.61</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6.99</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17.40</w:t>
            </w:r>
          </w:p>
        </w:tc>
        <w:tc>
          <w:tcPr>
            <w:tcW w:w="703"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4.62</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4.53</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17.28</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5.20</w:t>
            </w:r>
          </w:p>
        </w:tc>
        <w:tc>
          <w:tcPr>
            <w:tcW w:w="704" w:type="dxa"/>
            <w:tcBorders>
              <w:bottom w:val="single" w:sz="4" w:space="0" w:color="auto"/>
            </w:tcBorders>
            <w:shd w:val="clear" w:color="auto" w:fill="auto"/>
            <w:noWrap/>
            <w:vAlign w:val="center"/>
          </w:tcPr>
          <w:p w:rsidR="00E849CB" w:rsidRPr="00BC0732" w:rsidRDefault="00E849CB" w:rsidP="000D3D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4.28</w:t>
            </w:r>
          </w:p>
        </w:tc>
      </w:tr>
      <w:tr w:rsidR="00E849CB" w:rsidRPr="00BC0732" w:rsidTr="000D3DC8">
        <w:trPr>
          <w:trHeight w:val="255"/>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rPr>
                <w:rFonts w:eastAsia="Times New Roman" w:cs="Times New Roman"/>
                <w:sz w:val="16"/>
                <w:szCs w:val="16"/>
                <w:lang w:eastAsia="en-GB"/>
              </w:rPr>
            </w:pPr>
            <w:r w:rsidRPr="00BC0732">
              <w:rPr>
                <w:rFonts w:eastAsia="Times New Roman" w:cs="Times New Roman"/>
                <w:sz w:val="16"/>
                <w:szCs w:val="16"/>
                <w:lang w:eastAsia="en-GB"/>
              </w:rPr>
              <w:t>Total</w:t>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5B4D40">
              <w:rPr>
                <w:rFonts w:eastAsia="Times New Roman" w:cs="Times New Roman"/>
                <w:sz w:val="16"/>
                <w:szCs w:val="16"/>
                <w:lang w:eastAsia="en-GB"/>
              </w:rPr>
              <w:instrText xml:space="preserve"> =SUM(ABOVE)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98.61</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100.43</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99.73</w:t>
            </w:r>
            <w:r w:rsidRPr="00BC0732">
              <w:rPr>
                <w:rFonts w:eastAsia="Times New Roman" w:cs="Times New Roman"/>
                <w:sz w:val="16"/>
                <w:szCs w:val="16"/>
                <w:lang w:eastAsia="en-GB"/>
              </w:rPr>
              <w:fldChar w:fldCharType="end"/>
            </w:r>
          </w:p>
        </w:tc>
        <w:tc>
          <w:tcPr>
            <w:tcW w:w="703"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100.20</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100.17</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99.84</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99.95</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99.92</w:t>
            </w:r>
            <w:r w:rsidRPr="00BC0732">
              <w:rPr>
                <w:rFonts w:eastAsia="Times New Roman" w:cs="Times New Roman"/>
                <w:sz w:val="16"/>
                <w:szCs w:val="16"/>
                <w:lang w:eastAsia="en-GB"/>
              </w:rPr>
              <w:fldChar w:fldCharType="end"/>
            </w:r>
          </w:p>
        </w:tc>
        <w:tc>
          <w:tcPr>
            <w:tcW w:w="703"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99.93</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100.13</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99.77</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99.38</w:t>
            </w:r>
            <w:r w:rsidRPr="00BC0732">
              <w:rPr>
                <w:rFonts w:eastAsia="Times New Roman" w:cs="Times New Roman"/>
                <w:sz w:val="16"/>
                <w:szCs w:val="16"/>
                <w:lang w:eastAsia="en-GB"/>
              </w:rPr>
              <w:fldChar w:fldCharType="end"/>
            </w:r>
          </w:p>
        </w:tc>
        <w:tc>
          <w:tcPr>
            <w:tcW w:w="704" w:type="dxa"/>
            <w:tcBorders>
              <w:top w:val="single" w:sz="4" w:space="0" w:color="auto"/>
              <w:bottom w:val="single" w:sz="8" w:space="0" w:color="000000" w:themeColor="text1"/>
            </w:tcBorders>
            <w:shd w:val="clear" w:color="auto" w:fill="auto"/>
            <w:noWrap/>
            <w:vAlign w:val="center"/>
          </w:tcPr>
          <w:p w:rsidR="00E849CB" w:rsidRPr="00BC0732" w:rsidRDefault="00E849CB" w:rsidP="000D3DC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fldChar w:fldCharType="begin"/>
            </w:r>
            <w:r w:rsidRPr="00BC0732">
              <w:rPr>
                <w:rFonts w:eastAsia="Times New Roman" w:cs="Times New Roman"/>
                <w:sz w:val="16"/>
                <w:szCs w:val="16"/>
                <w:lang w:eastAsia="en-GB"/>
              </w:rPr>
              <w:instrText xml:space="preserve"> =SUM(ABOVE) \# "0.00" </w:instrText>
            </w:r>
            <w:r w:rsidRPr="00BC0732">
              <w:rPr>
                <w:rFonts w:eastAsia="Times New Roman" w:cs="Times New Roman"/>
                <w:sz w:val="16"/>
                <w:szCs w:val="16"/>
                <w:lang w:eastAsia="en-GB"/>
              </w:rPr>
              <w:fldChar w:fldCharType="separate"/>
            </w:r>
            <w:r w:rsidRPr="00BC0732">
              <w:rPr>
                <w:rFonts w:eastAsia="Times New Roman" w:cs="Times New Roman"/>
                <w:noProof/>
                <w:sz w:val="16"/>
                <w:szCs w:val="16"/>
                <w:lang w:eastAsia="en-GB"/>
              </w:rPr>
              <w:t>100.21</w:t>
            </w:r>
            <w:r w:rsidRPr="00BC0732">
              <w:rPr>
                <w:rFonts w:eastAsia="Times New Roman" w:cs="Times New Roman"/>
                <w:sz w:val="16"/>
                <w:szCs w:val="16"/>
                <w:lang w:eastAsia="en-GB"/>
              </w:rPr>
              <w:fldChar w:fldCharType="end"/>
            </w:r>
          </w:p>
        </w:tc>
      </w:tr>
    </w:tbl>
    <w:p w:rsidR="00E849CB" w:rsidRDefault="00E849CB" w:rsidP="00E849CB">
      <w:pPr>
        <w:spacing w:after="0"/>
        <w:rPr>
          <w:rFonts w:cs="Times New Roman"/>
          <w:b/>
          <w:szCs w:val="20"/>
        </w:rPr>
      </w:pPr>
    </w:p>
    <w:p w:rsidR="00E849CB" w:rsidRPr="00BC0732" w:rsidRDefault="00E849CB" w:rsidP="00E849CB">
      <w:pPr>
        <w:spacing w:after="0" w:line="288" w:lineRule="auto"/>
        <w:jc w:val="center"/>
        <w:rPr>
          <w:rFonts w:cs="Times New Roman"/>
          <w:b/>
          <w:szCs w:val="20"/>
        </w:rPr>
      </w:pPr>
      <w:r>
        <w:rPr>
          <w:rFonts w:cs="Times New Roman"/>
          <w:b/>
          <w:noProof/>
          <w:szCs w:val="20"/>
          <w:lang w:eastAsia="en-GB"/>
        </w:rPr>
        <w:drawing>
          <wp:inline distT="0" distB="0" distL="0" distR="0" wp14:anchorId="66710C4A" wp14:editId="19F16E38">
            <wp:extent cx="5731510" cy="3816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3816350"/>
                    </a:xfrm>
                    <a:prstGeom prst="rect">
                      <a:avLst/>
                    </a:prstGeom>
                  </pic:spPr>
                </pic:pic>
              </a:graphicData>
            </a:graphic>
          </wp:inline>
        </w:drawing>
      </w:r>
    </w:p>
    <w:p w:rsidR="00E849CB" w:rsidRDefault="00E849CB" w:rsidP="00E849CB">
      <w:pPr>
        <w:spacing w:after="0" w:line="288" w:lineRule="auto"/>
        <w:jc w:val="center"/>
        <w:rPr>
          <w:rFonts w:cs="Times New Roman"/>
          <w:szCs w:val="20"/>
        </w:rPr>
      </w:pPr>
      <w:r w:rsidRPr="00BC0732">
        <w:rPr>
          <w:rFonts w:cs="Times New Roman"/>
          <w:b/>
          <w:szCs w:val="20"/>
        </w:rPr>
        <w:t>Figure 1.</w:t>
      </w:r>
      <w:r w:rsidRPr="00BC0732">
        <w:rPr>
          <w:rFonts w:cs="Times New Roman"/>
          <w:szCs w:val="20"/>
        </w:rPr>
        <w:t xml:space="preserve"> XRD spectra for the 13 investigated pfa sources. Labels A-M equate to labels A-M in Table 1.</w:t>
      </w:r>
    </w:p>
    <w:p w:rsidR="00E849CB" w:rsidRDefault="00E849CB" w:rsidP="00E849CB">
      <w:pPr>
        <w:spacing w:after="0" w:line="288" w:lineRule="auto"/>
        <w:jc w:val="center"/>
        <w:rPr>
          <w:rFonts w:cs="Times New Roman"/>
          <w:szCs w:val="20"/>
        </w:rPr>
      </w:pPr>
    </w:p>
    <w:p w:rsidR="00E849CB" w:rsidRPr="00BC0732" w:rsidRDefault="00E849CB" w:rsidP="00E849CB">
      <w:pPr>
        <w:spacing w:after="0"/>
        <w:rPr>
          <w:rFonts w:cs="Times New Roman"/>
          <w:szCs w:val="20"/>
        </w:rPr>
      </w:pPr>
      <w:r w:rsidRPr="00BC0732">
        <w:rPr>
          <w:rFonts w:cs="Times New Roman"/>
          <w:b/>
          <w:szCs w:val="20"/>
        </w:rPr>
        <w:lastRenderedPageBreak/>
        <w:t xml:space="preserve">Table 2. </w:t>
      </w:r>
      <w:r w:rsidRPr="00BC0732">
        <w:rPr>
          <w:rFonts w:cs="Times New Roman"/>
          <w:szCs w:val="20"/>
        </w:rPr>
        <w:t>Physical and mechanical properties of the 13 pfa sources investigated.</w:t>
      </w:r>
    </w:p>
    <w:tbl>
      <w:tblPr>
        <w:tblStyle w:val="LightShading"/>
        <w:tblW w:w="9199" w:type="dxa"/>
        <w:tblInd w:w="-318" w:type="dxa"/>
        <w:tblLayout w:type="fixed"/>
        <w:tblLook w:val="04A0" w:firstRow="1" w:lastRow="0" w:firstColumn="1" w:lastColumn="0" w:noHBand="0" w:noVBand="1"/>
      </w:tblPr>
      <w:tblGrid>
        <w:gridCol w:w="1419"/>
        <w:gridCol w:w="567"/>
        <w:gridCol w:w="571"/>
        <w:gridCol w:w="576"/>
        <w:gridCol w:w="580"/>
        <w:gridCol w:w="584"/>
        <w:gridCol w:w="589"/>
        <w:gridCol w:w="595"/>
        <w:gridCol w:w="703"/>
        <w:gridCol w:w="605"/>
        <w:gridCol w:w="567"/>
        <w:gridCol w:w="704"/>
        <w:gridCol w:w="572"/>
        <w:gridCol w:w="567"/>
      </w:tblGrid>
      <w:tr w:rsidR="00E849CB" w:rsidRPr="00BC0732" w:rsidTr="000D3DC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vAlign w:val="center"/>
            <w:hideMark/>
          </w:tcPr>
          <w:p w:rsidR="00E849CB" w:rsidRPr="00BC0732" w:rsidRDefault="00E849CB" w:rsidP="000D3DC8">
            <w:pPr>
              <w:spacing w:before="100" w:beforeAutospacing="1" w:after="100" w:afterAutospacing="1" w:line="240" w:lineRule="auto"/>
              <w:rPr>
                <w:rFonts w:eastAsia="Times New Roman" w:cs="Times New Roman"/>
                <w:sz w:val="16"/>
                <w:szCs w:val="16"/>
                <w:lang w:eastAsia="en-GB"/>
              </w:rPr>
            </w:pPr>
          </w:p>
        </w:tc>
        <w:tc>
          <w:tcPr>
            <w:tcW w:w="567"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A</w:t>
            </w:r>
          </w:p>
        </w:tc>
        <w:tc>
          <w:tcPr>
            <w:tcW w:w="571"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B</w:t>
            </w:r>
          </w:p>
        </w:tc>
        <w:tc>
          <w:tcPr>
            <w:tcW w:w="576"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C</w:t>
            </w:r>
          </w:p>
        </w:tc>
        <w:tc>
          <w:tcPr>
            <w:tcW w:w="580"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D</w:t>
            </w:r>
          </w:p>
        </w:tc>
        <w:tc>
          <w:tcPr>
            <w:tcW w:w="584"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E</w:t>
            </w:r>
          </w:p>
        </w:tc>
        <w:tc>
          <w:tcPr>
            <w:tcW w:w="589"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F</w:t>
            </w:r>
          </w:p>
        </w:tc>
        <w:tc>
          <w:tcPr>
            <w:tcW w:w="595"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G</w:t>
            </w:r>
          </w:p>
        </w:tc>
        <w:tc>
          <w:tcPr>
            <w:tcW w:w="703"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H</w:t>
            </w:r>
          </w:p>
        </w:tc>
        <w:tc>
          <w:tcPr>
            <w:tcW w:w="605"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I</w:t>
            </w:r>
          </w:p>
        </w:tc>
        <w:tc>
          <w:tcPr>
            <w:tcW w:w="567"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J</w:t>
            </w:r>
          </w:p>
        </w:tc>
        <w:tc>
          <w:tcPr>
            <w:tcW w:w="704"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K</w:t>
            </w:r>
          </w:p>
        </w:tc>
        <w:tc>
          <w:tcPr>
            <w:tcW w:w="572"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L</w:t>
            </w:r>
          </w:p>
        </w:tc>
        <w:tc>
          <w:tcPr>
            <w:tcW w:w="567" w:type="dxa"/>
            <w:shd w:val="clear" w:color="auto" w:fill="auto"/>
            <w:noWrap/>
            <w:vAlign w:val="center"/>
            <w:hideMark/>
          </w:tcPr>
          <w:p w:rsidR="00E849CB" w:rsidRPr="00BC0732" w:rsidRDefault="00E849CB" w:rsidP="000D3DC8">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en-GB"/>
              </w:rPr>
            </w:pPr>
            <w:r w:rsidRPr="00BC0732">
              <w:rPr>
                <w:rFonts w:eastAsia="Times New Roman" w:cs="Times New Roman"/>
                <w:sz w:val="16"/>
                <w:szCs w:val="16"/>
                <w:lang w:eastAsia="en-GB"/>
              </w:rPr>
              <w:t>M</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vAlign w:val="center"/>
          </w:tcPr>
          <w:p w:rsidR="00E849CB" w:rsidRPr="00BC0732" w:rsidRDefault="00E849CB" w:rsidP="000D3DC8">
            <w:pPr>
              <w:spacing w:before="100" w:beforeAutospacing="1" w:after="100" w:afterAutospacing="1" w:line="240" w:lineRule="auto"/>
              <w:rPr>
                <w:rFonts w:eastAsia="Times New Roman" w:cs="Times New Roman"/>
                <w:color w:val="000000"/>
                <w:sz w:val="16"/>
                <w:szCs w:val="16"/>
                <w:lang w:eastAsia="en-GB"/>
              </w:rPr>
            </w:pPr>
            <w:r w:rsidRPr="00BC0732">
              <w:rPr>
                <w:rFonts w:eastAsia="Times New Roman" w:cs="Times New Roman"/>
                <w:color w:val="000000"/>
                <w:sz w:val="16"/>
                <w:szCs w:val="16"/>
                <w:lang w:eastAsia="en-GB"/>
              </w:rPr>
              <w:t>D</w:t>
            </w:r>
            <w:r w:rsidRPr="00BC0732">
              <w:rPr>
                <w:rFonts w:eastAsia="Times New Roman" w:cs="Times New Roman"/>
                <w:color w:val="000000"/>
                <w:sz w:val="16"/>
                <w:szCs w:val="16"/>
                <w:vertAlign w:val="subscript"/>
                <w:lang w:eastAsia="en-GB"/>
              </w:rPr>
              <w:t>50</w:t>
            </w:r>
            <w:r w:rsidRPr="00BC0732">
              <w:rPr>
                <w:rFonts w:eastAsia="Times New Roman" w:cs="Times New Roman"/>
                <w:color w:val="000000"/>
                <w:sz w:val="16"/>
                <w:szCs w:val="16"/>
                <w:lang w:eastAsia="en-GB"/>
              </w:rPr>
              <w:t xml:space="preserve"> (µm)</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23.8</w:t>
            </w:r>
          </w:p>
        </w:tc>
        <w:tc>
          <w:tcPr>
            <w:tcW w:w="571"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29.2</w:t>
            </w:r>
          </w:p>
        </w:tc>
        <w:tc>
          <w:tcPr>
            <w:tcW w:w="576"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41.6</w:t>
            </w:r>
          </w:p>
        </w:tc>
        <w:tc>
          <w:tcPr>
            <w:tcW w:w="580"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27.3</w:t>
            </w:r>
          </w:p>
        </w:tc>
        <w:tc>
          <w:tcPr>
            <w:tcW w:w="58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20.2</w:t>
            </w:r>
          </w:p>
        </w:tc>
        <w:tc>
          <w:tcPr>
            <w:tcW w:w="589"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26.5</w:t>
            </w:r>
          </w:p>
        </w:tc>
        <w:tc>
          <w:tcPr>
            <w:tcW w:w="59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30.5</w:t>
            </w:r>
          </w:p>
        </w:tc>
        <w:tc>
          <w:tcPr>
            <w:tcW w:w="703"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37.3</w:t>
            </w:r>
          </w:p>
        </w:tc>
        <w:tc>
          <w:tcPr>
            <w:tcW w:w="60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32.9</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17.3</w:t>
            </w:r>
          </w:p>
        </w:tc>
        <w:tc>
          <w:tcPr>
            <w:tcW w:w="70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34.7</w:t>
            </w:r>
          </w:p>
        </w:tc>
        <w:tc>
          <w:tcPr>
            <w:tcW w:w="572"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13.2</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91.2</w:t>
            </w:r>
          </w:p>
        </w:tc>
      </w:tr>
      <w:tr w:rsidR="00E849CB" w:rsidRPr="00BC0732" w:rsidTr="000D3DC8">
        <w:trPr>
          <w:trHeight w:val="201"/>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vAlign w:val="center"/>
          </w:tcPr>
          <w:p w:rsidR="00E849CB" w:rsidRPr="00BC0732" w:rsidRDefault="00E849CB" w:rsidP="000D3DC8">
            <w:pPr>
              <w:spacing w:before="100" w:beforeAutospacing="1" w:after="100" w:afterAutospacing="1" w:line="240" w:lineRule="auto"/>
              <w:rPr>
                <w:rFonts w:eastAsia="Times New Roman" w:cs="Times New Roman"/>
                <w:color w:val="000000"/>
                <w:sz w:val="16"/>
                <w:szCs w:val="16"/>
                <w:vertAlign w:val="superscript"/>
                <w:lang w:eastAsia="en-GB"/>
              </w:rPr>
            </w:pPr>
            <w:r w:rsidRPr="00BC0732">
              <w:rPr>
                <w:rFonts w:eastAsia="Times New Roman" w:cs="Times New Roman"/>
                <w:color w:val="000000"/>
                <w:sz w:val="16"/>
                <w:szCs w:val="16"/>
                <w:lang w:eastAsia="en-GB"/>
              </w:rPr>
              <w:t>Am.%</w:t>
            </w:r>
            <w:r w:rsidRPr="00BC0732">
              <w:rPr>
                <w:rFonts w:eastAsia="Times New Roman" w:cs="Times New Roman"/>
                <w:color w:val="000000"/>
                <w:sz w:val="16"/>
                <w:szCs w:val="16"/>
                <w:vertAlign w:val="superscript"/>
                <w:lang w:eastAsia="en-GB"/>
              </w:rPr>
              <w:t>1</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82</w:t>
            </w:r>
          </w:p>
        </w:tc>
        <w:tc>
          <w:tcPr>
            <w:tcW w:w="571"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89</w:t>
            </w:r>
          </w:p>
        </w:tc>
        <w:tc>
          <w:tcPr>
            <w:tcW w:w="576"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86</w:t>
            </w:r>
          </w:p>
        </w:tc>
        <w:tc>
          <w:tcPr>
            <w:tcW w:w="580"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90</w:t>
            </w:r>
          </w:p>
        </w:tc>
        <w:tc>
          <w:tcPr>
            <w:tcW w:w="58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79</w:t>
            </w:r>
          </w:p>
        </w:tc>
        <w:tc>
          <w:tcPr>
            <w:tcW w:w="589"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76</w:t>
            </w:r>
          </w:p>
        </w:tc>
        <w:tc>
          <w:tcPr>
            <w:tcW w:w="59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75</w:t>
            </w:r>
          </w:p>
        </w:tc>
        <w:tc>
          <w:tcPr>
            <w:tcW w:w="703"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83</w:t>
            </w:r>
          </w:p>
        </w:tc>
        <w:tc>
          <w:tcPr>
            <w:tcW w:w="60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86</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87</w:t>
            </w:r>
          </w:p>
        </w:tc>
        <w:tc>
          <w:tcPr>
            <w:tcW w:w="70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75</w:t>
            </w:r>
          </w:p>
        </w:tc>
        <w:tc>
          <w:tcPr>
            <w:tcW w:w="572"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79</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81</w:t>
            </w:r>
          </w:p>
        </w:tc>
      </w:tr>
      <w:tr w:rsidR="00E849CB" w:rsidRPr="00BC0732" w:rsidTr="000D3DC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vAlign w:val="center"/>
          </w:tcPr>
          <w:p w:rsidR="00E849CB" w:rsidRPr="00BC0732" w:rsidRDefault="00E849CB" w:rsidP="000D3DC8">
            <w:pPr>
              <w:spacing w:before="100" w:beforeAutospacing="1" w:after="100" w:afterAutospacing="1" w:line="240" w:lineRule="auto"/>
              <w:rPr>
                <w:rFonts w:eastAsia="Times New Roman" w:cs="Times New Roman"/>
                <w:color w:val="000000"/>
                <w:sz w:val="16"/>
                <w:szCs w:val="16"/>
                <w:lang w:eastAsia="en-GB"/>
              </w:rPr>
            </w:pPr>
            <w:r w:rsidRPr="00BC0732">
              <w:rPr>
                <w:rFonts w:eastAsia="Times New Roman" w:cs="Times New Roman"/>
                <w:color w:val="000000"/>
                <w:sz w:val="16"/>
                <w:szCs w:val="16"/>
                <w:lang w:eastAsia="en-GB"/>
              </w:rPr>
              <w:t>% 45 µm</w:t>
            </w:r>
            <w:r w:rsidRPr="00BC0732">
              <w:rPr>
                <w:rFonts w:eastAsia="Times New Roman" w:cs="Times New Roman"/>
                <w:color w:val="000000"/>
                <w:sz w:val="16"/>
                <w:szCs w:val="16"/>
                <w:vertAlign w:val="superscript"/>
                <w:lang w:eastAsia="en-GB"/>
              </w:rPr>
              <w:t>2</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66.9</w:t>
            </w:r>
          </w:p>
        </w:tc>
        <w:tc>
          <w:tcPr>
            <w:tcW w:w="571"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63.2</w:t>
            </w:r>
          </w:p>
        </w:tc>
        <w:tc>
          <w:tcPr>
            <w:tcW w:w="576"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51.0</w:t>
            </w:r>
          </w:p>
        </w:tc>
        <w:tc>
          <w:tcPr>
            <w:tcW w:w="580"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69.0</w:t>
            </w:r>
          </w:p>
        </w:tc>
        <w:tc>
          <w:tcPr>
            <w:tcW w:w="58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77.6</w:t>
            </w:r>
          </w:p>
        </w:tc>
        <w:tc>
          <w:tcPr>
            <w:tcW w:w="589"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62.4</w:t>
            </w:r>
          </w:p>
        </w:tc>
        <w:tc>
          <w:tcPr>
            <w:tcW w:w="59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61.0</w:t>
            </w:r>
          </w:p>
        </w:tc>
        <w:tc>
          <w:tcPr>
            <w:tcW w:w="703"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54.9</w:t>
            </w:r>
          </w:p>
        </w:tc>
        <w:tc>
          <w:tcPr>
            <w:tcW w:w="605"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57.3</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76.4</w:t>
            </w:r>
          </w:p>
        </w:tc>
        <w:tc>
          <w:tcPr>
            <w:tcW w:w="704"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56.4</w:t>
            </w:r>
          </w:p>
        </w:tc>
        <w:tc>
          <w:tcPr>
            <w:tcW w:w="572"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84.8</w:t>
            </w:r>
          </w:p>
        </w:tc>
        <w:tc>
          <w:tcPr>
            <w:tcW w:w="567" w:type="dxa"/>
            <w:shd w:val="clear" w:color="auto" w:fill="auto"/>
            <w:noWrap/>
            <w:vAlign w:val="center"/>
          </w:tcPr>
          <w:p w:rsidR="00E849CB" w:rsidRPr="00BC0732" w:rsidRDefault="00E849CB" w:rsidP="000D3DC8">
            <w:pPr>
              <w:spacing w:before="100" w:beforeAutospacing="1"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18.9</w:t>
            </w:r>
          </w:p>
        </w:tc>
      </w:tr>
      <w:tr w:rsidR="00E849CB" w:rsidRPr="00BC0732" w:rsidTr="000D3DC8">
        <w:trPr>
          <w:trHeight w:val="195"/>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vAlign w:val="center"/>
          </w:tcPr>
          <w:p w:rsidR="00E849CB" w:rsidRPr="00BC0732" w:rsidRDefault="00E849CB" w:rsidP="000D3DC8">
            <w:pPr>
              <w:spacing w:before="100" w:beforeAutospacing="1" w:after="100" w:afterAutospacing="1" w:line="240" w:lineRule="auto"/>
              <w:rPr>
                <w:rFonts w:eastAsia="Times New Roman" w:cs="Times New Roman"/>
                <w:color w:val="000000"/>
                <w:sz w:val="16"/>
                <w:szCs w:val="16"/>
                <w:lang w:eastAsia="en-GB"/>
              </w:rPr>
            </w:pPr>
            <w:r w:rsidRPr="00BC0732">
              <w:rPr>
                <w:rFonts w:eastAsia="Times New Roman" w:cs="Times New Roman"/>
                <w:color w:val="000000"/>
                <w:sz w:val="16"/>
                <w:szCs w:val="16"/>
                <w:lang w:eastAsia="en-GB"/>
              </w:rPr>
              <w:t>UCS (MPa)</w:t>
            </w:r>
            <w:r w:rsidRPr="00BC0732">
              <w:rPr>
                <w:rFonts w:eastAsia="Times New Roman" w:cs="Times New Roman"/>
                <w:color w:val="000000"/>
                <w:sz w:val="16"/>
                <w:szCs w:val="16"/>
                <w:vertAlign w:val="superscript"/>
                <w:lang w:eastAsia="en-GB"/>
              </w:rPr>
              <w:t>3</w:t>
            </w:r>
          </w:p>
        </w:tc>
        <w:tc>
          <w:tcPr>
            <w:tcW w:w="567"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60.9 (0.0)</w:t>
            </w:r>
          </w:p>
        </w:tc>
        <w:tc>
          <w:tcPr>
            <w:tcW w:w="571"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47.5 (1.8)</w:t>
            </w:r>
          </w:p>
        </w:tc>
        <w:tc>
          <w:tcPr>
            <w:tcW w:w="576"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27.8 (2.6)</w:t>
            </w:r>
          </w:p>
        </w:tc>
        <w:tc>
          <w:tcPr>
            <w:tcW w:w="580"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54.3 (0.5)</w:t>
            </w:r>
          </w:p>
        </w:tc>
        <w:tc>
          <w:tcPr>
            <w:tcW w:w="584"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61.4 (2.7)</w:t>
            </w:r>
          </w:p>
        </w:tc>
        <w:tc>
          <w:tcPr>
            <w:tcW w:w="589"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47.8 (3.5)</w:t>
            </w:r>
          </w:p>
        </w:tc>
        <w:tc>
          <w:tcPr>
            <w:tcW w:w="595"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33.6 (5.7)</w:t>
            </w:r>
          </w:p>
        </w:tc>
        <w:tc>
          <w:tcPr>
            <w:tcW w:w="703"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48.0 (4.0)</w:t>
            </w:r>
          </w:p>
        </w:tc>
        <w:tc>
          <w:tcPr>
            <w:tcW w:w="605"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w:t>
            </w:r>
          </w:p>
        </w:tc>
        <w:tc>
          <w:tcPr>
            <w:tcW w:w="567"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w:t>
            </w:r>
          </w:p>
        </w:tc>
        <w:tc>
          <w:tcPr>
            <w:tcW w:w="704"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w:t>
            </w:r>
          </w:p>
        </w:tc>
        <w:tc>
          <w:tcPr>
            <w:tcW w:w="572"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60.4 (1.6)</w:t>
            </w:r>
          </w:p>
        </w:tc>
        <w:tc>
          <w:tcPr>
            <w:tcW w:w="567" w:type="dxa"/>
            <w:shd w:val="clear" w:color="auto" w:fill="auto"/>
            <w:noWrap/>
          </w:tcPr>
          <w:p w:rsidR="00E849CB" w:rsidRPr="00BC0732" w:rsidRDefault="00E849CB" w:rsidP="000D3DC8">
            <w:pPr>
              <w:spacing w:before="100" w:beforeAutospacing="1"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GB"/>
              </w:rPr>
            </w:pPr>
            <w:r w:rsidRPr="00BC0732">
              <w:rPr>
                <w:rFonts w:eastAsia="Times New Roman" w:cs="Times New Roman"/>
                <w:color w:val="000000"/>
                <w:sz w:val="16"/>
                <w:szCs w:val="16"/>
                <w:lang w:eastAsia="en-GB"/>
              </w:rPr>
              <w:t>-</w:t>
            </w:r>
          </w:p>
        </w:tc>
      </w:tr>
    </w:tbl>
    <w:p w:rsidR="00E849CB" w:rsidRPr="00BC0732" w:rsidRDefault="00E849CB" w:rsidP="00E849CB">
      <w:pPr>
        <w:spacing w:after="0" w:line="240" w:lineRule="auto"/>
        <w:rPr>
          <w:rFonts w:cs="Times New Roman"/>
          <w:i/>
          <w:sz w:val="16"/>
          <w:szCs w:val="16"/>
        </w:rPr>
      </w:pPr>
      <w:r w:rsidRPr="00BC0732">
        <w:rPr>
          <w:rFonts w:cs="Times New Roman"/>
          <w:i/>
          <w:sz w:val="16"/>
          <w:szCs w:val="16"/>
          <w:vertAlign w:val="superscript"/>
        </w:rPr>
        <w:t>1</w:t>
      </w:r>
      <w:r w:rsidRPr="00BC0732">
        <w:rPr>
          <w:rFonts w:cs="Times New Roman"/>
          <w:i/>
          <w:sz w:val="16"/>
          <w:szCs w:val="16"/>
        </w:rPr>
        <w:t>Amorphous content from XRD Rietveld method quantification</w:t>
      </w:r>
    </w:p>
    <w:p w:rsidR="00E849CB" w:rsidRPr="00BC0732" w:rsidRDefault="00E849CB" w:rsidP="00E849CB">
      <w:pPr>
        <w:spacing w:after="0" w:line="240" w:lineRule="auto"/>
        <w:rPr>
          <w:rFonts w:cs="Times New Roman"/>
          <w:i/>
          <w:sz w:val="16"/>
          <w:szCs w:val="16"/>
        </w:rPr>
      </w:pPr>
      <w:r w:rsidRPr="00BC0732">
        <w:rPr>
          <w:rFonts w:cs="Times New Roman"/>
          <w:i/>
          <w:sz w:val="16"/>
          <w:szCs w:val="16"/>
          <w:vertAlign w:val="superscript"/>
        </w:rPr>
        <w:t>2</w:t>
      </w:r>
      <w:r w:rsidRPr="00BC0732">
        <w:rPr>
          <w:rFonts w:cs="Times New Roman"/>
          <w:i/>
          <w:sz w:val="16"/>
          <w:szCs w:val="16"/>
        </w:rPr>
        <w:t xml:space="preserve"> Volume percentages passing at 45 µm</w:t>
      </w:r>
    </w:p>
    <w:p w:rsidR="00E849CB" w:rsidRPr="00BC0732" w:rsidRDefault="00E849CB" w:rsidP="00E849CB">
      <w:pPr>
        <w:spacing w:after="0" w:line="240" w:lineRule="auto"/>
        <w:rPr>
          <w:rFonts w:cs="Times New Roman"/>
          <w:i/>
          <w:sz w:val="16"/>
          <w:szCs w:val="16"/>
        </w:rPr>
      </w:pPr>
      <w:r w:rsidRPr="00BC0732">
        <w:rPr>
          <w:rFonts w:cs="Times New Roman"/>
          <w:i/>
          <w:sz w:val="16"/>
          <w:szCs w:val="16"/>
          <w:vertAlign w:val="superscript"/>
        </w:rPr>
        <w:t>3</w:t>
      </w:r>
      <w:r w:rsidRPr="00BC0732">
        <w:rPr>
          <w:rFonts w:cs="Times New Roman"/>
          <w:i/>
          <w:sz w:val="16"/>
          <w:szCs w:val="16"/>
        </w:rPr>
        <w:t xml:space="preserve"> UCS = uniaxial compressive strength. Standard deviation in bracket.</w:t>
      </w: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r>
        <w:rPr>
          <w:rFonts w:cs="Times New Roman"/>
          <w:noProof/>
          <w:szCs w:val="20"/>
          <w:lang w:eastAsia="en-GB"/>
        </w:rPr>
        <w:drawing>
          <wp:inline distT="0" distB="0" distL="0" distR="0" wp14:anchorId="5E1E0D12" wp14:editId="41E84441">
            <wp:extent cx="5731510" cy="465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4653280"/>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Figure 2.</w:t>
      </w:r>
      <w:r w:rsidRPr="00BC0732">
        <w:rPr>
          <w:rFonts w:cs="Times New Roman"/>
          <w:szCs w:val="20"/>
        </w:rPr>
        <w:t xml:space="preserve"> Grain size distribution curves for the 13 investigated pfa sources. Labels A-M equate to those in Fig. 1 and Table 1.</w:t>
      </w:r>
    </w:p>
    <w:p w:rsidR="00E849CB" w:rsidRDefault="00E849CB" w:rsidP="00091994"/>
    <w:p w:rsidR="00E849CB" w:rsidRPr="00651668" w:rsidRDefault="00E849CB" w:rsidP="00E849CB">
      <w:r>
        <w:t>G</w:t>
      </w:r>
      <w:r w:rsidRPr="00FD7584">
        <w:t xml:space="preserve">round granulated blast furnace slag </w:t>
      </w:r>
      <w:r>
        <w:t xml:space="preserve">was </w:t>
      </w:r>
      <w:r w:rsidRPr="00FD7584">
        <w:t>supplied by Hanson</w:t>
      </w:r>
      <w:r>
        <w:t xml:space="preserve"> Ltd. The chemical composition was obtained by XRF analysis and detected oxides were </w:t>
      </w:r>
      <w:r w:rsidRPr="00651668">
        <w:t>CaO</w:t>
      </w:r>
      <w:r>
        <w:t xml:space="preserve"> (</w:t>
      </w:r>
      <w:r w:rsidRPr="00651668">
        <w:t>40.62</w:t>
      </w:r>
      <w:r>
        <w:t>%),</w:t>
      </w:r>
      <w:r w:rsidRPr="00651668">
        <w:t xml:space="preserve"> SiO</w:t>
      </w:r>
      <w:r w:rsidRPr="00651668">
        <w:rPr>
          <w:vertAlign w:val="subscript"/>
        </w:rPr>
        <w:t>2</w:t>
      </w:r>
      <w:r>
        <w:t xml:space="preserve"> (</w:t>
      </w:r>
      <w:r w:rsidRPr="00651668">
        <w:t>35.82</w:t>
      </w:r>
      <w:r>
        <w:t>%),</w:t>
      </w:r>
      <w:r w:rsidRPr="00651668">
        <w:t xml:space="preserve"> Al</w:t>
      </w:r>
      <w:r w:rsidRPr="00651668">
        <w:rPr>
          <w:vertAlign w:val="subscript"/>
        </w:rPr>
        <w:t>2</w:t>
      </w:r>
      <w:r w:rsidRPr="00651668">
        <w:t>O</w:t>
      </w:r>
      <w:r w:rsidRPr="00651668">
        <w:rPr>
          <w:vertAlign w:val="subscript"/>
        </w:rPr>
        <w:t>3</w:t>
      </w:r>
      <w:r>
        <w:t xml:space="preserve"> (</w:t>
      </w:r>
      <w:r w:rsidRPr="00651668">
        <w:t>13.00</w:t>
      </w:r>
      <w:r>
        <w:t>%),</w:t>
      </w:r>
      <w:r w:rsidRPr="00651668">
        <w:t xml:space="preserve"> MgO</w:t>
      </w:r>
      <w:r>
        <w:t xml:space="preserve"> (</w:t>
      </w:r>
      <w:r w:rsidRPr="00651668">
        <w:t>8.00</w:t>
      </w:r>
      <w:r>
        <w:t xml:space="preserve">%), </w:t>
      </w:r>
      <w:r w:rsidRPr="00651668">
        <w:t>Fe</w:t>
      </w:r>
      <w:r w:rsidRPr="00651668">
        <w:rPr>
          <w:vertAlign w:val="subscript"/>
        </w:rPr>
        <w:t>2</w:t>
      </w:r>
      <w:r w:rsidRPr="00651668">
        <w:t>O</w:t>
      </w:r>
      <w:r w:rsidRPr="00651668">
        <w:rPr>
          <w:vertAlign w:val="subscript"/>
        </w:rPr>
        <w:t>3</w:t>
      </w:r>
      <w:r>
        <w:t xml:space="preserve"> (</w:t>
      </w:r>
      <w:r w:rsidRPr="00651668">
        <w:t>0.53</w:t>
      </w:r>
      <w:r>
        <w:t>%),</w:t>
      </w:r>
      <w:r w:rsidRPr="00651668">
        <w:t xml:space="preserve"> TiO</w:t>
      </w:r>
      <w:r w:rsidRPr="00651668">
        <w:rPr>
          <w:vertAlign w:val="subscript"/>
        </w:rPr>
        <w:t>2</w:t>
      </w:r>
      <w:r>
        <w:t xml:space="preserve"> (</w:t>
      </w:r>
      <w:r w:rsidRPr="00651668">
        <w:t>0.53</w:t>
      </w:r>
      <w:r>
        <w:t>%),</w:t>
      </w:r>
      <w:r w:rsidRPr="00651668">
        <w:t xml:space="preserve"> MnO</w:t>
      </w:r>
      <w:r>
        <w:t xml:space="preserve"> (</w:t>
      </w:r>
      <w:r w:rsidRPr="00651668">
        <w:t>0.51</w:t>
      </w:r>
      <w:r>
        <w:t>%),</w:t>
      </w:r>
      <w:r w:rsidRPr="00651668">
        <w:t xml:space="preserve"> SO</w:t>
      </w:r>
      <w:r w:rsidRPr="00651668">
        <w:rPr>
          <w:vertAlign w:val="subscript"/>
        </w:rPr>
        <w:t>3</w:t>
      </w:r>
      <w:r>
        <w:t xml:space="preserve"> (</w:t>
      </w:r>
      <w:r w:rsidRPr="00651668">
        <w:t>0.05</w:t>
      </w:r>
      <w:r>
        <w:t>%), with LOI of 0.66%.</w:t>
      </w:r>
    </w:p>
    <w:p w:rsidR="00BD513A" w:rsidRDefault="00751FD5" w:rsidP="00091994">
      <w:r>
        <w:lastRenderedPageBreak/>
        <w:t>C</w:t>
      </w:r>
      <w:r w:rsidR="00FD4666" w:rsidRPr="00FD4666">
        <w:t>ommercially available alkalis</w:t>
      </w:r>
      <w:r>
        <w:t xml:space="preserve"> were used</w:t>
      </w:r>
      <w:r w:rsidR="00FD4666" w:rsidRPr="00FD4666">
        <w:t xml:space="preserve">. Laboratory grade sodium hydroxide (NaOH) </w:t>
      </w:r>
      <w:r w:rsidR="00FD4666">
        <w:t>in solid form was dissolved in water</w:t>
      </w:r>
      <w:r>
        <w:t xml:space="preserve"> at </w:t>
      </w:r>
      <w:r w:rsidR="00ED0727">
        <w:t xml:space="preserve">the </w:t>
      </w:r>
      <w:r>
        <w:t>required dosage</w:t>
      </w:r>
      <w:r w:rsidR="00FD4666">
        <w:t xml:space="preserve">, whereas </w:t>
      </w:r>
      <w:r w:rsidR="00FD4666" w:rsidRPr="00FD4666">
        <w:t xml:space="preserve">sodium silicate </w:t>
      </w:r>
      <w:r w:rsidR="00FD4666">
        <w:t xml:space="preserve">was </w:t>
      </w:r>
      <w:r>
        <w:t xml:space="preserve">supplied </w:t>
      </w:r>
      <w:r w:rsidR="00A241B3">
        <w:t>as a</w:t>
      </w:r>
      <w:r w:rsidR="00FD4666" w:rsidRPr="00FD4666">
        <w:t xml:space="preserve"> solution </w:t>
      </w:r>
      <w:r w:rsidR="00FD4666">
        <w:t xml:space="preserve">with the following composition: </w:t>
      </w:r>
      <w:r w:rsidR="00FD4666" w:rsidRPr="00FD4666">
        <w:t>12.8% Na</w:t>
      </w:r>
      <w:r w:rsidR="00FD4666" w:rsidRPr="00FD4666">
        <w:rPr>
          <w:vertAlign w:val="subscript"/>
        </w:rPr>
        <w:t>2</w:t>
      </w:r>
      <w:r w:rsidR="00FD4666" w:rsidRPr="00FD4666">
        <w:t>O, 25.5% SiO</w:t>
      </w:r>
      <w:r w:rsidR="00FD4666" w:rsidRPr="00FD4666">
        <w:rPr>
          <w:vertAlign w:val="subscript"/>
        </w:rPr>
        <w:t>2</w:t>
      </w:r>
      <w:r w:rsidR="00FD4666" w:rsidRPr="00FD4666">
        <w:t xml:space="preserve"> and 61.7% H</w:t>
      </w:r>
      <w:r w:rsidR="00FD4666" w:rsidRPr="00FD4666">
        <w:rPr>
          <w:vertAlign w:val="subscript"/>
        </w:rPr>
        <w:t>2</w:t>
      </w:r>
      <w:r w:rsidR="00FD4666" w:rsidRPr="00FD4666">
        <w:t>O.</w:t>
      </w:r>
      <w:r w:rsidR="00ED0727">
        <w:t xml:space="preserve"> T</w:t>
      </w:r>
      <w:r w:rsidR="00C65027" w:rsidRPr="00C65027">
        <w:t xml:space="preserve">he alkali dosage (M+) </w:t>
      </w:r>
      <w:r w:rsidR="00ED0727">
        <w:t>wa</w:t>
      </w:r>
      <w:r w:rsidR="00C65027" w:rsidRPr="00C65027">
        <w:t xml:space="preserve">s defined as the </w:t>
      </w:r>
      <w:r w:rsidR="006A5FB0">
        <w:t xml:space="preserve">percentage </w:t>
      </w:r>
      <w:r w:rsidR="00C65027" w:rsidRPr="00C65027">
        <w:t>mass ratio of total sodium oxide (Na</w:t>
      </w:r>
      <w:r w:rsidR="00C65027" w:rsidRPr="00C65027">
        <w:rPr>
          <w:vertAlign w:val="subscript"/>
        </w:rPr>
        <w:t>2</w:t>
      </w:r>
      <w:r w:rsidR="00C65027" w:rsidRPr="00C65027">
        <w:t xml:space="preserve">O) in the activating solution to the binder. </w:t>
      </w:r>
      <w:r w:rsidR="00ED0727">
        <w:t>T</w:t>
      </w:r>
      <w:r w:rsidR="00ED0727" w:rsidRPr="00C65027">
        <w:t>he alkali modulus (AM)</w:t>
      </w:r>
      <w:r w:rsidR="00ED0727">
        <w:t xml:space="preserve"> wa</w:t>
      </w:r>
      <w:r w:rsidR="00C65027" w:rsidRPr="00C65027">
        <w:t>s</w:t>
      </w:r>
      <w:r w:rsidR="00C610B3">
        <w:t xml:space="preserve"> defined as</w:t>
      </w:r>
      <w:r w:rsidR="00C65027" w:rsidRPr="00C65027">
        <w:t xml:space="preserve"> the mass ratio of sodium oxide to silica in the activating solution.</w:t>
      </w:r>
      <w:r w:rsidR="000230AD">
        <w:t xml:space="preserve"> M+ was </w:t>
      </w:r>
      <w:r w:rsidR="00C610B3">
        <w:t xml:space="preserve">from </w:t>
      </w:r>
      <w:r w:rsidR="000230AD">
        <w:t>7.5</w:t>
      </w:r>
      <w:r w:rsidR="006A5FB0">
        <w:t>%</w:t>
      </w:r>
      <w:r w:rsidR="00C610B3">
        <w:t xml:space="preserve"> to </w:t>
      </w:r>
      <w:r w:rsidR="000230AD">
        <w:t>15</w:t>
      </w:r>
      <w:r w:rsidR="006A5FB0">
        <w:t>%</w:t>
      </w:r>
      <w:r w:rsidR="000230AD">
        <w:t xml:space="preserve">, whereas AM was </w:t>
      </w:r>
      <w:r w:rsidR="00C610B3">
        <w:t xml:space="preserve">from </w:t>
      </w:r>
      <w:r w:rsidR="000230AD">
        <w:t>0.5</w:t>
      </w:r>
      <w:r w:rsidR="00C610B3">
        <w:t xml:space="preserve"> to </w:t>
      </w:r>
      <w:r w:rsidR="000230AD">
        <w:t>∞</w:t>
      </w:r>
      <w:r w:rsidR="005378DF">
        <w:t xml:space="preserve"> for the first series of experiments</w:t>
      </w:r>
      <w:r w:rsidR="00C610B3">
        <w:t>.</w:t>
      </w:r>
      <w:r w:rsidR="000230AD">
        <w:t xml:space="preserve"> </w:t>
      </w:r>
      <w:r w:rsidR="00C610B3">
        <w:t xml:space="preserve">The </w:t>
      </w:r>
      <w:r w:rsidR="000230AD">
        <w:t xml:space="preserve">0.5 corresponds to </w:t>
      </w:r>
      <w:r w:rsidR="00307BDB">
        <w:t xml:space="preserve">an </w:t>
      </w:r>
      <w:r w:rsidR="000230AD">
        <w:t>all sodium silicate solution and ∞ corresponds t</w:t>
      </w:r>
      <w:r w:rsidR="00AA7182">
        <w:t xml:space="preserve">o </w:t>
      </w:r>
      <w:r w:rsidR="00307BDB">
        <w:t xml:space="preserve">an </w:t>
      </w:r>
      <w:r w:rsidR="00AA7182">
        <w:t>all sodium hydroxide solution</w:t>
      </w:r>
      <w:r w:rsidR="000230AD">
        <w:t xml:space="preserve">. </w:t>
      </w:r>
      <w:r w:rsidR="00F67742">
        <w:t>A range of d</w:t>
      </w:r>
      <w:r w:rsidR="000230AD" w:rsidRPr="005378DF">
        <w:t>o</w:t>
      </w:r>
      <w:r w:rsidR="000230AD">
        <w:t xml:space="preserve">sages </w:t>
      </w:r>
      <w:r w:rsidR="00F67742">
        <w:t>were used to find which values gave</w:t>
      </w:r>
      <w:r w:rsidR="00C610B3">
        <w:t xml:space="preserve"> </w:t>
      </w:r>
      <w:r w:rsidR="000230AD">
        <w:t>the maximum strength</w:t>
      </w:r>
      <w:r w:rsidR="00F67742">
        <w:t>. These values</w:t>
      </w:r>
      <w:r w:rsidR="000230AD">
        <w:t xml:space="preserve"> were</w:t>
      </w:r>
      <w:r w:rsidR="00F67742">
        <w:t xml:space="preserve"> then</w:t>
      </w:r>
      <w:r w:rsidR="000230AD">
        <w:t xml:space="preserve"> used</w:t>
      </w:r>
      <w:r w:rsidR="005378DF">
        <w:t xml:space="preserve"> in subsequent experiments</w:t>
      </w:r>
      <w:r w:rsidR="009F0943">
        <w:t xml:space="preserve"> </w:t>
      </w:r>
      <w:r w:rsidR="00F67742">
        <w:t>investigating</w:t>
      </w:r>
      <w:r w:rsidR="009F0943">
        <w:t xml:space="preserve"> </w:t>
      </w:r>
      <w:r w:rsidR="009F0943" w:rsidRPr="009F0943">
        <w:t>the influence of physical and chemical properties</w:t>
      </w:r>
      <w:r w:rsidR="009F0943">
        <w:t xml:space="preserve"> of different pfa sources</w:t>
      </w:r>
      <w:r w:rsidR="000230AD">
        <w:t xml:space="preserve">. </w:t>
      </w:r>
      <w:r w:rsidR="009F0943">
        <w:t xml:space="preserve">For the assessment of </w:t>
      </w:r>
      <w:r w:rsidR="009F0943" w:rsidRPr="009F0943">
        <w:t>the effect of partial substitution with ggbs on the compressive strength development and microstructure of the reacted mortar</w:t>
      </w:r>
      <w:r w:rsidR="009F0943">
        <w:t>,</w:t>
      </w:r>
      <w:r w:rsidR="009F0943" w:rsidRPr="009F0943">
        <w:t xml:space="preserve"> </w:t>
      </w:r>
      <w:r w:rsidR="005378DF">
        <w:t>AM was fixed at 1.25</w:t>
      </w:r>
      <w:r w:rsidR="005822AE">
        <w:t>,</w:t>
      </w:r>
      <w:r w:rsidR="005378DF">
        <w:t xml:space="preserve"> whilst the </w:t>
      </w:r>
      <w:r w:rsidR="000230AD">
        <w:t xml:space="preserve">M+ was varied </w:t>
      </w:r>
      <w:r w:rsidR="005378DF">
        <w:t xml:space="preserve">from </w:t>
      </w:r>
      <w:r w:rsidR="000230AD">
        <w:t>3</w:t>
      </w:r>
      <w:r w:rsidR="006A5FB0">
        <w:t>%</w:t>
      </w:r>
      <w:r w:rsidR="005378DF">
        <w:t xml:space="preserve"> to </w:t>
      </w:r>
      <w:r w:rsidR="000230AD">
        <w:t>10</w:t>
      </w:r>
      <w:r w:rsidR="006A5FB0">
        <w:t>%</w:t>
      </w:r>
      <w:r w:rsidR="000230AD">
        <w:t>.</w:t>
      </w:r>
      <w:r w:rsidR="009635BE">
        <w:t xml:space="preserve"> </w:t>
      </w:r>
    </w:p>
    <w:p w:rsidR="009C62DB" w:rsidRDefault="009635BE" w:rsidP="00091994">
      <w:r w:rsidRPr="009635BE">
        <w:t xml:space="preserve">The water/solids ratio </w:t>
      </w:r>
      <w:r w:rsidR="009C718C">
        <w:t>wa</w:t>
      </w:r>
      <w:r w:rsidRPr="009635BE">
        <w:t xml:space="preserve">s defined as the ratio between total mass of water (i.e. </w:t>
      </w:r>
      <w:r>
        <w:t xml:space="preserve">added </w:t>
      </w:r>
      <w:r w:rsidRPr="009635BE">
        <w:t xml:space="preserve">water </w:t>
      </w:r>
      <w:r w:rsidR="005822AE">
        <w:t xml:space="preserve">mass </w:t>
      </w:r>
      <w:r w:rsidRPr="009635BE">
        <w:t xml:space="preserve">+ water </w:t>
      </w:r>
      <w:r w:rsidR="005822AE">
        <w:t xml:space="preserve">mass </w:t>
      </w:r>
      <w:r w:rsidRPr="009635BE">
        <w:t>in the alkali solutions) and the total solid mass (i.e. mass of binder + mass of alkali solids).</w:t>
      </w:r>
      <w:r>
        <w:t xml:space="preserve"> </w:t>
      </w:r>
      <w:r w:rsidR="00BD513A">
        <w:t>T</w:t>
      </w:r>
      <w:r w:rsidRPr="009635BE">
        <w:t xml:space="preserve">his </w:t>
      </w:r>
      <w:r w:rsidR="005822AE">
        <w:t xml:space="preserve">ratio </w:t>
      </w:r>
      <w:r>
        <w:t>was kept constant at 0.37</w:t>
      </w:r>
      <w:r w:rsidR="00BD513A">
        <w:t xml:space="preserve">, </w:t>
      </w:r>
      <w:r w:rsidR="00BD513A" w:rsidRPr="00BD513A">
        <w:t>except whe</w:t>
      </w:r>
      <w:r w:rsidR="00BD513A">
        <w:t>n</w:t>
      </w:r>
      <w:r w:rsidR="00BD513A" w:rsidRPr="00BD513A">
        <w:t xml:space="preserve"> the mixture was found t</w:t>
      </w:r>
      <w:r w:rsidR="009C62DB">
        <w:t xml:space="preserve">o be </w:t>
      </w:r>
      <w:r w:rsidR="005378DF">
        <w:t xml:space="preserve">of very low consistency </w:t>
      </w:r>
      <w:r w:rsidR="009C62DB">
        <w:t>after mixing.</w:t>
      </w:r>
      <w:r w:rsidR="00BD513A" w:rsidRPr="00BD513A">
        <w:t xml:space="preserve"> </w:t>
      </w:r>
      <w:r w:rsidR="009C62DB">
        <w:t>I</w:t>
      </w:r>
      <w:r w:rsidR="00BD513A" w:rsidRPr="00BD513A">
        <w:t xml:space="preserve">n </w:t>
      </w:r>
      <w:r w:rsidR="005378DF">
        <w:t xml:space="preserve">such </w:t>
      </w:r>
      <w:r w:rsidR="00BD513A" w:rsidRPr="00BD513A">
        <w:t>cases</w:t>
      </w:r>
      <w:r w:rsidR="00BD513A">
        <w:t>,</w:t>
      </w:r>
      <w:r w:rsidR="00BD513A" w:rsidRPr="00BD513A">
        <w:t xml:space="preserve"> additional water was added until a workable mixture was obtained.  This was generally only necessary for 100% </w:t>
      </w:r>
      <w:r w:rsidR="00BD513A">
        <w:t>ggbs</w:t>
      </w:r>
      <w:r w:rsidR="009C718C" w:rsidRPr="009C718C">
        <w:t xml:space="preserve"> </w:t>
      </w:r>
      <w:r w:rsidR="009C718C">
        <w:t>binder</w:t>
      </w:r>
      <w:r w:rsidR="00BD513A">
        <w:t>.</w:t>
      </w:r>
    </w:p>
    <w:p w:rsidR="002932AC" w:rsidRDefault="009C62DB" w:rsidP="00091994">
      <w:r>
        <w:t>Mortars were produced with a sand/binder ratio equal to 2.75.</w:t>
      </w:r>
      <w:r w:rsidR="005378DF">
        <w:t xml:space="preserve"> </w:t>
      </w:r>
      <w:r w:rsidR="002932AC">
        <w:t xml:space="preserve">A 5 l planetary </w:t>
      </w:r>
      <w:r w:rsidR="002932AC" w:rsidRPr="002932AC">
        <w:t xml:space="preserve">mixer </w:t>
      </w:r>
      <w:r w:rsidR="002932AC">
        <w:t xml:space="preserve">was </w:t>
      </w:r>
      <w:r w:rsidR="002932AC" w:rsidRPr="002932AC">
        <w:t xml:space="preserve">used. </w:t>
      </w:r>
      <w:r w:rsidR="002932AC">
        <w:t xml:space="preserve">Binder </w:t>
      </w:r>
      <w:r w:rsidR="002932AC" w:rsidRPr="002932AC">
        <w:t xml:space="preserve">and sand were placed in the mixer bowl and </w:t>
      </w:r>
      <w:r w:rsidR="005378DF">
        <w:t xml:space="preserve">mixed </w:t>
      </w:r>
      <w:r w:rsidR="002932AC" w:rsidRPr="002932AC">
        <w:t xml:space="preserve">for </w:t>
      </w:r>
      <w:r w:rsidR="005378DF">
        <w:t>one minute</w:t>
      </w:r>
      <w:r w:rsidR="002932AC" w:rsidRPr="002932AC">
        <w:t>. The alkali solution was then added and the material was mixed for a further 9 minutes. A flow table test was then performed according to BS EN 12350-5 [</w:t>
      </w:r>
      <w:r w:rsidR="002932AC">
        <w:t>2</w:t>
      </w:r>
      <w:r w:rsidR="00DD3278">
        <w:t>4</w:t>
      </w:r>
      <w:r w:rsidR="002932AC" w:rsidRPr="002932AC">
        <w:t xml:space="preserve">]. Mixing was continued for a further 5 minutes, giving a total mixing time of 15 minutes. The mortar was then transferred to 50 mm cube moulds and compacted </w:t>
      </w:r>
      <w:r w:rsidR="00855783">
        <w:t xml:space="preserve">on </w:t>
      </w:r>
      <w:r w:rsidR="002932AC" w:rsidRPr="002932AC">
        <w:t>a vibrating table for 60 seconds. All specimens were then sealed by wrapping in polyethylene film.</w:t>
      </w:r>
    </w:p>
    <w:p w:rsidR="00651668" w:rsidRDefault="00855783" w:rsidP="00091994">
      <w:r>
        <w:t xml:space="preserve">In </w:t>
      </w:r>
      <w:r w:rsidR="005378DF">
        <w:t>the first series of mixes</w:t>
      </w:r>
      <w:r>
        <w:t xml:space="preserve">, </w:t>
      </w:r>
      <w:r w:rsidR="00750AFC" w:rsidRPr="00750AFC">
        <w:t>four sets of curing conditions</w:t>
      </w:r>
      <w:r>
        <w:t xml:space="preserve"> were </w:t>
      </w:r>
      <w:r w:rsidR="005378DF">
        <w:t>used</w:t>
      </w:r>
      <w:r w:rsidR="005822AE">
        <w:t>:</w:t>
      </w:r>
      <w:r w:rsidR="005378DF">
        <w:t xml:space="preserve"> (a) </w:t>
      </w:r>
      <w:r w:rsidR="005378DF" w:rsidRPr="00750AFC">
        <w:t>1 hour at 20°C followed by curing at 50°C</w:t>
      </w:r>
      <w:r w:rsidR="005378DF">
        <w:t xml:space="preserve">; (b) </w:t>
      </w:r>
      <w:r w:rsidR="005378DF" w:rsidRPr="00750AFC">
        <w:t>24 hours at 20°C followed by curing at 50°C</w:t>
      </w:r>
      <w:r w:rsidR="005378DF">
        <w:t xml:space="preserve">; (c) </w:t>
      </w:r>
      <w:r w:rsidR="005378DF" w:rsidRPr="00750AFC">
        <w:t>1 hour at 20°C followed by curing at 70°C</w:t>
      </w:r>
      <w:r w:rsidR="005378DF">
        <w:t xml:space="preserve">; (d) </w:t>
      </w:r>
      <w:r w:rsidR="005378DF" w:rsidRPr="00750AFC">
        <w:t>24 hours at 20°C followed by curing at 70°C</w:t>
      </w:r>
      <w:r w:rsidR="005378DF">
        <w:t>.</w:t>
      </w:r>
      <w:r w:rsidR="004A64A6">
        <w:t xml:space="preserve"> </w:t>
      </w:r>
      <w:r w:rsidR="00A346DC">
        <w:t>O</w:t>
      </w:r>
      <w:r w:rsidR="00A346DC" w:rsidRPr="005822AE">
        <w:t>ne cube from each curing regime was tested in compression after 1, 3 and 7 days</w:t>
      </w:r>
      <w:r w:rsidR="00A346DC">
        <w:t xml:space="preserve"> curing, with t</w:t>
      </w:r>
      <w:r w:rsidR="00A346DC" w:rsidRPr="005822AE">
        <w:t>wo cubes from each curing regime tested at 28 days</w:t>
      </w:r>
      <w:r w:rsidR="00A346DC">
        <w:t>.</w:t>
      </w:r>
      <w:r w:rsidR="005378DF">
        <w:t xml:space="preserve"> S</w:t>
      </w:r>
      <w:r>
        <w:t>ome of the mix</w:t>
      </w:r>
      <w:r w:rsidR="005378DF">
        <w:t>es</w:t>
      </w:r>
      <w:r>
        <w:t xml:space="preserve"> were </w:t>
      </w:r>
      <w:r>
        <w:lastRenderedPageBreak/>
        <w:t xml:space="preserve">replicated to </w:t>
      </w:r>
      <w:r w:rsidR="005378DF">
        <w:t xml:space="preserve">confirm </w:t>
      </w:r>
      <w:r>
        <w:t>the reliability of the results</w:t>
      </w:r>
      <w:r w:rsidR="00750AFC" w:rsidRPr="00750AFC">
        <w:t>. A 300 kN capacity compression testing machine was used for all testing with a loading rate of 0.8 kN/s.</w:t>
      </w:r>
    </w:p>
    <w:p w:rsidR="00855783" w:rsidRDefault="005378DF" w:rsidP="00091994">
      <w:r>
        <w:t>In the second series of mixes</w:t>
      </w:r>
      <w:r w:rsidR="00855783">
        <w:t>, two set</w:t>
      </w:r>
      <w:r w:rsidR="005822AE">
        <w:t>s</w:t>
      </w:r>
      <w:r w:rsidR="00855783">
        <w:t xml:space="preserve"> of curing conditions were </w:t>
      </w:r>
      <w:r>
        <w:t>used</w:t>
      </w:r>
      <w:r w:rsidR="005822AE">
        <w:t>:</w:t>
      </w:r>
      <w:r>
        <w:t xml:space="preserve"> </w:t>
      </w:r>
      <w:r w:rsidR="004A64A6">
        <w:t xml:space="preserve">(a) </w:t>
      </w:r>
      <w:r w:rsidR="00E03634">
        <w:t>1 hour at 20°C followed by curing at 50</w:t>
      </w:r>
      <w:r w:rsidR="00855783" w:rsidRPr="00750AFC">
        <w:t>°C</w:t>
      </w:r>
      <w:r>
        <w:t xml:space="preserve"> and</w:t>
      </w:r>
      <w:r w:rsidR="004A64A6">
        <w:t xml:space="preserve"> (b) </w:t>
      </w:r>
      <w:r w:rsidR="00E03634">
        <w:t>1 hour at 20°C followed by curing at 70</w:t>
      </w:r>
      <w:r w:rsidR="00855783" w:rsidRPr="00750AFC">
        <w:t>°C</w:t>
      </w:r>
      <w:r w:rsidR="004A64A6">
        <w:t xml:space="preserve">. </w:t>
      </w:r>
      <w:r w:rsidR="00855783">
        <w:t xml:space="preserve">Same </w:t>
      </w:r>
      <w:r w:rsidR="00832CA9">
        <w:t xml:space="preserve">procedure as </w:t>
      </w:r>
      <w:r w:rsidR="005822AE">
        <w:t xml:space="preserve">in the first series of mixes </w:t>
      </w:r>
      <w:r>
        <w:t xml:space="preserve">was used </w:t>
      </w:r>
      <w:r w:rsidR="00832CA9">
        <w:t xml:space="preserve">for </w:t>
      </w:r>
      <w:r>
        <w:t xml:space="preserve">determining </w:t>
      </w:r>
      <w:r w:rsidR="00832CA9">
        <w:t>the compressive strength</w:t>
      </w:r>
      <w:r>
        <w:t>.</w:t>
      </w:r>
    </w:p>
    <w:p w:rsidR="00832CA9" w:rsidRDefault="00832CA9" w:rsidP="00091994">
      <w:r>
        <w:t xml:space="preserve">In </w:t>
      </w:r>
      <w:r w:rsidR="005378DF">
        <w:t>the third series of mixes</w:t>
      </w:r>
      <w:r>
        <w:t>, two set</w:t>
      </w:r>
      <w:r w:rsidR="005822AE">
        <w:t>s</w:t>
      </w:r>
      <w:r>
        <w:t xml:space="preserve"> of curing conditions were </w:t>
      </w:r>
      <w:r w:rsidR="005378DF">
        <w:t>used</w:t>
      </w:r>
      <w:r w:rsidR="005822AE">
        <w:t>:</w:t>
      </w:r>
      <w:r w:rsidR="005378DF">
        <w:t xml:space="preserve"> </w:t>
      </w:r>
      <w:r w:rsidR="004A64A6">
        <w:t xml:space="preserve">(a) </w:t>
      </w:r>
      <w:r w:rsidR="00E03634">
        <w:t>1 hour at 20</w:t>
      </w:r>
      <w:r w:rsidRPr="00750AFC">
        <w:t xml:space="preserve">°C followed by curing at </w:t>
      </w:r>
      <w:r>
        <w:t>7</w:t>
      </w:r>
      <w:r w:rsidR="00E03634">
        <w:t>0</w:t>
      </w:r>
      <w:r w:rsidRPr="00750AFC">
        <w:t>°C</w:t>
      </w:r>
      <w:r w:rsidR="005378DF">
        <w:t xml:space="preserve"> and</w:t>
      </w:r>
      <w:r w:rsidR="004A64A6">
        <w:t xml:space="preserve"> (b) </w:t>
      </w:r>
      <w:r w:rsidRPr="00750AFC">
        <w:t xml:space="preserve">curing at </w:t>
      </w:r>
      <w:r>
        <w:t>2</w:t>
      </w:r>
      <w:r w:rsidR="00E03634">
        <w:t>0</w:t>
      </w:r>
      <w:r w:rsidRPr="00750AFC">
        <w:t>°C</w:t>
      </w:r>
      <w:r>
        <w:t xml:space="preserve"> (</w:t>
      </w:r>
      <w:r w:rsidR="005378DF">
        <w:t>ambient/</w:t>
      </w:r>
      <w:r>
        <w:t xml:space="preserve">room </w:t>
      </w:r>
      <w:r w:rsidR="005378DF">
        <w:t>temperature</w:t>
      </w:r>
      <w:r>
        <w:t>)</w:t>
      </w:r>
      <w:r w:rsidR="004A64A6">
        <w:t xml:space="preserve">. </w:t>
      </w:r>
      <w:r w:rsidRPr="00832CA9">
        <w:t>Two replica cubes from each curing regime were tested in compression at 1, 7 and 28 days.</w:t>
      </w:r>
    </w:p>
    <w:p w:rsidR="0003587E" w:rsidRDefault="0003587E" w:rsidP="00091994">
      <w:r>
        <w:t>X-ray diffraction on raw materials and reacted pastes was carried out with</w:t>
      </w:r>
      <w:r w:rsidRPr="00103C60">
        <w:t xml:space="preserve"> Panalytical X’Pert Pro MPD Diffractometer with X’Celerator detector scanned the range of 4-70°2</w:t>
      </w:r>
      <w:r>
        <w:t>θ, using Cu K-α radiation.</w:t>
      </w:r>
      <w:r w:rsidRPr="00103C60">
        <w:t xml:space="preserve"> </w:t>
      </w:r>
      <w:r>
        <w:t xml:space="preserve">Zincite was used as internal standard. </w:t>
      </w:r>
      <w:r w:rsidRPr="00103C60">
        <w:t>HighScore Plus software was used to obtain semi-quantitative mineral weight percentages.</w:t>
      </w:r>
      <w:r>
        <w:t xml:space="preserve"> </w:t>
      </w:r>
    </w:p>
    <w:p w:rsidR="0067448C" w:rsidRDefault="00C03658" w:rsidP="00091994">
      <w:r>
        <w:t>Images for microstructural analysis were acquired with either a</w:t>
      </w:r>
      <w:r w:rsidR="0067448C">
        <w:t xml:space="preserve"> </w:t>
      </w:r>
      <w:r w:rsidR="0067448C" w:rsidRPr="0067448C">
        <w:t>Philips XL30 S</w:t>
      </w:r>
      <w:r w:rsidR="0067448C">
        <w:t xml:space="preserve">canning </w:t>
      </w:r>
      <w:r w:rsidR="0067448C" w:rsidRPr="0067448C">
        <w:t>E</w:t>
      </w:r>
      <w:r w:rsidR="0067448C">
        <w:t xml:space="preserve">lectron </w:t>
      </w:r>
      <w:r w:rsidR="0067448C" w:rsidRPr="0067448C">
        <w:t>M</w:t>
      </w:r>
      <w:r w:rsidR="0067448C">
        <w:t xml:space="preserve">icroscope </w:t>
      </w:r>
      <w:r w:rsidR="001C1FA2">
        <w:t xml:space="preserve">equipped with an Oxford Instruments INCA energy dispersive X-ray spectroscopy (EDS) system </w:t>
      </w:r>
      <w:r>
        <w:t>or a Hitachi TM300 SEM equipped with a Bruker Quantax 70 EDS system</w:t>
      </w:r>
      <w:r w:rsidR="001C1FA2">
        <w:t>s</w:t>
      </w:r>
      <w:r w:rsidR="005378DF">
        <w:t>.</w:t>
      </w:r>
      <w:r w:rsidR="0067448C">
        <w:t xml:space="preserve"> </w:t>
      </w:r>
      <w:r>
        <w:t>The EDS systems allow the collection of chemical information for spots and areas in the samples. The samples comprised b</w:t>
      </w:r>
      <w:r w:rsidR="005822AE">
        <w:t xml:space="preserve">roken </w:t>
      </w:r>
      <w:r w:rsidR="0067448C" w:rsidRPr="0067448C">
        <w:t>pieces</w:t>
      </w:r>
      <w:r>
        <w:t xml:space="preserve"> (~</w:t>
      </w:r>
      <w:r w:rsidRPr="0067448C">
        <w:t>5.0 x 5.0 x 2.5 mm</w:t>
      </w:r>
      <w:r>
        <w:t>)</w:t>
      </w:r>
      <w:r w:rsidR="0067448C" w:rsidRPr="0067448C">
        <w:t xml:space="preserve"> of hardened </w:t>
      </w:r>
      <w:r w:rsidR="008C3E05">
        <w:t>paste</w:t>
      </w:r>
      <w:r w:rsidR="0067448C" w:rsidRPr="0067448C">
        <w:t xml:space="preserve"> mounted onto aluminium stubs using epoxy adhesive</w:t>
      </w:r>
      <w:r w:rsidR="0067448C">
        <w:t>, orienting the fracture</w:t>
      </w:r>
      <w:r w:rsidR="005378DF">
        <w:t>d</w:t>
      </w:r>
      <w:r w:rsidR="0067448C">
        <w:t xml:space="preserve"> surface in a convenient position towards </w:t>
      </w:r>
      <w:r w:rsidR="005378DF">
        <w:t xml:space="preserve">the </w:t>
      </w:r>
      <w:r w:rsidR="0067448C" w:rsidRPr="0067448C">
        <w:t>SEM beam</w:t>
      </w:r>
      <w:r>
        <w:t xml:space="preserve"> also bearing in mind the location of the EDS detector</w:t>
      </w:r>
      <w:r w:rsidR="0067448C" w:rsidRPr="0067448C">
        <w:t xml:space="preserve">. </w:t>
      </w:r>
      <w:r w:rsidR="0067448C">
        <w:t>S</w:t>
      </w:r>
      <w:r w:rsidR="0067448C" w:rsidRPr="0067448C">
        <w:t>ample</w:t>
      </w:r>
      <w:r w:rsidR="0067448C">
        <w:t>s</w:t>
      </w:r>
      <w:r w:rsidR="0067448C" w:rsidRPr="0067448C">
        <w:t xml:space="preserve"> w</w:t>
      </w:r>
      <w:r w:rsidR="0067448C">
        <w:t>ere</w:t>
      </w:r>
      <w:r w:rsidR="0067448C" w:rsidRPr="0067448C">
        <w:t xml:space="preserve"> coated with a </w:t>
      </w:r>
      <w:r>
        <w:t>thin</w:t>
      </w:r>
      <w:r w:rsidRPr="0067448C">
        <w:t xml:space="preserve"> </w:t>
      </w:r>
      <w:r w:rsidR="0067448C" w:rsidRPr="0067448C">
        <w:t>gold-palladium layer to provide a conductive pathway to prevent surface electrical charging.</w:t>
      </w:r>
    </w:p>
    <w:p w:rsidR="00E83E83" w:rsidRPr="00091994" w:rsidRDefault="00E83E83" w:rsidP="00091994">
      <w:pPr>
        <w:pStyle w:val="Heading1"/>
      </w:pPr>
      <w:r w:rsidRPr="00091994">
        <w:t>Results and discussion</w:t>
      </w:r>
    </w:p>
    <w:p w:rsidR="005C74CF" w:rsidRDefault="005378DF" w:rsidP="00091994">
      <w:r>
        <w:t>T</w:t>
      </w:r>
      <w:r w:rsidR="005C74CF">
        <w:t>h</w:t>
      </w:r>
      <w:r>
        <w:t>is</w:t>
      </w:r>
      <w:r w:rsidR="005C74CF">
        <w:t xml:space="preserve"> </w:t>
      </w:r>
      <w:r w:rsidR="00BE47A4">
        <w:t>work investigated</w:t>
      </w:r>
      <w:r w:rsidR="00DE7D23">
        <w:t>:</w:t>
      </w:r>
      <w:r w:rsidR="005C74CF" w:rsidRPr="005C74CF">
        <w:t xml:space="preserve"> (a) </w:t>
      </w:r>
      <w:r w:rsidR="005C74CF">
        <w:t xml:space="preserve">the </w:t>
      </w:r>
      <w:r w:rsidR="005C74CF" w:rsidRPr="005C74CF">
        <w:t xml:space="preserve">effect of </w:t>
      </w:r>
      <w:r w:rsidR="000C767F" w:rsidRPr="005C74CF">
        <w:t xml:space="preserve">curing procedure and </w:t>
      </w:r>
      <w:r w:rsidR="005C74CF" w:rsidRPr="005C74CF">
        <w:t>activat</w:t>
      </w:r>
      <w:r w:rsidR="00BE47A4">
        <w:t>or</w:t>
      </w:r>
      <w:r w:rsidR="005C74CF" w:rsidRPr="005C74CF">
        <w:t xml:space="preserve"> dosages on the strength development of pfa-based mortar</w:t>
      </w:r>
      <w:r w:rsidR="00BE47A4">
        <w:t>s</w:t>
      </w:r>
      <w:r w:rsidR="005C74CF" w:rsidRPr="005C74CF">
        <w:t>; (b) the influence of physic</w:t>
      </w:r>
      <w:r w:rsidR="00BE47A4">
        <w:t>al</w:t>
      </w:r>
      <w:r w:rsidR="005C74CF" w:rsidRPr="005C74CF">
        <w:t xml:space="preserve"> and chemical properties of </w:t>
      </w:r>
      <w:r w:rsidR="007F3B1B">
        <w:t xml:space="preserve">13 different </w:t>
      </w:r>
      <w:r w:rsidR="005C74CF" w:rsidRPr="005C74CF">
        <w:t>pfa source</w:t>
      </w:r>
      <w:r w:rsidR="007F3B1B">
        <w:t xml:space="preserve">s, </w:t>
      </w:r>
      <w:r w:rsidR="005C74CF" w:rsidRPr="005C74CF">
        <w:t xml:space="preserve">from </w:t>
      </w:r>
      <w:r w:rsidR="007F3B1B">
        <w:t>8</w:t>
      </w:r>
      <w:r w:rsidR="005C74CF" w:rsidRPr="005C74CF">
        <w:t xml:space="preserve"> power stations </w:t>
      </w:r>
      <w:r w:rsidR="007F3B1B">
        <w:t xml:space="preserve">in the UK, </w:t>
      </w:r>
      <w:r w:rsidR="005C74CF">
        <w:t>on compressive strength development</w:t>
      </w:r>
      <w:r w:rsidR="00340928">
        <w:t>; and</w:t>
      </w:r>
      <w:r w:rsidR="005C74CF" w:rsidRPr="005C74CF">
        <w:t xml:space="preserve"> (c) the effect of </w:t>
      </w:r>
      <w:r w:rsidR="00BE47A4">
        <w:t xml:space="preserve">partial replacement of pfa with </w:t>
      </w:r>
      <w:r w:rsidR="005C74CF" w:rsidRPr="005C74CF">
        <w:t xml:space="preserve">ggbs </w:t>
      </w:r>
      <w:r w:rsidR="00BE47A4">
        <w:t xml:space="preserve">on the </w:t>
      </w:r>
      <w:r w:rsidR="005C74CF" w:rsidRPr="005C74CF">
        <w:t xml:space="preserve">compressive strength development and microstructure </w:t>
      </w:r>
      <w:r w:rsidR="00340928">
        <w:t xml:space="preserve">of </w:t>
      </w:r>
      <w:r w:rsidR="00BE47A4">
        <w:t>mortars.</w:t>
      </w:r>
    </w:p>
    <w:p w:rsidR="00E83E83" w:rsidRPr="00091994" w:rsidRDefault="00BE47A4" w:rsidP="00091994">
      <w:pPr>
        <w:pStyle w:val="Heading2"/>
      </w:pPr>
      <w:r w:rsidRPr="00091994">
        <w:lastRenderedPageBreak/>
        <w:t>E</w:t>
      </w:r>
      <w:r w:rsidR="00E83E83" w:rsidRPr="00091994">
        <w:t xml:space="preserve">ffect of curing procedure </w:t>
      </w:r>
      <w:r w:rsidR="000C767F" w:rsidRPr="00091994">
        <w:t>and activat</w:t>
      </w:r>
      <w:r w:rsidRPr="00091994">
        <w:t>or</w:t>
      </w:r>
      <w:r w:rsidR="000C767F" w:rsidRPr="00091994">
        <w:t xml:space="preserve"> dosages </w:t>
      </w:r>
      <w:r w:rsidR="00E83E83" w:rsidRPr="00091994">
        <w:t xml:space="preserve">on strength development </w:t>
      </w:r>
    </w:p>
    <w:p w:rsidR="00E83E83" w:rsidRDefault="00BE47A4" w:rsidP="00091994">
      <w:r>
        <w:t xml:space="preserve">Twenty-four </w:t>
      </w:r>
      <w:r w:rsidR="005C74CF">
        <w:t xml:space="preserve">combinations of M+ and AM were </w:t>
      </w:r>
      <w:r>
        <w:t xml:space="preserve">investigated </w:t>
      </w:r>
      <w:r w:rsidR="005C74CF">
        <w:t>for each of the four curing regime</w:t>
      </w:r>
      <w:r>
        <w:t>s</w:t>
      </w:r>
      <w:r w:rsidR="00792F37">
        <w:t xml:space="preserve">, for a total number of 96 different series of </w:t>
      </w:r>
      <w:r>
        <w:t>mixes</w:t>
      </w:r>
      <w:r w:rsidR="00792F37">
        <w:t>.</w:t>
      </w:r>
      <w:r w:rsidR="00FB0EFF">
        <w:t xml:space="preserve"> The effects of stand time </w:t>
      </w:r>
      <w:r w:rsidR="00C16008">
        <w:t xml:space="preserve">(i.e. the time elapsed between the mixing and the start of the curing in oven, during which the process of dissolution and gelation of aluminosilicates species </w:t>
      </w:r>
      <w:r w:rsidR="00340928">
        <w:t>takes place</w:t>
      </w:r>
      <w:r w:rsidR="00C16008">
        <w:t xml:space="preserve">), </w:t>
      </w:r>
      <w:r w:rsidR="00FB0EFF">
        <w:t xml:space="preserve">curing temperature, and activator dosage were </w:t>
      </w:r>
      <w:r>
        <w:t xml:space="preserve">investigated by determining the </w:t>
      </w:r>
      <w:r w:rsidR="00FB0EFF">
        <w:t>compressive strength development.</w:t>
      </w:r>
      <w:r>
        <w:t xml:space="preserve"> </w:t>
      </w:r>
    </w:p>
    <w:p w:rsidR="000C767F" w:rsidRPr="00091994" w:rsidRDefault="000C767F" w:rsidP="00091994">
      <w:pPr>
        <w:pStyle w:val="Heading3"/>
      </w:pPr>
      <w:r w:rsidRPr="00091994">
        <w:t xml:space="preserve">Effect of </w:t>
      </w:r>
      <w:r w:rsidR="00602056" w:rsidRPr="00091994">
        <w:t>s</w:t>
      </w:r>
      <w:r w:rsidRPr="00091994">
        <w:t xml:space="preserve">tand </w:t>
      </w:r>
      <w:r w:rsidR="00602056" w:rsidRPr="00091994">
        <w:t>t</w:t>
      </w:r>
      <w:r w:rsidRPr="00091994">
        <w:t>ime at 2</w:t>
      </w:r>
      <w:r w:rsidR="00CD4069" w:rsidRPr="00091994">
        <w:t>0</w:t>
      </w:r>
      <w:r w:rsidRPr="00091994">
        <w:t xml:space="preserve"> °C</w:t>
      </w:r>
    </w:p>
    <w:p w:rsidR="000C767F" w:rsidRDefault="000C767F" w:rsidP="00091994">
      <w:r w:rsidRPr="000C767F">
        <w:t xml:space="preserve">In order to assess the effect of the time for dissolution and gelation at room temperature on ultimate strength, half the samples in each mix were left to stand for 1 hour prior to oven curing and half for 24 hours. Figure </w:t>
      </w:r>
      <w:r>
        <w:t>3</w:t>
      </w:r>
      <w:r w:rsidRPr="000C767F">
        <w:t xml:space="preserve"> shows the results for the </w:t>
      </w:r>
      <w:r w:rsidR="00150284">
        <w:t>28</w:t>
      </w:r>
      <w:r w:rsidR="002B3045">
        <w:t>-</w:t>
      </w:r>
      <w:r w:rsidRPr="000C767F">
        <w:t xml:space="preserve">day tests for the all mixes cured at 70 </w:t>
      </w:r>
      <w:r w:rsidRPr="00B30358">
        <w:rPr>
          <w:rFonts w:ascii="Calibri" w:hAnsi="Calibri"/>
        </w:rPr>
        <w:t>°</w:t>
      </w:r>
      <w:r w:rsidRPr="000C767F">
        <w:t xml:space="preserve">C.  In general, the difference in strength at </w:t>
      </w:r>
      <w:r w:rsidR="00150284">
        <w:t>28</w:t>
      </w:r>
      <w:r w:rsidRPr="000C767F">
        <w:t xml:space="preserve"> days between those initially left to stand for 1 hour and those </w:t>
      </w:r>
      <w:r w:rsidR="003C5A8D">
        <w:t xml:space="preserve">left </w:t>
      </w:r>
      <w:r w:rsidRPr="000C767F">
        <w:t xml:space="preserve">for 24 hours is </w:t>
      </w:r>
      <w:r w:rsidR="003C5A8D">
        <w:t>small</w:t>
      </w:r>
      <w:r w:rsidRPr="000C767F">
        <w:t xml:space="preserve">, with the </w:t>
      </w:r>
      <w:r w:rsidR="003C5A8D">
        <w:t>compressive strength</w:t>
      </w:r>
      <w:r w:rsidR="00340928">
        <w:t>s</w:t>
      </w:r>
      <w:r w:rsidR="003C5A8D">
        <w:t xml:space="preserve"> </w:t>
      </w:r>
      <w:r w:rsidRPr="000C767F">
        <w:t xml:space="preserve">for most mixes </w:t>
      </w:r>
      <w:r w:rsidR="003C5A8D">
        <w:t xml:space="preserve">being </w:t>
      </w:r>
      <w:r w:rsidRPr="000C767F">
        <w:t xml:space="preserve">within 6 </w:t>
      </w:r>
      <w:r w:rsidR="00F3082D">
        <w:t>MPa</w:t>
      </w:r>
      <w:r w:rsidRPr="000C767F">
        <w:rPr>
          <w:vertAlign w:val="superscript"/>
        </w:rPr>
        <w:t xml:space="preserve"> </w:t>
      </w:r>
      <w:r w:rsidRPr="000C767F">
        <w:t xml:space="preserve">of each other. </w:t>
      </w:r>
      <w:r w:rsidR="00B03579">
        <w:t>T</w:t>
      </w:r>
      <w:r w:rsidRPr="000C767F">
        <w:t xml:space="preserve">he highest alkali dosage </w:t>
      </w:r>
      <w:r w:rsidR="00B03579">
        <w:t>(M+ 15</w:t>
      </w:r>
      <w:r w:rsidR="006A5FB0">
        <w:t>%</w:t>
      </w:r>
      <w:r w:rsidR="00B03579">
        <w:t xml:space="preserve">) gave mixed results, with higher strength for 1 h stand time for </w:t>
      </w:r>
      <w:r w:rsidR="0086645C">
        <w:t xml:space="preserve">high </w:t>
      </w:r>
      <w:r w:rsidR="00B03579">
        <w:t xml:space="preserve">silicate solution dosages (AM = 1.25 and 1.5) and the opposite for low silicate dosages (AM = 2 and ∞). </w:t>
      </w:r>
      <w:r w:rsidR="00AC14CA">
        <w:t>Th</w:t>
      </w:r>
      <w:r w:rsidR="00B03579">
        <w:t>is might be explained by the fact that</w:t>
      </w:r>
      <w:r w:rsidR="00966C3C">
        <w:t xml:space="preserve"> reactive </w:t>
      </w:r>
      <w:r w:rsidR="00B03579">
        <w:t xml:space="preserve">silicates </w:t>
      </w:r>
      <w:r w:rsidR="00966C3C">
        <w:t xml:space="preserve">trigger the nucleation of gel and therefore, when a significant amount is present (lower AM), the gel formation can start immediately and it is enhanced by the high temperature. On the contrary, when the addition of silicates is low (higher AM), the system needs first to achieve </w:t>
      </w:r>
      <w:r w:rsidR="00AC14CA">
        <w:t>the dissolution of Si and Al from the precursor material by the alkali solution</w:t>
      </w:r>
      <w:r w:rsidRPr="000C767F">
        <w:t xml:space="preserve"> </w:t>
      </w:r>
      <w:r w:rsidR="00AC14CA">
        <w:t xml:space="preserve">at room temperature, whereas the thermal treatment </w:t>
      </w:r>
      <w:r w:rsidR="00966C3C">
        <w:t xml:space="preserve">starts </w:t>
      </w:r>
      <w:r w:rsidR="00AC14CA">
        <w:t xml:space="preserve">the solidification of the gel without allowing enough time for the liquid to complete the dissolution process. </w:t>
      </w:r>
      <w:r w:rsidRPr="000C767F">
        <w:t xml:space="preserve">Although the difference between no stand time and some stand time </w:t>
      </w:r>
      <w:r w:rsidR="003C5A8D">
        <w:t xml:space="preserve">can </w:t>
      </w:r>
      <w:r w:rsidRPr="000C767F">
        <w:t xml:space="preserve">make a difference </w:t>
      </w:r>
      <w:r w:rsidR="003C5A8D">
        <w:t>o</w:t>
      </w:r>
      <w:r w:rsidRPr="000C767F">
        <w:t>n strength</w:t>
      </w:r>
      <w:r w:rsidR="003C5A8D">
        <w:t>s</w:t>
      </w:r>
      <w:r w:rsidRPr="000C767F">
        <w:t xml:space="preserve"> by increasing the time for early dissolution and gelation, there appears to be no benefit in leaving mixes for longer than 1 hour between mixing and oven curing. This </w:t>
      </w:r>
      <w:r w:rsidR="003C5A8D">
        <w:t>may be of</w:t>
      </w:r>
      <w:r w:rsidRPr="000C767F">
        <w:t xml:space="preserve"> importance </w:t>
      </w:r>
      <w:r w:rsidR="003C5A8D">
        <w:t xml:space="preserve">when considering </w:t>
      </w:r>
      <w:r w:rsidRPr="000C767F">
        <w:t>transferring the technology to industry.</w:t>
      </w: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r>
        <w:rPr>
          <w:rFonts w:cs="Times New Roman"/>
          <w:noProof/>
          <w:szCs w:val="20"/>
          <w:lang w:eastAsia="en-GB"/>
        </w:rPr>
        <w:lastRenderedPageBreak/>
        <w:drawing>
          <wp:inline distT="0" distB="0" distL="0" distR="0" wp14:anchorId="0320FB12" wp14:editId="234CA640">
            <wp:extent cx="5731510" cy="3890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3890645"/>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Figure 3.</w:t>
      </w:r>
      <w:r w:rsidRPr="00BC0732">
        <w:rPr>
          <w:rFonts w:cs="Times New Roman"/>
          <w:szCs w:val="20"/>
        </w:rPr>
        <w:t xml:space="preserve"> Compressive strengths at 28 days for 1 h and 24 h of stand time </w:t>
      </w:r>
      <w:r>
        <w:rPr>
          <w:rFonts w:cs="Times New Roman"/>
          <w:szCs w:val="20"/>
        </w:rPr>
        <w:t xml:space="preserve">of 100% pfa mortars </w:t>
      </w:r>
      <w:r w:rsidRPr="00BC0732">
        <w:rPr>
          <w:rFonts w:cs="Times New Roman"/>
          <w:szCs w:val="20"/>
        </w:rPr>
        <w:t>(70°C curing temperature) for a range of alkali modulus (AM) and alkali dosage (M+)</w:t>
      </w:r>
      <w:r>
        <w:rPr>
          <w:rFonts w:cs="Times New Roman"/>
          <w:szCs w:val="20"/>
        </w:rPr>
        <w:t>. Error bars represent ± standard deviation.</w:t>
      </w:r>
    </w:p>
    <w:p w:rsidR="00E849CB" w:rsidRDefault="00E849CB" w:rsidP="00091994"/>
    <w:p w:rsidR="00602056" w:rsidRPr="00602056" w:rsidRDefault="00602056" w:rsidP="00091994">
      <w:pPr>
        <w:pStyle w:val="Heading3"/>
      </w:pPr>
      <w:r>
        <w:t>Effect of c</w:t>
      </w:r>
      <w:r w:rsidRPr="00602056">
        <w:t xml:space="preserve">uring </w:t>
      </w:r>
      <w:r>
        <w:t>t</w:t>
      </w:r>
      <w:r w:rsidRPr="00602056">
        <w:t>emperature</w:t>
      </w:r>
    </w:p>
    <w:p w:rsidR="00602056" w:rsidRDefault="00602056" w:rsidP="00091994">
      <w:r w:rsidRPr="00602056">
        <w:t xml:space="preserve">Figure </w:t>
      </w:r>
      <w:r w:rsidR="00B6437C">
        <w:t>4</w:t>
      </w:r>
      <w:r w:rsidRPr="00602056">
        <w:t xml:space="preserve"> </w:t>
      </w:r>
      <w:r w:rsidR="003C5A8D">
        <w:t xml:space="preserve">shows </w:t>
      </w:r>
      <w:r w:rsidRPr="00602056">
        <w:t xml:space="preserve">the effect of curing temperature on </w:t>
      </w:r>
      <w:r w:rsidR="003C5A8D">
        <w:t xml:space="preserve">the 28-day </w:t>
      </w:r>
      <w:r w:rsidRPr="00602056">
        <w:t>strength</w:t>
      </w:r>
      <w:r w:rsidR="003C5A8D">
        <w:t>s</w:t>
      </w:r>
      <w:r w:rsidRPr="00602056">
        <w:t xml:space="preserve"> of all mixes.  It can be seen that in all cases, with the exception of those with the lowest </w:t>
      </w:r>
      <w:r w:rsidR="00AC14CA">
        <w:t>AM (</w:t>
      </w:r>
      <w:r w:rsidRPr="00602056">
        <w:t>0.5</w:t>
      </w:r>
      <w:r w:rsidR="00AC14CA">
        <w:t>)</w:t>
      </w:r>
      <w:r w:rsidRPr="00602056">
        <w:t>, 70</w:t>
      </w:r>
      <w:r w:rsidRPr="00B30358">
        <w:rPr>
          <w:rFonts w:ascii="Calibri" w:hAnsi="Calibri"/>
        </w:rPr>
        <w:t>°</w:t>
      </w:r>
      <w:r w:rsidRPr="00602056">
        <w:t>C curing temperatures give significantly increased strength</w:t>
      </w:r>
      <w:r w:rsidR="003C5A8D">
        <w:t>s</w:t>
      </w:r>
      <w:r w:rsidRPr="00602056">
        <w:t xml:space="preserve"> compared to those cured at 50</w:t>
      </w:r>
      <w:r w:rsidRPr="00B30358">
        <w:rPr>
          <w:rFonts w:ascii="Calibri" w:hAnsi="Calibri"/>
        </w:rPr>
        <w:t>°</w:t>
      </w:r>
      <w:r w:rsidRPr="00602056">
        <w:t xml:space="preserve">C for the same time. </w:t>
      </w:r>
      <w:r w:rsidR="00657861">
        <w:t xml:space="preserve">The same trend was observed irrespective of the </w:t>
      </w:r>
      <w:r w:rsidR="003C5A8D">
        <w:t>“</w:t>
      </w:r>
      <w:r w:rsidR="00657861">
        <w:t>stand time</w:t>
      </w:r>
      <w:r w:rsidR="003C5A8D">
        <w:t>”</w:t>
      </w:r>
      <w:r w:rsidR="00657861">
        <w:t xml:space="preserve"> duration. </w:t>
      </w:r>
      <w:r>
        <w:t xml:space="preserve">Mixes </w:t>
      </w:r>
      <w:r w:rsidRPr="00602056">
        <w:t xml:space="preserve">with low alkali modulus </w:t>
      </w:r>
      <w:r w:rsidR="003C5A8D">
        <w:t>we</w:t>
      </w:r>
      <w:r w:rsidRPr="00602056">
        <w:t xml:space="preserve">re extremely viscous and </w:t>
      </w:r>
      <w:r w:rsidR="003C5A8D">
        <w:t xml:space="preserve">also </w:t>
      </w:r>
      <w:r w:rsidRPr="00602056">
        <w:t>tend</w:t>
      </w:r>
      <w:r w:rsidR="003C5A8D">
        <w:t>ed</w:t>
      </w:r>
      <w:r w:rsidRPr="00602056">
        <w:t xml:space="preserve"> to expand </w:t>
      </w:r>
      <w:r w:rsidR="003C5A8D">
        <w:t>upon</w:t>
      </w:r>
      <w:r w:rsidRPr="00602056">
        <w:t xml:space="preserve"> thermal curing, </w:t>
      </w:r>
      <w:r w:rsidR="003C5A8D">
        <w:t>forming a muffin like top. Lower curing temperature</w:t>
      </w:r>
      <w:r w:rsidRPr="00602056">
        <w:t xml:space="preserve"> lead</w:t>
      </w:r>
      <w:r w:rsidR="00340928">
        <w:t>s</w:t>
      </w:r>
      <w:r w:rsidRPr="00602056">
        <w:t xml:space="preserve"> to </w:t>
      </w:r>
      <w:r w:rsidR="00657861">
        <w:t xml:space="preserve">mitigation of </w:t>
      </w:r>
      <w:r w:rsidRPr="00602056">
        <w:t>such expansion</w:t>
      </w:r>
      <w:r w:rsidR="003C5A8D">
        <w:t xml:space="preserve"> and this </w:t>
      </w:r>
      <w:r w:rsidR="00657861">
        <w:t xml:space="preserve">is reflected </w:t>
      </w:r>
      <w:r w:rsidR="003C5A8D">
        <w:t>in</w:t>
      </w:r>
      <w:r w:rsidR="00657861">
        <w:t xml:space="preserve"> </w:t>
      </w:r>
      <w:r w:rsidRPr="00602056">
        <w:t>the increased strength</w:t>
      </w:r>
      <w:r w:rsidR="003C5A8D">
        <w:t>s</w:t>
      </w:r>
      <w:r w:rsidRPr="00602056">
        <w:t>.</w:t>
      </w:r>
    </w:p>
    <w:p w:rsidR="00E849CB" w:rsidRPr="00792F37" w:rsidRDefault="00E849CB" w:rsidP="00E849CB">
      <w:pPr>
        <w:pStyle w:val="Heading3"/>
      </w:pPr>
      <w:r w:rsidRPr="00792F37">
        <w:t>Effect of Alkali Dosage</w:t>
      </w:r>
    </w:p>
    <w:p w:rsidR="00E849CB" w:rsidRDefault="00E849CB" w:rsidP="00E849CB">
      <w:r>
        <w:t>T</w:t>
      </w:r>
      <w:r w:rsidRPr="004A64A6">
        <w:t>he alkali dosage is a proxy for the alkali concentration, and describes the mass ratio of sodium oxide (Na</w:t>
      </w:r>
      <w:r w:rsidRPr="004A64A6">
        <w:rPr>
          <w:vertAlign w:val="subscript"/>
        </w:rPr>
        <w:t>2</w:t>
      </w:r>
      <w:r w:rsidRPr="004A64A6">
        <w:t xml:space="preserve">O) in the activating solution to </w:t>
      </w:r>
      <w:r>
        <w:t>pfa</w:t>
      </w:r>
      <w:r w:rsidRPr="004A64A6">
        <w:t>, where the water to total reactive solids ratio is fixed.</w:t>
      </w:r>
    </w:p>
    <w:p w:rsidR="00E849CB" w:rsidRPr="004A64A6" w:rsidRDefault="00E849CB" w:rsidP="00E849CB"/>
    <w:p w:rsidR="00E849CB" w:rsidRPr="00BC0732" w:rsidRDefault="00E849CB" w:rsidP="00E849CB">
      <w:pPr>
        <w:spacing w:after="0" w:line="288" w:lineRule="auto"/>
        <w:jc w:val="center"/>
        <w:rPr>
          <w:rFonts w:cs="Times New Roman"/>
          <w:szCs w:val="20"/>
        </w:rPr>
      </w:pPr>
      <w:r>
        <w:rPr>
          <w:rFonts w:cs="Times New Roman"/>
          <w:noProof/>
          <w:szCs w:val="20"/>
          <w:lang w:eastAsia="en-GB"/>
        </w:rPr>
        <w:lastRenderedPageBreak/>
        <w:drawing>
          <wp:inline distT="0" distB="0" distL="0" distR="0" wp14:anchorId="5C386924" wp14:editId="7B267C7E">
            <wp:extent cx="5731510" cy="3726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726815"/>
                    </a:xfrm>
                    <a:prstGeom prst="rect">
                      <a:avLst/>
                    </a:prstGeom>
                  </pic:spPr>
                </pic:pic>
              </a:graphicData>
            </a:graphic>
          </wp:inline>
        </w:drawing>
      </w:r>
    </w:p>
    <w:p w:rsidR="00E849CB" w:rsidRDefault="00E849CB" w:rsidP="00E849CB">
      <w:pPr>
        <w:spacing w:after="0" w:line="288" w:lineRule="auto"/>
        <w:jc w:val="center"/>
      </w:pPr>
      <w:r w:rsidRPr="00BC0732">
        <w:rPr>
          <w:rFonts w:cs="Times New Roman"/>
          <w:b/>
          <w:szCs w:val="20"/>
        </w:rPr>
        <w:t>Figure 4.</w:t>
      </w:r>
      <w:r w:rsidRPr="00BC0732">
        <w:rPr>
          <w:rFonts w:cs="Times New Roman"/>
          <w:szCs w:val="20"/>
        </w:rPr>
        <w:t xml:space="preserve"> Compressive strengths at 28 days</w:t>
      </w:r>
      <w:r>
        <w:rPr>
          <w:rFonts w:cs="Times New Roman"/>
          <w:szCs w:val="20"/>
        </w:rPr>
        <w:t xml:space="preserve"> of 100% pfa mortars</w:t>
      </w:r>
      <w:r w:rsidRPr="00BC0732">
        <w:rPr>
          <w:rFonts w:cs="Times New Roman"/>
          <w:szCs w:val="20"/>
        </w:rPr>
        <w:t xml:space="preserve"> for 50°C and 70°C curing temperatures (1 h stand time) for a range of alkali modulus (AM) and alkali dosage (M+)</w:t>
      </w:r>
      <w:r>
        <w:rPr>
          <w:rFonts w:cs="Times New Roman"/>
          <w:szCs w:val="20"/>
        </w:rPr>
        <w:t>. Error bars represent ± standard deviation.</w:t>
      </w:r>
    </w:p>
    <w:p w:rsidR="00E849CB" w:rsidRDefault="00E849CB" w:rsidP="00091994"/>
    <w:p w:rsidR="004A64A6" w:rsidRPr="004A64A6" w:rsidRDefault="004A64A6" w:rsidP="00091994">
      <w:r w:rsidRPr="004A64A6">
        <w:t xml:space="preserve">Figure </w:t>
      </w:r>
      <w:r w:rsidR="00B6437C">
        <w:t>5</w:t>
      </w:r>
      <w:r w:rsidRPr="004A64A6">
        <w:t xml:space="preserve"> </w:t>
      </w:r>
      <w:r w:rsidR="003C5A8D">
        <w:t xml:space="preserve">shows </w:t>
      </w:r>
      <w:r w:rsidRPr="004A64A6">
        <w:t>the effect of alkali dosage on strength development for the</w:t>
      </w:r>
      <w:r w:rsidR="00F841F5">
        <w:t xml:space="preserve"> six</w:t>
      </w:r>
      <w:r w:rsidRPr="004A64A6">
        <w:t xml:space="preserve"> alkali moduli investigated</w:t>
      </w:r>
      <w:r w:rsidR="00B6437C">
        <w:t xml:space="preserve"> for curing temperature </w:t>
      </w:r>
      <w:r w:rsidR="003C5A8D">
        <w:t>of</w:t>
      </w:r>
      <w:r w:rsidR="00B6437C">
        <w:t xml:space="preserve"> 70</w:t>
      </w:r>
      <w:r w:rsidR="00B6437C" w:rsidRPr="00B6437C">
        <w:rPr>
          <w:rFonts w:ascii="Calibri" w:hAnsi="Calibri"/>
        </w:rPr>
        <w:t>°</w:t>
      </w:r>
      <w:r w:rsidR="00B6437C">
        <w:t xml:space="preserve">C and </w:t>
      </w:r>
      <w:r w:rsidR="003C5A8D">
        <w:t>“</w:t>
      </w:r>
      <w:r w:rsidR="00B6437C">
        <w:t>stand time</w:t>
      </w:r>
      <w:r w:rsidR="003C5A8D">
        <w:t>”</w:t>
      </w:r>
      <w:r w:rsidR="00B6437C">
        <w:t xml:space="preserve"> of 1 hour</w:t>
      </w:r>
      <w:r w:rsidR="003C5A8D">
        <w:t>.</w:t>
      </w:r>
      <w:r w:rsidR="00B6437C">
        <w:t xml:space="preserve"> </w:t>
      </w:r>
      <w:r w:rsidR="003C5A8D">
        <w:t xml:space="preserve">These </w:t>
      </w:r>
      <w:r w:rsidR="00B6437C">
        <w:t xml:space="preserve">were the curing conditions </w:t>
      </w:r>
      <w:r w:rsidR="003C5A8D">
        <w:t>that gave the highest compressive strengths</w:t>
      </w:r>
      <w:r w:rsidRPr="004A64A6">
        <w:t xml:space="preserve">. </w:t>
      </w:r>
      <w:r w:rsidR="003C5A8D">
        <w:t>A</w:t>
      </w:r>
      <w:r w:rsidRPr="004A64A6">
        <w:t xml:space="preserve">n increase in alkali dosage </w:t>
      </w:r>
      <w:r w:rsidR="00DE7D23">
        <w:t xml:space="preserve">(M+) </w:t>
      </w:r>
      <w:r w:rsidR="003C5A8D">
        <w:t>resulted in</w:t>
      </w:r>
      <w:r w:rsidRPr="004A64A6">
        <w:t xml:space="preserve"> an increase </w:t>
      </w:r>
      <w:r w:rsidR="003C5A8D">
        <w:t xml:space="preserve">of the </w:t>
      </w:r>
      <w:r w:rsidRPr="004A64A6">
        <w:t xml:space="preserve">strength </w:t>
      </w:r>
      <w:r w:rsidR="003C5A8D">
        <w:t xml:space="preserve">up to </w:t>
      </w:r>
      <w:r w:rsidR="003D1D47">
        <w:t>an M+</w:t>
      </w:r>
      <w:r w:rsidRPr="004A64A6">
        <w:t xml:space="preserve"> of 12.5%</w:t>
      </w:r>
      <w:r w:rsidR="003C5A8D">
        <w:t>.</w:t>
      </w:r>
      <w:r w:rsidRPr="004A64A6">
        <w:t xml:space="preserve"> </w:t>
      </w:r>
      <w:r w:rsidR="003C5A8D">
        <w:t>B</w:t>
      </w:r>
      <w:r w:rsidRPr="004A64A6">
        <w:t xml:space="preserve">eyond </w:t>
      </w:r>
      <w:r w:rsidR="003C5A8D">
        <w:t>this</w:t>
      </w:r>
      <w:r w:rsidR="003D1D47">
        <w:t xml:space="preserve"> ‘optimum’ value,</w:t>
      </w:r>
      <w:r w:rsidR="003C5A8D">
        <w:t xml:space="preserve"> the </w:t>
      </w:r>
      <w:r w:rsidRPr="004A64A6">
        <w:t>strengths de</w:t>
      </w:r>
      <w:r w:rsidR="003C5A8D">
        <w:t>creased</w:t>
      </w:r>
      <w:r w:rsidR="003D1D47">
        <w:t>, which</w:t>
      </w:r>
      <w:r w:rsidRPr="004A64A6">
        <w:t xml:space="preserve"> is attributed to saturation of the gel with alkali ions </w:t>
      </w:r>
      <w:r w:rsidR="003C5A8D">
        <w:t xml:space="preserve">resulting in </w:t>
      </w:r>
      <w:r w:rsidRPr="004A64A6">
        <w:t xml:space="preserve">less free water </w:t>
      </w:r>
      <w:r w:rsidR="003C5A8D">
        <w:t xml:space="preserve">to be </w:t>
      </w:r>
      <w:r w:rsidRPr="004A64A6">
        <w:t xml:space="preserve">available for speciation of silica and alumina oligomers from the dissolution of </w:t>
      </w:r>
      <w:r w:rsidR="004E1E4C">
        <w:t>pfa</w:t>
      </w:r>
      <w:r w:rsidRPr="004A64A6">
        <w:t>.</w:t>
      </w:r>
    </w:p>
    <w:p w:rsidR="004A64A6" w:rsidRPr="00792F37" w:rsidRDefault="004A64A6" w:rsidP="00091994">
      <w:pPr>
        <w:pStyle w:val="Heading3"/>
      </w:pPr>
      <w:r w:rsidRPr="00792F37">
        <w:t>Effect of Alkali Modulus</w:t>
      </w:r>
    </w:p>
    <w:p w:rsidR="004A64A6" w:rsidRDefault="00EC51F3" w:rsidP="00091994">
      <w:r>
        <w:t>T</w:t>
      </w:r>
      <w:r w:rsidR="004A64A6" w:rsidRPr="004A64A6">
        <w:t xml:space="preserve">he alkali modulus (AM) is the mass ratio of sodium oxide to silica in the activating solution and </w:t>
      </w:r>
      <w:r>
        <w:t xml:space="preserve">it </w:t>
      </w:r>
      <w:r w:rsidR="004A64A6" w:rsidRPr="004A64A6">
        <w:t>is a proxy for the amount of added silica in the activator solution.</w:t>
      </w:r>
      <w:r w:rsidR="003D1D47">
        <w:t xml:space="preserve"> </w:t>
      </w:r>
      <w:r w:rsidR="004A64A6" w:rsidRPr="004A64A6">
        <w:t xml:space="preserve">As can be seen in </w:t>
      </w:r>
      <w:r w:rsidR="009D02D3">
        <w:t>F</w:t>
      </w:r>
      <w:r w:rsidR="004A64A6" w:rsidRPr="004A64A6">
        <w:t xml:space="preserve">igure </w:t>
      </w:r>
      <w:r w:rsidR="00B6437C">
        <w:t xml:space="preserve">6 (curing temperature </w:t>
      </w:r>
      <w:r w:rsidR="002B3045">
        <w:t>of</w:t>
      </w:r>
      <w:r w:rsidR="00B6437C">
        <w:t xml:space="preserve"> 70</w:t>
      </w:r>
      <w:r w:rsidR="00B6437C" w:rsidRPr="00B6437C">
        <w:t xml:space="preserve"> </w:t>
      </w:r>
      <w:r w:rsidR="00B6437C" w:rsidRPr="00B6437C">
        <w:rPr>
          <w:rFonts w:ascii="Calibri" w:hAnsi="Calibri"/>
        </w:rPr>
        <w:t>°</w:t>
      </w:r>
      <w:r w:rsidR="00B6437C">
        <w:t xml:space="preserve">C and </w:t>
      </w:r>
      <w:r>
        <w:t>“</w:t>
      </w:r>
      <w:r w:rsidR="00B6437C">
        <w:t>stand time</w:t>
      </w:r>
      <w:r>
        <w:t>”</w:t>
      </w:r>
      <w:r w:rsidR="00B6437C">
        <w:t xml:space="preserve"> of 1 hour)</w:t>
      </w:r>
      <w:r w:rsidR="004A64A6" w:rsidRPr="004A64A6">
        <w:t xml:space="preserve">, </w:t>
      </w:r>
      <w:r w:rsidR="003D1D47">
        <w:t xml:space="preserve">there is </w:t>
      </w:r>
      <w:r w:rsidR="004A64A6" w:rsidRPr="004A64A6">
        <w:t xml:space="preserve">an </w:t>
      </w:r>
      <w:r>
        <w:t xml:space="preserve">optimum </w:t>
      </w:r>
      <w:r w:rsidR="003D1D47">
        <w:t xml:space="preserve">range of </w:t>
      </w:r>
      <w:r>
        <w:t>value</w:t>
      </w:r>
      <w:r w:rsidR="003D1D47">
        <w:t>s</w:t>
      </w:r>
      <w:r>
        <w:t xml:space="preserve"> </w:t>
      </w:r>
      <w:r w:rsidR="004A64A6" w:rsidRPr="004A64A6">
        <w:t>for the alkali modulus, above and below which strength</w:t>
      </w:r>
      <w:r>
        <w:t>s</w:t>
      </w:r>
      <w:r w:rsidR="004A64A6" w:rsidRPr="004A64A6">
        <w:t xml:space="preserve"> </w:t>
      </w:r>
      <w:r>
        <w:t>decrease</w:t>
      </w:r>
      <w:r w:rsidR="004A64A6" w:rsidRPr="004A64A6">
        <w:t xml:space="preserve">. With increasing alkali dosage, that ‘sweet spot’ broadens out towards higher alkali modulus. Again, results for </w:t>
      </w:r>
      <w:r w:rsidR="00F841F5">
        <w:t xml:space="preserve">M+ = </w:t>
      </w:r>
      <w:r w:rsidR="004A64A6" w:rsidRPr="004A64A6">
        <w:t xml:space="preserve">15% do not follow </w:t>
      </w:r>
      <w:r>
        <w:t xml:space="preserve">these </w:t>
      </w:r>
      <w:r w:rsidR="004A64A6" w:rsidRPr="004A64A6">
        <w:t xml:space="preserve">trends. In general, alkali moduli between 1 and 1.25 give the </w:t>
      </w:r>
      <w:r w:rsidR="00B65D80">
        <w:t xml:space="preserve">highest </w:t>
      </w:r>
      <w:r w:rsidR="004A64A6" w:rsidRPr="004A64A6">
        <w:t>strength</w:t>
      </w:r>
      <w:r w:rsidR="00B65D80">
        <w:t>s</w:t>
      </w:r>
      <w:r w:rsidR="004A64A6" w:rsidRPr="004A64A6">
        <w:t xml:space="preserve"> across the alkali dosages </w:t>
      </w:r>
      <w:r w:rsidR="00B65D80">
        <w:t>investigated</w:t>
      </w:r>
      <w:r w:rsidR="004A64A6" w:rsidRPr="004A64A6">
        <w:t>.</w:t>
      </w:r>
    </w:p>
    <w:p w:rsidR="00E849CB" w:rsidRPr="00BC0732" w:rsidRDefault="00E849CB" w:rsidP="00E849CB">
      <w:pPr>
        <w:spacing w:after="0" w:line="288" w:lineRule="auto"/>
        <w:jc w:val="center"/>
        <w:rPr>
          <w:rFonts w:cs="Times New Roman"/>
          <w:szCs w:val="20"/>
        </w:rPr>
      </w:pPr>
      <w:r>
        <w:rPr>
          <w:rFonts w:cs="Times New Roman"/>
          <w:noProof/>
          <w:szCs w:val="20"/>
          <w:lang w:eastAsia="en-GB"/>
        </w:rPr>
        <w:lastRenderedPageBreak/>
        <w:drawing>
          <wp:inline distT="0" distB="0" distL="0" distR="0" wp14:anchorId="0EC3A1EB" wp14:editId="02277689">
            <wp:extent cx="3016471" cy="36551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3" cstate="email">
                      <a:extLst>
                        <a:ext uri="{28A0092B-C50C-407E-A947-70E740481C1C}">
                          <a14:useLocalDpi xmlns:a14="http://schemas.microsoft.com/office/drawing/2010/main"/>
                        </a:ext>
                      </a:extLst>
                    </a:blip>
                    <a:stretch>
                      <a:fillRect/>
                    </a:stretch>
                  </pic:blipFill>
                  <pic:spPr>
                    <a:xfrm>
                      <a:off x="0" y="0"/>
                      <a:ext cx="3017498" cy="3656368"/>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Figure 5.</w:t>
      </w:r>
      <w:r w:rsidRPr="00BC0732">
        <w:rPr>
          <w:rFonts w:cs="Times New Roman"/>
          <w:szCs w:val="20"/>
        </w:rPr>
        <w:t xml:space="preserve"> Effect of alkali dosage (M+) for different alkali modulus (AM) on 28-day strength </w:t>
      </w:r>
      <w:r>
        <w:rPr>
          <w:rFonts w:cs="Times New Roman"/>
          <w:szCs w:val="20"/>
        </w:rPr>
        <w:t xml:space="preserve">of 100% pfa mortars </w:t>
      </w:r>
      <w:r w:rsidRPr="00BC0732">
        <w:rPr>
          <w:rFonts w:cs="Times New Roman"/>
          <w:szCs w:val="20"/>
        </w:rPr>
        <w:t>(1 hour at 20°C, followed by 70°C curing).</w:t>
      </w:r>
      <w:r>
        <w:rPr>
          <w:rFonts w:cs="Times New Roman"/>
          <w:szCs w:val="20"/>
        </w:rPr>
        <w:t xml:space="preserve"> Error bars represent ± standard deviation.</w:t>
      </w: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r>
        <w:rPr>
          <w:rFonts w:cs="Times New Roman"/>
          <w:noProof/>
          <w:szCs w:val="20"/>
          <w:lang w:eastAsia="en-GB"/>
        </w:rPr>
        <w:drawing>
          <wp:inline distT="0" distB="0" distL="0" distR="0" wp14:anchorId="3EFB2828" wp14:editId="44405DD3">
            <wp:extent cx="2918861" cy="35303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4" cstate="email">
                      <a:extLst>
                        <a:ext uri="{28A0092B-C50C-407E-A947-70E740481C1C}">
                          <a14:useLocalDpi xmlns:a14="http://schemas.microsoft.com/office/drawing/2010/main"/>
                        </a:ext>
                      </a:extLst>
                    </a:blip>
                    <a:stretch>
                      <a:fillRect/>
                    </a:stretch>
                  </pic:blipFill>
                  <pic:spPr>
                    <a:xfrm>
                      <a:off x="0" y="0"/>
                      <a:ext cx="2918338" cy="3529747"/>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Figure 6.</w:t>
      </w:r>
      <w:r w:rsidRPr="00BC0732">
        <w:rPr>
          <w:rFonts w:cs="Times New Roman"/>
          <w:szCs w:val="20"/>
        </w:rPr>
        <w:t xml:space="preserve"> Effect of alkali modulus (AM) for a range of alkali dosages (M+) on 28-day strength </w:t>
      </w:r>
      <w:r>
        <w:rPr>
          <w:rFonts w:cs="Times New Roman"/>
          <w:szCs w:val="20"/>
        </w:rPr>
        <w:t xml:space="preserve">of 100% pfa mortars </w:t>
      </w:r>
      <w:r w:rsidRPr="00BC0732">
        <w:rPr>
          <w:rFonts w:cs="Times New Roman"/>
          <w:szCs w:val="20"/>
        </w:rPr>
        <w:t>(1 hour at 20°C, followed by 70°C curing).</w:t>
      </w:r>
      <w:r>
        <w:rPr>
          <w:rFonts w:cs="Times New Roman"/>
          <w:szCs w:val="20"/>
        </w:rPr>
        <w:t xml:space="preserve"> Error bars represent ± standard deviation.</w:t>
      </w:r>
    </w:p>
    <w:p w:rsidR="00E849CB" w:rsidRPr="00BC0732" w:rsidRDefault="00E849CB" w:rsidP="00E849CB">
      <w:pPr>
        <w:spacing w:after="0" w:line="288" w:lineRule="auto"/>
        <w:jc w:val="center"/>
        <w:rPr>
          <w:rFonts w:cs="Times New Roman"/>
          <w:szCs w:val="20"/>
        </w:rPr>
      </w:pPr>
    </w:p>
    <w:p w:rsidR="004A64A6" w:rsidRPr="004A64A6" w:rsidRDefault="004A64A6" w:rsidP="00091994">
      <w:r w:rsidRPr="004A64A6">
        <w:lastRenderedPageBreak/>
        <w:t xml:space="preserve">The drop-off in strength with increasing modulus is likely </w:t>
      </w:r>
      <w:r w:rsidR="00B65D80">
        <w:t xml:space="preserve">to be </w:t>
      </w:r>
      <w:r w:rsidRPr="004A64A6">
        <w:t xml:space="preserve">due to the reduced amount of available silica </w:t>
      </w:r>
      <w:r w:rsidR="00B65D80">
        <w:t xml:space="preserve">that can participate </w:t>
      </w:r>
      <w:r w:rsidRPr="004A64A6">
        <w:t>in the ‘reorganisation-gelation-polymerisation’ st</w:t>
      </w:r>
      <w:r w:rsidR="006A5FB0">
        <w:t>eps of the geopolymer formation</w:t>
      </w:r>
      <w:r w:rsidRPr="004A64A6">
        <w:t xml:space="preserve"> </w:t>
      </w:r>
      <w:r w:rsidR="00B65D80">
        <w:t xml:space="preserve">and thus </w:t>
      </w:r>
      <w:r w:rsidR="006A5FB0">
        <w:t xml:space="preserve">the development of </w:t>
      </w:r>
      <w:r w:rsidRPr="004A64A6">
        <w:t xml:space="preserve">a denser and more complete and long polymer chain. </w:t>
      </w:r>
      <w:r w:rsidR="00B65D80">
        <w:t>The reduction in</w:t>
      </w:r>
      <w:r w:rsidRPr="004A64A6">
        <w:t xml:space="preserve"> strengths at low modulus (AM=0.5: all sodium silicate)</w:t>
      </w:r>
      <w:r w:rsidR="00B65D80">
        <w:t xml:space="preserve"> </w:t>
      </w:r>
      <w:r w:rsidR="00B06246">
        <w:t>can</w:t>
      </w:r>
      <w:r w:rsidRPr="004A64A6">
        <w:t xml:space="preserve"> </w:t>
      </w:r>
      <w:r w:rsidR="00B06246">
        <w:t xml:space="preserve">be </w:t>
      </w:r>
      <w:r w:rsidRPr="004A64A6">
        <w:t xml:space="preserve">attributed to </w:t>
      </w:r>
      <w:r w:rsidR="00B06246">
        <w:t xml:space="preserve">the reduction of the pH in the system when only sodium silicate solution is used. </w:t>
      </w:r>
      <w:r w:rsidR="00B65D80">
        <w:t xml:space="preserve">The expansion of the cubes upon thermal curing could also have contributed. </w:t>
      </w:r>
    </w:p>
    <w:p w:rsidR="004A64A6" w:rsidRDefault="00B65D80" w:rsidP="00091994">
      <w:r>
        <w:t xml:space="preserve">Figure 7 shows a 3-D </w:t>
      </w:r>
      <w:r w:rsidR="004A64A6" w:rsidRPr="004A64A6">
        <w:t xml:space="preserve">plot </w:t>
      </w:r>
      <w:r>
        <w:t xml:space="preserve">clearly identifying </w:t>
      </w:r>
      <w:r w:rsidR="004A64A6" w:rsidRPr="004A64A6">
        <w:t xml:space="preserve">the combined effect of alkali </w:t>
      </w:r>
      <w:r>
        <w:t xml:space="preserve">dosage and </w:t>
      </w:r>
      <w:r w:rsidR="004A64A6" w:rsidRPr="004A64A6">
        <w:t xml:space="preserve">modulus on </w:t>
      </w:r>
      <w:r>
        <w:t xml:space="preserve">compressive </w:t>
      </w:r>
      <w:r w:rsidR="004A64A6" w:rsidRPr="004A64A6">
        <w:t xml:space="preserve">strength. The ‘sweet spot’ of the </w:t>
      </w:r>
      <w:r>
        <w:t xml:space="preserve">optimum </w:t>
      </w:r>
      <w:r w:rsidR="004A64A6" w:rsidRPr="004A64A6">
        <w:t xml:space="preserve">alkali modulus and dosage combinations </w:t>
      </w:r>
      <w:r>
        <w:t xml:space="preserve">has </w:t>
      </w:r>
      <w:r w:rsidR="004A64A6" w:rsidRPr="004A64A6">
        <w:t xml:space="preserve">a strength maximum of 70 </w:t>
      </w:r>
      <w:r w:rsidR="00F3082D">
        <w:t>MPa</w:t>
      </w:r>
      <w:r w:rsidR="004A64A6" w:rsidRPr="004A64A6">
        <w:t xml:space="preserve"> </w:t>
      </w:r>
      <w:r w:rsidR="009D02D3">
        <w:t xml:space="preserve">at around </w:t>
      </w:r>
      <w:r w:rsidR="002B3045">
        <w:t xml:space="preserve">an </w:t>
      </w:r>
      <w:r w:rsidR="004A64A6" w:rsidRPr="004A64A6">
        <w:t xml:space="preserve">alkali dosage of 12.5% and alkali modulus of 1.25.  </w:t>
      </w:r>
    </w:p>
    <w:p w:rsidR="00E849CB" w:rsidRPr="00BC0732" w:rsidRDefault="00E849CB" w:rsidP="00E849CB">
      <w:pPr>
        <w:spacing w:after="0" w:line="288" w:lineRule="auto"/>
        <w:jc w:val="center"/>
        <w:rPr>
          <w:rFonts w:cs="Times New Roman"/>
          <w:szCs w:val="20"/>
        </w:rPr>
      </w:pPr>
      <w:r>
        <w:rPr>
          <w:rFonts w:cs="Times New Roman"/>
          <w:noProof/>
          <w:szCs w:val="20"/>
          <w:lang w:eastAsia="en-GB"/>
        </w:rPr>
        <w:drawing>
          <wp:inline distT="0" distB="0" distL="0" distR="0" wp14:anchorId="57D2E5A3" wp14:editId="50C08D8F">
            <wp:extent cx="3311908" cy="41903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5" cstate="email">
                      <a:extLst>
                        <a:ext uri="{28A0092B-C50C-407E-A947-70E740481C1C}">
                          <a14:useLocalDpi xmlns:a14="http://schemas.microsoft.com/office/drawing/2010/main"/>
                        </a:ext>
                      </a:extLst>
                    </a:blip>
                    <a:stretch>
                      <a:fillRect/>
                    </a:stretch>
                  </pic:blipFill>
                  <pic:spPr>
                    <a:xfrm>
                      <a:off x="0" y="0"/>
                      <a:ext cx="3311958" cy="4190401"/>
                    </a:xfrm>
                    <a:prstGeom prst="rect">
                      <a:avLst/>
                    </a:prstGeom>
                  </pic:spPr>
                </pic:pic>
              </a:graphicData>
            </a:graphic>
          </wp:inline>
        </w:drawing>
      </w:r>
    </w:p>
    <w:p w:rsidR="00E849CB" w:rsidRPr="00BC0732" w:rsidRDefault="00E849CB" w:rsidP="00E849CB">
      <w:pPr>
        <w:spacing w:after="0" w:line="288" w:lineRule="auto"/>
        <w:jc w:val="center"/>
        <w:rPr>
          <w:rFonts w:cs="Times New Roman"/>
          <w:b/>
          <w:szCs w:val="20"/>
        </w:rPr>
      </w:pPr>
    </w:p>
    <w:p w:rsidR="00E849CB" w:rsidRPr="004A64A6" w:rsidRDefault="00E849CB" w:rsidP="00E849CB">
      <w:r w:rsidRPr="00BC0732">
        <w:rPr>
          <w:rFonts w:cs="Times New Roman"/>
          <w:b/>
          <w:szCs w:val="20"/>
        </w:rPr>
        <w:t>Figure 7.</w:t>
      </w:r>
      <w:r w:rsidRPr="00BC0732">
        <w:rPr>
          <w:rFonts w:cs="Times New Roman"/>
          <w:szCs w:val="20"/>
        </w:rPr>
        <w:t xml:space="preserve"> 3-D plot showing the combined effects of alkali dosage and modulus on the 28-day strength</w:t>
      </w:r>
      <w:r>
        <w:rPr>
          <w:rFonts w:cs="Times New Roman"/>
          <w:szCs w:val="20"/>
        </w:rPr>
        <w:t xml:space="preserve"> of 100% pfa mortars</w:t>
      </w:r>
      <w:r w:rsidRPr="00BC0732">
        <w:rPr>
          <w:rFonts w:cs="Times New Roman"/>
          <w:szCs w:val="20"/>
        </w:rPr>
        <w:t xml:space="preserve"> (1 hour at 20 °C followed by 70 °C)</w:t>
      </w:r>
    </w:p>
    <w:p w:rsidR="00E849CB" w:rsidRDefault="00E849CB" w:rsidP="00091994"/>
    <w:p w:rsidR="00E83E83" w:rsidRPr="005577F5" w:rsidRDefault="00B65D80" w:rsidP="00091994">
      <w:pPr>
        <w:pStyle w:val="Heading2"/>
      </w:pPr>
      <w:r>
        <w:lastRenderedPageBreak/>
        <w:t>I</w:t>
      </w:r>
      <w:r w:rsidR="00E83E83" w:rsidRPr="005577F5">
        <w:t xml:space="preserve">nfluence of physical and chemical properties of raw materials on </w:t>
      </w:r>
      <w:r w:rsidR="00D47D2E">
        <w:t>compressive strength</w:t>
      </w:r>
    </w:p>
    <w:p w:rsidR="005577F5" w:rsidRDefault="00D47D2E" w:rsidP="00091994">
      <w:r>
        <w:t>A</w:t>
      </w:r>
      <w:r w:rsidR="005E67C6">
        <w:t xml:space="preserve"> comprehensive characterisation of 13 different fly ashes from coal </w:t>
      </w:r>
      <w:r>
        <w:t xml:space="preserve">powered electricity generating </w:t>
      </w:r>
      <w:r w:rsidR="005E67C6">
        <w:t>stations was carried out</w:t>
      </w:r>
      <w:r>
        <w:t xml:space="preserve"> in order to investigate the suitability of different pfa sources in </w:t>
      </w:r>
      <w:r w:rsidR="009D02D3">
        <w:t xml:space="preserve">the </w:t>
      </w:r>
      <w:r>
        <w:t>UK</w:t>
      </w:r>
      <w:r w:rsidR="005E67C6">
        <w:t>. Chemical composition, mineralogical composition, grain size distribution and strength</w:t>
      </w:r>
      <w:r w:rsidR="009D02D3">
        <w:t>s</w:t>
      </w:r>
      <w:r w:rsidR="005E67C6">
        <w:t xml:space="preserve"> after alkali activation were investigated.</w:t>
      </w:r>
    </w:p>
    <w:p w:rsidR="005577F5" w:rsidRDefault="00D47D2E" w:rsidP="00091994">
      <w:r>
        <w:t>All the p</w:t>
      </w:r>
      <w:r w:rsidR="00AA7182">
        <w:t xml:space="preserve">fa </w:t>
      </w:r>
      <w:r>
        <w:t xml:space="preserve">samples conformed to </w:t>
      </w:r>
      <w:r w:rsidR="00AA7182">
        <w:t>the requirements of the BS EN-450 standard [2</w:t>
      </w:r>
      <w:r w:rsidR="00DD3278">
        <w:t>5</w:t>
      </w:r>
      <w:r w:rsidR="00AA7182">
        <w:t xml:space="preserve">] </w:t>
      </w:r>
      <w:r>
        <w:t xml:space="preserve">with regards to the </w:t>
      </w:r>
      <w:r w:rsidR="00AA7182">
        <w:t>SiO</w:t>
      </w:r>
      <w:r w:rsidR="00AA7182" w:rsidRPr="002D3EF0">
        <w:rPr>
          <w:vertAlign w:val="subscript"/>
        </w:rPr>
        <w:t>2</w:t>
      </w:r>
      <w:r w:rsidR="00AA7182">
        <w:t>+Al</w:t>
      </w:r>
      <w:r w:rsidR="00AA7182" w:rsidRPr="002D3EF0">
        <w:rPr>
          <w:vertAlign w:val="subscript"/>
        </w:rPr>
        <w:t>2</w:t>
      </w:r>
      <w:r w:rsidR="00AA7182">
        <w:t>O</w:t>
      </w:r>
      <w:r w:rsidR="00AA7182" w:rsidRPr="002D3EF0">
        <w:rPr>
          <w:vertAlign w:val="subscript"/>
        </w:rPr>
        <w:t>3</w:t>
      </w:r>
      <w:r w:rsidR="00AA7182">
        <w:t>+Fe</w:t>
      </w:r>
      <w:r w:rsidR="00AA7182" w:rsidRPr="002D3EF0">
        <w:rPr>
          <w:vertAlign w:val="subscript"/>
        </w:rPr>
        <w:t>2</w:t>
      </w:r>
      <w:r w:rsidR="00AA7182">
        <w:t>O</w:t>
      </w:r>
      <w:r w:rsidR="00AA7182" w:rsidRPr="002D3EF0">
        <w:rPr>
          <w:vertAlign w:val="subscript"/>
        </w:rPr>
        <w:t>3</w:t>
      </w:r>
      <w:r w:rsidR="00AA7182">
        <w:t xml:space="preserve"> (</w:t>
      </w:r>
      <w:r w:rsidR="00AA7182" w:rsidRPr="002D3EF0">
        <w:t>SAF</w:t>
      </w:r>
      <w:r w:rsidR="00AA7182">
        <w:t>), SO</w:t>
      </w:r>
      <w:r w:rsidR="00AA7182" w:rsidRPr="002D3EF0">
        <w:rPr>
          <w:vertAlign w:val="subscript"/>
        </w:rPr>
        <w:t>3</w:t>
      </w:r>
      <w:r w:rsidR="00AA7182">
        <w:t xml:space="preserve">, CaO, MgO, and </w:t>
      </w:r>
      <w:r w:rsidR="00AA7182" w:rsidRPr="002D3EF0">
        <w:t>P</w:t>
      </w:r>
      <w:r w:rsidR="00AA7182" w:rsidRPr="002D3EF0">
        <w:rPr>
          <w:vertAlign w:val="subscript"/>
        </w:rPr>
        <w:t>2</w:t>
      </w:r>
      <w:r w:rsidR="00AA7182" w:rsidRPr="002D3EF0">
        <w:t>O</w:t>
      </w:r>
      <w:r w:rsidR="00AA7182" w:rsidRPr="002D3EF0">
        <w:rPr>
          <w:vertAlign w:val="subscript"/>
        </w:rPr>
        <w:t>5</w:t>
      </w:r>
      <w:r w:rsidR="00AA7182" w:rsidRPr="002D3EF0">
        <w:t xml:space="preserve"> content</w:t>
      </w:r>
      <w:r w:rsidR="00AA7182">
        <w:t>s</w:t>
      </w:r>
      <w:r w:rsidR="002E6B85">
        <w:t>, whereas three pfa sources (C, H, K) had LOI higher than the limits prescribed in [25]</w:t>
      </w:r>
      <w:r w:rsidR="00AA7182">
        <w:t>.</w:t>
      </w:r>
      <w:r w:rsidR="0037575F">
        <w:t xml:space="preserve"> Physical and mechanical properties of </w:t>
      </w:r>
      <w:r w:rsidR="00267376">
        <w:t>nine</w:t>
      </w:r>
      <w:r w:rsidR="0037575F">
        <w:t xml:space="preserve"> investigated pfa </w:t>
      </w:r>
      <w:r>
        <w:t xml:space="preserve">sources </w:t>
      </w:r>
      <w:r w:rsidR="0037575F">
        <w:t xml:space="preserve">are </w:t>
      </w:r>
      <w:r>
        <w:t xml:space="preserve">shown </w:t>
      </w:r>
      <w:r w:rsidR="0037575F">
        <w:t>in Table 2.</w:t>
      </w:r>
      <w:r w:rsidR="00267376">
        <w:t xml:space="preserve"> It was not possible to cast cubes for testing for four of the investigated pfa sources because the mixes were either too dry (pfa K</w:t>
      </w:r>
      <w:r w:rsidR="002B3045">
        <w:t xml:space="preserve"> and</w:t>
      </w:r>
      <w:r w:rsidR="00267376">
        <w:t xml:space="preserve"> M) or flash setting was experienced (pfa I</w:t>
      </w:r>
      <w:r w:rsidR="002B3045">
        <w:t xml:space="preserve"> and</w:t>
      </w:r>
      <w:r w:rsidR="00267376">
        <w:t xml:space="preserve"> J). The former appears to be due to the coarse nature of the pfa coupled with a high LOI. The latter may have been suitable for use in concretes if the alkali activator dosage was reduced. This has not however been investigated further.</w:t>
      </w:r>
    </w:p>
    <w:p w:rsidR="00AD54AE" w:rsidRDefault="00EC2D52" w:rsidP="00091994">
      <w:r>
        <w:t xml:space="preserve">Optimum activator dosages were </w:t>
      </w:r>
      <w:r w:rsidR="00D47D2E">
        <w:t xml:space="preserve">used </w:t>
      </w:r>
      <w:r>
        <w:t xml:space="preserve">for the geopolymer mortars, i.e. M+ </w:t>
      </w:r>
      <w:r w:rsidRPr="004A64A6">
        <w:t>12.5</w:t>
      </w:r>
      <w:r w:rsidR="006A5FB0">
        <w:t>%</w:t>
      </w:r>
      <w:r w:rsidRPr="004A64A6">
        <w:t xml:space="preserve"> and </w:t>
      </w:r>
      <w:r>
        <w:t xml:space="preserve">AM </w:t>
      </w:r>
      <w:r w:rsidRPr="004A64A6">
        <w:t xml:space="preserve">1.25. </w:t>
      </w:r>
      <w:r w:rsidR="00AD54AE">
        <w:t>Compressive strength measured at 28 days for samples cured both at 50</w:t>
      </w:r>
      <w:r w:rsidR="00AD54AE" w:rsidRPr="00750AFC">
        <w:t>°C</w:t>
      </w:r>
      <w:r w:rsidR="00AD54AE">
        <w:t xml:space="preserve"> and 70</w:t>
      </w:r>
      <w:r w:rsidR="00AD54AE" w:rsidRPr="00750AFC">
        <w:t>°C</w:t>
      </w:r>
      <w:r w:rsidR="00AD54AE">
        <w:t xml:space="preserve"> are shown in </w:t>
      </w:r>
      <w:r w:rsidR="009D02D3">
        <w:t>F</w:t>
      </w:r>
      <w:r w:rsidR="00AD54AE">
        <w:t xml:space="preserve">igure 8. </w:t>
      </w:r>
      <w:r w:rsidR="00156C84">
        <w:t>T</w:t>
      </w:r>
      <w:r w:rsidR="00AD54AE" w:rsidRPr="00AD54AE">
        <w:t xml:space="preserve">he </w:t>
      </w:r>
      <w:r w:rsidR="00BD6687">
        <w:t xml:space="preserve">previously identified </w:t>
      </w:r>
      <w:r w:rsidR="00AD54AE" w:rsidRPr="00AD54AE">
        <w:t xml:space="preserve">effect of </w:t>
      </w:r>
      <w:r w:rsidR="00AD54AE">
        <w:t xml:space="preserve">curing </w:t>
      </w:r>
      <w:r w:rsidR="00AD54AE" w:rsidRPr="00AD54AE">
        <w:t xml:space="preserve">temperature on </w:t>
      </w:r>
      <w:r w:rsidR="00AD54AE">
        <w:t>compressive strength development wa</w:t>
      </w:r>
      <w:r w:rsidR="00AD54AE" w:rsidRPr="00AD54AE">
        <w:t xml:space="preserve">s confirmed when different pfa sources </w:t>
      </w:r>
      <w:r w:rsidR="00AD54AE">
        <w:t xml:space="preserve">were </w:t>
      </w:r>
      <w:r w:rsidR="00AD54AE" w:rsidRPr="00AD54AE">
        <w:t>investigated</w:t>
      </w:r>
      <w:r w:rsidR="00AD54AE">
        <w:t>, with samples cured at 50</w:t>
      </w:r>
      <w:r w:rsidR="00AD54AE" w:rsidRPr="00750AFC">
        <w:t>°C</w:t>
      </w:r>
      <w:r w:rsidR="00AD54AE">
        <w:t xml:space="preserve"> showing l</w:t>
      </w:r>
      <w:r w:rsidR="00D47D2E">
        <w:t>ower</w:t>
      </w:r>
      <w:r w:rsidR="00AD54AE">
        <w:t xml:space="preserve"> strength than samples cured at 70</w:t>
      </w:r>
      <w:r w:rsidR="00AD54AE" w:rsidRPr="00750AFC">
        <w:t>°C</w:t>
      </w:r>
      <w:r w:rsidR="00AD54AE">
        <w:t>.</w:t>
      </w:r>
      <w:r w:rsidR="00267376">
        <w:t xml:space="preserve"> </w:t>
      </w:r>
    </w:p>
    <w:p w:rsidR="0037575F" w:rsidRDefault="0037575F" w:rsidP="00091994">
      <w:r>
        <w:t>The reacti</w:t>
      </w:r>
      <w:r w:rsidR="00654AD8">
        <w:t>on rate</w:t>
      </w:r>
      <w:r>
        <w:t xml:space="preserve"> of pfa </w:t>
      </w:r>
      <w:r w:rsidR="00654AD8">
        <w:t xml:space="preserve">depends on </w:t>
      </w:r>
      <w:r>
        <w:t>several chemical and physical factors</w:t>
      </w:r>
      <w:r w:rsidR="00FB47C6">
        <w:t xml:space="preserve"> [9]</w:t>
      </w:r>
      <w:r>
        <w:t xml:space="preserve">. </w:t>
      </w:r>
      <w:r w:rsidR="00654AD8">
        <w:t>T</w:t>
      </w:r>
      <w:r>
        <w:t xml:space="preserve">he content of Si and Al, the amorphous phase content and the loss on ignition (LOI) are </w:t>
      </w:r>
      <w:r w:rsidR="00654AD8">
        <w:t>important chemical factors</w:t>
      </w:r>
      <w:r>
        <w:t xml:space="preserve">. </w:t>
      </w:r>
      <w:r w:rsidRPr="0037575F">
        <w:t xml:space="preserve">Particle size of the precursor materials </w:t>
      </w:r>
      <w:r w:rsidR="00654AD8">
        <w:t>not only affect</w:t>
      </w:r>
      <w:r w:rsidR="00BD6687">
        <w:t>s</w:t>
      </w:r>
      <w:r w:rsidR="00654AD8">
        <w:t xml:space="preserve"> the fresh </w:t>
      </w:r>
      <w:r w:rsidRPr="0037575F">
        <w:t>properties (</w:t>
      </w:r>
      <w:r w:rsidR="00654AD8">
        <w:t xml:space="preserve">water demand, </w:t>
      </w:r>
      <w:r w:rsidRPr="0037575F">
        <w:t>viscosity, setting time</w:t>
      </w:r>
      <w:r>
        <w:t>,</w:t>
      </w:r>
      <w:r w:rsidRPr="0037575F">
        <w:t xml:space="preserve"> etc</w:t>
      </w:r>
      <w:r>
        <w:t>.</w:t>
      </w:r>
      <w:r w:rsidRPr="0037575F">
        <w:t xml:space="preserve">) </w:t>
      </w:r>
      <w:r w:rsidR="00654AD8">
        <w:t>but also affects its reactivity.</w:t>
      </w:r>
      <w:r>
        <w:t xml:space="preserve"> </w:t>
      </w:r>
      <w:r w:rsidRPr="0037575F">
        <w:t>The reduction of the grain size through further milling is known as mechanical activation, and it is commonly adopted for increasing the reactivity of powders [</w:t>
      </w:r>
      <w:r>
        <w:t>26</w:t>
      </w:r>
      <w:r w:rsidRPr="0037575F">
        <w:t>].</w:t>
      </w:r>
      <w:r w:rsidR="009D02D3">
        <w:t xml:space="preserve"> </w:t>
      </w:r>
      <w:r w:rsidR="003D3CD6">
        <w:t>The trend between compressive strength and percentage volume passing 45 µm is shown in Figure 9. The value of 45 µm was chosen according to the EN-450 [25] as indicative size for determining the reactivity of the pfa. The strength data were also plotted versus D</w:t>
      </w:r>
      <w:r w:rsidR="003D3CD6" w:rsidRPr="006A5FB0">
        <w:rPr>
          <w:vertAlign w:val="subscript"/>
        </w:rPr>
        <w:t>50</w:t>
      </w:r>
      <w:r w:rsidR="003D3CD6">
        <w:t xml:space="preserve">, i.e. </w:t>
      </w:r>
      <w:r w:rsidR="003D3CD6" w:rsidRPr="003D3CD6">
        <w:t>the value of the particle diameter at 50% in the cumulative distribution</w:t>
      </w:r>
      <w:r w:rsidR="003D3CD6">
        <w:t xml:space="preserve">, and a similar trend was observed, see Figure 10. </w:t>
      </w:r>
      <w:r w:rsidR="0065147C">
        <w:t>T</w:t>
      </w:r>
      <w:r w:rsidR="00E82423">
        <w:t xml:space="preserve">he fineness of the </w:t>
      </w:r>
      <w:r w:rsidR="0065147C">
        <w:t xml:space="preserve">pfa </w:t>
      </w:r>
      <w:r w:rsidR="00E82423">
        <w:t xml:space="preserve">appeared </w:t>
      </w:r>
      <w:r w:rsidR="003D3CD6">
        <w:t xml:space="preserve">therefore </w:t>
      </w:r>
      <w:r w:rsidR="00E82423">
        <w:t xml:space="preserve">to </w:t>
      </w:r>
      <w:r w:rsidR="00BD6687">
        <w:t>correlate</w:t>
      </w:r>
      <w:r w:rsidR="00E82423">
        <w:t xml:space="preserve"> to the </w:t>
      </w:r>
      <w:r w:rsidR="0065147C">
        <w:t xml:space="preserve">compressive </w:t>
      </w:r>
      <w:r w:rsidR="00E82423">
        <w:t>strength</w:t>
      </w:r>
      <w:r w:rsidR="0065147C">
        <w:t>s</w:t>
      </w:r>
      <w:r w:rsidR="008666FD">
        <w:t>,</w:t>
      </w:r>
      <w:r w:rsidR="00E82423">
        <w:t xml:space="preserve"> </w:t>
      </w:r>
      <w:r w:rsidR="0065147C">
        <w:t>whilst</w:t>
      </w:r>
      <w:r w:rsidR="00E82423">
        <w:t xml:space="preserve"> </w:t>
      </w:r>
      <w:r w:rsidR="00173B16">
        <w:t xml:space="preserve">no relationship was observed linking the compressive strength to amorphous content, LOI, or silicon-aluminium-iron oxides (SAF) content for the investigated ashes. </w:t>
      </w:r>
    </w:p>
    <w:p w:rsidR="00E849CB" w:rsidRDefault="00E849CB" w:rsidP="00091994"/>
    <w:p w:rsidR="00E849CB" w:rsidRPr="00BC0732" w:rsidRDefault="00E849CB" w:rsidP="00E849CB">
      <w:pPr>
        <w:spacing w:after="0" w:line="288" w:lineRule="auto"/>
        <w:jc w:val="center"/>
        <w:rPr>
          <w:rFonts w:cs="Times New Roman"/>
        </w:rPr>
      </w:pPr>
      <w:r>
        <w:rPr>
          <w:rFonts w:cs="Times New Roman"/>
          <w:noProof/>
          <w:lang w:eastAsia="en-GB"/>
        </w:rPr>
        <w:lastRenderedPageBreak/>
        <w:drawing>
          <wp:inline distT="0" distB="0" distL="0" distR="0" wp14:anchorId="1A6EB089" wp14:editId="23774A7E">
            <wp:extent cx="2768001" cy="34190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6" cstate="email">
                      <a:extLst>
                        <a:ext uri="{28A0092B-C50C-407E-A947-70E740481C1C}">
                          <a14:useLocalDpi xmlns:a14="http://schemas.microsoft.com/office/drawing/2010/main"/>
                        </a:ext>
                      </a:extLst>
                    </a:blip>
                    <a:stretch>
                      <a:fillRect/>
                    </a:stretch>
                  </pic:blipFill>
                  <pic:spPr>
                    <a:xfrm>
                      <a:off x="0" y="0"/>
                      <a:ext cx="2769156" cy="3420488"/>
                    </a:xfrm>
                    <a:prstGeom prst="rect">
                      <a:avLst/>
                    </a:prstGeom>
                  </pic:spPr>
                </pic:pic>
              </a:graphicData>
            </a:graphic>
          </wp:inline>
        </w:drawing>
      </w:r>
    </w:p>
    <w:p w:rsidR="00E849CB" w:rsidRDefault="00E849CB" w:rsidP="00E849CB">
      <w:pPr>
        <w:spacing w:after="0" w:line="288" w:lineRule="auto"/>
        <w:jc w:val="center"/>
        <w:rPr>
          <w:rFonts w:cs="Times New Roman"/>
          <w:szCs w:val="20"/>
        </w:rPr>
      </w:pPr>
      <w:r w:rsidRPr="00BC0732">
        <w:rPr>
          <w:rFonts w:cs="Times New Roman"/>
          <w:b/>
          <w:szCs w:val="20"/>
        </w:rPr>
        <w:t>Figure 8.</w:t>
      </w:r>
      <w:r w:rsidRPr="00BC0732">
        <w:rPr>
          <w:rFonts w:cs="Times New Roman"/>
          <w:szCs w:val="20"/>
        </w:rPr>
        <w:t xml:space="preserve"> 28-day compressive strength of 9 pfa sources at different curing temperatures. Letters A-L equate to same in Table 1 and Figs. 1-2.</w:t>
      </w:r>
      <w:r>
        <w:rPr>
          <w:rFonts w:cs="Times New Roman"/>
          <w:szCs w:val="20"/>
        </w:rPr>
        <w:t xml:space="preserve"> Error bars represent ± standard deviation.</w:t>
      </w: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szCs w:val="20"/>
        </w:rPr>
      </w:pPr>
    </w:p>
    <w:p w:rsidR="00E849CB" w:rsidRPr="00BC0732" w:rsidRDefault="00E849CB" w:rsidP="00E849CB">
      <w:pPr>
        <w:spacing w:after="0" w:line="288" w:lineRule="auto"/>
        <w:jc w:val="center"/>
        <w:rPr>
          <w:rFonts w:cs="Times New Roman"/>
        </w:rPr>
      </w:pPr>
      <w:r>
        <w:rPr>
          <w:rFonts w:cs="Times New Roman"/>
          <w:noProof/>
          <w:lang w:eastAsia="en-GB"/>
        </w:rPr>
        <w:drawing>
          <wp:inline distT="0" distB="0" distL="0" distR="0" wp14:anchorId="32718BA1" wp14:editId="490680BF">
            <wp:extent cx="2581362" cy="3234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17" cstate="email">
                      <a:extLst>
                        <a:ext uri="{28A0092B-C50C-407E-A947-70E740481C1C}">
                          <a14:useLocalDpi xmlns:a14="http://schemas.microsoft.com/office/drawing/2010/main"/>
                        </a:ext>
                      </a:extLst>
                    </a:blip>
                    <a:stretch>
                      <a:fillRect/>
                    </a:stretch>
                  </pic:blipFill>
                  <pic:spPr>
                    <a:xfrm>
                      <a:off x="0" y="0"/>
                      <a:ext cx="2582245" cy="3235959"/>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Figure 9.</w:t>
      </w:r>
      <w:r w:rsidRPr="00BC0732">
        <w:rPr>
          <w:rFonts w:cs="Times New Roman"/>
          <w:szCs w:val="20"/>
        </w:rPr>
        <w:t xml:space="preserve"> 28-day compressive strength of 9 pfa sources vs. % volume passing 45 µm sieve</w:t>
      </w:r>
      <w:r>
        <w:rPr>
          <w:rFonts w:cs="Times New Roman"/>
          <w:szCs w:val="20"/>
        </w:rPr>
        <w:t>. Error bars represent ± standard deviation.</w:t>
      </w:r>
    </w:p>
    <w:p w:rsidR="00E849CB" w:rsidRPr="00BC0732" w:rsidRDefault="00E849CB" w:rsidP="00E849CB">
      <w:pPr>
        <w:spacing w:after="0" w:line="288" w:lineRule="auto"/>
        <w:jc w:val="center"/>
        <w:rPr>
          <w:rFonts w:cs="Times New Roman"/>
          <w:szCs w:val="20"/>
        </w:rPr>
      </w:pPr>
      <w:r>
        <w:rPr>
          <w:rFonts w:cs="Times New Roman"/>
          <w:noProof/>
          <w:szCs w:val="20"/>
          <w:lang w:eastAsia="en-GB"/>
        </w:rPr>
        <w:lastRenderedPageBreak/>
        <w:drawing>
          <wp:inline distT="0" distB="0" distL="0" distR="0" wp14:anchorId="1985F063" wp14:editId="4263C701">
            <wp:extent cx="2594854" cy="3251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18" cstate="email">
                      <a:extLst>
                        <a:ext uri="{28A0092B-C50C-407E-A947-70E740481C1C}">
                          <a14:useLocalDpi xmlns:a14="http://schemas.microsoft.com/office/drawing/2010/main"/>
                        </a:ext>
                      </a:extLst>
                    </a:blip>
                    <a:stretch>
                      <a:fillRect/>
                    </a:stretch>
                  </pic:blipFill>
                  <pic:spPr>
                    <a:xfrm>
                      <a:off x="0" y="0"/>
                      <a:ext cx="2594553" cy="3251383"/>
                    </a:xfrm>
                    <a:prstGeom prst="rect">
                      <a:avLst/>
                    </a:prstGeom>
                  </pic:spPr>
                </pic:pic>
              </a:graphicData>
            </a:graphic>
          </wp:inline>
        </w:drawing>
      </w:r>
    </w:p>
    <w:p w:rsidR="00E849CB" w:rsidRPr="00EF37BA" w:rsidRDefault="00E849CB" w:rsidP="00E849CB">
      <w:pPr>
        <w:spacing w:after="0" w:line="288" w:lineRule="auto"/>
        <w:jc w:val="center"/>
        <w:rPr>
          <w:rFonts w:cs="Times New Roman"/>
          <w:szCs w:val="20"/>
        </w:rPr>
      </w:pPr>
      <w:r w:rsidRPr="00BC0732">
        <w:rPr>
          <w:rFonts w:cs="Times New Roman"/>
          <w:b/>
          <w:szCs w:val="20"/>
        </w:rPr>
        <w:t>Figure 10.</w:t>
      </w:r>
      <w:r w:rsidRPr="00BC0732">
        <w:rPr>
          <w:rFonts w:cs="Times New Roman"/>
          <w:szCs w:val="20"/>
        </w:rPr>
        <w:t xml:space="preserve"> 28-day compressive strength of 9 pfa sources vs. D</w:t>
      </w:r>
      <w:r w:rsidRPr="00BC0732">
        <w:rPr>
          <w:rFonts w:cs="Times New Roman"/>
          <w:szCs w:val="20"/>
          <w:vertAlign w:val="subscript"/>
        </w:rPr>
        <w:t>50</w:t>
      </w:r>
      <w:r>
        <w:rPr>
          <w:rFonts w:cs="Times New Roman"/>
          <w:szCs w:val="20"/>
        </w:rPr>
        <w:t>. Error bars represent ± standard deviation.</w:t>
      </w:r>
    </w:p>
    <w:p w:rsidR="00E849CB" w:rsidRDefault="00E849CB" w:rsidP="00091994"/>
    <w:p w:rsidR="005577F5" w:rsidRDefault="00173B16" w:rsidP="00091994">
      <w:r>
        <w:t xml:space="preserve">It may therefore be concluded that one of the most important factors to consider for achieving high compressive strengths is the </w:t>
      </w:r>
      <w:r w:rsidR="008C28F1">
        <w:t xml:space="preserve">grain size </w:t>
      </w:r>
      <w:r>
        <w:t>of the pfa. It must</w:t>
      </w:r>
      <w:r w:rsidR="008C28F1">
        <w:t>,</w:t>
      </w:r>
      <w:r>
        <w:t xml:space="preserve"> however</w:t>
      </w:r>
      <w:r w:rsidR="008C28F1">
        <w:t>,</w:t>
      </w:r>
      <w:r>
        <w:t xml:space="preserve"> be </w:t>
      </w:r>
      <w:r w:rsidR="008C28F1">
        <w:t xml:space="preserve">emphasised </w:t>
      </w:r>
      <w:r>
        <w:t xml:space="preserve">that </w:t>
      </w:r>
      <w:r w:rsidR="002E6B85">
        <w:t xml:space="preserve">ten out of thirteen of the </w:t>
      </w:r>
      <w:r w:rsidR="003D3CD6">
        <w:t>tested</w:t>
      </w:r>
      <w:r w:rsidR="008C28F1">
        <w:t xml:space="preserve"> </w:t>
      </w:r>
      <w:r>
        <w:t xml:space="preserve">pfa samples are suitable for use in concretes to partially replace </w:t>
      </w:r>
      <w:r w:rsidR="008C28F1">
        <w:t xml:space="preserve">Portland </w:t>
      </w:r>
      <w:r>
        <w:t>cement and thus conform to EN-450. Attempts to examine fuel ash from lagoons were not successful. It may be that the chemical composition of lagoon ash has been altered over time and it is thus considerably different from all the sources investigated in this programme of work.</w:t>
      </w:r>
    </w:p>
    <w:p w:rsidR="00E83E83" w:rsidRPr="005577F5" w:rsidRDefault="00FF5428" w:rsidP="00091994">
      <w:pPr>
        <w:pStyle w:val="Heading2"/>
      </w:pPr>
      <w:r>
        <w:t>E</w:t>
      </w:r>
      <w:r w:rsidR="00E83E83" w:rsidRPr="005577F5">
        <w:t xml:space="preserve">ffect of </w:t>
      </w:r>
      <w:r>
        <w:t xml:space="preserve">partial replacement </w:t>
      </w:r>
      <w:r w:rsidR="00734515">
        <w:t xml:space="preserve">of pfa </w:t>
      </w:r>
      <w:r>
        <w:t>with ggbs</w:t>
      </w:r>
    </w:p>
    <w:p w:rsidR="009074FA" w:rsidRDefault="009074FA" w:rsidP="00692ECA">
      <w:r w:rsidRPr="009074FA">
        <w:t xml:space="preserve">Mortar mixtures containing only </w:t>
      </w:r>
      <w:r>
        <w:t>pfa</w:t>
      </w:r>
      <w:r w:rsidRPr="009074FA">
        <w:t xml:space="preserve"> did not develop any significant strength at room temperature. </w:t>
      </w:r>
      <w:r w:rsidR="00FF5428">
        <w:t>However, t</w:t>
      </w:r>
      <w:r w:rsidRPr="009074FA">
        <w:t xml:space="preserve">he addition of </w:t>
      </w:r>
      <w:r>
        <w:t>ggbs</w:t>
      </w:r>
      <w:r w:rsidRPr="009074FA">
        <w:t xml:space="preserve"> at any level gave significant strength </w:t>
      </w:r>
      <w:r w:rsidR="00FF5428">
        <w:t xml:space="preserve">enhancements even </w:t>
      </w:r>
      <w:r w:rsidRPr="009074FA">
        <w:t>at room temperature</w:t>
      </w:r>
      <w:r>
        <w:t xml:space="preserve">. </w:t>
      </w:r>
      <w:r w:rsidRPr="009074FA">
        <w:t>Figure 1</w:t>
      </w:r>
      <w:r w:rsidR="0017201C">
        <w:t>1</w:t>
      </w:r>
      <w:r w:rsidRPr="009074FA">
        <w:t xml:space="preserve"> shows the strength of </w:t>
      </w:r>
      <w:r w:rsidR="0017201C">
        <w:t>pfa</w:t>
      </w:r>
      <w:r w:rsidRPr="009074FA">
        <w:t>/</w:t>
      </w:r>
      <w:r w:rsidR="0017201C">
        <w:t>ggbs</w:t>
      </w:r>
      <w:r w:rsidRPr="009074FA">
        <w:t xml:space="preserve"> based mortars with </w:t>
      </w:r>
      <w:r w:rsidR="0017201C">
        <w:t xml:space="preserve">M+ </w:t>
      </w:r>
      <w:r w:rsidRPr="009074FA">
        <w:t>7.5%</w:t>
      </w:r>
      <w:r w:rsidR="0017201C">
        <w:t xml:space="preserve"> and AM 1.25</w:t>
      </w:r>
      <w:r w:rsidRPr="009074FA">
        <w:t>.</w:t>
      </w:r>
      <w:r>
        <w:t xml:space="preserve"> </w:t>
      </w:r>
      <w:r w:rsidR="00FF5428">
        <w:t>T</w:t>
      </w:r>
      <w:r w:rsidRPr="009074FA">
        <w:t>here is a</w:t>
      </w:r>
      <w:r w:rsidR="00FF5428">
        <w:t>n almost</w:t>
      </w:r>
      <w:r w:rsidRPr="009074FA">
        <w:t xml:space="preserve"> linear relationship between the amount of </w:t>
      </w:r>
      <w:r w:rsidR="00F3082D">
        <w:t>ggbs</w:t>
      </w:r>
      <w:r w:rsidRPr="009074FA">
        <w:t xml:space="preserve"> in the binder and the</w:t>
      </w:r>
      <w:r w:rsidR="00F3082D">
        <w:t xml:space="preserve"> strength at 1, 7 and 28 days</w:t>
      </w:r>
      <w:r w:rsidR="00FF5428">
        <w:t xml:space="preserve"> where cubes were cured a</w:t>
      </w:r>
      <w:r w:rsidR="00FF5428" w:rsidRPr="009074FA">
        <w:t>t room temperature</w:t>
      </w:r>
      <w:r w:rsidR="001C513A">
        <w:t xml:space="preserve"> (20°C)</w:t>
      </w:r>
      <w:r w:rsidR="00F3082D">
        <w:t>. T</w:t>
      </w:r>
      <w:r w:rsidRPr="009074FA">
        <w:t xml:space="preserve">his </w:t>
      </w:r>
      <w:r w:rsidR="00FF5428">
        <w:t>seems to suggest</w:t>
      </w:r>
      <w:r w:rsidRPr="009074FA">
        <w:t xml:space="preserve"> that </w:t>
      </w:r>
      <w:r w:rsidR="00F3082D">
        <w:t>pfa</w:t>
      </w:r>
      <w:r w:rsidRPr="009074FA">
        <w:t xml:space="preserve"> did not contribute </w:t>
      </w:r>
      <w:r w:rsidR="00E47B41">
        <w:t xml:space="preserve">much </w:t>
      </w:r>
      <w:r w:rsidRPr="009074FA">
        <w:t xml:space="preserve">to the strength. </w:t>
      </w:r>
      <w:r w:rsidR="009608BA">
        <w:t>T</w:t>
      </w:r>
      <w:r w:rsidRPr="009074FA">
        <w:t xml:space="preserve">here was a </w:t>
      </w:r>
      <w:r w:rsidR="009608BA">
        <w:t xml:space="preserve">significant </w:t>
      </w:r>
      <w:r w:rsidRPr="009074FA">
        <w:t xml:space="preserve">increase in the strength </w:t>
      </w:r>
      <w:r w:rsidR="001C513A">
        <w:t>from ~20MPa to ~50MPa</w:t>
      </w:r>
      <w:r w:rsidR="009608BA">
        <w:t xml:space="preserve"> with </w:t>
      </w:r>
      <w:r w:rsidR="001C513A">
        <w:t xml:space="preserve">the addition of </w:t>
      </w:r>
      <w:r w:rsidR="009608BA">
        <w:t xml:space="preserve">only </w:t>
      </w:r>
      <w:r w:rsidRPr="009074FA">
        <w:t xml:space="preserve">20% </w:t>
      </w:r>
      <w:r w:rsidR="00F3082D">
        <w:t>ggbs</w:t>
      </w:r>
      <w:r w:rsidRPr="009074FA">
        <w:t xml:space="preserve"> </w:t>
      </w:r>
      <w:r w:rsidR="009608BA">
        <w:t>when cured for 1 day at 70 °C. H</w:t>
      </w:r>
      <w:r w:rsidRPr="009074FA">
        <w:t xml:space="preserve">igher levels of </w:t>
      </w:r>
      <w:r w:rsidR="00F3082D">
        <w:t>ggbs</w:t>
      </w:r>
      <w:r w:rsidR="009608BA">
        <w:t xml:space="preserve"> </w:t>
      </w:r>
      <w:r w:rsidR="001C513A">
        <w:t xml:space="preserve">cured for 1 day </w:t>
      </w:r>
      <w:r w:rsidR="009608BA">
        <w:t>result</w:t>
      </w:r>
      <w:r w:rsidR="001C513A">
        <w:t>ed</w:t>
      </w:r>
      <w:r w:rsidR="009608BA">
        <w:t xml:space="preserve"> </w:t>
      </w:r>
      <w:r w:rsidR="001C513A">
        <w:t>in smaller</w:t>
      </w:r>
      <w:r w:rsidR="009608BA">
        <w:t xml:space="preserve"> </w:t>
      </w:r>
      <w:r w:rsidR="001C513A">
        <w:t xml:space="preserve">incremental </w:t>
      </w:r>
      <w:r w:rsidR="009608BA">
        <w:t xml:space="preserve">increases </w:t>
      </w:r>
      <w:r w:rsidR="001C513A">
        <w:t>up</w:t>
      </w:r>
      <w:r w:rsidR="00156C84">
        <w:t xml:space="preserve"> </w:t>
      </w:r>
      <w:r w:rsidR="001C513A">
        <w:t>to ~60MPa at 100% ggbs</w:t>
      </w:r>
      <w:r w:rsidRPr="009074FA">
        <w:t xml:space="preserve">.  </w:t>
      </w:r>
    </w:p>
    <w:p w:rsidR="00E849CB" w:rsidRPr="00BC0732" w:rsidRDefault="00E849CB" w:rsidP="00E849CB">
      <w:pPr>
        <w:spacing w:after="0" w:line="288" w:lineRule="auto"/>
        <w:jc w:val="center"/>
        <w:rPr>
          <w:rFonts w:cs="Times New Roman"/>
        </w:rPr>
      </w:pPr>
      <w:r>
        <w:rPr>
          <w:rFonts w:cs="Times New Roman"/>
          <w:noProof/>
          <w:lang w:eastAsia="en-GB"/>
        </w:rPr>
        <w:lastRenderedPageBreak/>
        <w:drawing>
          <wp:inline distT="0" distB="0" distL="0" distR="0" wp14:anchorId="0788F842" wp14:editId="2CA8A676">
            <wp:extent cx="5731510" cy="2541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tif"/>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2541270"/>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 xml:space="preserve">Figure 11. </w:t>
      </w:r>
      <w:r w:rsidRPr="00BC0732">
        <w:rPr>
          <w:rFonts w:cs="Times New Roman"/>
          <w:szCs w:val="20"/>
        </w:rPr>
        <w:t>Effect of ggbs</w:t>
      </w:r>
      <w:r>
        <w:rPr>
          <w:rFonts w:cs="Times New Roman"/>
          <w:szCs w:val="20"/>
        </w:rPr>
        <w:t xml:space="preserve"> substitution</w:t>
      </w:r>
      <w:r w:rsidRPr="00BC0732">
        <w:rPr>
          <w:rFonts w:cs="Times New Roman"/>
          <w:szCs w:val="20"/>
        </w:rPr>
        <w:t xml:space="preserve"> </w:t>
      </w:r>
      <w:r>
        <w:rPr>
          <w:rFonts w:cs="Times New Roman"/>
          <w:szCs w:val="20"/>
        </w:rPr>
        <w:t xml:space="preserve">rate </w:t>
      </w:r>
      <w:r w:rsidRPr="00BC0732">
        <w:rPr>
          <w:rFonts w:cs="Times New Roman"/>
          <w:szCs w:val="20"/>
        </w:rPr>
        <w:t>on the strength of sodium silicate/sodium hydroxide-activated binders with M+ 7.5% and AM 1.25. (a) 1 day; (b) 7 days; (c) 28 days</w:t>
      </w:r>
      <w:r>
        <w:rPr>
          <w:rFonts w:cs="Times New Roman"/>
          <w:szCs w:val="20"/>
        </w:rPr>
        <w:t>. Error bars represent ± standard deviation.</w:t>
      </w:r>
    </w:p>
    <w:p w:rsidR="00E849CB" w:rsidRDefault="00E849CB" w:rsidP="00692ECA"/>
    <w:p w:rsidR="00E47B41" w:rsidRDefault="009608BA" w:rsidP="00692ECA">
      <w:r>
        <w:t xml:space="preserve">Continued curing at </w:t>
      </w:r>
      <w:r w:rsidR="001C513A">
        <w:t>70°C for 7 and 28 days resulted in</w:t>
      </w:r>
      <w:r>
        <w:t xml:space="preserve"> strength reductions </w:t>
      </w:r>
      <w:r w:rsidR="001C513A">
        <w:t>for</w:t>
      </w:r>
      <w:r>
        <w:t xml:space="preserve"> mixes with </w:t>
      </w:r>
      <w:r w:rsidR="001C513A">
        <w:t>greater than 20%</w:t>
      </w:r>
      <w:r w:rsidR="009074FA" w:rsidRPr="009074FA">
        <w:t xml:space="preserve"> </w:t>
      </w:r>
      <w:r w:rsidR="00F3082D">
        <w:t>ggbs</w:t>
      </w:r>
      <w:r w:rsidR="009074FA" w:rsidRPr="009074FA">
        <w:t xml:space="preserve">. This is believed to be due to </w:t>
      </w:r>
      <w:r>
        <w:t>self-</w:t>
      </w:r>
      <w:r w:rsidR="005E21AE">
        <w:t>desiccation</w:t>
      </w:r>
      <w:r>
        <w:t xml:space="preserve"> and resulting </w:t>
      </w:r>
      <w:r w:rsidR="009074FA" w:rsidRPr="009074FA">
        <w:t>drying shrinkage</w:t>
      </w:r>
      <w:r w:rsidR="001C513A">
        <w:t>,</w:t>
      </w:r>
      <w:r w:rsidR="009074FA" w:rsidRPr="009074FA">
        <w:t xml:space="preserve"> </w:t>
      </w:r>
      <w:r>
        <w:t>which is</w:t>
      </w:r>
      <w:r w:rsidR="009074FA" w:rsidRPr="009074FA">
        <w:t xml:space="preserve"> an effect </w:t>
      </w:r>
      <w:r>
        <w:t xml:space="preserve">that </w:t>
      </w:r>
      <w:r w:rsidR="009074FA" w:rsidRPr="009074FA">
        <w:t xml:space="preserve">has previously </w:t>
      </w:r>
      <w:r>
        <w:t xml:space="preserve">been </w:t>
      </w:r>
      <w:r w:rsidR="009074FA" w:rsidRPr="009074FA">
        <w:t>observed in alkali-activated slag</w:t>
      </w:r>
      <w:r>
        <w:t>s</w:t>
      </w:r>
      <w:r w:rsidR="009074FA" w:rsidRPr="009074FA">
        <w:t xml:space="preserve"> [</w:t>
      </w:r>
      <w:r w:rsidR="00F3082D">
        <w:t>7</w:t>
      </w:r>
      <w:r w:rsidR="009074FA" w:rsidRPr="009074FA">
        <w:t xml:space="preserve">]. </w:t>
      </w:r>
      <w:r w:rsidR="005334A9">
        <w:t xml:space="preserve">In accordance with this effect, </w:t>
      </w:r>
      <w:r>
        <w:t>t</w:t>
      </w:r>
      <w:r w:rsidR="009074FA" w:rsidRPr="009074FA">
        <w:t xml:space="preserve">he highest strength </w:t>
      </w:r>
      <w:r>
        <w:t xml:space="preserve">was </w:t>
      </w:r>
      <w:r w:rsidR="009074FA" w:rsidRPr="009074FA">
        <w:t xml:space="preserve">achieved </w:t>
      </w:r>
      <w:r>
        <w:t>for specimens cured at room temperature</w:t>
      </w:r>
      <w:r w:rsidR="005334A9">
        <w:t xml:space="preserve"> and not for oven-cured samples.</w:t>
      </w:r>
      <w:r>
        <w:t xml:space="preserve"> </w:t>
      </w:r>
      <w:r w:rsidR="005334A9">
        <w:t xml:space="preserve">Compressive strength of </w:t>
      </w:r>
      <w:r w:rsidR="009074FA" w:rsidRPr="009074FA">
        <w:t xml:space="preserve">80 </w:t>
      </w:r>
      <w:r w:rsidR="00F3082D">
        <w:t>MPa</w:t>
      </w:r>
      <w:r w:rsidR="009074FA" w:rsidRPr="009074FA">
        <w:t xml:space="preserve"> was obtained at 28 days for the mortar containing 80% slag</w:t>
      </w:r>
      <w:r w:rsidR="005334A9">
        <w:t xml:space="preserve"> </w:t>
      </w:r>
      <w:r w:rsidR="00156C84">
        <w:t xml:space="preserve">and </w:t>
      </w:r>
      <w:r w:rsidR="005334A9">
        <w:t>cured at room temperature</w:t>
      </w:r>
      <w:r w:rsidR="00734515">
        <w:t>.</w:t>
      </w:r>
    </w:p>
    <w:p w:rsidR="00855783" w:rsidRDefault="009608BA" w:rsidP="00692ECA">
      <w:r>
        <w:t xml:space="preserve">Subsequent </w:t>
      </w:r>
      <w:r w:rsidR="001B28E8">
        <w:t>investigation</w:t>
      </w:r>
      <w:r>
        <w:t>s</w:t>
      </w:r>
      <w:r w:rsidR="001B28E8">
        <w:t xml:space="preserve"> </w:t>
      </w:r>
      <w:r w:rsidR="002C415B">
        <w:t>focu</w:t>
      </w:r>
      <w:r w:rsidR="00734515">
        <w:t>s</w:t>
      </w:r>
      <w:r w:rsidR="002C415B">
        <w:t>s</w:t>
      </w:r>
      <w:r>
        <w:t>ed</w:t>
      </w:r>
      <w:r w:rsidR="002C415B">
        <w:t xml:space="preserve"> on </w:t>
      </w:r>
      <w:r w:rsidR="001B28E8">
        <w:t xml:space="preserve">the effect of </w:t>
      </w:r>
      <w:r w:rsidR="009074FA" w:rsidRPr="009074FA">
        <w:t xml:space="preserve">alkali dosage </w:t>
      </w:r>
      <w:r w:rsidR="001B28E8">
        <w:t>on the strength development of pfa/ggbs</w:t>
      </w:r>
      <w:r>
        <w:t xml:space="preserve"> blends</w:t>
      </w:r>
      <w:r w:rsidR="009074FA" w:rsidRPr="009074FA">
        <w:t xml:space="preserve">. </w:t>
      </w:r>
      <w:r>
        <w:t>T</w:t>
      </w:r>
      <w:r w:rsidR="009074FA" w:rsidRPr="009074FA">
        <w:t xml:space="preserve">he </w:t>
      </w:r>
      <w:r w:rsidR="001B28E8">
        <w:t xml:space="preserve">AM </w:t>
      </w:r>
      <w:r w:rsidR="009074FA" w:rsidRPr="009074FA">
        <w:t xml:space="preserve">was kept constant while the </w:t>
      </w:r>
      <w:r w:rsidR="001B28E8">
        <w:t xml:space="preserve">M+ </w:t>
      </w:r>
      <w:r w:rsidR="009074FA" w:rsidRPr="009074FA">
        <w:t>was varied</w:t>
      </w:r>
      <w:r w:rsidR="001B28E8">
        <w:t xml:space="preserve"> </w:t>
      </w:r>
      <w:r>
        <w:t xml:space="preserve">from </w:t>
      </w:r>
      <w:r w:rsidR="001B28E8">
        <w:t>3%</w:t>
      </w:r>
      <w:r>
        <w:t xml:space="preserve"> to</w:t>
      </w:r>
      <w:r w:rsidR="00B80238">
        <w:t xml:space="preserve"> </w:t>
      </w:r>
      <w:r w:rsidR="009074FA" w:rsidRPr="009074FA">
        <w:t>10%</w:t>
      </w:r>
      <w:r>
        <w:t xml:space="preserve"> for varying levels of pfa replacement with ggbs</w:t>
      </w:r>
      <w:r w:rsidR="009074FA" w:rsidRPr="009074FA">
        <w:t>.</w:t>
      </w:r>
      <w:r w:rsidR="00B80238">
        <w:t xml:space="preserve"> Figure 1</w:t>
      </w:r>
      <w:r w:rsidR="000038FA">
        <w:t>2</w:t>
      </w:r>
      <w:r>
        <w:t xml:space="preserve"> shows the</w:t>
      </w:r>
      <w:r w:rsidR="00B80238">
        <w:t xml:space="preserve"> 3</w:t>
      </w:r>
      <w:r>
        <w:t>-</w:t>
      </w:r>
      <w:r w:rsidR="00B80238">
        <w:t xml:space="preserve">D plot of the </w:t>
      </w:r>
      <w:r w:rsidR="00266A00">
        <w:t>28-day compressive strength of specimens cured at room temperature</w:t>
      </w:r>
      <w:r>
        <w:t>.</w:t>
      </w:r>
      <w:r w:rsidR="00B80238">
        <w:t xml:space="preserve"> M+ 10</w:t>
      </w:r>
      <w:r w:rsidR="006A5FB0">
        <w:t>%</w:t>
      </w:r>
      <w:r w:rsidR="00B80238">
        <w:t xml:space="preserve"> mixes </w:t>
      </w:r>
      <w:r>
        <w:t xml:space="preserve">could not be easily cast for </w:t>
      </w:r>
      <w:r w:rsidR="00B80238">
        <w:t>ggbs content</w:t>
      </w:r>
      <w:r>
        <w:t>s</w:t>
      </w:r>
      <w:r w:rsidR="00B80238">
        <w:t xml:space="preserve"> higher than 20%</w:t>
      </w:r>
      <w:r w:rsidR="006A5FB0">
        <w:t xml:space="preserve"> due to quick set</w:t>
      </w:r>
      <w:r>
        <w:t>ting</w:t>
      </w:r>
      <w:r w:rsidR="00B80238">
        <w:t>. It can be observed that t</w:t>
      </w:r>
      <w:r w:rsidR="00B80238" w:rsidRPr="00710B28">
        <w:t>he increase in ggbs content led to an increment</w:t>
      </w:r>
      <w:r>
        <w:t>al increase in the compressive strength.</w:t>
      </w:r>
    </w:p>
    <w:p w:rsidR="00E849CB" w:rsidRDefault="00E849CB" w:rsidP="00692ECA"/>
    <w:p w:rsidR="00E849CB" w:rsidRPr="00BC0732" w:rsidRDefault="00E849CB" w:rsidP="00E849CB">
      <w:pPr>
        <w:spacing w:after="0" w:line="288" w:lineRule="auto"/>
        <w:jc w:val="center"/>
        <w:rPr>
          <w:rFonts w:cs="Times New Roman"/>
          <w:b/>
          <w:szCs w:val="20"/>
        </w:rPr>
      </w:pPr>
      <w:r>
        <w:rPr>
          <w:rFonts w:cs="Times New Roman"/>
          <w:b/>
          <w:noProof/>
          <w:szCs w:val="20"/>
          <w:lang w:eastAsia="en-GB"/>
        </w:rPr>
        <w:lastRenderedPageBreak/>
        <w:drawing>
          <wp:inline distT="0" distB="0" distL="0" distR="0" wp14:anchorId="6F7FA922" wp14:editId="0F886EA5">
            <wp:extent cx="4699220" cy="40656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tif"/>
                    <pic:cNvPicPr/>
                  </pic:nvPicPr>
                  <pic:blipFill>
                    <a:blip r:embed="rId20">
                      <a:extLst>
                        <a:ext uri="{28A0092B-C50C-407E-A947-70E740481C1C}">
                          <a14:useLocalDpi xmlns:a14="http://schemas.microsoft.com/office/drawing/2010/main"/>
                        </a:ext>
                      </a:extLst>
                    </a:blip>
                    <a:stretch>
                      <a:fillRect/>
                    </a:stretch>
                  </pic:blipFill>
                  <pic:spPr>
                    <a:xfrm>
                      <a:off x="0" y="0"/>
                      <a:ext cx="4698690" cy="4065158"/>
                    </a:xfrm>
                    <a:prstGeom prst="rect">
                      <a:avLst/>
                    </a:prstGeom>
                  </pic:spPr>
                </pic:pic>
              </a:graphicData>
            </a:graphic>
          </wp:inline>
        </w:drawing>
      </w:r>
    </w:p>
    <w:p w:rsidR="00E849CB" w:rsidRPr="00BC0732" w:rsidRDefault="00E849CB" w:rsidP="00E849CB">
      <w:pPr>
        <w:spacing w:after="0" w:line="288" w:lineRule="auto"/>
        <w:jc w:val="center"/>
        <w:rPr>
          <w:rFonts w:cs="Times New Roman"/>
          <w:szCs w:val="20"/>
        </w:rPr>
      </w:pPr>
      <w:r w:rsidRPr="00BC0732">
        <w:rPr>
          <w:rFonts w:cs="Times New Roman"/>
          <w:b/>
          <w:szCs w:val="20"/>
        </w:rPr>
        <w:t xml:space="preserve">Figure 12. </w:t>
      </w:r>
      <w:r w:rsidRPr="00BC0732">
        <w:rPr>
          <w:rFonts w:cs="Times New Roman"/>
          <w:szCs w:val="20"/>
        </w:rPr>
        <w:t xml:space="preserve">3-D plot showing the combined effects of pfa/ggbs ratio and M+ variation on the </w:t>
      </w:r>
      <w:r>
        <w:rPr>
          <w:rFonts w:cs="Times New Roman"/>
          <w:szCs w:val="20"/>
        </w:rPr>
        <w:t xml:space="preserve">28-day compressive </w:t>
      </w:r>
      <w:r w:rsidRPr="00BC0732">
        <w:rPr>
          <w:rFonts w:cs="Times New Roman"/>
          <w:szCs w:val="20"/>
        </w:rPr>
        <w:t>strength of sodium silicate/sodium hydroxide-activated binders</w:t>
      </w:r>
      <w:r>
        <w:rPr>
          <w:rFonts w:cs="Times New Roman"/>
          <w:szCs w:val="20"/>
        </w:rPr>
        <w:t xml:space="preserve"> cured at room temperature</w:t>
      </w:r>
    </w:p>
    <w:p w:rsidR="00E849CB" w:rsidRDefault="00E849CB" w:rsidP="00692ECA"/>
    <w:p w:rsidR="00267376" w:rsidRDefault="00267376" w:rsidP="00692ECA">
      <w:pPr>
        <w:pStyle w:val="Heading2"/>
      </w:pPr>
      <w:r>
        <w:t>X</w:t>
      </w:r>
      <w:r w:rsidR="0003587E">
        <w:t>-</w:t>
      </w:r>
      <w:r>
        <w:t>R</w:t>
      </w:r>
      <w:r w:rsidR="0003587E">
        <w:t xml:space="preserve">ay </w:t>
      </w:r>
      <w:r>
        <w:t>D</w:t>
      </w:r>
      <w:r w:rsidR="0003587E">
        <w:t>iffraction</w:t>
      </w:r>
      <w:r>
        <w:t xml:space="preserve"> results for </w:t>
      </w:r>
      <w:r w:rsidR="0003587E">
        <w:t xml:space="preserve">raw </w:t>
      </w:r>
      <w:r>
        <w:t xml:space="preserve">materials and </w:t>
      </w:r>
      <w:r w:rsidR="0003587E">
        <w:t xml:space="preserve">reacted </w:t>
      </w:r>
      <w:r>
        <w:t>pastes</w:t>
      </w:r>
    </w:p>
    <w:p w:rsidR="008C5F7B" w:rsidRDefault="006407D5" w:rsidP="002B3014">
      <w:r>
        <w:t xml:space="preserve">In order to investigate the nature </w:t>
      </w:r>
      <w:r w:rsidR="009D1E5B">
        <w:t xml:space="preserve">and composition </w:t>
      </w:r>
      <w:r>
        <w:t>of the reaction products, raw material and reacted pastes were analysed with X-ray diffraction</w:t>
      </w:r>
      <w:r w:rsidR="008C5F7B">
        <w:t xml:space="preserve"> (XRD)</w:t>
      </w:r>
      <w:r>
        <w:t xml:space="preserve"> te</w:t>
      </w:r>
      <w:r w:rsidR="009D1E5B">
        <w:t xml:space="preserve">chnique. </w:t>
      </w:r>
      <w:r w:rsidR="00D3296E">
        <w:t xml:space="preserve">The raw materials were activated with the following dosages: M+ 7.5%, AM = 1.25 and w/s ratio 0.37. 100% pfa, 100% ggbs and a 50/50 pfa/ggbs paste were produced. After oven curing, pastes were </w:t>
      </w:r>
      <w:r w:rsidR="00D3296E">
        <w:rPr>
          <w:rFonts w:cstheme="minorHAnsi"/>
        </w:rPr>
        <w:t xml:space="preserve">crushed using distilled water in a McCrone Mill for 5 min and dried at 50°C for 14 hours. </w:t>
      </w:r>
      <w:r w:rsidR="009D1E5B">
        <w:t>An internal standard (z</w:t>
      </w:r>
      <w:r>
        <w:t xml:space="preserve">incite) was included for semi-quantitative analysis of the material composition. Diffractograms for </w:t>
      </w:r>
      <w:r w:rsidR="009D1E5B">
        <w:t xml:space="preserve">unreacted </w:t>
      </w:r>
      <w:r>
        <w:t xml:space="preserve">pfa showed approximately 75% of amorphous content, with main crystalline phases as quartz (5.8% in weight), mullite (15.8%), plus minor contents of calcite and maghemite. </w:t>
      </w:r>
      <w:r w:rsidR="009D1E5B">
        <w:t xml:space="preserve">Ggbs </w:t>
      </w:r>
      <w:r w:rsidR="008C5F7B">
        <w:t xml:space="preserve">showed </w:t>
      </w:r>
      <w:r w:rsidR="009D1E5B">
        <w:t>an amorphous content of about 88%, with about 10% of crystalline calcite and less than 2% quartz.</w:t>
      </w:r>
      <w:r w:rsidR="00D3296E">
        <w:t xml:space="preserve"> </w:t>
      </w:r>
    </w:p>
    <w:p w:rsidR="00E849CB" w:rsidRDefault="00DC16B6" w:rsidP="002B3014">
      <w:r>
        <w:t>Figure 13 shows the compared diffractograms for 100% pfa (A), 100% ggbs (B) and 50/50 pfa/ggbs (C).</w:t>
      </w:r>
    </w:p>
    <w:p w:rsidR="00E849CB" w:rsidRDefault="00E849CB" w:rsidP="002B3014"/>
    <w:p w:rsidR="00E849CB" w:rsidRDefault="00E849CB" w:rsidP="00E849CB">
      <w:pPr>
        <w:spacing w:after="0" w:line="288" w:lineRule="auto"/>
        <w:jc w:val="center"/>
        <w:rPr>
          <w:rFonts w:cs="Times New Roman"/>
          <w:szCs w:val="20"/>
        </w:rPr>
      </w:pPr>
      <w:r>
        <w:rPr>
          <w:rFonts w:cs="Times New Roman"/>
          <w:noProof/>
          <w:szCs w:val="20"/>
          <w:lang w:eastAsia="en-GB"/>
        </w:rPr>
        <w:lastRenderedPageBreak/>
        <w:drawing>
          <wp:inline distT="0" distB="0" distL="0" distR="0" wp14:anchorId="1C2727EA" wp14:editId="2532EC43">
            <wp:extent cx="3993174" cy="7219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21" cstate="email">
                      <a:extLst>
                        <a:ext uri="{28A0092B-C50C-407E-A947-70E740481C1C}">
                          <a14:useLocalDpi xmlns:a14="http://schemas.microsoft.com/office/drawing/2010/main"/>
                        </a:ext>
                      </a:extLst>
                    </a:blip>
                    <a:stretch>
                      <a:fillRect/>
                    </a:stretch>
                  </pic:blipFill>
                  <pic:spPr>
                    <a:xfrm>
                      <a:off x="0" y="0"/>
                      <a:ext cx="3992104" cy="7217851"/>
                    </a:xfrm>
                    <a:prstGeom prst="rect">
                      <a:avLst/>
                    </a:prstGeom>
                  </pic:spPr>
                </pic:pic>
              </a:graphicData>
            </a:graphic>
          </wp:inline>
        </w:drawing>
      </w:r>
    </w:p>
    <w:p w:rsidR="00E849CB" w:rsidRDefault="00E849CB" w:rsidP="00DC16B6">
      <w:pPr>
        <w:spacing w:after="0" w:line="288" w:lineRule="auto"/>
        <w:jc w:val="center"/>
      </w:pPr>
      <w:r w:rsidRPr="00BC0732">
        <w:rPr>
          <w:rFonts w:cs="Times New Roman"/>
          <w:b/>
          <w:szCs w:val="20"/>
        </w:rPr>
        <w:t>Figure 1</w:t>
      </w:r>
      <w:r>
        <w:rPr>
          <w:rFonts w:cs="Times New Roman"/>
          <w:b/>
          <w:szCs w:val="20"/>
        </w:rPr>
        <w:t>3</w:t>
      </w:r>
      <w:r w:rsidRPr="00BC0732">
        <w:rPr>
          <w:rFonts w:cs="Times New Roman"/>
          <w:b/>
          <w:szCs w:val="20"/>
        </w:rPr>
        <w:t xml:space="preserve">. </w:t>
      </w:r>
      <w:r>
        <w:rPr>
          <w:rFonts w:cs="Times New Roman"/>
          <w:szCs w:val="20"/>
        </w:rPr>
        <w:t>XRD diffractograms of raw materials and reacted pastes. (a) 100% pfa (b) 100% ggbs (c) 50/50 pfa/ggbs</w:t>
      </w:r>
    </w:p>
    <w:p w:rsidR="00B83BBF" w:rsidRDefault="00B83BBF" w:rsidP="002B3014"/>
    <w:p w:rsidR="002B3014" w:rsidRDefault="008C5F7B" w:rsidP="002B3014">
      <w:r>
        <w:t>No new crysta</w:t>
      </w:r>
      <w:r w:rsidR="00AE0DC1">
        <w:t>l</w:t>
      </w:r>
      <w:r>
        <w:t>l</w:t>
      </w:r>
      <w:r w:rsidR="00AE0DC1">
        <w:t>ine</w:t>
      </w:r>
      <w:r>
        <w:t xml:space="preserve"> phase was obtained </w:t>
      </w:r>
      <w:r w:rsidR="009D1E5B">
        <w:t>from the activation of pfa</w:t>
      </w:r>
      <w:r>
        <w:t xml:space="preserve">. Quartz and mullite, as expected, did not participate to the reaction, as their mass contents remained unchanged. On the contrary, the activation of ggbs resulted in a </w:t>
      </w:r>
      <w:r w:rsidRPr="008C5F7B">
        <w:t xml:space="preserve">decrease </w:t>
      </w:r>
      <w:r w:rsidR="00AE0DC1">
        <w:t xml:space="preserve">in </w:t>
      </w:r>
      <w:r w:rsidRPr="008C5F7B">
        <w:t xml:space="preserve">amorphous content from 88% to 78% and </w:t>
      </w:r>
      <w:r w:rsidR="00AE0DC1">
        <w:t xml:space="preserve">in a </w:t>
      </w:r>
      <w:r w:rsidRPr="008C5F7B">
        <w:t xml:space="preserve">50% increase in calcite content </w:t>
      </w:r>
      <w:r w:rsidRPr="008C5F7B">
        <w:lastRenderedPageBreak/>
        <w:t xml:space="preserve">from 10.4% </w:t>
      </w:r>
      <w:r w:rsidR="00AE0DC1">
        <w:t xml:space="preserve">to </w:t>
      </w:r>
      <w:r w:rsidRPr="008C5F7B">
        <w:t>15.8%</w:t>
      </w:r>
      <w:r w:rsidR="00AE0DC1">
        <w:t xml:space="preserve">, with </w:t>
      </w:r>
      <w:r w:rsidR="00AE0DC1" w:rsidRPr="00AE0DC1">
        <w:t xml:space="preserve">peaks for calcite clearly higher in the </w:t>
      </w:r>
      <w:r w:rsidR="00AE0DC1">
        <w:t xml:space="preserve">activated ggbs </w:t>
      </w:r>
      <w:r w:rsidR="00AE0DC1" w:rsidRPr="00AE0DC1">
        <w:t>paste diffractogram</w:t>
      </w:r>
      <w:r w:rsidR="00AE0DC1">
        <w:t xml:space="preserve">. </w:t>
      </w:r>
      <w:r w:rsidR="00AE0DC1" w:rsidRPr="00AE0DC1">
        <w:t xml:space="preserve">It is likely that the calcite in </w:t>
      </w:r>
      <w:r w:rsidR="00AE0DC1">
        <w:t xml:space="preserve">activated ggbs </w:t>
      </w:r>
      <w:r w:rsidR="00AE0DC1" w:rsidRPr="00AE0DC1">
        <w:t>sample is a combination of high and low crystallinity forms, as apparent by the broad base to the 29.4°2θ peak.</w:t>
      </w:r>
    </w:p>
    <w:p w:rsidR="00AE0DC1" w:rsidRDefault="00AE0DC1" w:rsidP="002B3014">
      <w:r>
        <w:t xml:space="preserve">The 50/50 pfa/ggbs paste produced results </w:t>
      </w:r>
      <w:r w:rsidR="0099426A">
        <w:t xml:space="preserve">half way </w:t>
      </w:r>
      <w:r>
        <w:t>between 100% ggbs and 100% pfa pastes. Quartz and mullite contents did not change, whereas the crystalline calcite content increased from 6.2 wt% of the starting material to 10.5 wt% of the paste, which lead to a decrease of the amorphous phase from 82% to 79 wt%.</w:t>
      </w:r>
      <w:r w:rsidR="00BA01F5">
        <w:t xml:space="preserve"> </w:t>
      </w:r>
    </w:p>
    <w:p w:rsidR="008666FD" w:rsidRPr="008666FD" w:rsidRDefault="008666FD" w:rsidP="00692ECA">
      <w:pPr>
        <w:pStyle w:val="Heading2"/>
      </w:pPr>
      <w:r w:rsidRPr="008666FD">
        <w:t>Microstructure and chemistry of the pastes</w:t>
      </w:r>
    </w:p>
    <w:p w:rsidR="000038FA" w:rsidRDefault="003A045E" w:rsidP="00692ECA">
      <w:r>
        <w:t>T</w:t>
      </w:r>
      <w:r w:rsidR="000038FA">
        <w:t>he different mechanical behaviour of pfa and pfa/ggbs mixes</w:t>
      </w:r>
      <w:r>
        <w:t xml:space="preserve"> </w:t>
      </w:r>
      <w:r w:rsidR="0018588A">
        <w:t xml:space="preserve">discussed above </w:t>
      </w:r>
      <w:r w:rsidR="008666FD">
        <w:t>would be expected to correlate in some way with</w:t>
      </w:r>
      <w:r>
        <w:t xml:space="preserve"> microstructure or reaction products</w:t>
      </w:r>
      <w:r w:rsidR="008666FD">
        <w:t xml:space="preserve"> </w:t>
      </w:r>
      <w:r w:rsidR="0018588A">
        <w:t xml:space="preserve">found </w:t>
      </w:r>
      <w:r w:rsidR="008666FD">
        <w:t>in the paste</w:t>
      </w:r>
      <w:r w:rsidR="0018588A">
        <w:t>s</w:t>
      </w:r>
      <w:r>
        <w:t>.</w:t>
      </w:r>
      <w:r w:rsidR="000038FA">
        <w:t xml:space="preserve"> </w:t>
      </w:r>
      <w:r w:rsidR="0018588A">
        <w:t xml:space="preserve">To test this, </w:t>
      </w:r>
      <w:r w:rsidR="000038FA">
        <w:t xml:space="preserve">SEM analysis was carried out on </w:t>
      </w:r>
      <w:r w:rsidR="008666FD">
        <w:t xml:space="preserve">the </w:t>
      </w:r>
      <w:r w:rsidR="000038FA">
        <w:t>three pastes,</w:t>
      </w:r>
      <w:r w:rsidR="00734515">
        <w:t xml:space="preserve"> i.e. 100% ggbs, 100% pfa and 50/50</w:t>
      </w:r>
      <w:r w:rsidR="000038FA">
        <w:t xml:space="preserve"> pfa/ggbs.</w:t>
      </w:r>
    </w:p>
    <w:p w:rsidR="0018588A" w:rsidRDefault="0018588A" w:rsidP="0018588A">
      <w:pPr>
        <w:pStyle w:val="Heading3"/>
      </w:pPr>
      <w:r>
        <w:t>100% ggbs paste</w:t>
      </w:r>
    </w:p>
    <w:p w:rsidR="0018588A" w:rsidRDefault="0018588A" w:rsidP="00692ECA">
      <w:r>
        <w:t>The basic microstructure of 1</w:t>
      </w:r>
      <w:r w:rsidR="00F36886">
        <w:t xml:space="preserve">00% </w:t>
      </w:r>
      <w:r w:rsidR="003A045E">
        <w:t xml:space="preserve">ggbs </w:t>
      </w:r>
      <w:r>
        <w:t xml:space="preserve">paste is shown in </w:t>
      </w:r>
      <w:r w:rsidR="003A045E">
        <w:t xml:space="preserve">Figure </w:t>
      </w:r>
      <w:r w:rsidR="00864301">
        <w:t>14</w:t>
      </w:r>
      <w:r w:rsidR="00DF4CBB">
        <w:t>(a) and (b).</w:t>
      </w:r>
      <w:r>
        <w:t xml:space="preserve"> The paste is made up of </w:t>
      </w:r>
      <w:r w:rsidR="00677050">
        <w:t>unreacted</w:t>
      </w:r>
      <w:r>
        <w:t xml:space="preserve"> </w:t>
      </w:r>
      <w:r w:rsidR="00EB2948">
        <w:t>particles</w:t>
      </w:r>
      <w:r>
        <w:t xml:space="preserve"> of ggbs in a smooth</w:t>
      </w:r>
      <w:r w:rsidR="00156C84">
        <w:t xml:space="preserve"> and</w:t>
      </w:r>
      <w:r>
        <w:t xml:space="preserve"> homogenous looking gel. The paste is</w:t>
      </w:r>
      <w:r w:rsidR="008E7CFE">
        <w:t xml:space="preserve"> </w:t>
      </w:r>
      <w:r w:rsidR="00DF6EB7">
        <w:t>traversed by interconnecting curved fractures that locally break up the paste into ~10</w:t>
      </w:r>
      <w:r w:rsidR="00603C54">
        <w:t xml:space="preserve">-20 </w:t>
      </w:r>
      <w:r w:rsidR="00DF6EB7">
        <w:t>µm size conchoidal particles</w:t>
      </w:r>
      <w:r w:rsidR="003A045E">
        <w:t>.</w:t>
      </w:r>
      <w:r w:rsidR="000038FA">
        <w:t xml:space="preserve"> </w:t>
      </w:r>
      <w:r>
        <w:t>The fractures have morphologies characteristic of desiccation</w:t>
      </w:r>
      <w:r w:rsidR="00253CB4">
        <w:t xml:space="preserve">, particularly </w:t>
      </w:r>
      <w:r w:rsidR="00BF6B7E">
        <w:t>evident</w:t>
      </w:r>
      <w:r w:rsidR="00253CB4">
        <w:t xml:space="preserve"> in Figure </w:t>
      </w:r>
      <w:r w:rsidR="00DF4CBB">
        <w:t>14(b)</w:t>
      </w:r>
      <w:r>
        <w:t xml:space="preserve">. EDS-based chemical analysis of </w:t>
      </w:r>
      <w:r w:rsidR="00677050">
        <w:t>unreacted</w:t>
      </w:r>
      <w:r>
        <w:t xml:space="preserve"> ggbs and the surround</w:t>
      </w:r>
      <w:r w:rsidR="003A1431">
        <w:t>ing</w:t>
      </w:r>
      <w:r>
        <w:t xml:space="preserve"> gel from the points indicated in Figure </w:t>
      </w:r>
      <w:r w:rsidR="00864301">
        <w:t>14</w:t>
      </w:r>
      <w:r w:rsidR="00DF4CBB">
        <w:t>(a)</w:t>
      </w:r>
      <w:r w:rsidR="00864301">
        <w:t xml:space="preserve"> </w:t>
      </w:r>
      <w:r>
        <w:t xml:space="preserve">are summarised in Table 3 and on the ternary diagram in Figure </w:t>
      </w:r>
      <w:r w:rsidR="00864301">
        <w:t>15</w:t>
      </w:r>
      <w:r>
        <w:t xml:space="preserve">. The vertices of the ternary diagram have been chosen to encompass the main chemical compositions of the gels developed in all three pastes. </w:t>
      </w:r>
      <w:r w:rsidR="009F0371">
        <w:t>The</w:t>
      </w:r>
      <w:r w:rsidR="009F0371" w:rsidRPr="009F0371">
        <w:t xml:space="preserve"> </w:t>
      </w:r>
      <w:r w:rsidR="009F0371">
        <w:t xml:space="preserve">Na, Ca and Al values in Table 3 have been ‘normalised’ to Si content in each case in order to alleviate the inherent semi-quantitative nature of EDS chemical analysis on rough surfaces. It is </w:t>
      </w:r>
      <w:r w:rsidR="00E9571C">
        <w:t xml:space="preserve">worth noting </w:t>
      </w:r>
      <w:r w:rsidR="009F0371">
        <w:t xml:space="preserve">in Figure </w:t>
      </w:r>
      <w:r w:rsidR="00864301">
        <w:t xml:space="preserve">15 </w:t>
      </w:r>
      <w:r w:rsidR="009F0371">
        <w:t xml:space="preserve">that the </w:t>
      </w:r>
      <w:r w:rsidR="00677050">
        <w:t>unreacted</w:t>
      </w:r>
      <w:r w:rsidR="009F0371">
        <w:t xml:space="preserve"> </w:t>
      </w:r>
      <w:r w:rsidR="00A84534">
        <w:t xml:space="preserve">100% </w:t>
      </w:r>
      <w:r w:rsidR="009F0371">
        <w:t>ggbs particles and the 100% ggbs gel form separate clusters that lie on a line that intersect</w:t>
      </w:r>
      <w:r w:rsidR="00A84534">
        <w:t>s</w:t>
      </w:r>
      <w:r w:rsidR="009F0371">
        <w:t xml:space="preserve"> the Na/Si corner of the plot</w:t>
      </w:r>
      <w:r w:rsidR="00DF4CBB">
        <w:t>, where</w:t>
      </w:r>
      <w:r w:rsidR="00B1130B">
        <w:t xml:space="preserve"> the alkali activator plots</w:t>
      </w:r>
      <w:r w:rsidR="00A84534">
        <w:t xml:space="preserve"> (see dashed line in Figure </w:t>
      </w:r>
      <w:r w:rsidR="00864301">
        <w:t>15</w:t>
      </w:r>
      <w:r w:rsidR="00A84534">
        <w:t>)</w:t>
      </w:r>
      <w:r w:rsidR="009F0371">
        <w:t xml:space="preserve">. The 100% ggbs gel thus lies about half way along a potential mixing line between the original ggbs composition and the activator composition, suggesting more or less equal contribution of ggbs and activator </w:t>
      </w:r>
      <w:r w:rsidR="00A84534">
        <w:t>in the reaction to produce</w:t>
      </w:r>
      <w:r w:rsidR="009F0371">
        <w:t xml:space="preserve"> the gel. </w:t>
      </w:r>
    </w:p>
    <w:p w:rsidR="00DC16B6" w:rsidRDefault="00DC16B6" w:rsidP="00692ECA"/>
    <w:p w:rsidR="00DC16B6" w:rsidRPr="00BC0732" w:rsidRDefault="00DC16B6" w:rsidP="00DC16B6">
      <w:pPr>
        <w:spacing w:after="0" w:line="288" w:lineRule="auto"/>
        <w:jc w:val="center"/>
        <w:rPr>
          <w:rFonts w:cs="Times New Roman"/>
          <w:b/>
          <w:szCs w:val="20"/>
        </w:rPr>
      </w:pPr>
      <w:r>
        <w:rPr>
          <w:rFonts w:cs="Times New Roman"/>
          <w:b/>
          <w:noProof/>
          <w:szCs w:val="20"/>
          <w:lang w:eastAsia="en-GB"/>
        </w:rPr>
        <w:lastRenderedPageBreak/>
        <w:drawing>
          <wp:inline distT="0" distB="0" distL="0" distR="0" wp14:anchorId="1182A30D" wp14:editId="5BB5EEBB">
            <wp:extent cx="4958325" cy="7537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tif"/>
                    <pic:cNvPicPr/>
                  </pic:nvPicPr>
                  <pic:blipFill>
                    <a:blip r:embed="rId22" cstate="email">
                      <a:extLst>
                        <a:ext uri="{28A0092B-C50C-407E-A947-70E740481C1C}">
                          <a14:useLocalDpi xmlns:a14="http://schemas.microsoft.com/office/drawing/2010/main"/>
                        </a:ext>
                      </a:extLst>
                    </a:blip>
                    <a:stretch>
                      <a:fillRect/>
                    </a:stretch>
                  </pic:blipFill>
                  <pic:spPr>
                    <a:xfrm>
                      <a:off x="0" y="0"/>
                      <a:ext cx="4957524" cy="7536247"/>
                    </a:xfrm>
                    <a:prstGeom prst="rect">
                      <a:avLst/>
                    </a:prstGeom>
                  </pic:spPr>
                </pic:pic>
              </a:graphicData>
            </a:graphic>
          </wp:inline>
        </w:drawing>
      </w:r>
    </w:p>
    <w:p w:rsidR="00DC16B6" w:rsidRDefault="00DC16B6" w:rsidP="00DC16B6">
      <w:pPr>
        <w:spacing w:after="0" w:line="288" w:lineRule="auto"/>
        <w:jc w:val="center"/>
        <w:rPr>
          <w:rFonts w:cs="Times New Roman"/>
          <w:szCs w:val="20"/>
        </w:rPr>
      </w:pPr>
      <w:r w:rsidRPr="00BC0732">
        <w:rPr>
          <w:rFonts w:cs="Times New Roman"/>
          <w:b/>
          <w:szCs w:val="20"/>
        </w:rPr>
        <w:t>Figure 1</w:t>
      </w:r>
      <w:r>
        <w:rPr>
          <w:rFonts w:cs="Times New Roman"/>
          <w:b/>
          <w:szCs w:val="20"/>
        </w:rPr>
        <w:t>4</w:t>
      </w:r>
      <w:r w:rsidRPr="00BC0732">
        <w:rPr>
          <w:rFonts w:cs="Times New Roman"/>
          <w:b/>
          <w:szCs w:val="20"/>
        </w:rPr>
        <w:t xml:space="preserve">. </w:t>
      </w:r>
      <w:r w:rsidRPr="00BC0732">
        <w:rPr>
          <w:rFonts w:cs="Times New Roman"/>
          <w:szCs w:val="20"/>
        </w:rPr>
        <w:t>SEM back-scattered electron</w:t>
      </w:r>
      <w:r>
        <w:rPr>
          <w:rFonts w:cs="Times New Roman"/>
          <w:szCs w:val="20"/>
        </w:rPr>
        <w:t xml:space="preserve"> (A-G) and secondary electron (H)</w:t>
      </w:r>
      <w:r w:rsidRPr="00BC0732">
        <w:rPr>
          <w:rFonts w:cs="Times New Roman"/>
          <w:szCs w:val="20"/>
        </w:rPr>
        <w:t xml:space="preserve"> images of geopolymer paste</w:t>
      </w:r>
      <w:r>
        <w:rPr>
          <w:rFonts w:cs="Times New Roman"/>
          <w:szCs w:val="20"/>
        </w:rPr>
        <w:t xml:space="preserve"> broken surfaces. Numbered</w:t>
      </w:r>
      <w:r w:rsidRPr="00BC0732">
        <w:rPr>
          <w:rFonts w:cs="Times New Roman"/>
          <w:szCs w:val="20"/>
        </w:rPr>
        <w:t xml:space="preserve"> spots on A, C, D, E and F are locations of EDS chemical analyses. A &amp; B: paste made with 100% ggbs. C&amp;D: paste made with 100% pfa. E</w:t>
      </w:r>
      <w:r>
        <w:rPr>
          <w:rFonts w:cs="Times New Roman"/>
          <w:szCs w:val="20"/>
        </w:rPr>
        <w:t>-H</w:t>
      </w:r>
      <w:r w:rsidRPr="00BC0732">
        <w:rPr>
          <w:rFonts w:cs="Times New Roman"/>
          <w:szCs w:val="20"/>
        </w:rPr>
        <w:t>: paste made with 50% ggbs and 50% pfa.</w:t>
      </w:r>
    </w:p>
    <w:p w:rsidR="00DC16B6" w:rsidRDefault="00DC16B6" w:rsidP="00DC16B6">
      <w:pPr>
        <w:spacing w:after="0" w:line="288" w:lineRule="auto"/>
        <w:jc w:val="center"/>
        <w:rPr>
          <w:rFonts w:cs="Times New Roman"/>
          <w:szCs w:val="20"/>
        </w:rPr>
      </w:pPr>
    </w:p>
    <w:p w:rsidR="00DC16B6" w:rsidRDefault="00DC16B6" w:rsidP="00DC16B6">
      <w:pPr>
        <w:spacing w:after="0" w:line="288" w:lineRule="auto"/>
        <w:jc w:val="center"/>
        <w:rPr>
          <w:rFonts w:cs="Times New Roman"/>
          <w:szCs w:val="20"/>
        </w:rPr>
      </w:pPr>
    </w:p>
    <w:p w:rsidR="00DC16B6" w:rsidRDefault="00DC16B6" w:rsidP="00DC16B6">
      <w:pPr>
        <w:spacing w:after="0" w:line="288" w:lineRule="auto"/>
        <w:jc w:val="center"/>
        <w:rPr>
          <w:rFonts w:cs="Times New Roman"/>
          <w:szCs w:val="20"/>
        </w:rPr>
      </w:pPr>
    </w:p>
    <w:p w:rsidR="00DC16B6" w:rsidRDefault="00DC16B6" w:rsidP="00DC16B6">
      <w:pPr>
        <w:spacing w:after="0" w:line="288" w:lineRule="auto"/>
        <w:jc w:val="center"/>
        <w:rPr>
          <w:rFonts w:cs="Times New Roman"/>
          <w:szCs w:val="20"/>
        </w:rPr>
      </w:pPr>
    </w:p>
    <w:p w:rsidR="00DC16B6" w:rsidRPr="00BC0732" w:rsidRDefault="00DC16B6" w:rsidP="00DC16B6">
      <w:pPr>
        <w:spacing w:after="120" w:line="240" w:lineRule="auto"/>
        <w:rPr>
          <w:rFonts w:cs="Times New Roman"/>
          <w:szCs w:val="20"/>
        </w:rPr>
      </w:pPr>
      <w:r w:rsidRPr="00BC0732">
        <w:rPr>
          <w:rFonts w:cs="Times New Roman"/>
          <w:b/>
          <w:szCs w:val="20"/>
        </w:rPr>
        <w:lastRenderedPageBreak/>
        <w:t xml:space="preserve">Table 3. </w:t>
      </w:r>
      <w:r w:rsidRPr="00BC0732">
        <w:rPr>
          <w:rFonts w:cs="Times New Roman"/>
          <w:szCs w:val="20"/>
        </w:rPr>
        <w:t>EDS analysis of 100% ggbs paste. Spot numbers refer to Figure 1</w:t>
      </w:r>
      <w:r>
        <w:rPr>
          <w:rFonts w:cs="Times New Roman"/>
          <w:szCs w:val="20"/>
        </w:rPr>
        <w:t>4(a)</w:t>
      </w:r>
      <w:r w:rsidRPr="00BC0732">
        <w:rPr>
          <w:rFonts w:cs="Times New Roman"/>
          <w:szCs w:val="20"/>
        </w:rPr>
        <w:t>. Analyses with Oxford Instruments INCA.</w:t>
      </w:r>
    </w:p>
    <w:tbl>
      <w:tblPr>
        <w:tblW w:w="10160" w:type="dxa"/>
        <w:tblInd w:w="-549" w:type="dxa"/>
        <w:tblLook w:val="04A0" w:firstRow="1" w:lastRow="0" w:firstColumn="1" w:lastColumn="0" w:noHBand="0" w:noVBand="1"/>
      </w:tblPr>
      <w:tblGrid>
        <w:gridCol w:w="567"/>
        <w:gridCol w:w="627"/>
        <w:gridCol w:w="627"/>
        <w:gridCol w:w="536"/>
        <w:gridCol w:w="536"/>
        <w:gridCol w:w="627"/>
        <w:gridCol w:w="536"/>
        <w:gridCol w:w="627"/>
        <w:gridCol w:w="536"/>
        <w:gridCol w:w="536"/>
        <w:gridCol w:w="536"/>
        <w:gridCol w:w="627"/>
        <w:gridCol w:w="627"/>
        <w:gridCol w:w="631"/>
        <w:gridCol w:w="1984"/>
      </w:tblGrid>
      <w:tr w:rsidR="00DC16B6" w:rsidRPr="00BC0732" w:rsidTr="000D3DC8">
        <w:trPr>
          <w:trHeight w:val="300"/>
        </w:trPr>
        <w:tc>
          <w:tcPr>
            <w:tcW w:w="56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Spot</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O</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Mg</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K</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Ti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Mn</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Fe</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Al/Si</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Ca/Si</w:t>
            </w:r>
          </w:p>
        </w:tc>
        <w:tc>
          <w:tcPr>
            <w:tcW w:w="631"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Na/Si</w:t>
            </w:r>
          </w:p>
        </w:tc>
        <w:tc>
          <w:tcPr>
            <w:tcW w:w="1984"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Description</w:t>
            </w:r>
          </w:p>
        </w:tc>
      </w:tr>
      <w:tr w:rsidR="00DC16B6" w:rsidRPr="00BC0732" w:rsidTr="000D3DC8">
        <w:trPr>
          <w:trHeight w:val="300"/>
        </w:trPr>
        <w:tc>
          <w:tcPr>
            <w:tcW w:w="56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53.42</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20.99</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2.00</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3.22</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9.96</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0.15</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9.95</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0.13</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0.17</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0.323</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0.999</w:t>
            </w:r>
          </w:p>
        </w:tc>
        <w:tc>
          <w:tcPr>
            <w:tcW w:w="631"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2.107</w:t>
            </w:r>
          </w:p>
        </w:tc>
        <w:tc>
          <w:tcPr>
            <w:tcW w:w="1984"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50.95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16.29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3.13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4.03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11.07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13.69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0.405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1.237</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1.472</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46.93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20.21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3.00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11.38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16.63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0.301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1.461</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1.776</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49.80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19.25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1.38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3.18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11.25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14.20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0.319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1.262</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1.711</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43.54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5.30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3.60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5.80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15.09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25.23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0.582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1.672</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0.351</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43.57</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7.08</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3.65</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4.94</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13.72</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0.53</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24.72</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0.60</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1.05</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0.496</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1.802</w:t>
            </w:r>
          </w:p>
        </w:tc>
        <w:tc>
          <w:tcPr>
            <w:tcW w:w="631"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0.516</w:t>
            </w:r>
          </w:p>
        </w:tc>
        <w:tc>
          <w:tcPr>
            <w:tcW w:w="1984"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36.59</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3.71</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3.14</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5.22</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15.97</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0.61</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33.99</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0.56</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0.56</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0.524</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2.128</w:t>
            </w:r>
          </w:p>
        </w:tc>
        <w:tc>
          <w:tcPr>
            <w:tcW w:w="631"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0.232</w:t>
            </w:r>
          </w:p>
        </w:tc>
        <w:tc>
          <w:tcPr>
            <w:tcW w:w="1984"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bl>
    <w:p w:rsidR="00DC16B6" w:rsidRDefault="00DC16B6" w:rsidP="00DC16B6">
      <w:pPr>
        <w:spacing w:after="80" w:line="240" w:lineRule="auto"/>
        <w:rPr>
          <w:rFonts w:cs="Times New Roman"/>
          <w:b/>
          <w:szCs w:val="20"/>
        </w:rPr>
      </w:pPr>
    </w:p>
    <w:p w:rsidR="00DC16B6" w:rsidRPr="00BC0732" w:rsidRDefault="00DC16B6" w:rsidP="00DC16B6">
      <w:pPr>
        <w:spacing w:after="120" w:line="240" w:lineRule="auto"/>
        <w:rPr>
          <w:rFonts w:cs="Times New Roman"/>
          <w:szCs w:val="20"/>
        </w:rPr>
      </w:pPr>
      <w:r w:rsidRPr="00BC0732">
        <w:rPr>
          <w:rFonts w:cs="Times New Roman"/>
          <w:b/>
          <w:szCs w:val="20"/>
        </w:rPr>
        <w:t>Table 4</w:t>
      </w:r>
      <w:r>
        <w:rPr>
          <w:rFonts w:cs="Times New Roman"/>
          <w:b/>
          <w:szCs w:val="20"/>
        </w:rPr>
        <w:t>(a)</w:t>
      </w:r>
      <w:r w:rsidRPr="00BC0732">
        <w:rPr>
          <w:rFonts w:cs="Times New Roman"/>
          <w:b/>
          <w:szCs w:val="20"/>
        </w:rPr>
        <w:t xml:space="preserve">. </w:t>
      </w:r>
      <w:r w:rsidRPr="00BC0732">
        <w:rPr>
          <w:rFonts w:cs="Times New Roman"/>
          <w:szCs w:val="20"/>
        </w:rPr>
        <w:t xml:space="preserve">EDS analysis of 100% pfa paste. Spot numbers refer to Figure </w:t>
      </w:r>
      <w:r>
        <w:rPr>
          <w:rFonts w:cs="Times New Roman"/>
          <w:szCs w:val="20"/>
        </w:rPr>
        <w:t>14(c)</w:t>
      </w:r>
      <w:r w:rsidRPr="00BC0732">
        <w:rPr>
          <w:rFonts w:cs="Times New Roman"/>
          <w:szCs w:val="20"/>
        </w:rPr>
        <w:t>. Analyses with Oxford Instruments INCA.</w:t>
      </w:r>
    </w:p>
    <w:tbl>
      <w:tblPr>
        <w:tblW w:w="10134" w:type="dxa"/>
        <w:tblInd w:w="-516" w:type="dxa"/>
        <w:tblLook w:val="04A0" w:firstRow="1" w:lastRow="0" w:firstColumn="1" w:lastColumn="0" w:noHBand="0" w:noVBand="1"/>
      </w:tblPr>
      <w:tblGrid>
        <w:gridCol w:w="567"/>
        <w:gridCol w:w="627"/>
        <w:gridCol w:w="627"/>
        <w:gridCol w:w="536"/>
        <w:gridCol w:w="627"/>
        <w:gridCol w:w="627"/>
        <w:gridCol w:w="536"/>
        <w:gridCol w:w="536"/>
        <w:gridCol w:w="536"/>
        <w:gridCol w:w="510"/>
        <w:gridCol w:w="536"/>
        <w:gridCol w:w="627"/>
        <w:gridCol w:w="627"/>
        <w:gridCol w:w="631"/>
        <w:gridCol w:w="1984"/>
      </w:tblGrid>
      <w:tr w:rsidR="00DC16B6" w:rsidRPr="00BC0732" w:rsidTr="000D3DC8">
        <w:trPr>
          <w:trHeight w:val="300"/>
        </w:trPr>
        <w:tc>
          <w:tcPr>
            <w:tcW w:w="56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Spot</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O</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Mg</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K</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Ti</w:t>
            </w:r>
          </w:p>
        </w:tc>
        <w:tc>
          <w:tcPr>
            <w:tcW w:w="510"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Mn</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Fe</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Al/Si</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Ca/Si</w:t>
            </w:r>
          </w:p>
        </w:tc>
        <w:tc>
          <w:tcPr>
            <w:tcW w:w="631"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Na/Si</w:t>
            </w:r>
          </w:p>
        </w:tc>
        <w:tc>
          <w:tcPr>
            <w:tcW w:w="1984"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Description</w:t>
            </w:r>
          </w:p>
        </w:tc>
      </w:tr>
      <w:tr w:rsidR="00DC16B6" w:rsidRPr="00BC0732" w:rsidTr="000D3DC8">
        <w:trPr>
          <w:trHeight w:val="300"/>
        </w:trPr>
        <w:tc>
          <w:tcPr>
            <w:tcW w:w="56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47.27</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2.78</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0.76</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15.02</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26.5</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3.58</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0.94</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0.78</w:t>
            </w:r>
          </w:p>
        </w:tc>
        <w:tc>
          <w:tcPr>
            <w:tcW w:w="510"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2.36</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1.508</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0.035</w:t>
            </w:r>
          </w:p>
        </w:tc>
        <w:tc>
          <w:tcPr>
            <w:tcW w:w="631"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0.105</w:t>
            </w:r>
          </w:p>
        </w:tc>
        <w:tc>
          <w:tcPr>
            <w:tcW w:w="1984"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pfa particle</w:t>
            </w:r>
          </w:p>
        </w:tc>
      </w:tr>
      <w:tr w:rsidR="00DC16B6" w:rsidRPr="00BC0732" w:rsidTr="000D3DC8">
        <w:trPr>
          <w:trHeight w:val="300"/>
        </w:trPr>
        <w:tc>
          <w:tcPr>
            <w:tcW w:w="56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54.2</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8.53</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0.54</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11.15</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19.08</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1.51</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2.08</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0.28</w:t>
            </w:r>
          </w:p>
        </w:tc>
        <w:tc>
          <w:tcPr>
            <w:tcW w:w="510"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2.62</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1.119</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0.109</w:t>
            </w:r>
          </w:p>
        </w:tc>
        <w:tc>
          <w:tcPr>
            <w:tcW w:w="631"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0.447</w:t>
            </w:r>
          </w:p>
        </w:tc>
        <w:tc>
          <w:tcPr>
            <w:tcW w:w="1984"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N-A-S-H gel</w:t>
            </w:r>
          </w:p>
        </w:tc>
      </w:tr>
      <w:tr w:rsidR="00DC16B6" w:rsidRPr="00BC0732" w:rsidTr="000D3DC8">
        <w:trPr>
          <w:trHeight w:val="300"/>
        </w:trPr>
        <w:tc>
          <w:tcPr>
            <w:tcW w:w="56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49.77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10.24</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0.58</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8.96</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22.88</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2.18</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2.7</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0.51</w:t>
            </w:r>
          </w:p>
        </w:tc>
        <w:tc>
          <w:tcPr>
            <w:tcW w:w="510"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0.900</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0.118</w:t>
            </w:r>
          </w:p>
        </w:tc>
        <w:tc>
          <w:tcPr>
            <w:tcW w:w="631"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0.448</w:t>
            </w:r>
          </w:p>
        </w:tc>
        <w:tc>
          <w:tcPr>
            <w:tcW w:w="1984"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N-A-S-H gel</w:t>
            </w:r>
          </w:p>
        </w:tc>
      </w:tr>
    </w:tbl>
    <w:p w:rsidR="00DC16B6" w:rsidRDefault="00DC16B6" w:rsidP="00DC16B6">
      <w:pPr>
        <w:spacing w:after="0"/>
        <w:rPr>
          <w:rFonts w:cs="Times New Roman"/>
          <w:b/>
          <w:szCs w:val="20"/>
        </w:rPr>
      </w:pPr>
    </w:p>
    <w:p w:rsidR="00DC16B6" w:rsidRPr="00BC0732" w:rsidRDefault="00DC16B6" w:rsidP="00DC16B6">
      <w:pPr>
        <w:spacing w:after="120" w:line="240" w:lineRule="auto"/>
        <w:rPr>
          <w:rFonts w:cs="Times New Roman"/>
          <w:szCs w:val="20"/>
        </w:rPr>
      </w:pPr>
      <w:r w:rsidRPr="00BC0732">
        <w:rPr>
          <w:rFonts w:cs="Times New Roman"/>
          <w:b/>
          <w:szCs w:val="20"/>
        </w:rPr>
        <w:t>Table 4</w:t>
      </w:r>
      <w:r>
        <w:rPr>
          <w:rFonts w:cs="Times New Roman"/>
          <w:b/>
          <w:szCs w:val="20"/>
        </w:rPr>
        <w:t>(b)</w:t>
      </w:r>
      <w:r w:rsidRPr="00BC0732">
        <w:rPr>
          <w:rFonts w:cs="Times New Roman"/>
          <w:b/>
          <w:szCs w:val="20"/>
        </w:rPr>
        <w:t xml:space="preserve">. </w:t>
      </w:r>
      <w:r w:rsidRPr="00BC0732">
        <w:rPr>
          <w:rFonts w:cs="Times New Roman"/>
          <w:szCs w:val="20"/>
        </w:rPr>
        <w:t xml:space="preserve">EDS analysis of 100% pfa paste. </w:t>
      </w:r>
      <w:r>
        <w:rPr>
          <w:rFonts w:cs="Times New Roman"/>
          <w:szCs w:val="20"/>
        </w:rPr>
        <w:t>Spot numbers refer to Figure 14(d)</w:t>
      </w:r>
      <w:r w:rsidRPr="00BC0732">
        <w:rPr>
          <w:rFonts w:cs="Times New Roman"/>
          <w:szCs w:val="20"/>
        </w:rPr>
        <w:t>. Analyses with Oxford Instruments INCA.</w:t>
      </w:r>
    </w:p>
    <w:tbl>
      <w:tblPr>
        <w:tblW w:w="10160" w:type="dxa"/>
        <w:tblInd w:w="-506" w:type="dxa"/>
        <w:tblLook w:val="04A0" w:firstRow="1" w:lastRow="0" w:firstColumn="1" w:lastColumn="0" w:noHBand="0" w:noVBand="1"/>
      </w:tblPr>
      <w:tblGrid>
        <w:gridCol w:w="567"/>
        <w:gridCol w:w="627"/>
        <w:gridCol w:w="627"/>
        <w:gridCol w:w="536"/>
        <w:gridCol w:w="627"/>
        <w:gridCol w:w="627"/>
        <w:gridCol w:w="536"/>
        <w:gridCol w:w="536"/>
        <w:gridCol w:w="536"/>
        <w:gridCol w:w="536"/>
        <w:gridCol w:w="536"/>
        <w:gridCol w:w="627"/>
        <w:gridCol w:w="627"/>
        <w:gridCol w:w="631"/>
        <w:gridCol w:w="1984"/>
      </w:tblGrid>
      <w:tr w:rsidR="00DC16B6" w:rsidRPr="00BC0732" w:rsidTr="000D3DC8">
        <w:trPr>
          <w:trHeight w:val="300"/>
        </w:trPr>
        <w:tc>
          <w:tcPr>
            <w:tcW w:w="56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Spot</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O</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Mg</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K</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Ti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Mn</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Fe</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Al/Si</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Ca/Si</w:t>
            </w:r>
          </w:p>
        </w:tc>
        <w:tc>
          <w:tcPr>
            <w:tcW w:w="631"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Na/Si</w:t>
            </w:r>
          </w:p>
        </w:tc>
        <w:tc>
          <w:tcPr>
            <w:tcW w:w="1984"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Description</w:t>
            </w:r>
          </w:p>
        </w:tc>
      </w:tr>
      <w:tr w:rsidR="00DC16B6" w:rsidRPr="00BC0732" w:rsidTr="000D3DC8">
        <w:trPr>
          <w:trHeight w:val="345"/>
        </w:trPr>
        <w:tc>
          <w:tcPr>
            <w:tcW w:w="56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53.09</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1.21</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0.89</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14.18</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23.50</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2.89</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1.34</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0.44</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2.37</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1.424</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0.057</w:t>
            </w:r>
          </w:p>
        </w:tc>
        <w:tc>
          <w:tcPr>
            <w:tcW w:w="631"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0.051</w:t>
            </w:r>
          </w:p>
        </w:tc>
        <w:tc>
          <w:tcPr>
            <w:tcW w:w="1984" w:type="dxa"/>
            <w:tcBorders>
              <w:top w:val="single" w:sz="4" w:space="0" w:color="auto"/>
              <w:left w:val="nil"/>
              <w:bottom w:val="nil"/>
              <w:right w:val="nil"/>
            </w:tcBorders>
            <w:shd w:val="clear" w:color="auto" w:fill="auto"/>
            <w:vAlign w:val="center"/>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pfa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47.03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14.67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9.57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20.68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3.20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0.961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0.083</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0.709</w:t>
            </w:r>
          </w:p>
        </w:tc>
        <w:tc>
          <w:tcPr>
            <w:tcW w:w="1984" w:type="dxa"/>
            <w:tcBorders>
              <w:top w:val="nil"/>
              <w:left w:val="nil"/>
              <w:bottom w:val="nil"/>
              <w:right w:val="nil"/>
            </w:tcBorders>
            <w:shd w:val="clear" w:color="auto" w:fill="auto"/>
            <w:vAlign w:val="center"/>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N-A-S crystal</w:t>
            </w:r>
          </w:p>
        </w:tc>
      </w:tr>
      <w:tr w:rsidR="00DC16B6" w:rsidRPr="00BC0732" w:rsidTr="000D3DC8">
        <w:trPr>
          <w:trHeight w:val="300"/>
        </w:trPr>
        <w:tc>
          <w:tcPr>
            <w:tcW w:w="56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48.34</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18.89</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0.49</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7.77</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17.44</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1.93</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1.63</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0.53</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3.03</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0.780</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0.093</w:t>
            </w:r>
          </w:p>
        </w:tc>
        <w:tc>
          <w:tcPr>
            <w:tcW w:w="631"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1.083</w:t>
            </w:r>
          </w:p>
        </w:tc>
        <w:tc>
          <w:tcPr>
            <w:tcW w:w="1984" w:type="dxa"/>
            <w:tcBorders>
              <w:top w:val="nil"/>
              <w:left w:val="nil"/>
              <w:right w:val="nil"/>
            </w:tcBorders>
            <w:shd w:val="clear" w:color="auto" w:fill="auto"/>
            <w:vAlign w:val="center"/>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N-A-S crystal</w:t>
            </w:r>
          </w:p>
        </w:tc>
      </w:tr>
      <w:tr w:rsidR="00DC16B6" w:rsidRPr="00BC0732" w:rsidTr="000D3DC8">
        <w:trPr>
          <w:trHeight w:val="300"/>
        </w:trPr>
        <w:tc>
          <w:tcPr>
            <w:tcW w:w="56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51.39</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7.02</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0.76</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11.05</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21.23</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1.93</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2.11</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1.18</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3.29</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1.109</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0.099</w:t>
            </w:r>
          </w:p>
        </w:tc>
        <w:tc>
          <w:tcPr>
            <w:tcW w:w="631"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0.331</w:t>
            </w:r>
          </w:p>
        </w:tc>
        <w:tc>
          <w:tcPr>
            <w:tcW w:w="1984" w:type="dxa"/>
            <w:tcBorders>
              <w:top w:val="nil"/>
              <w:left w:val="nil"/>
              <w:bottom w:val="single" w:sz="4" w:space="0" w:color="auto"/>
              <w:right w:val="nil"/>
            </w:tcBorders>
            <w:shd w:val="clear" w:color="auto" w:fill="auto"/>
            <w:vAlign w:val="center"/>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N-A-S-H gel</w:t>
            </w:r>
          </w:p>
        </w:tc>
      </w:tr>
    </w:tbl>
    <w:p w:rsidR="00DC16B6" w:rsidRDefault="00DC16B6" w:rsidP="00DC16B6">
      <w:pPr>
        <w:spacing w:after="80" w:line="240" w:lineRule="auto"/>
        <w:rPr>
          <w:rFonts w:cs="Times New Roman"/>
          <w:b/>
          <w:szCs w:val="20"/>
        </w:rPr>
      </w:pPr>
    </w:p>
    <w:p w:rsidR="00DC16B6" w:rsidRPr="00BC0732" w:rsidRDefault="00DC16B6" w:rsidP="00DC16B6">
      <w:pPr>
        <w:spacing w:after="120" w:line="240" w:lineRule="auto"/>
        <w:rPr>
          <w:rFonts w:cs="Times New Roman"/>
          <w:szCs w:val="20"/>
        </w:rPr>
      </w:pPr>
      <w:r w:rsidRPr="00BC0732">
        <w:rPr>
          <w:rFonts w:cs="Times New Roman"/>
          <w:b/>
          <w:szCs w:val="20"/>
        </w:rPr>
        <w:t>Table 5</w:t>
      </w:r>
      <w:r>
        <w:rPr>
          <w:rFonts w:cs="Times New Roman"/>
          <w:b/>
          <w:szCs w:val="20"/>
        </w:rPr>
        <w:t>(a)</w:t>
      </w:r>
      <w:r w:rsidRPr="00BC0732">
        <w:rPr>
          <w:rFonts w:cs="Times New Roman"/>
          <w:b/>
          <w:szCs w:val="20"/>
        </w:rPr>
        <w:t xml:space="preserve">. </w:t>
      </w:r>
      <w:r w:rsidRPr="00BC0732">
        <w:rPr>
          <w:rFonts w:cs="Times New Roman"/>
          <w:szCs w:val="20"/>
        </w:rPr>
        <w:t>EDS analysis of 50/50 pfa/ggbs paste (1</w:t>
      </w:r>
      <w:r w:rsidRPr="00BC0732">
        <w:rPr>
          <w:rFonts w:cs="Times New Roman"/>
          <w:szCs w:val="20"/>
          <w:vertAlign w:val="superscript"/>
        </w:rPr>
        <w:t>st</w:t>
      </w:r>
      <w:r w:rsidRPr="00BC0732">
        <w:rPr>
          <w:rFonts w:cs="Times New Roman"/>
          <w:szCs w:val="20"/>
        </w:rPr>
        <w:t xml:space="preserve"> sample). Spot numbers refer to Figure 1</w:t>
      </w:r>
      <w:r>
        <w:rPr>
          <w:rFonts w:cs="Times New Roman"/>
          <w:szCs w:val="20"/>
        </w:rPr>
        <w:t>4(e)</w:t>
      </w:r>
      <w:r w:rsidRPr="00BC0732">
        <w:rPr>
          <w:rFonts w:cs="Times New Roman"/>
          <w:szCs w:val="20"/>
        </w:rPr>
        <w:t>. Analyses with Oxford Instruments INCA.</w:t>
      </w:r>
    </w:p>
    <w:tbl>
      <w:tblPr>
        <w:tblW w:w="10160" w:type="dxa"/>
        <w:tblInd w:w="-474" w:type="dxa"/>
        <w:tblLook w:val="04A0" w:firstRow="1" w:lastRow="0" w:firstColumn="1" w:lastColumn="0" w:noHBand="0" w:noVBand="1"/>
      </w:tblPr>
      <w:tblGrid>
        <w:gridCol w:w="567"/>
        <w:gridCol w:w="627"/>
        <w:gridCol w:w="536"/>
        <w:gridCol w:w="536"/>
        <w:gridCol w:w="627"/>
        <w:gridCol w:w="627"/>
        <w:gridCol w:w="536"/>
        <w:gridCol w:w="627"/>
        <w:gridCol w:w="536"/>
        <w:gridCol w:w="536"/>
        <w:gridCol w:w="536"/>
        <w:gridCol w:w="627"/>
        <w:gridCol w:w="627"/>
        <w:gridCol w:w="631"/>
        <w:gridCol w:w="1984"/>
      </w:tblGrid>
      <w:tr w:rsidR="00DC16B6" w:rsidRPr="00BC0732" w:rsidTr="000D3DC8">
        <w:trPr>
          <w:trHeight w:val="300"/>
        </w:trPr>
        <w:tc>
          <w:tcPr>
            <w:tcW w:w="56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Spot</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O</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Mg</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K</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Ti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Mn</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Fe</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Ca/Si</w:t>
            </w:r>
          </w:p>
        </w:tc>
        <w:tc>
          <w:tcPr>
            <w:tcW w:w="631"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Na/Si</w:t>
            </w:r>
          </w:p>
        </w:tc>
        <w:tc>
          <w:tcPr>
            <w:tcW w:w="1984"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Description</w:t>
            </w:r>
          </w:p>
        </w:tc>
      </w:tr>
      <w:tr w:rsidR="00DC16B6" w:rsidRPr="00BC0732" w:rsidTr="000D3DC8">
        <w:trPr>
          <w:trHeight w:val="300"/>
        </w:trPr>
        <w:tc>
          <w:tcPr>
            <w:tcW w:w="56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38.00</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0.27</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4.86</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6.98</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18.58</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29.44</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0.63</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0.46</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0.26</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0.701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1.584</w:t>
            </w:r>
          </w:p>
        </w:tc>
        <w:tc>
          <w:tcPr>
            <w:tcW w:w="631"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0.015</w:t>
            </w:r>
          </w:p>
        </w:tc>
        <w:tc>
          <w:tcPr>
            <w:tcW w:w="1984"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29.37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4.41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7.49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19.39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37.24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0.752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1.921</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0.019</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45.51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18.27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24.38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5.39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1.834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0.050</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0.051</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pfa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40.95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4.53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6.95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17.02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28.54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0.698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1.677</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0.027</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49.12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8.41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7.04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20.92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10.44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0.707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0.499</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0.402</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48.95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5.10</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2.83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6.42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17.77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16.37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0.87</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0.645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0.921</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0.287</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40.81</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5.41</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2.20</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6.96</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21.86</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1.55</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19.17</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0.44</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0.49</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1.12</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0.699</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0.877</w:t>
            </w:r>
          </w:p>
        </w:tc>
        <w:tc>
          <w:tcPr>
            <w:tcW w:w="631"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0.247</w:t>
            </w:r>
          </w:p>
        </w:tc>
        <w:tc>
          <w:tcPr>
            <w:tcW w:w="1984"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39.53</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6.31</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1.93</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8.45</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23.71</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1.55</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15.8</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0.39</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1.84</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0.848</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0.666</w:t>
            </w:r>
          </w:p>
        </w:tc>
        <w:tc>
          <w:tcPr>
            <w:tcW w:w="631"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0.266</w:t>
            </w:r>
          </w:p>
        </w:tc>
        <w:tc>
          <w:tcPr>
            <w:tcW w:w="1984"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bl>
    <w:p w:rsidR="00DC16B6" w:rsidRDefault="00DC16B6" w:rsidP="00DC16B6">
      <w:pPr>
        <w:rPr>
          <w:rFonts w:cs="Times New Roman"/>
          <w:szCs w:val="20"/>
        </w:rPr>
      </w:pPr>
    </w:p>
    <w:p w:rsidR="00DC16B6" w:rsidRDefault="00DC16B6" w:rsidP="00DC16B6">
      <w:pPr>
        <w:rPr>
          <w:rFonts w:cs="Times New Roman"/>
          <w:szCs w:val="20"/>
        </w:rPr>
      </w:pPr>
    </w:p>
    <w:p w:rsidR="00B83BBF" w:rsidRPr="00BC0732" w:rsidRDefault="00B83BBF" w:rsidP="00DC16B6">
      <w:pPr>
        <w:rPr>
          <w:rFonts w:cs="Times New Roman"/>
          <w:szCs w:val="20"/>
        </w:rPr>
      </w:pPr>
    </w:p>
    <w:p w:rsidR="00DC16B6" w:rsidRPr="00BC0732" w:rsidRDefault="00DC16B6" w:rsidP="00DC16B6">
      <w:pPr>
        <w:spacing w:after="120" w:line="240" w:lineRule="auto"/>
        <w:rPr>
          <w:rFonts w:cs="Times New Roman"/>
          <w:szCs w:val="20"/>
        </w:rPr>
      </w:pPr>
      <w:r w:rsidRPr="00BC0732">
        <w:rPr>
          <w:rFonts w:cs="Times New Roman"/>
          <w:b/>
          <w:szCs w:val="20"/>
        </w:rPr>
        <w:lastRenderedPageBreak/>
        <w:t>Table 5</w:t>
      </w:r>
      <w:r>
        <w:rPr>
          <w:rFonts w:cs="Times New Roman"/>
          <w:b/>
          <w:szCs w:val="20"/>
        </w:rPr>
        <w:t>(b)</w:t>
      </w:r>
      <w:r w:rsidRPr="00BC0732">
        <w:rPr>
          <w:rFonts w:cs="Times New Roman"/>
          <w:b/>
          <w:szCs w:val="20"/>
        </w:rPr>
        <w:t xml:space="preserve">. </w:t>
      </w:r>
      <w:r w:rsidRPr="00BC0732">
        <w:rPr>
          <w:rFonts w:cs="Times New Roman"/>
          <w:szCs w:val="20"/>
        </w:rPr>
        <w:t>EDS analysis of 50%/50% pfa/ggbs paste (2</w:t>
      </w:r>
      <w:r w:rsidRPr="00BC0732">
        <w:rPr>
          <w:rFonts w:cs="Times New Roman"/>
          <w:szCs w:val="20"/>
          <w:vertAlign w:val="superscript"/>
        </w:rPr>
        <w:t>nd</w:t>
      </w:r>
      <w:r w:rsidRPr="00BC0732">
        <w:rPr>
          <w:rFonts w:cs="Times New Roman"/>
          <w:szCs w:val="20"/>
        </w:rPr>
        <w:t xml:space="preserve"> sample). Spot numbers refer to Figure 1</w:t>
      </w:r>
      <w:r>
        <w:rPr>
          <w:rFonts w:cs="Times New Roman"/>
          <w:szCs w:val="20"/>
        </w:rPr>
        <w:t>4(f)</w:t>
      </w:r>
      <w:r w:rsidRPr="00BC0732">
        <w:rPr>
          <w:rFonts w:cs="Times New Roman"/>
          <w:szCs w:val="20"/>
        </w:rPr>
        <w:t>. Analyses with Bruker Quantax 70.</w:t>
      </w:r>
    </w:p>
    <w:tbl>
      <w:tblPr>
        <w:tblW w:w="10160" w:type="dxa"/>
        <w:tblInd w:w="-688" w:type="dxa"/>
        <w:tblLook w:val="04A0" w:firstRow="1" w:lastRow="0" w:firstColumn="1" w:lastColumn="0" w:noHBand="0" w:noVBand="1"/>
      </w:tblPr>
      <w:tblGrid>
        <w:gridCol w:w="567"/>
        <w:gridCol w:w="627"/>
        <w:gridCol w:w="536"/>
        <w:gridCol w:w="536"/>
        <w:gridCol w:w="627"/>
        <w:gridCol w:w="627"/>
        <w:gridCol w:w="536"/>
        <w:gridCol w:w="627"/>
        <w:gridCol w:w="536"/>
        <w:gridCol w:w="536"/>
        <w:gridCol w:w="536"/>
        <w:gridCol w:w="627"/>
        <w:gridCol w:w="627"/>
        <w:gridCol w:w="631"/>
        <w:gridCol w:w="1984"/>
      </w:tblGrid>
      <w:tr w:rsidR="00DC16B6" w:rsidRPr="00BC0732" w:rsidTr="000D3DC8">
        <w:trPr>
          <w:trHeight w:val="300"/>
        </w:trPr>
        <w:tc>
          <w:tcPr>
            <w:tcW w:w="56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Spot</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O</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Mg</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K</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Ti</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Mn</w:t>
            </w:r>
          </w:p>
        </w:tc>
        <w:tc>
          <w:tcPr>
            <w:tcW w:w="536"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Fe</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Si/Al</w:t>
            </w:r>
          </w:p>
        </w:tc>
        <w:tc>
          <w:tcPr>
            <w:tcW w:w="627"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Ca/Si</w:t>
            </w:r>
          </w:p>
        </w:tc>
        <w:tc>
          <w:tcPr>
            <w:tcW w:w="631"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Na/Si</w:t>
            </w:r>
          </w:p>
        </w:tc>
        <w:tc>
          <w:tcPr>
            <w:tcW w:w="1984" w:type="dxa"/>
            <w:tcBorders>
              <w:top w:val="single" w:sz="4" w:space="0" w:color="auto"/>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b/>
                <w:bCs/>
                <w:color w:val="000000"/>
                <w:sz w:val="18"/>
                <w:lang w:eastAsia="en-GB"/>
              </w:rPr>
            </w:pPr>
            <w:r w:rsidRPr="00BC0732">
              <w:rPr>
                <w:rFonts w:eastAsia="Times New Roman" w:cs="Times New Roman"/>
                <w:b/>
                <w:bCs/>
                <w:color w:val="000000"/>
                <w:sz w:val="18"/>
                <w:lang w:eastAsia="en-GB"/>
              </w:rPr>
              <w:t>Description</w:t>
            </w:r>
          </w:p>
        </w:tc>
      </w:tr>
      <w:tr w:rsidR="00DC16B6" w:rsidRPr="00BC0732" w:rsidTr="000D3DC8">
        <w:trPr>
          <w:trHeight w:val="300"/>
        </w:trPr>
        <w:tc>
          <w:tcPr>
            <w:tcW w:w="56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44.01</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1.20</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4.42</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6.33</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17.39</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0.52</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24.98</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0.46</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0.55</w:t>
            </w:r>
          </w:p>
        </w:tc>
        <w:tc>
          <w:tcPr>
            <w:tcW w:w="536"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0.13</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0.636</w:t>
            </w:r>
          </w:p>
        </w:tc>
        <w:tc>
          <w:tcPr>
            <w:tcW w:w="627"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1.436</w:t>
            </w:r>
          </w:p>
        </w:tc>
        <w:tc>
          <w:tcPr>
            <w:tcW w:w="631"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0.069</w:t>
            </w:r>
          </w:p>
        </w:tc>
        <w:tc>
          <w:tcPr>
            <w:tcW w:w="1984" w:type="dxa"/>
            <w:tcBorders>
              <w:top w:val="single" w:sz="4" w:space="0" w:color="auto"/>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ggbs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44.37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3.06</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1.19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16.12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26.12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3.51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2.16</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3.10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1.618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0.083</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0.117</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Unreacted pfa particle</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3</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51.08</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7.82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6.88</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18.22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12.79</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0.691</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0.702</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0.429</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49.55</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7.53</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7.16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18.21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2.14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12.67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0.57</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0.719</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0.696</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0.414</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46.36</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8.01</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1.54</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7.12</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20.92</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0.96</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13.64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0.24</w:t>
            </w: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1.20</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0.715</w:t>
            </w:r>
          </w:p>
        </w:tc>
        <w:tc>
          <w:tcPr>
            <w:tcW w:w="627"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0.652</w:t>
            </w:r>
          </w:p>
        </w:tc>
        <w:tc>
          <w:tcPr>
            <w:tcW w:w="631"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0.383</w:t>
            </w:r>
          </w:p>
        </w:tc>
        <w:tc>
          <w:tcPr>
            <w:tcW w:w="1984" w:type="dxa"/>
            <w:tcBorders>
              <w:top w:val="nil"/>
              <w:left w:val="nil"/>
              <w:bottom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6</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49.03</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8.32</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1.78</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7.18</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20.29</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2.05</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10.17</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0.29</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0.25</w:t>
            </w:r>
          </w:p>
        </w:tc>
        <w:tc>
          <w:tcPr>
            <w:tcW w:w="536"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0.65</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0.721</w:t>
            </w:r>
          </w:p>
        </w:tc>
        <w:tc>
          <w:tcPr>
            <w:tcW w:w="627"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0.501</w:t>
            </w:r>
          </w:p>
        </w:tc>
        <w:tc>
          <w:tcPr>
            <w:tcW w:w="631"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0.410</w:t>
            </w:r>
          </w:p>
        </w:tc>
        <w:tc>
          <w:tcPr>
            <w:tcW w:w="1984" w:type="dxa"/>
            <w:tcBorders>
              <w:top w:val="nil"/>
              <w:left w:val="nil"/>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r w:rsidR="00DC16B6" w:rsidRPr="00BC0732" w:rsidTr="000D3DC8">
        <w:trPr>
          <w:trHeight w:val="300"/>
        </w:trPr>
        <w:tc>
          <w:tcPr>
            <w:tcW w:w="56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51.84</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7.97</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1.54</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5.95</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17.14</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1.54</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12.17</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0.89</w:t>
            </w:r>
          </w:p>
        </w:tc>
        <w:tc>
          <w:tcPr>
            <w:tcW w:w="536"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0.97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0.597</w:t>
            </w:r>
          </w:p>
        </w:tc>
        <w:tc>
          <w:tcPr>
            <w:tcW w:w="627"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0.710</w:t>
            </w:r>
          </w:p>
        </w:tc>
        <w:tc>
          <w:tcPr>
            <w:tcW w:w="631"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0.465</w:t>
            </w:r>
          </w:p>
        </w:tc>
        <w:tc>
          <w:tcPr>
            <w:tcW w:w="1984" w:type="dxa"/>
            <w:tcBorders>
              <w:top w:val="nil"/>
              <w:left w:val="nil"/>
              <w:bottom w:val="single" w:sz="4" w:space="0" w:color="auto"/>
              <w:right w:val="nil"/>
            </w:tcBorders>
            <w:shd w:val="clear" w:color="auto" w:fill="auto"/>
            <w:noWrap/>
            <w:vAlign w:val="bottom"/>
            <w:hideMark/>
          </w:tcPr>
          <w:p w:rsidR="00DC16B6" w:rsidRPr="00BC0732" w:rsidRDefault="00DC16B6" w:rsidP="000D3DC8">
            <w:pPr>
              <w:spacing w:after="0" w:line="240" w:lineRule="auto"/>
              <w:jc w:val="center"/>
              <w:rPr>
                <w:rFonts w:eastAsia="Times New Roman" w:cs="Times New Roman"/>
                <w:color w:val="000000"/>
                <w:sz w:val="18"/>
                <w:lang w:eastAsia="en-GB"/>
              </w:rPr>
            </w:pPr>
            <w:r w:rsidRPr="00BC0732">
              <w:rPr>
                <w:rFonts w:eastAsia="Times New Roman" w:cs="Times New Roman"/>
                <w:color w:val="000000"/>
                <w:sz w:val="18"/>
                <w:lang w:eastAsia="en-GB"/>
              </w:rPr>
              <w:t>C-(N)-A-S-H gel</w:t>
            </w:r>
          </w:p>
        </w:tc>
      </w:tr>
    </w:tbl>
    <w:p w:rsidR="00DC16B6" w:rsidRDefault="00DC16B6" w:rsidP="00DC16B6">
      <w:pPr>
        <w:spacing w:after="0" w:line="288" w:lineRule="auto"/>
        <w:jc w:val="center"/>
      </w:pPr>
    </w:p>
    <w:p w:rsidR="00EB2948" w:rsidRDefault="00EB2948" w:rsidP="00EB2948">
      <w:pPr>
        <w:pStyle w:val="Heading3"/>
      </w:pPr>
      <w:r>
        <w:t>100% pfa paste</w:t>
      </w:r>
    </w:p>
    <w:p w:rsidR="0018588A" w:rsidRDefault="00EB2948" w:rsidP="00692ECA">
      <w:r>
        <w:t>The basic microstructure</w:t>
      </w:r>
      <w:r w:rsidR="003A045E">
        <w:t xml:space="preserve"> of 100% pfa</w:t>
      </w:r>
      <w:r w:rsidR="00603C54">
        <w:t xml:space="preserve"> paste </w:t>
      </w:r>
      <w:r w:rsidR="00253CB4">
        <w:t xml:space="preserve">is shown </w:t>
      </w:r>
      <w:r w:rsidR="00603C54">
        <w:t xml:space="preserve">in </w:t>
      </w:r>
      <w:r w:rsidR="003A045E">
        <w:t xml:space="preserve">Figure </w:t>
      </w:r>
      <w:r w:rsidR="00864301">
        <w:t>14</w:t>
      </w:r>
      <w:r w:rsidR="00B1130B">
        <w:t>(c) and (d)</w:t>
      </w:r>
      <w:r>
        <w:t xml:space="preserve">. The paste is made up of </w:t>
      </w:r>
      <w:r w:rsidR="00677050">
        <w:t>unreacted</w:t>
      </w:r>
      <w:r>
        <w:t xml:space="preserve"> particles of pfa in a rough</w:t>
      </w:r>
      <w:r w:rsidR="00E9571C">
        <w:t xml:space="preserve"> and</w:t>
      </w:r>
      <w:r>
        <w:t xml:space="preserve"> sugary looking granular gel.</w:t>
      </w:r>
      <w:r w:rsidR="000038FA">
        <w:t xml:space="preserve"> </w:t>
      </w:r>
      <w:r w:rsidR="008E7CFE">
        <w:t>Th</w:t>
      </w:r>
      <w:r>
        <w:t xml:space="preserve">ere are commonly gaps between the gel and the </w:t>
      </w:r>
      <w:r w:rsidR="00677050">
        <w:t>unreacted</w:t>
      </w:r>
      <w:r>
        <w:t xml:space="preserve"> pfa </w:t>
      </w:r>
      <w:r w:rsidR="00603C54">
        <w:t xml:space="preserve">suggesting weak bonding </w:t>
      </w:r>
      <w:r>
        <w:t>of gel to</w:t>
      </w:r>
      <w:r w:rsidR="00603C54">
        <w:t xml:space="preserve"> </w:t>
      </w:r>
      <w:r w:rsidR="00677050">
        <w:t>unreacted</w:t>
      </w:r>
      <w:r w:rsidR="00603C54">
        <w:t xml:space="preserve"> </w:t>
      </w:r>
      <w:r w:rsidR="00E11654">
        <w:t>particles</w:t>
      </w:r>
      <w:r w:rsidR="000038FA">
        <w:t xml:space="preserve">. </w:t>
      </w:r>
      <w:r>
        <w:t xml:space="preserve">Some long fractures are present, but these have a morphology suggesting they formed during breakage of the sample rather than by desiccation. EDS-based chemical analysis of </w:t>
      </w:r>
      <w:r w:rsidR="00677050">
        <w:t xml:space="preserve">unreacted </w:t>
      </w:r>
      <w:r>
        <w:t>pfa and the surround</w:t>
      </w:r>
      <w:r w:rsidR="003A1431">
        <w:t>ing</w:t>
      </w:r>
      <w:r>
        <w:t xml:space="preserve"> gel from the points indicated in Figure </w:t>
      </w:r>
      <w:r w:rsidR="00864301">
        <w:t>14</w:t>
      </w:r>
      <w:r w:rsidR="00B1130B">
        <w:t>(c) and (d)</w:t>
      </w:r>
      <w:r>
        <w:t xml:space="preserve"> are summarised in Table 4</w:t>
      </w:r>
      <w:r w:rsidR="00B1130B">
        <w:t>(a) and (b)</w:t>
      </w:r>
      <w:r>
        <w:t xml:space="preserve"> </w:t>
      </w:r>
      <w:r w:rsidR="00B1130B">
        <w:t xml:space="preserve">as well as </w:t>
      </w:r>
      <w:r>
        <w:t xml:space="preserve">on the ternary diagram in Figure </w:t>
      </w:r>
      <w:r w:rsidR="00864301">
        <w:t>15</w:t>
      </w:r>
      <w:r>
        <w:t>.</w:t>
      </w:r>
      <w:r w:rsidR="00253CB4">
        <w:t xml:space="preserve"> It is clear that the pfa cenospheres are relatively enriched in Al and depleted in Ca and Na relative to Si content. On the other hand, the rough sugary gel is relatively enriched in Na and slightly enriched in Ca relative to the </w:t>
      </w:r>
      <w:r w:rsidR="00677050">
        <w:t>unreacted</w:t>
      </w:r>
      <w:r w:rsidR="00253CB4">
        <w:t xml:space="preserve"> pfa. In this case, the </w:t>
      </w:r>
      <w:r w:rsidR="00677050">
        <w:t>unreacted</w:t>
      </w:r>
      <w:r w:rsidR="00253CB4">
        <w:t xml:space="preserve"> pfa and the gel do not lie directly on a</w:t>
      </w:r>
      <w:r w:rsidR="00A84534">
        <w:t xml:space="preserve"> potential mixing</w:t>
      </w:r>
      <w:r w:rsidR="00253CB4">
        <w:t xml:space="preserve"> line</w:t>
      </w:r>
      <w:r w:rsidR="00A84534">
        <w:t xml:space="preserve"> between the </w:t>
      </w:r>
      <w:r w:rsidR="00677050">
        <w:t>unreacted</w:t>
      </w:r>
      <w:r w:rsidR="00A84534">
        <w:t xml:space="preserve"> pfa and </w:t>
      </w:r>
      <w:r w:rsidR="00253CB4">
        <w:t xml:space="preserve">the Na/Si corner of Figure </w:t>
      </w:r>
      <w:r w:rsidR="00864301">
        <w:t>15</w:t>
      </w:r>
      <w:r w:rsidR="00253CB4">
        <w:t xml:space="preserve">. While this may be due to analytical errors resulting from EDS-analysis of rough surfaces, it is also possible that </w:t>
      </w:r>
      <w:r w:rsidR="00A84534">
        <w:t xml:space="preserve">reactions responsible for </w:t>
      </w:r>
      <w:r w:rsidR="00253CB4">
        <w:t xml:space="preserve">gel formation preferentially fractionated available Ca </w:t>
      </w:r>
      <w:r w:rsidR="00A84534">
        <w:t>in the pfa into the gel</w:t>
      </w:r>
      <w:r w:rsidR="00253CB4">
        <w:t>.</w:t>
      </w:r>
    </w:p>
    <w:p w:rsidR="00253CB4" w:rsidRDefault="00253CB4" w:rsidP="00253CB4">
      <w:pPr>
        <w:pStyle w:val="Heading3"/>
      </w:pPr>
      <w:r>
        <w:t>50% pfa and 50% ggbs paste</w:t>
      </w:r>
    </w:p>
    <w:p w:rsidR="000038FA" w:rsidRDefault="00253CB4" w:rsidP="00692ECA">
      <w:r>
        <w:t xml:space="preserve">The basic microstructure of 50% pfa and 50% ggbs paste is shown in Figure </w:t>
      </w:r>
      <w:r w:rsidR="00864301">
        <w:t>14</w:t>
      </w:r>
      <w:r w:rsidR="00B1130B">
        <w:t>(e) and (f)</w:t>
      </w:r>
      <w:r>
        <w:t xml:space="preserve">. The paste is made up of </w:t>
      </w:r>
      <w:r w:rsidR="00677050">
        <w:t>unreacted</w:t>
      </w:r>
      <w:r>
        <w:t xml:space="preserve"> particles of pfa and ggbs in a smooth isotropic looking gel. </w:t>
      </w:r>
      <w:r w:rsidR="00603C54">
        <w:t>The</w:t>
      </w:r>
      <w:r w:rsidR="003A045E">
        <w:t xml:space="preserve"> microstructure </w:t>
      </w:r>
      <w:r w:rsidR="000038FA">
        <w:t>for 50/50 pfa/ggbs</w:t>
      </w:r>
      <w:r w:rsidR="00603C54">
        <w:t xml:space="preserve"> shows</w:t>
      </w:r>
      <w:r w:rsidR="000038FA">
        <w:t xml:space="preserve"> unreacted or partially reacted pfa cenospheres and ggbs grains surrounded by an amorphous matrix </w:t>
      </w:r>
      <w:r w:rsidR="003A045E">
        <w:t xml:space="preserve">which was </w:t>
      </w:r>
      <w:r w:rsidR="000038FA">
        <w:t xml:space="preserve">smooth </w:t>
      </w:r>
      <w:r w:rsidR="00603C54">
        <w:t xml:space="preserve">and homogeneous </w:t>
      </w:r>
      <w:r w:rsidR="003A045E">
        <w:t xml:space="preserve">in some places whilst </w:t>
      </w:r>
      <w:r w:rsidR="000038FA">
        <w:t xml:space="preserve">rough </w:t>
      </w:r>
      <w:r w:rsidR="00603C54">
        <w:t xml:space="preserve">and more heterogeneous </w:t>
      </w:r>
      <w:r w:rsidR="000038FA">
        <w:t xml:space="preserve">in </w:t>
      </w:r>
      <w:r w:rsidR="003A045E">
        <w:t>others</w:t>
      </w:r>
      <w:r w:rsidR="000038FA">
        <w:t>.</w:t>
      </w:r>
      <w:r w:rsidR="003A1431">
        <w:t xml:space="preserve"> There are relatively few fractures, which do not look like desiccation fractures. The contact between gel and </w:t>
      </w:r>
      <w:r w:rsidR="00677050">
        <w:t>unreacted</w:t>
      </w:r>
      <w:r w:rsidR="003A1431">
        <w:t xml:space="preserve"> ggbs is typically sharp, whereas there is often a gap between the gel and </w:t>
      </w:r>
      <w:r w:rsidR="00677050">
        <w:t>unreacted</w:t>
      </w:r>
      <w:r w:rsidR="003A1431">
        <w:t xml:space="preserve"> pfa cenospheres; the large cenosphere in the centre of Figure </w:t>
      </w:r>
      <w:r w:rsidR="00B1130B">
        <w:t>14(h)</w:t>
      </w:r>
      <w:r w:rsidR="00864301">
        <w:t xml:space="preserve"> </w:t>
      </w:r>
      <w:r w:rsidR="003A1431">
        <w:t>is an exception.</w:t>
      </w:r>
      <w:r w:rsidR="003A1431" w:rsidRPr="003A1431">
        <w:t xml:space="preserve"> </w:t>
      </w:r>
      <w:r w:rsidR="003A1431">
        <w:t xml:space="preserve">EDS-based chemical analysis </w:t>
      </w:r>
      <w:r w:rsidR="003A1431">
        <w:lastRenderedPageBreak/>
        <w:t xml:space="preserve">of </w:t>
      </w:r>
      <w:r w:rsidR="00677050">
        <w:t>unreacted</w:t>
      </w:r>
      <w:r w:rsidR="003A1431">
        <w:t xml:space="preserve"> pfa/ggbs and the surrounding gel from the points indicated in Figure </w:t>
      </w:r>
      <w:r w:rsidR="00864301">
        <w:t>14</w:t>
      </w:r>
      <w:r w:rsidR="00B1130B">
        <w:t>(e) and (f)</w:t>
      </w:r>
      <w:r w:rsidR="003A1431">
        <w:t xml:space="preserve"> are summarised in Table 5</w:t>
      </w:r>
      <w:r w:rsidR="00B1130B">
        <w:t>(a) and (b) as well as</w:t>
      </w:r>
      <w:r w:rsidR="003A1431">
        <w:t xml:space="preserve"> on the ternary diagram in Figure </w:t>
      </w:r>
      <w:r w:rsidR="00864301">
        <w:t>15</w:t>
      </w:r>
      <w:r w:rsidR="003A1431">
        <w:t xml:space="preserve">. The </w:t>
      </w:r>
      <w:r w:rsidR="00677050">
        <w:t>unreacted</w:t>
      </w:r>
      <w:r w:rsidR="003A1431">
        <w:t xml:space="preserve"> ggbs and pfa have compositions similar to those in the 100%ggbs and 100%pfa pastes, respectively (Figure </w:t>
      </w:r>
      <w:r w:rsidR="00864301">
        <w:t>15</w:t>
      </w:r>
      <w:r w:rsidR="003A1431">
        <w:t>). The gel</w:t>
      </w:r>
      <w:r w:rsidR="00A84534">
        <w:t xml:space="preserve"> has a composition that lies within a triangle formed by the </w:t>
      </w:r>
      <w:r w:rsidR="00677050">
        <w:t>unreacted</w:t>
      </w:r>
      <w:r w:rsidR="00A84534">
        <w:t xml:space="preserve"> pfa and ggbs and the alkali-activator composition </w:t>
      </w:r>
      <w:r w:rsidR="00174E55">
        <w:t xml:space="preserve">indicating </w:t>
      </w:r>
      <w:r w:rsidR="00A84534">
        <w:t>all three reactants were involved in the reaction to produce the gel. The position of the gel composition relative to the reactants indicates ggbs was the main contributor to the gel and the alkali activator the least.</w:t>
      </w:r>
    </w:p>
    <w:p w:rsidR="00DD05BE" w:rsidRDefault="00DC16B6" w:rsidP="00DC16B6">
      <w:pPr>
        <w:spacing w:after="0" w:line="288" w:lineRule="auto"/>
        <w:jc w:val="center"/>
      </w:pPr>
      <w:bookmarkStart w:id="0" w:name="_GoBack"/>
      <w:r>
        <w:rPr>
          <w:noProof/>
          <w:lang w:eastAsia="en-GB"/>
        </w:rPr>
        <w:drawing>
          <wp:inline distT="0" distB="0" distL="0" distR="0" wp14:anchorId="3C5323A9" wp14:editId="5C8BDA31">
            <wp:extent cx="4349363" cy="3548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tif"/>
                    <pic:cNvPicPr/>
                  </pic:nvPicPr>
                  <pic:blipFill>
                    <a:blip r:embed="rId23" cstate="email">
                      <a:extLst>
                        <a:ext uri="{28A0092B-C50C-407E-A947-70E740481C1C}">
                          <a14:useLocalDpi xmlns:a14="http://schemas.microsoft.com/office/drawing/2010/main"/>
                        </a:ext>
                      </a:extLst>
                    </a:blip>
                    <a:stretch>
                      <a:fillRect/>
                    </a:stretch>
                  </pic:blipFill>
                  <pic:spPr>
                    <a:xfrm>
                      <a:off x="0" y="0"/>
                      <a:ext cx="4355518" cy="3553999"/>
                    </a:xfrm>
                    <a:prstGeom prst="rect">
                      <a:avLst/>
                    </a:prstGeom>
                  </pic:spPr>
                </pic:pic>
              </a:graphicData>
            </a:graphic>
          </wp:inline>
        </w:drawing>
      </w:r>
      <w:bookmarkEnd w:id="0"/>
      <w:r w:rsidRPr="00282D8A">
        <w:t xml:space="preserve"> </w:t>
      </w:r>
    </w:p>
    <w:p w:rsidR="00DC16B6" w:rsidRDefault="00DC16B6" w:rsidP="00DC16B6">
      <w:pPr>
        <w:spacing w:after="0" w:line="288" w:lineRule="auto"/>
        <w:jc w:val="center"/>
        <w:rPr>
          <w:rFonts w:cs="Times New Roman"/>
          <w:szCs w:val="20"/>
        </w:rPr>
      </w:pPr>
      <w:r w:rsidRPr="00BC0732">
        <w:rPr>
          <w:rFonts w:cs="Times New Roman"/>
          <w:b/>
          <w:szCs w:val="20"/>
        </w:rPr>
        <w:t>Figure 1</w:t>
      </w:r>
      <w:r>
        <w:rPr>
          <w:rFonts w:cs="Times New Roman"/>
          <w:b/>
          <w:szCs w:val="20"/>
        </w:rPr>
        <w:t>5</w:t>
      </w:r>
      <w:r w:rsidRPr="00BC0732">
        <w:rPr>
          <w:rFonts w:cs="Times New Roman"/>
          <w:b/>
          <w:szCs w:val="20"/>
        </w:rPr>
        <w:t xml:space="preserve">. </w:t>
      </w:r>
      <w:r w:rsidRPr="00BC0732">
        <w:rPr>
          <w:rFonts w:cs="Times New Roman"/>
          <w:szCs w:val="20"/>
        </w:rPr>
        <w:t>Triangular plot of Ca, Al, Na compositions normalised to Si content for PFA and GGBS particles</w:t>
      </w:r>
      <w:r>
        <w:rPr>
          <w:rFonts w:cs="Times New Roman"/>
          <w:szCs w:val="20"/>
        </w:rPr>
        <w:t>,</w:t>
      </w:r>
      <w:r w:rsidRPr="00BC0732">
        <w:rPr>
          <w:rFonts w:cs="Times New Roman"/>
          <w:szCs w:val="20"/>
        </w:rPr>
        <w:t xml:space="preserve"> various gels, and some</w:t>
      </w:r>
      <w:r>
        <w:rPr>
          <w:rFonts w:cs="Times New Roman"/>
          <w:szCs w:val="20"/>
        </w:rPr>
        <w:t xml:space="preserve"> Na-Si</w:t>
      </w:r>
      <w:r w:rsidRPr="00BC0732">
        <w:rPr>
          <w:rFonts w:cs="Times New Roman"/>
          <w:szCs w:val="20"/>
        </w:rPr>
        <w:t xml:space="preserve"> crystals formed in one sample. </w:t>
      </w:r>
      <w:r>
        <w:rPr>
          <w:rFonts w:cs="Times New Roman"/>
          <w:szCs w:val="20"/>
        </w:rPr>
        <w:t xml:space="preserve">Calculated compositions for the pastes are plotted as six pointed stars. Added NaOH and sodium silicate solution would plot on the Na/Si corner. </w:t>
      </w:r>
      <w:r w:rsidRPr="00BC0732">
        <w:rPr>
          <w:rFonts w:cs="Times New Roman"/>
          <w:szCs w:val="20"/>
        </w:rPr>
        <w:t>See text for further explanation and discussion.</w:t>
      </w:r>
    </w:p>
    <w:p w:rsidR="00DC16B6" w:rsidRDefault="00DC16B6" w:rsidP="00DC16B6">
      <w:pPr>
        <w:spacing w:after="0" w:line="288" w:lineRule="auto"/>
        <w:jc w:val="center"/>
      </w:pPr>
    </w:p>
    <w:p w:rsidR="00C75964" w:rsidRDefault="00C75964" w:rsidP="00692ECA">
      <w:r>
        <w:t xml:space="preserve">The three microstructures are quite different. The 100% pfa gel looks granular and potentially porous with a commonly poor adhesion to </w:t>
      </w:r>
      <w:r w:rsidR="00677050">
        <w:t>unreacted</w:t>
      </w:r>
      <w:r>
        <w:t xml:space="preserve"> pfa particles. In contrast the 100% ggbs gel is homogeneous and looks denser, but is cut by interconnecting desiccation cracks. Both microstructures look inherently weak. The 50%pfa-50%ggbs gel microstructure is homogeneous and dense looking and lacks the desiccation cracks found in the 100% ggbs gel. The addition of aluminium from the pfa has resulted in a non-granular gel that does not shrink, and is perhaps stronger.</w:t>
      </w:r>
    </w:p>
    <w:p w:rsidR="006E004C" w:rsidRDefault="006E004C" w:rsidP="006E004C">
      <w:r>
        <w:lastRenderedPageBreak/>
        <w:t xml:space="preserve">Overall, the main product from a pfa-based system is a sodium-alumina-silicate-hydrate geopolymeric gel (N-A-S-H) with very low Ca/Si ratio, though perhaps a little higher than would be expected from the compositions of pfa and the alkali activator. </w:t>
      </w:r>
      <w:r w:rsidR="00282D8A">
        <w:t>The gel composition is similar to the calculated bulk composition of the gel ingredients (Figure 15).</w:t>
      </w:r>
    </w:p>
    <w:p w:rsidR="002A2B5C" w:rsidRDefault="006E004C" w:rsidP="00692ECA">
      <w:r>
        <w:t>In contrast, t</w:t>
      </w:r>
      <w:r w:rsidR="002A2B5C">
        <w:t>he high calcium 100% ggbs system produces a calcium-alumina-silicate-hydrate gel (C-A-S-H) with low Al/Si ratio of 0.3-0.4 and a Ca/Si of 1 to 1.5</w:t>
      </w:r>
      <w:r>
        <w:t>,</w:t>
      </w:r>
      <w:r w:rsidR="002A2B5C" w:rsidRPr="00710B28">
        <w:t xml:space="preserve"> </w:t>
      </w:r>
      <w:r w:rsidR="002A2B5C">
        <w:t xml:space="preserve">as has been reported by several researchers [27-29] </w:t>
      </w:r>
      <w:r w:rsidR="002A2B5C" w:rsidRPr="00710B28">
        <w:t>for alkali activated slag systems.</w:t>
      </w:r>
      <w:r w:rsidR="00282D8A" w:rsidRPr="00710B28" w:rsidDel="00282D8A">
        <w:t xml:space="preserve"> </w:t>
      </w:r>
      <w:r w:rsidR="002A2B5C">
        <w:t xml:space="preserve">The reaction products are </w:t>
      </w:r>
      <w:r w:rsidR="002A2B5C" w:rsidRPr="00710B28">
        <w:t xml:space="preserve">similar to </w:t>
      </w:r>
      <w:r w:rsidR="002A2B5C">
        <w:t xml:space="preserve">the </w:t>
      </w:r>
      <w:r w:rsidR="002A2B5C" w:rsidRPr="00710B28">
        <w:t>C-S-H gel in Portland cement systems</w:t>
      </w:r>
      <w:r w:rsidR="002A2B5C">
        <w:t xml:space="preserve">, where </w:t>
      </w:r>
      <w:r w:rsidR="002A2B5C" w:rsidRPr="00710B28">
        <w:t>high</w:t>
      </w:r>
      <w:r w:rsidR="002A2B5C">
        <w:t xml:space="preserve">er Ca/Si ratios are obtained in the range </w:t>
      </w:r>
      <w:r w:rsidR="002A2B5C" w:rsidRPr="00710B28">
        <w:t xml:space="preserve">1.2 to 2.3 </w:t>
      </w:r>
      <w:r w:rsidR="002A2B5C">
        <w:t>[30], and are presumably various forms of calcium silicate hydrates and calcium aluminium hydrates</w:t>
      </w:r>
      <w:r w:rsidR="002A2B5C" w:rsidRPr="00710B28">
        <w:t>.</w:t>
      </w:r>
      <w:r w:rsidR="002A2B5C">
        <w:t xml:space="preserve"> </w:t>
      </w:r>
      <w:r w:rsidR="00282D8A">
        <w:t xml:space="preserve">The gel composition </w:t>
      </w:r>
      <w:r w:rsidR="004D5CD2">
        <w:t>is</w:t>
      </w:r>
      <w:r w:rsidR="00282D8A">
        <w:t xml:space="preserve"> much more Na-rich than the calculated bulk composition of the gel ingredients </w:t>
      </w:r>
      <w:r w:rsidR="004D5CD2">
        <w:t>and e</w:t>
      </w:r>
      <w:r w:rsidR="005C0AA9">
        <w:t xml:space="preserve">ven the unreacted ggbs </w:t>
      </w:r>
      <w:r w:rsidR="00282D8A">
        <w:t xml:space="preserve">particles </w:t>
      </w:r>
      <w:r w:rsidR="005C0AA9">
        <w:t>contain</w:t>
      </w:r>
      <w:r w:rsidR="00282D8A">
        <w:t xml:space="preserve"> significant</w:t>
      </w:r>
      <w:r w:rsidR="005C0AA9">
        <w:t xml:space="preserve"> Na </w:t>
      </w:r>
      <w:r w:rsidR="00677050">
        <w:t xml:space="preserve">(Figure 15). </w:t>
      </w:r>
      <w:r w:rsidR="00056737">
        <w:t xml:space="preserve">Re-examination of the same surface about 9 months later revealed a coating of sodium carbonate crystals in rosette forms (Figure 16) indicating an excess of Na in the gel reaction. These rosettes were not </w:t>
      </w:r>
      <w:r w:rsidR="004D5CD2">
        <w:t xml:space="preserve">visible </w:t>
      </w:r>
      <w:r w:rsidR="00056737">
        <w:t>shortly after the 100% ggbs paste was made (</w:t>
      </w:r>
      <w:r w:rsidR="00B1130B">
        <w:t xml:space="preserve">see </w:t>
      </w:r>
      <w:r w:rsidR="00056737">
        <w:t>Figure 14</w:t>
      </w:r>
      <w:r w:rsidR="00B1130B">
        <w:t>(a) and (b)</w:t>
      </w:r>
      <w:r w:rsidR="00056737">
        <w:t xml:space="preserve">). This raises the possibility that the higher than expected Na measurements from the surfaces in Figure 14 </w:t>
      </w:r>
      <w:r w:rsidR="00B1130B">
        <w:t>(a) and (b)</w:t>
      </w:r>
      <w:r w:rsidR="00056737">
        <w:t xml:space="preserve"> reflect initial sub-microscopic formation of sodium carbonate crystals at the sample surface </w:t>
      </w:r>
      <w:r w:rsidR="004D5CD2">
        <w:t xml:space="preserve">as </w:t>
      </w:r>
      <w:r w:rsidR="00B1130B">
        <w:t>efflorescence</w:t>
      </w:r>
      <w:r w:rsidR="004D5CD2">
        <w:t xml:space="preserve"> </w:t>
      </w:r>
      <w:r w:rsidR="00056737">
        <w:t>due to evaporation of excess sodium-bearing solute, which as it progresse</w:t>
      </w:r>
      <w:r w:rsidR="005C0AA9">
        <w:t>d</w:t>
      </w:r>
      <w:r w:rsidR="00056737">
        <w:t xml:space="preserve"> led to formation of the larger ros</w:t>
      </w:r>
      <w:r w:rsidR="005C0AA9">
        <w:t>e</w:t>
      </w:r>
      <w:r w:rsidR="00056737">
        <w:t>tte</w:t>
      </w:r>
      <w:r w:rsidR="005C0AA9">
        <w:t xml:space="preserve"> crystal</w:t>
      </w:r>
      <w:r w:rsidR="00056737">
        <w:t xml:space="preserve">s. </w:t>
      </w:r>
      <w:r>
        <w:t>Th</w:t>
      </w:r>
      <w:r w:rsidR="00056737">
        <w:t xml:space="preserve">us, </w:t>
      </w:r>
      <w:r w:rsidR="005C0AA9">
        <w:t xml:space="preserve">we suggest </w:t>
      </w:r>
      <w:r w:rsidR="00E9571C">
        <w:t xml:space="preserve">that </w:t>
      </w:r>
      <w:r w:rsidR="00056737">
        <w:t>the</w:t>
      </w:r>
      <w:r>
        <w:t xml:space="preserve"> </w:t>
      </w:r>
      <w:r w:rsidR="00137C49">
        <w:t xml:space="preserve">100% ggbs </w:t>
      </w:r>
      <w:r>
        <w:t xml:space="preserve">gel </w:t>
      </w:r>
      <w:r w:rsidR="00056737">
        <w:t xml:space="preserve">at the broken sample surface </w:t>
      </w:r>
      <w:r>
        <w:t xml:space="preserve">has </w:t>
      </w:r>
      <w:r w:rsidR="005C0AA9">
        <w:t xml:space="preserve">progressively </w:t>
      </w:r>
      <w:r>
        <w:t>incorporated Na from the alkali activator.</w:t>
      </w:r>
    </w:p>
    <w:p w:rsidR="000038FA" w:rsidRDefault="00B95218" w:rsidP="00692ECA">
      <w:r>
        <w:t>The 50% pfa 50% ggbs system produces a C-A-S-H gel</w:t>
      </w:r>
      <w:r w:rsidR="002A2B5C">
        <w:t xml:space="preserve"> with Na/Si in the range 0.25-0.5, Ca/Si at 0.5-0.9 and Si</w:t>
      </w:r>
      <w:r w:rsidR="00405371">
        <w:t>/Al</w:t>
      </w:r>
      <w:r w:rsidR="002A2B5C">
        <w:t xml:space="preserve"> at 0.6-0.85</w:t>
      </w:r>
      <w:r w:rsidR="00C84574">
        <w:t xml:space="preserve">, compositions similar to the calculated bulk composition of the gel ingredients (Figure 15). </w:t>
      </w:r>
      <w:r w:rsidR="006E004C">
        <w:t>The gel microstructure looks dense and is uncracked</w:t>
      </w:r>
      <w:r w:rsidR="000B5B5C">
        <w:t xml:space="preserve">. It has been </w:t>
      </w:r>
      <w:r w:rsidR="006E004C">
        <w:t>reported</w:t>
      </w:r>
      <w:r w:rsidR="000B5B5C">
        <w:t xml:space="preserve"> in [</w:t>
      </w:r>
      <w:r w:rsidR="00695A8D">
        <w:t xml:space="preserve">31] that alkalis (Na in this case) </w:t>
      </w:r>
      <w:r w:rsidR="006E004C">
        <w:t xml:space="preserve">can be incorporated into a C-A-S-H </w:t>
      </w:r>
      <w:r w:rsidR="00695A8D">
        <w:t>gel structure</w:t>
      </w:r>
      <w:r w:rsidR="006E004C">
        <w:t xml:space="preserve"> in order to balance</w:t>
      </w:r>
      <w:r w:rsidR="00695A8D">
        <w:t xml:space="preserve"> the charge of tetrahedral Al, therefore it could also be written C-(N)-A-S-H. </w:t>
      </w:r>
      <w:r w:rsidR="0082140D">
        <w:t>As suggested in the literature [32], the calcium silicate hydrate gel fills the pore</w:t>
      </w:r>
      <w:r w:rsidR="0060009B">
        <w:t>s</w:t>
      </w:r>
      <w:r w:rsidR="0082140D">
        <w:t xml:space="preserve"> and voids left by the water </w:t>
      </w:r>
      <w:r w:rsidR="0060009B">
        <w:t xml:space="preserve">escaping </w:t>
      </w:r>
      <w:r w:rsidR="0082140D">
        <w:t xml:space="preserve">the “pure” geopolymeric gel (N-A-S-H), resulting in a more compact and dense structure that is responsible for the increase in mechanical strength. </w:t>
      </w:r>
      <w:r w:rsidR="00471942">
        <w:t xml:space="preserve">The coexistence of N-A-S-H and C-A-S-H gels has been reported in the literature [29, 32-33]. </w:t>
      </w:r>
    </w:p>
    <w:p w:rsidR="00DC16B6" w:rsidRDefault="00DC16B6" w:rsidP="00DC16B6">
      <w:pPr>
        <w:spacing w:after="0" w:line="288" w:lineRule="auto"/>
        <w:jc w:val="center"/>
        <w:rPr>
          <w:rFonts w:cs="Times New Roman"/>
          <w:szCs w:val="20"/>
        </w:rPr>
      </w:pPr>
      <w:r>
        <w:rPr>
          <w:rFonts w:cs="Times New Roman"/>
          <w:noProof/>
          <w:szCs w:val="20"/>
          <w:lang w:eastAsia="en-GB"/>
        </w:rPr>
        <w:lastRenderedPageBreak/>
        <w:drawing>
          <wp:inline distT="0" distB="0" distL="0" distR="0" wp14:anchorId="504F7C08" wp14:editId="14561022">
            <wp:extent cx="5731510" cy="2085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tif"/>
                    <pic:cNvPicPr/>
                  </pic:nvPicPr>
                  <pic:blipFill>
                    <a:blip r:embed="rId24">
                      <a:extLst>
                        <a:ext uri="{28A0092B-C50C-407E-A947-70E740481C1C}">
                          <a14:useLocalDpi xmlns:a14="http://schemas.microsoft.com/office/drawing/2010/main"/>
                        </a:ext>
                      </a:extLst>
                    </a:blip>
                    <a:stretch>
                      <a:fillRect/>
                    </a:stretch>
                  </pic:blipFill>
                  <pic:spPr>
                    <a:xfrm>
                      <a:off x="0" y="0"/>
                      <a:ext cx="5731510" cy="2085340"/>
                    </a:xfrm>
                    <a:prstGeom prst="rect">
                      <a:avLst/>
                    </a:prstGeom>
                  </pic:spPr>
                </pic:pic>
              </a:graphicData>
            </a:graphic>
          </wp:inline>
        </w:drawing>
      </w:r>
    </w:p>
    <w:p w:rsidR="00DC16B6" w:rsidRPr="00BC0732" w:rsidRDefault="00DC16B6" w:rsidP="00DC16B6">
      <w:pPr>
        <w:spacing w:after="0" w:line="288" w:lineRule="auto"/>
        <w:jc w:val="center"/>
        <w:rPr>
          <w:rFonts w:cs="Times New Roman"/>
          <w:szCs w:val="20"/>
        </w:rPr>
      </w:pPr>
      <w:r w:rsidRPr="000D3A3D">
        <w:rPr>
          <w:rFonts w:cs="Times New Roman"/>
          <w:b/>
          <w:szCs w:val="20"/>
        </w:rPr>
        <w:t>Figure 16</w:t>
      </w:r>
      <w:r>
        <w:rPr>
          <w:rFonts w:cs="Times New Roman"/>
          <w:szCs w:val="20"/>
        </w:rPr>
        <w:t>. Back-scattered electron images of 100% ggbs paste surface ~9 months after images in Figure 14. A shows distribution of sodium carbonate crystals (dark areas) grown on the paste surface (light area). B shows a detail of the rosette structure formed by the sodium carbonate crystals and the characteristic desiccation cracks in the gel.</w:t>
      </w:r>
    </w:p>
    <w:p w:rsidR="00DC16B6" w:rsidRPr="00710B28" w:rsidRDefault="00DC16B6" w:rsidP="00DC16B6">
      <w:pPr>
        <w:spacing w:after="0"/>
      </w:pPr>
    </w:p>
    <w:p w:rsidR="008873D7" w:rsidRDefault="008873D7" w:rsidP="00DC16B6">
      <w:pPr>
        <w:pStyle w:val="Heading1"/>
        <w:spacing w:before="240"/>
        <w:ind w:left="431" w:hanging="431"/>
      </w:pPr>
      <w:r w:rsidRPr="00471942">
        <w:t>Conclusions</w:t>
      </w:r>
    </w:p>
    <w:p w:rsidR="00471942" w:rsidRDefault="00471942" w:rsidP="00692ECA">
      <w:r>
        <w:t xml:space="preserve">Geopolymer and alkali activated binders can </w:t>
      </w:r>
      <w:r w:rsidR="0060009B">
        <w:t>offer</w:t>
      </w:r>
      <w:r>
        <w:t xml:space="preserve"> a possible alternative to Portland cement concrete. </w:t>
      </w:r>
      <w:r w:rsidR="005955CE">
        <w:t xml:space="preserve">Notwithstanding </w:t>
      </w:r>
      <w:r w:rsidR="0060009B">
        <w:t xml:space="preserve">all </w:t>
      </w:r>
      <w:r w:rsidR="005955CE">
        <w:t xml:space="preserve">the </w:t>
      </w:r>
      <w:r>
        <w:t xml:space="preserve">research </w:t>
      </w:r>
      <w:r w:rsidR="0060009B">
        <w:t xml:space="preserve">work that has been </w:t>
      </w:r>
      <w:r w:rsidR="005955CE">
        <w:t xml:space="preserve">carried out </w:t>
      </w:r>
      <w:r>
        <w:t xml:space="preserve">all over the world, </w:t>
      </w:r>
      <w:r w:rsidR="005955CE">
        <w:t>a</w:t>
      </w:r>
      <w:r w:rsidR="00CE74F8">
        <w:t>n easy way of selection of raw material and their proportioning to obtain</w:t>
      </w:r>
      <w:r w:rsidR="005955CE">
        <w:t xml:space="preserve"> desired </w:t>
      </w:r>
      <w:r w:rsidR="00CE74F8">
        <w:t xml:space="preserve">properties </w:t>
      </w:r>
      <w:r w:rsidR="0024622A">
        <w:t>has</w:t>
      </w:r>
      <w:r w:rsidR="00CE74F8">
        <w:t xml:space="preserve"> remain</w:t>
      </w:r>
      <w:r w:rsidR="0024622A">
        <w:t>ed</w:t>
      </w:r>
      <w:r w:rsidR="00CE74F8">
        <w:t xml:space="preserve"> a trial and error procedure</w:t>
      </w:r>
      <w:r>
        <w:t xml:space="preserve">. </w:t>
      </w:r>
      <w:r w:rsidR="00CE74F8">
        <w:t>T</w:t>
      </w:r>
      <w:r>
        <w:t xml:space="preserve">he following </w:t>
      </w:r>
      <w:r w:rsidR="00CE74F8">
        <w:t xml:space="preserve">factors affecting the mechanical properties </w:t>
      </w:r>
      <w:r>
        <w:t xml:space="preserve">were </w:t>
      </w:r>
      <w:r w:rsidR="00CE74F8">
        <w:t xml:space="preserve">therefore </w:t>
      </w:r>
      <w:r>
        <w:t>investigated</w:t>
      </w:r>
      <w:r w:rsidR="00CE74F8">
        <w:t xml:space="preserve"> in order to provide guidance for the selection of raw materials and their proportioning to produce geopolymer concretes of the required properties</w:t>
      </w:r>
      <w:r>
        <w:t>: (a) the effect of curing procedure and activat</w:t>
      </w:r>
      <w:r w:rsidR="00CE74F8">
        <w:t>or</w:t>
      </w:r>
      <w:r>
        <w:t xml:space="preserve"> dosages on the strength of pfa-based mortar; (b) the influence of physic</w:t>
      </w:r>
      <w:r w:rsidR="00CE74F8">
        <w:t>al</w:t>
      </w:r>
      <w:r>
        <w:t xml:space="preserve"> and chemical properties of different pfa sources; (c) the effect of </w:t>
      </w:r>
      <w:r w:rsidR="00CE74F8">
        <w:t xml:space="preserve">partial pfa replacement with </w:t>
      </w:r>
      <w:r>
        <w:t>ggbs.</w:t>
      </w:r>
    </w:p>
    <w:p w:rsidR="00471942" w:rsidRDefault="00CE74F8" w:rsidP="00692ECA">
      <w:r>
        <w:t>The conclusions from this work are</w:t>
      </w:r>
      <w:r w:rsidR="008D61DC">
        <w:t>:</w:t>
      </w:r>
    </w:p>
    <w:p w:rsidR="008D61DC" w:rsidRDefault="008D61DC" w:rsidP="00692ECA">
      <w:pPr>
        <w:pStyle w:val="ListParagraph"/>
        <w:numPr>
          <w:ilvl w:val="0"/>
          <w:numId w:val="11"/>
        </w:numPr>
      </w:pPr>
      <w:r w:rsidRPr="008D61DC">
        <w:t>Curing temperature ha</w:t>
      </w:r>
      <w:r w:rsidR="005955CE">
        <w:t>s</w:t>
      </w:r>
      <w:r w:rsidRPr="008D61DC">
        <w:t xml:space="preserve"> a very significant effect on strength</w:t>
      </w:r>
      <w:r w:rsidR="00FD770E">
        <w:t xml:space="preserve"> of pfa based geopolymers</w:t>
      </w:r>
      <w:r w:rsidR="005955CE">
        <w:t>:</w:t>
      </w:r>
      <w:r w:rsidR="009637E0">
        <w:t xml:space="preserve"> specimens cured at 70</w:t>
      </w:r>
      <w:r w:rsidRPr="008D61DC">
        <w:t xml:space="preserve">°C </w:t>
      </w:r>
      <w:r w:rsidR="005955CE">
        <w:t xml:space="preserve">were </w:t>
      </w:r>
      <w:r w:rsidRPr="008D61DC">
        <w:t>considerably stronger than specimens</w:t>
      </w:r>
      <w:r w:rsidR="009637E0">
        <w:t xml:space="preserve"> cured at 50</w:t>
      </w:r>
      <w:r w:rsidRPr="008D61DC">
        <w:t>°C.</w:t>
      </w:r>
      <w:r>
        <w:t xml:space="preserve"> Stand time was found to be less important</w:t>
      </w:r>
      <w:r w:rsidR="00CE74F8">
        <w:t xml:space="preserve"> and as such a</w:t>
      </w:r>
      <w:r w:rsidR="00FD770E">
        <w:t>n</w:t>
      </w:r>
      <w:r w:rsidR="00CE74F8">
        <w:t xml:space="preserve"> </w:t>
      </w:r>
      <w:r>
        <w:t xml:space="preserve">1 hour stand </w:t>
      </w:r>
      <w:r w:rsidR="00CE74F8">
        <w:t xml:space="preserve">time </w:t>
      </w:r>
      <w:r>
        <w:t xml:space="preserve">before oven curing </w:t>
      </w:r>
      <w:r w:rsidR="0024622A">
        <w:t>was</w:t>
      </w:r>
      <w:r>
        <w:t xml:space="preserve"> considered sufficient.</w:t>
      </w:r>
    </w:p>
    <w:p w:rsidR="008D61DC" w:rsidRDefault="00A50960" w:rsidP="00692ECA">
      <w:pPr>
        <w:pStyle w:val="ListParagraph"/>
        <w:numPr>
          <w:ilvl w:val="0"/>
          <w:numId w:val="11"/>
        </w:numPr>
      </w:pPr>
      <w:r>
        <w:t xml:space="preserve">The dosage of activators is </w:t>
      </w:r>
      <w:r w:rsidR="006F78A9">
        <w:t xml:space="preserve">very important for not only achieving the required early age properties but also for the effect on compressive strength. </w:t>
      </w:r>
      <w:r w:rsidR="008D61DC">
        <w:t>A</w:t>
      </w:r>
      <w:r w:rsidR="008D61DC" w:rsidRPr="008D61DC">
        <w:t xml:space="preserve"> ‘sweet spot’ of the </w:t>
      </w:r>
      <w:r w:rsidR="006F78A9">
        <w:t xml:space="preserve">optimum </w:t>
      </w:r>
      <w:r w:rsidR="008D61DC" w:rsidRPr="008D61DC">
        <w:t xml:space="preserve">alkali </w:t>
      </w:r>
      <w:r w:rsidR="006F78A9">
        <w:t xml:space="preserve">modulus and dosage combinations, i.e. </w:t>
      </w:r>
      <w:r w:rsidR="006F78A9" w:rsidRPr="008D61DC">
        <w:t>alkali dosage of 12.5% and alkali modulus of 1.25</w:t>
      </w:r>
      <w:r w:rsidR="006F78A9">
        <w:t>,</w:t>
      </w:r>
      <w:r w:rsidR="00690D2D">
        <w:t xml:space="preserve"> </w:t>
      </w:r>
      <w:r w:rsidR="006F78A9">
        <w:t xml:space="preserve">gave compressive strength of </w:t>
      </w:r>
      <w:r w:rsidR="0024622A">
        <w:t>~</w:t>
      </w:r>
      <w:r w:rsidR="008D61DC" w:rsidRPr="008D61DC">
        <w:t>70 MPa.</w:t>
      </w:r>
    </w:p>
    <w:p w:rsidR="006F78A9" w:rsidRPr="006F78A9" w:rsidRDefault="006F78A9" w:rsidP="00692ECA">
      <w:pPr>
        <w:pStyle w:val="ListParagraph"/>
        <w:numPr>
          <w:ilvl w:val="0"/>
          <w:numId w:val="11"/>
        </w:numPr>
      </w:pPr>
      <w:r w:rsidRPr="006F78A9">
        <w:lastRenderedPageBreak/>
        <w:t>P</w:t>
      </w:r>
      <w:r w:rsidR="009B2AC0" w:rsidRPr="006F78A9">
        <w:t>hysic</w:t>
      </w:r>
      <w:r w:rsidRPr="006F78A9">
        <w:t>al and chemical</w:t>
      </w:r>
      <w:r w:rsidR="009B2AC0" w:rsidRPr="006F78A9">
        <w:t xml:space="preserve"> </w:t>
      </w:r>
      <w:r w:rsidRPr="006F78A9">
        <w:t xml:space="preserve">properties of potential pfa sources </w:t>
      </w:r>
      <w:r w:rsidR="009B2AC0" w:rsidRPr="006F78A9">
        <w:t xml:space="preserve">should be </w:t>
      </w:r>
      <w:r w:rsidRPr="006F78A9">
        <w:t xml:space="preserve">investigated before selecting the most suitable one. </w:t>
      </w:r>
      <w:r>
        <w:t>Average g</w:t>
      </w:r>
      <w:r w:rsidRPr="008D61DC">
        <w:t xml:space="preserve">rain size was found to </w:t>
      </w:r>
      <w:r>
        <w:t xml:space="preserve">be one of the </w:t>
      </w:r>
      <w:r w:rsidRPr="008D61DC">
        <w:t xml:space="preserve">important </w:t>
      </w:r>
      <w:r>
        <w:t xml:space="preserve">factors affecting the potential compressive strength. Coarse pfa coupled with low amorphous content and high LOI needs to be avoided. </w:t>
      </w:r>
    </w:p>
    <w:p w:rsidR="008D61DC" w:rsidRPr="006F78A9" w:rsidRDefault="006F78A9" w:rsidP="00692ECA">
      <w:pPr>
        <w:pStyle w:val="ListParagraph"/>
        <w:numPr>
          <w:ilvl w:val="0"/>
          <w:numId w:val="11"/>
        </w:numPr>
      </w:pPr>
      <w:r>
        <w:t xml:space="preserve">Partial pfa replacement with </w:t>
      </w:r>
      <w:r w:rsidR="008D61DC" w:rsidRPr="006F78A9">
        <w:t>ggbs le</w:t>
      </w:r>
      <w:r>
        <w:t>a</w:t>
      </w:r>
      <w:r w:rsidR="008D61DC" w:rsidRPr="006F78A9">
        <w:t>d</w:t>
      </w:r>
      <w:r>
        <w:t>s</w:t>
      </w:r>
      <w:r w:rsidR="008D61DC" w:rsidRPr="006F78A9">
        <w:t xml:space="preserve"> to </w:t>
      </w:r>
      <w:r>
        <w:t xml:space="preserve">increases in </w:t>
      </w:r>
      <w:r w:rsidR="008D61DC" w:rsidRPr="006F78A9">
        <w:t xml:space="preserve">the compressive strength. </w:t>
      </w:r>
      <w:r>
        <w:t>S</w:t>
      </w:r>
      <w:r w:rsidR="008D61DC" w:rsidRPr="006F78A9">
        <w:t>trength</w:t>
      </w:r>
      <w:r>
        <w:t>s</w:t>
      </w:r>
      <w:r w:rsidR="008D61DC" w:rsidRPr="006F78A9">
        <w:t xml:space="preserve"> of 80 MPa with </w:t>
      </w:r>
      <w:r>
        <w:t xml:space="preserve">only </w:t>
      </w:r>
      <w:r w:rsidR="008D61DC" w:rsidRPr="006F78A9">
        <w:t>M+ 7.5</w:t>
      </w:r>
      <w:r w:rsidR="009637E0" w:rsidRPr="006F78A9">
        <w:t>%</w:t>
      </w:r>
      <w:r w:rsidR="008D61DC" w:rsidRPr="006F78A9">
        <w:t xml:space="preserve"> and AM 1.25</w:t>
      </w:r>
      <w:r>
        <w:t xml:space="preserve"> were obtained</w:t>
      </w:r>
      <w:r w:rsidR="008D61DC" w:rsidRPr="006F78A9">
        <w:t>.</w:t>
      </w:r>
      <w:r w:rsidR="009B2AC0" w:rsidRPr="006F78A9">
        <w:t xml:space="preserve"> </w:t>
      </w:r>
      <w:r>
        <w:t xml:space="preserve">The other benefit from such blends is that </w:t>
      </w:r>
      <w:r w:rsidR="009B2AC0" w:rsidRPr="006F78A9">
        <w:t>curing at room temperature</w:t>
      </w:r>
      <w:r>
        <w:t xml:space="preserve"> </w:t>
      </w:r>
      <w:r w:rsidR="0024622A">
        <w:t xml:space="preserve">only </w:t>
      </w:r>
      <w:r>
        <w:t>is sufficient and no elevated curing temperatures are needed.</w:t>
      </w:r>
    </w:p>
    <w:p w:rsidR="002F5F67" w:rsidRDefault="008D61DC" w:rsidP="00692ECA">
      <w:pPr>
        <w:pStyle w:val="ListParagraph"/>
        <w:numPr>
          <w:ilvl w:val="0"/>
          <w:numId w:val="11"/>
        </w:numPr>
      </w:pPr>
      <w:r>
        <w:t>SEM investigation on paste</w:t>
      </w:r>
      <w:r w:rsidR="006F78A9">
        <w:t>s</w:t>
      </w:r>
      <w:r>
        <w:t xml:space="preserve"> of 100% pfa, 100% gg</w:t>
      </w:r>
      <w:r w:rsidR="0062477B">
        <w:t>b</w:t>
      </w:r>
      <w:r w:rsidR="006F78A9">
        <w:t>s and 50/50</w:t>
      </w:r>
      <w:r>
        <w:t xml:space="preserve"> pfa/ggbs </w:t>
      </w:r>
      <w:r w:rsidR="006F78A9">
        <w:t xml:space="preserve">assisted in determining </w:t>
      </w:r>
      <w:r>
        <w:t xml:space="preserve">the </w:t>
      </w:r>
      <w:r w:rsidR="0024622A">
        <w:t xml:space="preserve">microstructure, </w:t>
      </w:r>
      <w:r>
        <w:t xml:space="preserve">reaction products and </w:t>
      </w:r>
      <w:r w:rsidR="00B23252">
        <w:t xml:space="preserve">their chemical </w:t>
      </w:r>
      <w:r w:rsidR="00690D2D">
        <w:t xml:space="preserve">composition. </w:t>
      </w:r>
      <w:r w:rsidR="002F5F67">
        <w:t>The 100% pfa and 100% ggbs mixes produce</w:t>
      </w:r>
      <w:r w:rsidR="00FD770E">
        <w:t xml:space="preserve"> distinctly different</w:t>
      </w:r>
      <w:r w:rsidR="002F5F67">
        <w:t xml:space="preserve"> microstructures</w:t>
      </w:r>
      <w:r w:rsidR="00FD770E">
        <w:t xml:space="preserve">, i.e. </w:t>
      </w:r>
      <w:r w:rsidR="002F5F67">
        <w:t xml:space="preserve">dominated by </w:t>
      </w:r>
      <w:r w:rsidR="00FD770E">
        <w:t xml:space="preserve">coarse </w:t>
      </w:r>
      <w:r w:rsidR="002F5F67">
        <w:t xml:space="preserve">granularity and desiccation cracking respectively. The 50/50 pfa/ggbs mix develops a homogeneous, dense gel with little microcracking and good bonding to </w:t>
      </w:r>
      <w:r w:rsidR="00677050">
        <w:t>unreacted</w:t>
      </w:r>
      <w:r w:rsidR="002F5F67">
        <w:t xml:space="preserve"> ggbs and pfa particles. The 50/50 pfa/ggbs microstructure looks like it should </w:t>
      </w:r>
      <w:r w:rsidR="00FD770E">
        <w:t xml:space="preserve">be </w:t>
      </w:r>
      <w:r w:rsidR="002F5F67">
        <w:t xml:space="preserve">stronger and it </w:t>
      </w:r>
      <w:r w:rsidR="00FD770E">
        <w:t>has been proved to be so</w:t>
      </w:r>
      <w:r w:rsidR="002F5F67">
        <w:t>.</w:t>
      </w:r>
    </w:p>
    <w:p w:rsidR="008D61DC" w:rsidRPr="008D61DC" w:rsidRDefault="00690D2D" w:rsidP="00692ECA">
      <w:pPr>
        <w:pStyle w:val="ListParagraph"/>
        <w:numPr>
          <w:ilvl w:val="0"/>
          <w:numId w:val="11"/>
        </w:numPr>
      </w:pPr>
      <w:r>
        <w:t>A calcium alumina</w:t>
      </w:r>
      <w:r w:rsidR="00B23252">
        <w:t xml:space="preserve"> silicate hydrate gel with inclusion</w:t>
      </w:r>
      <w:r w:rsidR="006F78A9">
        <w:t>s</w:t>
      </w:r>
      <w:r w:rsidR="00B23252">
        <w:t xml:space="preserve"> </w:t>
      </w:r>
      <w:r w:rsidR="006F78A9">
        <w:t>of Na</w:t>
      </w:r>
      <w:r w:rsidR="006F78A9" w:rsidRPr="00692ECA">
        <w:rPr>
          <w:vertAlign w:val="superscript"/>
        </w:rPr>
        <w:t>+</w:t>
      </w:r>
      <w:r w:rsidR="006F78A9">
        <w:t xml:space="preserve"> cations </w:t>
      </w:r>
      <w:r w:rsidR="00B23252">
        <w:t xml:space="preserve">in the structure was found in the samples containing ggbs. </w:t>
      </w:r>
      <w:r w:rsidR="006F78A9">
        <w:t xml:space="preserve">This was </w:t>
      </w:r>
      <w:r>
        <w:t>denser than the sodium alumina</w:t>
      </w:r>
      <w:r w:rsidR="00B23252">
        <w:t xml:space="preserve"> silicate hydrate gel (N-A-S-H) found for 100% pfa samples and this could explain the </w:t>
      </w:r>
      <w:r w:rsidR="006F78A9">
        <w:t xml:space="preserve">improved </w:t>
      </w:r>
      <w:r w:rsidR="00B23252">
        <w:t>compressive strength</w:t>
      </w:r>
      <w:r w:rsidR="006F78A9">
        <w:t>s</w:t>
      </w:r>
      <w:r w:rsidR="00B23252">
        <w:t>.</w:t>
      </w:r>
    </w:p>
    <w:p w:rsidR="008873D7" w:rsidRPr="00B23252" w:rsidRDefault="008873D7" w:rsidP="00692ECA">
      <w:pPr>
        <w:pStyle w:val="Heading1"/>
      </w:pPr>
      <w:r w:rsidRPr="00B23252">
        <w:t>Acknowledgements</w:t>
      </w:r>
    </w:p>
    <w:p w:rsidR="008873D7" w:rsidRPr="00710B28" w:rsidRDefault="00B23252" w:rsidP="00BC0732">
      <w:r w:rsidRPr="00B23252">
        <w:t>This research was</w:t>
      </w:r>
      <w:r w:rsidR="00F56B87">
        <w:t xml:space="preserve"> </w:t>
      </w:r>
      <w:r w:rsidRPr="00B23252">
        <w:t xml:space="preserve">carried out </w:t>
      </w:r>
      <w:r w:rsidR="00F56B87">
        <w:t xml:space="preserve">at the University of Liverpool </w:t>
      </w:r>
      <w:r w:rsidRPr="00B23252">
        <w:t>in the framework of the</w:t>
      </w:r>
      <w:r>
        <w:t xml:space="preserve"> </w:t>
      </w:r>
      <w:r w:rsidRPr="00B23252">
        <w:t>Carbon Trust Applied Research Grant 0911-0252</w:t>
      </w:r>
      <w:r>
        <w:t xml:space="preserve"> “</w:t>
      </w:r>
      <w:r w:rsidRPr="00B23252">
        <w:t>Ultra High Performance Fibre Reinforced Cementless Precast Concrete Products</w:t>
      </w:r>
      <w:r>
        <w:t>”.</w:t>
      </w:r>
      <w:r w:rsidR="00F56B87">
        <w:t xml:space="preserve"> The work was then continued at Queen’s University of Belfast with the financial support of </w:t>
      </w:r>
      <w:r w:rsidR="00F56B87" w:rsidRPr="00F56B87">
        <w:t>the SUSCON project, which has received funding from the European Union Seventh Framework Programme (FP7/2007-2013) under Grant Agreement No. 285463 (Call FP7-2011-NMP ENV-ENERGY-ICT-EeB)</w:t>
      </w:r>
      <w:r w:rsidR="00F56B87">
        <w:t>.</w:t>
      </w:r>
    </w:p>
    <w:p w:rsidR="008873D7" w:rsidRPr="00B23252" w:rsidRDefault="008873D7" w:rsidP="00692ECA">
      <w:pPr>
        <w:pStyle w:val="Heading1"/>
      </w:pPr>
      <w:r w:rsidRPr="00B23252">
        <w:t>References</w:t>
      </w:r>
    </w:p>
    <w:p w:rsidR="00DD3278" w:rsidRPr="00BC0732" w:rsidRDefault="00DD3278" w:rsidP="00F842ED">
      <w:pPr>
        <w:pStyle w:val="ListParagraph"/>
        <w:numPr>
          <w:ilvl w:val="0"/>
          <w:numId w:val="6"/>
        </w:numPr>
        <w:ind w:hanging="578"/>
        <w:rPr>
          <w:rFonts w:cs="Times New Roman"/>
          <w:szCs w:val="20"/>
        </w:rPr>
      </w:pPr>
      <w:r w:rsidRPr="00BC0732">
        <w:rPr>
          <w:rFonts w:cs="Times New Roman"/>
          <w:szCs w:val="20"/>
        </w:rPr>
        <w:t>Davidovits, J.</w:t>
      </w:r>
      <w:r w:rsidR="00EE166E" w:rsidRPr="00BC0732">
        <w:rPr>
          <w:rFonts w:cs="Times New Roman"/>
          <w:szCs w:val="20"/>
        </w:rPr>
        <w:t xml:space="preserve"> (2008)</w:t>
      </w:r>
      <w:r w:rsidRPr="00BC0732">
        <w:rPr>
          <w:rFonts w:cs="Times New Roman"/>
          <w:szCs w:val="20"/>
        </w:rPr>
        <w:t xml:space="preserve"> Geopolymer chemistry and applications. Institut Geopolymere.</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Davidovits, J. (1989). Geopolymers and geopolymeric materials. </w:t>
      </w:r>
      <w:r w:rsidRPr="00BC0732">
        <w:rPr>
          <w:rFonts w:eastAsia="Times New Roman" w:cs="Times New Roman"/>
          <w:i/>
          <w:iCs/>
          <w:szCs w:val="20"/>
          <w:lang w:eastAsia="en-GB"/>
        </w:rPr>
        <w:t>Journal of thermal analysis</w:t>
      </w:r>
      <w:r w:rsidRPr="00BC0732">
        <w:rPr>
          <w:rFonts w:eastAsia="Times New Roman" w:cs="Times New Roman"/>
          <w:szCs w:val="20"/>
          <w:lang w:eastAsia="en-GB"/>
        </w:rPr>
        <w:t xml:space="preserve">, </w:t>
      </w:r>
      <w:r w:rsidRPr="00BC0732">
        <w:rPr>
          <w:rFonts w:eastAsia="Times New Roman" w:cs="Times New Roman"/>
          <w:i/>
          <w:iCs/>
          <w:szCs w:val="20"/>
          <w:lang w:eastAsia="en-GB"/>
        </w:rPr>
        <w:t>35</w:t>
      </w:r>
      <w:r w:rsidRPr="00BC0732">
        <w:rPr>
          <w:rFonts w:eastAsia="Times New Roman" w:cs="Times New Roman"/>
          <w:szCs w:val="20"/>
          <w:lang w:eastAsia="en-GB"/>
        </w:rPr>
        <w:t>(2), 429-441.</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lastRenderedPageBreak/>
        <w:t xml:space="preserve">Davidovits, J. (1991). Geopolymers. </w:t>
      </w:r>
      <w:r w:rsidRPr="00BC0732">
        <w:rPr>
          <w:rFonts w:eastAsia="Times New Roman" w:cs="Times New Roman"/>
          <w:i/>
          <w:iCs/>
          <w:szCs w:val="20"/>
          <w:lang w:eastAsia="en-GB"/>
        </w:rPr>
        <w:t>Journal of thermal analysis</w:t>
      </w:r>
      <w:r w:rsidRPr="00BC0732">
        <w:rPr>
          <w:rFonts w:eastAsia="Times New Roman" w:cs="Times New Roman"/>
          <w:szCs w:val="20"/>
          <w:lang w:eastAsia="en-GB"/>
        </w:rPr>
        <w:t xml:space="preserve">, </w:t>
      </w:r>
      <w:r w:rsidRPr="00BC0732">
        <w:rPr>
          <w:rFonts w:eastAsia="Times New Roman" w:cs="Times New Roman"/>
          <w:i/>
          <w:iCs/>
          <w:szCs w:val="20"/>
          <w:lang w:eastAsia="en-GB"/>
        </w:rPr>
        <w:t>37</w:t>
      </w:r>
      <w:r w:rsidRPr="00BC0732">
        <w:rPr>
          <w:rFonts w:eastAsia="Times New Roman" w:cs="Times New Roman"/>
          <w:szCs w:val="20"/>
          <w:lang w:eastAsia="en-GB"/>
        </w:rPr>
        <w:t>(8), 1633-1656.</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Davidovits, J. (1993). Geopolymer cements to minimise carbon-dioxide greenhouse-warming. </w:t>
      </w:r>
      <w:r w:rsidRPr="00BC0732">
        <w:rPr>
          <w:rFonts w:eastAsia="Times New Roman" w:cs="Times New Roman"/>
          <w:i/>
          <w:iCs/>
          <w:szCs w:val="20"/>
          <w:lang w:eastAsia="en-GB"/>
        </w:rPr>
        <w:t>Ceram. Trans.</w:t>
      </w:r>
      <w:r w:rsidRPr="00BC0732">
        <w:rPr>
          <w:rFonts w:eastAsia="Times New Roman" w:cs="Times New Roman"/>
          <w:szCs w:val="20"/>
          <w:lang w:eastAsia="en-GB"/>
        </w:rPr>
        <w:t xml:space="preserve">, </w:t>
      </w:r>
      <w:r w:rsidRPr="00BC0732">
        <w:rPr>
          <w:rFonts w:eastAsia="Times New Roman" w:cs="Times New Roman"/>
          <w:i/>
          <w:iCs/>
          <w:szCs w:val="20"/>
          <w:lang w:eastAsia="en-GB"/>
        </w:rPr>
        <w:t>37</w:t>
      </w:r>
      <w:r w:rsidRPr="00BC0732">
        <w:rPr>
          <w:rFonts w:eastAsia="Times New Roman" w:cs="Times New Roman"/>
          <w:szCs w:val="20"/>
          <w:lang w:eastAsia="en-GB"/>
        </w:rPr>
        <w:t>, 165-182.</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Barbosa, V. F., MacKenzie, K. J., &amp; Thaumaturgo, C. (2000). Synthesis and characterisation of materials based on inorganic polymers of alumina and silica: sodium polysialate polymers. </w:t>
      </w:r>
      <w:r w:rsidRPr="00BC0732">
        <w:rPr>
          <w:rFonts w:eastAsia="Times New Roman" w:cs="Times New Roman"/>
          <w:i/>
          <w:iCs/>
          <w:szCs w:val="20"/>
          <w:lang w:eastAsia="en-GB"/>
        </w:rPr>
        <w:t>International Journal of Inorganic Materials</w:t>
      </w:r>
      <w:r w:rsidRPr="00BC0732">
        <w:rPr>
          <w:rFonts w:eastAsia="Times New Roman" w:cs="Times New Roman"/>
          <w:szCs w:val="20"/>
          <w:lang w:eastAsia="en-GB"/>
        </w:rPr>
        <w:t xml:space="preserve">, </w:t>
      </w:r>
      <w:r w:rsidRPr="00BC0732">
        <w:rPr>
          <w:rFonts w:eastAsia="Times New Roman" w:cs="Times New Roman"/>
          <w:i/>
          <w:iCs/>
          <w:szCs w:val="20"/>
          <w:lang w:eastAsia="en-GB"/>
        </w:rPr>
        <w:t>2</w:t>
      </w:r>
      <w:r w:rsidRPr="00BC0732">
        <w:rPr>
          <w:rFonts w:eastAsia="Times New Roman" w:cs="Times New Roman"/>
          <w:szCs w:val="20"/>
          <w:lang w:eastAsia="en-GB"/>
        </w:rPr>
        <w:t>(4), 309-317.</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Kriven, W. M., Bell, J. L., &amp; Gordon, M. (2003). Microstructure and Microchemistry of Fully</w:t>
      </w:r>
      <w:r w:rsidRPr="00BC0732">
        <w:rPr>
          <w:rFonts w:eastAsia="Times New Roman" w:cs="Cambria Math"/>
          <w:szCs w:val="20"/>
          <w:lang w:eastAsia="en-GB"/>
        </w:rPr>
        <w:t>‐</w:t>
      </w:r>
      <w:r w:rsidRPr="00BC0732">
        <w:rPr>
          <w:rFonts w:eastAsia="Times New Roman" w:cs="Times New Roman"/>
          <w:szCs w:val="20"/>
          <w:lang w:eastAsia="en-GB"/>
        </w:rPr>
        <w:t xml:space="preserve">Reacted Geopolymers and Geopolymer Matrix Composites. </w:t>
      </w:r>
      <w:r w:rsidRPr="00BC0732">
        <w:rPr>
          <w:rFonts w:eastAsia="Times New Roman" w:cs="Times New Roman"/>
          <w:i/>
          <w:iCs/>
          <w:szCs w:val="20"/>
          <w:lang w:eastAsia="en-GB"/>
        </w:rPr>
        <w:t>Advances in Ceramic Matrix Composites IX, Volume 153</w:t>
      </w:r>
      <w:r w:rsidRPr="00BC0732">
        <w:rPr>
          <w:rFonts w:eastAsia="Times New Roman" w:cs="Times New Roman"/>
          <w:szCs w:val="20"/>
          <w:lang w:eastAsia="en-GB"/>
        </w:rPr>
        <w:t>, 227-250.</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Shi, C., Roy, D., &amp; Krivenko, P. (2006). </w:t>
      </w:r>
      <w:r w:rsidRPr="00BC0732">
        <w:rPr>
          <w:rFonts w:eastAsia="Times New Roman" w:cs="Times New Roman"/>
          <w:i/>
          <w:iCs/>
          <w:szCs w:val="20"/>
          <w:lang w:eastAsia="en-GB"/>
        </w:rPr>
        <w:t>Alkali-activated cements and concretes</w:t>
      </w:r>
      <w:r w:rsidRPr="00BC0732">
        <w:rPr>
          <w:rFonts w:eastAsia="Times New Roman" w:cs="Times New Roman"/>
          <w:szCs w:val="20"/>
          <w:lang w:eastAsia="en-GB"/>
        </w:rPr>
        <w:t>. CRC press.</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Van Jaarsveld, J. G. S., &amp; Van Deventer, J. S. J. (1999). Effect of the alkali metal activator on the properties of fly ash-based geopolymers. </w:t>
      </w:r>
      <w:r w:rsidRPr="00BC0732">
        <w:rPr>
          <w:rFonts w:eastAsia="Times New Roman" w:cs="Times New Roman"/>
          <w:i/>
          <w:iCs/>
          <w:szCs w:val="20"/>
          <w:lang w:eastAsia="en-GB"/>
        </w:rPr>
        <w:t>Industrial &amp; Engineering Chemistry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38</w:t>
      </w:r>
      <w:r w:rsidRPr="00BC0732">
        <w:rPr>
          <w:rFonts w:eastAsia="Times New Roman" w:cs="Times New Roman"/>
          <w:szCs w:val="20"/>
          <w:lang w:eastAsia="en-GB"/>
        </w:rPr>
        <w:t>(10), 3932-3941.</w:t>
      </w:r>
    </w:p>
    <w:p w:rsidR="00D21DE4" w:rsidRPr="00BC0732" w:rsidRDefault="00D21DE4" w:rsidP="00D21DE4">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Provis, J. L, van Deventer, J. S. (2014). </w:t>
      </w:r>
      <w:r w:rsidRPr="00BC0732">
        <w:rPr>
          <w:rFonts w:eastAsia="Times New Roman" w:cs="Times New Roman"/>
          <w:i/>
          <w:iCs/>
          <w:szCs w:val="20"/>
          <w:lang w:eastAsia="en-GB"/>
        </w:rPr>
        <w:t>Alkali Activated Materials</w:t>
      </w:r>
      <w:r w:rsidRPr="00BC0732">
        <w:rPr>
          <w:rFonts w:eastAsia="Times New Roman" w:cs="Times New Roman"/>
          <w:szCs w:val="20"/>
          <w:lang w:eastAsia="en-GB"/>
        </w:rPr>
        <w:t>. J. L. Provis (Ed.). Springer.</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val="fr-FR" w:eastAsia="en-GB"/>
        </w:rPr>
        <w:t xml:space="preserve">Jimenez, A. M. F., Lachowski, E. E., Palomo, A., &amp; Macphee, D. E. (2004). </w:t>
      </w:r>
      <w:r w:rsidRPr="00BC0732">
        <w:rPr>
          <w:rFonts w:eastAsia="Times New Roman" w:cs="Times New Roman"/>
          <w:szCs w:val="20"/>
          <w:lang w:eastAsia="en-GB"/>
        </w:rPr>
        <w:t xml:space="preserve">Microstructural characterisation of alkali-activated PFA matrices for waste immobilisation. </w:t>
      </w:r>
      <w:r w:rsidRPr="00BC0732">
        <w:rPr>
          <w:rFonts w:eastAsia="Times New Roman" w:cs="Times New Roman"/>
          <w:i/>
          <w:iCs/>
          <w:szCs w:val="20"/>
          <w:lang w:eastAsia="en-GB"/>
        </w:rPr>
        <w:t>Cement and Concrete Composites</w:t>
      </w:r>
      <w:r w:rsidRPr="00BC0732">
        <w:rPr>
          <w:rFonts w:eastAsia="Times New Roman" w:cs="Times New Roman"/>
          <w:szCs w:val="20"/>
          <w:lang w:eastAsia="en-GB"/>
        </w:rPr>
        <w:t xml:space="preserve">, </w:t>
      </w:r>
      <w:r w:rsidRPr="00BC0732">
        <w:rPr>
          <w:rFonts w:eastAsia="Times New Roman" w:cs="Times New Roman"/>
          <w:i/>
          <w:iCs/>
          <w:szCs w:val="20"/>
          <w:lang w:eastAsia="en-GB"/>
        </w:rPr>
        <w:t>26</w:t>
      </w:r>
      <w:r w:rsidRPr="00BC0732">
        <w:rPr>
          <w:rFonts w:eastAsia="Times New Roman" w:cs="Times New Roman"/>
          <w:szCs w:val="20"/>
          <w:lang w:eastAsia="en-GB"/>
        </w:rPr>
        <w:t>(8), 1001-1006.</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Kong, D. L., &amp; Sanjayan, J. G. (2010). Effect of elevated temperatures on geopolymer paste, mortar and concrete.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40</w:t>
      </w:r>
      <w:r w:rsidRPr="00BC0732">
        <w:rPr>
          <w:rFonts w:eastAsia="Times New Roman" w:cs="Times New Roman"/>
          <w:szCs w:val="20"/>
          <w:lang w:eastAsia="en-GB"/>
        </w:rPr>
        <w:t>(2), 334-339.</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Wallah, S. E., &amp; Rangan, B. V. (2006). Low-calcium fly ash-based geopolymer concrete: long-term properties. </w:t>
      </w:r>
      <w:r w:rsidRPr="00BC0732">
        <w:rPr>
          <w:rFonts w:eastAsia="Times New Roman" w:cs="Times New Roman"/>
          <w:i/>
          <w:iCs/>
          <w:szCs w:val="20"/>
          <w:lang w:eastAsia="en-GB"/>
        </w:rPr>
        <w:t>Res. Report-GC2, Curtin University, Australia. pp</w:t>
      </w:r>
      <w:r w:rsidRPr="00BC0732">
        <w:rPr>
          <w:rFonts w:eastAsia="Times New Roman" w:cs="Times New Roman"/>
          <w:szCs w:val="20"/>
          <w:lang w:eastAsia="en-GB"/>
        </w:rPr>
        <w:t>, 76-80.</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Duxson, P., Fernández-Jiménez, A., Provis, J. L., Lukey, G. C., Palomo, A., &amp; Van Deventer, J. S. J. (2007). Geopolymer technology: the current state of the art. </w:t>
      </w:r>
      <w:r w:rsidRPr="00BC0732">
        <w:rPr>
          <w:rFonts w:eastAsia="Times New Roman" w:cs="Times New Roman"/>
          <w:i/>
          <w:iCs/>
          <w:szCs w:val="20"/>
          <w:lang w:eastAsia="en-GB"/>
        </w:rPr>
        <w:t>Journal of Materials Science</w:t>
      </w:r>
      <w:r w:rsidRPr="00BC0732">
        <w:rPr>
          <w:rFonts w:eastAsia="Times New Roman" w:cs="Times New Roman"/>
          <w:szCs w:val="20"/>
          <w:lang w:eastAsia="en-GB"/>
        </w:rPr>
        <w:t xml:space="preserve">, </w:t>
      </w:r>
      <w:r w:rsidRPr="00BC0732">
        <w:rPr>
          <w:rFonts w:eastAsia="Times New Roman" w:cs="Times New Roman"/>
          <w:i/>
          <w:iCs/>
          <w:szCs w:val="20"/>
          <w:lang w:eastAsia="en-GB"/>
        </w:rPr>
        <w:t>42</w:t>
      </w:r>
      <w:r w:rsidRPr="00BC0732">
        <w:rPr>
          <w:rFonts w:eastAsia="Times New Roman" w:cs="Times New Roman"/>
          <w:szCs w:val="20"/>
          <w:lang w:eastAsia="en-GB"/>
        </w:rPr>
        <w:t>(9), 2917-2933.</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val="fr-FR" w:eastAsia="en-GB"/>
        </w:rPr>
        <w:t xml:space="preserve">Andini, S., Cioffi, R., Colangelo, F., Grieco, T., Montagnaro, F., &amp; Santoro, L. (2008). </w:t>
      </w:r>
      <w:r w:rsidRPr="00BC0732">
        <w:rPr>
          <w:rFonts w:eastAsia="Times New Roman" w:cs="Times New Roman"/>
          <w:szCs w:val="20"/>
          <w:lang w:eastAsia="en-GB"/>
        </w:rPr>
        <w:t xml:space="preserve">Coal fly ash as raw material for the manufacture of geopolymer-based products. </w:t>
      </w:r>
      <w:r w:rsidRPr="00BC0732">
        <w:rPr>
          <w:rFonts w:eastAsia="Times New Roman" w:cs="Times New Roman"/>
          <w:i/>
          <w:iCs/>
          <w:szCs w:val="20"/>
          <w:lang w:eastAsia="en-GB"/>
        </w:rPr>
        <w:t>Waste management</w:t>
      </w:r>
      <w:r w:rsidRPr="00BC0732">
        <w:rPr>
          <w:rFonts w:eastAsia="Times New Roman" w:cs="Times New Roman"/>
          <w:szCs w:val="20"/>
          <w:lang w:eastAsia="en-GB"/>
        </w:rPr>
        <w:t xml:space="preserve">, </w:t>
      </w:r>
      <w:r w:rsidRPr="00BC0732">
        <w:rPr>
          <w:rFonts w:eastAsia="Times New Roman" w:cs="Times New Roman"/>
          <w:i/>
          <w:iCs/>
          <w:szCs w:val="20"/>
          <w:lang w:eastAsia="en-GB"/>
        </w:rPr>
        <w:t>28</w:t>
      </w:r>
      <w:r w:rsidRPr="00BC0732">
        <w:rPr>
          <w:rFonts w:eastAsia="Times New Roman" w:cs="Times New Roman"/>
          <w:szCs w:val="20"/>
          <w:lang w:eastAsia="en-GB"/>
        </w:rPr>
        <w:t>(2), 416-423.</w:t>
      </w:r>
    </w:p>
    <w:p w:rsidR="00EE166E" w:rsidRPr="00BC0732" w:rsidRDefault="00EE166E"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Duxson, P., Provis, J. L., Lukey, G. C., &amp; Van Deventer, J. S. (2007). The role of inorganic polymer technology in the development of ‘green concrete’.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37</w:t>
      </w:r>
      <w:r w:rsidRPr="00BC0732">
        <w:rPr>
          <w:rFonts w:eastAsia="Times New Roman" w:cs="Times New Roman"/>
          <w:szCs w:val="20"/>
          <w:lang w:eastAsia="en-GB"/>
        </w:rPr>
        <w:t>(12), 1590-1597.</w:t>
      </w:r>
    </w:p>
    <w:p w:rsidR="0042773A" w:rsidRPr="00BC0732" w:rsidRDefault="0042773A" w:rsidP="00F842ED">
      <w:pPr>
        <w:pStyle w:val="NormalWeb"/>
        <w:numPr>
          <w:ilvl w:val="0"/>
          <w:numId w:val="6"/>
        </w:numPr>
        <w:spacing w:line="480" w:lineRule="auto"/>
        <w:ind w:hanging="578"/>
        <w:rPr>
          <w:rFonts w:asciiTheme="minorHAnsi" w:hAnsiTheme="minorHAnsi"/>
          <w:noProof/>
          <w:sz w:val="20"/>
          <w:szCs w:val="20"/>
        </w:rPr>
      </w:pPr>
      <w:r w:rsidRPr="00BC0732">
        <w:rPr>
          <w:rFonts w:asciiTheme="minorHAnsi" w:hAnsiTheme="minorHAnsi"/>
          <w:noProof/>
          <w:sz w:val="20"/>
          <w:szCs w:val="20"/>
        </w:rPr>
        <w:lastRenderedPageBreak/>
        <w:t xml:space="preserve">Soutsos, M.N., Vinai, R., </w:t>
      </w:r>
      <w:r w:rsidR="003C0270" w:rsidRPr="00BC0732">
        <w:rPr>
          <w:rFonts w:asciiTheme="minorHAnsi" w:hAnsiTheme="minorHAnsi"/>
          <w:noProof/>
          <w:sz w:val="20"/>
          <w:szCs w:val="20"/>
        </w:rPr>
        <w:t>&amp;</w:t>
      </w:r>
      <w:r w:rsidRPr="00BC0732">
        <w:rPr>
          <w:rFonts w:asciiTheme="minorHAnsi" w:hAnsiTheme="minorHAnsi"/>
          <w:noProof/>
          <w:sz w:val="20"/>
          <w:szCs w:val="20"/>
        </w:rPr>
        <w:t xml:space="preserve"> Rafeet, A. (2015).  Effect of alkali dosage and modulus on strength development and microstructure of alkali-activated binders. </w:t>
      </w:r>
      <w:r w:rsidRPr="00BC0732">
        <w:rPr>
          <w:rFonts w:asciiTheme="minorHAnsi" w:hAnsiTheme="minorHAnsi"/>
          <w:i/>
          <w:noProof/>
          <w:sz w:val="20"/>
          <w:szCs w:val="20"/>
        </w:rPr>
        <w:t>14</w:t>
      </w:r>
      <w:r w:rsidRPr="00BC0732">
        <w:rPr>
          <w:rFonts w:asciiTheme="minorHAnsi" w:hAnsiTheme="minorHAnsi"/>
          <w:i/>
          <w:noProof/>
          <w:sz w:val="20"/>
          <w:szCs w:val="20"/>
          <w:vertAlign w:val="superscript"/>
        </w:rPr>
        <w:t>th</w:t>
      </w:r>
      <w:r w:rsidRPr="00BC0732">
        <w:rPr>
          <w:rFonts w:asciiTheme="minorHAnsi" w:hAnsiTheme="minorHAnsi"/>
          <w:i/>
          <w:noProof/>
          <w:sz w:val="20"/>
          <w:szCs w:val="20"/>
        </w:rPr>
        <w:t xml:space="preserve"> International Congress on the Chemistry of Cement (ICCC 2015)</w:t>
      </w:r>
      <w:r w:rsidRPr="00BC0732">
        <w:rPr>
          <w:rFonts w:asciiTheme="minorHAnsi" w:hAnsiTheme="minorHAnsi"/>
          <w:noProof/>
          <w:sz w:val="20"/>
          <w:szCs w:val="20"/>
        </w:rPr>
        <w:t>, 13-16 October 2015, Beijing, China</w:t>
      </w:r>
    </w:p>
    <w:p w:rsidR="0042773A" w:rsidRPr="00BC0732" w:rsidRDefault="0042773A" w:rsidP="00F842ED">
      <w:pPr>
        <w:pStyle w:val="ListParagraph"/>
        <w:numPr>
          <w:ilvl w:val="0"/>
          <w:numId w:val="6"/>
        </w:numPr>
        <w:ind w:hanging="578"/>
        <w:rPr>
          <w:rFonts w:cs="Times New Roman"/>
          <w:szCs w:val="20"/>
        </w:rPr>
      </w:pPr>
      <w:r w:rsidRPr="00BC0732">
        <w:rPr>
          <w:rFonts w:cs="Times New Roman"/>
          <w:szCs w:val="20"/>
        </w:rPr>
        <w:t xml:space="preserve">Department of Energy &amp; Climate Change, Electricity: chapter 5, Digest of United Kingdom energy statistics (DUKES). </w:t>
      </w:r>
      <w:hyperlink r:id="rId25" w:history="1">
        <w:r w:rsidRPr="00BC0732">
          <w:rPr>
            <w:rStyle w:val="Hyperlink"/>
            <w:rFonts w:cs="Times New Roman"/>
            <w:szCs w:val="20"/>
          </w:rPr>
          <w:t>https://www.gov.uk/government/statistics/electricity-chapter-5-digest-of-united-kingdom-energy-statistics-dukes</w:t>
        </w:r>
      </w:hyperlink>
      <w:r w:rsidRPr="00BC0732">
        <w:rPr>
          <w:rFonts w:cs="Times New Roman"/>
          <w:szCs w:val="20"/>
        </w:rPr>
        <w:t>. Accessed on 17 June 2015.</w:t>
      </w:r>
    </w:p>
    <w:p w:rsidR="009E0F14" w:rsidRPr="00BC0732" w:rsidRDefault="009E0F14" w:rsidP="00F842ED">
      <w:pPr>
        <w:pStyle w:val="ListParagraph"/>
        <w:numPr>
          <w:ilvl w:val="0"/>
          <w:numId w:val="6"/>
        </w:numPr>
        <w:ind w:hanging="578"/>
        <w:rPr>
          <w:rFonts w:cs="Times New Roman"/>
          <w:szCs w:val="20"/>
        </w:rPr>
      </w:pPr>
      <w:r w:rsidRPr="00BC0732">
        <w:rPr>
          <w:rFonts w:cs="Times New Roman"/>
          <w:szCs w:val="20"/>
        </w:rPr>
        <w:t xml:space="preserve">Heath, A., Paine, K., Goodhew, S., Ramage, M., &amp; Lawrence, M. (2013). The potential for using geopolymer concrete in the UK. </w:t>
      </w:r>
      <w:r w:rsidRPr="00BC0732">
        <w:rPr>
          <w:rFonts w:cs="Times New Roman"/>
          <w:i/>
          <w:iCs/>
          <w:szCs w:val="20"/>
        </w:rPr>
        <w:t>Proceedings of the Institution of Civil Engineers: Construction Materials</w:t>
      </w:r>
      <w:r w:rsidRPr="00BC0732">
        <w:rPr>
          <w:rFonts w:cs="Times New Roman"/>
          <w:szCs w:val="20"/>
        </w:rPr>
        <w:t xml:space="preserve">, </w:t>
      </w:r>
      <w:r w:rsidRPr="00BC0732">
        <w:rPr>
          <w:rFonts w:cs="Times New Roman"/>
          <w:i/>
          <w:iCs/>
          <w:szCs w:val="20"/>
        </w:rPr>
        <w:t>166</w:t>
      </w:r>
      <w:r w:rsidRPr="00BC0732">
        <w:rPr>
          <w:rFonts w:cs="Times New Roman"/>
          <w:szCs w:val="20"/>
        </w:rPr>
        <w:t>(4), 195-203.</w:t>
      </w:r>
    </w:p>
    <w:p w:rsidR="003C0270" w:rsidRPr="00BC0732" w:rsidRDefault="003C0270"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val="fr-FR" w:eastAsia="en-GB"/>
        </w:rPr>
        <w:t xml:space="preserve">Puertas, F., &amp; Fernández-Jiménez, A. (2003). </w:t>
      </w:r>
      <w:r w:rsidRPr="00BC0732">
        <w:rPr>
          <w:rFonts w:eastAsia="Times New Roman" w:cs="Times New Roman"/>
          <w:szCs w:val="20"/>
          <w:lang w:eastAsia="en-GB"/>
        </w:rPr>
        <w:t xml:space="preserve">Mineralogical and microstructural characterisation of alkali-activated fly ash/slag pastes. </w:t>
      </w:r>
      <w:r w:rsidRPr="00BC0732">
        <w:rPr>
          <w:rFonts w:eastAsia="Times New Roman" w:cs="Times New Roman"/>
          <w:i/>
          <w:iCs/>
          <w:szCs w:val="20"/>
          <w:lang w:eastAsia="en-GB"/>
        </w:rPr>
        <w:t>Cement and Concrete composites</w:t>
      </w:r>
      <w:r w:rsidRPr="00BC0732">
        <w:rPr>
          <w:rFonts w:eastAsia="Times New Roman" w:cs="Times New Roman"/>
          <w:szCs w:val="20"/>
          <w:lang w:eastAsia="en-GB"/>
        </w:rPr>
        <w:t xml:space="preserve">, </w:t>
      </w:r>
      <w:r w:rsidRPr="00BC0732">
        <w:rPr>
          <w:rFonts w:eastAsia="Times New Roman" w:cs="Times New Roman"/>
          <w:i/>
          <w:iCs/>
          <w:szCs w:val="20"/>
          <w:lang w:eastAsia="en-GB"/>
        </w:rPr>
        <w:t>25</w:t>
      </w:r>
      <w:r w:rsidRPr="00BC0732">
        <w:rPr>
          <w:rFonts w:eastAsia="Times New Roman" w:cs="Times New Roman"/>
          <w:szCs w:val="20"/>
          <w:lang w:eastAsia="en-GB"/>
        </w:rPr>
        <w:t>(3), 287-292.</w:t>
      </w:r>
    </w:p>
    <w:p w:rsidR="003C0270" w:rsidRPr="00BC0732" w:rsidRDefault="003C0270"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val="fr-FR" w:eastAsia="en-GB"/>
        </w:rPr>
        <w:t xml:space="preserve">Puertas, F., Martı́nez-Ramı́rez, S., Alonso, S., &amp; Vazquez, T. (2000). </w:t>
      </w:r>
      <w:r w:rsidRPr="00BC0732">
        <w:rPr>
          <w:rFonts w:eastAsia="Times New Roman" w:cs="Times New Roman"/>
          <w:szCs w:val="20"/>
          <w:lang w:eastAsia="en-GB"/>
        </w:rPr>
        <w:t xml:space="preserve">Alkali-activated fly ash/slag cements: strength behaviour and hydration products.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30</w:t>
      </w:r>
      <w:r w:rsidRPr="00BC0732">
        <w:rPr>
          <w:rFonts w:eastAsia="Times New Roman" w:cs="Times New Roman"/>
          <w:szCs w:val="20"/>
          <w:lang w:eastAsia="en-GB"/>
        </w:rPr>
        <w:t>(10), 1625-1632.</w:t>
      </w:r>
    </w:p>
    <w:p w:rsidR="003C0270" w:rsidRPr="00BC0732" w:rsidRDefault="003C0270"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Puligilla, S., &amp; Mondal, P. (2013). Role of slag in microstructural development and hardening of fly ash-slag geopolymer.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43</w:t>
      </w:r>
      <w:r w:rsidRPr="00BC0732">
        <w:rPr>
          <w:rFonts w:eastAsia="Times New Roman" w:cs="Times New Roman"/>
          <w:szCs w:val="20"/>
          <w:lang w:eastAsia="en-GB"/>
        </w:rPr>
        <w:t>, 70-80.</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Ismail, I., Bernal, S. A., Provis, J. L., San Nicolas, R., Hamdan, S., &amp; van Deventer, J. S. (2014). Modification of phase evolution in alkali-activated blast furnace slag by the incorporation of fly ash. </w:t>
      </w:r>
      <w:r w:rsidRPr="00BC0732">
        <w:rPr>
          <w:rFonts w:eastAsia="Times New Roman" w:cs="Times New Roman"/>
          <w:i/>
          <w:iCs/>
          <w:szCs w:val="20"/>
          <w:lang w:eastAsia="en-GB"/>
        </w:rPr>
        <w:t>Cement and Concrete Composites</w:t>
      </w:r>
      <w:r w:rsidRPr="00BC0732">
        <w:rPr>
          <w:rFonts w:eastAsia="Times New Roman" w:cs="Times New Roman"/>
          <w:szCs w:val="20"/>
          <w:lang w:eastAsia="en-GB"/>
        </w:rPr>
        <w:t xml:space="preserve">, </w:t>
      </w:r>
      <w:r w:rsidRPr="00BC0732">
        <w:rPr>
          <w:rFonts w:eastAsia="Times New Roman" w:cs="Times New Roman"/>
          <w:i/>
          <w:iCs/>
          <w:szCs w:val="20"/>
          <w:lang w:eastAsia="en-GB"/>
        </w:rPr>
        <w:t>45</w:t>
      </w:r>
      <w:r w:rsidRPr="00BC0732">
        <w:rPr>
          <w:rFonts w:eastAsia="Times New Roman" w:cs="Times New Roman"/>
          <w:szCs w:val="20"/>
          <w:lang w:eastAsia="en-GB"/>
        </w:rPr>
        <w:t>, 125-135.</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Kumar, S., Kumar, R., &amp; Mehrotra, S. P. (2010). Influence of granulated blast furnace slag on the reaction, structure and properties of fly ash based geopolymer. </w:t>
      </w:r>
      <w:r w:rsidRPr="00BC0732">
        <w:rPr>
          <w:rFonts w:eastAsia="Times New Roman" w:cs="Times New Roman"/>
          <w:i/>
          <w:iCs/>
          <w:szCs w:val="20"/>
          <w:lang w:eastAsia="en-GB"/>
        </w:rPr>
        <w:t>Journal of Materials Science</w:t>
      </w:r>
      <w:r w:rsidRPr="00BC0732">
        <w:rPr>
          <w:rFonts w:eastAsia="Times New Roman" w:cs="Times New Roman"/>
          <w:szCs w:val="20"/>
          <w:lang w:eastAsia="en-GB"/>
        </w:rPr>
        <w:t xml:space="preserve">, </w:t>
      </w:r>
      <w:r w:rsidRPr="00BC0732">
        <w:rPr>
          <w:rFonts w:eastAsia="Times New Roman" w:cs="Times New Roman"/>
          <w:i/>
          <w:iCs/>
          <w:szCs w:val="20"/>
          <w:lang w:eastAsia="en-GB"/>
        </w:rPr>
        <w:t>45</w:t>
      </w:r>
      <w:r w:rsidRPr="00BC0732">
        <w:rPr>
          <w:rFonts w:eastAsia="Times New Roman" w:cs="Times New Roman"/>
          <w:szCs w:val="20"/>
          <w:lang w:eastAsia="en-GB"/>
        </w:rPr>
        <w:t>(3), 607-615.</w:t>
      </w:r>
    </w:p>
    <w:p w:rsidR="00DD3278" w:rsidRPr="00BC0732" w:rsidRDefault="00DD3278" w:rsidP="00F842ED">
      <w:pPr>
        <w:pStyle w:val="ListParagraph"/>
        <w:numPr>
          <w:ilvl w:val="0"/>
          <w:numId w:val="6"/>
        </w:numPr>
        <w:ind w:hanging="578"/>
        <w:rPr>
          <w:rFonts w:cs="Times New Roman"/>
          <w:szCs w:val="20"/>
        </w:rPr>
      </w:pPr>
      <w:r w:rsidRPr="00BC0732">
        <w:rPr>
          <w:rFonts w:cs="Times New Roman"/>
          <w:szCs w:val="20"/>
        </w:rPr>
        <w:t>British Standards Institution, Testing fresh concrete - Part 5: Flow table test, BS EN 12350-5:2000.</w:t>
      </w:r>
    </w:p>
    <w:p w:rsidR="008873D7" w:rsidRPr="00BC0732" w:rsidRDefault="008873D7" w:rsidP="00F842ED">
      <w:pPr>
        <w:pStyle w:val="ListParagraph"/>
        <w:numPr>
          <w:ilvl w:val="0"/>
          <w:numId w:val="6"/>
        </w:numPr>
        <w:ind w:hanging="578"/>
        <w:rPr>
          <w:rFonts w:cs="Times New Roman"/>
          <w:szCs w:val="20"/>
        </w:rPr>
      </w:pPr>
      <w:r w:rsidRPr="00BC0732">
        <w:rPr>
          <w:rFonts w:cs="Times New Roman"/>
          <w:szCs w:val="20"/>
        </w:rPr>
        <w:t>British Standards Institution, Fly ash for concrete. Definitions, specifications and conformity criteria, BS EN 450-1:2005 + A1:2007.</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Kumar, R., Kumar, S., &amp; Mehrotra, S. P. (2007). Towards sustainable solutions for fly ash through mechanical activation. </w:t>
      </w:r>
      <w:r w:rsidRPr="00BC0732">
        <w:rPr>
          <w:rFonts w:eastAsia="Times New Roman" w:cs="Times New Roman"/>
          <w:i/>
          <w:iCs/>
          <w:szCs w:val="20"/>
          <w:lang w:eastAsia="en-GB"/>
        </w:rPr>
        <w:t>Resources, Conservation and Recycling</w:t>
      </w:r>
      <w:r w:rsidRPr="00BC0732">
        <w:rPr>
          <w:rFonts w:eastAsia="Times New Roman" w:cs="Times New Roman"/>
          <w:szCs w:val="20"/>
          <w:lang w:eastAsia="en-GB"/>
        </w:rPr>
        <w:t xml:space="preserve">, </w:t>
      </w:r>
      <w:r w:rsidRPr="00BC0732">
        <w:rPr>
          <w:rFonts w:eastAsia="Times New Roman" w:cs="Times New Roman"/>
          <w:i/>
          <w:iCs/>
          <w:szCs w:val="20"/>
          <w:lang w:eastAsia="en-GB"/>
        </w:rPr>
        <w:t>52</w:t>
      </w:r>
      <w:r w:rsidRPr="00BC0732">
        <w:rPr>
          <w:rFonts w:eastAsia="Times New Roman" w:cs="Times New Roman"/>
          <w:szCs w:val="20"/>
          <w:lang w:eastAsia="en-GB"/>
        </w:rPr>
        <w:t>(2), 157-179.</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lastRenderedPageBreak/>
        <w:t>Escalante</w:t>
      </w:r>
      <w:r w:rsidRPr="00BC0732">
        <w:rPr>
          <w:rFonts w:eastAsia="Times New Roman" w:cs="Cambria Math"/>
          <w:szCs w:val="20"/>
          <w:lang w:eastAsia="en-GB"/>
        </w:rPr>
        <w:t>‐</w:t>
      </w:r>
      <w:r w:rsidRPr="00BC0732">
        <w:rPr>
          <w:rFonts w:eastAsia="Times New Roman" w:cs="Times New Roman"/>
          <w:szCs w:val="20"/>
          <w:lang w:eastAsia="en-GB"/>
        </w:rPr>
        <w:t>García, J. I., Fuentes, A. F., Gorokhovsky, A., Fraire</w:t>
      </w:r>
      <w:r w:rsidRPr="00BC0732">
        <w:rPr>
          <w:rFonts w:eastAsia="Times New Roman" w:cs="Cambria Math"/>
          <w:szCs w:val="20"/>
          <w:lang w:eastAsia="en-GB"/>
        </w:rPr>
        <w:t>‐</w:t>
      </w:r>
      <w:r w:rsidRPr="00BC0732">
        <w:rPr>
          <w:rFonts w:eastAsia="Times New Roman" w:cs="Times New Roman"/>
          <w:szCs w:val="20"/>
          <w:lang w:eastAsia="en-GB"/>
        </w:rPr>
        <w:t>Luna, P. E., &amp; Mendoza</w:t>
      </w:r>
      <w:r w:rsidRPr="00BC0732">
        <w:rPr>
          <w:rFonts w:eastAsia="Times New Roman" w:cs="Cambria Math"/>
          <w:szCs w:val="20"/>
          <w:lang w:eastAsia="en-GB"/>
        </w:rPr>
        <w:t>‐</w:t>
      </w:r>
      <w:r w:rsidRPr="00BC0732">
        <w:rPr>
          <w:rFonts w:eastAsia="Times New Roman" w:cs="Times New Roman"/>
          <w:szCs w:val="20"/>
          <w:lang w:eastAsia="en-GB"/>
        </w:rPr>
        <w:t>Suarez, G. (2003). Hydration Products and Reactivity of Blast</w:t>
      </w:r>
      <w:r w:rsidRPr="00BC0732">
        <w:rPr>
          <w:rFonts w:eastAsia="Times New Roman" w:cs="Cambria Math"/>
          <w:szCs w:val="20"/>
          <w:lang w:eastAsia="en-GB"/>
        </w:rPr>
        <w:t>‐</w:t>
      </w:r>
      <w:r w:rsidRPr="00BC0732">
        <w:rPr>
          <w:rFonts w:eastAsia="Times New Roman" w:cs="Times New Roman"/>
          <w:szCs w:val="20"/>
          <w:lang w:eastAsia="en-GB"/>
        </w:rPr>
        <w:t xml:space="preserve">Furnace Slag Activated by Various Alkalis. </w:t>
      </w:r>
      <w:r w:rsidRPr="00BC0732">
        <w:rPr>
          <w:rFonts w:eastAsia="Times New Roman" w:cs="Times New Roman"/>
          <w:i/>
          <w:iCs/>
          <w:szCs w:val="20"/>
          <w:lang w:eastAsia="en-GB"/>
        </w:rPr>
        <w:t>Journal of the American Ceramic Society</w:t>
      </w:r>
      <w:r w:rsidRPr="00BC0732">
        <w:rPr>
          <w:rFonts w:eastAsia="Times New Roman" w:cs="Times New Roman"/>
          <w:szCs w:val="20"/>
          <w:lang w:eastAsia="en-GB"/>
        </w:rPr>
        <w:t xml:space="preserve">, </w:t>
      </w:r>
      <w:r w:rsidRPr="00BC0732">
        <w:rPr>
          <w:rFonts w:eastAsia="Times New Roman" w:cs="Times New Roman"/>
          <w:i/>
          <w:iCs/>
          <w:szCs w:val="20"/>
          <w:lang w:eastAsia="en-GB"/>
        </w:rPr>
        <w:t>86</w:t>
      </w:r>
      <w:r w:rsidRPr="00BC0732">
        <w:rPr>
          <w:rFonts w:eastAsia="Times New Roman" w:cs="Times New Roman"/>
          <w:szCs w:val="20"/>
          <w:lang w:eastAsia="en-GB"/>
        </w:rPr>
        <w:t>(12), 2148-2153.</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Richardson, I. G., Brough, A. R., Groves, G. W., &amp; Dobson, C. M. (1994). The characterization of hardened alkali-activated blast-furnace slag pastes and the nature of the calcium silicate hydrate (CSH) phase.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24</w:t>
      </w:r>
      <w:r w:rsidRPr="00BC0732">
        <w:rPr>
          <w:rFonts w:eastAsia="Times New Roman" w:cs="Times New Roman"/>
          <w:szCs w:val="20"/>
          <w:lang w:eastAsia="en-GB"/>
        </w:rPr>
        <w:t>(5), 813-829.</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Ismail, I. (2013). Durability as a function of microstructure of alkali-activated slag/fly ash binders, PhD thesis, University of Melbourne.</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Richardson, I. G. (1999). The nature of CSH in hardened cements.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29</w:t>
      </w:r>
      <w:r w:rsidRPr="00BC0732">
        <w:rPr>
          <w:rFonts w:eastAsia="Times New Roman" w:cs="Times New Roman"/>
          <w:szCs w:val="20"/>
          <w:lang w:eastAsia="en-GB"/>
        </w:rPr>
        <w:t>(8), 1131-1147.</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Provis, J. L. (2014). Geopolymers and other alkali activated materials: why, how, and what? </w:t>
      </w:r>
      <w:r w:rsidRPr="00BC0732">
        <w:rPr>
          <w:rFonts w:eastAsia="Times New Roman" w:cs="Times New Roman"/>
          <w:i/>
          <w:iCs/>
          <w:szCs w:val="20"/>
          <w:lang w:eastAsia="en-GB"/>
        </w:rPr>
        <w:t>Materials and structures</w:t>
      </w:r>
      <w:r w:rsidRPr="00BC0732">
        <w:rPr>
          <w:rFonts w:eastAsia="Times New Roman" w:cs="Times New Roman"/>
          <w:szCs w:val="20"/>
          <w:lang w:eastAsia="en-GB"/>
        </w:rPr>
        <w:t xml:space="preserve">, </w:t>
      </w:r>
      <w:r w:rsidRPr="00BC0732">
        <w:rPr>
          <w:rFonts w:eastAsia="Times New Roman" w:cs="Times New Roman"/>
          <w:i/>
          <w:iCs/>
          <w:szCs w:val="20"/>
          <w:lang w:eastAsia="en-GB"/>
        </w:rPr>
        <w:t>47</w:t>
      </w:r>
      <w:r w:rsidRPr="00BC0732">
        <w:rPr>
          <w:rFonts w:eastAsia="Times New Roman" w:cs="Times New Roman"/>
          <w:szCs w:val="20"/>
          <w:lang w:eastAsia="en-GB"/>
        </w:rPr>
        <w:t>(1-2), 11-25.</w:t>
      </w:r>
    </w:p>
    <w:p w:rsidR="00F842ED"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 xml:space="preserve">Yip, C. K., Lukey, G. C., &amp; Van Deventer, J. S. J. (2005). The coexistence of geopolymeric gel and calcium silicate hydrate at the early stage of alkaline activation.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35</w:t>
      </w:r>
      <w:r w:rsidRPr="00BC0732">
        <w:rPr>
          <w:rFonts w:eastAsia="Times New Roman" w:cs="Times New Roman"/>
          <w:szCs w:val="20"/>
          <w:lang w:eastAsia="en-GB"/>
        </w:rPr>
        <w:t>(9), 1688-1697.</w:t>
      </w:r>
    </w:p>
    <w:p w:rsidR="00692ECA" w:rsidRPr="00BC0732" w:rsidRDefault="00F842ED" w:rsidP="00F842ED">
      <w:pPr>
        <w:pStyle w:val="ListParagraph"/>
        <w:numPr>
          <w:ilvl w:val="0"/>
          <w:numId w:val="6"/>
        </w:numPr>
        <w:spacing w:after="0"/>
        <w:ind w:hanging="578"/>
        <w:rPr>
          <w:rFonts w:eastAsia="Times New Roman" w:cs="Times New Roman"/>
          <w:szCs w:val="20"/>
          <w:lang w:eastAsia="en-GB"/>
        </w:rPr>
      </w:pPr>
      <w:r w:rsidRPr="00BC0732">
        <w:rPr>
          <w:rFonts w:eastAsia="Times New Roman" w:cs="Times New Roman"/>
          <w:szCs w:val="20"/>
          <w:lang w:eastAsia="en-GB"/>
        </w:rPr>
        <w:t>Garcia-Lodeiro, I., Palomo, A., Fernández-Jiménez, A., &amp; Macphee, D. E. (2011). Compatibility studies between NASH and CASH gels. Study in the ternary diagram Na</w:t>
      </w:r>
      <w:r w:rsidRPr="00BC0732">
        <w:rPr>
          <w:rFonts w:eastAsia="Times New Roman" w:cs="Times New Roman"/>
          <w:szCs w:val="20"/>
          <w:vertAlign w:val="subscript"/>
          <w:lang w:eastAsia="en-GB"/>
        </w:rPr>
        <w:t>2</w:t>
      </w:r>
      <w:r w:rsidRPr="00BC0732">
        <w:rPr>
          <w:rFonts w:eastAsia="Times New Roman" w:cs="Times New Roman"/>
          <w:szCs w:val="20"/>
          <w:lang w:eastAsia="en-GB"/>
        </w:rPr>
        <w:t>O–CaO–Al</w:t>
      </w:r>
      <w:r w:rsidRPr="00BC0732">
        <w:rPr>
          <w:rFonts w:eastAsia="Times New Roman" w:cs="Times New Roman"/>
          <w:szCs w:val="20"/>
          <w:vertAlign w:val="subscript"/>
          <w:lang w:eastAsia="en-GB"/>
        </w:rPr>
        <w:t>2</w:t>
      </w:r>
      <w:r w:rsidRPr="00BC0732">
        <w:rPr>
          <w:rFonts w:eastAsia="Times New Roman" w:cs="Times New Roman"/>
          <w:szCs w:val="20"/>
          <w:lang w:eastAsia="en-GB"/>
        </w:rPr>
        <w:t>O</w:t>
      </w:r>
      <w:r w:rsidRPr="00BC0732">
        <w:rPr>
          <w:rFonts w:eastAsia="Times New Roman" w:cs="Times New Roman"/>
          <w:szCs w:val="20"/>
          <w:vertAlign w:val="subscript"/>
          <w:lang w:eastAsia="en-GB"/>
        </w:rPr>
        <w:t>3</w:t>
      </w:r>
      <w:r w:rsidRPr="00BC0732">
        <w:rPr>
          <w:rFonts w:eastAsia="Times New Roman" w:cs="Times New Roman"/>
          <w:szCs w:val="20"/>
          <w:lang w:eastAsia="en-GB"/>
        </w:rPr>
        <w:t>–SiO</w:t>
      </w:r>
      <w:r w:rsidRPr="00BC0732">
        <w:rPr>
          <w:rFonts w:eastAsia="Times New Roman" w:cs="Times New Roman"/>
          <w:szCs w:val="20"/>
          <w:vertAlign w:val="subscript"/>
          <w:lang w:eastAsia="en-GB"/>
        </w:rPr>
        <w:t>2</w:t>
      </w:r>
      <w:r w:rsidRPr="00BC0732">
        <w:rPr>
          <w:rFonts w:eastAsia="Times New Roman" w:cs="Times New Roman"/>
          <w:szCs w:val="20"/>
          <w:lang w:eastAsia="en-GB"/>
        </w:rPr>
        <w:t>–H</w:t>
      </w:r>
      <w:r w:rsidRPr="00BC0732">
        <w:rPr>
          <w:rFonts w:eastAsia="Times New Roman" w:cs="Times New Roman"/>
          <w:szCs w:val="20"/>
          <w:vertAlign w:val="subscript"/>
          <w:lang w:eastAsia="en-GB"/>
        </w:rPr>
        <w:t>2</w:t>
      </w:r>
      <w:r w:rsidRPr="00BC0732">
        <w:rPr>
          <w:rFonts w:eastAsia="Times New Roman" w:cs="Times New Roman"/>
          <w:szCs w:val="20"/>
          <w:lang w:eastAsia="en-GB"/>
        </w:rPr>
        <w:t xml:space="preserve">O. </w:t>
      </w:r>
      <w:r w:rsidRPr="00BC0732">
        <w:rPr>
          <w:rFonts w:eastAsia="Times New Roman" w:cs="Times New Roman"/>
          <w:i/>
          <w:iCs/>
          <w:szCs w:val="20"/>
          <w:lang w:eastAsia="en-GB"/>
        </w:rPr>
        <w:t>Cement and Concrete Research</w:t>
      </w:r>
      <w:r w:rsidRPr="00BC0732">
        <w:rPr>
          <w:rFonts w:eastAsia="Times New Roman" w:cs="Times New Roman"/>
          <w:szCs w:val="20"/>
          <w:lang w:eastAsia="en-GB"/>
        </w:rPr>
        <w:t xml:space="preserve">, </w:t>
      </w:r>
      <w:r w:rsidRPr="00BC0732">
        <w:rPr>
          <w:rFonts w:eastAsia="Times New Roman" w:cs="Times New Roman"/>
          <w:i/>
          <w:iCs/>
          <w:szCs w:val="20"/>
          <w:lang w:eastAsia="en-GB"/>
        </w:rPr>
        <w:t>41</w:t>
      </w:r>
      <w:r w:rsidRPr="00BC0732">
        <w:rPr>
          <w:rFonts w:eastAsia="Times New Roman" w:cs="Times New Roman"/>
          <w:szCs w:val="20"/>
          <w:lang w:eastAsia="en-GB"/>
        </w:rPr>
        <w:t>(9), 923-931.</w:t>
      </w:r>
    </w:p>
    <w:sectPr w:rsidR="00692ECA" w:rsidRPr="00BC0732" w:rsidSect="00B83BBF">
      <w:footerReference w:type="default" r:id="rId26"/>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9E8319" w15:done="0"/>
  <w15:commentEx w15:paraId="2DE8F079" w15:done="0"/>
  <w15:commentEx w15:paraId="3BB21D55" w15:done="0"/>
  <w15:commentEx w15:paraId="51AB3BF5" w15:done="0"/>
  <w15:commentEx w15:paraId="14A4C70B" w15:done="0"/>
  <w15:commentEx w15:paraId="45D8CD73" w15:done="0"/>
  <w15:commentEx w15:paraId="078F3002" w15:done="0"/>
  <w15:commentEx w15:paraId="58EE42F4" w15:done="0"/>
  <w15:commentEx w15:paraId="46F4AE97" w15:done="0"/>
  <w15:commentEx w15:paraId="17D6B198" w15:done="0"/>
  <w15:commentEx w15:paraId="09575C73" w15:done="0"/>
  <w15:commentEx w15:paraId="129D1324" w15:done="0"/>
  <w15:commentEx w15:paraId="5F3095D7" w15:done="0"/>
  <w15:commentEx w15:paraId="54493E04" w15:done="0"/>
  <w15:commentEx w15:paraId="0ADF3E3D" w15:done="0"/>
  <w15:commentEx w15:paraId="78308236" w15:done="0"/>
  <w15:commentEx w15:paraId="2A3F36DC" w15:done="0"/>
  <w15:commentEx w15:paraId="62C6334F" w15:done="0"/>
  <w15:commentEx w15:paraId="2E5DCF38" w15:done="0"/>
  <w15:commentEx w15:paraId="64079B28" w15:done="0"/>
  <w15:commentEx w15:paraId="5C8877AE" w15:done="0"/>
  <w15:commentEx w15:paraId="0CAD1C61" w15:done="0"/>
  <w15:commentEx w15:paraId="6B2EDEDB" w15:done="0"/>
  <w15:commentEx w15:paraId="625BE1BF" w15:done="0"/>
  <w15:commentEx w15:paraId="2AA1942F" w15:done="0"/>
  <w15:commentEx w15:paraId="2AC3FB9A" w15:done="0"/>
  <w15:commentEx w15:paraId="5D80D4CE" w15:done="0"/>
  <w15:commentEx w15:paraId="25E16C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818" w:rsidRDefault="00DB6818" w:rsidP="002D3EF0">
      <w:pPr>
        <w:spacing w:after="0" w:line="240" w:lineRule="auto"/>
      </w:pPr>
      <w:r>
        <w:separator/>
      </w:r>
    </w:p>
  </w:endnote>
  <w:endnote w:type="continuationSeparator" w:id="0">
    <w:p w:rsidR="00DB6818" w:rsidRDefault="00DB6818" w:rsidP="002D3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77651"/>
      <w:docPartObj>
        <w:docPartGallery w:val="Page Numbers (Bottom of Page)"/>
        <w:docPartUnique/>
      </w:docPartObj>
    </w:sdtPr>
    <w:sdtEndPr>
      <w:rPr>
        <w:noProof/>
      </w:rPr>
    </w:sdtEndPr>
    <w:sdtContent>
      <w:p w:rsidR="00E0650F" w:rsidRDefault="00E0650F">
        <w:pPr>
          <w:pStyle w:val="Footer"/>
          <w:jc w:val="right"/>
        </w:pPr>
        <w:r>
          <w:fldChar w:fldCharType="begin"/>
        </w:r>
        <w:r>
          <w:instrText xml:space="preserve"> PAGE   \* MERGEFORMAT </w:instrText>
        </w:r>
        <w:r>
          <w:fldChar w:fldCharType="separate"/>
        </w:r>
        <w:r w:rsidR="00C429D4">
          <w:rPr>
            <w:noProof/>
          </w:rPr>
          <w:t>24</w:t>
        </w:r>
        <w:r>
          <w:rPr>
            <w:noProof/>
          </w:rPr>
          <w:fldChar w:fldCharType="end"/>
        </w:r>
      </w:p>
    </w:sdtContent>
  </w:sdt>
  <w:p w:rsidR="00E0650F" w:rsidRDefault="00E065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818" w:rsidRDefault="00DB6818" w:rsidP="002D3EF0">
      <w:pPr>
        <w:spacing w:after="0" w:line="240" w:lineRule="auto"/>
      </w:pPr>
      <w:r>
        <w:separator/>
      </w:r>
    </w:p>
  </w:footnote>
  <w:footnote w:type="continuationSeparator" w:id="0">
    <w:p w:rsidR="00DB6818" w:rsidRDefault="00DB6818" w:rsidP="002D3E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507D"/>
    <w:multiLevelType w:val="hybridMultilevel"/>
    <w:tmpl w:val="EA50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A05ED7"/>
    <w:multiLevelType w:val="hybridMultilevel"/>
    <w:tmpl w:val="5380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3B10CA"/>
    <w:multiLevelType w:val="hybridMultilevel"/>
    <w:tmpl w:val="8964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D14C43"/>
    <w:multiLevelType w:val="hybridMultilevel"/>
    <w:tmpl w:val="B512E8E6"/>
    <w:lvl w:ilvl="0" w:tplc="505C4E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6F73330"/>
    <w:multiLevelType w:val="multilevel"/>
    <w:tmpl w:val="AA8C34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8D253B0"/>
    <w:multiLevelType w:val="hybridMultilevel"/>
    <w:tmpl w:val="9C7CE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256333"/>
    <w:multiLevelType w:val="hybridMultilevel"/>
    <w:tmpl w:val="6D048A5A"/>
    <w:lvl w:ilvl="0" w:tplc="F9DE7622">
      <w:start w:val="3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2F236E"/>
    <w:multiLevelType w:val="hybridMultilevel"/>
    <w:tmpl w:val="D578E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6937AF5"/>
    <w:multiLevelType w:val="hybridMultilevel"/>
    <w:tmpl w:val="D8F4A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C9755FB"/>
    <w:multiLevelType w:val="hybridMultilevel"/>
    <w:tmpl w:val="9E92EB26"/>
    <w:lvl w:ilvl="0" w:tplc="7108D0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0624FB4"/>
    <w:multiLevelType w:val="multilevel"/>
    <w:tmpl w:val="D9AE8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0"/>
  </w:num>
  <w:num w:numId="2">
    <w:abstractNumId w:val="8"/>
  </w:num>
  <w:num w:numId="3">
    <w:abstractNumId w:val="1"/>
  </w:num>
  <w:num w:numId="4">
    <w:abstractNumId w:val="0"/>
  </w:num>
  <w:num w:numId="5">
    <w:abstractNumId w:val="6"/>
  </w:num>
  <w:num w:numId="6">
    <w:abstractNumId w:val="3"/>
  </w:num>
  <w:num w:numId="7">
    <w:abstractNumId w:val="9"/>
  </w:num>
  <w:num w:numId="8">
    <w:abstractNumId w:val="4"/>
  </w:num>
  <w:num w:numId="9">
    <w:abstractNumId w:val="7"/>
  </w:num>
  <w:num w:numId="10">
    <w:abstractNumId w:val="2"/>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yle, Alan">
    <w15:presenceInfo w15:providerId="AD" w15:userId="S-1-5-21-137024685-2204166116-4157399963-862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8873D7"/>
    <w:rsid w:val="000038FA"/>
    <w:rsid w:val="000213D7"/>
    <w:rsid w:val="000230AD"/>
    <w:rsid w:val="00031A8F"/>
    <w:rsid w:val="00034A09"/>
    <w:rsid w:val="0003587E"/>
    <w:rsid w:val="000408B0"/>
    <w:rsid w:val="00056737"/>
    <w:rsid w:val="000727E4"/>
    <w:rsid w:val="00072D65"/>
    <w:rsid w:val="00091994"/>
    <w:rsid w:val="000A2252"/>
    <w:rsid w:val="000A5A5F"/>
    <w:rsid w:val="000B5B5C"/>
    <w:rsid w:val="000C767F"/>
    <w:rsid w:val="000D2CBC"/>
    <w:rsid w:val="000D3A3D"/>
    <w:rsid w:val="000E1B7E"/>
    <w:rsid w:val="00134FFF"/>
    <w:rsid w:val="00137C49"/>
    <w:rsid w:val="00140705"/>
    <w:rsid w:val="001442DA"/>
    <w:rsid w:val="00150284"/>
    <w:rsid w:val="00154815"/>
    <w:rsid w:val="001550E6"/>
    <w:rsid w:val="00156C84"/>
    <w:rsid w:val="0017201C"/>
    <w:rsid w:val="00173B16"/>
    <w:rsid w:val="00174E55"/>
    <w:rsid w:val="0018588A"/>
    <w:rsid w:val="00186212"/>
    <w:rsid w:val="00187125"/>
    <w:rsid w:val="001935CC"/>
    <w:rsid w:val="001B28E8"/>
    <w:rsid w:val="001C1FA2"/>
    <w:rsid w:val="001C513A"/>
    <w:rsid w:val="001D1A76"/>
    <w:rsid w:val="001F236C"/>
    <w:rsid w:val="001F37B4"/>
    <w:rsid w:val="00205DE5"/>
    <w:rsid w:val="00237BE4"/>
    <w:rsid w:val="0024622A"/>
    <w:rsid w:val="00253CB4"/>
    <w:rsid w:val="00257485"/>
    <w:rsid w:val="00266A00"/>
    <w:rsid w:val="00267376"/>
    <w:rsid w:val="002751DE"/>
    <w:rsid w:val="00282D8A"/>
    <w:rsid w:val="002932AC"/>
    <w:rsid w:val="00294FDE"/>
    <w:rsid w:val="002A2B5C"/>
    <w:rsid w:val="002B3014"/>
    <w:rsid w:val="002B3045"/>
    <w:rsid w:val="002B51C3"/>
    <w:rsid w:val="002C415B"/>
    <w:rsid w:val="002D0053"/>
    <w:rsid w:val="002D1885"/>
    <w:rsid w:val="002D3577"/>
    <w:rsid w:val="002D3EF0"/>
    <w:rsid w:val="002E3474"/>
    <w:rsid w:val="002E6B85"/>
    <w:rsid w:val="002F494C"/>
    <w:rsid w:val="002F5F67"/>
    <w:rsid w:val="00307BDB"/>
    <w:rsid w:val="003163CB"/>
    <w:rsid w:val="00323838"/>
    <w:rsid w:val="003323F5"/>
    <w:rsid w:val="00332C3B"/>
    <w:rsid w:val="0033706E"/>
    <w:rsid w:val="00340928"/>
    <w:rsid w:val="003562F0"/>
    <w:rsid w:val="0037575F"/>
    <w:rsid w:val="0039127D"/>
    <w:rsid w:val="00394839"/>
    <w:rsid w:val="003A045E"/>
    <w:rsid w:val="003A1431"/>
    <w:rsid w:val="003A3E07"/>
    <w:rsid w:val="003B2841"/>
    <w:rsid w:val="003B5DF1"/>
    <w:rsid w:val="003C0270"/>
    <w:rsid w:val="003C1604"/>
    <w:rsid w:val="003C5A8D"/>
    <w:rsid w:val="003D1D47"/>
    <w:rsid w:val="003D3CD6"/>
    <w:rsid w:val="003E1176"/>
    <w:rsid w:val="003E331F"/>
    <w:rsid w:val="003F1D54"/>
    <w:rsid w:val="00401C27"/>
    <w:rsid w:val="0040315A"/>
    <w:rsid w:val="00405371"/>
    <w:rsid w:val="004208B4"/>
    <w:rsid w:val="0042773A"/>
    <w:rsid w:val="00431B84"/>
    <w:rsid w:val="00442D8B"/>
    <w:rsid w:val="004430B4"/>
    <w:rsid w:val="00471942"/>
    <w:rsid w:val="00474123"/>
    <w:rsid w:val="00476635"/>
    <w:rsid w:val="00476E25"/>
    <w:rsid w:val="00477936"/>
    <w:rsid w:val="00496BEC"/>
    <w:rsid w:val="004A3F0B"/>
    <w:rsid w:val="004A64A6"/>
    <w:rsid w:val="004B7E8F"/>
    <w:rsid w:val="004C009C"/>
    <w:rsid w:val="004D5CD2"/>
    <w:rsid w:val="004E1E4C"/>
    <w:rsid w:val="004E20FD"/>
    <w:rsid w:val="004F2D66"/>
    <w:rsid w:val="005017D3"/>
    <w:rsid w:val="00521A42"/>
    <w:rsid w:val="00522C57"/>
    <w:rsid w:val="005334A9"/>
    <w:rsid w:val="00533B68"/>
    <w:rsid w:val="005378DF"/>
    <w:rsid w:val="005577F5"/>
    <w:rsid w:val="005600D9"/>
    <w:rsid w:val="00562A7D"/>
    <w:rsid w:val="005822AE"/>
    <w:rsid w:val="00585E45"/>
    <w:rsid w:val="005918B9"/>
    <w:rsid w:val="005955CE"/>
    <w:rsid w:val="005B4D40"/>
    <w:rsid w:val="005C0AA9"/>
    <w:rsid w:val="005C74CF"/>
    <w:rsid w:val="005D2467"/>
    <w:rsid w:val="005D3106"/>
    <w:rsid w:val="005D6023"/>
    <w:rsid w:val="005E21AE"/>
    <w:rsid w:val="005E67C6"/>
    <w:rsid w:val="0060009B"/>
    <w:rsid w:val="00602056"/>
    <w:rsid w:val="00603C54"/>
    <w:rsid w:val="00606AB2"/>
    <w:rsid w:val="00607C73"/>
    <w:rsid w:val="006133BF"/>
    <w:rsid w:val="0062477B"/>
    <w:rsid w:val="00633AC5"/>
    <w:rsid w:val="006355C8"/>
    <w:rsid w:val="00635BE3"/>
    <w:rsid w:val="006407D5"/>
    <w:rsid w:val="0065147C"/>
    <w:rsid w:val="00651668"/>
    <w:rsid w:val="00654AD8"/>
    <w:rsid w:val="00657861"/>
    <w:rsid w:val="0067448C"/>
    <w:rsid w:val="00677050"/>
    <w:rsid w:val="00690D2D"/>
    <w:rsid w:val="0069124C"/>
    <w:rsid w:val="00692ECA"/>
    <w:rsid w:val="00695A8D"/>
    <w:rsid w:val="006A30A1"/>
    <w:rsid w:val="006A5FB0"/>
    <w:rsid w:val="006B0A4E"/>
    <w:rsid w:val="006B2A94"/>
    <w:rsid w:val="006B4785"/>
    <w:rsid w:val="006C4FEB"/>
    <w:rsid w:val="006E004C"/>
    <w:rsid w:val="006E47EB"/>
    <w:rsid w:val="006F0945"/>
    <w:rsid w:val="006F52F5"/>
    <w:rsid w:val="006F76E0"/>
    <w:rsid w:val="006F78A9"/>
    <w:rsid w:val="007101E9"/>
    <w:rsid w:val="00713C5E"/>
    <w:rsid w:val="00734515"/>
    <w:rsid w:val="007476D4"/>
    <w:rsid w:val="00750AFC"/>
    <w:rsid w:val="00751767"/>
    <w:rsid w:val="00751FD5"/>
    <w:rsid w:val="007670C7"/>
    <w:rsid w:val="00773180"/>
    <w:rsid w:val="007750CE"/>
    <w:rsid w:val="00792F37"/>
    <w:rsid w:val="00793B51"/>
    <w:rsid w:val="00797D14"/>
    <w:rsid w:val="007B6BB0"/>
    <w:rsid w:val="007C327E"/>
    <w:rsid w:val="007C4EB1"/>
    <w:rsid w:val="007D7712"/>
    <w:rsid w:val="007F3B1B"/>
    <w:rsid w:val="007F7210"/>
    <w:rsid w:val="0080074C"/>
    <w:rsid w:val="008014A8"/>
    <w:rsid w:val="0082140D"/>
    <w:rsid w:val="008300A9"/>
    <w:rsid w:val="008320E9"/>
    <w:rsid w:val="00832CA9"/>
    <w:rsid w:val="00855109"/>
    <w:rsid w:val="00855783"/>
    <w:rsid w:val="008616F4"/>
    <w:rsid w:val="00864301"/>
    <w:rsid w:val="0086645C"/>
    <w:rsid w:val="008666FD"/>
    <w:rsid w:val="00872212"/>
    <w:rsid w:val="008873D7"/>
    <w:rsid w:val="008B03AC"/>
    <w:rsid w:val="008B338D"/>
    <w:rsid w:val="008C0055"/>
    <w:rsid w:val="008C28F1"/>
    <w:rsid w:val="008C3E05"/>
    <w:rsid w:val="008C5F7B"/>
    <w:rsid w:val="008D0EA7"/>
    <w:rsid w:val="008D61DC"/>
    <w:rsid w:val="008D7330"/>
    <w:rsid w:val="008E7CFE"/>
    <w:rsid w:val="00905698"/>
    <w:rsid w:val="009074FA"/>
    <w:rsid w:val="009424A2"/>
    <w:rsid w:val="00955F1A"/>
    <w:rsid w:val="00956900"/>
    <w:rsid w:val="009608BA"/>
    <w:rsid w:val="009635BE"/>
    <w:rsid w:val="009637E0"/>
    <w:rsid w:val="00963823"/>
    <w:rsid w:val="00963CB1"/>
    <w:rsid w:val="0096437E"/>
    <w:rsid w:val="009664CA"/>
    <w:rsid w:val="00966C3C"/>
    <w:rsid w:val="00967AE3"/>
    <w:rsid w:val="0097700A"/>
    <w:rsid w:val="009871AF"/>
    <w:rsid w:val="0099426A"/>
    <w:rsid w:val="009A0857"/>
    <w:rsid w:val="009B0A25"/>
    <w:rsid w:val="009B2AC0"/>
    <w:rsid w:val="009B5B23"/>
    <w:rsid w:val="009C62DB"/>
    <w:rsid w:val="009C718C"/>
    <w:rsid w:val="009D02D3"/>
    <w:rsid w:val="009D1221"/>
    <w:rsid w:val="009D1E5B"/>
    <w:rsid w:val="009E0F14"/>
    <w:rsid w:val="009E6F1D"/>
    <w:rsid w:val="009F0371"/>
    <w:rsid w:val="009F0943"/>
    <w:rsid w:val="009F0AE3"/>
    <w:rsid w:val="009F41F4"/>
    <w:rsid w:val="00A2307E"/>
    <w:rsid w:val="00A23B79"/>
    <w:rsid w:val="00A241B3"/>
    <w:rsid w:val="00A306EC"/>
    <w:rsid w:val="00A346DC"/>
    <w:rsid w:val="00A372C9"/>
    <w:rsid w:val="00A41704"/>
    <w:rsid w:val="00A50960"/>
    <w:rsid w:val="00A66ECD"/>
    <w:rsid w:val="00A81CB5"/>
    <w:rsid w:val="00A84534"/>
    <w:rsid w:val="00AA541B"/>
    <w:rsid w:val="00AA7182"/>
    <w:rsid w:val="00AB03D0"/>
    <w:rsid w:val="00AC14CA"/>
    <w:rsid w:val="00AC2B47"/>
    <w:rsid w:val="00AD446D"/>
    <w:rsid w:val="00AD4D97"/>
    <w:rsid w:val="00AD54AE"/>
    <w:rsid w:val="00AE0DB4"/>
    <w:rsid w:val="00AE0DC1"/>
    <w:rsid w:val="00AF6AB5"/>
    <w:rsid w:val="00B00C77"/>
    <w:rsid w:val="00B03579"/>
    <w:rsid w:val="00B03DFE"/>
    <w:rsid w:val="00B05986"/>
    <w:rsid w:val="00B06246"/>
    <w:rsid w:val="00B1130B"/>
    <w:rsid w:val="00B12C4F"/>
    <w:rsid w:val="00B16E9D"/>
    <w:rsid w:val="00B23252"/>
    <w:rsid w:val="00B30358"/>
    <w:rsid w:val="00B345E1"/>
    <w:rsid w:val="00B52516"/>
    <w:rsid w:val="00B61B4F"/>
    <w:rsid w:val="00B6437C"/>
    <w:rsid w:val="00B65D80"/>
    <w:rsid w:val="00B80238"/>
    <w:rsid w:val="00B83BBF"/>
    <w:rsid w:val="00B912C6"/>
    <w:rsid w:val="00B95218"/>
    <w:rsid w:val="00BA01F5"/>
    <w:rsid w:val="00BA2C95"/>
    <w:rsid w:val="00BA5ED8"/>
    <w:rsid w:val="00BA6F0E"/>
    <w:rsid w:val="00BC0732"/>
    <w:rsid w:val="00BC3439"/>
    <w:rsid w:val="00BD513A"/>
    <w:rsid w:val="00BD6687"/>
    <w:rsid w:val="00BE47A4"/>
    <w:rsid w:val="00BF061E"/>
    <w:rsid w:val="00BF418B"/>
    <w:rsid w:val="00BF6B7E"/>
    <w:rsid w:val="00C03163"/>
    <w:rsid w:val="00C03658"/>
    <w:rsid w:val="00C16008"/>
    <w:rsid w:val="00C266F6"/>
    <w:rsid w:val="00C429D4"/>
    <w:rsid w:val="00C610B3"/>
    <w:rsid w:val="00C65027"/>
    <w:rsid w:val="00C75964"/>
    <w:rsid w:val="00C84574"/>
    <w:rsid w:val="00C964D1"/>
    <w:rsid w:val="00CB7924"/>
    <w:rsid w:val="00CD39FA"/>
    <w:rsid w:val="00CD4069"/>
    <w:rsid w:val="00CD77F7"/>
    <w:rsid w:val="00CE4932"/>
    <w:rsid w:val="00CE7201"/>
    <w:rsid w:val="00CE74F8"/>
    <w:rsid w:val="00CF5D2D"/>
    <w:rsid w:val="00D07F84"/>
    <w:rsid w:val="00D215E8"/>
    <w:rsid w:val="00D21DE4"/>
    <w:rsid w:val="00D3296E"/>
    <w:rsid w:val="00D32F78"/>
    <w:rsid w:val="00D465A5"/>
    <w:rsid w:val="00D47D2E"/>
    <w:rsid w:val="00D543CE"/>
    <w:rsid w:val="00D67231"/>
    <w:rsid w:val="00D7252D"/>
    <w:rsid w:val="00D82CE0"/>
    <w:rsid w:val="00D845EE"/>
    <w:rsid w:val="00D8747E"/>
    <w:rsid w:val="00D9164E"/>
    <w:rsid w:val="00D91784"/>
    <w:rsid w:val="00D93715"/>
    <w:rsid w:val="00D97E74"/>
    <w:rsid w:val="00DA3C0B"/>
    <w:rsid w:val="00DB45A7"/>
    <w:rsid w:val="00DB6818"/>
    <w:rsid w:val="00DC14E3"/>
    <w:rsid w:val="00DC16B6"/>
    <w:rsid w:val="00DC51D1"/>
    <w:rsid w:val="00DD05BE"/>
    <w:rsid w:val="00DD3278"/>
    <w:rsid w:val="00DE7D23"/>
    <w:rsid w:val="00DF4CBB"/>
    <w:rsid w:val="00DF6EB7"/>
    <w:rsid w:val="00E002BC"/>
    <w:rsid w:val="00E01B6F"/>
    <w:rsid w:val="00E03634"/>
    <w:rsid w:val="00E0650F"/>
    <w:rsid w:val="00E11654"/>
    <w:rsid w:val="00E21771"/>
    <w:rsid w:val="00E26FFF"/>
    <w:rsid w:val="00E47B41"/>
    <w:rsid w:val="00E60A68"/>
    <w:rsid w:val="00E82423"/>
    <w:rsid w:val="00E83E83"/>
    <w:rsid w:val="00E849CB"/>
    <w:rsid w:val="00E93AA5"/>
    <w:rsid w:val="00E9571C"/>
    <w:rsid w:val="00EB2948"/>
    <w:rsid w:val="00EC0BB4"/>
    <w:rsid w:val="00EC0D70"/>
    <w:rsid w:val="00EC250B"/>
    <w:rsid w:val="00EC2D52"/>
    <w:rsid w:val="00EC51F3"/>
    <w:rsid w:val="00ED0727"/>
    <w:rsid w:val="00ED3E71"/>
    <w:rsid w:val="00ED5434"/>
    <w:rsid w:val="00EE166E"/>
    <w:rsid w:val="00EE56E6"/>
    <w:rsid w:val="00EF04DA"/>
    <w:rsid w:val="00EF37BA"/>
    <w:rsid w:val="00F14738"/>
    <w:rsid w:val="00F3082D"/>
    <w:rsid w:val="00F36886"/>
    <w:rsid w:val="00F41797"/>
    <w:rsid w:val="00F47716"/>
    <w:rsid w:val="00F4798F"/>
    <w:rsid w:val="00F56B87"/>
    <w:rsid w:val="00F67742"/>
    <w:rsid w:val="00F77091"/>
    <w:rsid w:val="00F841F5"/>
    <w:rsid w:val="00F842ED"/>
    <w:rsid w:val="00F84C8E"/>
    <w:rsid w:val="00FB0EFF"/>
    <w:rsid w:val="00FB47C6"/>
    <w:rsid w:val="00FB7151"/>
    <w:rsid w:val="00FD4666"/>
    <w:rsid w:val="00FD6DAE"/>
    <w:rsid w:val="00FD7584"/>
    <w:rsid w:val="00FD770E"/>
    <w:rsid w:val="00FE0BD0"/>
    <w:rsid w:val="00FE7953"/>
    <w:rsid w:val="00FF3FA0"/>
    <w:rsid w:val="00FF5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994"/>
    <w:pPr>
      <w:spacing w:after="240" w:line="480" w:lineRule="auto"/>
    </w:pPr>
    <w:rPr>
      <w:sz w:val="20"/>
    </w:rPr>
  </w:style>
  <w:style w:type="paragraph" w:styleId="Heading1">
    <w:name w:val="heading 1"/>
    <w:basedOn w:val="Normal"/>
    <w:next w:val="Normal"/>
    <w:link w:val="Heading1Char"/>
    <w:uiPriority w:val="9"/>
    <w:qFormat/>
    <w:rsid w:val="00091994"/>
    <w:pPr>
      <w:keepNext/>
      <w:keepLines/>
      <w:numPr>
        <w:numId w:val="8"/>
      </w:numPr>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091994"/>
    <w:pPr>
      <w:keepNext/>
      <w:keepLines/>
      <w:numPr>
        <w:ilvl w:val="1"/>
        <w:numId w:val="8"/>
      </w:numPr>
      <w:spacing w:before="40" w:after="0"/>
      <w:outlineLvl w:val="1"/>
    </w:pPr>
    <w:rPr>
      <w:rFonts w:ascii="Times New Roman" w:eastAsiaTheme="majorEastAsia" w:hAnsi="Times New Roman" w:cstheme="majorBidi"/>
      <w:b/>
      <w:sz w:val="22"/>
      <w:szCs w:val="26"/>
    </w:rPr>
  </w:style>
  <w:style w:type="paragraph" w:styleId="Heading3">
    <w:name w:val="heading 3"/>
    <w:basedOn w:val="Normal"/>
    <w:next w:val="Normal"/>
    <w:link w:val="Heading3Char"/>
    <w:uiPriority w:val="9"/>
    <w:unhideWhenUsed/>
    <w:qFormat/>
    <w:rsid w:val="00091994"/>
    <w:pPr>
      <w:keepNext/>
      <w:keepLines/>
      <w:numPr>
        <w:ilvl w:val="2"/>
        <w:numId w:val="8"/>
      </w:numPr>
      <w:spacing w:before="40" w:after="0"/>
      <w:outlineLvl w:val="2"/>
    </w:pPr>
    <w:rPr>
      <w:rFonts w:ascii="Times New Roman" w:eastAsiaTheme="majorEastAsia" w:hAnsi="Times New Roman" w:cstheme="majorBidi"/>
      <w:i/>
      <w:sz w:val="22"/>
      <w:szCs w:val="24"/>
    </w:rPr>
  </w:style>
  <w:style w:type="paragraph" w:styleId="Heading4">
    <w:name w:val="heading 4"/>
    <w:basedOn w:val="Normal"/>
    <w:next w:val="Normal"/>
    <w:link w:val="Heading4Char"/>
    <w:uiPriority w:val="9"/>
    <w:semiHidden/>
    <w:unhideWhenUsed/>
    <w:qFormat/>
    <w:rsid w:val="008666FD"/>
    <w:pPr>
      <w:keepNext/>
      <w:keepLines/>
      <w:numPr>
        <w:ilvl w:val="3"/>
        <w:numId w:val="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66FD"/>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666FD"/>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666FD"/>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666FD"/>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66FD"/>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994"/>
    <w:rPr>
      <w:rFonts w:ascii="Times New Roman" w:eastAsiaTheme="majorEastAsia" w:hAnsi="Times New Roman" w:cstheme="majorBidi"/>
      <w:b/>
      <w:bCs/>
      <w:sz w:val="28"/>
      <w:szCs w:val="28"/>
    </w:rPr>
  </w:style>
  <w:style w:type="paragraph" w:styleId="BalloonText">
    <w:name w:val="Balloon Text"/>
    <w:basedOn w:val="Normal"/>
    <w:link w:val="BalloonTextChar"/>
    <w:uiPriority w:val="99"/>
    <w:semiHidden/>
    <w:unhideWhenUsed/>
    <w:rsid w:val="0088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D7"/>
    <w:rPr>
      <w:rFonts w:ascii="Tahoma" w:hAnsi="Tahoma" w:cs="Tahoma"/>
      <w:sz w:val="16"/>
      <w:szCs w:val="16"/>
    </w:rPr>
  </w:style>
  <w:style w:type="table" w:styleId="LightShading">
    <w:name w:val="Light Shading"/>
    <w:basedOn w:val="TableNormal"/>
    <w:uiPriority w:val="60"/>
    <w:rsid w:val="008873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8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link w:val="AuthorsChar"/>
    <w:qFormat/>
    <w:rsid w:val="008873D7"/>
    <w:pPr>
      <w:spacing w:before="240" w:after="120" w:line="280" w:lineRule="atLeast"/>
    </w:pPr>
    <w:rPr>
      <w:rFonts w:ascii="Calibri" w:eastAsia="Times New Roman" w:hAnsi="Calibri" w:cs="Times New Roman"/>
      <w:b/>
      <w:sz w:val="28"/>
      <w:szCs w:val="24"/>
      <w:lang w:eastAsia="nl-NL"/>
    </w:rPr>
  </w:style>
  <w:style w:type="paragraph" w:customStyle="1" w:styleId="Affiliation">
    <w:name w:val="Affiliation"/>
    <w:basedOn w:val="Normal"/>
    <w:link w:val="AffiliationChar"/>
    <w:qFormat/>
    <w:rsid w:val="008873D7"/>
    <w:pPr>
      <w:spacing w:after="0" w:line="280" w:lineRule="atLeast"/>
    </w:pPr>
    <w:rPr>
      <w:rFonts w:ascii="Calibri" w:eastAsia="Times New Roman" w:hAnsi="Calibri" w:cs="Times New Roman"/>
      <w:lang w:eastAsia="nl-NL"/>
    </w:rPr>
  </w:style>
  <w:style w:type="character" w:customStyle="1" w:styleId="AuthorsChar">
    <w:name w:val="Authors Char"/>
    <w:link w:val="Authors"/>
    <w:rsid w:val="008873D7"/>
    <w:rPr>
      <w:rFonts w:ascii="Calibri" w:eastAsia="Times New Roman" w:hAnsi="Calibri" w:cs="Times New Roman"/>
      <w:b/>
      <w:sz w:val="28"/>
      <w:szCs w:val="24"/>
      <w:lang w:eastAsia="nl-NL"/>
    </w:rPr>
  </w:style>
  <w:style w:type="character" w:customStyle="1" w:styleId="AffiliationChar">
    <w:name w:val="Affiliation Char"/>
    <w:link w:val="Affiliation"/>
    <w:rsid w:val="008873D7"/>
    <w:rPr>
      <w:rFonts w:ascii="Calibri" w:eastAsia="Times New Roman" w:hAnsi="Calibri" w:cs="Times New Roman"/>
      <w:lang w:eastAsia="nl-NL"/>
    </w:rPr>
  </w:style>
  <w:style w:type="character" w:styleId="Hyperlink">
    <w:name w:val="Hyperlink"/>
    <w:basedOn w:val="DefaultParagraphFont"/>
    <w:uiPriority w:val="99"/>
    <w:unhideWhenUsed/>
    <w:rsid w:val="008873D7"/>
    <w:rPr>
      <w:color w:val="0000FF" w:themeColor="hyperlink"/>
      <w:u w:val="single"/>
    </w:rPr>
  </w:style>
  <w:style w:type="paragraph" w:customStyle="1" w:styleId="1Copy">
    <w:name w:val="1. Copy"/>
    <w:basedOn w:val="Normal"/>
    <w:rsid w:val="008873D7"/>
    <w:pPr>
      <w:spacing w:before="240" w:after="0" w:line="240" w:lineRule="auto"/>
      <w:ind w:right="3252"/>
    </w:pPr>
    <w:rPr>
      <w:rFonts w:ascii="Arial" w:eastAsia="Times New Roman" w:hAnsi="Arial" w:cs="Times New Roman"/>
      <w:sz w:val="15"/>
      <w:lang w:val="en-US"/>
    </w:rPr>
  </w:style>
  <w:style w:type="paragraph" w:styleId="ListParagraph">
    <w:name w:val="List Paragraph"/>
    <w:basedOn w:val="Normal"/>
    <w:uiPriority w:val="34"/>
    <w:qFormat/>
    <w:rsid w:val="008873D7"/>
    <w:pPr>
      <w:ind w:left="720"/>
      <w:contextualSpacing/>
    </w:pPr>
  </w:style>
  <w:style w:type="paragraph" w:styleId="NormalWeb">
    <w:name w:val="Normal (Web)"/>
    <w:basedOn w:val="Normal"/>
    <w:uiPriority w:val="99"/>
    <w:unhideWhenUsed/>
    <w:rsid w:val="009E0F14"/>
    <w:pPr>
      <w:spacing w:before="100" w:beforeAutospacing="1" w:after="100" w:afterAutospacing="1" w:line="240" w:lineRule="auto"/>
      <w:jc w:val="both"/>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D3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EF0"/>
  </w:style>
  <w:style w:type="paragraph" w:styleId="Footer">
    <w:name w:val="footer"/>
    <w:basedOn w:val="Normal"/>
    <w:link w:val="FooterChar"/>
    <w:uiPriority w:val="99"/>
    <w:unhideWhenUsed/>
    <w:rsid w:val="002D3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EF0"/>
  </w:style>
  <w:style w:type="character" w:styleId="CommentReference">
    <w:name w:val="annotation reference"/>
    <w:basedOn w:val="DefaultParagraphFont"/>
    <w:uiPriority w:val="99"/>
    <w:semiHidden/>
    <w:unhideWhenUsed/>
    <w:rsid w:val="003E331F"/>
    <w:rPr>
      <w:sz w:val="16"/>
      <w:szCs w:val="16"/>
    </w:rPr>
  </w:style>
  <w:style w:type="paragraph" w:styleId="CommentText">
    <w:name w:val="annotation text"/>
    <w:basedOn w:val="Normal"/>
    <w:link w:val="CommentTextChar"/>
    <w:uiPriority w:val="99"/>
    <w:semiHidden/>
    <w:unhideWhenUsed/>
    <w:rsid w:val="003E331F"/>
    <w:pPr>
      <w:spacing w:line="240" w:lineRule="auto"/>
    </w:pPr>
    <w:rPr>
      <w:szCs w:val="20"/>
    </w:rPr>
  </w:style>
  <w:style w:type="character" w:customStyle="1" w:styleId="CommentTextChar">
    <w:name w:val="Comment Text Char"/>
    <w:basedOn w:val="DefaultParagraphFont"/>
    <w:link w:val="CommentText"/>
    <w:uiPriority w:val="99"/>
    <w:semiHidden/>
    <w:rsid w:val="003E331F"/>
    <w:rPr>
      <w:sz w:val="20"/>
      <w:szCs w:val="20"/>
    </w:rPr>
  </w:style>
  <w:style w:type="paragraph" w:styleId="CommentSubject">
    <w:name w:val="annotation subject"/>
    <w:basedOn w:val="CommentText"/>
    <w:next w:val="CommentText"/>
    <w:link w:val="CommentSubjectChar"/>
    <w:uiPriority w:val="99"/>
    <w:semiHidden/>
    <w:unhideWhenUsed/>
    <w:rsid w:val="003E331F"/>
    <w:rPr>
      <w:b/>
      <w:bCs/>
    </w:rPr>
  </w:style>
  <w:style w:type="character" w:customStyle="1" w:styleId="CommentSubjectChar">
    <w:name w:val="Comment Subject Char"/>
    <w:basedOn w:val="CommentTextChar"/>
    <w:link w:val="CommentSubject"/>
    <w:uiPriority w:val="99"/>
    <w:semiHidden/>
    <w:rsid w:val="003E331F"/>
    <w:rPr>
      <w:b/>
      <w:bCs/>
      <w:sz w:val="20"/>
      <w:szCs w:val="20"/>
    </w:rPr>
  </w:style>
  <w:style w:type="paragraph" w:styleId="Title">
    <w:name w:val="Title"/>
    <w:basedOn w:val="Normal"/>
    <w:next w:val="Normal"/>
    <w:link w:val="TitleChar"/>
    <w:uiPriority w:val="10"/>
    <w:qFormat/>
    <w:rsid w:val="00866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6F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91994"/>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091994"/>
    <w:rPr>
      <w:rFonts w:ascii="Times New Roman" w:eastAsiaTheme="majorEastAsia" w:hAnsi="Times New Roman" w:cstheme="majorBidi"/>
      <w:i/>
      <w:szCs w:val="24"/>
    </w:rPr>
  </w:style>
  <w:style w:type="character" w:customStyle="1" w:styleId="Heading4Char">
    <w:name w:val="Heading 4 Char"/>
    <w:basedOn w:val="DefaultParagraphFont"/>
    <w:link w:val="Heading4"/>
    <w:uiPriority w:val="9"/>
    <w:semiHidden/>
    <w:rsid w:val="008666F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666F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666F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666F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666F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66FD"/>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B83B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91">
      <w:bodyDiv w:val="1"/>
      <w:marLeft w:val="0"/>
      <w:marRight w:val="0"/>
      <w:marTop w:val="0"/>
      <w:marBottom w:val="0"/>
      <w:divBdr>
        <w:top w:val="none" w:sz="0" w:space="0" w:color="auto"/>
        <w:left w:val="none" w:sz="0" w:space="0" w:color="auto"/>
        <w:bottom w:val="none" w:sz="0" w:space="0" w:color="auto"/>
        <w:right w:val="none" w:sz="0" w:space="0" w:color="auto"/>
      </w:divBdr>
      <w:divsChild>
        <w:div w:id="677662655">
          <w:marLeft w:val="0"/>
          <w:marRight w:val="0"/>
          <w:marTop w:val="0"/>
          <w:marBottom w:val="0"/>
          <w:divBdr>
            <w:top w:val="none" w:sz="0" w:space="0" w:color="auto"/>
            <w:left w:val="none" w:sz="0" w:space="0" w:color="auto"/>
            <w:bottom w:val="none" w:sz="0" w:space="0" w:color="auto"/>
            <w:right w:val="none" w:sz="0" w:space="0" w:color="auto"/>
          </w:divBdr>
        </w:div>
      </w:divsChild>
    </w:div>
    <w:div w:id="24868847">
      <w:bodyDiv w:val="1"/>
      <w:marLeft w:val="0"/>
      <w:marRight w:val="0"/>
      <w:marTop w:val="0"/>
      <w:marBottom w:val="0"/>
      <w:divBdr>
        <w:top w:val="none" w:sz="0" w:space="0" w:color="auto"/>
        <w:left w:val="none" w:sz="0" w:space="0" w:color="auto"/>
        <w:bottom w:val="none" w:sz="0" w:space="0" w:color="auto"/>
        <w:right w:val="none" w:sz="0" w:space="0" w:color="auto"/>
      </w:divBdr>
      <w:divsChild>
        <w:div w:id="936403788">
          <w:marLeft w:val="0"/>
          <w:marRight w:val="0"/>
          <w:marTop w:val="0"/>
          <w:marBottom w:val="0"/>
          <w:divBdr>
            <w:top w:val="none" w:sz="0" w:space="0" w:color="auto"/>
            <w:left w:val="none" w:sz="0" w:space="0" w:color="auto"/>
            <w:bottom w:val="none" w:sz="0" w:space="0" w:color="auto"/>
            <w:right w:val="none" w:sz="0" w:space="0" w:color="auto"/>
          </w:divBdr>
        </w:div>
      </w:divsChild>
    </w:div>
    <w:div w:id="77749663">
      <w:bodyDiv w:val="1"/>
      <w:marLeft w:val="0"/>
      <w:marRight w:val="0"/>
      <w:marTop w:val="0"/>
      <w:marBottom w:val="0"/>
      <w:divBdr>
        <w:top w:val="none" w:sz="0" w:space="0" w:color="auto"/>
        <w:left w:val="none" w:sz="0" w:space="0" w:color="auto"/>
        <w:bottom w:val="none" w:sz="0" w:space="0" w:color="auto"/>
        <w:right w:val="none" w:sz="0" w:space="0" w:color="auto"/>
      </w:divBdr>
      <w:divsChild>
        <w:div w:id="480584873">
          <w:marLeft w:val="0"/>
          <w:marRight w:val="0"/>
          <w:marTop w:val="0"/>
          <w:marBottom w:val="0"/>
          <w:divBdr>
            <w:top w:val="none" w:sz="0" w:space="0" w:color="auto"/>
            <w:left w:val="none" w:sz="0" w:space="0" w:color="auto"/>
            <w:bottom w:val="none" w:sz="0" w:space="0" w:color="auto"/>
            <w:right w:val="none" w:sz="0" w:space="0" w:color="auto"/>
          </w:divBdr>
        </w:div>
      </w:divsChild>
    </w:div>
    <w:div w:id="128474975">
      <w:bodyDiv w:val="1"/>
      <w:marLeft w:val="0"/>
      <w:marRight w:val="0"/>
      <w:marTop w:val="0"/>
      <w:marBottom w:val="0"/>
      <w:divBdr>
        <w:top w:val="none" w:sz="0" w:space="0" w:color="auto"/>
        <w:left w:val="none" w:sz="0" w:space="0" w:color="auto"/>
        <w:bottom w:val="none" w:sz="0" w:space="0" w:color="auto"/>
        <w:right w:val="none" w:sz="0" w:space="0" w:color="auto"/>
      </w:divBdr>
      <w:divsChild>
        <w:div w:id="951547519">
          <w:marLeft w:val="0"/>
          <w:marRight w:val="0"/>
          <w:marTop w:val="0"/>
          <w:marBottom w:val="0"/>
          <w:divBdr>
            <w:top w:val="none" w:sz="0" w:space="0" w:color="auto"/>
            <w:left w:val="none" w:sz="0" w:space="0" w:color="auto"/>
            <w:bottom w:val="none" w:sz="0" w:space="0" w:color="auto"/>
            <w:right w:val="none" w:sz="0" w:space="0" w:color="auto"/>
          </w:divBdr>
        </w:div>
      </w:divsChild>
    </w:div>
    <w:div w:id="153225692">
      <w:bodyDiv w:val="1"/>
      <w:marLeft w:val="0"/>
      <w:marRight w:val="0"/>
      <w:marTop w:val="0"/>
      <w:marBottom w:val="0"/>
      <w:divBdr>
        <w:top w:val="none" w:sz="0" w:space="0" w:color="auto"/>
        <w:left w:val="none" w:sz="0" w:space="0" w:color="auto"/>
        <w:bottom w:val="none" w:sz="0" w:space="0" w:color="auto"/>
        <w:right w:val="none" w:sz="0" w:space="0" w:color="auto"/>
      </w:divBdr>
      <w:divsChild>
        <w:div w:id="811219302">
          <w:marLeft w:val="0"/>
          <w:marRight w:val="0"/>
          <w:marTop w:val="0"/>
          <w:marBottom w:val="0"/>
          <w:divBdr>
            <w:top w:val="none" w:sz="0" w:space="0" w:color="auto"/>
            <w:left w:val="none" w:sz="0" w:space="0" w:color="auto"/>
            <w:bottom w:val="none" w:sz="0" w:space="0" w:color="auto"/>
            <w:right w:val="none" w:sz="0" w:space="0" w:color="auto"/>
          </w:divBdr>
        </w:div>
      </w:divsChild>
    </w:div>
    <w:div w:id="180049877">
      <w:bodyDiv w:val="1"/>
      <w:marLeft w:val="0"/>
      <w:marRight w:val="0"/>
      <w:marTop w:val="0"/>
      <w:marBottom w:val="0"/>
      <w:divBdr>
        <w:top w:val="none" w:sz="0" w:space="0" w:color="auto"/>
        <w:left w:val="none" w:sz="0" w:space="0" w:color="auto"/>
        <w:bottom w:val="none" w:sz="0" w:space="0" w:color="auto"/>
        <w:right w:val="none" w:sz="0" w:space="0" w:color="auto"/>
      </w:divBdr>
      <w:divsChild>
        <w:div w:id="48696701">
          <w:marLeft w:val="0"/>
          <w:marRight w:val="0"/>
          <w:marTop w:val="0"/>
          <w:marBottom w:val="0"/>
          <w:divBdr>
            <w:top w:val="none" w:sz="0" w:space="0" w:color="auto"/>
            <w:left w:val="none" w:sz="0" w:space="0" w:color="auto"/>
            <w:bottom w:val="none" w:sz="0" w:space="0" w:color="auto"/>
            <w:right w:val="none" w:sz="0" w:space="0" w:color="auto"/>
          </w:divBdr>
        </w:div>
      </w:divsChild>
    </w:div>
    <w:div w:id="207451081">
      <w:bodyDiv w:val="1"/>
      <w:marLeft w:val="0"/>
      <w:marRight w:val="0"/>
      <w:marTop w:val="0"/>
      <w:marBottom w:val="0"/>
      <w:divBdr>
        <w:top w:val="none" w:sz="0" w:space="0" w:color="auto"/>
        <w:left w:val="none" w:sz="0" w:space="0" w:color="auto"/>
        <w:bottom w:val="none" w:sz="0" w:space="0" w:color="auto"/>
        <w:right w:val="none" w:sz="0" w:space="0" w:color="auto"/>
      </w:divBdr>
      <w:divsChild>
        <w:div w:id="1933321412">
          <w:marLeft w:val="0"/>
          <w:marRight w:val="0"/>
          <w:marTop w:val="0"/>
          <w:marBottom w:val="0"/>
          <w:divBdr>
            <w:top w:val="none" w:sz="0" w:space="0" w:color="auto"/>
            <w:left w:val="none" w:sz="0" w:space="0" w:color="auto"/>
            <w:bottom w:val="none" w:sz="0" w:space="0" w:color="auto"/>
            <w:right w:val="none" w:sz="0" w:space="0" w:color="auto"/>
          </w:divBdr>
        </w:div>
      </w:divsChild>
    </w:div>
    <w:div w:id="255401581">
      <w:bodyDiv w:val="1"/>
      <w:marLeft w:val="0"/>
      <w:marRight w:val="0"/>
      <w:marTop w:val="0"/>
      <w:marBottom w:val="0"/>
      <w:divBdr>
        <w:top w:val="none" w:sz="0" w:space="0" w:color="auto"/>
        <w:left w:val="none" w:sz="0" w:space="0" w:color="auto"/>
        <w:bottom w:val="none" w:sz="0" w:space="0" w:color="auto"/>
        <w:right w:val="none" w:sz="0" w:space="0" w:color="auto"/>
      </w:divBdr>
    </w:div>
    <w:div w:id="285624008">
      <w:bodyDiv w:val="1"/>
      <w:marLeft w:val="0"/>
      <w:marRight w:val="0"/>
      <w:marTop w:val="0"/>
      <w:marBottom w:val="0"/>
      <w:divBdr>
        <w:top w:val="none" w:sz="0" w:space="0" w:color="auto"/>
        <w:left w:val="none" w:sz="0" w:space="0" w:color="auto"/>
        <w:bottom w:val="none" w:sz="0" w:space="0" w:color="auto"/>
        <w:right w:val="none" w:sz="0" w:space="0" w:color="auto"/>
      </w:divBdr>
      <w:divsChild>
        <w:div w:id="483861096">
          <w:marLeft w:val="0"/>
          <w:marRight w:val="0"/>
          <w:marTop w:val="0"/>
          <w:marBottom w:val="0"/>
          <w:divBdr>
            <w:top w:val="none" w:sz="0" w:space="0" w:color="auto"/>
            <w:left w:val="none" w:sz="0" w:space="0" w:color="auto"/>
            <w:bottom w:val="none" w:sz="0" w:space="0" w:color="auto"/>
            <w:right w:val="none" w:sz="0" w:space="0" w:color="auto"/>
          </w:divBdr>
        </w:div>
      </w:divsChild>
    </w:div>
    <w:div w:id="451048428">
      <w:bodyDiv w:val="1"/>
      <w:marLeft w:val="0"/>
      <w:marRight w:val="0"/>
      <w:marTop w:val="0"/>
      <w:marBottom w:val="0"/>
      <w:divBdr>
        <w:top w:val="none" w:sz="0" w:space="0" w:color="auto"/>
        <w:left w:val="none" w:sz="0" w:space="0" w:color="auto"/>
        <w:bottom w:val="none" w:sz="0" w:space="0" w:color="auto"/>
        <w:right w:val="none" w:sz="0" w:space="0" w:color="auto"/>
      </w:divBdr>
      <w:divsChild>
        <w:div w:id="511460421">
          <w:marLeft w:val="0"/>
          <w:marRight w:val="0"/>
          <w:marTop w:val="0"/>
          <w:marBottom w:val="0"/>
          <w:divBdr>
            <w:top w:val="none" w:sz="0" w:space="0" w:color="auto"/>
            <w:left w:val="none" w:sz="0" w:space="0" w:color="auto"/>
            <w:bottom w:val="none" w:sz="0" w:space="0" w:color="auto"/>
            <w:right w:val="none" w:sz="0" w:space="0" w:color="auto"/>
          </w:divBdr>
        </w:div>
      </w:divsChild>
    </w:div>
    <w:div w:id="496073777">
      <w:bodyDiv w:val="1"/>
      <w:marLeft w:val="0"/>
      <w:marRight w:val="0"/>
      <w:marTop w:val="0"/>
      <w:marBottom w:val="0"/>
      <w:divBdr>
        <w:top w:val="none" w:sz="0" w:space="0" w:color="auto"/>
        <w:left w:val="none" w:sz="0" w:space="0" w:color="auto"/>
        <w:bottom w:val="none" w:sz="0" w:space="0" w:color="auto"/>
        <w:right w:val="none" w:sz="0" w:space="0" w:color="auto"/>
      </w:divBdr>
      <w:divsChild>
        <w:div w:id="1566602462">
          <w:marLeft w:val="0"/>
          <w:marRight w:val="0"/>
          <w:marTop w:val="0"/>
          <w:marBottom w:val="0"/>
          <w:divBdr>
            <w:top w:val="none" w:sz="0" w:space="0" w:color="auto"/>
            <w:left w:val="none" w:sz="0" w:space="0" w:color="auto"/>
            <w:bottom w:val="none" w:sz="0" w:space="0" w:color="auto"/>
            <w:right w:val="none" w:sz="0" w:space="0" w:color="auto"/>
          </w:divBdr>
        </w:div>
      </w:divsChild>
    </w:div>
    <w:div w:id="518935056">
      <w:bodyDiv w:val="1"/>
      <w:marLeft w:val="0"/>
      <w:marRight w:val="0"/>
      <w:marTop w:val="0"/>
      <w:marBottom w:val="0"/>
      <w:divBdr>
        <w:top w:val="none" w:sz="0" w:space="0" w:color="auto"/>
        <w:left w:val="none" w:sz="0" w:space="0" w:color="auto"/>
        <w:bottom w:val="none" w:sz="0" w:space="0" w:color="auto"/>
        <w:right w:val="none" w:sz="0" w:space="0" w:color="auto"/>
      </w:divBdr>
      <w:divsChild>
        <w:div w:id="1630747823">
          <w:marLeft w:val="0"/>
          <w:marRight w:val="0"/>
          <w:marTop w:val="0"/>
          <w:marBottom w:val="0"/>
          <w:divBdr>
            <w:top w:val="none" w:sz="0" w:space="0" w:color="auto"/>
            <w:left w:val="none" w:sz="0" w:space="0" w:color="auto"/>
            <w:bottom w:val="none" w:sz="0" w:space="0" w:color="auto"/>
            <w:right w:val="none" w:sz="0" w:space="0" w:color="auto"/>
          </w:divBdr>
        </w:div>
      </w:divsChild>
    </w:div>
    <w:div w:id="615016292">
      <w:bodyDiv w:val="1"/>
      <w:marLeft w:val="0"/>
      <w:marRight w:val="0"/>
      <w:marTop w:val="0"/>
      <w:marBottom w:val="0"/>
      <w:divBdr>
        <w:top w:val="none" w:sz="0" w:space="0" w:color="auto"/>
        <w:left w:val="none" w:sz="0" w:space="0" w:color="auto"/>
        <w:bottom w:val="none" w:sz="0" w:space="0" w:color="auto"/>
        <w:right w:val="none" w:sz="0" w:space="0" w:color="auto"/>
      </w:divBdr>
    </w:div>
    <w:div w:id="622421119">
      <w:bodyDiv w:val="1"/>
      <w:marLeft w:val="0"/>
      <w:marRight w:val="0"/>
      <w:marTop w:val="0"/>
      <w:marBottom w:val="0"/>
      <w:divBdr>
        <w:top w:val="none" w:sz="0" w:space="0" w:color="auto"/>
        <w:left w:val="none" w:sz="0" w:space="0" w:color="auto"/>
        <w:bottom w:val="none" w:sz="0" w:space="0" w:color="auto"/>
        <w:right w:val="none" w:sz="0" w:space="0" w:color="auto"/>
      </w:divBdr>
    </w:div>
    <w:div w:id="638337454">
      <w:bodyDiv w:val="1"/>
      <w:marLeft w:val="0"/>
      <w:marRight w:val="0"/>
      <w:marTop w:val="0"/>
      <w:marBottom w:val="0"/>
      <w:divBdr>
        <w:top w:val="none" w:sz="0" w:space="0" w:color="auto"/>
        <w:left w:val="none" w:sz="0" w:space="0" w:color="auto"/>
        <w:bottom w:val="none" w:sz="0" w:space="0" w:color="auto"/>
        <w:right w:val="none" w:sz="0" w:space="0" w:color="auto"/>
      </w:divBdr>
      <w:divsChild>
        <w:div w:id="1079785827">
          <w:marLeft w:val="0"/>
          <w:marRight w:val="0"/>
          <w:marTop w:val="0"/>
          <w:marBottom w:val="0"/>
          <w:divBdr>
            <w:top w:val="none" w:sz="0" w:space="0" w:color="auto"/>
            <w:left w:val="none" w:sz="0" w:space="0" w:color="auto"/>
            <w:bottom w:val="none" w:sz="0" w:space="0" w:color="auto"/>
            <w:right w:val="none" w:sz="0" w:space="0" w:color="auto"/>
          </w:divBdr>
        </w:div>
      </w:divsChild>
    </w:div>
    <w:div w:id="650332860">
      <w:bodyDiv w:val="1"/>
      <w:marLeft w:val="0"/>
      <w:marRight w:val="0"/>
      <w:marTop w:val="0"/>
      <w:marBottom w:val="0"/>
      <w:divBdr>
        <w:top w:val="none" w:sz="0" w:space="0" w:color="auto"/>
        <w:left w:val="none" w:sz="0" w:space="0" w:color="auto"/>
        <w:bottom w:val="none" w:sz="0" w:space="0" w:color="auto"/>
        <w:right w:val="none" w:sz="0" w:space="0" w:color="auto"/>
      </w:divBdr>
      <w:divsChild>
        <w:div w:id="365449296">
          <w:marLeft w:val="0"/>
          <w:marRight w:val="0"/>
          <w:marTop w:val="0"/>
          <w:marBottom w:val="0"/>
          <w:divBdr>
            <w:top w:val="none" w:sz="0" w:space="0" w:color="auto"/>
            <w:left w:val="none" w:sz="0" w:space="0" w:color="auto"/>
            <w:bottom w:val="none" w:sz="0" w:space="0" w:color="auto"/>
            <w:right w:val="none" w:sz="0" w:space="0" w:color="auto"/>
          </w:divBdr>
        </w:div>
      </w:divsChild>
    </w:div>
    <w:div w:id="728695192">
      <w:bodyDiv w:val="1"/>
      <w:marLeft w:val="0"/>
      <w:marRight w:val="0"/>
      <w:marTop w:val="0"/>
      <w:marBottom w:val="0"/>
      <w:divBdr>
        <w:top w:val="none" w:sz="0" w:space="0" w:color="auto"/>
        <w:left w:val="none" w:sz="0" w:space="0" w:color="auto"/>
        <w:bottom w:val="none" w:sz="0" w:space="0" w:color="auto"/>
        <w:right w:val="none" w:sz="0" w:space="0" w:color="auto"/>
      </w:divBdr>
      <w:divsChild>
        <w:div w:id="342632652">
          <w:marLeft w:val="0"/>
          <w:marRight w:val="0"/>
          <w:marTop w:val="0"/>
          <w:marBottom w:val="0"/>
          <w:divBdr>
            <w:top w:val="none" w:sz="0" w:space="0" w:color="auto"/>
            <w:left w:val="none" w:sz="0" w:space="0" w:color="auto"/>
            <w:bottom w:val="none" w:sz="0" w:space="0" w:color="auto"/>
            <w:right w:val="none" w:sz="0" w:space="0" w:color="auto"/>
          </w:divBdr>
        </w:div>
      </w:divsChild>
    </w:div>
    <w:div w:id="767164465">
      <w:bodyDiv w:val="1"/>
      <w:marLeft w:val="0"/>
      <w:marRight w:val="0"/>
      <w:marTop w:val="0"/>
      <w:marBottom w:val="0"/>
      <w:divBdr>
        <w:top w:val="none" w:sz="0" w:space="0" w:color="auto"/>
        <w:left w:val="none" w:sz="0" w:space="0" w:color="auto"/>
        <w:bottom w:val="none" w:sz="0" w:space="0" w:color="auto"/>
        <w:right w:val="none" w:sz="0" w:space="0" w:color="auto"/>
      </w:divBdr>
    </w:div>
    <w:div w:id="767699286">
      <w:bodyDiv w:val="1"/>
      <w:marLeft w:val="0"/>
      <w:marRight w:val="0"/>
      <w:marTop w:val="0"/>
      <w:marBottom w:val="0"/>
      <w:divBdr>
        <w:top w:val="none" w:sz="0" w:space="0" w:color="auto"/>
        <w:left w:val="none" w:sz="0" w:space="0" w:color="auto"/>
        <w:bottom w:val="none" w:sz="0" w:space="0" w:color="auto"/>
        <w:right w:val="none" w:sz="0" w:space="0" w:color="auto"/>
      </w:divBdr>
    </w:div>
    <w:div w:id="802046113">
      <w:bodyDiv w:val="1"/>
      <w:marLeft w:val="0"/>
      <w:marRight w:val="0"/>
      <w:marTop w:val="0"/>
      <w:marBottom w:val="0"/>
      <w:divBdr>
        <w:top w:val="none" w:sz="0" w:space="0" w:color="auto"/>
        <w:left w:val="none" w:sz="0" w:space="0" w:color="auto"/>
        <w:bottom w:val="none" w:sz="0" w:space="0" w:color="auto"/>
        <w:right w:val="none" w:sz="0" w:space="0" w:color="auto"/>
      </w:divBdr>
      <w:divsChild>
        <w:div w:id="1333558045">
          <w:marLeft w:val="0"/>
          <w:marRight w:val="0"/>
          <w:marTop w:val="0"/>
          <w:marBottom w:val="0"/>
          <w:divBdr>
            <w:top w:val="none" w:sz="0" w:space="0" w:color="auto"/>
            <w:left w:val="none" w:sz="0" w:space="0" w:color="auto"/>
            <w:bottom w:val="none" w:sz="0" w:space="0" w:color="auto"/>
            <w:right w:val="none" w:sz="0" w:space="0" w:color="auto"/>
          </w:divBdr>
        </w:div>
      </w:divsChild>
    </w:div>
    <w:div w:id="823394717">
      <w:bodyDiv w:val="1"/>
      <w:marLeft w:val="0"/>
      <w:marRight w:val="0"/>
      <w:marTop w:val="0"/>
      <w:marBottom w:val="0"/>
      <w:divBdr>
        <w:top w:val="none" w:sz="0" w:space="0" w:color="auto"/>
        <w:left w:val="none" w:sz="0" w:space="0" w:color="auto"/>
        <w:bottom w:val="none" w:sz="0" w:space="0" w:color="auto"/>
        <w:right w:val="none" w:sz="0" w:space="0" w:color="auto"/>
      </w:divBdr>
      <w:divsChild>
        <w:div w:id="562720367">
          <w:marLeft w:val="0"/>
          <w:marRight w:val="0"/>
          <w:marTop w:val="0"/>
          <w:marBottom w:val="0"/>
          <w:divBdr>
            <w:top w:val="none" w:sz="0" w:space="0" w:color="auto"/>
            <w:left w:val="none" w:sz="0" w:space="0" w:color="auto"/>
            <w:bottom w:val="none" w:sz="0" w:space="0" w:color="auto"/>
            <w:right w:val="none" w:sz="0" w:space="0" w:color="auto"/>
          </w:divBdr>
        </w:div>
      </w:divsChild>
    </w:div>
    <w:div w:id="837382717">
      <w:bodyDiv w:val="1"/>
      <w:marLeft w:val="0"/>
      <w:marRight w:val="0"/>
      <w:marTop w:val="0"/>
      <w:marBottom w:val="0"/>
      <w:divBdr>
        <w:top w:val="none" w:sz="0" w:space="0" w:color="auto"/>
        <w:left w:val="none" w:sz="0" w:space="0" w:color="auto"/>
        <w:bottom w:val="none" w:sz="0" w:space="0" w:color="auto"/>
        <w:right w:val="none" w:sz="0" w:space="0" w:color="auto"/>
      </w:divBdr>
      <w:divsChild>
        <w:div w:id="991787928">
          <w:marLeft w:val="0"/>
          <w:marRight w:val="0"/>
          <w:marTop w:val="0"/>
          <w:marBottom w:val="0"/>
          <w:divBdr>
            <w:top w:val="none" w:sz="0" w:space="0" w:color="auto"/>
            <w:left w:val="none" w:sz="0" w:space="0" w:color="auto"/>
            <w:bottom w:val="none" w:sz="0" w:space="0" w:color="auto"/>
            <w:right w:val="none" w:sz="0" w:space="0" w:color="auto"/>
          </w:divBdr>
        </w:div>
      </w:divsChild>
    </w:div>
    <w:div w:id="847136280">
      <w:bodyDiv w:val="1"/>
      <w:marLeft w:val="0"/>
      <w:marRight w:val="0"/>
      <w:marTop w:val="0"/>
      <w:marBottom w:val="0"/>
      <w:divBdr>
        <w:top w:val="none" w:sz="0" w:space="0" w:color="auto"/>
        <w:left w:val="none" w:sz="0" w:space="0" w:color="auto"/>
        <w:bottom w:val="none" w:sz="0" w:space="0" w:color="auto"/>
        <w:right w:val="none" w:sz="0" w:space="0" w:color="auto"/>
      </w:divBdr>
    </w:div>
    <w:div w:id="849684158">
      <w:bodyDiv w:val="1"/>
      <w:marLeft w:val="0"/>
      <w:marRight w:val="0"/>
      <w:marTop w:val="0"/>
      <w:marBottom w:val="0"/>
      <w:divBdr>
        <w:top w:val="none" w:sz="0" w:space="0" w:color="auto"/>
        <w:left w:val="none" w:sz="0" w:space="0" w:color="auto"/>
        <w:bottom w:val="none" w:sz="0" w:space="0" w:color="auto"/>
        <w:right w:val="none" w:sz="0" w:space="0" w:color="auto"/>
      </w:divBdr>
      <w:divsChild>
        <w:div w:id="899287115">
          <w:marLeft w:val="0"/>
          <w:marRight w:val="0"/>
          <w:marTop w:val="0"/>
          <w:marBottom w:val="0"/>
          <w:divBdr>
            <w:top w:val="none" w:sz="0" w:space="0" w:color="auto"/>
            <w:left w:val="none" w:sz="0" w:space="0" w:color="auto"/>
            <w:bottom w:val="none" w:sz="0" w:space="0" w:color="auto"/>
            <w:right w:val="none" w:sz="0" w:space="0" w:color="auto"/>
          </w:divBdr>
        </w:div>
      </w:divsChild>
    </w:div>
    <w:div w:id="863442508">
      <w:bodyDiv w:val="1"/>
      <w:marLeft w:val="0"/>
      <w:marRight w:val="0"/>
      <w:marTop w:val="0"/>
      <w:marBottom w:val="0"/>
      <w:divBdr>
        <w:top w:val="none" w:sz="0" w:space="0" w:color="auto"/>
        <w:left w:val="none" w:sz="0" w:space="0" w:color="auto"/>
        <w:bottom w:val="none" w:sz="0" w:space="0" w:color="auto"/>
        <w:right w:val="none" w:sz="0" w:space="0" w:color="auto"/>
      </w:divBdr>
      <w:divsChild>
        <w:div w:id="1441681835">
          <w:marLeft w:val="0"/>
          <w:marRight w:val="0"/>
          <w:marTop w:val="0"/>
          <w:marBottom w:val="0"/>
          <w:divBdr>
            <w:top w:val="none" w:sz="0" w:space="0" w:color="auto"/>
            <w:left w:val="none" w:sz="0" w:space="0" w:color="auto"/>
            <w:bottom w:val="none" w:sz="0" w:space="0" w:color="auto"/>
            <w:right w:val="none" w:sz="0" w:space="0" w:color="auto"/>
          </w:divBdr>
        </w:div>
      </w:divsChild>
    </w:div>
    <w:div w:id="869800772">
      <w:bodyDiv w:val="1"/>
      <w:marLeft w:val="0"/>
      <w:marRight w:val="0"/>
      <w:marTop w:val="0"/>
      <w:marBottom w:val="0"/>
      <w:divBdr>
        <w:top w:val="none" w:sz="0" w:space="0" w:color="auto"/>
        <w:left w:val="none" w:sz="0" w:space="0" w:color="auto"/>
        <w:bottom w:val="none" w:sz="0" w:space="0" w:color="auto"/>
        <w:right w:val="none" w:sz="0" w:space="0" w:color="auto"/>
      </w:divBdr>
      <w:divsChild>
        <w:div w:id="377971550">
          <w:marLeft w:val="0"/>
          <w:marRight w:val="0"/>
          <w:marTop w:val="0"/>
          <w:marBottom w:val="0"/>
          <w:divBdr>
            <w:top w:val="none" w:sz="0" w:space="0" w:color="auto"/>
            <w:left w:val="none" w:sz="0" w:space="0" w:color="auto"/>
            <w:bottom w:val="none" w:sz="0" w:space="0" w:color="auto"/>
            <w:right w:val="none" w:sz="0" w:space="0" w:color="auto"/>
          </w:divBdr>
        </w:div>
      </w:divsChild>
    </w:div>
    <w:div w:id="978076088">
      <w:bodyDiv w:val="1"/>
      <w:marLeft w:val="0"/>
      <w:marRight w:val="0"/>
      <w:marTop w:val="0"/>
      <w:marBottom w:val="0"/>
      <w:divBdr>
        <w:top w:val="none" w:sz="0" w:space="0" w:color="auto"/>
        <w:left w:val="none" w:sz="0" w:space="0" w:color="auto"/>
        <w:bottom w:val="none" w:sz="0" w:space="0" w:color="auto"/>
        <w:right w:val="none" w:sz="0" w:space="0" w:color="auto"/>
      </w:divBdr>
      <w:divsChild>
        <w:div w:id="1512647211">
          <w:marLeft w:val="0"/>
          <w:marRight w:val="0"/>
          <w:marTop w:val="0"/>
          <w:marBottom w:val="0"/>
          <w:divBdr>
            <w:top w:val="none" w:sz="0" w:space="0" w:color="auto"/>
            <w:left w:val="none" w:sz="0" w:space="0" w:color="auto"/>
            <w:bottom w:val="none" w:sz="0" w:space="0" w:color="auto"/>
            <w:right w:val="none" w:sz="0" w:space="0" w:color="auto"/>
          </w:divBdr>
        </w:div>
      </w:divsChild>
    </w:div>
    <w:div w:id="995114331">
      <w:bodyDiv w:val="1"/>
      <w:marLeft w:val="0"/>
      <w:marRight w:val="0"/>
      <w:marTop w:val="0"/>
      <w:marBottom w:val="0"/>
      <w:divBdr>
        <w:top w:val="none" w:sz="0" w:space="0" w:color="auto"/>
        <w:left w:val="none" w:sz="0" w:space="0" w:color="auto"/>
        <w:bottom w:val="none" w:sz="0" w:space="0" w:color="auto"/>
        <w:right w:val="none" w:sz="0" w:space="0" w:color="auto"/>
      </w:divBdr>
      <w:divsChild>
        <w:div w:id="22748047">
          <w:marLeft w:val="0"/>
          <w:marRight w:val="0"/>
          <w:marTop w:val="0"/>
          <w:marBottom w:val="0"/>
          <w:divBdr>
            <w:top w:val="none" w:sz="0" w:space="0" w:color="auto"/>
            <w:left w:val="none" w:sz="0" w:space="0" w:color="auto"/>
            <w:bottom w:val="none" w:sz="0" w:space="0" w:color="auto"/>
            <w:right w:val="none" w:sz="0" w:space="0" w:color="auto"/>
          </w:divBdr>
        </w:div>
      </w:divsChild>
    </w:div>
    <w:div w:id="1051463870">
      <w:bodyDiv w:val="1"/>
      <w:marLeft w:val="0"/>
      <w:marRight w:val="0"/>
      <w:marTop w:val="0"/>
      <w:marBottom w:val="0"/>
      <w:divBdr>
        <w:top w:val="none" w:sz="0" w:space="0" w:color="auto"/>
        <w:left w:val="none" w:sz="0" w:space="0" w:color="auto"/>
        <w:bottom w:val="none" w:sz="0" w:space="0" w:color="auto"/>
        <w:right w:val="none" w:sz="0" w:space="0" w:color="auto"/>
      </w:divBdr>
      <w:divsChild>
        <w:div w:id="1252008550">
          <w:marLeft w:val="0"/>
          <w:marRight w:val="0"/>
          <w:marTop w:val="0"/>
          <w:marBottom w:val="0"/>
          <w:divBdr>
            <w:top w:val="none" w:sz="0" w:space="0" w:color="auto"/>
            <w:left w:val="none" w:sz="0" w:space="0" w:color="auto"/>
            <w:bottom w:val="none" w:sz="0" w:space="0" w:color="auto"/>
            <w:right w:val="none" w:sz="0" w:space="0" w:color="auto"/>
          </w:divBdr>
        </w:div>
      </w:divsChild>
    </w:div>
    <w:div w:id="1121069960">
      <w:bodyDiv w:val="1"/>
      <w:marLeft w:val="0"/>
      <w:marRight w:val="0"/>
      <w:marTop w:val="0"/>
      <w:marBottom w:val="0"/>
      <w:divBdr>
        <w:top w:val="none" w:sz="0" w:space="0" w:color="auto"/>
        <w:left w:val="none" w:sz="0" w:space="0" w:color="auto"/>
        <w:bottom w:val="none" w:sz="0" w:space="0" w:color="auto"/>
        <w:right w:val="none" w:sz="0" w:space="0" w:color="auto"/>
      </w:divBdr>
      <w:divsChild>
        <w:div w:id="1264802791">
          <w:marLeft w:val="0"/>
          <w:marRight w:val="0"/>
          <w:marTop w:val="0"/>
          <w:marBottom w:val="0"/>
          <w:divBdr>
            <w:top w:val="none" w:sz="0" w:space="0" w:color="auto"/>
            <w:left w:val="none" w:sz="0" w:space="0" w:color="auto"/>
            <w:bottom w:val="none" w:sz="0" w:space="0" w:color="auto"/>
            <w:right w:val="none" w:sz="0" w:space="0" w:color="auto"/>
          </w:divBdr>
        </w:div>
      </w:divsChild>
    </w:div>
    <w:div w:id="1171457211">
      <w:bodyDiv w:val="1"/>
      <w:marLeft w:val="0"/>
      <w:marRight w:val="0"/>
      <w:marTop w:val="0"/>
      <w:marBottom w:val="0"/>
      <w:divBdr>
        <w:top w:val="none" w:sz="0" w:space="0" w:color="auto"/>
        <w:left w:val="none" w:sz="0" w:space="0" w:color="auto"/>
        <w:bottom w:val="none" w:sz="0" w:space="0" w:color="auto"/>
        <w:right w:val="none" w:sz="0" w:space="0" w:color="auto"/>
      </w:divBdr>
      <w:divsChild>
        <w:div w:id="953948594">
          <w:marLeft w:val="0"/>
          <w:marRight w:val="0"/>
          <w:marTop w:val="0"/>
          <w:marBottom w:val="0"/>
          <w:divBdr>
            <w:top w:val="none" w:sz="0" w:space="0" w:color="auto"/>
            <w:left w:val="none" w:sz="0" w:space="0" w:color="auto"/>
            <w:bottom w:val="none" w:sz="0" w:space="0" w:color="auto"/>
            <w:right w:val="none" w:sz="0" w:space="0" w:color="auto"/>
          </w:divBdr>
        </w:div>
      </w:divsChild>
    </w:div>
    <w:div w:id="1335721147">
      <w:bodyDiv w:val="1"/>
      <w:marLeft w:val="0"/>
      <w:marRight w:val="0"/>
      <w:marTop w:val="0"/>
      <w:marBottom w:val="0"/>
      <w:divBdr>
        <w:top w:val="none" w:sz="0" w:space="0" w:color="auto"/>
        <w:left w:val="none" w:sz="0" w:space="0" w:color="auto"/>
        <w:bottom w:val="none" w:sz="0" w:space="0" w:color="auto"/>
        <w:right w:val="none" w:sz="0" w:space="0" w:color="auto"/>
      </w:divBdr>
      <w:divsChild>
        <w:div w:id="1996641471">
          <w:marLeft w:val="0"/>
          <w:marRight w:val="0"/>
          <w:marTop w:val="0"/>
          <w:marBottom w:val="0"/>
          <w:divBdr>
            <w:top w:val="none" w:sz="0" w:space="0" w:color="auto"/>
            <w:left w:val="none" w:sz="0" w:space="0" w:color="auto"/>
            <w:bottom w:val="none" w:sz="0" w:space="0" w:color="auto"/>
            <w:right w:val="none" w:sz="0" w:space="0" w:color="auto"/>
          </w:divBdr>
        </w:div>
      </w:divsChild>
    </w:div>
    <w:div w:id="1363554103">
      <w:bodyDiv w:val="1"/>
      <w:marLeft w:val="0"/>
      <w:marRight w:val="0"/>
      <w:marTop w:val="0"/>
      <w:marBottom w:val="0"/>
      <w:divBdr>
        <w:top w:val="none" w:sz="0" w:space="0" w:color="auto"/>
        <w:left w:val="none" w:sz="0" w:space="0" w:color="auto"/>
        <w:bottom w:val="none" w:sz="0" w:space="0" w:color="auto"/>
        <w:right w:val="none" w:sz="0" w:space="0" w:color="auto"/>
      </w:divBdr>
      <w:divsChild>
        <w:div w:id="847211239">
          <w:marLeft w:val="0"/>
          <w:marRight w:val="0"/>
          <w:marTop w:val="0"/>
          <w:marBottom w:val="0"/>
          <w:divBdr>
            <w:top w:val="none" w:sz="0" w:space="0" w:color="auto"/>
            <w:left w:val="none" w:sz="0" w:space="0" w:color="auto"/>
            <w:bottom w:val="none" w:sz="0" w:space="0" w:color="auto"/>
            <w:right w:val="none" w:sz="0" w:space="0" w:color="auto"/>
          </w:divBdr>
        </w:div>
      </w:divsChild>
    </w:div>
    <w:div w:id="1393775866">
      <w:bodyDiv w:val="1"/>
      <w:marLeft w:val="0"/>
      <w:marRight w:val="0"/>
      <w:marTop w:val="0"/>
      <w:marBottom w:val="0"/>
      <w:divBdr>
        <w:top w:val="none" w:sz="0" w:space="0" w:color="auto"/>
        <w:left w:val="none" w:sz="0" w:space="0" w:color="auto"/>
        <w:bottom w:val="none" w:sz="0" w:space="0" w:color="auto"/>
        <w:right w:val="none" w:sz="0" w:space="0" w:color="auto"/>
      </w:divBdr>
      <w:divsChild>
        <w:div w:id="97213445">
          <w:marLeft w:val="0"/>
          <w:marRight w:val="0"/>
          <w:marTop w:val="0"/>
          <w:marBottom w:val="0"/>
          <w:divBdr>
            <w:top w:val="none" w:sz="0" w:space="0" w:color="auto"/>
            <w:left w:val="none" w:sz="0" w:space="0" w:color="auto"/>
            <w:bottom w:val="none" w:sz="0" w:space="0" w:color="auto"/>
            <w:right w:val="none" w:sz="0" w:space="0" w:color="auto"/>
          </w:divBdr>
        </w:div>
      </w:divsChild>
    </w:div>
    <w:div w:id="1420561153">
      <w:bodyDiv w:val="1"/>
      <w:marLeft w:val="0"/>
      <w:marRight w:val="0"/>
      <w:marTop w:val="0"/>
      <w:marBottom w:val="0"/>
      <w:divBdr>
        <w:top w:val="none" w:sz="0" w:space="0" w:color="auto"/>
        <w:left w:val="none" w:sz="0" w:space="0" w:color="auto"/>
        <w:bottom w:val="none" w:sz="0" w:space="0" w:color="auto"/>
        <w:right w:val="none" w:sz="0" w:space="0" w:color="auto"/>
      </w:divBdr>
      <w:divsChild>
        <w:div w:id="705372882">
          <w:marLeft w:val="0"/>
          <w:marRight w:val="0"/>
          <w:marTop w:val="0"/>
          <w:marBottom w:val="0"/>
          <w:divBdr>
            <w:top w:val="none" w:sz="0" w:space="0" w:color="auto"/>
            <w:left w:val="none" w:sz="0" w:space="0" w:color="auto"/>
            <w:bottom w:val="none" w:sz="0" w:space="0" w:color="auto"/>
            <w:right w:val="none" w:sz="0" w:space="0" w:color="auto"/>
          </w:divBdr>
        </w:div>
      </w:divsChild>
    </w:div>
    <w:div w:id="1424451474">
      <w:bodyDiv w:val="1"/>
      <w:marLeft w:val="0"/>
      <w:marRight w:val="0"/>
      <w:marTop w:val="0"/>
      <w:marBottom w:val="0"/>
      <w:divBdr>
        <w:top w:val="none" w:sz="0" w:space="0" w:color="auto"/>
        <w:left w:val="none" w:sz="0" w:space="0" w:color="auto"/>
        <w:bottom w:val="none" w:sz="0" w:space="0" w:color="auto"/>
        <w:right w:val="none" w:sz="0" w:space="0" w:color="auto"/>
      </w:divBdr>
      <w:divsChild>
        <w:div w:id="1806776916">
          <w:marLeft w:val="0"/>
          <w:marRight w:val="0"/>
          <w:marTop w:val="0"/>
          <w:marBottom w:val="0"/>
          <w:divBdr>
            <w:top w:val="none" w:sz="0" w:space="0" w:color="auto"/>
            <w:left w:val="none" w:sz="0" w:space="0" w:color="auto"/>
            <w:bottom w:val="none" w:sz="0" w:space="0" w:color="auto"/>
            <w:right w:val="none" w:sz="0" w:space="0" w:color="auto"/>
          </w:divBdr>
        </w:div>
      </w:divsChild>
    </w:div>
    <w:div w:id="1453132176">
      <w:bodyDiv w:val="1"/>
      <w:marLeft w:val="0"/>
      <w:marRight w:val="0"/>
      <w:marTop w:val="0"/>
      <w:marBottom w:val="0"/>
      <w:divBdr>
        <w:top w:val="none" w:sz="0" w:space="0" w:color="auto"/>
        <w:left w:val="none" w:sz="0" w:space="0" w:color="auto"/>
        <w:bottom w:val="none" w:sz="0" w:space="0" w:color="auto"/>
        <w:right w:val="none" w:sz="0" w:space="0" w:color="auto"/>
      </w:divBdr>
    </w:div>
    <w:div w:id="1476144575">
      <w:bodyDiv w:val="1"/>
      <w:marLeft w:val="0"/>
      <w:marRight w:val="0"/>
      <w:marTop w:val="0"/>
      <w:marBottom w:val="0"/>
      <w:divBdr>
        <w:top w:val="none" w:sz="0" w:space="0" w:color="auto"/>
        <w:left w:val="none" w:sz="0" w:space="0" w:color="auto"/>
        <w:bottom w:val="none" w:sz="0" w:space="0" w:color="auto"/>
        <w:right w:val="none" w:sz="0" w:space="0" w:color="auto"/>
      </w:divBdr>
    </w:div>
    <w:div w:id="1856189041">
      <w:bodyDiv w:val="1"/>
      <w:marLeft w:val="0"/>
      <w:marRight w:val="0"/>
      <w:marTop w:val="0"/>
      <w:marBottom w:val="0"/>
      <w:divBdr>
        <w:top w:val="none" w:sz="0" w:space="0" w:color="auto"/>
        <w:left w:val="none" w:sz="0" w:space="0" w:color="auto"/>
        <w:bottom w:val="none" w:sz="0" w:space="0" w:color="auto"/>
        <w:right w:val="none" w:sz="0" w:space="0" w:color="auto"/>
      </w:divBdr>
    </w:div>
    <w:div w:id="1966232813">
      <w:bodyDiv w:val="1"/>
      <w:marLeft w:val="0"/>
      <w:marRight w:val="0"/>
      <w:marTop w:val="0"/>
      <w:marBottom w:val="0"/>
      <w:divBdr>
        <w:top w:val="none" w:sz="0" w:space="0" w:color="auto"/>
        <w:left w:val="none" w:sz="0" w:space="0" w:color="auto"/>
        <w:bottom w:val="none" w:sz="0" w:space="0" w:color="auto"/>
        <w:right w:val="none" w:sz="0" w:space="0" w:color="auto"/>
      </w:divBdr>
      <w:divsChild>
        <w:div w:id="1404914850">
          <w:marLeft w:val="0"/>
          <w:marRight w:val="0"/>
          <w:marTop w:val="0"/>
          <w:marBottom w:val="0"/>
          <w:divBdr>
            <w:top w:val="none" w:sz="0" w:space="0" w:color="auto"/>
            <w:left w:val="none" w:sz="0" w:space="0" w:color="auto"/>
            <w:bottom w:val="none" w:sz="0" w:space="0" w:color="auto"/>
            <w:right w:val="none" w:sz="0" w:space="0" w:color="auto"/>
          </w:divBdr>
        </w:div>
      </w:divsChild>
    </w:div>
    <w:div w:id="1967000626">
      <w:bodyDiv w:val="1"/>
      <w:marLeft w:val="0"/>
      <w:marRight w:val="0"/>
      <w:marTop w:val="0"/>
      <w:marBottom w:val="0"/>
      <w:divBdr>
        <w:top w:val="none" w:sz="0" w:space="0" w:color="auto"/>
        <w:left w:val="none" w:sz="0" w:space="0" w:color="auto"/>
        <w:bottom w:val="none" w:sz="0" w:space="0" w:color="auto"/>
        <w:right w:val="none" w:sz="0" w:space="0" w:color="auto"/>
      </w:divBdr>
      <w:divsChild>
        <w:div w:id="1713189511">
          <w:marLeft w:val="0"/>
          <w:marRight w:val="0"/>
          <w:marTop w:val="0"/>
          <w:marBottom w:val="0"/>
          <w:divBdr>
            <w:top w:val="none" w:sz="0" w:space="0" w:color="auto"/>
            <w:left w:val="none" w:sz="0" w:space="0" w:color="auto"/>
            <w:bottom w:val="none" w:sz="0" w:space="0" w:color="auto"/>
            <w:right w:val="none" w:sz="0" w:space="0" w:color="auto"/>
          </w:divBdr>
        </w:div>
      </w:divsChild>
    </w:div>
    <w:div w:id="1999260825">
      <w:bodyDiv w:val="1"/>
      <w:marLeft w:val="0"/>
      <w:marRight w:val="0"/>
      <w:marTop w:val="0"/>
      <w:marBottom w:val="0"/>
      <w:divBdr>
        <w:top w:val="none" w:sz="0" w:space="0" w:color="auto"/>
        <w:left w:val="none" w:sz="0" w:space="0" w:color="auto"/>
        <w:bottom w:val="none" w:sz="0" w:space="0" w:color="auto"/>
        <w:right w:val="none" w:sz="0" w:space="0" w:color="auto"/>
      </w:divBdr>
      <w:divsChild>
        <w:div w:id="519710519">
          <w:marLeft w:val="0"/>
          <w:marRight w:val="0"/>
          <w:marTop w:val="0"/>
          <w:marBottom w:val="0"/>
          <w:divBdr>
            <w:top w:val="none" w:sz="0" w:space="0" w:color="auto"/>
            <w:left w:val="none" w:sz="0" w:space="0" w:color="auto"/>
            <w:bottom w:val="none" w:sz="0" w:space="0" w:color="auto"/>
            <w:right w:val="none" w:sz="0" w:space="0" w:color="auto"/>
          </w:divBdr>
        </w:div>
      </w:divsChild>
    </w:div>
    <w:div w:id="2012641141">
      <w:bodyDiv w:val="1"/>
      <w:marLeft w:val="0"/>
      <w:marRight w:val="0"/>
      <w:marTop w:val="0"/>
      <w:marBottom w:val="0"/>
      <w:divBdr>
        <w:top w:val="none" w:sz="0" w:space="0" w:color="auto"/>
        <w:left w:val="none" w:sz="0" w:space="0" w:color="auto"/>
        <w:bottom w:val="none" w:sz="0" w:space="0" w:color="auto"/>
        <w:right w:val="none" w:sz="0" w:space="0" w:color="auto"/>
      </w:divBdr>
      <w:divsChild>
        <w:div w:id="606885390">
          <w:marLeft w:val="0"/>
          <w:marRight w:val="0"/>
          <w:marTop w:val="0"/>
          <w:marBottom w:val="0"/>
          <w:divBdr>
            <w:top w:val="none" w:sz="0" w:space="0" w:color="auto"/>
            <w:left w:val="none" w:sz="0" w:space="0" w:color="auto"/>
            <w:bottom w:val="none" w:sz="0" w:space="0" w:color="auto"/>
            <w:right w:val="none" w:sz="0" w:space="0" w:color="auto"/>
          </w:divBdr>
        </w:div>
      </w:divsChild>
    </w:div>
    <w:div w:id="2057200529">
      <w:bodyDiv w:val="1"/>
      <w:marLeft w:val="0"/>
      <w:marRight w:val="0"/>
      <w:marTop w:val="0"/>
      <w:marBottom w:val="0"/>
      <w:divBdr>
        <w:top w:val="none" w:sz="0" w:space="0" w:color="auto"/>
        <w:left w:val="none" w:sz="0" w:space="0" w:color="auto"/>
        <w:bottom w:val="none" w:sz="0" w:space="0" w:color="auto"/>
        <w:right w:val="none" w:sz="0" w:space="0" w:color="auto"/>
      </w:divBdr>
      <w:divsChild>
        <w:div w:id="166141300">
          <w:marLeft w:val="0"/>
          <w:marRight w:val="0"/>
          <w:marTop w:val="0"/>
          <w:marBottom w:val="0"/>
          <w:divBdr>
            <w:top w:val="none" w:sz="0" w:space="0" w:color="auto"/>
            <w:left w:val="none" w:sz="0" w:space="0" w:color="auto"/>
            <w:bottom w:val="none" w:sz="0" w:space="0" w:color="auto"/>
            <w:right w:val="none" w:sz="0" w:space="0" w:color="auto"/>
          </w:divBdr>
        </w:div>
      </w:divsChild>
    </w:div>
    <w:div w:id="2103069177">
      <w:bodyDiv w:val="1"/>
      <w:marLeft w:val="0"/>
      <w:marRight w:val="0"/>
      <w:marTop w:val="0"/>
      <w:marBottom w:val="0"/>
      <w:divBdr>
        <w:top w:val="none" w:sz="0" w:space="0" w:color="auto"/>
        <w:left w:val="none" w:sz="0" w:space="0" w:color="auto"/>
        <w:bottom w:val="none" w:sz="0" w:space="0" w:color="auto"/>
        <w:right w:val="none" w:sz="0" w:space="0" w:color="auto"/>
      </w:divBdr>
      <w:divsChild>
        <w:div w:id="989404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www.gov.uk/government/statistics/electricity-chapter-5-digest-of-united-kingdom-energy-statistics-dukes"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50DF1-C0E3-4AD7-99EE-607D03BE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8020</Words>
  <Characters>45717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Raffaele Vinai</dc:creator>
  <cp:lastModifiedBy>Raffaele Vinai</cp:lastModifiedBy>
  <cp:revision>2</cp:revision>
  <cp:lastPrinted>2015-09-01T11:46:00Z</cp:lastPrinted>
  <dcterms:created xsi:type="dcterms:W3CDTF">2015-09-30T13:21:00Z</dcterms:created>
  <dcterms:modified xsi:type="dcterms:W3CDTF">2015-09-30T13:21:00Z</dcterms:modified>
</cp:coreProperties>
</file>