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D1D02F" w14:textId="77777777" w:rsidR="00BF11CF" w:rsidRDefault="001D1EEC" w:rsidP="00F362FA">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Explaining the Constitutional Drivers behind a Perceived Judicial Preference for Free Movement over Fundamental R</w:t>
      </w:r>
      <w:r w:rsidR="00F362FA">
        <w:rPr>
          <w:rFonts w:ascii="Times New Roman" w:hAnsi="Times New Roman" w:cs="Times New Roman"/>
          <w:b/>
          <w:sz w:val="24"/>
          <w:szCs w:val="24"/>
          <w:u w:val="single"/>
        </w:rPr>
        <w:t>ights</w:t>
      </w:r>
    </w:p>
    <w:p w14:paraId="252C8F11" w14:textId="77777777" w:rsidR="00F362FA" w:rsidRDefault="00F362FA" w:rsidP="00F362FA">
      <w:pPr>
        <w:pStyle w:val="NoSpacing"/>
        <w:jc w:val="center"/>
        <w:rPr>
          <w:rFonts w:ascii="Times New Roman" w:hAnsi="Times New Roman" w:cs="Times New Roman"/>
          <w:b/>
          <w:sz w:val="24"/>
          <w:szCs w:val="24"/>
          <w:u w:val="single"/>
        </w:rPr>
      </w:pPr>
    </w:p>
    <w:p w14:paraId="3979398C" w14:textId="77777777" w:rsidR="00F362FA" w:rsidRDefault="00F362FA" w:rsidP="00F362FA">
      <w:pPr>
        <w:pStyle w:val="NoSpacing"/>
        <w:jc w:val="center"/>
        <w:rPr>
          <w:rFonts w:ascii="Times New Roman" w:hAnsi="Times New Roman" w:cs="Times New Roman"/>
          <w:b/>
          <w:sz w:val="24"/>
          <w:szCs w:val="24"/>
          <w:u w:val="single"/>
        </w:rPr>
      </w:pPr>
    </w:p>
    <w:p w14:paraId="7AA17670" w14:textId="77777777" w:rsidR="00F362FA" w:rsidRDefault="00F362FA" w:rsidP="00F362FA">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t>Introduction</w:t>
      </w:r>
    </w:p>
    <w:p w14:paraId="1F49AAF0" w14:textId="77777777" w:rsidR="00F362FA" w:rsidRDefault="00F362FA" w:rsidP="00F362FA">
      <w:pPr>
        <w:pStyle w:val="NoSpacing"/>
        <w:rPr>
          <w:rFonts w:ascii="Times New Roman" w:hAnsi="Times New Roman" w:cs="Times New Roman"/>
          <w:b/>
          <w:sz w:val="24"/>
          <w:szCs w:val="24"/>
        </w:rPr>
      </w:pPr>
    </w:p>
    <w:p w14:paraId="682F8397" w14:textId="77777777" w:rsidR="007736B2" w:rsidRDefault="00F362FA" w:rsidP="00F362FA">
      <w:pPr>
        <w:pStyle w:val="NoSpacing"/>
        <w:jc w:val="both"/>
        <w:rPr>
          <w:rFonts w:ascii="Times New Roman" w:hAnsi="Times New Roman" w:cs="Times New Roman"/>
          <w:sz w:val="24"/>
          <w:szCs w:val="24"/>
        </w:rPr>
      </w:pPr>
      <w:r>
        <w:rPr>
          <w:rFonts w:ascii="Times New Roman" w:hAnsi="Times New Roman" w:cs="Times New Roman"/>
          <w:sz w:val="24"/>
          <w:szCs w:val="24"/>
        </w:rPr>
        <w:t xml:space="preserve">Particularly in the wake of its decisions in </w:t>
      </w:r>
      <w:r>
        <w:rPr>
          <w:rFonts w:ascii="Times New Roman" w:hAnsi="Times New Roman" w:cs="Times New Roman"/>
          <w:i/>
          <w:sz w:val="24"/>
          <w:szCs w:val="24"/>
        </w:rPr>
        <w:t xml:space="preserve">Viking </w:t>
      </w:r>
      <w:r>
        <w:rPr>
          <w:rFonts w:ascii="Times New Roman" w:hAnsi="Times New Roman" w:cs="Times New Roman"/>
          <w:sz w:val="24"/>
          <w:szCs w:val="24"/>
        </w:rPr>
        <w:t xml:space="preserve">and </w:t>
      </w:r>
      <w:r>
        <w:rPr>
          <w:rFonts w:ascii="Times New Roman" w:hAnsi="Times New Roman" w:cs="Times New Roman"/>
          <w:i/>
          <w:sz w:val="24"/>
          <w:szCs w:val="24"/>
        </w:rPr>
        <w:t>Laval</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the Co</w:t>
      </w:r>
      <w:r w:rsidR="0020317A">
        <w:rPr>
          <w:rFonts w:ascii="Times New Roman" w:hAnsi="Times New Roman" w:cs="Times New Roman"/>
          <w:sz w:val="24"/>
          <w:szCs w:val="24"/>
        </w:rPr>
        <w:t xml:space="preserve">urt of Justice </w:t>
      </w:r>
      <w:r>
        <w:rPr>
          <w:rFonts w:ascii="Times New Roman" w:hAnsi="Times New Roman" w:cs="Times New Roman"/>
          <w:sz w:val="24"/>
          <w:szCs w:val="24"/>
        </w:rPr>
        <w:t>has faced persistent criticism in the literature that it prioritises free movement over fundamental rights, in the event of a clash between the two.</w:t>
      </w:r>
      <w:r w:rsidR="007736B2">
        <w:rPr>
          <w:rFonts w:ascii="Times New Roman" w:hAnsi="Times New Roman" w:cs="Times New Roman"/>
          <w:sz w:val="24"/>
          <w:szCs w:val="24"/>
        </w:rPr>
        <w:t xml:space="preserve"> Specifically, ever since </w:t>
      </w:r>
      <w:r w:rsidR="007736B2">
        <w:rPr>
          <w:rFonts w:ascii="Times New Roman" w:hAnsi="Times New Roman" w:cs="Times New Roman"/>
          <w:i/>
          <w:sz w:val="24"/>
          <w:szCs w:val="24"/>
        </w:rPr>
        <w:t>Schmidberger,</w:t>
      </w:r>
      <w:r w:rsidR="002C61A3" w:rsidRPr="002C61A3">
        <w:rPr>
          <w:rStyle w:val="FootnoteReference"/>
          <w:rFonts w:ascii="Times New Roman" w:hAnsi="Times New Roman" w:cs="Times New Roman"/>
          <w:sz w:val="24"/>
          <w:szCs w:val="24"/>
        </w:rPr>
        <w:footnoteReference w:id="2"/>
      </w:r>
      <w:r w:rsidR="002C61A3">
        <w:rPr>
          <w:rFonts w:ascii="Times New Roman" w:hAnsi="Times New Roman" w:cs="Times New Roman"/>
          <w:sz w:val="24"/>
          <w:szCs w:val="24"/>
        </w:rPr>
        <w:t xml:space="preserve"> </w:t>
      </w:r>
      <w:r w:rsidR="007736B2">
        <w:rPr>
          <w:rFonts w:ascii="Times New Roman" w:hAnsi="Times New Roman" w:cs="Times New Roman"/>
          <w:sz w:val="24"/>
          <w:szCs w:val="24"/>
        </w:rPr>
        <w:t xml:space="preserve">commentators have expressed concern that the Court’s two-stage breach/justification methodology - whereby a </w:t>
      </w:r>
      <w:r w:rsidR="007736B2">
        <w:rPr>
          <w:rFonts w:ascii="Times New Roman" w:hAnsi="Times New Roman" w:cs="Times New Roman"/>
          <w:i/>
          <w:sz w:val="24"/>
          <w:szCs w:val="24"/>
        </w:rPr>
        <w:t>prima facie</w:t>
      </w:r>
      <w:r w:rsidR="007736B2">
        <w:rPr>
          <w:rFonts w:ascii="Times New Roman" w:hAnsi="Times New Roman" w:cs="Times New Roman"/>
          <w:sz w:val="24"/>
          <w:szCs w:val="24"/>
        </w:rPr>
        <w:t xml:space="preserve"> breach of free movement is established first, followed by the requirement that fundamental rights ‘defend’ themselves at the justifications stage  - places fundamental rights on the procedural ‘back-foot’.</w:t>
      </w:r>
      <w:r w:rsidR="007736B2">
        <w:rPr>
          <w:rStyle w:val="FootnoteReference"/>
          <w:rFonts w:ascii="Times New Roman" w:hAnsi="Times New Roman" w:cs="Times New Roman"/>
          <w:sz w:val="24"/>
          <w:szCs w:val="24"/>
        </w:rPr>
        <w:footnoteReference w:id="3"/>
      </w:r>
      <w:r w:rsidR="007736B2">
        <w:rPr>
          <w:rFonts w:ascii="Times New Roman" w:hAnsi="Times New Roman" w:cs="Times New Roman"/>
          <w:sz w:val="24"/>
          <w:szCs w:val="24"/>
        </w:rPr>
        <w:t xml:space="preserve"> At best, </w:t>
      </w:r>
      <w:r w:rsidR="009E5C85">
        <w:rPr>
          <w:rFonts w:ascii="Times New Roman" w:hAnsi="Times New Roman" w:cs="Times New Roman"/>
          <w:sz w:val="24"/>
          <w:szCs w:val="24"/>
        </w:rPr>
        <w:t>commentators have questioned the capacity for</w:t>
      </w:r>
      <w:r w:rsidR="001A55DD">
        <w:rPr>
          <w:rFonts w:ascii="Times New Roman" w:hAnsi="Times New Roman" w:cs="Times New Roman"/>
          <w:sz w:val="24"/>
          <w:szCs w:val="24"/>
        </w:rPr>
        <w:t xml:space="preserve"> the</w:t>
      </w:r>
      <w:r w:rsidR="009E5C85">
        <w:rPr>
          <w:rFonts w:ascii="Times New Roman" w:hAnsi="Times New Roman" w:cs="Times New Roman"/>
          <w:sz w:val="24"/>
          <w:szCs w:val="24"/>
        </w:rPr>
        <w:t xml:space="preserve"> judicial protection of fundamental rights by a Court that views its role as </w:t>
      </w:r>
      <w:r w:rsidR="0022403F">
        <w:rPr>
          <w:rFonts w:ascii="Times New Roman" w:hAnsi="Times New Roman" w:cs="Times New Roman"/>
          <w:sz w:val="24"/>
          <w:szCs w:val="24"/>
        </w:rPr>
        <w:t>one of ‘promoting and protecting the fundamental principles of [Union] law</w:t>
      </w:r>
      <w:r w:rsidR="004179C3">
        <w:rPr>
          <w:rFonts w:ascii="Times New Roman" w:hAnsi="Times New Roman" w:cs="Times New Roman"/>
          <w:sz w:val="24"/>
          <w:szCs w:val="24"/>
        </w:rPr>
        <w:t>’</w:t>
      </w:r>
      <w:r w:rsidR="0022403F">
        <w:rPr>
          <w:rFonts w:ascii="Times New Roman" w:hAnsi="Times New Roman" w:cs="Times New Roman"/>
          <w:sz w:val="24"/>
          <w:szCs w:val="24"/>
        </w:rPr>
        <w:t>,</w:t>
      </w:r>
      <w:r w:rsidR="002C61A3">
        <w:rPr>
          <w:rStyle w:val="FootnoteReference"/>
          <w:rFonts w:ascii="Times New Roman" w:hAnsi="Times New Roman" w:cs="Times New Roman"/>
          <w:sz w:val="24"/>
          <w:szCs w:val="24"/>
        </w:rPr>
        <w:footnoteReference w:id="4"/>
      </w:r>
      <w:r w:rsidR="0022403F">
        <w:rPr>
          <w:rFonts w:ascii="Times New Roman" w:hAnsi="Times New Roman" w:cs="Times New Roman"/>
          <w:sz w:val="24"/>
          <w:szCs w:val="24"/>
        </w:rPr>
        <w:t xml:space="preserve"> in which fundamental rights must be </w:t>
      </w:r>
      <w:r w:rsidR="00A27007">
        <w:rPr>
          <w:rFonts w:ascii="Times New Roman" w:hAnsi="Times New Roman" w:cs="Times New Roman"/>
          <w:sz w:val="24"/>
          <w:szCs w:val="24"/>
        </w:rPr>
        <w:t>recognised</w:t>
      </w:r>
      <w:r w:rsidR="0022403F">
        <w:rPr>
          <w:rFonts w:ascii="Times New Roman" w:hAnsi="Times New Roman" w:cs="Times New Roman"/>
          <w:sz w:val="24"/>
          <w:szCs w:val="24"/>
        </w:rPr>
        <w:t xml:space="preserve"> ‘within the framework of the structure and objectives of the Treaty’</w:t>
      </w:r>
      <w:r w:rsidR="004179C3">
        <w:rPr>
          <w:rFonts w:ascii="Times New Roman" w:hAnsi="Times New Roman" w:cs="Times New Roman"/>
          <w:sz w:val="24"/>
          <w:szCs w:val="24"/>
        </w:rPr>
        <w:t>.</w:t>
      </w:r>
      <w:r w:rsidR="002C61A3">
        <w:rPr>
          <w:rStyle w:val="FootnoteReference"/>
          <w:rFonts w:ascii="Times New Roman" w:hAnsi="Times New Roman" w:cs="Times New Roman"/>
          <w:sz w:val="24"/>
          <w:szCs w:val="24"/>
        </w:rPr>
        <w:footnoteReference w:id="5"/>
      </w:r>
      <w:r w:rsidR="00097794">
        <w:rPr>
          <w:rFonts w:ascii="Times New Roman" w:hAnsi="Times New Roman" w:cs="Times New Roman"/>
          <w:sz w:val="24"/>
          <w:szCs w:val="24"/>
        </w:rPr>
        <w:t xml:space="preserve"> At worst, it has been argued that </w:t>
      </w:r>
      <w:r w:rsidR="00097794">
        <w:rPr>
          <w:rFonts w:ascii="Times New Roman" w:hAnsi="Times New Roman" w:cs="Times New Roman"/>
          <w:i/>
          <w:sz w:val="24"/>
          <w:szCs w:val="24"/>
        </w:rPr>
        <w:t>Viking, Laval</w:t>
      </w:r>
      <w:r w:rsidR="00097794">
        <w:rPr>
          <w:rFonts w:ascii="Times New Roman" w:hAnsi="Times New Roman" w:cs="Times New Roman"/>
          <w:sz w:val="24"/>
          <w:szCs w:val="24"/>
        </w:rPr>
        <w:t xml:space="preserve">, and the Court’s subsequent judgments in </w:t>
      </w:r>
      <w:r w:rsidR="00097794">
        <w:rPr>
          <w:rFonts w:ascii="Times New Roman" w:hAnsi="Times New Roman" w:cs="Times New Roman"/>
          <w:i/>
          <w:sz w:val="24"/>
          <w:szCs w:val="24"/>
        </w:rPr>
        <w:t xml:space="preserve">Commission v Luxembourg </w:t>
      </w:r>
      <w:r w:rsidR="00097794">
        <w:rPr>
          <w:rFonts w:ascii="Times New Roman" w:hAnsi="Times New Roman" w:cs="Times New Roman"/>
          <w:sz w:val="24"/>
          <w:szCs w:val="24"/>
        </w:rPr>
        <w:t xml:space="preserve">and </w:t>
      </w:r>
      <w:r w:rsidR="00097794">
        <w:rPr>
          <w:rFonts w:ascii="Times New Roman" w:hAnsi="Times New Roman" w:cs="Times New Roman"/>
          <w:i/>
          <w:sz w:val="24"/>
          <w:szCs w:val="24"/>
        </w:rPr>
        <w:t>Rüffert</w:t>
      </w:r>
      <w:r w:rsidR="00097794">
        <w:rPr>
          <w:rFonts w:ascii="Times New Roman" w:hAnsi="Times New Roman" w:cs="Times New Roman"/>
          <w:sz w:val="24"/>
          <w:szCs w:val="24"/>
        </w:rPr>
        <w:t>,</w:t>
      </w:r>
      <w:r w:rsidR="00844996">
        <w:rPr>
          <w:rStyle w:val="FootnoteReference"/>
          <w:rFonts w:ascii="Times New Roman" w:hAnsi="Times New Roman" w:cs="Times New Roman"/>
          <w:sz w:val="24"/>
          <w:szCs w:val="24"/>
        </w:rPr>
        <w:footnoteReference w:id="6"/>
      </w:r>
      <w:r w:rsidR="00097794">
        <w:rPr>
          <w:rFonts w:ascii="Times New Roman" w:hAnsi="Times New Roman" w:cs="Times New Roman"/>
          <w:sz w:val="24"/>
          <w:szCs w:val="24"/>
        </w:rPr>
        <w:t xml:space="preserve"> demonstrate a distinct preference for</w:t>
      </w:r>
      <w:r w:rsidR="006E7414">
        <w:rPr>
          <w:rFonts w:ascii="Times New Roman" w:hAnsi="Times New Roman" w:cs="Times New Roman"/>
          <w:sz w:val="24"/>
          <w:szCs w:val="24"/>
        </w:rPr>
        <w:t xml:space="preserve"> the </w:t>
      </w:r>
      <w:r w:rsidR="009E5C85">
        <w:rPr>
          <w:rFonts w:ascii="Times New Roman" w:hAnsi="Times New Roman" w:cs="Times New Roman"/>
          <w:sz w:val="24"/>
          <w:szCs w:val="24"/>
        </w:rPr>
        <w:t>(neo-)</w:t>
      </w:r>
      <w:r w:rsidR="006E7414">
        <w:rPr>
          <w:rFonts w:ascii="Times New Roman" w:hAnsi="Times New Roman" w:cs="Times New Roman"/>
          <w:sz w:val="24"/>
          <w:szCs w:val="24"/>
        </w:rPr>
        <w:t>liberal spirit of free movement over fundamental rights and connected social concerns.</w:t>
      </w:r>
      <w:r w:rsidR="006E7414">
        <w:rPr>
          <w:rStyle w:val="FootnoteReference"/>
          <w:rFonts w:ascii="Times New Roman" w:hAnsi="Times New Roman" w:cs="Times New Roman"/>
          <w:sz w:val="24"/>
          <w:szCs w:val="24"/>
        </w:rPr>
        <w:footnoteReference w:id="7"/>
      </w:r>
    </w:p>
    <w:p w14:paraId="01D81FDC" w14:textId="77777777" w:rsidR="00F362FA" w:rsidRDefault="00F362FA" w:rsidP="00F362FA">
      <w:pPr>
        <w:pStyle w:val="NoSpacing"/>
        <w:jc w:val="both"/>
        <w:rPr>
          <w:rFonts w:ascii="Times New Roman" w:hAnsi="Times New Roman" w:cs="Times New Roman"/>
          <w:sz w:val="24"/>
          <w:szCs w:val="24"/>
        </w:rPr>
      </w:pPr>
    </w:p>
    <w:p w14:paraId="5B4AF2E4" w14:textId="77777777" w:rsidR="00C50B33" w:rsidRDefault="001F04FB" w:rsidP="00F362FA">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This article accepts that fundamental rights are placed at a clear structural disadvantage as a consequence of the Court’s adjudicative methodology. In particular, assessment at the justification phase, and the resultant application of a one-sided proportionality test, imposes </w:t>
      </w:r>
      <w:bookmarkStart w:id="0" w:name="_GoBack"/>
      <w:bookmarkEnd w:id="0"/>
      <w:r>
        <w:rPr>
          <w:rFonts w:ascii="Times New Roman" w:hAnsi="Times New Roman" w:cs="Times New Roman"/>
          <w:sz w:val="24"/>
          <w:szCs w:val="24"/>
        </w:rPr>
        <w:t>evidentiary hurdles on fundamental rights not faced by free movement, namely questions of legitimacy of aim, appropriateness, and necessity.</w:t>
      </w:r>
      <w:r w:rsidR="00400750">
        <w:rPr>
          <w:rFonts w:ascii="Times New Roman" w:hAnsi="Times New Roman" w:cs="Times New Roman"/>
          <w:sz w:val="24"/>
          <w:szCs w:val="24"/>
        </w:rPr>
        <w:t xml:space="preserve"> However,</w:t>
      </w:r>
      <w:r w:rsidR="003B15CC">
        <w:rPr>
          <w:rFonts w:ascii="Times New Roman" w:hAnsi="Times New Roman" w:cs="Times New Roman"/>
          <w:sz w:val="24"/>
          <w:szCs w:val="24"/>
        </w:rPr>
        <w:t xml:space="preserve"> while the article accepts that a preference for free movement over fundamental rights undoubtedly exists, it rejects the argument that this is the consequence of some contestable subjective attitude on the part of the Court. </w:t>
      </w:r>
      <w:r w:rsidR="00A52A3E">
        <w:rPr>
          <w:rFonts w:ascii="Times New Roman" w:hAnsi="Times New Roman" w:cs="Times New Roman"/>
          <w:sz w:val="24"/>
          <w:szCs w:val="24"/>
        </w:rPr>
        <w:t>Instead</w:t>
      </w:r>
      <w:r w:rsidR="003B15CC">
        <w:rPr>
          <w:rFonts w:ascii="Times New Roman" w:hAnsi="Times New Roman" w:cs="Times New Roman"/>
          <w:sz w:val="24"/>
          <w:szCs w:val="24"/>
        </w:rPr>
        <w:t>, it</w:t>
      </w:r>
      <w:r w:rsidR="004D3EB2">
        <w:rPr>
          <w:rFonts w:ascii="Times New Roman" w:hAnsi="Times New Roman" w:cs="Times New Roman"/>
          <w:sz w:val="24"/>
          <w:szCs w:val="24"/>
        </w:rPr>
        <w:t xml:space="preserve"> seeks to develop the</w:t>
      </w:r>
      <w:r w:rsidR="00A27007">
        <w:rPr>
          <w:rFonts w:ascii="Times New Roman" w:hAnsi="Times New Roman" w:cs="Times New Roman"/>
          <w:sz w:val="24"/>
          <w:szCs w:val="24"/>
        </w:rPr>
        <w:t xml:space="preserve"> position that the relationship between free movement and fundamental rights is influenced by the former’s historical significance. </w:t>
      </w:r>
      <w:r w:rsidR="003D4306">
        <w:rPr>
          <w:rFonts w:ascii="Times New Roman" w:hAnsi="Times New Roman" w:cs="Times New Roman"/>
          <w:sz w:val="24"/>
          <w:szCs w:val="24"/>
        </w:rPr>
        <w:t xml:space="preserve">In particular, it is </w:t>
      </w:r>
      <w:r w:rsidR="003D4306">
        <w:rPr>
          <w:rFonts w:ascii="Times New Roman" w:hAnsi="Times New Roman" w:cs="Times New Roman"/>
          <w:sz w:val="24"/>
          <w:szCs w:val="24"/>
        </w:rPr>
        <w:lastRenderedPageBreak/>
        <w:t xml:space="preserve">often simply accepted that the centrality of free movement to the Union project is a strong contributor to the production of the structurally imbalanced breach/justification model. However, what is </w:t>
      </w:r>
      <w:r w:rsidR="00A27007">
        <w:rPr>
          <w:rFonts w:ascii="Times New Roman" w:hAnsi="Times New Roman" w:cs="Times New Roman"/>
          <w:sz w:val="24"/>
          <w:szCs w:val="24"/>
        </w:rPr>
        <w:t xml:space="preserve">largely </w:t>
      </w:r>
      <w:r w:rsidR="003D4306">
        <w:rPr>
          <w:rFonts w:ascii="Times New Roman" w:hAnsi="Times New Roman" w:cs="Times New Roman"/>
          <w:sz w:val="24"/>
          <w:szCs w:val="24"/>
        </w:rPr>
        <w:t xml:space="preserve">absent from the literature is a deeper analysis of the constitutional drivers that have both reinforced </w:t>
      </w:r>
      <w:r w:rsidR="00265832">
        <w:rPr>
          <w:rFonts w:ascii="Times New Roman" w:hAnsi="Times New Roman" w:cs="Times New Roman"/>
          <w:sz w:val="24"/>
          <w:szCs w:val="24"/>
        </w:rPr>
        <w:t>the significance of free movement and carried this over into interactions between free movement and fundamental rights</w:t>
      </w:r>
      <w:r w:rsidR="00623CBA">
        <w:rPr>
          <w:rFonts w:ascii="Times New Roman" w:hAnsi="Times New Roman" w:cs="Times New Roman"/>
          <w:sz w:val="24"/>
          <w:szCs w:val="24"/>
        </w:rPr>
        <w:t>, in order to explain this occurrence</w:t>
      </w:r>
      <w:r w:rsidR="00265832">
        <w:rPr>
          <w:rFonts w:ascii="Times New Roman" w:hAnsi="Times New Roman" w:cs="Times New Roman"/>
          <w:sz w:val="24"/>
          <w:szCs w:val="24"/>
        </w:rPr>
        <w:t>. A diagnostic analy</w:t>
      </w:r>
      <w:r w:rsidR="00A27007">
        <w:rPr>
          <w:rFonts w:ascii="Times New Roman" w:hAnsi="Times New Roman" w:cs="Times New Roman"/>
          <w:sz w:val="24"/>
          <w:szCs w:val="24"/>
        </w:rPr>
        <w:t>sis of these underlying causes is</w:t>
      </w:r>
      <w:r w:rsidR="00265832">
        <w:rPr>
          <w:rFonts w:ascii="Times New Roman" w:hAnsi="Times New Roman" w:cs="Times New Roman"/>
          <w:sz w:val="24"/>
          <w:szCs w:val="24"/>
        </w:rPr>
        <w:t xml:space="preserve"> vital for future consideration of how to address</w:t>
      </w:r>
      <w:r w:rsidR="00623CBA">
        <w:rPr>
          <w:rFonts w:ascii="Times New Roman" w:hAnsi="Times New Roman" w:cs="Times New Roman"/>
          <w:sz w:val="24"/>
          <w:szCs w:val="24"/>
        </w:rPr>
        <w:t xml:space="preserve"> the inherent imbalance in the current adjudicative framework</w:t>
      </w:r>
      <w:r w:rsidR="00A27007">
        <w:rPr>
          <w:rFonts w:ascii="Times New Roman" w:hAnsi="Times New Roman" w:cs="Times New Roman"/>
          <w:sz w:val="24"/>
          <w:szCs w:val="24"/>
        </w:rPr>
        <w:t xml:space="preserve">. </w:t>
      </w:r>
      <w:r w:rsidR="00174A25">
        <w:rPr>
          <w:rFonts w:ascii="Times New Roman" w:hAnsi="Times New Roman" w:cs="Times New Roman"/>
          <w:sz w:val="24"/>
          <w:szCs w:val="24"/>
        </w:rPr>
        <w:t>The article will demonstrate that t</w:t>
      </w:r>
      <w:r w:rsidR="00A27007">
        <w:rPr>
          <w:rFonts w:ascii="Times New Roman" w:hAnsi="Times New Roman" w:cs="Times New Roman"/>
          <w:sz w:val="24"/>
          <w:szCs w:val="24"/>
        </w:rPr>
        <w:t>he</w:t>
      </w:r>
      <w:r w:rsidR="00623CBA">
        <w:rPr>
          <w:rFonts w:ascii="Times New Roman" w:hAnsi="Times New Roman" w:cs="Times New Roman"/>
          <w:sz w:val="24"/>
          <w:szCs w:val="24"/>
        </w:rPr>
        <w:t xml:space="preserve"> breach/justification model</w:t>
      </w:r>
      <w:r w:rsidR="00A27007">
        <w:rPr>
          <w:rFonts w:ascii="Times New Roman" w:hAnsi="Times New Roman" w:cs="Times New Roman"/>
          <w:sz w:val="24"/>
          <w:szCs w:val="24"/>
        </w:rPr>
        <w:t xml:space="preserve"> is the result of a complex combination of long-term structural factors and wider-reaching constitu</w:t>
      </w:r>
      <w:r w:rsidR="00174A25">
        <w:rPr>
          <w:rFonts w:ascii="Times New Roman" w:hAnsi="Times New Roman" w:cs="Times New Roman"/>
          <w:sz w:val="24"/>
          <w:szCs w:val="24"/>
        </w:rPr>
        <w:t>tional developments. Consequently,</w:t>
      </w:r>
      <w:r w:rsidR="00623CBA">
        <w:rPr>
          <w:rFonts w:ascii="Times New Roman" w:hAnsi="Times New Roman" w:cs="Times New Roman"/>
          <w:sz w:val="24"/>
          <w:szCs w:val="24"/>
        </w:rPr>
        <w:t xml:space="preserve"> changes to adjudicative methodology, while perhaps welcome, must be carefully considered</w:t>
      </w:r>
      <w:r w:rsidR="00174A25">
        <w:rPr>
          <w:rFonts w:ascii="Times New Roman" w:hAnsi="Times New Roman" w:cs="Times New Roman"/>
          <w:sz w:val="24"/>
          <w:szCs w:val="24"/>
        </w:rPr>
        <w:t xml:space="preserve"> since</w:t>
      </w:r>
      <w:r w:rsidR="00623CBA">
        <w:rPr>
          <w:rFonts w:ascii="Times New Roman" w:hAnsi="Times New Roman" w:cs="Times New Roman"/>
          <w:sz w:val="24"/>
          <w:szCs w:val="24"/>
        </w:rPr>
        <w:t xml:space="preserve"> the current approach is </w:t>
      </w:r>
      <w:r w:rsidR="00A27007">
        <w:rPr>
          <w:rFonts w:ascii="Times New Roman" w:hAnsi="Times New Roman" w:cs="Times New Roman"/>
          <w:sz w:val="24"/>
          <w:szCs w:val="24"/>
        </w:rPr>
        <w:t xml:space="preserve">inextricably linked to fundamentals of the Union’s constitutional system.  </w:t>
      </w:r>
      <w:r w:rsidR="00265832">
        <w:rPr>
          <w:rFonts w:ascii="Times New Roman" w:hAnsi="Times New Roman" w:cs="Times New Roman"/>
          <w:sz w:val="24"/>
          <w:szCs w:val="24"/>
        </w:rPr>
        <w:t xml:space="preserve">  </w:t>
      </w:r>
    </w:p>
    <w:p w14:paraId="655508F8" w14:textId="77777777" w:rsidR="00261D44" w:rsidRDefault="001F04FB" w:rsidP="00F362FA">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14:paraId="0A45F168" w14:textId="073BADA3" w:rsidR="00261D44" w:rsidRDefault="0054430E" w:rsidP="00F362FA">
      <w:pPr>
        <w:pStyle w:val="NoSpacing"/>
        <w:jc w:val="both"/>
        <w:rPr>
          <w:rFonts w:ascii="Times New Roman" w:hAnsi="Times New Roman" w:cs="Times New Roman"/>
          <w:sz w:val="24"/>
          <w:szCs w:val="24"/>
        </w:rPr>
      </w:pPr>
      <w:r>
        <w:rPr>
          <w:rFonts w:ascii="Times New Roman" w:hAnsi="Times New Roman" w:cs="Times New Roman"/>
          <w:sz w:val="24"/>
          <w:szCs w:val="24"/>
        </w:rPr>
        <w:t>In order to unpack this argument, section two will contrast the historical framework for the promotion of the market freedoms against the very different introduction of fundamental rights protection into the Union constitutional order.</w:t>
      </w:r>
      <w:r w:rsidR="00F62E27">
        <w:rPr>
          <w:rFonts w:ascii="Times New Roman" w:hAnsi="Times New Roman" w:cs="Times New Roman"/>
          <w:sz w:val="24"/>
          <w:szCs w:val="24"/>
        </w:rPr>
        <w:t xml:space="preserve"> Crucially, this serves to underline that a structural preference for free movement can be viewed as historically </w:t>
      </w:r>
      <w:r w:rsidR="00D26191">
        <w:rPr>
          <w:rFonts w:ascii="Times New Roman" w:hAnsi="Times New Roman" w:cs="Times New Roman"/>
          <w:sz w:val="24"/>
          <w:szCs w:val="24"/>
        </w:rPr>
        <w:t>explainable</w:t>
      </w:r>
      <w:r w:rsidR="00F62E27">
        <w:rPr>
          <w:rFonts w:ascii="Times New Roman" w:hAnsi="Times New Roman" w:cs="Times New Roman"/>
          <w:sz w:val="24"/>
          <w:szCs w:val="24"/>
        </w:rPr>
        <w:t xml:space="preserve"> given the core objectives of t</w:t>
      </w:r>
      <w:r w:rsidR="00710713">
        <w:rPr>
          <w:rFonts w:ascii="Times New Roman" w:hAnsi="Times New Roman" w:cs="Times New Roman"/>
          <w:sz w:val="24"/>
          <w:szCs w:val="24"/>
        </w:rPr>
        <w:t>he European Economic Community [EEC]</w:t>
      </w:r>
      <w:r w:rsidR="00F62E27">
        <w:rPr>
          <w:rFonts w:ascii="Times New Roman" w:hAnsi="Times New Roman" w:cs="Times New Roman"/>
          <w:sz w:val="24"/>
          <w:szCs w:val="24"/>
        </w:rPr>
        <w:t xml:space="preserve">, the originally narrow scope of the free movement provisions, and the consequent limited risk of interaction with fundamental rights. </w:t>
      </w:r>
      <w:r w:rsidR="00174A25">
        <w:rPr>
          <w:rFonts w:ascii="Times New Roman" w:hAnsi="Times New Roman" w:cs="Times New Roman"/>
          <w:sz w:val="24"/>
          <w:szCs w:val="24"/>
        </w:rPr>
        <w:t>However, as noted above, generally accepted assertions about the centrality of free movement to Union law are not enough to explain</w:t>
      </w:r>
      <w:r w:rsidR="00D0654B">
        <w:rPr>
          <w:rFonts w:ascii="Times New Roman" w:hAnsi="Times New Roman" w:cs="Times New Roman"/>
          <w:sz w:val="24"/>
          <w:szCs w:val="24"/>
        </w:rPr>
        <w:t xml:space="preserve"> fully the</w:t>
      </w:r>
      <w:r w:rsidR="00174A25">
        <w:rPr>
          <w:rFonts w:ascii="Times New Roman" w:hAnsi="Times New Roman" w:cs="Times New Roman"/>
          <w:sz w:val="24"/>
          <w:szCs w:val="24"/>
        </w:rPr>
        <w:t xml:space="preserve"> current approaches to resolving tensions between free movement and fundamental rights. Therefore, s</w:t>
      </w:r>
      <w:r w:rsidR="00D26191">
        <w:rPr>
          <w:rFonts w:ascii="Times New Roman" w:hAnsi="Times New Roman" w:cs="Times New Roman"/>
          <w:sz w:val="24"/>
          <w:szCs w:val="24"/>
        </w:rPr>
        <w:t>ection three will proceed to</w:t>
      </w:r>
      <w:r w:rsidR="002D3E45">
        <w:rPr>
          <w:rFonts w:ascii="Times New Roman" w:hAnsi="Times New Roman" w:cs="Times New Roman"/>
          <w:sz w:val="24"/>
          <w:szCs w:val="24"/>
        </w:rPr>
        <w:t xml:space="preserve"> chart the </w:t>
      </w:r>
      <w:r>
        <w:rPr>
          <w:rFonts w:ascii="Times New Roman" w:hAnsi="Times New Roman" w:cs="Times New Roman"/>
          <w:sz w:val="24"/>
          <w:szCs w:val="24"/>
        </w:rPr>
        <w:t>transformation of free movement law</w:t>
      </w:r>
      <w:r w:rsidR="00D0654B">
        <w:rPr>
          <w:rFonts w:ascii="Times New Roman" w:hAnsi="Times New Roman" w:cs="Times New Roman"/>
          <w:sz w:val="24"/>
          <w:szCs w:val="24"/>
        </w:rPr>
        <w:t xml:space="preserve">, and juxtapose this with the relatively independent development of EU fundamental rights protection. This will permit important consideration of </w:t>
      </w:r>
      <w:r w:rsidR="00174A25">
        <w:rPr>
          <w:rFonts w:ascii="Times New Roman" w:hAnsi="Times New Roman" w:cs="Times New Roman"/>
          <w:sz w:val="24"/>
          <w:szCs w:val="24"/>
        </w:rPr>
        <w:t>the constitutional drivers</w:t>
      </w:r>
      <w:r w:rsidR="002D3E45">
        <w:rPr>
          <w:rFonts w:ascii="Times New Roman" w:hAnsi="Times New Roman" w:cs="Times New Roman"/>
          <w:sz w:val="24"/>
          <w:szCs w:val="24"/>
        </w:rPr>
        <w:t xml:space="preserve"> that </w:t>
      </w:r>
      <w:r w:rsidR="00F86DE6">
        <w:rPr>
          <w:rFonts w:ascii="Times New Roman" w:hAnsi="Times New Roman" w:cs="Times New Roman"/>
          <w:sz w:val="24"/>
          <w:szCs w:val="24"/>
        </w:rPr>
        <w:t>brought free movement into more frequent</w:t>
      </w:r>
      <w:r w:rsidR="0078124A">
        <w:rPr>
          <w:rFonts w:ascii="Times New Roman" w:hAnsi="Times New Roman" w:cs="Times New Roman"/>
          <w:sz w:val="24"/>
          <w:szCs w:val="24"/>
        </w:rPr>
        <w:t xml:space="preserve"> and more abrasive</w:t>
      </w:r>
      <w:r w:rsidR="00F86DE6">
        <w:rPr>
          <w:rFonts w:ascii="Times New Roman" w:hAnsi="Times New Roman" w:cs="Times New Roman"/>
          <w:sz w:val="24"/>
          <w:szCs w:val="24"/>
        </w:rPr>
        <w:t xml:space="preserve"> conta</w:t>
      </w:r>
      <w:r w:rsidR="00955C7A">
        <w:rPr>
          <w:rFonts w:ascii="Times New Roman" w:hAnsi="Times New Roman" w:cs="Times New Roman"/>
          <w:sz w:val="24"/>
          <w:szCs w:val="24"/>
        </w:rPr>
        <w:t xml:space="preserve">ct with fundamental rights, </w:t>
      </w:r>
      <w:r w:rsidR="002D3E45">
        <w:rPr>
          <w:rFonts w:ascii="Times New Roman" w:hAnsi="Times New Roman" w:cs="Times New Roman"/>
          <w:sz w:val="24"/>
          <w:szCs w:val="24"/>
        </w:rPr>
        <w:t>render</w:t>
      </w:r>
      <w:r w:rsidR="00955C7A">
        <w:rPr>
          <w:rFonts w:ascii="Times New Roman" w:hAnsi="Times New Roman" w:cs="Times New Roman"/>
          <w:sz w:val="24"/>
          <w:szCs w:val="24"/>
        </w:rPr>
        <w:t xml:space="preserve">ing </w:t>
      </w:r>
      <w:r w:rsidR="002D3E45">
        <w:rPr>
          <w:rFonts w:ascii="Times New Roman" w:hAnsi="Times New Roman" w:cs="Times New Roman"/>
          <w:sz w:val="24"/>
          <w:szCs w:val="24"/>
        </w:rPr>
        <w:t>a previously unproblematic adjudicative me</w:t>
      </w:r>
      <w:r w:rsidR="00477D1A">
        <w:rPr>
          <w:rFonts w:ascii="Times New Roman" w:hAnsi="Times New Roman" w:cs="Times New Roman"/>
          <w:sz w:val="24"/>
          <w:szCs w:val="24"/>
        </w:rPr>
        <w:t>thodology</w:t>
      </w:r>
      <w:r w:rsidR="00F86DE6">
        <w:rPr>
          <w:rFonts w:ascii="Times New Roman" w:hAnsi="Times New Roman" w:cs="Times New Roman"/>
          <w:sz w:val="24"/>
          <w:szCs w:val="24"/>
        </w:rPr>
        <w:t xml:space="preserve"> </w:t>
      </w:r>
      <w:r w:rsidR="00477D1A">
        <w:rPr>
          <w:rFonts w:ascii="Times New Roman" w:hAnsi="Times New Roman" w:cs="Times New Roman"/>
          <w:sz w:val="24"/>
          <w:szCs w:val="24"/>
        </w:rPr>
        <w:t>a cause for concern</w:t>
      </w:r>
      <w:r w:rsidR="00F86DE6">
        <w:rPr>
          <w:rFonts w:ascii="Times New Roman" w:hAnsi="Times New Roman" w:cs="Times New Roman"/>
          <w:sz w:val="24"/>
          <w:szCs w:val="24"/>
        </w:rPr>
        <w:t>.</w:t>
      </w:r>
      <w:r w:rsidR="002D3E45">
        <w:rPr>
          <w:rFonts w:ascii="Times New Roman" w:hAnsi="Times New Roman" w:cs="Times New Roman"/>
          <w:sz w:val="24"/>
          <w:szCs w:val="24"/>
        </w:rPr>
        <w:t xml:space="preserve"> </w:t>
      </w:r>
      <w:r w:rsidR="00D26191">
        <w:rPr>
          <w:rFonts w:ascii="Times New Roman" w:hAnsi="Times New Roman" w:cs="Times New Roman"/>
          <w:sz w:val="24"/>
          <w:szCs w:val="24"/>
        </w:rPr>
        <w:t>The discussion will focus in particular on the expansion of the material scope of the market freedoms, the widening of their personal scope, the extension of their direct effect, and the strengthening of a decentralised system of enforcement. S</w:t>
      </w:r>
      <w:r w:rsidR="002D3E45">
        <w:rPr>
          <w:rFonts w:ascii="Times New Roman" w:hAnsi="Times New Roman" w:cs="Times New Roman"/>
          <w:sz w:val="24"/>
          <w:szCs w:val="24"/>
        </w:rPr>
        <w:t>ection four will</w:t>
      </w:r>
      <w:r w:rsidR="00D26191">
        <w:rPr>
          <w:rFonts w:ascii="Times New Roman" w:hAnsi="Times New Roman" w:cs="Times New Roman"/>
          <w:sz w:val="24"/>
          <w:szCs w:val="24"/>
        </w:rPr>
        <w:t xml:space="preserve"> then</w:t>
      </w:r>
      <w:r w:rsidR="00F86DE6">
        <w:rPr>
          <w:rFonts w:ascii="Times New Roman" w:hAnsi="Times New Roman" w:cs="Times New Roman"/>
          <w:sz w:val="24"/>
          <w:szCs w:val="24"/>
        </w:rPr>
        <w:t xml:space="preserve"> </w:t>
      </w:r>
      <w:r w:rsidR="002D3E45">
        <w:rPr>
          <w:rFonts w:ascii="Times New Roman" w:hAnsi="Times New Roman" w:cs="Times New Roman"/>
          <w:sz w:val="24"/>
          <w:szCs w:val="24"/>
        </w:rPr>
        <w:t xml:space="preserve">explore these constitutional evolutions from the </w:t>
      </w:r>
      <w:r w:rsidR="00B117AC">
        <w:rPr>
          <w:rFonts w:ascii="Times New Roman" w:hAnsi="Times New Roman" w:cs="Times New Roman"/>
          <w:sz w:val="24"/>
          <w:szCs w:val="24"/>
        </w:rPr>
        <w:t xml:space="preserve">specific </w:t>
      </w:r>
      <w:r w:rsidR="002D3E45">
        <w:rPr>
          <w:rFonts w:ascii="Times New Roman" w:hAnsi="Times New Roman" w:cs="Times New Roman"/>
          <w:sz w:val="24"/>
          <w:szCs w:val="24"/>
        </w:rPr>
        <w:t>perspective of the emergence of a structural preference for free movement</w:t>
      </w:r>
      <w:r w:rsidR="003860CB">
        <w:rPr>
          <w:rFonts w:ascii="Times New Roman" w:hAnsi="Times New Roman" w:cs="Times New Roman"/>
          <w:sz w:val="24"/>
          <w:szCs w:val="24"/>
        </w:rPr>
        <w:t xml:space="preserve"> </w:t>
      </w:r>
      <w:r w:rsidR="00B117AC">
        <w:rPr>
          <w:rFonts w:ascii="Times New Roman" w:hAnsi="Times New Roman" w:cs="Times New Roman"/>
          <w:sz w:val="24"/>
          <w:szCs w:val="24"/>
        </w:rPr>
        <w:t>over</w:t>
      </w:r>
      <w:r w:rsidR="002D3E45">
        <w:rPr>
          <w:rFonts w:ascii="Times New Roman" w:hAnsi="Times New Roman" w:cs="Times New Roman"/>
          <w:sz w:val="24"/>
          <w:szCs w:val="24"/>
        </w:rPr>
        <w:t xml:space="preserve"> fundamental rights</w:t>
      </w:r>
      <w:r w:rsidR="00F86DE6">
        <w:rPr>
          <w:rFonts w:ascii="Times New Roman" w:hAnsi="Times New Roman" w:cs="Times New Roman"/>
          <w:sz w:val="24"/>
          <w:szCs w:val="24"/>
        </w:rPr>
        <w:t>, and examine the co</w:t>
      </w:r>
      <w:r w:rsidR="00261D44">
        <w:rPr>
          <w:rFonts w:ascii="Times New Roman" w:hAnsi="Times New Roman" w:cs="Times New Roman"/>
          <w:sz w:val="24"/>
          <w:szCs w:val="24"/>
        </w:rPr>
        <w:t>ncrete impact of this procedural imbalance</w:t>
      </w:r>
      <w:r w:rsidR="003860CB">
        <w:rPr>
          <w:rFonts w:ascii="Times New Roman" w:hAnsi="Times New Roman" w:cs="Times New Roman"/>
          <w:sz w:val="24"/>
          <w:szCs w:val="24"/>
        </w:rPr>
        <w:t xml:space="preserve"> on</w:t>
      </w:r>
      <w:r w:rsidR="00F86DE6">
        <w:rPr>
          <w:rFonts w:ascii="Times New Roman" w:hAnsi="Times New Roman" w:cs="Times New Roman"/>
          <w:sz w:val="24"/>
          <w:szCs w:val="24"/>
        </w:rPr>
        <w:t xml:space="preserve"> </w:t>
      </w:r>
      <w:r w:rsidR="00477D1A">
        <w:rPr>
          <w:rFonts w:ascii="Times New Roman" w:hAnsi="Times New Roman" w:cs="Times New Roman"/>
          <w:sz w:val="24"/>
          <w:szCs w:val="24"/>
        </w:rPr>
        <w:t xml:space="preserve">fundamental rights </w:t>
      </w:r>
      <w:r w:rsidR="00F86DE6">
        <w:rPr>
          <w:rFonts w:ascii="Times New Roman" w:hAnsi="Times New Roman" w:cs="Times New Roman"/>
          <w:sz w:val="24"/>
          <w:szCs w:val="24"/>
        </w:rPr>
        <w:t>protection</w:t>
      </w:r>
      <w:r w:rsidR="00477D1A">
        <w:rPr>
          <w:rFonts w:ascii="Times New Roman" w:hAnsi="Times New Roman" w:cs="Times New Roman"/>
          <w:sz w:val="24"/>
          <w:szCs w:val="24"/>
        </w:rPr>
        <w:t>.</w:t>
      </w:r>
    </w:p>
    <w:p w14:paraId="384AD80E" w14:textId="77777777" w:rsidR="00261D44" w:rsidRDefault="00261D44" w:rsidP="00F362FA">
      <w:pPr>
        <w:pStyle w:val="NoSpacing"/>
        <w:jc w:val="both"/>
        <w:rPr>
          <w:rFonts w:ascii="Times New Roman" w:hAnsi="Times New Roman" w:cs="Times New Roman"/>
          <w:sz w:val="24"/>
          <w:szCs w:val="24"/>
        </w:rPr>
      </w:pPr>
    </w:p>
    <w:p w14:paraId="2A4F708C" w14:textId="77777777" w:rsidR="00261D44" w:rsidRDefault="00261D44" w:rsidP="00F362FA">
      <w:pPr>
        <w:pStyle w:val="NoSpacing"/>
        <w:jc w:val="both"/>
        <w:rPr>
          <w:rFonts w:ascii="Times New Roman" w:hAnsi="Times New Roman" w:cs="Times New Roman"/>
          <w:sz w:val="24"/>
          <w:szCs w:val="24"/>
        </w:rPr>
      </w:pPr>
    </w:p>
    <w:p w14:paraId="449D6E12" w14:textId="77777777" w:rsidR="006F4BAC" w:rsidRDefault="006B15AF" w:rsidP="006B15AF">
      <w:pPr>
        <w:pStyle w:val="NoSpacing"/>
        <w:numPr>
          <w:ilvl w:val="0"/>
          <w:numId w:val="2"/>
        </w:numPr>
        <w:jc w:val="both"/>
        <w:rPr>
          <w:rFonts w:ascii="Times New Roman" w:hAnsi="Times New Roman" w:cs="Times New Roman"/>
          <w:b/>
          <w:sz w:val="24"/>
          <w:szCs w:val="24"/>
        </w:rPr>
      </w:pPr>
      <w:r>
        <w:rPr>
          <w:rFonts w:ascii="Times New Roman" w:hAnsi="Times New Roman" w:cs="Times New Roman"/>
          <w:b/>
          <w:sz w:val="24"/>
          <w:szCs w:val="24"/>
        </w:rPr>
        <w:t xml:space="preserve">Returning to Rome: </w:t>
      </w:r>
      <w:r w:rsidR="006F4BAC">
        <w:rPr>
          <w:rFonts w:ascii="Times New Roman" w:hAnsi="Times New Roman" w:cs="Times New Roman"/>
          <w:b/>
          <w:sz w:val="24"/>
          <w:szCs w:val="24"/>
        </w:rPr>
        <w:t xml:space="preserve">the central role of free movement versus the incremental nature of fundamental rights protection in the Union legal order </w:t>
      </w:r>
    </w:p>
    <w:p w14:paraId="66947FC1" w14:textId="77777777" w:rsidR="006F4BAC" w:rsidRDefault="006F4BAC" w:rsidP="006F4BAC">
      <w:pPr>
        <w:pStyle w:val="NoSpacing"/>
        <w:ind w:left="720"/>
        <w:jc w:val="both"/>
        <w:rPr>
          <w:rFonts w:ascii="Times New Roman" w:hAnsi="Times New Roman" w:cs="Times New Roman"/>
          <w:b/>
          <w:sz w:val="24"/>
          <w:szCs w:val="24"/>
        </w:rPr>
      </w:pPr>
    </w:p>
    <w:p w14:paraId="69F5F96F" w14:textId="77777777" w:rsidR="00BF5DAA" w:rsidRPr="00BF5DAA" w:rsidRDefault="00477D1A" w:rsidP="00BF5DAA">
      <w:pPr>
        <w:pStyle w:val="NoSpacing"/>
        <w:jc w:val="both"/>
        <w:rPr>
          <w:rFonts w:ascii="Times New Roman" w:hAnsi="Times New Roman" w:cs="Times New Roman"/>
          <w:sz w:val="24"/>
          <w:szCs w:val="24"/>
        </w:rPr>
      </w:pPr>
      <w:r>
        <w:rPr>
          <w:rFonts w:ascii="Times New Roman" w:hAnsi="Times New Roman" w:cs="Times New Roman"/>
          <w:sz w:val="24"/>
          <w:szCs w:val="24"/>
        </w:rPr>
        <w:t>An historical analysis,</w:t>
      </w:r>
      <w:r w:rsidR="00BF5DAA">
        <w:rPr>
          <w:rFonts w:ascii="Times New Roman" w:hAnsi="Times New Roman" w:cs="Times New Roman"/>
          <w:sz w:val="24"/>
          <w:szCs w:val="24"/>
        </w:rPr>
        <w:t xml:space="preserve"> going back to the</w:t>
      </w:r>
      <w:r>
        <w:rPr>
          <w:rFonts w:ascii="Times New Roman" w:hAnsi="Times New Roman" w:cs="Times New Roman"/>
          <w:sz w:val="24"/>
          <w:szCs w:val="24"/>
        </w:rPr>
        <w:t xml:space="preserve"> Rome Treaty,</w:t>
      </w:r>
      <w:r w:rsidR="00BF5DAA">
        <w:rPr>
          <w:rFonts w:ascii="Times New Roman" w:hAnsi="Times New Roman" w:cs="Times New Roman"/>
          <w:sz w:val="24"/>
          <w:szCs w:val="24"/>
        </w:rPr>
        <w:t xml:space="preserve"> is essential to the central argument</w:t>
      </w:r>
      <w:r>
        <w:rPr>
          <w:rFonts w:ascii="Times New Roman" w:hAnsi="Times New Roman" w:cs="Times New Roman"/>
          <w:sz w:val="24"/>
          <w:szCs w:val="24"/>
        </w:rPr>
        <w:t xml:space="preserve"> of this article</w:t>
      </w:r>
      <w:r w:rsidR="00BF5DAA">
        <w:rPr>
          <w:rFonts w:ascii="Times New Roman" w:hAnsi="Times New Roman" w:cs="Times New Roman"/>
          <w:sz w:val="24"/>
          <w:szCs w:val="24"/>
        </w:rPr>
        <w:t xml:space="preserve"> that the perceived preference for free movement over fundamental rights, within the Court’s breach/justification methodology, is reflective of a bro</w:t>
      </w:r>
      <w:r>
        <w:rPr>
          <w:rFonts w:ascii="Times New Roman" w:hAnsi="Times New Roman" w:cs="Times New Roman"/>
          <w:sz w:val="24"/>
          <w:szCs w:val="24"/>
        </w:rPr>
        <w:t>ader constitutional asymmetry between</w:t>
      </w:r>
      <w:r w:rsidR="00BF5DAA">
        <w:rPr>
          <w:rFonts w:ascii="Times New Roman" w:hAnsi="Times New Roman" w:cs="Times New Roman"/>
          <w:sz w:val="24"/>
          <w:szCs w:val="24"/>
        </w:rPr>
        <w:t xml:space="preserve"> the development of the market freedoms, on the one hand, and EU fundamental rights, on the other. Accordingl</w:t>
      </w:r>
      <w:r w:rsidR="00710713">
        <w:rPr>
          <w:rFonts w:ascii="Times New Roman" w:hAnsi="Times New Roman" w:cs="Times New Roman"/>
          <w:sz w:val="24"/>
          <w:szCs w:val="24"/>
        </w:rPr>
        <w:t>y, the section will recall</w:t>
      </w:r>
      <w:r w:rsidR="00B12251">
        <w:rPr>
          <w:rFonts w:ascii="Times New Roman" w:hAnsi="Times New Roman" w:cs="Times New Roman"/>
          <w:sz w:val="24"/>
          <w:szCs w:val="24"/>
        </w:rPr>
        <w:t xml:space="preserve"> the centrality of free movement to economic integration, before contrasting this with the more piecemeal development of EU fundamental rights protection. Finally, the section will accept the logic of a structural preference for free movement when it is placed within its historical context, but argue, nevertheless, that this laid the foundations for an inherently problematic approach to managing future tensions between free movement and fundamental rights.   </w:t>
      </w:r>
      <w:r w:rsidR="00BF5DAA">
        <w:rPr>
          <w:rFonts w:ascii="Times New Roman" w:hAnsi="Times New Roman" w:cs="Times New Roman"/>
          <w:sz w:val="24"/>
          <w:szCs w:val="24"/>
        </w:rPr>
        <w:t xml:space="preserve"> </w:t>
      </w:r>
    </w:p>
    <w:p w14:paraId="1C6F0DDD" w14:textId="77777777" w:rsidR="00BF5DAA" w:rsidRDefault="00BF5DAA" w:rsidP="00BF5DAA">
      <w:pPr>
        <w:pStyle w:val="NoSpacing"/>
        <w:ind w:left="720"/>
        <w:jc w:val="both"/>
        <w:rPr>
          <w:rFonts w:ascii="Times New Roman" w:hAnsi="Times New Roman" w:cs="Times New Roman"/>
          <w:b/>
          <w:sz w:val="24"/>
          <w:szCs w:val="24"/>
        </w:rPr>
      </w:pPr>
    </w:p>
    <w:p w14:paraId="6B739865" w14:textId="77777777" w:rsidR="004A358F" w:rsidRDefault="004A358F" w:rsidP="00BF5DAA">
      <w:pPr>
        <w:pStyle w:val="NoSpacing"/>
        <w:ind w:left="720"/>
        <w:jc w:val="both"/>
        <w:rPr>
          <w:rFonts w:ascii="Times New Roman" w:hAnsi="Times New Roman" w:cs="Times New Roman"/>
          <w:b/>
          <w:sz w:val="24"/>
          <w:szCs w:val="24"/>
        </w:rPr>
      </w:pPr>
    </w:p>
    <w:p w14:paraId="4CAA54F9" w14:textId="77777777" w:rsidR="006B15AF" w:rsidRDefault="00BF5DAA" w:rsidP="00BF5DAA">
      <w:pPr>
        <w:pStyle w:val="NoSpacing"/>
        <w:numPr>
          <w:ilvl w:val="1"/>
          <w:numId w:val="2"/>
        </w:numPr>
        <w:jc w:val="both"/>
        <w:rPr>
          <w:rFonts w:ascii="Times New Roman" w:hAnsi="Times New Roman" w:cs="Times New Roman"/>
          <w:b/>
          <w:i/>
          <w:sz w:val="24"/>
          <w:szCs w:val="24"/>
        </w:rPr>
      </w:pPr>
      <w:r>
        <w:rPr>
          <w:rFonts w:ascii="Times New Roman" w:hAnsi="Times New Roman" w:cs="Times New Roman"/>
          <w:b/>
          <w:i/>
          <w:sz w:val="24"/>
          <w:szCs w:val="24"/>
        </w:rPr>
        <w:t>The fundamental role of free movement in the creation of a common market</w:t>
      </w:r>
    </w:p>
    <w:p w14:paraId="3D8ABF15" w14:textId="77777777" w:rsidR="0078124A" w:rsidRDefault="0078124A" w:rsidP="004A358F">
      <w:pPr>
        <w:pStyle w:val="NoSpacing"/>
        <w:jc w:val="both"/>
        <w:rPr>
          <w:rFonts w:ascii="Times New Roman" w:hAnsi="Times New Roman" w:cs="Times New Roman"/>
          <w:sz w:val="24"/>
          <w:szCs w:val="24"/>
        </w:rPr>
      </w:pPr>
    </w:p>
    <w:p w14:paraId="0ED14E51" w14:textId="77777777" w:rsidR="00F22BD9" w:rsidRDefault="0078124A" w:rsidP="004A358F">
      <w:pPr>
        <w:pStyle w:val="NoSpacing"/>
        <w:jc w:val="both"/>
        <w:rPr>
          <w:rFonts w:ascii="Times New Roman" w:hAnsi="Times New Roman" w:cs="Times New Roman"/>
          <w:sz w:val="24"/>
          <w:szCs w:val="24"/>
        </w:rPr>
      </w:pPr>
      <w:r>
        <w:rPr>
          <w:rFonts w:ascii="Times New Roman" w:hAnsi="Times New Roman" w:cs="Times New Roman"/>
          <w:sz w:val="24"/>
          <w:szCs w:val="24"/>
        </w:rPr>
        <w:t>It almost goes without saying that, ever since its inception, economic integration has been a central task of the EU. Thus, Article 2 TR made clear that the establishment of</w:t>
      </w:r>
      <w:r w:rsidR="004A358F">
        <w:rPr>
          <w:rFonts w:ascii="Times New Roman" w:hAnsi="Times New Roman" w:cs="Times New Roman"/>
          <w:sz w:val="24"/>
          <w:szCs w:val="24"/>
        </w:rPr>
        <w:t xml:space="preserve"> a common market was the principal objective of</w:t>
      </w:r>
      <w:r>
        <w:rPr>
          <w:rFonts w:ascii="Times New Roman" w:hAnsi="Times New Roman" w:cs="Times New Roman"/>
          <w:sz w:val="24"/>
          <w:szCs w:val="24"/>
        </w:rPr>
        <w:t xml:space="preserve"> the EEC,</w:t>
      </w:r>
      <w:r w:rsidR="004A358F">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while the </w:t>
      </w:r>
      <w:r w:rsidR="00F22BD9">
        <w:rPr>
          <w:rFonts w:ascii="Times New Roman" w:hAnsi="Times New Roman" w:cs="Times New Roman"/>
          <w:sz w:val="24"/>
          <w:szCs w:val="24"/>
        </w:rPr>
        <w:t>free movement of goods, services/establishment, workers, and capital across intra-EU borders has consistently been recognised by the Treaties as critical to the functioning of a common market.</w:t>
      </w:r>
      <w:r>
        <w:rPr>
          <w:rStyle w:val="FootnoteReference"/>
          <w:rFonts w:ascii="Times New Roman" w:hAnsi="Times New Roman" w:cs="Times New Roman"/>
          <w:sz w:val="24"/>
          <w:szCs w:val="24"/>
        </w:rPr>
        <w:footnoteReference w:id="9"/>
      </w:r>
      <w:r w:rsidR="00F22BD9">
        <w:rPr>
          <w:rFonts w:ascii="Times New Roman" w:hAnsi="Times New Roman" w:cs="Times New Roman"/>
          <w:sz w:val="24"/>
          <w:szCs w:val="24"/>
        </w:rPr>
        <w:t xml:space="preserve"> </w:t>
      </w:r>
    </w:p>
    <w:p w14:paraId="0EB62A0F" w14:textId="77777777" w:rsidR="00F22BD9" w:rsidRDefault="00F22BD9" w:rsidP="004A358F">
      <w:pPr>
        <w:pStyle w:val="NoSpacing"/>
        <w:jc w:val="both"/>
        <w:rPr>
          <w:rFonts w:ascii="Times New Roman" w:hAnsi="Times New Roman" w:cs="Times New Roman"/>
          <w:sz w:val="24"/>
          <w:szCs w:val="24"/>
        </w:rPr>
      </w:pPr>
    </w:p>
    <w:p w14:paraId="7D783080" w14:textId="77777777" w:rsidR="004A358F" w:rsidRDefault="004A358F" w:rsidP="004A358F">
      <w:pPr>
        <w:pStyle w:val="NoSpacing"/>
        <w:jc w:val="both"/>
        <w:rPr>
          <w:rFonts w:ascii="Times New Roman" w:hAnsi="Times New Roman" w:cs="Times New Roman"/>
          <w:sz w:val="24"/>
          <w:szCs w:val="24"/>
        </w:rPr>
      </w:pPr>
      <w:r>
        <w:rPr>
          <w:rFonts w:ascii="Times New Roman" w:hAnsi="Times New Roman" w:cs="Times New Roman"/>
          <w:sz w:val="24"/>
          <w:szCs w:val="24"/>
        </w:rPr>
        <w:t>At the judicial level, the CJEU has explicitly and repeatedly referred to the four market freedoms as ‘fundamental principle[s] of the common market’</w:t>
      </w:r>
      <w:r w:rsidR="00430E91">
        <w:rPr>
          <w:rFonts w:ascii="Times New Roman" w:hAnsi="Times New Roman" w:cs="Times New Roman"/>
          <w:sz w:val="24"/>
          <w:szCs w:val="24"/>
        </w:rPr>
        <w:t xml:space="preserve"> from its earliest case law</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Indeed, their ‘fundamentality’ has often been generalised such that the free movement provisions have been presented as ‘fundamental principles of the Community’.</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Given the Rome Treaty’s focus on economic integration, this generalisation within the language of the Court is unsurprising. It removes the ‘middle man’: free movement is essential to the achievement of a common market, the central aim of the EEC. Therefore, free movement is fundamental to the EEC as a whole.</w:t>
      </w:r>
      <w:r w:rsidR="00430E91">
        <w:rPr>
          <w:rFonts w:ascii="Times New Roman" w:hAnsi="Times New Roman" w:cs="Times New Roman"/>
          <w:sz w:val="24"/>
          <w:szCs w:val="24"/>
        </w:rPr>
        <w:t xml:space="preserve"> </w:t>
      </w:r>
      <w:r>
        <w:rPr>
          <w:rFonts w:ascii="Times New Roman" w:hAnsi="Times New Roman" w:cs="Times New Roman"/>
          <w:sz w:val="24"/>
          <w:szCs w:val="24"/>
        </w:rPr>
        <w:t>Nevertheless, this generalisation of free movement</w:t>
      </w:r>
      <w:r w:rsidR="00430E91">
        <w:rPr>
          <w:rFonts w:ascii="Times New Roman" w:hAnsi="Times New Roman" w:cs="Times New Roman"/>
          <w:sz w:val="24"/>
          <w:szCs w:val="24"/>
        </w:rPr>
        <w:t>’s fundamentality</w:t>
      </w:r>
      <w:r>
        <w:rPr>
          <w:rFonts w:ascii="Times New Roman" w:hAnsi="Times New Roman" w:cs="Times New Roman"/>
          <w:sz w:val="24"/>
          <w:szCs w:val="24"/>
        </w:rPr>
        <w:t xml:space="preserve"> subtly alters its role,</w:t>
      </w:r>
      <w:r w:rsidR="00430E91">
        <w:rPr>
          <w:rFonts w:ascii="Times New Roman" w:hAnsi="Times New Roman" w:cs="Times New Roman"/>
          <w:sz w:val="24"/>
          <w:szCs w:val="24"/>
        </w:rPr>
        <w:t xml:space="preserve"> reconceptual</w:t>
      </w:r>
      <w:r w:rsidR="003860CB">
        <w:rPr>
          <w:rFonts w:ascii="Times New Roman" w:hAnsi="Times New Roman" w:cs="Times New Roman"/>
          <w:sz w:val="24"/>
          <w:szCs w:val="24"/>
        </w:rPr>
        <w:t>ising it from a means to achieving</w:t>
      </w:r>
      <w:r w:rsidR="00430E91">
        <w:rPr>
          <w:rFonts w:ascii="Times New Roman" w:hAnsi="Times New Roman" w:cs="Times New Roman"/>
          <w:sz w:val="24"/>
          <w:szCs w:val="24"/>
        </w:rPr>
        <w:t xml:space="preserve"> economic integration to an end in and of itself.</w:t>
      </w:r>
      <w:r>
        <w:rPr>
          <w:rFonts w:ascii="Times New Roman" w:hAnsi="Times New Roman" w:cs="Times New Roman"/>
          <w:sz w:val="24"/>
          <w:szCs w:val="24"/>
        </w:rPr>
        <w:t xml:space="preserve"> Against this backdrop, free movement was increasingly labelled a ‘fundamental freedom’.</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Within the</w:t>
      </w:r>
      <w:r w:rsidR="00CA5FE2">
        <w:rPr>
          <w:rFonts w:ascii="Times New Roman" w:hAnsi="Times New Roman" w:cs="Times New Roman"/>
          <w:sz w:val="24"/>
          <w:szCs w:val="24"/>
        </w:rPr>
        <w:t xml:space="preserve"> confines of the EEC’s economic</w:t>
      </w:r>
      <w:r>
        <w:rPr>
          <w:rFonts w:ascii="Times New Roman" w:hAnsi="Times New Roman" w:cs="Times New Roman"/>
          <w:sz w:val="24"/>
          <w:szCs w:val="24"/>
        </w:rPr>
        <w:t xml:space="preserve"> constitutional framework, this linguistic treatment presents free movement as something akin to a fundamental right. Indeed, in </w:t>
      </w:r>
      <w:r>
        <w:rPr>
          <w:rFonts w:ascii="Times New Roman" w:hAnsi="Times New Roman" w:cs="Times New Roman"/>
          <w:i/>
          <w:sz w:val="24"/>
          <w:szCs w:val="24"/>
        </w:rPr>
        <w:t>ABDHU</w:t>
      </w:r>
      <w:r>
        <w:rPr>
          <w:rFonts w:ascii="Times New Roman" w:hAnsi="Times New Roman" w:cs="Times New Roman"/>
          <w:sz w:val="24"/>
          <w:szCs w:val="24"/>
        </w:rPr>
        <w:t>, the free movement of goods was placed on the same normative plain as fundamental rights.</w:t>
      </w:r>
      <w:r>
        <w:rPr>
          <w:rStyle w:val="FootnoteReference"/>
          <w:rFonts w:ascii="Times New Roman" w:hAnsi="Times New Roman" w:cs="Times New Roman"/>
          <w:sz w:val="24"/>
          <w:szCs w:val="24"/>
        </w:rPr>
        <w:footnoteReference w:id="13"/>
      </w:r>
      <w:r w:rsidR="007A09DD">
        <w:rPr>
          <w:rFonts w:ascii="Times New Roman" w:hAnsi="Times New Roman" w:cs="Times New Roman"/>
          <w:sz w:val="24"/>
          <w:szCs w:val="24"/>
        </w:rPr>
        <w:t xml:space="preserve"> I</w:t>
      </w:r>
      <w:r>
        <w:rPr>
          <w:rFonts w:ascii="Times New Roman" w:hAnsi="Times New Roman" w:cs="Times New Roman"/>
          <w:sz w:val="24"/>
          <w:szCs w:val="24"/>
        </w:rPr>
        <w:t xml:space="preserve">n </w:t>
      </w:r>
      <w:r>
        <w:rPr>
          <w:rFonts w:ascii="Times New Roman" w:hAnsi="Times New Roman" w:cs="Times New Roman"/>
          <w:i/>
          <w:sz w:val="24"/>
          <w:szCs w:val="24"/>
        </w:rPr>
        <w:t>Grogan</w:t>
      </w:r>
      <w:r>
        <w:rPr>
          <w:rFonts w:ascii="Times New Roman" w:hAnsi="Times New Roman" w:cs="Times New Roman"/>
          <w:sz w:val="24"/>
          <w:szCs w:val="24"/>
        </w:rPr>
        <w:t>, Advocate General Van Gerven went as far as to define explicitly the conflict between the freedom to provide services and the fundamental right to life as one between two fundamental rights.</w:t>
      </w:r>
      <w:r>
        <w:rPr>
          <w:rStyle w:val="FootnoteReference"/>
          <w:rFonts w:ascii="Times New Roman" w:hAnsi="Times New Roman" w:cs="Times New Roman"/>
          <w:sz w:val="24"/>
          <w:szCs w:val="24"/>
        </w:rPr>
        <w:footnoteReference w:id="14"/>
      </w:r>
    </w:p>
    <w:p w14:paraId="06E9A167" w14:textId="77777777" w:rsidR="004A358F" w:rsidRDefault="004A358F" w:rsidP="004A358F">
      <w:pPr>
        <w:pStyle w:val="NoSpacing"/>
        <w:jc w:val="both"/>
        <w:rPr>
          <w:rFonts w:ascii="Times New Roman" w:hAnsi="Times New Roman" w:cs="Times New Roman"/>
          <w:sz w:val="24"/>
          <w:szCs w:val="24"/>
        </w:rPr>
      </w:pPr>
    </w:p>
    <w:p w14:paraId="4BE1AC7B" w14:textId="17A4F8AA" w:rsidR="0089317C" w:rsidRDefault="004A358F" w:rsidP="0089317C">
      <w:pPr>
        <w:pStyle w:val="NoSpacing"/>
        <w:jc w:val="both"/>
        <w:rPr>
          <w:rFonts w:ascii="Times New Roman" w:hAnsi="Times New Roman" w:cs="Times New Roman"/>
          <w:sz w:val="24"/>
          <w:szCs w:val="24"/>
        </w:rPr>
      </w:pPr>
      <w:r>
        <w:rPr>
          <w:rFonts w:ascii="Times New Roman" w:hAnsi="Times New Roman" w:cs="Times New Roman"/>
          <w:sz w:val="24"/>
          <w:szCs w:val="24"/>
        </w:rPr>
        <w:t>The centrality of free movem</w:t>
      </w:r>
      <w:r w:rsidR="004A28F0">
        <w:rPr>
          <w:rFonts w:ascii="Times New Roman" w:hAnsi="Times New Roman" w:cs="Times New Roman"/>
          <w:sz w:val="24"/>
          <w:szCs w:val="24"/>
        </w:rPr>
        <w:t>ent to the EEC’s primary aims wa</w:t>
      </w:r>
      <w:r>
        <w:rPr>
          <w:rFonts w:ascii="Times New Roman" w:hAnsi="Times New Roman" w:cs="Times New Roman"/>
          <w:sz w:val="24"/>
          <w:szCs w:val="24"/>
        </w:rPr>
        <w:t xml:space="preserve">s not only reflected in the Court’s language but also in the structure of its decision-making. </w:t>
      </w:r>
      <w:r w:rsidR="004A28F0">
        <w:rPr>
          <w:rFonts w:ascii="Times New Roman" w:hAnsi="Times New Roman" w:cs="Times New Roman"/>
          <w:sz w:val="24"/>
          <w:szCs w:val="24"/>
        </w:rPr>
        <w:t>Thus, t</w:t>
      </w:r>
      <w:r>
        <w:rPr>
          <w:rFonts w:ascii="Times New Roman" w:hAnsi="Times New Roman" w:cs="Times New Roman"/>
          <w:sz w:val="24"/>
          <w:szCs w:val="24"/>
        </w:rPr>
        <w:t>he CJEU’s early case-law contains numerous examples</w:t>
      </w:r>
      <w:r w:rsidR="008A004B">
        <w:rPr>
          <w:rFonts w:ascii="Times New Roman" w:hAnsi="Times New Roman" w:cs="Times New Roman"/>
          <w:sz w:val="24"/>
          <w:szCs w:val="24"/>
        </w:rPr>
        <w:t xml:space="preserve"> in which it resolves tensions between Union primary free movement law on the one hand and, for instance, national rules pursuing competing public interest endeavours, on the other, through a two-stage breach/justification methodology. </w:t>
      </w:r>
      <w:r>
        <w:rPr>
          <w:rFonts w:ascii="Times New Roman" w:hAnsi="Times New Roman" w:cs="Times New Roman"/>
          <w:sz w:val="24"/>
          <w:szCs w:val="24"/>
        </w:rPr>
        <w:t>The Court asks, first, whether there has been a restriction of the relevant free movement provision(s), and, second, if this can be justified.</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As a result of being presented as ‘defence’ to a </w:t>
      </w:r>
      <w:r>
        <w:rPr>
          <w:rFonts w:ascii="Times New Roman" w:hAnsi="Times New Roman" w:cs="Times New Roman"/>
          <w:i/>
          <w:sz w:val="24"/>
          <w:szCs w:val="24"/>
        </w:rPr>
        <w:t xml:space="preserve">prima facie </w:t>
      </w:r>
      <w:r>
        <w:rPr>
          <w:rFonts w:ascii="Times New Roman" w:hAnsi="Times New Roman" w:cs="Times New Roman"/>
          <w:sz w:val="24"/>
          <w:szCs w:val="24"/>
        </w:rPr>
        <w:t>breach of free movement, public interests must overcome significant justificatory hurdles, including: that any discriminatory conduct is not arbitrary;</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that the </w:t>
      </w:r>
      <w:r>
        <w:rPr>
          <w:rFonts w:ascii="Times New Roman" w:hAnsi="Times New Roman" w:cs="Times New Roman"/>
          <w:sz w:val="24"/>
          <w:szCs w:val="24"/>
        </w:rPr>
        <w:lastRenderedPageBreak/>
        <w:t>measure is necessary to meet a real threat to the public good in question;</w:t>
      </w:r>
      <w:r>
        <w:rPr>
          <w:rStyle w:val="FootnoteReference"/>
          <w:rFonts w:ascii="Times New Roman" w:hAnsi="Times New Roman" w:cs="Times New Roman"/>
          <w:sz w:val="24"/>
          <w:szCs w:val="24"/>
        </w:rPr>
        <w:footnoteReference w:id="17"/>
      </w:r>
      <w:r w:rsidR="004A28F0">
        <w:rPr>
          <w:rFonts w:ascii="Times New Roman" w:hAnsi="Times New Roman" w:cs="Times New Roman"/>
          <w:sz w:val="24"/>
          <w:szCs w:val="24"/>
        </w:rPr>
        <w:t xml:space="preserve"> whether</w:t>
      </w:r>
      <w:r>
        <w:rPr>
          <w:rFonts w:ascii="Times New Roman" w:hAnsi="Times New Roman" w:cs="Times New Roman"/>
          <w:sz w:val="24"/>
          <w:szCs w:val="24"/>
        </w:rPr>
        <w:t xml:space="preserve"> the measure is effective in meeting the aim pursued,</w:t>
      </w:r>
      <w:r>
        <w:rPr>
          <w:rStyle w:val="FootnoteReference"/>
          <w:rFonts w:ascii="Times New Roman" w:hAnsi="Times New Roman" w:cs="Times New Roman"/>
          <w:sz w:val="24"/>
          <w:szCs w:val="24"/>
        </w:rPr>
        <w:footnoteReference w:id="18"/>
      </w:r>
      <w:r w:rsidR="004A28F0">
        <w:rPr>
          <w:rFonts w:ascii="Times New Roman" w:hAnsi="Times New Roman" w:cs="Times New Roman"/>
          <w:sz w:val="24"/>
          <w:szCs w:val="24"/>
        </w:rPr>
        <w:t xml:space="preserve"> and finally whether</w:t>
      </w:r>
      <w:r>
        <w:rPr>
          <w:rFonts w:ascii="Times New Roman" w:hAnsi="Times New Roman" w:cs="Times New Roman"/>
          <w:sz w:val="24"/>
          <w:szCs w:val="24"/>
        </w:rPr>
        <w:t xml:space="preserve"> the measure is suitable as the option least restrictive of free movement.</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Moreover, as derogations from the ‘fundamental principle’ of freedom of movement, potential justifications must be interpreted ‘strictly’.</w:t>
      </w:r>
      <w:r>
        <w:rPr>
          <w:rStyle w:val="FootnoteReference"/>
          <w:rFonts w:ascii="Times New Roman" w:hAnsi="Times New Roman" w:cs="Times New Roman"/>
          <w:sz w:val="24"/>
          <w:szCs w:val="24"/>
        </w:rPr>
        <w:footnoteReference w:id="20"/>
      </w:r>
      <w:r w:rsidR="0089317C">
        <w:rPr>
          <w:rFonts w:ascii="Times New Roman" w:hAnsi="Times New Roman" w:cs="Times New Roman"/>
          <w:sz w:val="24"/>
          <w:szCs w:val="24"/>
        </w:rPr>
        <w:t xml:space="preserve"> The </w:t>
      </w:r>
      <w:r w:rsidR="00CA5FE2">
        <w:rPr>
          <w:rFonts w:ascii="Times New Roman" w:hAnsi="Times New Roman" w:cs="Times New Roman"/>
          <w:sz w:val="24"/>
          <w:szCs w:val="24"/>
        </w:rPr>
        <w:t xml:space="preserve">very </w:t>
      </w:r>
      <w:r w:rsidR="0089317C">
        <w:rPr>
          <w:rFonts w:ascii="Times New Roman" w:hAnsi="Times New Roman" w:cs="Times New Roman"/>
          <w:sz w:val="24"/>
          <w:szCs w:val="24"/>
        </w:rPr>
        <w:t xml:space="preserve">structure of the free movement provisions can be seen as legitimising such an adjudicative approach. Thus, while Article 34 prohibits quantitative restrictions on imports and all measures of equivalent effect between Member States, it is </w:t>
      </w:r>
      <w:r w:rsidR="0089317C">
        <w:rPr>
          <w:rFonts w:ascii="Times New Roman" w:hAnsi="Times New Roman" w:cs="Times New Roman"/>
          <w:i/>
          <w:sz w:val="24"/>
          <w:szCs w:val="24"/>
        </w:rPr>
        <w:t>subsequent</w:t>
      </w:r>
      <w:r w:rsidR="0089317C">
        <w:rPr>
          <w:rFonts w:ascii="Times New Roman" w:hAnsi="Times New Roman" w:cs="Times New Roman"/>
          <w:sz w:val="24"/>
          <w:szCs w:val="24"/>
        </w:rPr>
        <w:t xml:space="preserve"> Article 36 that provides the grounds upon which such restrictions may nevertheless be ‘justified’. The provisions concerning the other market freedoms are structured in the same way.</w:t>
      </w:r>
      <w:r w:rsidR="00CA5FE2">
        <w:rPr>
          <w:rStyle w:val="FootnoteReference"/>
          <w:rFonts w:ascii="Times New Roman" w:hAnsi="Times New Roman" w:cs="Times New Roman"/>
          <w:sz w:val="24"/>
          <w:szCs w:val="24"/>
        </w:rPr>
        <w:footnoteReference w:id="21"/>
      </w:r>
      <w:r w:rsidR="0089317C">
        <w:rPr>
          <w:rFonts w:ascii="Times New Roman" w:hAnsi="Times New Roman" w:cs="Times New Roman"/>
          <w:sz w:val="24"/>
          <w:szCs w:val="24"/>
        </w:rPr>
        <w:t xml:space="preserve"> As Nic Shuibhne remarks, since the Treaty expresses justifications as derogations from primary rights, standard interpretative canons require the free movement provisions to be interpreted widely and exceptions from them narrowly.</w:t>
      </w:r>
      <w:r w:rsidR="0089317C">
        <w:rPr>
          <w:rStyle w:val="FootnoteReference"/>
          <w:rFonts w:ascii="Times New Roman" w:hAnsi="Times New Roman" w:cs="Times New Roman"/>
          <w:sz w:val="24"/>
          <w:szCs w:val="24"/>
        </w:rPr>
        <w:footnoteReference w:id="22"/>
      </w:r>
      <w:r w:rsidR="0089317C">
        <w:rPr>
          <w:rFonts w:ascii="Times New Roman" w:hAnsi="Times New Roman" w:cs="Times New Roman"/>
          <w:sz w:val="24"/>
          <w:szCs w:val="24"/>
        </w:rPr>
        <w:t xml:space="preserve"> </w:t>
      </w:r>
    </w:p>
    <w:p w14:paraId="2BA2D023" w14:textId="77777777" w:rsidR="00A62A14" w:rsidRDefault="00A62A14" w:rsidP="004A358F">
      <w:pPr>
        <w:pStyle w:val="NoSpacing"/>
        <w:jc w:val="both"/>
        <w:rPr>
          <w:rFonts w:ascii="Times New Roman" w:hAnsi="Times New Roman" w:cs="Times New Roman"/>
          <w:sz w:val="24"/>
          <w:szCs w:val="24"/>
        </w:rPr>
      </w:pPr>
    </w:p>
    <w:p w14:paraId="2017A64F" w14:textId="038C5A94" w:rsidR="004A358F" w:rsidRDefault="00A62A14" w:rsidP="004A358F">
      <w:pPr>
        <w:pStyle w:val="NoSpacing"/>
        <w:jc w:val="both"/>
        <w:rPr>
          <w:rFonts w:ascii="Times New Roman" w:hAnsi="Times New Roman" w:cs="Times New Roman"/>
          <w:sz w:val="24"/>
          <w:szCs w:val="24"/>
        </w:rPr>
      </w:pPr>
      <w:r>
        <w:rPr>
          <w:rFonts w:ascii="Times New Roman" w:hAnsi="Times New Roman" w:cs="Times New Roman"/>
          <w:sz w:val="24"/>
          <w:szCs w:val="24"/>
        </w:rPr>
        <w:t>This</w:t>
      </w:r>
      <w:r w:rsidR="004A358F">
        <w:rPr>
          <w:rFonts w:ascii="Times New Roman" w:hAnsi="Times New Roman" w:cs="Times New Roman"/>
          <w:sz w:val="24"/>
          <w:szCs w:val="24"/>
        </w:rPr>
        <w:t xml:space="preserve"> breach/justification framework is</w:t>
      </w:r>
      <w:r w:rsidR="000812DB">
        <w:rPr>
          <w:rFonts w:ascii="Times New Roman" w:hAnsi="Times New Roman" w:cs="Times New Roman"/>
          <w:sz w:val="24"/>
          <w:szCs w:val="24"/>
        </w:rPr>
        <w:t xml:space="preserve"> comparable</w:t>
      </w:r>
      <w:r w:rsidR="004A358F">
        <w:rPr>
          <w:rFonts w:ascii="Times New Roman" w:hAnsi="Times New Roman" w:cs="Times New Roman"/>
          <w:sz w:val="24"/>
          <w:szCs w:val="24"/>
        </w:rPr>
        <w:t xml:space="preserve"> to that adopted by the </w:t>
      </w:r>
      <w:r w:rsidR="001A55DD">
        <w:rPr>
          <w:rFonts w:ascii="Times New Roman" w:hAnsi="Times New Roman" w:cs="Times New Roman"/>
          <w:sz w:val="24"/>
          <w:szCs w:val="24"/>
        </w:rPr>
        <w:t xml:space="preserve">European Court of Human Rights </w:t>
      </w:r>
      <w:r w:rsidR="004A358F">
        <w:rPr>
          <w:rFonts w:ascii="Times New Roman" w:hAnsi="Times New Roman" w:cs="Times New Roman"/>
          <w:sz w:val="24"/>
          <w:szCs w:val="24"/>
        </w:rPr>
        <w:t>for determining conflict between Convention rights and public interests.</w:t>
      </w:r>
      <w:r w:rsidR="006A1FEB">
        <w:rPr>
          <w:rFonts w:ascii="Times New Roman" w:hAnsi="Times New Roman" w:cs="Times New Roman"/>
          <w:sz w:val="24"/>
          <w:szCs w:val="24"/>
        </w:rPr>
        <w:t xml:space="preserve"> Thus, the Strasbourg Court will establish first, whether there has been an interference with, for instance, an individual’s right to freedom of expression, under Article 10 ECHR, and, second, whether this interference can be justified. Presenting public interests as a ‘defence’ against a </w:t>
      </w:r>
      <w:r w:rsidR="006A1FEB">
        <w:rPr>
          <w:rFonts w:ascii="Times New Roman" w:hAnsi="Times New Roman" w:cs="Times New Roman"/>
          <w:i/>
          <w:sz w:val="24"/>
          <w:szCs w:val="24"/>
        </w:rPr>
        <w:t>prima facie</w:t>
      </w:r>
      <w:r w:rsidR="006A1FEB">
        <w:rPr>
          <w:rFonts w:ascii="Times New Roman" w:hAnsi="Times New Roman" w:cs="Times New Roman"/>
          <w:sz w:val="24"/>
          <w:szCs w:val="24"/>
        </w:rPr>
        <w:t xml:space="preserve"> wrongful restriction of a fundamental right </w:t>
      </w:r>
      <w:r w:rsidR="00683486">
        <w:rPr>
          <w:rFonts w:ascii="Times New Roman" w:hAnsi="Times New Roman" w:cs="Times New Roman"/>
          <w:sz w:val="24"/>
          <w:szCs w:val="24"/>
        </w:rPr>
        <w:t>places the former at a procedural disadvantage, requiring public interests to overcome evidential thresh</w:t>
      </w:r>
      <w:r w:rsidR="00B117AC">
        <w:rPr>
          <w:rFonts w:ascii="Times New Roman" w:hAnsi="Times New Roman" w:cs="Times New Roman"/>
          <w:sz w:val="24"/>
          <w:szCs w:val="24"/>
        </w:rPr>
        <w:t>olds such as prescription by</w:t>
      </w:r>
      <w:r w:rsidR="00683486">
        <w:rPr>
          <w:rFonts w:ascii="Times New Roman" w:hAnsi="Times New Roman" w:cs="Times New Roman"/>
          <w:sz w:val="24"/>
          <w:szCs w:val="24"/>
        </w:rPr>
        <w:t xml:space="preserve"> law, necessity in a democratic society, and proportionality.</w:t>
      </w:r>
      <w:r w:rsidR="00683486">
        <w:rPr>
          <w:rStyle w:val="FootnoteReference"/>
          <w:rFonts w:ascii="Times New Roman" w:hAnsi="Times New Roman" w:cs="Times New Roman"/>
          <w:sz w:val="24"/>
          <w:szCs w:val="24"/>
        </w:rPr>
        <w:footnoteReference w:id="23"/>
      </w:r>
      <w:r w:rsidR="003C4464">
        <w:rPr>
          <w:rFonts w:ascii="Times New Roman" w:hAnsi="Times New Roman" w:cs="Times New Roman"/>
          <w:sz w:val="24"/>
          <w:szCs w:val="24"/>
        </w:rPr>
        <w:t xml:space="preserve"> Greer argues that this procedural prioritisation is an eventuality inherent to the structure of the ECHR provisions themselves since, for instance, Article 10(1) ECHR bestows the fundamental right to freedom of expression while it is </w:t>
      </w:r>
      <w:r w:rsidR="003C4464">
        <w:rPr>
          <w:rFonts w:ascii="Times New Roman" w:hAnsi="Times New Roman" w:cs="Times New Roman"/>
          <w:i/>
          <w:sz w:val="24"/>
          <w:szCs w:val="24"/>
        </w:rPr>
        <w:t>subsequent</w:t>
      </w:r>
      <w:r w:rsidR="003C4464">
        <w:rPr>
          <w:rFonts w:ascii="Times New Roman" w:hAnsi="Times New Roman" w:cs="Times New Roman"/>
          <w:sz w:val="24"/>
          <w:szCs w:val="24"/>
        </w:rPr>
        <w:t xml:space="preserve"> Article 10(2) that provides the public interests that may limit this right. </w:t>
      </w:r>
      <w:r w:rsidR="004A358F">
        <w:rPr>
          <w:rFonts w:ascii="Times New Roman" w:hAnsi="Times New Roman" w:cs="Times New Roman"/>
          <w:sz w:val="24"/>
          <w:szCs w:val="24"/>
        </w:rPr>
        <w:t xml:space="preserve">Consequently, Greer concludes that ‘[Convention] rights and public interests are not </w:t>
      </w:r>
      <w:r w:rsidR="004A358F">
        <w:rPr>
          <w:rFonts w:ascii="Times New Roman" w:hAnsi="Times New Roman" w:cs="Times New Roman"/>
          <w:i/>
          <w:sz w:val="24"/>
          <w:szCs w:val="24"/>
        </w:rPr>
        <w:t>prima facie</w:t>
      </w:r>
      <w:r w:rsidR="004A358F">
        <w:rPr>
          <w:rFonts w:ascii="Times New Roman" w:hAnsi="Times New Roman" w:cs="Times New Roman"/>
          <w:sz w:val="24"/>
          <w:szCs w:val="24"/>
        </w:rPr>
        <w:t xml:space="preserve"> equal variables to be weighed in a balance. The scales are loaded, but not conclusively, in favour of rights’.</w:t>
      </w:r>
      <w:r w:rsidR="004A358F">
        <w:rPr>
          <w:rStyle w:val="FootnoteReference"/>
          <w:rFonts w:ascii="Times New Roman" w:hAnsi="Times New Roman" w:cs="Times New Roman"/>
          <w:sz w:val="24"/>
          <w:szCs w:val="24"/>
        </w:rPr>
        <w:footnoteReference w:id="24"/>
      </w:r>
      <w:r w:rsidR="004A358F">
        <w:rPr>
          <w:rFonts w:ascii="Times New Roman" w:hAnsi="Times New Roman" w:cs="Times New Roman"/>
          <w:sz w:val="24"/>
          <w:szCs w:val="24"/>
        </w:rPr>
        <w:t xml:space="preserve"> These claims are directly transferable, </w:t>
      </w:r>
      <w:r w:rsidR="004A358F">
        <w:rPr>
          <w:rFonts w:ascii="Times New Roman" w:hAnsi="Times New Roman" w:cs="Times New Roman"/>
          <w:i/>
          <w:sz w:val="24"/>
          <w:szCs w:val="24"/>
        </w:rPr>
        <w:t>mutatis mutandis,</w:t>
      </w:r>
      <w:r w:rsidR="004A358F">
        <w:rPr>
          <w:rFonts w:ascii="Times New Roman" w:hAnsi="Times New Roman" w:cs="Times New Roman"/>
          <w:sz w:val="24"/>
          <w:szCs w:val="24"/>
        </w:rPr>
        <w:t xml:space="preserve"> into the free movement setting. Free movement and public interests</w:t>
      </w:r>
      <w:r w:rsidR="006D3EED">
        <w:rPr>
          <w:rFonts w:ascii="Times New Roman" w:hAnsi="Times New Roman" w:cs="Times New Roman"/>
          <w:sz w:val="24"/>
          <w:szCs w:val="24"/>
        </w:rPr>
        <w:t>, certainly when pursued at the national level,</w:t>
      </w:r>
      <w:r w:rsidR="0076279A">
        <w:rPr>
          <w:rStyle w:val="FootnoteReference"/>
          <w:rFonts w:ascii="Times New Roman" w:hAnsi="Times New Roman" w:cs="Times New Roman"/>
          <w:sz w:val="24"/>
          <w:szCs w:val="24"/>
        </w:rPr>
        <w:footnoteReference w:id="25"/>
      </w:r>
      <w:r w:rsidR="004A358F">
        <w:rPr>
          <w:rFonts w:ascii="Times New Roman" w:hAnsi="Times New Roman" w:cs="Times New Roman"/>
          <w:sz w:val="24"/>
          <w:szCs w:val="24"/>
        </w:rPr>
        <w:t xml:space="preserve"> have never been equal variables before the Court. The scales are loaded in favour of free movement, although this will not always result in the ‘trumping’ of public interests by the free movement provisions.</w:t>
      </w:r>
      <w:r w:rsidR="004A358F">
        <w:rPr>
          <w:rStyle w:val="FootnoteReference"/>
          <w:rFonts w:ascii="Times New Roman" w:hAnsi="Times New Roman" w:cs="Times New Roman"/>
          <w:sz w:val="24"/>
          <w:szCs w:val="24"/>
        </w:rPr>
        <w:footnoteReference w:id="26"/>
      </w:r>
      <w:r w:rsidR="004A358F">
        <w:rPr>
          <w:rFonts w:ascii="Times New Roman" w:hAnsi="Times New Roman" w:cs="Times New Roman"/>
          <w:sz w:val="24"/>
          <w:szCs w:val="24"/>
        </w:rPr>
        <w:t xml:space="preserve"> </w:t>
      </w:r>
      <w:r>
        <w:rPr>
          <w:rFonts w:ascii="Times New Roman" w:hAnsi="Times New Roman" w:cs="Times New Roman"/>
          <w:sz w:val="24"/>
          <w:szCs w:val="24"/>
        </w:rPr>
        <w:t>Accordingly, t</w:t>
      </w:r>
      <w:r w:rsidR="004A358F">
        <w:rPr>
          <w:rFonts w:ascii="Times New Roman" w:hAnsi="Times New Roman" w:cs="Times New Roman"/>
          <w:sz w:val="24"/>
          <w:szCs w:val="24"/>
        </w:rPr>
        <w:t>he</w:t>
      </w:r>
      <w:r>
        <w:rPr>
          <w:rFonts w:ascii="Times New Roman" w:hAnsi="Times New Roman" w:cs="Times New Roman"/>
          <w:sz w:val="24"/>
          <w:szCs w:val="24"/>
        </w:rPr>
        <w:t>se</w:t>
      </w:r>
      <w:r w:rsidR="004A358F">
        <w:rPr>
          <w:rFonts w:ascii="Times New Roman" w:hAnsi="Times New Roman" w:cs="Times New Roman"/>
          <w:sz w:val="24"/>
          <w:szCs w:val="24"/>
        </w:rPr>
        <w:t xml:space="preserve"> similarities between the methodologies of the Strasbourg and Luxembourg Courts suggest that, from a structural point </w:t>
      </w:r>
      <w:r w:rsidR="004A358F">
        <w:rPr>
          <w:rFonts w:ascii="Times New Roman" w:hAnsi="Times New Roman" w:cs="Times New Roman"/>
          <w:sz w:val="24"/>
          <w:szCs w:val="24"/>
        </w:rPr>
        <w:lastRenderedPageBreak/>
        <w:t>of view, free movement is treated as the equivalent of a fundamental right in the Union legal order.</w:t>
      </w:r>
    </w:p>
    <w:p w14:paraId="4653E523" w14:textId="77777777" w:rsidR="00DA58DB" w:rsidRDefault="00DA58DB" w:rsidP="004A358F">
      <w:pPr>
        <w:pStyle w:val="NoSpacing"/>
        <w:jc w:val="both"/>
        <w:rPr>
          <w:rFonts w:ascii="Times New Roman" w:hAnsi="Times New Roman" w:cs="Times New Roman"/>
          <w:sz w:val="24"/>
          <w:szCs w:val="24"/>
        </w:rPr>
      </w:pPr>
    </w:p>
    <w:p w14:paraId="1B8A51A6" w14:textId="77777777" w:rsidR="00A44723" w:rsidRDefault="00DA58DB" w:rsidP="004A358F">
      <w:pPr>
        <w:pStyle w:val="NoSpacing"/>
        <w:jc w:val="both"/>
        <w:rPr>
          <w:rFonts w:ascii="Times New Roman" w:hAnsi="Times New Roman" w:cs="Times New Roman"/>
          <w:sz w:val="24"/>
          <w:szCs w:val="24"/>
        </w:rPr>
      </w:pPr>
      <w:r>
        <w:rPr>
          <w:rFonts w:ascii="Times New Roman" w:hAnsi="Times New Roman" w:cs="Times New Roman"/>
          <w:sz w:val="24"/>
          <w:szCs w:val="24"/>
        </w:rPr>
        <w:t>This lin</w:t>
      </w:r>
      <w:r w:rsidR="00B117AC">
        <w:rPr>
          <w:rFonts w:ascii="Times New Roman" w:hAnsi="Times New Roman" w:cs="Times New Roman"/>
          <w:sz w:val="24"/>
          <w:szCs w:val="24"/>
        </w:rPr>
        <w:t>guistic and structural promotion</w:t>
      </w:r>
      <w:r w:rsidR="00A62A14">
        <w:rPr>
          <w:rFonts w:ascii="Times New Roman" w:hAnsi="Times New Roman" w:cs="Times New Roman"/>
          <w:sz w:val="24"/>
          <w:szCs w:val="24"/>
        </w:rPr>
        <w:t xml:space="preserve"> of free movement has been</w:t>
      </w:r>
      <w:r>
        <w:rPr>
          <w:rFonts w:ascii="Times New Roman" w:hAnsi="Times New Roman" w:cs="Times New Roman"/>
          <w:sz w:val="24"/>
          <w:szCs w:val="24"/>
        </w:rPr>
        <w:t xml:space="preserve"> reinforced by</w:t>
      </w:r>
      <w:r w:rsidR="001A55DD">
        <w:rPr>
          <w:rFonts w:ascii="Times New Roman" w:hAnsi="Times New Roman" w:cs="Times New Roman"/>
          <w:sz w:val="24"/>
          <w:szCs w:val="24"/>
        </w:rPr>
        <w:t xml:space="preserve"> the recognition of</w:t>
      </w:r>
      <w:r>
        <w:rPr>
          <w:rFonts w:ascii="Times New Roman" w:hAnsi="Times New Roman" w:cs="Times New Roman"/>
          <w:sz w:val="24"/>
          <w:szCs w:val="24"/>
        </w:rPr>
        <w:t xml:space="preserve"> its direct effect. </w:t>
      </w:r>
      <w:r w:rsidR="007D621C">
        <w:rPr>
          <w:rFonts w:ascii="Times New Roman" w:hAnsi="Times New Roman" w:cs="Times New Roman"/>
          <w:sz w:val="24"/>
          <w:szCs w:val="24"/>
        </w:rPr>
        <w:t>Thus,</w:t>
      </w:r>
      <w:r w:rsidR="00A62A14">
        <w:rPr>
          <w:rFonts w:ascii="Times New Roman" w:hAnsi="Times New Roman" w:cs="Times New Roman"/>
          <w:sz w:val="24"/>
          <w:szCs w:val="24"/>
        </w:rPr>
        <w:t xml:space="preserve"> the very process of conferring direct effect on the market freedoms emphasises their rights status.</w:t>
      </w:r>
      <w:r w:rsidR="00A62A14">
        <w:rPr>
          <w:rStyle w:val="FootnoteReference"/>
          <w:rFonts w:ascii="Times New Roman" w:hAnsi="Times New Roman" w:cs="Times New Roman"/>
          <w:sz w:val="24"/>
          <w:szCs w:val="24"/>
        </w:rPr>
        <w:footnoteReference w:id="27"/>
      </w:r>
      <w:r w:rsidR="00A44723">
        <w:rPr>
          <w:rFonts w:ascii="Times New Roman" w:hAnsi="Times New Roman" w:cs="Times New Roman"/>
          <w:sz w:val="24"/>
          <w:szCs w:val="24"/>
        </w:rPr>
        <w:t xml:space="preserve"> The statement in </w:t>
      </w:r>
      <w:r w:rsidR="007B3E19">
        <w:rPr>
          <w:rFonts w:ascii="Times New Roman" w:hAnsi="Times New Roman" w:cs="Times New Roman"/>
          <w:i/>
          <w:sz w:val="24"/>
          <w:szCs w:val="24"/>
        </w:rPr>
        <w:t>Van Gend</w:t>
      </w:r>
      <w:r w:rsidR="007B3E19">
        <w:rPr>
          <w:rFonts w:ascii="Times New Roman" w:hAnsi="Times New Roman" w:cs="Times New Roman"/>
          <w:sz w:val="24"/>
          <w:szCs w:val="24"/>
        </w:rPr>
        <w:t xml:space="preserve"> </w:t>
      </w:r>
      <w:r w:rsidR="00A44723">
        <w:rPr>
          <w:rFonts w:ascii="Times New Roman" w:hAnsi="Times New Roman" w:cs="Times New Roman"/>
          <w:sz w:val="24"/>
          <w:szCs w:val="24"/>
        </w:rPr>
        <w:t>– that Union law ‘</w:t>
      </w:r>
      <w:r w:rsidR="00F25473">
        <w:rPr>
          <w:rFonts w:ascii="Times New Roman" w:hAnsi="Times New Roman" w:cs="Times New Roman"/>
          <w:sz w:val="24"/>
          <w:szCs w:val="24"/>
        </w:rPr>
        <w:t xml:space="preserve">not only imposes obligations on individuals but is also intended </w:t>
      </w:r>
      <w:r w:rsidR="00F25473" w:rsidRPr="00F25473">
        <w:rPr>
          <w:rFonts w:ascii="Times New Roman" w:hAnsi="Times New Roman" w:cs="Times New Roman"/>
          <w:i/>
          <w:sz w:val="24"/>
          <w:szCs w:val="24"/>
        </w:rPr>
        <w:t>to confer upon them rights which become part of their legal heritage</w:t>
      </w:r>
      <w:r w:rsidR="00A44723">
        <w:rPr>
          <w:rFonts w:ascii="Times New Roman" w:hAnsi="Times New Roman" w:cs="Times New Roman"/>
          <w:sz w:val="24"/>
          <w:szCs w:val="24"/>
        </w:rPr>
        <w:t xml:space="preserve"> [emphasis added]’</w:t>
      </w:r>
      <w:r w:rsidR="00F25473">
        <w:rPr>
          <w:rStyle w:val="FootnoteReference"/>
          <w:rFonts w:ascii="Times New Roman" w:hAnsi="Times New Roman" w:cs="Times New Roman"/>
          <w:sz w:val="24"/>
          <w:szCs w:val="24"/>
        </w:rPr>
        <w:footnoteReference w:id="28"/>
      </w:r>
      <w:r w:rsidR="00A44723">
        <w:rPr>
          <w:rFonts w:ascii="Times New Roman" w:hAnsi="Times New Roman" w:cs="Times New Roman"/>
          <w:sz w:val="24"/>
          <w:szCs w:val="24"/>
        </w:rPr>
        <w:t xml:space="preserve"> – has led some to argue that the line between direct effect status and the existence of individual rights was so blurred in that case as to render them ‘synonymous’.</w:t>
      </w:r>
      <w:r w:rsidR="00A44723">
        <w:rPr>
          <w:rStyle w:val="FootnoteReference"/>
          <w:rFonts w:ascii="Times New Roman" w:hAnsi="Times New Roman" w:cs="Times New Roman"/>
          <w:sz w:val="24"/>
          <w:szCs w:val="24"/>
        </w:rPr>
        <w:footnoteReference w:id="29"/>
      </w:r>
      <w:r w:rsidR="00A44723">
        <w:rPr>
          <w:rFonts w:ascii="Times New Roman" w:hAnsi="Times New Roman" w:cs="Times New Roman"/>
          <w:sz w:val="24"/>
          <w:szCs w:val="24"/>
        </w:rPr>
        <w:t xml:space="preserve"> This connection is also evident in the Court’s reasoning when declaring the direct effect status of the market freedoms. While the Rome Treaty adopted rights-language in relation to the free movement of workers and establishment,</w:t>
      </w:r>
      <w:r w:rsidR="00A44723">
        <w:rPr>
          <w:rStyle w:val="FootnoteReference"/>
          <w:rFonts w:ascii="Times New Roman" w:hAnsi="Times New Roman" w:cs="Times New Roman"/>
          <w:sz w:val="24"/>
          <w:szCs w:val="24"/>
        </w:rPr>
        <w:footnoteReference w:id="30"/>
      </w:r>
      <w:r w:rsidR="00A44723">
        <w:rPr>
          <w:rFonts w:ascii="Times New Roman" w:hAnsi="Times New Roman" w:cs="Times New Roman"/>
          <w:sz w:val="24"/>
          <w:szCs w:val="24"/>
        </w:rPr>
        <w:t xml:space="preserve"> it only granted a ‘freedom’ to provide services and created no ‘right’ to import or export goods, or effect capital transfer</w:t>
      </w:r>
      <w:r w:rsidR="001A55DD">
        <w:rPr>
          <w:rFonts w:ascii="Times New Roman" w:hAnsi="Times New Roman" w:cs="Times New Roman"/>
          <w:sz w:val="24"/>
          <w:szCs w:val="24"/>
        </w:rPr>
        <w:t>s</w:t>
      </w:r>
      <w:r w:rsidR="00A44723">
        <w:rPr>
          <w:rFonts w:ascii="Times New Roman" w:hAnsi="Times New Roman" w:cs="Times New Roman"/>
          <w:sz w:val="24"/>
          <w:szCs w:val="24"/>
        </w:rPr>
        <w:t>.</w:t>
      </w:r>
      <w:r w:rsidR="00A44723">
        <w:rPr>
          <w:rStyle w:val="FootnoteReference"/>
          <w:rFonts w:ascii="Times New Roman" w:hAnsi="Times New Roman" w:cs="Times New Roman"/>
          <w:sz w:val="24"/>
          <w:szCs w:val="24"/>
        </w:rPr>
        <w:footnoteReference w:id="31"/>
      </w:r>
      <w:r w:rsidR="00A44723">
        <w:rPr>
          <w:rFonts w:ascii="Times New Roman" w:hAnsi="Times New Roman" w:cs="Times New Roman"/>
          <w:sz w:val="24"/>
          <w:szCs w:val="24"/>
        </w:rPr>
        <w:t xml:space="preserve"> However, when the Court confirmed in </w:t>
      </w:r>
      <w:r w:rsidR="00A44723">
        <w:rPr>
          <w:rFonts w:ascii="Times New Roman" w:hAnsi="Times New Roman" w:cs="Times New Roman"/>
          <w:i/>
          <w:sz w:val="24"/>
          <w:szCs w:val="24"/>
        </w:rPr>
        <w:t>Salgoil</w:t>
      </w:r>
      <w:r w:rsidR="00A44723">
        <w:rPr>
          <w:rFonts w:ascii="Times New Roman" w:hAnsi="Times New Roman" w:cs="Times New Roman"/>
          <w:sz w:val="24"/>
          <w:szCs w:val="24"/>
        </w:rPr>
        <w:t xml:space="preserve"> that Article 31 EEC, relating to the free movement of goods, was directly effective, a clear link between this status and the enjoyment of individual rights was confirmed:</w:t>
      </w:r>
    </w:p>
    <w:p w14:paraId="246B104B" w14:textId="77777777" w:rsidR="00A44723" w:rsidRDefault="00A44723" w:rsidP="004A358F">
      <w:pPr>
        <w:pStyle w:val="NoSpacing"/>
        <w:jc w:val="both"/>
        <w:rPr>
          <w:rFonts w:ascii="Times New Roman" w:hAnsi="Times New Roman" w:cs="Times New Roman"/>
          <w:sz w:val="24"/>
          <w:szCs w:val="24"/>
        </w:rPr>
      </w:pPr>
    </w:p>
    <w:p w14:paraId="3A5CCF8F" w14:textId="77777777" w:rsidR="003E05EF" w:rsidRPr="003E05EF" w:rsidRDefault="003E05EF" w:rsidP="004A358F">
      <w:pPr>
        <w:pStyle w:val="NoSpacing"/>
        <w:jc w:val="both"/>
        <w:rPr>
          <w:rFonts w:ascii="Times New Roman" w:hAnsi="Times New Roman" w:cs="Times New Roman"/>
          <w:sz w:val="20"/>
          <w:szCs w:val="24"/>
        </w:rPr>
      </w:pPr>
      <w:r>
        <w:rPr>
          <w:rFonts w:ascii="Times New Roman" w:hAnsi="Times New Roman" w:cs="Times New Roman"/>
          <w:sz w:val="20"/>
          <w:szCs w:val="24"/>
        </w:rPr>
        <w:t>‘</w:t>
      </w:r>
      <w:r w:rsidR="00A44723" w:rsidRPr="003E05EF">
        <w:rPr>
          <w:rFonts w:ascii="Times New Roman" w:hAnsi="Times New Roman" w:cs="Times New Roman"/>
          <w:sz w:val="20"/>
          <w:szCs w:val="24"/>
        </w:rPr>
        <w:t xml:space="preserve">The prohibition in Article 31 [EEC] of </w:t>
      </w:r>
      <w:r w:rsidR="00F25473" w:rsidRPr="003E05EF">
        <w:rPr>
          <w:rFonts w:ascii="Times New Roman" w:hAnsi="Times New Roman" w:cs="Times New Roman"/>
          <w:sz w:val="20"/>
          <w:szCs w:val="24"/>
        </w:rPr>
        <w:t xml:space="preserve">its very nature lends itself perfectly to producing direct effects… </w:t>
      </w:r>
      <w:r w:rsidR="00F25473" w:rsidRPr="003E05EF">
        <w:rPr>
          <w:rFonts w:ascii="Times New Roman" w:hAnsi="Times New Roman" w:cs="Times New Roman"/>
          <w:i/>
          <w:sz w:val="20"/>
          <w:szCs w:val="24"/>
        </w:rPr>
        <w:t>Thus</w:t>
      </w:r>
      <w:r w:rsidR="00F25473" w:rsidRPr="003E05EF">
        <w:rPr>
          <w:rFonts w:ascii="Times New Roman" w:hAnsi="Times New Roman" w:cs="Times New Roman"/>
          <w:sz w:val="20"/>
          <w:szCs w:val="24"/>
        </w:rPr>
        <w:t xml:space="preserve">, Article 31 </w:t>
      </w:r>
      <w:r w:rsidR="00F25473" w:rsidRPr="003E05EF">
        <w:rPr>
          <w:rFonts w:ascii="Times New Roman" w:hAnsi="Times New Roman" w:cs="Times New Roman"/>
          <w:i/>
          <w:sz w:val="20"/>
          <w:szCs w:val="24"/>
        </w:rPr>
        <w:t>creates rights</w:t>
      </w:r>
      <w:r w:rsidR="00F25473" w:rsidRPr="003E05EF">
        <w:rPr>
          <w:rFonts w:ascii="Times New Roman" w:hAnsi="Times New Roman" w:cs="Times New Roman"/>
          <w:sz w:val="20"/>
          <w:szCs w:val="24"/>
        </w:rPr>
        <w:t xml:space="preserve"> whi</w:t>
      </w:r>
      <w:r w:rsidR="007D6D46" w:rsidRPr="003E05EF">
        <w:rPr>
          <w:rFonts w:ascii="Times New Roman" w:hAnsi="Times New Roman" w:cs="Times New Roman"/>
          <w:sz w:val="20"/>
          <w:szCs w:val="24"/>
        </w:rPr>
        <w:t>ch national courts must protect</w:t>
      </w:r>
      <w:r w:rsidR="003C07F7" w:rsidRPr="003E05EF">
        <w:rPr>
          <w:rFonts w:ascii="Times New Roman" w:hAnsi="Times New Roman" w:cs="Times New Roman"/>
          <w:sz w:val="20"/>
          <w:szCs w:val="24"/>
        </w:rPr>
        <w:t xml:space="preserve"> [emphasis added]</w:t>
      </w:r>
      <w:r w:rsidR="007D6D46" w:rsidRPr="003E05EF">
        <w:rPr>
          <w:rFonts w:ascii="Times New Roman" w:hAnsi="Times New Roman" w:cs="Times New Roman"/>
          <w:sz w:val="20"/>
          <w:szCs w:val="24"/>
        </w:rPr>
        <w:t>’</w:t>
      </w:r>
      <w:r w:rsidR="00F25473" w:rsidRPr="003E05EF">
        <w:rPr>
          <w:rFonts w:ascii="Times New Roman" w:hAnsi="Times New Roman" w:cs="Times New Roman"/>
          <w:sz w:val="20"/>
          <w:szCs w:val="24"/>
        </w:rPr>
        <w:t>.</w:t>
      </w:r>
      <w:r w:rsidR="00F25473" w:rsidRPr="003E05EF">
        <w:rPr>
          <w:rStyle w:val="FootnoteReference"/>
          <w:rFonts w:ascii="Times New Roman" w:hAnsi="Times New Roman" w:cs="Times New Roman"/>
          <w:sz w:val="20"/>
          <w:szCs w:val="24"/>
        </w:rPr>
        <w:footnoteReference w:id="32"/>
      </w:r>
      <w:r w:rsidR="003C07F7" w:rsidRPr="003E05EF">
        <w:rPr>
          <w:rFonts w:ascii="Times New Roman" w:hAnsi="Times New Roman" w:cs="Times New Roman"/>
          <w:sz w:val="20"/>
          <w:szCs w:val="24"/>
        </w:rPr>
        <w:t xml:space="preserve"> </w:t>
      </w:r>
    </w:p>
    <w:p w14:paraId="15937146" w14:textId="77777777" w:rsidR="003E05EF" w:rsidRDefault="003E05EF" w:rsidP="004A358F">
      <w:pPr>
        <w:pStyle w:val="NoSpacing"/>
        <w:jc w:val="both"/>
        <w:rPr>
          <w:rFonts w:ascii="Times New Roman" w:hAnsi="Times New Roman" w:cs="Times New Roman"/>
          <w:sz w:val="24"/>
          <w:szCs w:val="24"/>
        </w:rPr>
      </w:pPr>
    </w:p>
    <w:p w14:paraId="546D597A" w14:textId="77777777" w:rsidR="004A358F" w:rsidRDefault="003E05EF" w:rsidP="004A358F">
      <w:pPr>
        <w:pStyle w:val="NoSpacing"/>
        <w:jc w:val="both"/>
        <w:rPr>
          <w:rFonts w:ascii="Times New Roman" w:hAnsi="Times New Roman" w:cs="Times New Roman"/>
          <w:sz w:val="24"/>
          <w:szCs w:val="24"/>
        </w:rPr>
      </w:pPr>
      <w:r>
        <w:rPr>
          <w:rFonts w:ascii="Times New Roman" w:hAnsi="Times New Roman" w:cs="Times New Roman"/>
          <w:sz w:val="24"/>
          <w:szCs w:val="24"/>
        </w:rPr>
        <w:t>Similarly, i</w:t>
      </w:r>
      <w:r w:rsidR="003C07F7">
        <w:rPr>
          <w:rFonts w:ascii="Times New Roman" w:hAnsi="Times New Roman" w:cs="Times New Roman"/>
          <w:sz w:val="24"/>
          <w:szCs w:val="24"/>
        </w:rPr>
        <w:t xml:space="preserve">n </w:t>
      </w:r>
      <w:r w:rsidR="003C07F7">
        <w:rPr>
          <w:rFonts w:ascii="Times New Roman" w:hAnsi="Times New Roman" w:cs="Times New Roman"/>
          <w:i/>
          <w:sz w:val="24"/>
          <w:szCs w:val="24"/>
        </w:rPr>
        <w:t>Royer</w:t>
      </w:r>
      <w:r w:rsidR="003C07F7">
        <w:rPr>
          <w:rFonts w:ascii="Times New Roman" w:hAnsi="Times New Roman" w:cs="Times New Roman"/>
          <w:sz w:val="24"/>
          <w:szCs w:val="24"/>
        </w:rPr>
        <w:t xml:space="preserve">, concerning the free movement of workers, establishment and services, the Court held that those market freedoms ‘have the effect of </w:t>
      </w:r>
      <w:r w:rsidR="003C07F7">
        <w:rPr>
          <w:rFonts w:ascii="Times New Roman" w:hAnsi="Times New Roman" w:cs="Times New Roman"/>
          <w:i/>
          <w:sz w:val="24"/>
          <w:szCs w:val="24"/>
        </w:rPr>
        <w:t>conferring rights directly</w:t>
      </w:r>
      <w:r w:rsidR="003C07F7">
        <w:rPr>
          <w:rFonts w:ascii="Times New Roman" w:hAnsi="Times New Roman" w:cs="Times New Roman"/>
          <w:sz w:val="24"/>
          <w:szCs w:val="24"/>
        </w:rPr>
        <w:t xml:space="preserve"> on all persons’.</w:t>
      </w:r>
      <w:r w:rsidR="003C07F7">
        <w:rPr>
          <w:rStyle w:val="FootnoteReference"/>
          <w:rFonts w:ascii="Times New Roman" w:hAnsi="Times New Roman" w:cs="Times New Roman"/>
          <w:sz w:val="24"/>
          <w:szCs w:val="24"/>
        </w:rPr>
        <w:footnoteReference w:id="33"/>
      </w:r>
      <w:r w:rsidR="003C07F7">
        <w:rPr>
          <w:rFonts w:ascii="Times New Roman" w:hAnsi="Times New Roman" w:cs="Times New Roman"/>
          <w:sz w:val="24"/>
          <w:szCs w:val="24"/>
        </w:rPr>
        <w:t xml:space="preserve"> </w:t>
      </w:r>
      <w:r>
        <w:rPr>
          <w:rFonts w:ascii="Times New Roman" w:hAnsi="Times New Roman" w:cs="Times New Roman"/>
          <w:sz w:val="24"/>
          <w:szCs w:val="24"/>
        </w:rPr>
        <w:t xml:space="preserve">Moreover, the application of the </w:t>
      </w:r>
      <w:r>
        <w:rPr>
          <w:rFonts w:ascii="Times New Roman" w:hAnsi="Times New Roman" w:cs="Times New Roman"/>
          <w:i/>
          <w:sz w:val="24"/>
          <w:szCs w:val="24"/>
        </w:rPr>
        <w:t xml:space="preserve">Van Gend </w:t>
      </w:r>
      <w:r w:rsidR="00C37CD2">
        <w:rPr>
          <w:rFonts w:ascii="Times New Roman" w:hAnsi="Times New Roman" w:cs="Times New Roman"/>
          <w:sz w:val="24"/>
          <w:szCs w:val="24"/>
        </w:rPr>
        <w:t>criteria –</w:t>
      </w:r>
      <w:r>
        <w:rPr>
          <w:rFonts w:ascii="Times New Roman" w:hAnsi="Times New Roman" w:cs="Times New Roman"/>
          <w:sz w:val="24"/>
          <w:szCs w:val="24"/>
        </w:rPr>
        <w:t xml:space="preserve"> that provisions be </w:t>
      </w:r>
      <w:r w:rsidRPr="004E4CD6">
        <w:rPr>
          <w:rFonts w:ascii="Times New Roman" w:hAnsi="Times New Roman" w:cs="Times New Roman"/>
          <w:i/>
          <w:sz w:val="24"/>
          <w:szCs w:val="24"/>
        </w:rPr>
        <w:t xml:space="preserve">unconditional </w:t>
      </w:r>
      <w:r>
        <w:rPr>
          <w:rFonts w:ascii="Times New Roman" w:hAnsi="Times New Roman" w:cs="Times New Roman"/>
          <w:sz w:val="24"/>
          <w:szCs w:val="24"/>
        </w:rPr>
        <w:t xml:space="preserve">and </w:t>
      </w:r>
      <w:r w:rsidRPr="004E4CD6">
        <w:rPr>
          <w:rFonts w:ascii="Times New Roman" w:hAnsi="Times New Roman" w:cs="Times New Roman"/>
          <w:i/>
          <w:sz w:val="24"/>
          <w:szCs w:val="24"/>
        </w:rPr>
        <w:t>precise</w:t>
      </w:r>
      <w:r>
        <w:rPr>
          <w:rFonts w:ascii="Times New Roman" w:hAnsi="Times New Roman" w:cs="Times New Roman"/>
          <w:sz w:val="24"/>
          <w:szCs w:val="24"/>
        </w:rPr>
        <w:t xml:space="preserve"> </w:t>
      </w:r>
      <w:r w:rsidR="00C37CD2">
        <w:rPr>
          <w:rFonts w:ascii="Times New Roman" w:hAnsi="Times New Roman" w:cs="Times New Roman"/>
          <w:sz w:val="24"/>
          <w:szCs w:val="24"/>
        </w:rPr>
        <w:t>in order to enjoy direct effect –</w:t>
      </w:r>
      <w:r>
        <w:rPr>
          <w:rFonts w:ascii="Times New Roman" w:hAnsi="Times New Roman" w:cs="Times New Roman"/>
          <w:sz w:val="24"/>
          <w:szCs w:val="24"/>
        </w:rPr>
        <w:t xml:space="preserve"> to the free movement provisions requires that the public interests referred to in the free movement chapters be conceptualised as </w:t>
      </w:r>
      <w:r>
        <w:rPr>
          <w:rFonts w:ascii="Times New Roman" w:hAnsi="Times New Roman" w:cs="Times New Roman"/>
          <w:i/>
          <w:sz w:val="24"/>
          <w:szCs w:val="24"/>
        </w:rPr>
        <w:t>derogations</w:t>
      </w:r>
      <w:r>
        <w:rPr>
          <w:rFonts w:ascii="Times New Roman" w:hAnsi="Times New Roman" w:cs="Times New Roman"/>
          <w:sz w:val="24"/>
          <w:szCs w:val="24"/>
        </w:rPr>
        <w:t xml:space="preserve"> to be </w:t>
      </w:r>
      <w:r>
        <w:rPr>
          <w:rFonts w:ascii="Times New Roman" w:hAnsi="Times New Roman" w:cs="Times New Roman"/>
          <w:i/>
          <w:sz w:val="24"/>
          <w:szCs w:val="24"/>
        </w:rPr>
        <w:t xml:space="preserve">strictly </w:t>
      </w:r>
      <w:r>
        <w:rPr>
          <w:rFonts w:ascii="Times New Roman" w:hAnsi="Times New Roman" w:cs="Times New Roman"/>
          <w:sz w:val="24"/>
          <w:szCs w:val="24"/>
        </w:rPr>
        <w:t xml:space="preserve">defined. Thus, in </w:t>
      </w:r>
      <w:r>
        <w:rPr>
          <w:rFonts w:ascii="Times New Roman" w:hAnsi="Times New Roman" w:cs="Times New Roman"/>
          <w:i/>
          <w:sz w:val="24"/>
          <w:szCs w:val="24"/>
        </w:rPr>
        <w:t>Salgoil</w:t>
      </w:r>
      <w:r>
        <w:rPr>
          <w:rFonts w:ascii="Times New Roman" w:hAnsi="Times New Roman" w:cs="Times New Roman"/>
          <w:sz w:val="24"/>
          <w:szCs w:val="24"/>
        </w:rPr>
        <w:t>, rather than imposing conditions on the free movement of goods across intra-Union borders, Article 36 TFEU was interpreted as dealing with ‘exceptional cases, which are clearly defined and which do not lend themselves to wide interpretation’.</w:t>
      </w:r>
      <w:r>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Moreover, in </w:t>
      </w:r>
      <w:r>
        <w:rPr>
          <w:rFonts w:ascii="Times New Roman" w:hAnsi="Times New Roman" w:cs="Times New Roman"/>
          <w:i/>
          <w:sz w:val="24"/>
          <w:szCs w:val="24"/>
        </w:rPr>
        <w:t>van Duyn</w:t>
      </w:r>
      <w:r>
        <w:rPr>
          <w:rFonts w:ascii="Times New Roman" w:hAnsi="Times New Roman" w:cs="Times New Roman"/>
          <w:sz w:val="24"/>
          <w:szCs w:val="24"/>
        </w:rPr>
        <w:t xml:space="preserve">, though the CJEU accepted that Article 45(3) TFEU placed limitations on the free movement of workers, this did not preclude Article 45 TFEU from enjoying direct effect status. Those limitations were themselves ‘subject to judicial control’, and accordingly Article 45 was capable of conferring rights upon individuals, which </w:t>
      </w:r>
      <w:r>
        <w:rPr>
          <w:rFonts w:ascii="Times New Roman" w:hAnsi="Times New Roman" w:cs="Times New Roman"/>
          <w:sz w:val="24"/>
          <w:szCs w:val="24"/>
        </w:rPr>
        <w:lastRenderedPageBreak/>
        <w:t>the na</w:t>
      </w:r>
      <w:r w:rsidR="004C4E96">
        <w:rPr>
          <w:rFonts w:ascii="Times New Roman" w:hAnsi="Times New Roman" w:cs="Times New Roman"/>
          <w:sz w:val="24"/>
          <w:szCs w:val="24"/>
        </w:rPr>
        <w:t>tional courts must protect.</w:t>
      </w:r>
      <w:r w:rsidR="00C37CD2">
        <w:rPr>
          <w:rStyle w:val="FootnoteReference"/>
          <w:rFonts w:ascii="Times New Roman" w:hAnsi="Times New Roman" w:cs="Times New Roman"/>
          <w:sz w:val="24"/>
          <w:szCs w:val="24"/>
        </w:rPr>
        <w:footnoteReference w:id="35"/>
      </w:r>
      <w:r w:rsidR="004C4E96">
        <w:rPr>
          <w:rFonts w:ascii="Times New Roman" w:hAnsi="Times New Roman" w:cs="Times New Roman"/>
          <w:sz w:val="24"/>
          <w:szCs w:val="24"/>
        </w:rPr>
        <w:t xml:space="preserve"> </w:t>
      </w:r>
      <w:r>
        <w:rPr>
          <w:rFonts w:ascii="Times New Roman" w:hAnsi="Times New Roman" w:cs="Times New Roman"/>
          <w:sz w:val="24"/>
          <w:szCs w:val="24"/>
        </w:rPr>
        <w:t>T</w:t>
      </w:r>
      <w:r w:rsidR="00B117AC">
        <w:rPr>
          <w:rFonts w:ascii="Times New Roman" w:hAnsi="Times New Roman" w:cs="Times New Roman"/>
          <w:sz w:val="24"/>
          <w:szCs w:val="24"/>
        </w:rPr>
        <w:t>h</w:t>
      </w:r>
      <w:r w:rsidR="004C4E96">
        <w:rPr>
          <w:rFonts w:ascii="Times New Roman" w:hAnsi="Times New Roman" w:cs="Times New Roman"/>
          <w:sz w:val="24"/>
          <w:szCs w:val="24"/>
        </w:rPr>
        <w:t>ese developments not only concretely reinforce the use of a breach/justification me</w:t>
      </w:r>
      <w:r w:rsidR="00C37CD2">
        <w:rPr>
          <w:rFonts w:ascii="Times New Roman" w:hAnsi="Times New Roman" w:cs="Times New Roman"/>
          <w:sz w:val="24"/>
          <w:szCs w:val="24"/>
        </w:rPr>
        <w:t>thodology but also</w:t>
      </w:r>
      <w:r w:rsidR="00F000BE">
        <w:rPr>
          <w:rFonts w:ascii="Times New Roman" w:hAnsi="Times New Roman" w:cs="Times New Roman"/>
          <w:sz w:val="24"/>
          <w:szCs w:val="24"/>
        </w:rPr>
        <w:t xml:space="preserve"> present as a judicial</w:t>
      </w:r>
      <w:r w:rsidR="00C37CD2">
        <w:rPr>
          <w:rFonts w:ascii="Times New Roman" w:hAnsi="Times New Roman" w:cs="Times New Roman"/>
          <w:sz w:val="24"/>
          <w:szCs w:val="24"/>
        </w:rPr>
        <w:t xml:space="preserve"> task</w:t>
      </w:r>
      <w:r w:rsidR="00F000BE">
        <w:rPr>
          <w:rFonts w:ascii="Times New Roman" w:hAnsi="Times New Roman" w:cs="Times New Roman"/>
          <w:sz w:val="24"/>
          <w:szCs w:val="24"/>
        </w:rPr>
        <w:t xml:space="preserve"> the restriction of</w:t>
      </w:r>
      <w:r w:rsidR="004C4E96">
        <w:rPr>
          <w:rFonts w:ascii="Times New Roman" w:hAnsi="Times New Roman" w:cs="Times New Roman"/>
          <w:sz w:val="24"/>
          <w:szCs w:val="24"/>
        </w:rPr>
        <w:t xml:space="preserve"> the operation of public </w:t>
      </w:r>
      <w:r w:rsidR="001A55DD">
        <w:rPr>
          <w:rFonts w:ascii="Times New Roman" w:hAnsi="Times New Roman" w:cs="Times New Roman"/>
          <w:sz w:val="24"/>
          <w:szCs w:val="24"/>
        </w:rPr>
        <w:t>interests in relation to</w:t>
      </w:r>
      <w:r w:rsidR="004C4E96">
        <w:rPr>
          <w:rFonts w:ascii="Times New Roman" w:hAnsi="Times New Roman" w:cs="Times New Roman"/>
          <w:sz w:val="24"/>
          <w:szCs w:val="24"/>
        </w:rPr>
        <w:t xml:space="preserve"> the market freedoms.</w:t>
      </w:r>
      <w:r w:rsidR="007D621C">
        <w:rPr>
          <w:rFonts w:ascii="Times New Roman" w:hAnsi="Times New Roman" w:cs="Times New Roman"/>
          <w:sz w:val="24"/>
          <w:szCs w:val="24"/>
        </w:rPr>
        <w:t xml:space="preserve"> </w:t>
      </w:r>
    </w:p>
    <w:p w14:paraId="020E8F5E" w14:textId="77777777" w:rsidR="004A358F" w:rsidRPr="004A358F" w:rsidRDefault="004A358F" w:rsidP="004A358F">
      <w:pPr>
        <w:pStyle w:val="NoSpacing"/>
        <w:jc w:val="both"/>
        <w:rPr>
          <w:rFonts w:ascii="Times New Roman" w:hAnsi="Times New Roman" w:cs="Times New Roman"/>
          <w:sz w:val="24"/>
          <w:szCs w:val="24"/>
        </w:rPr>
      </w:pPr>
    </w:p>
    <w:p w14:paraId="039EA7CC" w14:textId="77777777" w:rsidR="00645F99" w:rsidRDefault="00645F99" w:rsidP="006F4BAC">
      <w:pPr>
        <w:pStyle w:val="NoSpacing"/>
        <w:jc w:val="both"/>
        <w:rPr>
          <w:rFonts w:ascii="Times New Roman" w:hAnsi="Times New Roman" w:cs="Times New Roman"/>
          <w:b/>
          <w:i/>
          <w:sz w:val="24"/>
          <w:szCs w:val="24"/>
        </w:rPr>
      </w:pPr>
    </w:p>
    <w:p w14:paraId="7897FBC0" w14:textId="77777777" w:rsidR="00645F99" w:rsidRDefault="00BF5DAA" w:rsidP="00BF5DAA">
      <w:pPr>
        <w:pStyle w:val="NoSpacing"/>
        <w:numPr>
          <w:ilvl w:val="1"/>
          <w:numId w:val="2"/>
        </w:numPr>
        <w:jc w:val="both"/>
        <w:rPr>
          <w:rFonts w:ascii="Times New Roman" w:hAnsi="Times New Roman" w:cs="Times New Roman"/>
          <w:b/>
          <w:i/>
          <w:sz w:val="24"/>
          <w:szCs w:val="24"/>
        </w:rPr>
      </w:pPr>
      <w:r>
        <w:rPr>
          <w:rFonts w:ascii="Times New Roman" w:hAnsi="Times New Roman" w:cs="Times New Roman"/>
          <w:b/>
          <w:i/>
          <w:sz w:val="24"/>
          <w:szCs w:val="24"/>
        </w:rPr>
        <w:t>The incremental development of EU fundamental rights protection</w:t>
      </w:r>
    </w:p>
    <w:p w14:paraId="79A1DFE3" w14:textId="77777777" w:rsidR="0051177E" w:rsidRDefault="0051177E" w:rsidP="0051177E">
      <w:pPr>
        <w:pStyle w:val="NoSpacing"/>
        <w:jc w:val="both"/>
        <w:rPr>
          <w:rFonts w:ascii="Times New Roman" w:hAnsi="Times New Roman" w:cs="Times New Roman"/>
          <w:b/>
          <w:i/>
          <w:sz w:val="24"/>
          <w:szCs w:val="24"/>
        </w:rPr>
      </w:pPr>
    </w:p>
    <w:p w14:paraId="5216EECA" w14:textId="77777777" w:rsidR="00D87D60" w:rsidRDefault="00C32A05" w:rsidP="0051177E">
      <w:pPr>
        <w:pStyle w:val="NoSpacing"/>
        <w:jc w:val="both"/>
        <w:rPr>
          <w:rFonts w:ascii="Times New Roman" w:hAnsi="Times New Roman" w:cs="Times New Roman"/>
          <w:sz w:val="24"/>
          <w:szCs w:val="24"/>
        </w:rPr>
      </w:pPr>
      <w:r>
        <w:rPr>
          <w:rFonts w:ascii="Times New Roman" w:hAnsi="Times New Roman" w:cs="Times New Roman"/>
          <w:sz w:val="24"/>
          <w:szCs w:val="24"/>
        </w:rPr>
        <w:t>In stark contrast with the centrality of free movement within the Rome Treaty,</w:t>
      </w:r>
      <w:r w:rsidR="003A020F">
        <w:rPr>
          <w:rFonts w:ascii="Times New Roman" w:hAnsi="Times New Roman" w:cs="Times New Roman"/>
          <w:sz w:val="24"/>
          <w:szCs w:val="24"/>
        </w:rPr>
        <w:t xml:space="preserve"> students of EU law are well versed in the fact that</w:t>
      </w:r>
      <w:r>
        <w:rPr>
          <w:rFonts w:ascii="Times New Roman" w:hAnsi="Times New Roman" w:cs="Times New Roman"/>
          <w:sz w:val="24"/>
          <w:szCs w:val="24"/>
        </w:rPr>
        <w:t xml:space="preserve"> the relationship between the EU and fundamental rights has been more piecemeal. </w:t>
      </w:r>
      <w:r w:rsidR="003A020F">
        <w:rPr>
          <w:rFonts w:ascii="Times New Roman" w:hAnsi="Times New Roman" w:cs="Times New Roman"/>
          <w:sz w:val="24"/>
          <w:szCs w:val="24"/>
        </w:rPr>
        <w:t>For example</w:t>
      </w:r>
      <w:r w:rsidR="0051177E">
        <w:rPr>
          <w:rFonts w:ascii="Times New Roman" w:hAnsi="Times New Roman" w:cs="Times New Roman"/>
          <w:sz w:val="24"/>
          <w:szCs w:val="24"/>
        </w:rPr>
        <w:t>, the Rome Treaty made no provision for fundamental rights, seemingly b</w:t>
      </w:r>
      <w:r w:rsidR="00DD38BD">
        <w:rPr>
          <w:rFonts w:ascii="Times New Roman" w:hAnsi="Times New Roman" w:cs="Times New Roman"/>
          <w:sz w:val="24"/>
          <w:szCs w:val="24"/>
        </w:rPr>
        <w:t>ecause reference to them was viewed as un</w:t>
      </w:r>
      <w:r w:rsidR="0051177E">
        <w:rPr>
          <w:rFonts w:ascii="Times New Roman" w:hAnsi="Times New Roman" w:cs="Times New Roman"/>
          <w:sz w:val="24"/>
          <w:szCs w:val="24"/>
        </w:rPr>
        <w:t>necessary within a document charged with constituting an economic community.</w:t>
      </w:r>
      <w:r w:rsidR="0051177E">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w:t>
      </w:r>
      <w:r w:rsidR="00D87D60">
        <w:rPr>
          <w:rFonts w:ascii="Times New Roman" w:hAnsi="Times New Roman" w:cs="Times New Roman"/>
          <w:sz w:val="24"/>
          <w:szCs w:val="24"/>
        </w:rPr>
        <w:t xml:space="preserve">In the specific context of free movement, the Rome Treaty also did not explicitly envisage interaction between free movement and fundamental rights. None of the provisions permitting derogations from the market freedoms have ever presented fundamental rights considerations as justifiable limitations on free movement. </w:t>
      </w:r>
    </w:p>
    <w:p w14:paraId="54D3A7CE" w14:textId="77777777" w:rsidR="00D87D60" w:rsidRDefault="00D87D60" w:rsidP="0051177E">
      <w:pPr>
        <w:pStyle w:val="NoSpacing"/>
        <w:jc w:val="both"/>
        <w:rPr>
          <w:rFonts w:ascii="Times New Roman" w:hAnsi="Times New Roman" w:cs="Times New Roman"/>
          <w:sz w:val="24"/>
          <w:szCs w:val="24"/>
        </w:rPr>
      </w:pPr>
    </w:p>
    <w:p w14:paraId="56D95D4E" w14:textId="77777777" w:rsidR="00A9555F" w:rsidRDefault="00DD38BD" w:rsidP="0051177E">
      <w:pPr>
        <w:pStyle w:val="NoSpacing"/>
        <w:jc w:val="both"/>
        <w:rPr>
          <w:rFonts w:ascii="Times New Roman" w:hAnsi="Times New Roman" w:cs="Times New Roman"/>
          <w:sz w:val="24"/>
          <w:szCs w:val="24"/>
        </w:rPr>
      </w:pPr>
      <w:r>
        <w:rPr>
          <w:rFonts w:ascii="Times New Roman" w:hAnsi="Times New Roman" w:cs="Times New Roman"/>
          <w:sz w:val="24"/>
          <w:szCs w:val="24"/>
        </w:rPr>
        <w:t>Yet</w:t>
      </w:r>
      <w:r w:rsidR="00C32A05">
        <w:rPr>
          <w:rFonts w:ascii="Times New Roman" w:hAnsi="Times New Roman" w:cs="Times New Roman"/>
          <w:sz w:val="24"/>
          <w:szCs w:val="24"/>
        </w:rPr>
        <w:t xml:space="preserve"> litigants soon began to argue that the formation of an internal market was affecting their fundamental rights</w:t>
      </w:r>
      <w:r>
        <w:rPr>
          <w:rFonts w:ascii="Times New Roman" w:hAnsi="Times New Roman" w:cs="Times New Roman"/>
          <w:sz w:val="24"/>
          <w:szCs w:val="24"/>
        </w:rPr>
        <w:t xml:space="preserve"> and it was accordingly left to the Court to resolve these tensions, despite the absence of fundamental rights protection within the Treaty text</w:t>
      </w:r>
      <w:r w:rsidR="00465153">
        <w:rPr>
          <w:rFonts w:ascii="Times New Roman" w:hAnsi="Times New Roman" w:cs="Times New Roman"/>
          <w:sz w:val="24"/>
          <w:szCs w:val="24"/>
        </w:rPr>
        <w:t>.</w:t>
      </w:r>
      <w:r>
        <w:rPr>
          <w:rFonts w:ascii="Times New Roman" w:hAnsi="Times New Roman" w:cs="Times New Roman"/>
          <w:sz w:val="24"/>
          <w:szCs w:val="24"/>
        </w:rPr>
        <w:t xml:space="preserve"> Thus, as is well-known,</w:t>
      </w:r>
      <w:r w:rsidR="00465153">
        <w:rPr>
          <w:rFonts w:ascii="Times New Roman" w:hAnsi="Times New Roman" w:cs="Times New Roman"/>
          <w:sz w:val="24"/>
          <w:szCs w:val="24"/>
        </w:rPr>
        <w:t xml:space="preserve"> </w:t>
      </w:r>
      <w:r w:rsidR="0051177E">
        <w:rPr>
          <w:rFonts w:ascii="Times New Roman" w:hAnsi="Times New Roman" w:cs="Times New Roman"/>
          <w:sz w:val="24"/>
          <w:szCs w:val="24"/>
        </w:rPr>
        <w:t xml:space="preserve">in </w:t>
      </w:r>
      <w:r w:rsidR="0051177E">
        <w:rPr>
          <w:rFonts w:ascii="Times New Roman" w:hAnsi="Times New Roman" w:cs="Times New Roman"/>
          <w:i/>
          <w:sz w:val="24"/>
          <w:szCs w:val="24"/>
        </w:rPr>
        <w:t xml:space="preserve">Stauder </w:t>
      </w:r>
      <w:r w:rsidR="0051177E">
        <w:rPr>
          <w:rFonts w:ascii="Times New Roman" w:hAnsi="Times New Roman" w:cs="Times New Roman"/>
          <w:sz w:val="24"/>
          <w:szCs w:val="24"/>
        </w:rPr>
        <w:t xml:space="preserve">and its seminal </w:t>
      </w:r>
      <w:r w:rsidR="0051177E">
        <w:rPr>
          <w:rFonts w:ascii="Times New Roman" w:hAnsi="Times New Roman" w:cs="Times New Roman"/>
          <w:i/>
          <w:sz w:val="24"/>
          <w:szCs w:val="24"/>
        </w:rPr>
        <w:t>International</w:t>
      </w:r>
      <w:r w:rsidR="0011686C">
        <w:rPr>
          <w:rFonts w:ascii="Times New Roman" w:hAnsi="Times New Roman" w:cs="Times New Roman"/>
          <w:i/>
          <w:sz w:val="24"/>
          <w:szCs w:val="24"/>
        </w:rPr>
        <w:t>e</w:t>
      </w:r>
      <w:r w:rsidR="0051177E">
        <w:rPr>
          <w:rFonts w:ascii="Times New Roman" w:hAnsi="Times New Roman" w:cs="Times New Roman"/>
          <w:i/>
          <w:sz w:val="24"/>
          <w:szCs w:val="24"/>
        </w:rPr>
        <w:t xml:space="preserve"> Handelsgesellschaft </w:t>
      </w:r>
      <w:r w:rsidR="0051177E">
        <w:rPr>
          <w:rFonts w:ascii="Times New Roman" w:hAnsi="Times New Roman" w:cs="Times New Roman"/>
          <w:sz w:val="24"/>
          <w:szCs w:val="24"/>
        </w:rPr>
        <w:t>decision, the Court held that fundamental rights formed an integral part of the general principles of Union law, were inspired by the constitutional traditions common to the Member States, but operated within the structure and objectives of the Union.</w:t>
      </w:r>
      <w:r w:rsidR="0051177E">
        <w:rPr>
          <w:rStyle w:val="FootnoteReference"/>
          <w:rFonts w:ascii="Times New Roman" w:hAnsi="Times New Roman" w:cs="Times New Roman"/>
          <w:sz w:val="24"/>
          <w:szCs w:val="24"/>
        </w:rPr>
        <w:footnoteReference w:id="37"/>
      </w:r>
      <w:r w:rsidR="0051177E">
        <w:rPr>
          <w:rFonts w:ascii="Times New Roman" w:hAnsi="Times New Roman" w:cs="Times New Roman"/>
          <w:sz w:val="24"/>
          <w:szCs w:val="24"/>
        </w:rPr>
        <w:t xml:space="preserve"> This was confirmed in </w:t>
      </w:r>
      <w:r w:rsidR="0051177E">
        <w:rPr>
          <w:rFonts w:ascii="Times New Roman" w:hAnsi="Times New Roman" w:cs="Times New Roman"/>
          <w:i/>
          <w:sz w:val="24"/>
          <w:szCs w:val="24"/>
        </w:rPr>
        <w:t>Nold</w:t>
      </w:r>
      <w:r w:rsidR="0051177E">
        <w:rPr>
          <w:rFonts w:ascii="Times New Roman" w:hAnsi="Times New Roman" w:cs="Times New Roman"/>
          <w:sz w:val="24"/>
          <w:szCs w:val="24"/>
        </w:rPr>
        <w:t>, in which the Court also highlighted the significance of international human rights instruments, to which the Member States were signatories, to the EU fundamental rights framework.</w:t>
      </w:r>
      <w:r w:rsidR="0051177E">
        <w:rPr>
          <w:rStyle w:val="FootnoteReference"/>
          <w:rFonts w:ascii="Times New Roman" w:hAnsi="Times New Roman" w:cs="Times New Roman"/>
          <w:sz w:val="24"/>
          <w:szCs w:val="24"/>
        </w:rPr>
        <w:footnoteReference w:id="38"/>
      </w:r>
      <w:r w:rsidR="0051177E">
        <w:rPr>
          <w:rFonts w:ascii="Times New Roman" w:hAnsi="Times New Roman" w:cs="Times New Roman"/>
          <w:sz w:val="24"/>
          <w:szCs w:val="24"/>
        </w:rPr>
        <w:t xml:space="preserve"> The ECHR became a ‘special source of inspiration’ in this regard.</w:t>
      </w:r>
      <w:r w:rsidR="0051177E">
        <w:rPr>
          <w:rStyle w:val="FootnoteReference"/>
          <w:rFonts w:ascii="Times New Roman" w:hAnsi="Times New Roman" w:cs="Times New Roman"/>
          <w:sz w:val="24"/>
          <w:szCs w:val="24"/>
        </w:rPr>
        <w:footnoteReference w:id="39"/>
      </w:r>
      <w:r w:rsidR="00A9555F">
        <w:rPr>
          <w:rFonts w:ascii="Times New Roman" w:hAnsi="Times New Roman" w:cs="Times New Roman"/>
          <w:sz w:val="24"/>
          <w:szCs w:val="24"/>
        </w:rPr>
        <w:t xml:space="preserve"> </w:t>
      </w:r>
    </w:p>
    <w:p w14:paraId="6BDD6083" w14:textId="77777777" w:rsidR="00A9555F" w:rsidRDefault="00A9555F" w:rsidP="0051177E">
      <w:pPr>
        <w:pStyle w:val="NoSpacing"/>
        <w:jc w:val="both"/>
        <w:rPr>
          <w:rFonts w:ascii="Times New Roman" w:hAnsi="Times New Roman" w:cs="Times New Roman"/>
          <w:sz w:val="24"/>
          <w:szCs w:val="24"/>
        </w:rPr>
      </w:pPr>
    </w:p>
    <w:p w14:paraId="26CC6000" w14:textId="77777777" w:rsidR="0051177E" w:rsidRDefault="00A9555F" w:rsidP="0051177E">
      <w:pPr>
        <w:pStyle w:val="NoSpacing"/>
        <w:jc w:val="both"/>
        <w:rPr>
          <w:rFonts w:ascii="Times New Roman" w:hAnsi="Times New Roman" w:cs="Times New Roman"/>
          <w:sz w:val="24"/>
          <w:szCs w:val="24"/>
        </w:rPr>
      </w:pPr>
      <w:r>
        <w:rPr>
          <w:rFonts w:ascii="Times New Roman" w:hAnsi="Times New Roman" w:cs="Times New Roman"/>
          <w:sz w:val="24"/>
          <w:szCs w:val="24"/>
        </w:rPr>
        <w:t>However, since EU fundamental rights were introduced as general principles of Union law</w:t>
      </w:r>
      <w:r w:rsidR="00CC76F3">
        <w:rPr>
          <w:rFonts w:ascii="Times New Roman" w:hAnsi="Times New Roman" w:cs="Times New Roman"/>
          <w:sz w:val="24"/>
          <w:szCs w:val="24"/>
        </w:rPr>
        <w:t>,</w:t>
      </w:r>
      <w:r>
        <w:rPr>
          <w:rFonts w:ascii="Times New Roman" w:hAnsi="Times New Roman" w:cs="Times New Roman"/>
          <w:sz w:val="24"/>
          <w:szCs w:val="24"/>
        </w:rPr>
        <w:t xml:space="preserve"> the</w:t>
      </w:r>
      <w:r w:rsidR="00CC76F3">
        <w:rPr>
          <w:rFonts w:ascii="Times New Roman" w:hAnsi="Times New Roman" w:cs="Times New Roman"/>
          <w:sz w:val="24"/>
          <w:szCs w:val="24"/>
        </w:rPr>
        <w:t>ir</w:t>
      </w:r>
      <w:r>
        <w:rPr>
          <w:rFonts w:ascii="Times New Roman" w:hAnsi="Times New Roman" w:cs="Times New Roman"/>
          <w:sz w:val="24"/>
          <w:szCs w:val="24"/>
        </w:rPr>
        <w:t xml:space="preserve"> position </w:t>
      </w:r>
      <w:r w:rsidR="00CC76F3">
        <w:rPr>
          <w:rFonts w:ascii="Times New Roman" w:hAnsi="Times New Roman" w:cs="Times New Roman"/>
          <w:sz w:val="24"/>
          <w:szCs w:val="24"/>
        </w:rPr>
        <w:t>relative to, and their legal effects upon, primary free movement law was unclear.</w:t>
      </w:r>
      <w:r>
        <w:rPr>
          <w:rFonts w:ascii="Times New Roman" w:hAnsi="Times New Roman" w:cs="Times New Roman"/>
          <w:sz w:val="24"/>
          <w:szCs w:val="24"/>
        </w:rPr>
        <w:t xml:space="preserve"> Though the general principles enjoy primary law status, this assertion does not</w:t>
      </w:r>
      <w:r w:rsidR="00180694">
        <w:rPr>
          <w:rFonts w:ascii="Times New Roman" w:hAnsi="Times New Roman" w:cs="Times New Roman"/>
          <w:sz w:val="24"/>
          <w:szCs w:val="24"/>
        </w:rPr>
        <w:t>, in itself, provide a decisive tool for</w:t>
      </w:r>
      <w:r w:rsidR="004B3472">
        <w:rPr>
          <w:rFonts w:ascii="Times New Roman" w:hAnsi="Times New Roman" w:cs="Times New Roman"/>
          <w:sz w:val="24"/>
          <w:szCs w:val="24"/>
        </w:rPr>
        <w:t xml:space="preserve"> resolving tensions between conflicting </w:t>
      </w:r>
      <w:r w:rsidR="00180694">
        <w:rPr>
          <w:rFonts w:ascii="Times New Roman" w:hAnsi="Times New Roman" w:cs="Times New Roman"/>
          <w:sz w:val="24"/>
          <w:szCs w:val="24"/>
        </w:rPr>
        <w:t>primary law norms.</w:t>
      </w:r>
      <w:r w:rsidR="004B3472">
        <w:rPr>
          <w:rFonts w:ascii="Times New Roman" w:hAnsi="Times New Roman" w:cs="Times New Roman"/>
          <w:sz w:val="24"/>
          <w:szCs w:val="24"/>
        </w:rPr>
        <w:t xml:space="preserve"> </w:t>
      </w:r>
      <w:r w:rsidR="00113CD2">
        <w:rPr>
          <w:rFonts w:ascii="Times New Roman" w:hAnsi="Times New Roman" w:cs="Times New Roman"/>
          <w:sz w:val="24"/>
          <w:szCs w:val="24"/>
        </w:rPr>
        <w:t>Indeed, when tensions between the market freedoms and fundamental rights began to appear before the Court,</w:t>
      </w:r>
      <w:r w:rsidR="00113CD2">
        <w:rPr>
          <w:rStyle w:val="FootnoteReference"/>
          <w:rFonts w:ascii="Times New Roman" w:hAnsi="Times New Roman" w:cs="Times New Roman"/>
          <w:sz w:val="24"/>
          <w:szCs w:val="24"/>
        </w:rPr>
        <w:footnoteReference w:id="40"/>
      </w:r>
      <w:r w:rsidR="00113CD2">
        <w:rPr>
          <w:rFonts w:ascii="Times New Roman" w:hAnsi="Times New Roman" w:cs="Times New Roman"/>
          <w:sz w:val="24"/>
          <w:szCs w:val="24"/>
        </w:rPr>
        <w:t xml:space="preserve"> there was a consequent debate in the literature as to the relative positions of free movement and fundamental rights.</w:t>
      </w:r>
      <w:r w:rsidR="004B3472">
        <w:rPr>
          <w:rStyle w:val="FootnoteReference"/>
          <w:rFonts w:ascii="Times New Roman" w:hAnsi="Times New Roman" w:cs="Times New Roman"/>
          <w:sz w:val="24"/>
          <w:szCs w:val="24"/>
        </w:rPr>
        <w:footnoteReference w:id="41"/>
      </w:r>
      <w:r w:rsidR="00CC76F3">
        <w:rPr>
          <w:rFonts w:ascii="Times New Roman" w:hAnsi="Times New Roman" w:cs="Times New Roman"/>
          <w:sz w:val="24"/>
          <w:szCs w:val="24"/>
        </w:rPr>
        <w:t xml:space="preserve"> </w:t>
      </w:r>
      <w:r w:rsidR="00120F4B">
        <w:rPr>
          <w:rFonts w:ascii="Times New Roman" w:hAnsi="Times New Roman" w:cs="Times New Roman"/>
          <w:sz w:val="24"/>
          <w:szCs w:val="24"/>
        </w:rPr>
        <w:t xml:space="preserve">As the discussion below will demonstrate, this uncertainty </w:t>
      </w:r>
      <w:r w:rsidR="00120F4B">
        <w:rPr>
          <w:rFonts w:ascii="Times New Roman" w:hAnsi="Times New Roman" w:cs="Times New Roman"/>
          <w:sz w:val="24"/>
          <w:szCs w:val="24"/>
        </w:rPr>
        <w:lastRenderedPageBreak/>
        <w:t>has been resolved</w:t>
      </w:r>
      <w:r w:rsidR="001F7B49">
        <w:rPr>
          <w:rFonts w:ascii="Times New Roman" w:hAnsi="Times New Roman" w:cs="Times New Roman"/>
          <w:sz w:val="24"/>
          <w:szCs w:val="24"/>
        </w:rPr>
        <w:t>, at the judicial-level,</w:t>
      </w:r>
      <w:r w:rsidR="00120F4B">
        <w:rPr>
          <w:rFonts w:ascii="Times New Roman" w:hAnsi="Times New Roman" w:cs="Times New Roman"/>
          <w:sz w:val="24"/>
          <w:szCs w:val="24"/>
        </w:rPr>
        <w:t xml:space="preserve"> by slotting fundamental rights within the pre-existing breach/justification framework</w:t>
      </w:r>
      <w:r w:rsidR="001F7B49">
        <w:rPr>
          <w:rFonts w:ascii="Times New Roman" w:hAnsi="Times New Roman" w:cs="Times New Roman"/>
          <w:sz w:val="24"/>
          <w:szCs w:val="24"/>
        </w:rPr>
        <w:t>,</w:t>
      </w:r>
      <w:r w:rsidR="00120F4B">
        <w:rPr>
          <w:rFonts w:ascii="Times New Roman" w:hAnsi="Times New Roman" w:cs="Times New Roman"/>
          <w:sz w:val="24"/>
          <w:szCs w:val="24"/>
        </w:rPr>
        <w:t xml:space="preserve"> </w:t>
      </w:r>
      <w:r w:rsidR="001F7B49">
        <w:rPr>
          <w:rFonts w:ascii="Times New Roman" w:hAnsi="Times New Roman" w:cs="Times New Roman"/>
          <w:sz w:val="24"/>
          <w:szCs w:val="24"/>
        </w:rPr>
        <w:t>with the consequence that fundamental rights are structurally presented primarily as derogations from free movement rules.</w:t>
      </w:r>
      <w:r w:rsidR="00120F4B">
        <w:rPr>
          <w:rFonts w:ascii="Times New Roman" w:hAnsi="Times New Roman" w:cs="Times New Roman"/>
          <w:sz w:val="24"/>
          <w:szCs w:val="24"/>
        </w:rPr>
        <w:t xml:space="preserve"> </w:t>
      </w:r>
    </w:p>
    <w:p w14:paraId="098BB4BF" w14:textId="77777777" w:rsidR="00EB4E35" w:rsidRDefault="00EB4E35" w:rsidP="0051177E">
      <w:pPr>
        <w:pStyle w:val="NoSpacing"/>
        <w:jc w:val="both"/>
        <w:rPr>
          <w:rFonts w:ascii="Times New Roman" w:hAnsi="Times New Roman" w:cs="Times New Roman"/>
          <w:sz w:val="24"/>
          <w:szCs w:val="24"/>
        </w:rPr>
      </w:pPr>
    </w:p>
    <w:p w14:paraId="4FA1C792" w14:textId="77777777" w:rsidR="00707435" w:rsidRDefault="00707435" w:rsidP="0051177E">
      <w:pPr>
        <w:pStyle w:val="NoSpacing"/>
        <w:jc w:val="both"/>
        <w:rPr>
          <w:rFonts w:ascii="Times New Roman" w:hAnsi="Times New Roman" w:cs="Times New Roman"/>
          <w:sz w:val="24"/>
          <w:szCs w:val="24"/>
        </w:rPr>
      </w:pPr>
    </w:p>
    <w:p w14:paraId="0C72111F" w14:textId="77777777" w:rsidR="001D2889" w:rsidRPr="00645F99" w:rsidRDefault="00695B43" w:rsidP="001D2889">
      <w:pPr>
        <w:pStyle w:val="NoSpacing"/>
        <w:numPr>
          <w:ilvl w:val="1"/>
          <w:numId w:val="2"/>
        </w:numPr>
        <w:jc w:val="both"/>
        <w:rPr>
          <w:rFonts w:ascii="Times New Roman" w:hAnsi="Times New Roman" w:cs="Times New Roman"/>
          <w:b/>
          <w:i/>
          <w:sz w:val="24"/>
          <w:szCs w:val="24"/>
        </w:rPr>
      </w:pPr>
      <w:r>
        <w:rPr>
          <w:rFonts w:ascii="Times New Roman" w:hAnsi="Times New Roman" w:cs="Times New Roman"/>
          <w:b/>
          <w:i/>
          <w:sz w:val="24"/>
          <w:szCs w:val="24"/>
        </w:rPr>
        <w:t xml:space="preserve">Historically understandable but potentially problematic: contextualising the constitutional asymmetry between free movement and fundamental rights </w:t>
      </w:r>
    </w:p>
    <w:p w14:paraId="0F078704" w14:textId="77777777" w:rsidR="001D2889" w:rsidRDefault="001D2889" w:rsidP="0051177E">
      <w:pPr>
        <w:pStyle w:val="NoSpacing"/>
        <w:jc w:val="both"/>
        <w:rPr>
          <w:rFonts w:ascii="Times New Roman" w:hAnsi="Times New Roman" w:cs="Times New Roman"/>
          <w:sz w:val="24"/>
          <w:szCs w:val="24"/>
        </w:rPr>
      </w:pPr>
    </w:p>
    <w:p w14:paraId="2ED35323" w14:textId="77777777" w:rsidR="00220D88" w:rsidRDefault="00480DFC" w:rsidP="0051177E">
      <w:pPr>
        <w:pStyle w:val="NoSpacing"/>
        <w:jc w:val="both"/>
        <w:rPr>
          <w:rFonts w:ascii="Times New Roman" w:hAnsi="Times New Roman" w:cs="Times New Roman"/>
          <w:sz w:val="24"/>
          <w:szCs w:val="24"/>
        </w:rPr>
      </w:pPr>
      <w:r>
        <w:rPr>
          <w:rFonts w:ascii="Times New Roman" w:hAnsi="Times New Roman" w:cs="Times New Roman"/>
          <w:sz w:val="24"/>
          <w:szCs w:val="24"/>
        </w:rPr>
        <w:t xml:space="preserve">With the benefit of hindsight, the constitutional asymmetry between the promotion of free movement and the protection of fundamental rights within the Union legal order appears regrettable. Indeed, the Court has faced diverse, often convincing, and frequently legitimate criticism for the way in which fundamental rights considerations were introduced to the Union legal order. In particular, the Court’s statement that EU fundamental rights must ‘operate within the framework of the structure and objectives of the Treaty’ have left it open to allegations that it considers </w:t>
      </w:r>
      <w:r w:rsidR="00AF7C6C">
        <w:rPr>
          <w:rFonts w:ascii="Times New Roman" w:hAnsi="Times New Roman" w:cs="Times New Roman"/>
          <w:sz w:val="24"/>
          <w:szCs w:val="24"/>
        </w:rPr>
        <w:t>the advance</w:t>
      </w:r>
      <w:r w:rsidR="00BF1D81">
        <w:rPr>
          <w:rFonts w:ascii="Times New Roman" w:hAnsi="Times New Roman" w:cs="Times New Roman"/>
          <w:sz w:val="24"/>
          <w:szCs w:val="24"/>
        </w:rPr>
        <w:t>ment</w:t>
      </w:r>
      <w:r w:rsidR="00AF7C6C">
        <w:rPr>
          <w:rFonts w:ascii="Times New Roman" w:hAnsi="Times New Roman" w:cs="Times New Roman"/>
          <w:sz w:val="24"/>
          <w:szCs w:val="24"/>
        </w:rPr>
        <w:t xml:space="preserve"> of economic integration more important than the safeguarding of fundamental rights.</w:t>
      </w:r>
      <w:r w:rsidR="00AF7C6C">
        <w:rPr>
          <w:rStyle w:val="FootnoteReference"/>
          <w:rFonts w:ascii="Times New Roman" w:hAnsi="Times New Roman" w:cs="Times New Roman"/>
          <w:sz w:val="24"/>
          <w:szCs w:val="24"/>
        </w:rPr>
        <w:footnoteReference w:id="42"/>
      </w:r>
      <w:r w:rsidR="00AF7C6C">
        <w:rPr>
          <w:rFonts w:ascii="Times New Roman" w:hAnsi="Times New Roman" w:cs="Times New Roman"/>
          <w:sz w:val="24"/>
          <w:szCs w:val="24"/>
        </w:rPr>
        <w:t xml:space="preserve"> </w:t>
      </w:r>
      <w:r w:rsidR="00400BFC">
        <w:rPr>
          <w:rFonts w:ascii="Times New Roman" w:hAnsi="Times New Roman" w:cs="Times New Roman"/>
          <w:sz w:val="24"/>
          <w:szCs w:val="24"/>
        </w:rPr>
        <w:t>These criticisms have been reignited by the procedural disadvantage faced by fundamental rights as a result of the Court’s two-stage breach/justification methodology</w:t>
      </w:r>
      <w:r w:rsidR="00CB1FA1">
        <w:rPr>
          <w:rFonts w:ascii="Times New Roman" w:hAnsi="Times New Roman" w:cs="Times New Roman"/>
          <w:sz w:val="24"/>
          <w:szCs w:val="24"/>
        </w:rPr>
        <w:t>.</w:t>
      </w:r>
      <w:r w:rsidR="00400BFC">
        <w:rPr>
          <w:rStyle w:val="FootnoteReference"/>
          <w:rFonts w:ascii="Times New Roman" w:hAnsi="Times New Roman" w:cs="Times New Roman"/>
          <w:sz w:val="24"/>
          <w:szCs w:val="24"/>
        </w:rPr>
        <w:footnoteReference w:id="43"/>
      </w:r>
    </w:p>
    <w:p w14:paraId="7C291F68" w14:textId="77777777" w:rsidR="00220D88" w:rsidRDefault="00220D88" w:rsidP="0051177E">
      <w:pPr>
        <w:pStyle w:val="NoSpacing"/>
        <w:jc w:val="both"/>
        <w:rPr>
          <w:rFonts w:ascii="Times New Roman" w:hAnsi="Times New Roman" w:cs="Times New Roman"/>
          <w:sz w:val="24"/>
          <w:szCs w:val="24"/>
        </w:rPr>
      </w:pPr>
    </w:p>
    <w:p w14:paraId="50A6D3BD" w14:textId="77777777" w:rsidR="00DF3FF6" w:rsidRDefault="00220D88" w:rsidP="0051177E">
      <w:pPr>
        <w:pStyle w:val="NoSpacing"/>
        <w:jc w:val="both"/>
        <w:rPr>
          <w:rFonts w:ascii="Times New Roman" w:hAnsi="Times New Roman" w:cs="Times New Roman"/>
          <w:sz w:val="24"/>
          <w:szCs w:val="24"/>
        </w:rPr>
      </w:pPr>
      <w:r>
        <w:rPr>
          <w:rFonts w:ascii="Times New Roman" w:hAnsi="Times New Roman" w:cs="Times New Roman"/>
          <w:sz w:val="24"/>
          <w:szCs w:val="24"/>
        </w:rPr>
        <w:t xml:space="preserve">However, when one sites this constitutional unevenness within its historical setting, and in particular against the specific and focused objective of economic integration, explicitly stated within the Rome Treaty, it is difficult to see how things could have developed any differently. </w:t>
      </w:r>
      <w:r w:rsidR="00623C6A">
        <w:rPr>
          <w:rFonts w:ascii="Times New Roman" w:hAnsi="Times New Roman" w:cs="Times New Roman"/>
          <w:sz w:val="24"/>
          <w:szCs w:val="24"/>
        </w:rPr>
        <w:t>It seems clear that fundamental rights were not foreseen as relevant to an economically-focused project when the Treaty was drafted</w:t>
      </w:r>
      <w:r w:rsidR="00DF3FF6">
        <w:rPr>
          <w:rFonts w:ascii="Times New Roman" w:hAnsi="Times New Roman" w:cs="Times New Roman"/>
          <w:sz w:val="24"/>
          <w:szCs w:val="24"/>
        </w:rPr>
        <w:t>. When</w:t>
      </w:r>
      <w:r w:rsidR="00623C6A">
        <w:rPr>
          <w:rFonts w:ascii="Times New Roman" w:hAnsi="Times New Roman" w:cs="Times New Roman"/>
          <w:sz w:val="24"/>
          <w:szCs w:val="24"/>
        </w:rPr>
        <w:t xml:space="preserve"> they emerged as, in fact, an increasingly pertinent issue in the completion of an internal market, the CJEU was faced with a Treaty that made no provision for them. Consequently, it is unsurprising that to counter the somewhat audacious introduction of fundamental rights by means of the ‘general principles of EU law’ the Court leaned on common constitutional traditions of the Member States and the international </w:t>
      </w:r>
      <w:r w:rsidR="00623C6A">
        <w:rPr>
          <w:rFonts w:ascii="Times New Roman" w:hAnsi="Times New Roman" w:cs="Times New Roman"/>
          <w:sz w:val="24"/>
          <w:szCs w:val="24"/>
        </w:rPr>
        <w:lastRenderedPageBreak/>
        <w:t xml:space="preserve">agreements to which they were signatories, but framed these within the ‘structure and objectives’ of the Union.  </w:t>
      </w:r>
    </w:p>
    <w:p w14:paraId="2B15D659" w14:textId="77777777" w:rsidR="00DF3FF6" w:rsidRDefault="00DF3FF6" w:rsidP="0051177E">
      <w:pPr>
        <w:pStyle w:val="NoSpacing"/>
        <w:jc w:val="both"/>
        <w:rPr>
          <w:rFonts w:ascii="Times New Roman" w:hAnsi="Times New Roman" w:cs="Times New Roman"/>
          <w:sz w:val="24"/>
          <w:szCs w:val="24"/>
        </w:rPr>
      </w:pPr>
    </w:p>
    <w:p w14:paraId="7FCCE241" w14:textId="77777777" w:rsidR="002811EC" w:rsidRDefault="00DF3FF6" w:rsidP="0051177E">
      <w:pPr>
        <w:pStyle w:val="NoSpacing"/>
        <w:jc w:val="both"/>
        <w:rPr>
          <w:rFonts w:ascii="Times New Roman" w:hAnsi="Times New Roman" w:cs="Times New Roman"/>
          <w:sz w:val="24"/>
          <w:szCs w:val="24"/>
        </w:rPr>
      </w:pPr>
      <w:r>
        <w:rPr>
          <w:rFonts w:ascii="Times New Roman" w:hAnsi="Times New Roman" w:cs="Times New Roman"/>
          <w:sz w:val="24"/>
          <w:szCs w:val="24"/>
        </w:rPr>
        <w:t xml:space="preserve">Crucially, the Court’s </w:t>
      </w:r>
      <w:r w:rsidR="00311692">
        <w:rPr>
          <w:rFonts w:ascii="Times New Roman" w:hAnsi="Times New Roman" w:cs="Times New Roman"/>
          <w:sz w:val="24"/>
          <w:szCs w:val="24"/>
        </w:rPr>
        <w:t>development of an adjudicative approach to addressing tensions between the market freedoms and opposing law and policy</w:t>
      </w:r>
      <w:r w:rsidR="004D10A2">
        <w:rPr>
          <w:rFonts w:ascii="Times New Roman" w:hAnsi="Times New Roman" w:cs="Times New Roman"/>
          <w:sz w:val="24"/>
          <w:szCs w:val="24"/>
        </w:rPr>
        <w:t>, which offered a distinct structural advantage to free movement,</w:t>
      </w:r>
      <w:r w:rsidR="00311692">
        <w:rPr>
          <w:rFonts w:ascii="Times New Roman" w:hAnsi="Times New Roman" w:cs="Times New Roman"/>
          <w:sz w:val="24"/>
          <w:szCs w:val="24"/>
        </w:rPr>
        <w:t xml:space="preserve"> must be understood</w:t>
      </w:r>
      <w:r w:rsidR="004D10A2">
        <w:rPr>
          <w:rFonts w:ascii="Times New Roman" w:hAnsi="Times New Roman" w:cs="Times New Roman"/>
          <w:sz w:val="24"/>
          <w:szCs w:val="24"/>
        </w:rPr>
        <w:t xml:space="preserve"> against the clear recognition that establishing a common market was the centra</w:t>
      </w:r>
      <w:r w:rsidR="00CB1FA1">
        <w:rPr>
          <w:rFonts w:ascii="Times New Roman" w:hAnsi="Times New Roman" w:cs="Times New Roman"/>
          <w:sz w:val="24"/>
          <w:szCs w:val="24"/>
        </w:rPr>
        <w:t>l task of the EEC. A</w:t>
      </w:r>
      <w:r w:rsidR="004D10A2">
        <w:rPr>
          <w:rFonts w:ascii="Times New Roman" w:hAnsi="Times New Roman" w:cs="Times New Roman"/>
          <w:sz w:val="24"/>
          <w:szCs w:val="24"/>
        </w:rPr>
        <w:t>t that time, the scope of the market freedoms was limite</w:t>
      </w:r>
      <w:r w:rsidR="00CB1FA1">
        <w:rPr>
          <w:rFonts w:ascii="Times New Roman" w:hAnsi="Times New Roman" w:cs="Times New Roman"/>
          <w:sz w:val="24"/>
          <w:szCs w:val="24"/>
        </w:rPr>
        <w:t xml:space="preserve">d to protectionist and </w:t>
      </w:r>
      <w:r w:rsidR="004D10A2">
        <w:rPr>
          <w:rFonts w:ascii="Times New Roman" w:hAnsi="Times New Roman" w:cs="Times New Roman"/>
          <w:sz w:val="24"/>
          <w:szCs w:val="24"/>
        </w:rPr>
        <w:t>discriminatory Member State policy, in other words, precisely the kind of conduct that the Member States had agreed to eradicate when the EEC was formed.</w:t>
      </w:r>
      <w:r w:rsidR="008A46AA">
        <w:rPr>
          <w:rStyle w:val="FootnoteReference"/>
          <w:rFonts w:ascii="Times New Roman" w:hAnsi="Times New Roman" w:cs="Times New Roman"/>
          <w:sz w:val="24"/>
          <w:szCs w:val="24"/>
        </w:rPr>
        <w:footnoteReference w:id="44"/>
      </w:r>
      <w:r w:rsidR="004D10A2">
        <w:rPr>
          <w:rFonts w:ascii="Times New Roman" w:hAnsi="Times New Roman" w:cs="Times New Roman"/>
          <w:sz w:val="24"/>
          <w:szCs w:val="24"/>
        </w:rPr>
        <w:t xml:space="preserve"> </w:t>
      </w:r>
      <w:r w:rsidR="00FC6F65">
        <w:rPr>
          <w:rFonts w:ascii="Times New Roman" w:hAnsi="Times New Roman" w:cs="Times New Roman"/>
          <w:sz w:val="24"/>
          <w:szCs w:val="24"/>
        </w:rPr>
        <w:t xml:space="preserve">In this context, an adjudicative methodology that presents law and policy conflicting with free movement as a </w:t>
      </w:r>
      <w:r w:rsidR="00FC6F65">
        <w:rPr>
          <w:rFonts w:ascii="Times New Roman" w:hAnsi="Times New Roman" w:cs="Times New Roman"/>
          <w:i/>
          <w:sz w:val="24"/>
          <w:szCs w:val="24"/>
        </w:rPr>
        <w:t xml:space="preserve">prima facie </w:t>
      </w:r>
      <w:r w:rsidR="00FC6F65">
        <w:rPr>
          <w:rFonts w:ascii="Times New Roman" w:hAnsi="Times New Roman" w:cs="Times New Roman"/>
          <w:sz w:val="24"/>
          <w:szCs w:val="24"/>
        </w:rPr>
        <w:t>wrong in need of justification is entirely logical.</w:t>
      </w:r>
      <w:r w:rsidR="002811EC">
        <w:rPr>
          <w:rFonts w:ascii="Times New Roman" w:hAnsi="Times New Roman" w:cs="Times New Roman"/>
          <w:sz w:val="24"/>
          <w:szCs w:val="24"/>
        </w:rPr>
        <w:t xml:space="preserve"> Though the Treaty itself understood, through its derog</w:t>
      </w:r>
      <w:r w:rsidR="008A46AA">
        <w:rPr>
          <w:rFonts w:ascii="Times New Roman" w:hAnsi="Times New Roman" w:cs="Times New Roman"/>
          <w:sz w:val="24"/>
          <w:szCs w:val="24"/>
        </w:rPr>
        <w:t xml:space="preserve">ating provisions, that </w:t>
      </w:r>
      <w:r w:rsidR="002811EC">
        <w:rPr>
          <w:rFonts w:ascii="Times New Roman" w:hAnsi="Times New Roman" w:cs="Times New Roman"/>
          <w:sz w:val="24"/>
          <w:szCs w:val="24"/>
        </w:rPr>
        <w:t>discriminatory domestic rules could, at times, pursue endeavours other than protectionism, the Member States’ agreement to work towards economic integration arguably justified the requirement that they defend their public interest approaches. Thus, it was clearly an imperative that domestic public interest legislation was not in fact arbitrarily discriminatory,</w:t>
      </w:r>
      <w:r w:rsidR="002811EC">
        <w:rPr>
          <w:rStyle w:val="FootnoteReference"/>
          <w:rFonts w:ascii="Times New Roman" w:hAnsi="Times New Roman" w:cs="Times New Roman"/>
          <w:sz w:val="24"/>
          <w:szCs w:val="24"/>
        </w:rPr>
        <w:footnoteReference w:id="45"/>
      </w:r>
      <w:r w:rsidR="002811EC">
        <w:rPr>
          <w:rFonts w:ascii="Times New Roman" w:hAnsi="Times New Roman" w:cs="Times New Roman"/>
          <w:sz w:val="24"/>
          <w:szCs w:val="24"/>
        </w:rPr>
        <w:t xml:space="preserve"> but also that Member States rethink their public interest approaches where these could be achieved whilst</w:t>
      </w:r>
      <w:r w:rsidR="00A32A4C">
        <w:rPr>
          <w:rFonts w:ascii="Times New Roman" w:hAnsi="Times New Roman" w:cs="Times New Roman"/>
          <w:sz w:val="24"/>
          <w:szCs w:val="24"/>
        </w:rPr>
        <w:t xml:space="preserve"> also</w:t>
      </w:r>
      <w:r w:rsidR="002811EC">
        <w:rPr>
          <w:rFonts w:ascii="Times New Roman" w:hAnsi="Times New Roman" w:cs="Times New Roman"/>
          <w:sz w:val="24"/>
          <w:szCs w:val="24"/>
        </w:rPr>
        <w:t xml:space="preserve"> imposing fewer restrictions on free movement.</w:t>
      </w:r>
      <w:r w:rsidR="00D11993">
        <w:rPr>
          <w:rStyle w:val="FootnoteReference"/>
          <w:rFonts w:ascii="Times New Roman" w:hAnsi="Times New Roman" w:cs="Times New Roman"/>
          <w:sz w:val="24"/>
          <w:szCs w:val="24"/>
        </w:rPr>
        <w:footnoteReference w:id="46"/>
      </w:r>
      <w:r w:rsidR="002811EC">
        <w:rPr>
          <w:rFonts w:ascii="Times New Roman" w:hAnsi="Times New Roman" w:cs="Times New Roman"/>
          <w:sz w:val="24"/>
          <w:szCs w:val="24"/>
        </w:rPr>
        <w:t xml:space="preserve"> </w:t>
      </w:r>
    </w:p>
    <w:p w14:paraId="7210D437" w14:textId="77777777" w:rsidR="002811EC" w:rsidRDefault="002811EC" w:rsidP="0051177E">
      <w:pPr>
        <w:pStyle w:val="NoSpacing"/>
        <w:jc w:val="both"/>
        <w:rPr>
          <w:rFonts w:ascii="Times New Roman" w:hAnsi="Times New Roman" w:cs="Times New Roman"/>
          <w:sz w:val="24"/>
          <w:szCs w:val="24"/>
        </w:rPr>
      </w:pPr>
    </w:p>
    <w:p w14:paraId="0AAA44E2" w14:textId="6DB9576E" w:rsidR="00444AB4" w:rsidRDefault="00B331DB" w:rsidP="0051177E">
      <w:pPr>
        <w:pStyle w:val="NoSpacing"/>
        <w:jc w:val="both"/>
        <w:rPr>
          <w:rFonts w:ascii="Times New Roman" w:hAnsi="Times New Roman" w:cs="Times New Roman"/>
          <w:sz w:val="24"/>
          <w:szCs w:val="24"/>
        </w:rPr>
      </w:pPr>
      <w:r>
        <w:rPr>
          <w:rFonts w:ascii="Times New Roman" w:hAnsi="Times New Roman" w:cs="Times New Roman"/>
          <w:sz w:val="24"/>
          <w:szCs w:val="24"/>
        </w:rPr>
        <w:t>Critically, for our purposes, this approach appeared to pose few problems for fundamental rights. As perhaps reflected in the absence of a referenc</w:t>
      </w:r>
      <w:r w:rsidR="00A87F95">
        <w:rPr>
          <w:rFonts w:ascii="Times New Roman" w:hAnsi="Times New Roman" w:cs="Times New Roman"/>
          <w:sz w:val="24"/>
          <w:szCs w:val="24"/>
        </w:rPr>
        <w:t>e to fundamental rights in the T</w:t>
      </w:r>
      <w:r>
        <w:rPr>
          <w:rFonts w:ascii="Times New Roman" w:hAnsi="Times New Roman" w:cs="Times New Roman"/>
          <w:sz w:val="24"/>
          <w:szCs w:val="24"/>
        </w:rPr>
        <w:t>reaty derogations from the market freedoms, it is difficult to envisage significant tensions between</w:t>
      </w:r>
      <w:r w:rsidR="002D563F">
        <w:rPr>
          <w:rFonts w:ascii="Times New Roman" w:hAnsi="Times New Roman" w:cs="Times New Roman"/>
          <w:sz w:val="24"/>
          <w:szCs w:val="24"/>
        </w:rPr>
        <w:t xml:space="preserve"> protectionist or blatantly </w:t>
      </w:r>
      <w:r>
        <w:rPr>
          <w:rFonts w:ascii="Times New Roman" w:hAnsi="Times New Roman" w:cs="Times New Roman"/>
          <w:sz w:val="24"/>
          <w:szCs w:val="24"/>
        </w:rPr>
        <w:t>discriminatory</w:t>
      </w:r>
      <w:r w:rsidR="00396AD4">
        <w:rPr>
          <w:rFonts w:ascii="Times New Roman" w:hAnsi="Times New Roman" w:cs="Times New Roman"/>
          <w:sz w:val="24"/>
          <w:szCs w:val="24"/>
        </w:rPr>
        <w:t xml:space="preserve"> public</w:t>
      </w:r>
      <w:r>
        <w:rPr>
          <w:rFonts w:ascii="Times New Roman" w:hAnsi="Times New Roman" w:cs="Times New Roman"/>
          <w:sz w:val="24"/>
          <w:szCs w:val="24"/>
        </w:rPr>
        <w:t xml:space="preserve"> conduct and fundamental rights, at least of a civil and political nature. How would a French decision to distinguish, in its law, between domestic goods and those coming from another Member State better protect the fundamental right to a fair trial or the freedom of association of its citizens? Indeed, interaction between the primary free movement provisions and civil and political fundamental rights is not really visible before the scope of free </w:t>
      </w:r>
      <w:r w:rsidR="002D563F">
        <w:rPr>
          <w:rFonts w:ascii="Times New Roman" w:hAnsi="Times New Roman" w:cs="Times New Roman"/>
          <w:sz w:val="24"/>
          <w:szCs w:val="24"/>
        </w:rPr>
        <w:t xml:space="preserve">movement expanded beyond </w:t>
      </w:r>
      <w:r>
        <w:rPr>
          <w:rFonts w:ascii="Times New Roman" w:hAnsi="Times New Roman" w:cs="Times New Roman"/>
          <w:sz w:val="24"/>
          <w:szCs w:val="24"/>
        </w:rPr>
        <w:t xml:space="preserve">discrimination, in cases such as </w:t>
      </w:r>
      <w:r>
        <w:rPr>
          <w:rFonts w:ascii="Times New Roman" w:hAnsi="Times New Roman" w:cs="Times New Roman"/>
          <w:i/>
          <w:sz w:val="24"/>
          <w:szCs w:val="24"/>
        </w:rPr>
        <w:t>Cinéthèque, Familiapress</w:t>
      </w:r>
      <w:r>
        <w:rPr>
          <w:rFonts w:ascii="Times New Roman" w:hAnsi="Times New Roman" w:cs="Times New Roman"/>
          <w:sz w:val="24"/>
          <w:szCs w:val="24"/>
        </w:rPr>
        <w:t xml:space="preserve">, and </w:t>
      </w:r>
      <w:r>
        <w:rPr>
          <w:rFonts w:ascii="Times New Roman" w:hAnsi="Times New Roman" w:cs="Times New Roman"/>
          <w:i/>
          <w:sz w:val="24"/>
          <w:szCs w:val="24"/>
        </w:rPr>
        <w:t>Schmidberger</w:t>
      </w:r>
      <w:r>
        <w:rPr>
          <w:rFonts w:ascii="Times New Roman" w:hAnsi="Times New Roman" w:cs="Times New Roman"/>
          <w:sz w:val="24"/>
          <w:szCs w:val="24"/>
        </w:rPr>
        <w:t>.</w:t>
      </w:r>
      <w:r w:rsidR="00A87F95">
        <w:rPr>
          <w:rStyle w:val="FootnoteReference"/>
          <w:rFonts w:ascii="Times New Roman" w:hAnsi="Times New Roman" w:cs="Times New Roman"/>
          <w:sz w:val="24"/>
          <w:szCs w:val="24"/>
        </w:rPr>
        <w:footnoteReference w:id="47"/>
      </w:r>
      <w:r w:rsidR="00C35EA1">
        <w:rPr>
          <w:rFonts w:ascii="Times New Roman" w:hAnsi="Times New Roman" w:cs="Times New Roman"/>
          <w:sz w:val="24"/>
          <w:szCs w:val="24"/>
        </w:rPr>
        <w:t xml:space="preserve"> Moreover, when it was first employed, in the very early case-law after the Treaty of Rome, </w:t>
      </w:r>
      <w:r w:rsidR="00A87F95">
        <w:rPr>
          <w:rFonts w:ascii="Times New Roman" w:hAnsi="Times New Roman" w:cs="Times New Roman"/>
          <w:sz w:val="24"/>
          <w:szCs w:val="24"/>
        </w:rPr>
        <w:t>the two-stage breach</w:t>
      </w:r>
      <w:r w:rsidR="00CE0866">
        <w:rPr>
          <w:rFonts w:ascii="Times New Roman" w:hAnsi="Times New Roman" w:cs="Times New Roman"/>
          <w:sz w:val="24"/>
          <w:szCs w:val="24"/>
        </w:rPr>
        <w:t>/justification methodology could not threaten</w:t>
      </w:r>
      <w:r w:rsidR="00A87F95">
        <w:rPr>
          <w:rFonts w:ascii="Times New Roman" w:hAnsi="Times New Roman" w:cs="Times New Roman"/>
          <w:sz w:val="24"/>
          <w:szCs w:val="24"/>
        </w:rPr>
        <w:t xml:space="preserve"> the exercise of fundamental rights by individuals, since none of the market freedoms</w:t>
      </w:r>
      <w:r w:rsidR="00C35EA1">
        <w:rPr>
          <w:rFonts w:ascii="Times New Roman" w:hAnsi="Times New Roman" w:cs="Times New Roman"/>
          <w:sz w:val="24"/>
          <w:szCs w:val="24"/>
        </w:rPr>
        <w:t xml:space="preserve"> were immediately</w:t>
      </w:r>
      <w:r w:rsidR="002D563F">
        <w:rPr>
          <w:rFonts w:ascii="Times New Roman" w:hAnsi="Times New Roman" w:cs="Times New Roman"/>
          <w:sz w:val="24"/>
          <w:szCs w:val="24"/>
        </w:rPr>
        <w:t xml:space="preserve"> recognised as enjoying </w:t>
      </w:r>
      <w:r w:rsidR="00A87F95">
        <w:rPr>
          <w:rFonts w:ascii="Times New Roman" w:hAnsi="Times New Roman" w:cs="Times New Roman"/>
          <w:sz w:val="24"/>
          <w:szCs w:val="24"/>
        </w:rPr>
        <w:t>horizontal direct effect.</w:t>
      </w:r>
      <w:r w:rsidR="00511223">
        <w:rPr>
          <w:rStyle w:val="FootnoteReference"/>
          <w:rFonts w:ascii="Times New Roman" w:hAnsi="Times New Roman" w:cs="Times New Roman"/>
          <w:sz w:val="24"/>
          <w:szCs w:val="24"/>
        </w:rPr>
        <w:footnoteReference w:id="48"/>
      </w:r>
    </w:p>
    <w:p w14:paraId="4121522A" w14:textId="77777777" w:rsidR="00CE0866" w:rsidRDefault="00CE0866" w:rsidP="0051177E">
      <w:pPr>
        <w:pStyle w:val="NoSpacing"/>
        <w:jc w:val="both"/>
        <w:rPr>
          <w:rFonts w:ascii="Times New Roman" w:hAnsi="Times New Roman" w:cs="Times New Roman"/>
          <w:sz w:val="24"/>
          <w:szCs w:val="24"/>
        </w:rPr>
      </w:pPr>
    </w:p>
    <w:p w14:paraId="3659FAB6" w14:textId="77777777" w:rsidR="00972529" w:rsidRDefault="00CE0866" w:rsidP="0051177E">
      <w:pPr>
        <w:pStyle w:val="NoSpacing"/>
        <w:jc w:val="both"/>
        <w:rPr>
          <w:rFonts w:ascii="Times New Roman" w:hAnsi="Times New Roman" w:cs="Times New Roman"/>
          <w:sz w:val="24"/>
          <w:szCs w:val="24"/>
        </w:rPr>
      </w:pPr>
      <w:r>
        <w:rPr>
          <w:rFonts w:ascii="Times New Roman" w:hAnsi="Times New Roman" w:cs="Times New Roman"/>
          <w:sz w:val="24"/>
          <w:szCs w:val="24"/>
        </w:rPr>
        <w:t>Nevertheless,</w:t>
      </w:r>
      <w:r w:rsidR="00C83217">
        <w:rPr>
          <w:rFonts w:ascii="Times New Roman" w:hAnsi="Times New Roman" w:cs="Times New Roman"/>
          <w:sz w:val="24"/>
          <w:szCs w:val="24"/>
        </w:rPr>
        <w:t xml:space="preserve"> a structural preference for free movement, produced by the two-stage breach/justification methodology, had been laid down, consistently applied, and therefore entrenched. This clearly contained the latent risk that</w:t>
      </w:r>
      <w:r>
        <w:rPr>
          <w:rFonts w:ascii="Times New Roman" w:hAnsi="Times New Roman" w:cs="Times New Roman"/>
          <w:sz w:val="24"/>
          <w:szCs w:val="24"/>
        </w:rPr>
        <w:t xml:space="preserve"> free movement would be prioritised over fundamental rights s</w:t>
      </w:r>
      <w:r w:rsidR="00C83217">
        <w:rPr>
          <w:rFonts w:ascii="Times New Roman" w:hAnsi="Times New Roman" w:cs="Times New Roman"/>
          <w:sz w:val="24"/>
          <w:szCs w:val="24"/>
        </w:rPr>
        <w:t>hould interactions between them begin to occur.</w:t>
      </w:r>
      <w:r>
        <w:rPr>
          <w:rFonts w:ascii="Times New Roman" w:hAnsi="Times New Roman" w:cs="Times New Roman"/>
          <w:sz w:val="24"/>
          <w:szCs w:val="24"/>
        </w:rPr>
        <w:t xml:space="preserve"> Indeed, </w:t>
      </w:r>
      <w:r w:rsidR="00B413AE">
        <w:rPr>
          <w:rFonts w:ascii="Times New Roman" w:hAnsi="Times New Roman" w:cs="Times New Roman"/>
          <w:sz w:val="24"/>
          <w:szCs w:val="24"/>
        </w:rPr>
        <w:t>evidence of these dormant problems is visible if a retrospective examination of the case-law is conducted, especially in light of the increasing judicial cognisability of</w:t>
      </w:r>
      <w:r w:rsidR="009F5202">
        <w:rPr>
          <w:rFonts w:ascii="Times New Roman" w:hAnsi="Times New Roman" w:cs="Times New Roman"/>
          <w:sz w:val="24"/>
          <w:szCs w:val="24"/>
        </w:rPr>
        <w:t xml:space="preserve"> economic, </w:t>
      </w:r>
      <w:r w:rsidR="00B413AE">
        <w:rPr>
          <w:rFonts w:ascii="Times New Roman" w:hAnsi="Times New Roman" w:cs="Times New Roman"/>
          <w:sz w:val="24"/>
          <w:szCs w:val="24"/>
        </w:rPr>
        <w:t xml:space="preserve">social, and solidarity </w:t>
      </w:r>
      <w:r w:rsidR="00B413AE">
        <w:rPr>
          <w:rFonts w:ascii="Times New Roman" w:hAnsi="Times New Roman" w:cs="Times New Roman"/>
          <w:sz w:val="24"/>
          <w:szCs w:val="24"/>
        </w:rPr>
        <w:lastRenderedPageBreak/>
        <w:t>rights.</w:t>
      </w:r>
      <w:r w:rsidR="00B413AE">
        <w:rPr>
          <w:rStyle w:val="FootnoteReference"/>
          <w:rFonts w:ascii="Times New Roman" w:hAnsi="Times New Roman" w:cs="Times New Roman"/>
          <w:sz w:val="24"/>
          <w:szCs w:val="24"/>
        </w:rPr>
        <w:footnoteReference w:id="49"/>
      </w:r>
      <w:r w:rsidR="009F5202">
        <w:rPr>
          <w:rFonts w:ascii="Times New Roman" w:hAnsi="Times New Roman" w:cs="Times New Roman"/>
          <w:sz w:val="24"/>
          <w:szCs w:val="24"/>
        </w:rPr>
        <w:t xml:space="preserve"> Thus, the </w:t>
      </w:r>
      <w:r w:rsidR="009F5202">
        <w:rPr>
          <w:rFonts w:ascii="Times New Roman" w:hAnsi="Times New Roman" w:cs="Times New Roman"/>
          <w:i/>
          <w:sz w:val="24"/>
          <w:szCs w:val="24"/>
        </w:rPr>
        <w:t>Walloon Waste</w:t>
      </w:r>
      <w:r w:rsidR="009F5202">
        <w:rPr>
          <w:rFonts w:ascii="Times New Roman" w:hAnsi="Times New Roman" w:cs="Times New Roman"/>
          <w:sz w:val="24"/>
          <w:szCs w:val="24"/>
        </w:rPr>
        <w:t xml:space="preserve"> case,</w:t>
      </w:r>
      <w:r w:rsidR="009F5202">
        <w:rPr>
          <w:rStyle w:val="FootnoteReference"/>
          <w:rFonts w:ascii="Times New Roman" w:hAnsi="Times New Roman" w:cs="Times New Roman"/>
          <w:sz w:val="24"/>
          <w:szCs w:val="24"/>
        </w:rPr>
        <w:footnoteReference w:id="50"/>
      </w:r>
      <w:r w:rsidR="009F5202">
        <w:rPr>
          <w:rFonts w:ascii="Times New Roman" w:hAnsi="Times New Roman" w:cs="Times New Roman"/>
          <w:sz w:val="24"/>
          <w:szCs w:val="24"/>
        </w:rPr>
        <w:t xml:space="preserve"> which concerned the question of whether a Flemish ban on imported waste was a breach of the free movement of goods, can be interpreted as containing a conflict between the free movement of goods and the fundamental right to a clean environment.</w:t>
      </w:r>
      <w:r w:rsidR="009F5202">
        <w:rPr>
          <w:rStyle w:val="FootnoteReference"/>
          <w:rFonts w:ascii="Times New Roman" w:hAnsi="Times New Roman" w:cs="Times New Roman"/>
          <w:sz w:val="24"/>
          <w:szCs w:val="24"/>
        </w:rPr>
        <w:footnoteReference w:id="51"/>
      </w:r>
      <w:r w:rsidR="009F5202">
        <w:rPr>
          <w:rFonts w:ascii="Times New Roman" w:hAnsi="Times New Roman" w:cs="Times New Roman"/>
          <w:sz w:val="24"/>
          <w:szCs w:val="24"/>
        </w:rPr>
        <w:t xml:space="preserve"> In an exercise in legal acrobatics, the CJEU interpreted what is widely considered to have been a directly discriminatory measure</w:t>
      </w:r>
      <w:r w:rsidR="009F5202">
        <w:rPr>
          <w:rStyle w:val="FootnoteReference"/>
          <w:rFonts w:ascii="Times New Roman" w:hAnsi="Times New Roman" w:cs="Times New Roman"/>
          <w:sz w:val="24"/>
          <w:szCs w:val="24"/>
        </w:rPr>
        <w:footnoteReference w:id="52"/>
      </w:r>
      <w:r w:rsidR="009F5202">
        <w:rPr>
          <w:rFonts w:ascii="Times New Roman" w:hAnsi="Times New Roman" w:cs="Times New Roman"/>
          <w:sz w:val="24"/>
          <w:szCs w:val="24"/>
        </w:rPr>
        <w:t xml:space="preserve"> as non-discriminatory in order to allow the mandatory requirement of environmental protection to apply.</w:t>
      </w:r>
      <w:r w:rsidR="00972529">
        <w:rPr>
          <w:rFonts w:ascii="Times New Roman" w:hAnsi="Times New Roman" w:cs="Times New Roman"/>
          <w:sz w:val="24"/>
          <w:szCs w:val="24"/>
        </w:rPr>
        <w:t xml:space="preserve"> </w:t>
      </w:r>
    </w:p>
    <w:p w14:paraId="34F3EFB6" w14:textId="77777777" w:rsidR="00972529" w:rsidRDefault="00972529" w:rsidP="0051177E">
      <w:pPr>
        <w:pStyle w:val="NoSpacing"/>
        <w:jc w:val="both"/>
        <w:rPr>
          <w:rFonts w:ascii="Times New Roman" w:hAnsi="Times New Roman" w:cs="Times New Roman"/>
          <w:sz w:val="24"/>
          <w:szCs w:val="24"/>
        </w:rPr>
      </w:pPr>
    </w:p>
    <w:p w14:paraId="0D3FD98F" w14:textId="77777777" w:rsidR="00B413AE" w:rsidRDefault="006378CE" w:rsidP="0051177E">
      <w:pPr>
        <w:pStyle w:val="NoSpacing"/>
        <w:jc w:val="both"/>
        <w:rPr>
          <w:rFonts w:ascii="Times New Roman" w:hAnsi="Times New Roman" w:cs="Times New Roman"/>
          <w:sz w:val="24"/>
          <w:szCs w:val="24"/>
        </w:rPr>
      </w:pPr>
      <w:r>
        <w:rPr>
          <w:rFonts w:ascii="Times New Roman" w:hAnsi="Times New Roman" w:cs="Times New Roman"/>
          <w:sz w:val="24"/>
          <w:szCs w:val="24"/>
        </w:rPr>
        <w:t>Thus, there were</w:t>
      </w:r>
      <w:r w:rsidR="00555C62">
        <w:rPr>
          <w:rFonts w:ascii="Times New Roman" w:hAnsi="Times New Roman" w:cs="Times New Roman"/>
          <w:sz w:val="24"/>
          <w:szCs w:val="24"/>
        </w:rPr>
        <w:t xml:space="preserve"> already</w:t>
      </w:r>
      <w:r w:rsidR="00972529">
        <w:rPr>
          <w:rFonts w:ascii="Times New Roman" w:hAnsi="Times New Roman" w:cs="Times New Roman"/>
          <w:sz w:val="24"/>
          <w:szCs w:val="24"/>
        </w:rPr>
        <w:t xml:space="preserve"> warning signs that the Union constitution was under-equipped to deal with tensions between the market freedoms and domestic law and policy that, rather than being targeted at protectionism, was adopted with the aim of protecting fundamental rights. However, it </w:t>
      </w:r>
      <w:r>
        <w:rPr>
          <w:rFonts w:ascii="Times New Roman" w:hAnsi="Times New Roman" w:cs="Times New Roman"/>
          <w:sz w:val="24"/>
          <w:szCs w:val="24"/>
        </w:rPr>
        <w:t>was only with the</w:t>
      </w:r>
      <w:r w:rsidR="00972529">
        <w:rPr>
          <w:rFonts w:ascii="Times New Roman" w:hAnsi="Times New Roman" w:cs="Times New Roman"/>
          <w:sz w:val="24"/>
          <w:szCs w:val="24"/>
        </w:rPr>
        <w:t xml:space="preserve"> transformation of free movement law that the full nature and extent of the latent problems laid down in the Union’s early constitutional development came to the fore. </w:t>
      </w:r>
      <w:r w:rsidR="009F5202">
        <w:rPr>
          <w:rFonts w:ascii="Times New Roman" w:hAnsi="Times New Roman" w:cs="Times New Roman"/>
          <w:sz w:val="24"/>
          <w:szCs w:val="24"/>
        </w:rPr>
        <w:t xml:space="preserve"> </w:t>
      </w:r>
    </w:p>
    <w:p w14:paraId="6589FE84" w14:textId="77777777" w:rsidR="009F5202" w:rsidRDefault="009F5202" w:rsidP="0051177E">
      <w:pPr>
        <w:pStyle w:val="NoSpacing"/>
        <w:jc w:val="both"/>
        <w:rPr>
          <w:rFonts w:ascii="Times New Roman" w:hAnsi="Times New Roman" w:cs="Times New Roman"/>
          <w:sz w:val="24"/>
          <w:szCs w:val="24"/>
        </w:rPr>
      </w:pPr>
    </w:p>
    <w:p w14:paraId="79F5F74D" w14:textId="77777777" w:rsidR="00972529" w:rsidRDefault="00972529" w:rsidP="00972529">
      <w:pPr>
        <w:pStyle w:val="NoSpacing"/>
        <w:jc w:val="both"/>
        <w:rPr>
          <w:rFonts w:ascii="Times New Roman" w:hAnsi="Times New Roman" w:cs="Times New Roman"/>
          <w:sz w:val="24"/>
          <w:szCs w:val="24"/>
        </w:rPr>
      </w:pPr>
    </w:p>
    <w:p w14:paraId="6C1D2DA5" w14:textId="77777777" w:rsidR="001F54BE" w:rsidRPr="006471ED" w:rsidRDefault="00972529" w:rsidP="001F54BE">
      <w:pPr>
        <w:pStyle w:val="NoSpacing"/>
        <w:numPr>
          <w:ilvl w:val="0"/>
          <w:numId w:val="2"/>
        </w:numPr>
        <w:jc w:val="both"/>
        <w:rPr>
          <w:rFonts w:ascii="Times New Roman" w:hAnsi="Times New Roman" w:cs="Times New Roman"/>
          <w:b/>
          <w:sz w:val="24"/>
          <w:szCs w:val="24"/>
        </w:rPr>
      </w:pPr>
      <w:r w:rsidRPr="006471ED">
        <w:rPr>
          <w:rFonts w:ascii="Times New Roman" w:hAnsi="Times New Roman" w:cs="Times New Roman"/>
          <w:b/>
          <w:sz w:val="24"/>
          <w:szCs w:val="24"/>
        </w:rPr>
        <w:t>The</w:t>
      </w:r>
      <w:r w:rsidR="00740AC6" w:rsidRPr="006471ED">
        <w:rPr>
          <w:rFonts w:ascii="Times New Roman" w:hAnsi="Times New Roman" w:cs="Times New Roman"/>
          <w:b/>
          <w:sz w:val="24"/>
          <w:szCs w:val="24"/>
        </w:rPr>
        <w:t xml:space="preserve"> largely independent transformations of free movement law and EU fundamental rights</w:t>
      </w:r>
    </w:p>
    <w:p w14:paraId="366D09B4" w14:textId="77777777" w:rsidR="001F54BE" w:rsidRDefault="001F54BE" w:rsidP="00972529">
      <w:pPr>
        <w:pStyle w:val="NoSpacing"/>
        <w:jc w:val="both"/>
        <w:rPr>
          <w:rFonts w:ascii="Times New Roman" w:hAnsi="Times New Roman" w:cs="Times New Roman"/>
          <w:b/>
          <w:sz w:val="24"/>
          <w:szCs w:val="24"/>
        </w:rPr>
      </w:pPr>
    </w:p>
    <w:p w14:paraId="101A147D" w14:textId="77777777" w:rsidR="001F54BE" w:rsidRDefault="001F54BE" w:rsidP="00972529">
      <w:pPr>
        <w:pStyle w:val="NoSpacing"/>
        <w:jc w:val="both"/>
        <w:rPr>
          <w:rFonts w:ascii="Times New Roman" w:hAnsi="Times New Roman" w:cs="Times New Roman"/>
          <w:sz w:val="24"/>
          <w:szCs w:val="24"/>
        </w:rPr>
      </w:pPr>
      <w:r>
        <w:rPr>
          <w:rFonts w:ascii="Times New Roman" w:hAnsi="Times New Roman" w:cs="Times New Roman"/>
          <w:sz w:val="24"/>
          <w:szCs w:val="24"/>
        </w:rPr>
        <w:t>In order to understand how a functioning system for the promotion of the internal market developed into a potentially malfunctioning one with regard to fundamental rights protection, it is necessary to chart the evolution of both the market freedoms and EU fundamental rights from the</w:t>
      </w:r>
      <w:r w:rsidR="006378CE">
        <w:rPr>
          <w:rFonts w:ascii="Times New Roman" w:hAnsi="Times New Roman" w:cs="Times New Roman"/>
          <w:sz w:val="24"/>
          <w:szCs w:val="24"/>
        </w:rPr>
        <w:t>ir</w:t>
      </w:r>
      <w:r>
        <w:rPr>
          <w:rFonts w:ascii="Times New Roman" w:hAnsi="Times New Roman" w:cs="Times New Roman"/>
          <w:sz w:val="24"/>
          <w:szCs w:val="24"/>
        </w:rPr>
        <w:t xml:space="preserve"> constitutional beginnings outlined above. This section will demonstrate that while the development of both types </w:t>
      </w:r>
      <w:r w:rsidR="006471ED">
        <w:rPr>
          <w:rFonts w:ascii="Times New Roman" w:hAnsi="Times New Roman" w:cs="Times New Roman"/>
          <w:sz w:val="24"/>
          <w:szCs w:val="24"/>
        </w:rPr>
        <w:t>of norm has been dramatic, their relatively independent evolutions have left open questions as to how</w:t>
      </w:r>
      <w:r>
        <w:rPr>
          <w:rFonts w:ascii="Times New Roman" w:hAnsi="Times New Roman" w:cs="Times New Roman"/>
          <w:sz w:val="24"/>
          <w:szCs w:val="24"/>
        </w:rPr>
        <w:t xml:space="preserve"> free movement and fundamental rights interact with each other. </w:t>
      </w:r>
    </w:p>
    <w:p w14:paraId="5390A792" w14:textId="77777777" w:rsidR="001F54BE" w:rsidRDefault="001F54BE" w:rsidP="00972529">
      <w:pPr>
        <w:pStyle w:val="NoSpacing"/>
        <w:jc w:val="both"/>
        <w:rPr>
          <w:rFonts w:ascii="Times New Roman" w:hAnsi="Times New Roman" w:cs="Times New Roman"/>
          <w:sz w:val="24"/>
          <w:szCs w:val="24"/>
        </w:rPr>
      </w:pPr>
    </w:p>
    <w:p w14:paraId="6F7973AA" w14:textId="77777777" w:rsidR="00D41E80" w:rsidRDefault="00D41E80" w:rsidP="00972529">
      <w:pPr>
        <w:pStyle w:val="NoSpacing"/>
        <w:jc w:val="both"/>
        <w:rPr>
          <w:rFonts w:ascii="Times New Roman" w:hAnsi="Times New Roman" w:cs="Times New Roman"/>
          <w:sz w:val="24"/>
          <w:szCs w:val="24"/>
        </w:rPr>
      </w:pPr>
    </w:p>
    <w:p w14:paraId="2157229E" w14:textId="77777777" w:rsidR="001F54BE" w:rsidRDefault="001F54BE" w:rsidP="00D41E80">
      <w:pPr>
        <w:pStyle w:val="NoSpacing"/>
        <w:numPr>
          <w:ilvl w:val="1"/>
          <w:numId w:val="2"/>
        </w:numPr>
        <w:jc w:val="both"/>
        <w:rPr>
          <w:rFonts w:ascii="Times New Roman" w:hAnsi="Times New Roman" w:cs="Times New Roman"/>
          <w:b/>
          <w:i/>
          <w:sz w:val="24"/>
          <w:szCs w:val="24"/>
        </w:rPr>
      </w:pPr>
      <w:r>
        <w:rPr>
          <w:rFonts w:ascii="Times New Roman" w:hAnsi="Times New Roman" w:cs="Times New Roman"/>
          <w:b/>
          <w:i/>
          <w:sz w:val="24"/>
          <w:szCs w:val="24"/>
        </w:rPr>
        <w:t xml:space="preserve">Expanding the </w:t>
      </w:r>
      <w:r w:rsidR="00DF109E">
        <w:rPr>
          <w:rFonts w:ascii="Times New Roman" w:hAnsi="Times New Roman" w:cs="Times New Roman"/>
          <w:b/>
          <w:i/>
          <w:sz w:val="24"/>
          <w:szCs w:val="24"/>
        </w:rPr>
        <w:t>scope, reach</w:t>
      </w:r>
      <w:r>
        <w:rPr>
          <w:rFonts w:ascii="Times New Roman" w:hAnsi="Times New Roman" w:cs="Times New Roman"/>
          <w:b/>
          <w:i/>
          <w:sz w:val="24"/>
          <w:szCs w:val="24"/>
        </w:rPr>
        <w:t xml:space="preserve"> and legal effects of the market freedoms</w:t>
      </w:r>
    </w:p>
    <w:p w14:paraId="26D7C391" w14:textId="77777777" w:rsidR="00D41E80" w:rsidRDefault="00D41E80" w:rsidP="00972529">
      <w:pPr>
        <w:pStyle w:val="NoSpacing"/>
        <w:jc w:val="both"/>
        <w:rPr>
          <w:rFonts w:ascii="Times New Roman" w:hAnsi="Times New Roman" w:cs="Times New Roman"/>
          <w:b/>
          <w:i/>
          <w:sz w:val="24"/>
          <w:szCs w:val="24"/>
        </w:rPr>
      </w:pPr>
    </w:p>
    <w:p w14:paraId="3E76660C" w14:textId="77777777" w:rsidR="00D41E80" w:rsidRDefault="00D41E80" w:rsidP="00972529">
      <w:pPr>
        <w:pStyle w:val="NoSpacing"/>
        <w:jc w:val="both"/>
        <w:rPr>
          <w:rFonts w:ascii="Times New Roman" w:hAnsi="Times New Roman" w:cs="Times New Roman"/>
          <w:sz w:val="24"/>
          <w:szCs w:val="24"/>
        </w:rPr>
      </w:pPr>
      <w:r>
        <w:rPr>
          <w:rFonts w:ascii="Times New Roman" w:hAnsi="Times New Roman" w:cs="Times New Roman"/>
          <w:sz w:val="24"/>
          <w:szCs w:val="24"/>
        </w:rPr>
        <w:t>Most free movement lawyers would agree that the transformation of free movement has</w:t>
      </w:r>
      <w:r w:rsidR="000C0385">
        <w:rPr>
          <w:rFonts w:ascii="Times New Roman" w:hAnsi="Times New Roman" w:cs="Times New Roman"/>
          <w:sz w:val="24"/>
          <w:szCs w:val="24"/>
        </w:rPr>
        <w:t xml:space="preserve"> occurred across four main axes, covering the expansion in the material scope of the market freedoms, the widening of their personal scope, the extension of their direct effect, and the strengthening of a decentralised system of enforcement. </w:t>
      </w:r>
      <w:r>
        <w:rPr>
          <w:rFonts w:ascii="Times New Roman" w:hAnsi="Times New Roman" w:cs="Times New Roman"/>
          <w:sz w:val="24"/>
          <w:szCs w:val="24"/>
        </w:rPr>
        <w:t xml:space="preserve"> </w:t>
      </w:r>
    </w:p>
    <w:p w14:paraId="5F35A210" w14:textId="77777777" w:rsidR="00D41E80" w:rsidRDefault="00D41E80" w:rsidP="00972529">
      <w:pPr>
        <w:pStyle w:val="NoSpacing"/>
        <w:jc w:val="both"/>
        <w:rPr>
          <w:rFonts w:ascii="Times New Roman" w:hAnsi="Times New Roman" w:cs="Times New Roman"/>
          <w:sz w:val="24"/>
          <w:szCs w:val="24"/>
        </w:rPr>
      </w:pPr>
    </w:p>
    <w:p w14:paraId="2797397F" w14:textId="4D7C15EF" w:rsidR="00B856BF" w:rsidRDefault="006471ED" w:rsidP="00972529">
      <w:pPr>
        <w:pStyle w:val="NoSpacing"/>
        <w:jc w:val="both"/>
        <w:rPr>
          <w:rFonts w:ascii="Times New Roman" w:hAnsi="Times New Roman" w:cs="Times New Roman"/>
          <w:sz w:val="24"/>
          <w:szCs w:val="24"/>
        </w:rPr>
      </w:pPr>
      <w:r>
        <w:rPr>
          <w:rFonts w:ascii="Times New Roman" w:hAnsi="Times New Roman" w:cs="Times New Roman"/>
          <w:sz w:val="24"/>
          <w:szCs w:val="24"/>
        </w:rPr>
        <w:t>T</w:t>
      </w:r>
      <w:r w:rsidR="006378CE">
        <w:rPr>
          <w:rFonts w:ascii="Times New Roman" w:hAnsi="Times New Roman" w:cs="Times New Roman"/>
          <w:sz w:val="24"/>
          <w:szCs w:val="24"/>
        </w:rPr>
        <w:t>he</w:t>
      </w:r>
      <w:r w:rsidR="00EC00F9">
        <w:rPr>
          <w:rFonts w:ascii="Times New Roman" w:hAnsi="Times New Roman" w:cs="Times New Roman"/>
          <w:sz w:val="24"/>
          <w:szCs w:val="24"/>
        </w:rPr>
        <w:t xml:space="preserve"> Court</w:t>
      </w:r>
      <w:r>
        <w:rPr>
          <w:rFonts w:ascii="Times New Roman" w:hAnsi="Times New Roman" w:cs="Times New Roman"/>
          <w:sz w:val="24"/>
          <w:szCs w:val="24"/>
        </w:rPr>
        <w:t>’s</w:t>
      </w:r>
      <w:r w:rsidR="00EC00F9">
        <w:rPr>
          <w:rFonts w:ascii="Times New Roman" w:hAnsi="Times New Roman" w:cs="Times New Roman"/>
          <w:sz w:val="24"/>
          <w:szCs w:val="24"/>
        </w:rPr>
        <w:t xml:space="preserve"> expan</w:t>
      </w:r>
      <w:r>
        <w:rPr>
          <w:rFonts w:ascii="Times New Roman" w:hAnsi="Times New Roman" w:cs="Times New Roman"/>
          <w:sz w:val="24"/>
          <w:szCs w:val="24"/>
        </w:rPr>
        <w:t xml:space="preserve">sion of </w:t>
      </w:r>
      <w:r w:rsidR="00EC00F9">
        <w:rPr>
          <w:rFonts w:ascii="Times New Roman" w:hAnsi="Times New Roman" w:cs="Times New Roman"/>
          <w:sz w:val="24"/>
          <w:szCs w:val="24"/>
        </w:rPr>
        <w:t>the</w:t>
      </w:r>
      <w:r w:rsidR="006378CE">
        <w:rPr>
          <w:rFonts w:ascii="Times New Roman" w:hAnsi="Times New Roman" w:cs="Times New Roman"/>
          <w:sz w:val="24"/>
          <w:szCs w:val="24"/>
        </w:rPr>
        <w:t xml:space="preserve"> material scope of the fr</w:t>
      </w:r>
      <w:r w:rsidR="00EC00F9">
        <w:rPr>
          <w:rFonts w:ascii="Times New Roman" w:hAnsi="Times New Roman" w:cs="Times New Roman"/>
          <w:sz w:val="24"/>
          <w:szCs w:val="24"/>
        </w:rPr>
        <w:t xml:space="preserve">ee movement provisions </w:t>
      </w:r>
      <w:r>
        <w:rPr>
          <w:rFonts w:ascii="Times New Roman" w:hAnsi="Times New Roman" w:cs="Times New Roman"/>
          <w:sz w:val="24"/>
          <w:szCs w:val="24"/>
        </w:rPr>
        <w:t>beyond instances of protectionism and direct discrimination is well-documented. Thus, indirectly discriminatory rules – which appear on their face to</w:t>
      </w:r>
      <w:r w:rsidR="00EC00F9">
        <w:rPr>
          <w:rFonts w:ascii="Times New Roman" w:hAnsi="Times New Roman" w:cs="Times New Roman"/>
          <w:sz w:val="24"/>
          <w:szCs w:val="24"/>
        </w:rPr>
        <w:t xml:space="preserve"> apply equally to domestic and forei</w:t>
      </w:r>
      <w:r w:rsidR="00E44A54">
        <w:rPr>
          <w:rFonts w:ascii="Times New Roman" w:hAnsi="Times New Roman" w:cs="Times New Roman"/>
          <w:sz w:val="24"/>
          <w:szCs w:val="24"/>
        </w:rPr>
        <w:t>gn commodities but, in fact, inherently present fewer compliance issues for national economic actors – have been found to trigger the free movement provisions.</w:t>
      </w:r>
      <w:r w:rsidR="00A5610B">
        <w:rPr>
          <w:rStyle w:val="FootnoteReference"/>
          <w:rFonts w:ascii="Times New Roman" w:hAnsi="Times New Roman" w:cs="Times New Roman"/>
          <w:sz w:val="24"/>
          <w:szCs w:val="24"/>
        </w:rPr>
        <w:footnoteReference w:id="53"/>
      </w:r>
      <w:r w:rsidR="00F52B9C">
        <w:rPr>
          <w:rFonts w:ascii="Times New Roman" w:hAnsi="Times New Roman" w:cs="Times New Roman"/>
          <w:sz w:val="24"/>
          <w:szCs w:val="24"/>
        </w:rPr>
        <w:t xml:space="preserve"> In its seminal </w:t>
      </w:r>
      <w:r w:rsidR="00F52B9C">
        <w:rPr>
          <w:rFonts w:ascii="Times New Roman" w:hAnsi="Times New Roman" w:cs="Times New Roman"/>
          <w:i/>
          <w:sz w:val="24"/>
          <w:szCs w:val="24"/>
        </w:rPr>
        <w:t>Cassis</w:t>
      </w:r>
      <w:r w:rsidR="00F52B9C">
        <w:rPr>
          <w:rFonts w:ascii="Times New Roman" w:hAnsi="Times New Roman" w:cs="Times New Roman"/>
          <w:sz w:val="24"/>
          <w:szCs w:val="24"/>
        </w:rPr>
        <w:t xml:space="preserve"> judgment, the Court also </w:t>
      </w:r>
      <w:r w:rsidR="00F52B9C">
        <w:rPr>
          <w:rFonts w:ascii="Times New Roman" w:hAnsi="Times New Roman" w:cs="Times New Roman"/>
          <w:sz w:val="24"/>
          <w:szCs w:val="24"/>
        </w:rPr>
        <w:lastRenderedPageBreak/>
        <w:t>extended the material scope of Article 34 TFEU to cover so-called dual regulatory burdens</w:t>
      </w:r>
      <w:r w:rsidR="00632D76">
        <w:rPr>
          <w:rFonts w:ascii="Times New Roman" w:hAnsi="Times New Roman" w:cs="Times New Roman"/>
          <w:sz w:val="24"/>
          <w:szCs w:val="24"/>
        </w:rPr>
        <w:t xml:space="preserve"> [DRBs]</w:t>
      </w:r>
      <w:r w:rsidR="00FC18B0">
        <w:rPr>
          <w:rFonts w:ascii="Times New Roman" w:hAnsi="Times New Roman" w:cs="Times New Roman"/>
          <w:sz w:val="24"/>
          <w:szCs w:val="24"/>
        </w:rPr>
        <w:t>.</w:t>
      </w:r>
      <w:r w:rsidR="00F52B9C">
        <w:rPr>
          <w:rStyle w:val="FootnoteReference"/>
          <w:rFonts w:ascii="Times New Roman" w:hAnsi="Times New Roman" w:cs="Times New Roman"/>
          <w:sz w:val="24"/>
          <w:szCs w:val="24"/>
        </w:rPr>
        <w:footnoteReference w:id="54"/>
      </w:r>
      <w:r w:rsidR="00F85A3B">
        <w:rPr>
          <w:rFonts w:ascii="Times New Roman" w:hAnsi="Times New Roman" w:cs="Times New Roman"/>
          <w:sz w:val="24"/>
          <w:szCs w:val="24"/>
        </w:rPr>
        <w:t xml:space="preserve"> This approach has been adopted for other market freedoms.</w:t>
      </w:r>
      <w:r w:rsidR="00F85A3B">
        <w:rPr>
          <w:rStyle w:val="FootnoteReference"/>
          <w:rFonts w:ascii="Times New Roman" w:hAnsi="Times New Roman" w:cs="Times New Roman"/>
          <w:sz w:val="24"/>
          <w:szCs w:val="24"/>
        </w:rPr>
        <w:footnoteReference w:id="55"/>
      </w:r>
      <w:r w:rsidR="00F85A3B">
        <w:rPr>
          <w:rFonts w:ascii="Times New Roman" w:hAnsi="Times New Roman" w:cs="Times New Roman"/>
          <w:sz w:val="24"/>
          <w:szCs w:val="24"/>
        </w:rPr>
        <w:t xml:space="preserve"> Moreover, the Court has found that even single burdens to free movement </w:t>
      </w:r>
      <w:r w:rsidR="00B856BF">
        <w:rPr>
          <w:rFonts w:ascii="Times New Roman" w:hAnsi="Times New Roman" w:cs="Times New Roman"/>
          <w:sz w:val="24"/>
          <w:szCs w:val="24"/>
        </w:rPr>
        <w:t>are ‘liable to hinder or make less attractive the exercise of the fundamental freedoms guaranteed by the Treaty’</w:t>
      </w:r>
      <w:r w:rsidR="00F85A3B">
        <w:rPr>
          <w:rFonts w:ascii="Times New Roman" w:hAnsi="Times New Roman" w:cs="Times New Roman"/>
          <w:sz w:val="24"/>
          <w:szCs w:val="24"/>
        </w:rPr>
        <w:t xml:space="preserve"> and thus constitute </w:t>
      </w:r>
      <w:r w:rsidR="00F85A3B">
        <w:rPr>
          <w:rFonts w:ascii="Times New Roman" w:hAnsi="Times New Roman" w:cs="Times New Roman"/>
          <w:i/>
          <w:sz w:val="24"/>
          <w:szCs w:val="24"/>
        </w:rPr>
        <w:t>prima facie</w:t>
      </w:r>
      <w:r w:rsidR="00F85A3B">
        <w:rPr>
          <w:rFonts w:ascii="Times New Roman" w:hAnsi="Times New Roman" w:cs="Times New Roman"/>
          <w:sz w:val="24"/>
          <w:szCs w:val="24"/>
        </w:rPr>
        <w:t xml:space="preserve"> restrictions to free movement</w:t>
      </w:r>
      <w:r w:rsidR="00984BBC">
        <w:rPr>
          <w:rFonts w:ascii="Times New Roman" w:hAnsi="Times New Roman" w:cs="Times New Roman"/>
          <w:sz w:val="24"/>
          <w:szCs w:val="24"/>
        </w:rPr>
        <w:t>.</w:t>
      </w:r>
      <w:r w:rsidR="00B856BF">
        <w:rPr>
          <w:rStyle w:val="FootnoteReference"/>
          <w:rFonts w:ascii="Times New Roman" w:hAnsi="Times New Roman" w:cs="Times New Roman"/>
          <w:sz w:val="24"/>
          <w:szCs w:val="24"/>
        </w:rPr>
        <w:footnoteReference w:id="56"/>
      </w:r>
      <w:r w:rsidR="00B856BF">
        <w:rPr>
          <w:rFonts w:ascii="Times New Roman" w:hAnsi="Times New Roman" w:cs="Times New Roman"/>
          <w:sz w:val="24"/>
          <w:szCs w:val="24"/>
        </w:rPr>
        <w:t xml:space="preserve"> </w:t>
      </w:r>
      <w:r w:rsidR="00984BBC">
        <w:rPr>
          <w:rFonts w:ascii="Times New Roman" w:hAnsi="Times New Roman" w:cs="Times New Roman"/>
          <w:sz w:val="24"/>
          <w:szCs w:val="24"/>
        </w:rPr>
        <w:t xml:space="preserve"> </w:t>
      </w:r>
      <w:r w:rsidR="00B856BF">
        <w:rPr>
          <w:rFonts w:ascii="Times New Roman" w:hAnsi="Times New Roman" w:cs="Times New Roman"/>
          <w:sz w:val="24"/>
          <w:szCs w:val="24"/>
        </w:rPr>
        <w:t>T</w:t>
      </w:r>
      <w:r w:rsidR="00984BBC">
        <w:rPr>
          <w:rFonts w:ascii="Times New Roman" w:hAnsi="Times New Roman" w:cs="Times New Roman"/>
          <w:sz w:val="24"/>
          <w:szCs w:val="24"/>
        </w:rPr>
        <w:t>his approach to material scope is now applied across the majority of the free movement provisions.</w:t>
      </w:r>
      <w:r w:rsidR="00254BD1">
        <w:rPr>
          <w:rStyle w:val="FootnoteReference"/>
          <w:rFonts w:ascii="Times New Roman" w:hAnsi="Times New Roman" w:cs="Times New Roman"/>
          <w:sz w:val="24"/>
          <w:szCs w:val="24"/>
        </w:rPr>
        <w:footnoteReference w:id="57"/>
      </w:r>
    </w:p>
    <w:p w14:paraId="72E6C786" w14:textId="77777777" w:rsidR="00B856BF" w:rsidRDefault="00B856BF" w:rsidP="00972529">
      <w:pPr>
        <w:pStyle w:val="NoSpacing"/>
        <w:jc w:val="both"/>
        <w:rPr>
          <w:rFonts w:ascii="Times New Roman" w:hAnsi="Times New Roman" w:cs="Times New Roman"/>
          <w:sz w:val="24"/>
          <w:szCs w:val="24"/>
        </w:rPr>
      </w:pPr>
    </w:p>
    <w:p w14:paraId="1A815A31" w14:textId="128E26B9" w:rsidR="00110F1D" w:rsidRDefault="00AC1EF2" w:rsidP="00972529">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There has been a similarly striking extension of the personal scope of the free movement provisions. </w:t>
      </w:r>
      <w:r w:rsidR="00996B91">
        <w:rPr>
          <w:rFonts w:ascii="Times New Roman" w:hAnsi="Times New Roman" w:cs="Times New Roman"/>
          <w:sz w:val="24"/>
          <w:szCs w:val="24"/>
        </w:rPr>
        <w:t>For instance</w:t>
      </w:r>
      <w:r w:rsidR="00213B7D">
        <w:rPr>
          <w:rFonts w:ascii="Times New Roman" w:hAnsi="Times New Roman" w:cs="Times New Roman"/>
          <w:sz w:val="24"/>
          <w:szCs w:val="24"/>
        </w:rPr>
        <w:t>, the Court’s</w:t>
      </w:r>
      <w:r w:rsidR="00996B91">
        <w:rPr>
          <w:rFonts w:ascii="Times New Roman" w:hAnsi="Times New Roman" w:cs="Times New Roman"/>
          <w:sz w:val="24"/>
          <w:szCs w:val="24"/>
        </w:rPr>
        <w:t xml:space="preserve"> value-neutral approach to defining a service created the potential for Irish rules on abortion to be brought within the personal scope of Article 56 TFEU.</w:t>
      </w:r>
      <w:r w:rsidR="00996B91">
        <w:rPr>
          <w:rStyle w:val="FootnoteReference"/>
          <w:rFonts w:ascii="Times New Roman" w:hAnsi="Times New Roman" w:cs="Times New Roman"/>
          <w:sz w:val="24"/>
          <w:szCs w:val="24"/>
        </w:rPr>
        <w:footnoteReference w:id="58"/>
      </w:r>
      <w:r w:rsidR="006904DE">
        <w:rPr>
          <w:rFonts w:ascii="Times New Roman" w:hAnsi="Times New Roman" w:cs="Times New Roman"/>
          <w:sz w:val="24"/>
          <w:szCs w:val="24"/>
        </w:rPr>
        <w:t xml:space="preserve"> Likewise</w:t>
      </w:r>
      <w:r w:rsidR="00996B91">
        <w:rPr>
          <w:rFonts w:ascii="Times New Roman" w:hAnsi="Times New Roman" w:cs="Times New Roman"/>
          <w:sz w:val="24"/>
          <w:szCs w:val="24"/>
        </w:rPr>
        <w:t>, the CJEU’s finding that cross-border services do not have to be remunerated directly by the service recipient introduced situations concerning the pub</w:t>
      </w:r>
      <w:r w:rsidR="006904DE">
        <w:rPr>
          <w:rFonts w:ascii="Times New Roman" w:hAnsi="Times New Roman" w:cs="Times New Roman"/>
          <w:sz w:val="24"/>
          <w:szCs w:val="24"/>
        </w:rPr>
        <w:t>lic funding of healthcare to</w:t>
      </w:r>
      <w:r w:rsidR="00996B91">
        <w:rPr>
          <w:rFonts w:ascii="Times New Roman" w:hAnsi="Times New Roman" w:cs="Times New Roman"/>
          <w:sz w:val="24"/>
          <w:szCs w:val="24"/>
        </w:rPr>
        <w:t xml:space="preserve"> the personal scope of that provision.</w:t>
      </w:r>
      <w:r w:rsidR="00996B91">
        <w:rPr>
          <w:rStyle w:val="FootnoteReference"/>
          <w:rFonts w:ascii="Times New Roman" w:hAnsi="Times New Roman" w:cs="Times New Roman"/>
          <w:sz w:val="24"/>
          <w:szCs w:val="24"/>
        </w:rPr>
        <w:footnoteReference w:id="59"/>
      </w:r>
      <w:r w:rsidR="00156636">
        <w:rPr>
          <w:rFonts w:ascii="Times New Roman" w:hAnsi="Times New Roman" w:cs="Times New Roman"/>
          <w:sz w:val="24"/>
          <w:szCs w:val="24"/>
        </w:rPr>
        <w:t xml:space="preserve"> Further, the judicial extension of Article 56 TFEU to the service recipient has brought national rules on, </w:t>
      </w:r>
      <w:r w:rsidR="00156636">
        <w:rPr>
          <w:rFonts w:ascii="Times New Roman" w:hAnsi="Times New Roman" w:cs="Times New Roman"/>
          <w:i/>
          <w:sz w:val="24"/>
          <w:szCs w:val="24"/>
        </w:rPr>
        <w:t>inter alia</w:t>
      </w:r>
      <w:r w:rsidR="00156636">
        <w:rPr>
          <w:rFonts w:ascii="Times New Roman" w:hAnsi="Times New Roman" w:cs="Times New Roman"/>
          <w:sz w:val="24"/>
          <w:szCs w:val="24"/>
        </w:rPr>
        <w:t>, healthcare,</w:t>
      </w:r>
      <w:r w:rsidR="00A80237">
        <w:rPr>
          <w:rStyle w:val="FootnoteReference"/>
          <w:rFonts w:ascii="Times New Roman" w:hAnsi="Times New Roman" w:cs="Times New Roman"/>
          <w:sz w:val="24"/>
          <w:szCs w:val="24"/>
        </w:rPr>
        <w:footnoteReference w:id="60"/>
      </w:r>
      <w:r w:rsidR="00156636">
        <w:rPr>
          <w:rFonts w:ascii="Times New Roman" w:hAnsi="Times New Roman" w:cs="Times New Roman"/>
          <w:sz w:val="24"/>
          <w:szCs w:val="24"/>
        </w:rPr>
        <w:t xml:space="preserve"> criminal injuries compensation,</w:t>
      </w:r>
      <w:r w:rsidR="00A80237">
        <w:rPr>
          <w:rStyle w:val="FootnoteReference"/>
          <w:rFonts w:ascii="Times New Roman" w:hAnsi="Times New Roman" w:cs="Times New Roman"/>
          <w:sz w:val="24"/>
          <w:szCs w:val="24"/>
        </w:rPr>
        <w:footnoteReference w:id="61"/>
      </w:r>
      <w:r w:rsidR="00156636">
        <w:rPr>
          <w:rFonts w:ascii="Times New Roman" w:hAnsi="Times New Roman" w:cs="Times New Roman"/>
          <w:sz w:val="24"/>
          <w:szCs w:val="24"/>
        </w:rPr>
        <w:t xml:space="preserve"> and the language used in criminal trials</w:t>
      </w:r>
      <w:r w:rsidR="00A80237">
        <w:rPr>
          <w:rStyle w:val="FootnoteReference"/>
          <w:rFonts w:ascii="Times New Roman" w:hAnsi="Times New Roman" w:cs="Times New Roman"/>
          <w:sz w:val="24"/>
          <w:szCs w:val="24"/>
        </w:rPr>
        <w:footnoteReference w:id="62"/>
      </w:r>
      <w:r w:rsidR="00A80237">
        <w:rPr>
          <w:rFonts w:ascii="Times New Roman" w:hAnsi="Times New Roman" w:cs="Times New Roman"/>
          <w:sz w:val="24"/>
          <w:szCs w:val="24"/>
        </w:rPr>
        <w:t xml:space="preserve"> into previously unanticipated contact with that provision. The notion of the ‘service recipient’ has also reduced the potency of the cross-border requirement. It allows economic actors to challenge rules operating in their Member State of establishment, concerning for example public health regulation, as restrictions on access to that State’s market by service recipients in other Member States.</w:t>
      </w:r>
      <w:r w:rsidR="00A80237">
        <w:rPr>
          <w:rStyle w:val="FootnoteReference"/>
          <w:rFonts w:ascii="Times New Roman" w:hAnsi="Times New Roman" w:cs="Times New Roman"/>
          <w:sz w:val="24"/>
          <w:szCs w:val="24"/>
        </w:rPr>
        <w:footnoteReference w:id="63"/>
      </w:r>
      <w:r w:rsidR="003B371F">
        <w:rPr>
          <w:rFonts w:ascii="Times New Roman" w:hAnsi="Times New Roman" w:cs="Times New Roman"/>
          <w:sz w:val="24"/>
          <w:szCs w:val="24"/>
        </w:rPr>
        <w:t xml:space="preserve"> The introduction of Union citizenship has extended the personal scope of the free movement of persons to the economically inactive, leading to a similar broadening and diversification of the type of Member State rules that now trigger EU law. For instance, national rules on job-seekers’ allowance now constitute potential restrictions of Article 45 TFEU, since job-seekers now fall within the personal scope of that provision.</w:t>
      </w:r>
      <w:r w:rsidR="007A3D9A">
        <w:rPr>
          <w:rStyle w:val="FootnoteReference"/>
          <w:rFonts w:ascii="Times New Roman" w:hAnsi="Times New Roman" w:cs="Times New Roman"/>
          <w:sz w:val="24"/>
          <w:szCs w:val="24"/>
        </w:rPr>
        <w:footnoteReference w:id="64"/>
      </w:r>
      <w:r w:rsidR="003B371F">
        <w:rPr>
          <w:rFonts w:ascii="Times New Roman" w:hAnsi="Times New Roman" w:cs="Times New Roman"/>
          <w:sz w:val="24"/>
          <w:szCs w:val="24"/>
        </w:rPr>
        <w:t xml:space="preserve"> More broadly, the availability of a personal right to freedom of movement and residence for Union citizens, pursuant to Article 21 TFEU, has exposed a wide range of Member State social security rules to potential scrutiny as</w:t>
      </w:r>
      <w:r w:rsidR="00746C89">
        <w:rPr>
          <w:rFonts w:ascii="Times New Roman" w:hAnsi="Times New Roman" w:cs="Times New Roman"/>
          <w:sz w:val="24"/>
          <w:szCs w:val="24"/>
        </w:rPr>
        <w:t xml:space="preserve"> possible </w:t>
      </w:r>
      <w:r w:rsidR="00746C89">
        <w:rPr>
          <w:rFonts w:ascii="Times New Roman" w:hAnsi="Times New Roman" w:cs="Times New Roman"/>
          <w:sz w:val="24"/>
          <w:szCs w:val="24"/>
        </w:rPr>
        <w:lastRenderedPageBreak/>
        <w:t>breaches of that provision.</w:t>
      </w:r>
      <w:r w:rsidR="007A3D9A">
        <w:rPr>
          <w:rStyle w:val="FootnoteReference"/>
          <w:rFonts w:ascii="Times New Roman" w:hAnsi="Times New Roman" w:cs="Times New Roman"/>
          <w:sz w:val="24"/>
          <w:szCs w:val="24"/>
        </w:rPr>
        <w:footnoteReference w:id="65"/>
      </w:r>
      <w:r w:rsidR="00632D76">
        <w:rPr>
          <w:rFonts w:ascii="Times New Roman" w:hAnsi="Times New Roman" w:cs="Times New Roman"/>
          <w:sz w:val="24"/>
          <w:szCs w:val="24"/>
        </w:rPr>
        <w:t xml:space="preserve"> The personal right of Union citizens to move within the territory of the Union has also been explicitly declared fundamental by the Court.</w:t>
      </w:r>
      <w:r w:rsidR="00632D76">
        <w:rPr>
          <w:rStyle w:val="FootnoteReference"/>
          <w:rFonts w:ascii="Times New Roman" w:hAnsi="Times New Roman" w:cs="Times New Roman"/>
          <w:sz w:val="24"/>
          <w:szCs w:val="24"/>
        </w:rPr>
        <w:footnoteReference w:id="66"/>
      </w:r>
    </w:p>
    <w:p w14:paraId="6F6DBCAD" w14:textId="77777777" w:rsidR="00110F1D" w:rsidRDefault="00110F1D" w:rsidP="00972529">
      <w:pPr>
        <w:pStyle w:val="NoSpacing"/>
        <w:jc w:val="both"/>
        <w:rPr>
          <w:rFonts w:ascii="Times New Roman" w:hAnsi="Times New Roman" w:cs="Times New Roman"/>
          <w:sz w:val="24"/>
          <w:szCs w:val="24"/>
        </w:rPr>
      </w:pPr>
    </w:p>
    <w:p w14:paraId="5FEC1F7F" w14:textId="77777777" w:rsidR="006B3F90" w:rsidRDefault="009A431C" w:rsidP="00972529">
      <w:pPr>
        <w:pStyle w:val="NoSpacing"/>
        <w:jc w:val="both"/>
        <w:rPr>
          <w:rFonts w:ascii="Times New Roman" w:hAnsi="Times New Roman" w:cs="Times New Roman"/>
          <w:sz w:val="24"/>
          <w:szCs w:val="24"/>
        </w:rPr>
      </w:pPr>
      <w:r>
        <w:rPr>
          <w:rFonts w:ascii="Times New Roman" w:hAnsi="Times New Roman" w:cs="Times New Roman"/>
          <w:sz w:val="24"/>
          <w:szCs w:val="24"/>
        </w:rPr>
        <w:t>In the same way that</w:t>
      </w:r>
      <w:r w:rsidR="007A3D9A">
        <w:rPr>
          <w:rFonts w:ascii="Times New Roman" w:hAnsi="Times New Roman" w:cs="Times New Roman"/>
          <w:sz w:val="24"/>
          <w:szCs w:val="24"/>
        </w:rPr>
        <w:t xml:space="preserve"> a greater range of situations now trigger the free moveme</w:t>
      </w:r>
      <w:r>
        <w:rPr>
          <w:rFonts w:ascii="Times New Roman" w:hAnsi="Times New Roman" w:cs="Times New Roman"/>
          <w:sz w:val="24"/>
          <w:szCs w:val="24"/>
        </w:rPr>
        <w:t>nt provisions as a direct consequence</w:t>
      </w:r>
      <w:r w:rsidR="007A3D9A">
        <w:rPr>
          <w:rFonts w:ascii="Times New Roman" w:hAnsi="Times New Roman" w:cs="Times New Roman"/>
          <w:sz w:val="24"/>
          <w:szCs w:val="24"/>
        </w:rPr>
        <w:t xml:space="preserve"> of their wider materia</w:t>
      </w:r>
      <w:r>
        <w:rPr>
          <w:rFonts w:ascii="Times New Roman" w:hAnsi="Times New Roman" w:cs="Times New Roman"/>
          <w:sz w:val="24"/>
          <w:szCs w:val="24"/>
        </w:rPr>
        <w:t>l and personal scope,</w:t>
      </w:r>
      <w:r w:rsidR="007A3D9A">
        <w:rPr>
          <w:rFonts w:ascii="Times New Roman" w:hAnsi="Times New Roman" w:cs="Times New Roman"/>
          <w:sz w:val="24"/>
          <w:szCs w:val="24"/>
        </w:rPr>
        <w:t xml:space="preserve"> the extension of the direct effect of the market freedoms </w:t>
      </w:r>
      <w:r>
        <w:rPr>
          <w:rFonts w:ascii="Times New Roman" w:hAnsi="Times New Roman" w:cs="Times New Roman"/>
          <w:sz w:val="24"/>
          <w:szCs w:val="24"/>
        </w:rPr>
        <w:t>has</w:t>
      </w:r>
      <w:r w:rsidR="00993BEF">
        <w:rPr>
          <w:rFonts w:ascii="Times New Roman" w:hAnsi="Times New Roman" w:cs="Times New Roman"/>
          <w:sz w:val="24"/>
          <w:szCs w:val="24"/>
        </w:rPr>
        <w:t xml:space="preserve"> expanded their reach to new situations and different actors.</w:t>
      </w:r>
      <w:r>
        <w:rPr>
          <w:rFonts w:ascii="Times New Roman" w:hAnsi="Times New Roman" w:cs="Times New Roman"/>
          <w:sz w:val="24"/>
          <w:szCs w:val="24"/>
        </w:rPr>
        <w:t xml:space="preserve"> </w:t>
      </w:r>
      <w:r w:rsidR="00CE2828">
        <w:rPr>
          <w:rFonts w:ascii="Times New Roman" w:hAnsi="Times New Roman" w:cs="Times New Roman"/>
          <w:sz w:val="24"/>
          <w:szCs w:val="24"/>
        </w:rPr>
        <w:t>Thus,</w:t>
      </w:r>
      <w:r w:rsidR="007A0004">
        <w:rPr>
          <w:rFonts w:ascii="Times New Roman" w:hAnsi="Times New Roman" w:cs="Times New Roman"/>
          <w:sz w:val="24"/>
          <w:szCs w:val="24"/>
        </w:rPr>
        <w:t xml:space="preserve"> where one</w:t>
      </w:r>
      <w:r w:rsidR="00993BEF">
        <w:rPr>
          <w:rFonts w:ascii="Times New Roman" w:hAnsi="Times New Roman" w:cs="Times New Roman"/>
          <w:sz w:val="24"/>
          <w:szCs w:val="24"/>
        </w:rPr>
        <w:t xml:space="preserve"> private party brings an action against a second for failing to comply with domestic law, the latter actor may, where relevant, argue that those national rules are in breach of free movement, accordingly employing the vertical application of the market freedoms as a shield in the context of a horizontal dispute.</w:t>
      </w:r>
      <w:r w:rsidR="00993BEF">
        <w:rPr>
          <w:rStyle w:val="FootnoteReference"/>
          <w:rFonts w:ascii="Times New Roman" w:hAnsi="Times New Roman" w:cs="Times New Roman"/>
          <w:sz w:val="24"/>
          <w:szCs w:val="24"/>
        </w:rPr>
        <w:footnoteReference w:id="67"/>
      </w:r>
      <w:r w:rsidR="00993BEF">
        <w:rPr>
          <w:rFonts w:ascii="Times New Roman" w:hAnsi="Times New Roman" w:cs="Times New Roman"/>
          <w:sz w:val="24"/>
          <w:szCs w:val="24"/>
        </w:rPr>
        <w:t xml:space="preserve"> </w:t>
      </w:r>
      <w:r w:rsidR="00875321">
        <w:rPr>
          <w:rFonts w:ascii="Times New Roman" w:hAnsi="Times New Roman" w:cs="Times New Roman"/>
          <w:sz w:val="24"/>
          <w:szCs w:val="24"/>
        </w:rPr>
        <w:t>The collective-regulator case-law has permitted the application of the free movement provisions to associations incorporated under private law that are nevertheless able to exercise exclusive control over the regulation of certain market sectors. Accordingly, rules formulated by such bodies are capable of being in breach of Union law.</w:t>
      </w:r>
      <w:r w:rsidR="00875321">
        <w:rPr>
          <w:rStyle w:val="FootnoteReference"/>
          <w:rFonts w:ascii="Times New Roman" w:hAnsi="Times New Roman" w:cs="Times New Roman"/>
          <w:sz w:val="24"/>
          <w:szCs w:val="24"/>
        </w:rPr>
        <w:footnoteReference w:id="68"/>
      </w:r>
      <w:r w:rsidR="00875321">
        <w:rPr>
          <w:rFonts w:ascii="Times New Roman" w:hAnsi="Times New Roman" w:cs="Times New Roman"/>
          <w:sz w:val="24"/>
          <w:szCs w:val="24"/>
        </w:rPr>
        <w:t xml:space="preserve"> </w:t>
      </w:r>
      <w:r w:rsidR="00993BEF">
        <w:rPr>
          <w:rFonts w:ascii="Times New Roman" w:hAnsi="Times New Roman" w:cs="Times New Roman"/>
          <w:sz w:val="24"/>
          <w:szCs w:val="24"/>
        </w:rPr>
        <w:t xml:space="preserve">Significantly, </w:t>
      </w:r>
      <w:r w:rsidR="0089668C">
        <w:rPr>
          <w:rFonts w:ascii="Times New Roman" w:hAnsi="Times New Roman" w:cs="Times New Roman"/>
          <w:sz w:val="24"/>
          <w:szCs w:val="24"/>
        </w:rPr>
        <w:t xml:space="preserve">some of </w:t>
      </w:r>
      <w:r w:rsidR="00993BEF">
        <w:rPr>
          <w:rFonts w:ascii="Times New Roman" w:hAnsi="Times New Roman" w:cs="Times New Roman"/>
          <w:sz w:val="24"/>
          <w:szCs w:val="24"/>
        </w:rPr>
        <w:t>the free movement provisions can now be used as a swor</w:t>
      </w:r>
      <w:r w:rsidR="007A0004">
        <w:rPr>
          <w:rFonts w:ascii="Times New Roman" w:hAnsi="Times New Roman" w:cs="Times New Roman"/>
          <w:sz w:val="24"/>
          <w:szCs w:val="24"/>
        </w:rPr>
        <w:t xml:space="preserve">d against the conduct of </w:t>
      </w:r>
      <w:r w:rsidR="00993BEF">
        <w:rPr>
          <w:rFonts w:ascii="Times New Roman" w:hAnsi="Times New Roman" w:cs="Times New Roman"/>
          <w:sz w:val="24"/>
          <w:szCs w:val="24"/>
        </w:rPr>
        <w:t>private actors.</w:t>
      </w:r>
      <w:r w:rsidR="00875321">
        <w:rPr>
          <w:rStyle w:val="FootnoteReference"/>
          <w:rFonts w:ascii="Times New Roman" w:hAnsi="Times New Roman" w:cs="Times New Roman"/>
          <w:sz w:val="24"/>
          <w:szCs w:val="24"/>
        </w:rPr>
        <w:footnoteReference w:id="69"/>
      </w:r>
      <w:r w:rsidR="00993BEF">
        <w:rPr>
          <w:rFonts w:ascii="Times New Roman" w:hAnsi="Times New Roman" w:cs="Times New Roman"/>
          <w:sz w:val="24"/>
          <w:szCs w:val="24"/>
        </w:rPr>
        <w:t xml:space="preserve"> </w:t>
      </w:r>
      <w:r w:rsidR="007A3D9A">
        <w:rPr>
          <w:rFonts w:ascii="Times New Roman" w:hAnsi="Times New Roman" w:cs="Times New Roman"/>
          <w:sz w:val="24"/>
          <w:szCs w:val="24"/>
        </w:rPr>
        <w:t xml:space="preserve"> </w:t>
      </w:r>
    </w:p>
    <w:p w14:paraId="008145A6" w14:textId="77777777" w:rsidR="006B3F90" w:rsidRDefault="006B3F90" w:rsidP="00972529">
      <w:pPr>
        <w:pStyle w:val="NoSpacing"/>
        <w:jc w:val="both"/>
        <w:rPr>
          <w:rFonts w:ascii="Times New Roman" w:hAnsi="Times New Roman" w:cs="Times New Roman"/>
          <w:sz w:val="24"/>
          <w:szCs w:val="24"/>
        </w:rPr>
      </w:pPr>
    </w:p>
    <w:p w14:paraId="7A59A41A" w14:textId="77777777" w:rsidR="007556B2" w:rsidRPr="007556B2" w:rsidRDefault="007A0004" w:rsidP="00972529">
      <w:pPr>
        <w:pStyle w:val="NoSpacing"/>
        <w:jc w:val="both"/>
        <w:rPr>
          <w:rFonts w:ascii="Times New Roman" w:hAnsi="Times New Roman" w:cs="Times New Roman"/>
          <w:sz w:val="24"/>
          <w:szCs w:val="24"/>
        </w:rPr>
      </w:pPr>
      <w:r>
        <w:rPr>
          <w:rFonts w:ascii="Times New Roman" w:hAnsi="Times New Roman" w:cs="Times New Roman"/>
          <w:sz w:val="24"/>
          <w:szCs w:val="24"/>
        </w:rPr>
        <w:t>T</w:t>
      </w:r>
      <w:r w:rsidR="00110F1D">
        <w:rPr>
          <w:rFonts w:ascii="Times New Roman" w:hAnsi="Times New Roman" w:cs="Times New Roman"/>
          <w:sz w:val="24"/>
          <w:szCs w:val="24"/>
        </w:rPr>
        <w:t>hese developments have also been accompanied by the evolution of a system of decentralised enforcement</w:t>
      </w:r>
      <w:r w:rsidR="007556B2">
        <w:rPr>
          <w:rFonts w:ascii="Times New Roman" w:hAnsi="Times New Roman" w:cs="Times New Roman"/>
          <w:sz w:val="24"/>
          <w:szCs w:val="24"/>
        </w:rPr>
        <w:t xml:space="preserve">, in particular by virtue of the combined force of the doctrines of primacy and effective judicial protection. Thus, the Court held in </w:t>
      </w:r>
      <w:r w:rsidR="007556B2">
        <w:rPr>
          <w:rFonts w:ascii="Times New Roman" w:hAnsi="Times New Roman" w:cs="Times New Roman"/>
          <w:i/>
          <w:sz w:val="24"/>
          <w:szCs w:val="24"/>
        </w:rPr>
        <w:t>Simmenthal</w:t>
      </w:r>
      <w:r w:rsidR="007556B2">
        <w:rPr>
          <w:rFonts w:ascii="Times New Roman" w:hAnsi="Times New Roman" w:cs="Times New Roman"/>
          <w:sz w:val="24"/>
          <w:szCs w:val="24"/>
        </w:rPr>
        <w:t xml:space="preserve"> that national courts were tasked with protecting the directly effective rights of individuals conferred by Union law. Critically, it also combined this with the rule in </w:t>
      </w:r>
      <w:r w:rsidR="007556B2">
        <w:rPr>
          <w:rFonts w:ascii="Times New Roman" w:hAnsi="Times New Roman" w:cs="Times New Roman"/>
          <w:i/>
          <w:sz w:val="24"/>
          <w:szCs w:val="24"/>
        </w:rPr>
        <w:t>Costa</w:t>
      </w:r>
      <w:r w:rsidR="009A26D4">
        <w:rPr>
          <w:rFonts w:ascii="Times New Roman" w:hAnsi="Times New Roman" w:cs="Times New Roman"/>
          <w:i/>
          <w:sz w:val="24"/>
          <w:szCs w:val="24"/>
        </w:rPr>
        <w:t>,</w:t>
      </w:r>
      <w:r w:rsidR="007556B2">
        <w:rPr>
          <w:rFonts w:ascii="Times New Roman" w:hAnsi="Times New Roman" w:cs="Times New Roman"/>
          <w:sz w:val="24"/>
          <w:szCs w:val="24"/>
        </w:rPr>
        <w:t xml:space="preserve"> that EU law e</w:t>
      </w:r>
      <w:r w:rsidR="009A26D4">
        <w:rPr>
          <w:rFonts w:ascii="Times New Roman" w:hAnsi="Times New Roman" w:cs="Times New Roman"/>
          <w:sz w:val="24"/>
          <w:szCs w:val="24"/>
        </w:rPr>
        <w:t>njoys primacy over national law</w:t>
      </w:r>
      <w:r w:rsidR="007556B2">
        <w:rPr>
          <w:rFonts w:ascii="Times New Roman" w:hAnsi="Times New Roman" w:cs="Times New Roman"/>
          <w:sz w:val="24"/>
          <w:szCs w:val="24"/>
        </w:rPr>
        <w:t xml:space="preserve"> howe</w:t>
      </w:r>
      <w:r w:rsidR="009A26D4">
        <w:rPr>
          <w:rFonts w:ascii="Times New Roman" w:hAnsi="Times New Roman" w:cs="Times New Roman"/>
          <w:sz w:val="24"/>
          <w:szCs w:val="24"/>
        </w:rPr>
        <w:t>ver framed,</w:t>
      </w:r>
      <w:r w:rsidR="009A26D4">
        <w:rPr>
          <w:rStyle w:val="FootnoteReference"/>
          <w:rFonts w:ascii="Times New Roman" w:hAnsi="Times New Roman" w:cs="Times New Roman"/>
          <w:sz w:val="24"/>
          <w:szCs w:val="24"/>
        </w:rPr>
        <w:footnoteReference w:id="70"/>
      </w:r>
      <w:r w:rsidR="009A26D4">
        <w:rPr>
          <w:rFonts w:ascii="Times New Roman" w:hAnsi="Times New Roman" w:cs="Times New Roman"/>
          <w:sz w:val="24"/>
          <w:szCs w:val="24"/>
        </w:rPr>
        <w:t xml:space="preserve"> with the effect that</w:t>
      </w:r>
      <w:r w:rsidR="007556B2">
        <w:rPr>
          <w:rFonts w:ascii="Times New Roman" w:hAnsi="Times New Roman" w:cs="Times New Roman"/>
          <w:sz w:val="24"/>
          <w:szCs w:val="24"/>
        </w:rPr>
        <w:t xml:space="preserve"> domestic provisions are rendered automatically inapplicable</w:t>
      </w:r>
      <w:r w:rsidR="009A26D4">
        <w:rPr>
          <w:rFonts w:ascii="Times New Roman" w:hAnsi="Times New Roman" w:cs="Times New Roman"/>
          <w:sz w:val="24"/>
          <w:szCs w:val="24"/>
        </w:rPr>
        <w:t xml:space="preserve"> to the extent that they conflict with EU law.</w:t>
      </w:r>
      <w:r w:rsidR="009A26D4">
        <w:rPr>
          <w:rStyle w:val="FootnoteReference"/>
          <w:rFonts w:ascii="Times New Roman" w:hAnsi="Times New Roman" w:cs="Times New Roman"/>
          <w:sz w:val="24"/>
          <w:szCs w:val="24"/>
        </w:rPr>
        <w:footnoteReference w:id="71"/>
      </w:r>
      <w:r w:rsidR="009A26D4">
        <w:rPr>
          <w:rFonts w:ascii="Times New Roman" w:hAnsi="Times New Roman" w:cs="Times New Roman"/>
          <w:sz w:val="24"/>
          <w:szCs w:val="24"/>
        </w:rPr>
        <w:t xml:space="preserve"> </w:t>
      </w:r>
      <w:r>
        <w:rPr>
          <w:rFonts w:ascii="Times New Roman" w:hAnsi="Times New Roman" w:cs="Times New Roman"/>
          <w:sz w:val="24"/>
          <w:szCs w:val="24"/>
        </w:rPr>
        <w:t>Despite entertaining some more recent arguments that primacy should be temporarily suspended where the immediate disapplication of domestic law would leave a legal vacuum in relation to important public interests,</w:t>
      </w:r>
      <w:r w:rsidR="00733B9D">
        <w:rPr>
          <w:rStyle w:val="FootnoteReference"/>
          <w:rFonts w:ascii="Times New Roman" w:hAnsi="Times New Roman" w:cs="Times New Roman"/>
          <w:sz w:val="24"/>
          <w:szCs w:val="24"/>
        </w:rPr>
        <w:footnoteReference w:id="72"/>
      </w:r>
      <w:r>
        <w:rPr>
          <w:rFonts w:ascii="Times New Roman" w:hAnsi="Times New Roman" w:cs="Times New Roman"/>
          <w:sz w:val="24"/>
          <w:szCs w:val="24"/>
        </w:rPr>
        <w:t xml:space="preserve"> the Court has, to date, nevertheless held that the primacy of EU law should prevail.</w:t>
      </w:r>
      <w:r w:rsidR="00733B9D">
        <w:rPr>
          <w:rStyle w:val="FootnoteReference"/>
          <w:rFonts w:ascii="Times New Roman" w:hAnsi="Times New Roman" w:cs="Times New Roman"/>
          <w:sz w:val="24"/>
          <w:szCs w:val="24"/>
        </w:rPr>
        <w:footnoteReference w:id="73"/>
      </w:r>
      <w:r w:rsidR="00733B9D">
        <w:rPr>
          <w:rFonts w:ascii="Times New Roman" w:hAnsi="Times New Roman" w:cs="Times New Roman"/>
          <w:sz w:val="24"/>
          <w:szCs w:val="24"/>
        </w:rPr>
        <w:t xml:space="preserve"> </w:t>
      </w:r>
      <w:r w:rsidR="00325D47">
        <w:rPr>
          <w:rFonts w:ascii="Times New Roman" w:hAnsi="Times New Roman" w:cs="Times New Roman"/>
          <w:sz w:val="24"/>
          <w:szCs w:val="24"/>
        </w:rPr>
        <w:t>More broadly, t</w:t>
      </w:r>
      <w:r w:rsidR="005D143C">
        <w:rPr>
          <w:rFonts w:ascii="Times New Roman" w:hAnsi="Times New Roman" w:cs="Times New Roman"/>
          <w:sz w:val="24"/>
          <w:szCs w:val="24"/>
        </w:rPr>
        <w:t>he principle of effective</w:t>
      </w:r>
      <w:r w:rsidR="000C0385">
        <w:rPr>
          <w:rFonts w:ascii="Times New Roman" w:hAnsi="Times New Roman" w:cs="Times New Roman"/>
          <w:sz w:val="24"/>
          <w:szCs w:val="24"/>
        </w:rPr>
        <w:t xml:space="preserve"> judicial protection </w:t>
      </w:r>
      <w:r w:rsidR="00325D47">
        <w:rPr>
          <w:rFonts w:ascii="Times New Roman" w:hAnsi="Times New Roman" w:cs="Times New Roman"/>
          <w:sz w:val="24"/>
          <w:szCs w:val="24"/>
        </w:rPr>
        <w:t xml:space="preserve">has also </w:t>
      </w:r>
      <w:r w:rsidR="000C0385">
        <w:rPr>
          <w:rFonts w:ascii="Times New Roman" w:hAnsi="Times New Roman" w:cs="Times New Roman"/>
          <w:sz w:val="24"/>
          <w:szCs w:val="24"/>
        </w:rPr>
        <w:t xml:space="preserve">made it possible </w:t>
      </w:r>
      <w:r w:rsidR="000C0385">
        <w:rPr>
          <w:rFonts w:ascii="Times New Roman" w:hAnsi="Times New Roman" w:cs="Times New Roman"/>
          <w:sz w:val="24"/>
          <w:szCs w:val="24"/>
        </w:rPr>
        <w:lastRenderedPageBreak/>
        <w:t>for individuals to bring actions for damages against both the State</w:t>
      </w:r>
      <w:r w:rsidR="000C0385">
        <w:rPr>
          <w:rStyle w:val="FootnoteReference"/>
          <w:rFonts w:ascii="Times New Roman" w:hAnsi="Times New Roman" w:cs="Times New Roman"/>
          <w:sz w:val="24"/>
          <w:szCs w:val="24"/>
        </w:rPr>
        <w:footnoteReference w:id="74"/>
      </w:r>
      <w:r w:rsidR="000C0385">
        <w:rPr>
          <w:rFonts w:ascii="Times New Roman" w:hAnsi="Times New Roman" w:cs="Times New Roman"/>
          <w:sz w:val="24"/>
          <w:szCs w:val="24"/>
        </w:rPr>
        <w:t xml:space="preserve"> and private actors for breaches of Union law.</w:t>
      </w:r>
      <w:r w:rsidR="000C0385">
        <w:rPr>
          <w:rStyle w:val="FootnoteReference"/>
          <w:rFonts w:ascii="Times New Roman" w:hAnsi="Times New Roman" w:cs="Times New Roman"/>
          <w:sz w:val="24"/>
          <w:szCs w:val="24"/>
        </w:rPr>
        <w:footnoteReference w:id="75"/>
      </w:r>
      <w:r w:rsidR="000C0385">
        <w:rPr>
          <w:rFonts w:ascii="Times New Roman" w:hAnsi="Times New Roman" w:cs="Times New Roman"/>
          <w:sz w:val="24"/>
          <w:szCs w:val="24"/>
        </w:rPr>
        <w:t xml:space="preserve"> </w:t>
      </w:r>
      <w:r w:rsidR="009A26D4">
        <w:rPr>
          <w:rFonts w:ascii="Times New Roman" w:hAnsi="Times New Roman" w:cs="Times New Roman"/>
          <w:sz w:val="24"/>
          <w:szCs w:val="24"/>
        </w:rPr>
        <w:t xml:space="preserve">  </w:t>
      </w:r>
      <w:r w:rsidR="007556B2">
        <w:rPr>
          <w:rFonts w:ascii="Times New Roman" w:hAnsi="Times New Roman" w:cs="Times New Roman"/>
          <w:sz w:val="24"/>
          <w:szCs w:val="24"/>
        </w:rPr>
        <w:t xml:space="preserve"> </w:t>
      </w:r>
    </w:p>
    <w:p w14:paraId="5BF97F7E" w14:textId="77777777" w:rsidR="007556B2" w:rsidRDefault="007556B2" w:rsidP="00972529">
      <w:pPr>
        <w:pStyle w:val="NoSpacing"/>
        <w:jc w:val="both"/>
        <w:rPr>
          <w:rFonts w:ascii="Times New Roman" w:hAnsi="Times New Roman" w:cs="Times New Roman"/>
          <w:sz w:val="24"/>
          <w:szCs w:val="24"/>
        </w:rPr>
      </w:pPr>
    </w:p>
    <w:p w14:paraId="0D9CE882" w14:textId="77777777" w:rsidR="00325D47" w:rsidRPr="00325D47" w:rsidRDefault="00325D47" w:rsidP="00972529">
      <w:pPr>
        <w:pStyle w:val="NoSpacing"/>
        <w:jc w:val="both"/>
        <w:rPr>
          <w:rFonts w:ascii="Times New Roman" w:hAnsi="Times New Roman" w:cs="Times New Roman"/>
          <w:sz w:val="24"/>
          <w:szCs w:val="24"/>
        </w:rPr>
      </w:pPr>
    </w:p>
    <w:p w14:paraId="57906DA3" w14:textId="77777777" w:rsidR="001F54BE" w:rsidRDefault="001F54BE" w:rsidP="00D41E80">
      <w:pPr>
        <w:pStyle w:val="NoSpacing"/>
        <w:numPr>
          <w:ilvl w:val="1"/>
          <w:numId w:val="2"/>
        </w:numPr>
        <w:jc w:val="both"/>
        <w:rPr>
          <w:rFonts w:ascii="Times New Roman" w:hAnsi="Times New Roman" w:cs="Times New Roman"/>
          <w:b/>
          <w:i/>
          <w:sz w:val="24"/>
          <w:szCs w:val="24"/>
        </w:rPr>
      </w:pPr>
      <w:r>
        <w:rPr>
          <w:rFonts w:ascii="Times New Roman" w:hAnsi="Times New Roman" w:cs="Times New Roman"/>
          <w:b/>
          <w:i/>
          <w:sz w:val="24"/>
          <w:szCs w:val="24"/>
        </w:rPr>
        <w:t>The growing prominence of fundamental rights as a Union objective</w:t>
      </w:r>
    </w:p>
    <w:p w14:paraId="5ACAD8B6" w14:textId="77777777" w:rsidR="00325D47" w:rsidRDefault="00325D47" w:rsidP="00325D47">
      <w:pPr>
        <w:pStyle w:val="NoSpacing"/>
        <w:jc w:val="both"/>
        <w:rPr>
          <w:rFonts w:ascii="Times New Roman" w:hAnsi="Times New Roman" w:cs="Times New Roman"/>
          <w:b/>
          <w:i/>
          <w:sz w:val="24"/>
          <w:szCs w:val="24"/>
        </w:rPr>
      </w:pPr>
    </w:p>
    <w:p w14:paraId="32E8976F" w14:textId="77777777" w:rsidR="00325D47" w:rsidRDefault="00325D47" w:rsidP="00325D47">
      <w:pPr>
        <w:pStyle w:val="NoSpacing"/>
        <w:jc w:val="both"/>
        <w:rPr>
          <w:rFonts w:ascii="Times New Roman" w:hAnsi="Times New Roman" w:cs="Times New Roman"/>
          <w:sz w:val="24"/>
          <w:szCs w:val="24"/>
        </w:rPr>
      </w:pPr>
      <w:r>
        <w:rPr>
          <w:rFonts w:ascii="Times New Roman" w:hAnsi="Times New Roman" w:cs="Times New Roman"/>
          <w:sz w:val="24"/>
          <w:szCs w:val="24"/>
        </w:rPr>
        <w:t>If the expansion of the material and personal scope of the market</w:t>
      </w:r>
      <w:r w:rsidR="00482977">
        <w:rPr>
          <w:rFonts w:ascii="Times New Roman" w:hAnsi="Times New Roman" w:cs="Times New Roman"/>
          <w:sz w:val="24"/>
          <w:szCs w:val="24"/>
        </w:rPr>
        <w:t xml:space="preserve"> freedoms, the extension of </w:t>
      </w:r>
      <w:r>
        <w:rPr>
          <w:rFonts w:ascii="Times New Roman" w:hAnsi="Times New Roman" w:cs="Times New Roman"/>
          <w:sz w:val="24"/>
          <w:szCs w:val="24"/>
        </w:rPr>
        <w:t xml:space="preserve">their direct effect and the accompanying system of judicial enforcement have caused a major transformation of free movement law, it could be argued that the evolution of Union fundamental rights law has been similarly dramatic. </w:t>
      </w:r>
    </w:p>
    <w:p w14:paraId="20064495" w14:textId="77777777" w:rsidR="00325D47" w:rsidRDefault="00325D47" w:rsidP="00325D47">
      <w:pPr>
        <w:pStyle w:val="NoSpacing"/>
        <w:jc w:val="both"/>
        <w:rPr>
          <w:rFonts w:ascii="Times New Roman" w:hAnsi="Times New Roman" w:cs="Times New Roman"/>
          <w:sz w:val="24"/>
          <w:szCs w:val="24"/>
        </w:rPr>
      </w:pPr>
    </w:p>
    <w:p w14:paraId="2B81D801" w14:textId="09D5AAED" w:rsidR="00482977" w:rsidRDefault="009517DF" w:rsidP="00325D47">
      <w:pPr>
        <w:pStyle w:val="NoSpacing"/>
        <w:jc w:val="both"/>
        <w:rPr>
          <w:rFonts w:ascii="Times New Roman" w:hAnsi="Times New Roman" w:cs="Times New Roman"/>
          <w:sz w:val="24"/>
          <w:szCs w:val="24"/>
        </w:rPr>
      </w:pPr>
      <w:r>
        <w:rPr>
          <w:rFonts w:ascii="Times New Roman" w:hAnsi="Times New Roman" w:cs="Times New Roman"/>
          <w:sz w:val="24"/>
          <w:szCs w:val="24"/>
        </w:rPr>
        <w:t>The decades since Rome have seen ever-increasing focus on fundamental rights protection from a polity whose founding text contained no reference to them. Thus, in 1977</w:t>
      </w:r>
      <w:r w:rsidR="00BC0CDA">
        <w:rPr>
          <w:rFonts w:ascii="Times New Roman" w:hAnsi="Times New Roman" w:cs="Times New Roman"/>
          <w:sz w:val="24"/>
          <w:szCs w:val="24"/>
        </w:rPr>
        <w:t xml:space="preserve"> </w:t>
      </w:r>
      <w:r>
        <w:rPr>
          <w:rFonts w:ascii="Times New Roman" w:hAnsi="Times New Roman" w:cs="Times New Roman"/>
          <w:sz w:val="24"/>
          <w:szCs w:val="24"/>
        </w:rPr>
        <w:t>the Union’s political institutions released a joint declaration stressing the prime importance they attached to the protection of fundamental rights.</w:t>
      </w:r>
      <w:r>
        <w:rPr>
          <w:rStyle w:val="FootnoteReference"/>
          <w:rFonts w:ascii="Times New Roman" w:hAnsi="Times New Roman" w:cs="Times New Roman"/>
          <w:sz w:val="24"/>
          <w:szCs w:val="24"/>
        </w:rPr>
        <w:footnoteReference w:id="76"/>
      </w:r>
      <w:r>
        <w:rPr>
          <w:rFonts w:ascii="Times New Roman" w:hAnsi="Times New Roman" w:cs="Times New Roman"/>
          <w:sz w:val="24"/>
          <w:szCs w:val="24"/>
        </w:rPr>
        <w:t xml:space="preserve"> This commitment was endorsed by the Member States in the preamble to the Single European Act in 1986. With the Maastricht Treaty, entering into force in 1993,</w:t>
      </w:r>
      <w:r w:rsidR="00BC0CDA">
        <w:rPr>
          <w:rFonts w:ascii="Times New Roman" w:hAnsi="Times New Roman" w:cs="Times New Roman"/>
          <w:sz w:val="24"/>
          <w:szCs w:val="24"/>
        </w:rPr>
        <w:t xml:space="preserve"> respect for the fundamental rights contained in the ECHR and resulting from common constitutional traditions of the Member States entered the main Treaty text, via Article 6 TEU. </w:t>
      </w:r>
      <w:r w:rsidR="00BA6CB4">
        <w:rPr>
          <w:rFonts w:ascii="Times New Roman" w:hAnsi="Times New Roman" w:cs="Times New Roman"/>
          <w:sz w:val="24"/>
          <w:szCs w:val="24"/>
        </w:rPr>
        <w:t>The possibility of suspen</w:t>
      </w:r>
      <w:r w:rsidR="00F96ADC">
        <w:rPr>
          <w:rFonts w:ascii="Times New Roman" w:hAnsi="Times New Roman" w:cs="Times New Roman"/>
          <w:sz w:val="24"/>
          <w:szCs w:val="24"/>
        </w:rPr>
        <w:t>ding</w:t>
      </w:r>
      <w:r w:rsidR="00BA6CB4">
        <w:rPr>
          <w:rFonts w:ascii="Times New Roman" w:hAnsi="Times New Roman" w:cs="Times New Roman"/>
          <w:sz w:val="24"/>
          <w:szCs w:val="24"/>
        </w:rPr>
        <w:t xml:space="preserve"> the voting rights, within the European Council, of those Member States that seriously and persistently breached fundamental rights was introduced by the Amsterdam Treaty, which became effective in 1999.</w:t>
      </w:r>
      <w:r w:rsidR="00F96ADC">
        <w:rPr>
          <w:rStyle w:val="FootnoteReference"/>
          <w:rFonts w:ascii="Times New Roman" w:hAnsi="Times New Roman" w:cs="Times New Roman"/>
          <w:sz w:val="24"/>
          <w:szCs w:val="24"/>
        </w:rPr>
        <w:footnoteReference w:id="77"/>
      </w:r>
      <w:r w:rsidR="00BA6CB4">
        <w:rPr>
          <w:rFonts w:ascii="Times New Roman" w:hAnsi="Times New Roman" w:cs="Times New Roman"/>
          <w:sz w:val="24"/>
          <w:szCs w:val="24"/>
        </w:rPr>
        <w:t xml:space="preserve"> With this Treaty, Article 6 TEU also declared that the Union was </w:t>
      </w:r>
      <w:r w:rsidR="00BA6CB4">
        <w:rPr>
          <w:rFonts w:ascii="Times New Roman" w:hAnsi="Times New Roman" w:cs="Times New Roman"/>
          <w:i/>
          <w:sz w:val="24"/>
          <w:szCs w:val="24"/>
        </w:rPr>
        <w:t>found</w:t>
      </w:r>
      <w:r w:rsidR="00B9429C">
        <w:rPr>
          <w:rFonts w:ascii="Times New Roman" w:hAnsi="Times New Roman" w:cs="Times New Roman"/>
          <w:i/>
          <w:sz w:val="24"/>
          <w:szCs w:val="24"/>
        </w:rPr>
        <w:t>ed</w:t>
      </w:r>
      <w:r w:rsidR="00BA6CB4">
        <w:rPr>
          <w:rFonts w:ascii="Times New Roman" w:hAnsi="Times New Roman" w:cs="Times New Roman"/>
          <w:i/>
          <w:sz w:val="24"/>
          <w:szCs w:val="24"/>
        </w:rPr>
        <w:t xml:space="preserve"> on</w:t>
      </w:r>
      <w:r w:rsidR="00BA6CB4">
        <w:rPr>
          <w:rFonts w:ascii="Times New Roman" w:hAnsi="Times New Roman" w:cs="Times New Roman"/>
          <w:sz w:val="24"/>
          <w:szCs w:val="24"/>
        </w:rPr>
        <w:t xml:space="preserve">, </w:t>
      </w:r>
      <w:r w:rsidR="00BA6CB4">
        <w:rPr>
          <w:rFonts w:ascii="Times New Roman" w:hAnsi="Times New Roman" w:cs="Times New Roman"/>
          <w:i/>
          <w:sz w:val="24"/>
          <w:szCs w:val="24"/>
        </w:rPr>
        <w:t>inter alia</w:t>
      </w:r>
      <w:r w:rsidR="00BA6CB4">
        <w:rPr>
          <w:rFonts w:ascii="Times New Roman" w:hAnsi="Times New Roman" w:cs="Times New Roman"/>
          <w:sz w:val="24"/>
          <w:szCs w:val="24"/>
        </w:rPr>
        <w:t>, respect for fundamental rights. In 2000, the EU’s own Charter of Fundamental Rights was solemnly proclaimed and</w:t>
      </w:r>
      <w:r w:rsidR="00C63D1F">
        <w:rPr>
          <w:rFonts w:ascii="Times New Roman" w:hAnsi="Times New Roman" w:cs="Times New Roman"/>
          <w:sz w:val="24"/>
          <w:szCs w:val="24"/>
        </w:rPr>
        <w:t xml:space="preserve"> it</w:t>
      </w:r>
      <w:r w:rsidR="00BA6CB4">
        <w:rPr>
          <w:rFonts w:ascii="Times New Roman" w:hAnsi="Times New Roman" w:cs="Times New Roman"/>
          <w:sz w:val="24"/>
          <w:szCs w:val="24"/>
        </w:rPr>
        <w:t xml:space="preserve"> was granted primary law status when the Lisbon Treaty came into effect in 2009.</w:t>
      </w:r>
      <w:r w:rsidR="00BA6CB4">
        <w:rPr>
          <w:rStyle w:val="FootnoteReference"/>
          <w:rFonts w:ascii="Times New Roman" w:hAnsi="Times New Roman" w:cs="Times New Roman"/>
          <w:sz w:val="24"/>
          <w:szCs w:val="24"/>
        </w:rPr>
        <w:footnoteReference w:id="78"/>
      </w:r>
      <w:r w:rsidR="00BA6CB4">
        <w:rPr>
          <w:rFonts w:ascii="Times New Roman" w:hAnsi="Times New Roman" w:cs="Times New Roman"/>
          <w:sz w:val="24"/>
          <w:szCs w:val="24"/>
        </w:rPr>
        <w:t xml:space="preserve"> This Treaty also imposed an obligation on the Union to accede to the ECHR.</w:t>
      </w:r>
      <w:r w:rsidR="00BA6CB4">
        <w:rPr>
          <w:rStyle w:val="FootnoteReference"/>
          <w:rFonts w:ascii="Times New Roman" w:hAnsi="Times New Roman" w:cs="Times New Roman"/>
          <w:sz w:val="24"/>
          <w:szCs w:val="24"/>
        </w:rPr>
        <w:footnoteReference w:id="79"/>
      </w:r>
      <w:r w:rsidR="00BA6CB4">
        <w:rPr>
          <w:rFonts w:ascii="Times New Roman" w:hAnsi="Times New Roman" w:cs="Times New Roman"/>
          <w:sz w:val="24"/>
          <w:szCs w:val="24"/>
        </w:rPr>
        <w:t xml:space="preserve"> </w:t>
      </w:r>
      <w:r>
        <w:rPr>
          <w:rFonts w:ascii="Times New Roman" w:hAnsi="Times New Roman" w:cs="Times New Roman"/>
          <w:sz w:val="24"/>
          <w:szCs w:val="24"/>
        </w:rPr>
        <w:t xml:space="preserve"> </w:t>
      </w:r>
      <w:r w:rsidR="00CF267F">
        <w:rPr>
          <w:rFonts w:ascii="Times New Roman" w:hAnsi="Times New Roman" w:cs="Times New Roman"/>
          <w:sz w:val="24"/>
          <w:szCs w:val="24"/>
        </w:rPr>
        <w:t xml:space="preserve"> </w:t>
      </w:r>
    </w:p>
    <w:p w14:paraId="2F4869F8" w14:textId="77777777" w:rsidR="00325D47" w:rsidRPr="00325D47" w:rsidRDefault="00325D47" w:rsidP="00325D47">
      <w:pPr>
        <w:pStyle w:val="NoSpacing"/>
        <w:jc w:val="both"/>
        <w:rPr>
          <w:rFonts w:ascii="Times New Roman" w:hAnsi="Times New Roman" w:cs="Times New Roman"/>
          <w:sz w:val="24"/>
          <w:szCs w:val="24"/>
        </w:rPr>
      </w:pPr>
    </w:p>
    <w:p w14:paraId="08160D23" w14:textId="77777777" w:rsidR="00273C4A" w:rsidRPr="0057679E" w:rsidRDefault="008F736A" w:rsidP="00972529">
      <w:pPr>
        <w:pStyle w:val="NoSpacing"/>
        <w:jc w:val="both"/>
        <w:rPr>
          <w:rFonts w:ascii="Times New Roman" w:hAnsi="Times New Roman" w:cs="Times New Roman"/>
          <w:b/>
          <w:i/>
          <w:sz w:val="24"/>
          <w:szCs w:val="24"/>
        </w:rPr>
      </w:pPr>
      <w:r>
        <w:rPr>
          <w:rFonts w:ascii="Times New Roman" w:hAnsi="Times New Roman" w:cs="Times New Roman"/>
          <w:sz w:val="24"/>
          <w:szCs w:val="24"/>
        </w:rPr>
        <w:t>However, these developments in EU fundamental rights pr</w:t>
      </w:r>
      <w:r w:rsidR="007C591B">
        <w:rPr>
          <w:rFonts w:ascii="Times New Roman" w:hAnsi="Times New Roman" w:cs="Times New Roman"/>
          <w:sz w:val="24"/>
          <w:szCs w:val="24"/>
        </w:rPr>
        <w:t>otection</w:t>
      </w:r>
      <w:r w:rsidR="0057679E">
        <w:rPr>
          <w:rFonts w:ascii="Times New Roman" w:hAnsi="Times New Roman" w:cs="Times New Roman"/>
          <w:sz w:val="24"/>
          <w:szCs w:val="24"/>
        </w:rPr>
        <w:t xml:space="preserve"> do not make a definitive</w:t>
      </w:r>
      <w:r w:rsidR="00D34E64">
        <w:rPr>
          <w:rFonts w:ascii="Times New Roman" w:hAnsi="Times New Roman" w:cs="Times New Roman"/>
          <w:sz w:val="24"/>
          <w:szCs w:val="24"/>
        </w:rPr>
        <w:t xml:space="preserve"> contribution to our understanding of their relationship with free movement.</w:t>
      </w:r>
      <w:r w:rsidR="00F96ADC">
        <w:rPr>
          <w:rFonts w:ascii="Times New Roman" w:hAnsi="Times New Roman" w:cs="Times New Roman"/>
          <w:sz w:val="24"/>
          <w:szCs w:val="24"/>
        </w:rPr>
        <w:t xml:space="preserve"> The free movement chapters still make no reference to f</w:t>
      </w:r>
      <w:r w:rsidR="007C591B">
        <w:rPr>
          <w:rFonts w:ascii="Times New Roman" w:hAnsi="Times New Roman" w:cs="Times New Roman"/>
          <w:sz w:val="24"/>
          <w:szCs w:val="24"/>
        </w:rPr>
        <w:t>undamental rights. Moreover</w:t>
      </w:r>
      <w:r w:rsidR="00F96ADC">
        <w:rPr>
          <w:rFonts w:ascii="Times New Roman" w:hAnsi="Times New Roman" w:cs="Times New Roman"/>
          <w:sz w:val="24"/>
          <w:szCs w:val="24"/>
        </w:rPr>
        <w:t>, though</w:t>
      </w:r>
      <w:r w:rsidR="00EB31C0">
        <w:rPr>
          <w:rFonts w:ascii="Times New Roman" w:hAnsi="Times New Roman" w:cs="Times New Roman"/>
          <w:sz w:val="24"/>
          <w:szCs w:val="24"/>
        </w:rPr>
        <w:t xml:space="preserve"> the</w:t>
      </w:r>
      <w:r w:rsidR="00F96ADC">
        <w:rPr>
          <w:rFonts w:ascii="Times New Roman" w:hAnsi="Times New Roman" w:cs="Times New Roman"/>
          <w:sz w:val="24"/>
          <w:szCs w:val="24"/>
        </w:rPr>
        <w:t xml:space="preserve"> EU’s commitment to fundamental rights is emphasised in a variety of ways – for instance, through the general principles, the Charter, and the obligation to accede to the Convention – the content of Article 6 TEU does not offer fundamental rights the same compelling structure and format as the market freedoms. </w:t>
      </w:r>
      <w:r w:rsidR="00273C4A">
        <w:rPr>
          <w:rFonts w:ascii="Times New Roman" w:hAnsi="Times New Roman" w:cs="Times New Roman"/>
          <w:sz w:val="24"/>
          <w:szCs w:val="24"/>
        </w:rPr>
        <w:t>In particular, following the failure of the Constitutional Treaty, the Charter is not contained within the main Treaty text. Further, the Charter’s differentiation between rights and principles would appear to be an attempt to reduce the direct effect of some of its fundamental rights provisions.</w:t>
      </w:r>
      <w:r w:rsidR="00273C4A">
        <w:rPr>
          <w:rStyle w:val="FootnoteReference"/>
          <w:rFonts w:ascii="Times New Roman" w:hAnsi="Times New Roman" w:cs="Times New Roman"/>
          <w:sz w:val="24"/>
          <w:szCs w:val="24"/>
        </w:rPr>
        <w:footnoteReference w:id="80"/>
      </w:r>
      <w:r w:rsidR="00273C4A">
        <w:rPr>
          <w:rFonts w:ascii="Times New Roman" w:hAnsi="Times New Roman" w:cs="Times New Roman"/>
          <w:sz w:val="24"/>
          <w:szCs w:val="24"/>
        </w:rPr>
        <w:t xml:space="preserve"> </w:t>
      </w:r>
    </w:p>
    <w:p w14:paraId="5102BA7A" w14:textId="77777777" w:rsidR="00273C4A" w:rsidRDefault="00273C4A" w:rsidP="00972529">
      <w:pPr>
        <w:pStyle w:val="NoSpacing"/>
        <w:jc w:val="both"/>
        <w:rPr>
          <w:rFonts w:ascii="Times New Roman" w:hAnsi="Times New Roman" w:cs="Times New Roman"/>
          <w:sz w:val="24"/>
          <w:szCs w:val="24"/>
        </w:rPr>
      </w:pPr>
    </w:p>
    <w:p w14:paraId="70B8AE16" w14:textId="618DC89E" w:rsidR="008F736A" w:rsidRDefault="00F96ADC" w:rsidP="00972529">
      <w:pPr>
        <w:pStyle w:val="NoSpacing"/>
        <w:jc w:val="both"/>
        <w:rPr>
          <w:rFonts w:ascii="Times New Roman" w:hAnsi="Times New Roman" w:cs="Times New Roman"/>
          <w:sz w:val="24"/>
          <w:szCs w:val="24"/>
        </w:rPr>
      </w:pPr>
      <w:r>
        <w:rPr>
          <w:rFonts w:ascii="Times New Roman" w:hAnsi="Times New Roman" w:cs="Times New Roman"/>
          <w:sz w:val="24"/>
          <w:szCs w:val="24"/>
        </w:rPr>
        <w:t xml:space="preserve">Of course, Article </w:t>
      </w:r>
      <w:r w:rsidR="00EB31C0">
        <w:rPr>
          <w:rFonts w:ascii="Times New Roman" w:hAnsi="Times New Roman" w:cs="Times New Roman"/>
          <w:sz w:val="24"/>
          <w:szCs w:val="24"/>
        </w:rPr>
        <w:t>52</w:t>
      </w:r>
      <w:r w:rsidR="00F1687C">
        <w:rPr>
          <w:rFonts w:ascii="Times New Roman" w:hAnsi="Times New Roman" w:cs="Times New Roman"/>
          <w:sz w:val="24"/>
          <w:szCs w:val="24"/>
        </w:rPr>
        <w:t>(1)</w:t>
      </w:r>
      <w:r w:rsidR="00EB31C0">
        <w:rPr>
          <w:rFonts w:ascii="Times New Roman" w:hAnsi="Times New Roman" w:cs="Times New Roman"/>
          <w:sz w:val="24"/>
          <w:szCs w:val="24"/>
        </w:rPr>
        <w:t xml:space="preserve"> CFR requires that any limitation of Charter rights be provided for in law, respect the essence of the relevant right, and meet the requirements of proportionality. This suggests a procedural preference for fundamental rights in their interactions with </w:t>
      </w:r>
      <w:r w:rsidR="00F1687C">
        <w:rPr>
          <w:rFonts w:ascii="Times New Roman" w:hAnsi="Times New Roman" w:cs="Times New Roman"/>
          <w:sz w:val="24"/>
          <w:szCs w:val="24"/>
        </w:rPr>
        <w:t>public</w:t>
      </w:r>
      <w:r w:rsidR="00EB31C0">
        <w:rPr>
          <w:rFonts w:ascii="Times New Roman" w:hAnsi="Times New Roman" w:cs="Times New Roman"/>
          <w:sz w:val="24"/>
          <w:szCs w:val="24"/>
        </w:rPr>
        <w:t xml:space="preserve"> interests similar to the breach/justification methodology used in relation to free movement. </w:t>
      </w:r>
      <w:r w:rsidR="00EB31C0">
        <w:rPr>
          <w:rFonts w:ascii="Times New Roman" w:hAnsi="Times New Roman" w:cs="Times New Roman"/>
          <w:sz w:val="24"/>
          <w:szCs w:val="24"/>
        </w:rPr>
        <w:lastRenderedPageBreak/>
        <w:t>Indeed, such an adjudicative approach</w:t>
      </w:r>
      <w:r w:rsidR="007F156D">
        <w:rPr>
          <w:rFonts w:ascii="Times New Roman" w:hAnsi="Times New Roman" w:cs="Times New Roman"/>
          <w:sz w:val="24"/>
          <w:szCs w:val="24"/>
        </w:rPr>
        <w:t>, especially in the post-Lisbon era,</w:t>
      </w:r>
      <w:r w:rsidR="00EB31C0">
        <w:rPr>
          <w:rFonts w:ascii="Times New Roman" w:hAnsi="Times New Roman" w:cs="Times New Roman"/>
          <w:sz w:val="24"/>
          <w:szCs w:val="24"/>
        </w:rPr>
        <w:t xml:space="preserve"> is frequently visible in the Court’s case-law on the validity</w:t>
      </w:r>
      <w:r w:rsidR="00F84514">
        <w:rPr>
          <w:rFonts w:ascii="Times New Roman" w:hAnsi="Times New Roman" w:cs="Times New Roman"/>
          <w:sz w:val="24"/>
          <w:szCs w:val="24"/>
        </w:rPr>
        <w:t xml:space="preserve"> or interpretation</w:t>
      </w:r>
      <w:r w:rsidR="00EB31C0">
        <w:rPr>
          <w:rFonts w:ascii="Times New Roman" w:hAnsi="Times New Roman" w:cs="Times New Roman"/>
          <w:sz w:val="24"/>
          <w:szCs w:val="24"/>
        </w:rPr>
        <w:t xml:space="preserve"> of secondary legislation.</w:t>
      </w:r>
      <w:r w:rsidR="00EB31C0">
        <w:rPr>
          <w:rStyle w:val="FootnoteReference"/>
          <w:rFonts w:ascii="Times New Roman" w:hAnsi="Times New Roman" w:cs="Times New Roman"/>
          <w:sz w:val="24"/>
          <w:szCs w:val="24"/>
        </w:rPr>
        <w:footnoteReference w:id="81"/>
      </w:r>
      <w:r w:rsidR="00F1687C">
        <w:rPr>
          <w:rFonts w:ascii="Times New Roman" w:hAnsi="Times New Roman" w:cs="Times New Roman"/>
          <w:sz w:val="24"/>
          <w:szCs w:val="24"/>
        </w:rPr>
        <w:t xml:space="preserve"> However, Article 52 CFR is less useful in respect of the relationship between free movement and fundamental rights, first, because the Charter’s preamble itself reiterates the Union’s commitment to ensuring the free movement of goods, services, persons, establishment and capital. Moreover, it explicitly presents the free movement of services and establishment,</w:t>
      </w:r>
      <w:r w:rsidR="00F1687C">
        <w:rPr>
          <w:rStyle w:val="FootnoteReference"/>
          <w:rFonts w:ascii="Times New Roman" w:hAnsi="Times New Roman" w:cs="Times New Roman"/>
          <w:sz w:val="24"/>
          <w:szCs w:val="24"/>
        </w:rPr>
        <w:footnoteReference w:id="82"/>
      </w:r>
      <w:r w:rsidR="00F1687C">
        <w:rPr>
          <w:rFonts w:ascii="Times New Roman" w:hAnsi="Times New Roman" w:cs="Times New Roman"/>
          <w:sz w:val="24"/>
          <w:szCs w:val="24"/>
        </w:rPr>
        <w:t xml:space="preserve"> and the freedom to move and reside freely within the territory of the Member States</w:t>
      </w:r>
      <w:r w:rsidR="00F1687C">
        <w:rPr>
          <w:rStyle w:val="FootnoteReference"/>
          <w:rFonts w:ascii="Times New Roman" w:hAnsi="Times New Roman" w:cs="Times New Roman"/>
          <w:sz w:val="24"/>
          <w:szCs w:val="24"/>
        </w:rPr>
        <w:footnoteReference w:id="83"/>
      </w:r>
      <w:r w:rsidR="00F1687C">
        <w:rPr>
          <w:rFonts w:ascii="Times New Roman" w:hAnsi="Times New Roman" w:cs="Times New Roman"/>
          <w:sz w:val="24"/>
          <w:szCs w:val="24"/>
        </w:rPr>
        <w:t xml:space="preserve"> as Charter rights for Union citizens. Secondly, Art.51 CFR unambiguously re-emphasises the principle of attributed powers</w:t>
      </w:r>
      <w:r w:rsidR="00273C4A">
        <w:rPr>
          <w:rFonts w:ascii="Times New Roman" w:hAnsi="Times New Roman" w:cs="Times New Roman"/>
          <w:sz w:val="24"/>
          <w:szCs w:val="24"/>
        </w:rPr>
        <w:t xml:space="preserve"> in the specific context of fundamental rights, laid down more generally in Article 4 TEU. Accordingly, since the Union still has no general fundamental rights competence, the principle of attributed powers still requires a ‘hook’ to Union law to trigger EU fundamental rights competence. In the context of the market freedoms, this hook remains a </w:t>
      </w:r>
      <w:r w:rsidR="00273C4A">
        <w:rPr>
          <w:rFonts w:ascii="Times New Roman" w:hAnsi="Times New Roman" w:cs="Times New Roman"/>
          <w:i/>
          <w:sz w:val="24"/>
          <w:szCs w:val="24"/>
        </w:rPr>
        <w:t>prima facie</w:t>
      </w:r>
      <w:r w:rsidR="00273C4A">
        <w:rPr>
          <w:rFonts w:ascii="Times New Roman" w:hAnsi="Times New Roman" w:cs="Times New Roman"/>
          <w:sz w:val="24"/>
          <w:szCs w:val="24"/>
        </w:rPr>
        <w:t xml:space="preserve"> breach of a free movement provision. Consequently, fundamental rights fall within the existing, historically entrenched, structures of the internal market. They must find their place within the transformed environment of free movement law, in which there is still no specific legislative provision to deal with this kind of interaction.</w:t>
      </w:r>
      <w:r w:rsidR="00AB768F">
        <w:rPr>
          <w:rFonts w:ascii="Times New Roman" w:hAnsi="Times New Roman" w:cs="Times New Roman"/>
          <w:sz w:val="24"/>
          <w:szCs w:val="24"/>
        </w:rPr>
        <w:t xml:space="preserve"> This leads to the obvious question of what place fundamental rights have eventually found.</w:t>
      </w:r>
      <w:r w:rsidR="00273C4A">
        <w:rPr>
          <w:rFonts w:ascii="Times New Roman" w:hAnsi="Times New Roman" w:cs="Times New Roman"/>
          <w:sz w:val="24"/>
          <w:szCs w:val="24"/>
        </w:rPr>
        <w:t xml:space="preserve">  </w:t>
      </w:r>
      <w:r w:rsidR="00F1687C">
        <w:rPr>
          <w:rFonts w:ascii="Times New Roman" w:hAnsi="Times New Roman" w:cs="Times New Roman"/>
          <w:sz w:val="24"/>
          <w:szCs w:val="24"/>
        </w:rPr>
        <w:t xml:space="preserve"> </w:t>
      </w:r>
      <w:r w:rsidR="00EB31C0">
        <w:rPr>
          <w:rFonts w:ascii="Times New Roman" w:hAnsi="Times New Roman" w:cs="Times New Roman"/>
          <w:sz w:val="24"/>
          <w:szCs w:val="24"/>
        </w:rPr>
        <w:t xml:space="preserve"> </w:t>
      </w:r>
    </w:p>
    <w:p w14:paraId="77FB850A" w14:textId="77777777" w:rsidR="00AF27FB" w:rsidRDefault="00AF27FB" w:rsidP="00972529">
      <w:pPr>
        <w:pStyle w:val="NoSpacing"/>
        <w:jc w:val="both"/>
        <w:rPr>
          <w:rFonts w:ascii="Times New Roman" w:hAnsi="Times New Roman" w:cs="Times New Roman"/>
          <w:sz w:val="24"/>
          <w:szCs w:val="24"/>
        </w:rPr>
      </w:pPr>
    </w:p>
    <w:p w14:paraId="072BC500" w14:textId="77777777" w:rsidR="00AB768F" w:rsidRDefault="00AB768F" w:rsidP="00972529">
      <w:pPr>
        <w:pStyle w:val="NoSpacing"/>
        <w:jc w:val="both"/>
        <w:rPr>
          <w:rFonts w:ascii="Times New Roman" w:hAnsi="Times New Roman" w:cs="Times New Roman"/>
          <w:sz w:val="24"/>
          <w:szCs w:val="24"/>
        </w:rPr>
      </w:pPr>
    </w:p>
    <w:p w14:paraId="353147EC" w14:textId="77777777" w:rsidR="00AB768F" w:rsidRDefault="00AB768F" w:rsidP="00AB768F">
      <w:pPr>
        <w:pStyle w:val="NoSpacing"/>
        <w:numPr>
          <w:ilvl w:val="0"/>
          <w:numId w:val="2"/>
        </w:numPr>
        <w:jc w:val="both"/>
        <w:rPr>
          <w:rFonts w:ascii="Times New Roman" w:hAnsi="Times New Roman" w:cs="Times New Roman"/>
          <w:b/>
          <w:sz w:val="24"/>
          <w:szCs w:val="24"/>
        </w:rPr>
      </w:pPr>
      <w:r>
        <w:rPr>
          <w:rFonts w:ascii="Times New Roman" w:hAnsi="Times New Roman" w:cs="Times New Roman"/>
          <w:b/>
          <w:sz w:val="24"/>
          <w:szCs w:val="24"/>
        </w:rPr>
        <w:t>The emergence of the structural prioritisation of free movement over fundamental rights</w:t>
      </w:r>
    </w:p>
    <w:p w14:paraId="3EA1080B" w14:textId="77777777" w:rsidR="009E3E50" w:rsidRDefault="009E3E50" w:rsidP="009E3E50">
      <w:pPr>
        <w:pStyle w:val="NoSpacing"/>
        <w:jc w:val="both"/>
        <w:rPr>
          <w:rFonts w:ascii="Times New Roman" w:hAnsi="Times New Roman" w:cs="Times New Roman"/>
          <w:b/>
          <w:sz w:val="24"/>
          <w:szCs w:val="24"/>
        </w:rPr>
      </w:pPr>
    </w:p>
    <w:p w14:paraId="58B8B405" w14:textId="77777777" w:rsidR="00592C7F" w:rsidRDefault="009E3E50" w:rsidP="009E3E50">
      <w:pPr>
        <w:pStyle w:val="NoSpacing"/>
        <w:jc w:val="both"/>
        <w:rPr>
          <w:rFonts w:ascii="Times New Roman" w:hAnsi="Times New Roman" w:cs="Times New Roman"/>
          <w:sz w:val="24"/>
          <w:szCs w:val="24"/>
        </w:rPr>
      </w:pPr>
      <w:r>
        <w:rPr>
          <w:rFonts w:ascii="Times New Roman" w:hAnsi="Times New Roman" w:cs="Times New Roman"/>
          <w:sz w:val="24"/>
          <w:szCs w:val="24"/>
        </w:rPr>
        <w:t>When taken together, the historical evolutions of both free movement and Union fundamen</w:t>
      </w:r>
      <w:r w:rsidR="00592C7F">
        <w:rPr>
          <w:rFonts w:ascii="Times New Roman" w:hAnsi="Times New Roman" w:cs="Times New Roman"/>
          <w:sz w:val="24"/>
          <w:szCs w:val="24"/>
        </w:rPr>
        <w:t xml:space="preserve">tal rights law </w:t>
      </w:r>
      <w:r>
        <w:rPr>
          <w:rFonts w:ascii="Times New Roman" w:hAnsi="Times New Roman" w:cs="Times New Roman"/>
          <w:sz w:val="24"/>
          <w:szCs w:val="24"/>
        </w:rPr>
        <w:t xml:space="preserve">evolve into a more problematic set of legal relationships when these two </w:t>
      </w:r>
      <w:r w:rsidR="00A60B93">
        <w:rPr>
          <w:rFonts w:ascii="Times New Roman" w:hAnsi="Times New Roman" w:cs="Times New Roman"/>
          <w:sz w:val="24"/>
          <w:szCs w:val="24"/>
        </w:rPr>
        <w:t>types of norm</w:t>
      </w:r>
      <w:r>
        <w:rPr>
          <w:rFonts w:ascii="Times New Roman" w:hAnsi="Times New Roman" w:cs="Times New Roman"/>
          <w:sz w:val="24"/>
          <w:szCs w:val="24"/>
        </w:rPr>
        <w:t xml:space="preserve"> collide. </w:t>
      </w:r>
      <w:r w:rsidR="000944CA">
        <w:rPr>
          <w:rFonts w:ascii="Times New Roman" w:hAnsi="Times New Roman" w:cs="Times New Roman"/>
          <w:sz w:val="24"/>
          <w:szCs w:val="24"/>
        </w:rPr>
        <w:t>Th</w:t>
      </w:r>
      <w:r w:rsidR="00592C7F">
        <w:rPr>
          <w:rFonts w:ascii="Times New Roman" w:hAnsi="Times New Roman" w:cs="Times New Roman"/>
          <w:sz w:val="24"/>
          <w:szCs w:val="24"/>
        </w:rPr>
        <w:t xml:space="preserve">is section presents the developments outlined above – such as the expansion in the scope of free movement and the extension of its reach through the twin forces of direct effect and effective judicial protection - as constitutional drivers of an uneven approach to the adjudication of conflicts between free movement and fundamental rights. Though these </w:t>
      </w:r>
      <w:r w:rsidR="000944CA">
        <w:rPr>
          <w:rFonts w:ascii="Times New Roman" w:hAnsi="Times New Roman" w:cs="Times New Roman"/>
          <w:sz w:val="24"/>
          <w:szCs w:val="24"/>
        </w:rPr>
        <w:t>constitutional drivers are clearly central to the achievement of a common market and</w:t>
      </w:r>
      <w:r w:rsidR="00136EF5">
        <w:rPr>
          <w:rFonts w:ascii="Times New Roman" w:hAnsi="Times New Roman" w:cs="Times New Roman"/>
          <w:sz w:val="24"/>
          <w:szCs w:val="24"/>
        </w:rPr>
        <w:t xml:space="preserve"> to the</w:t>
      </w:r>
      <w:r w:rsidR="000944CA">
        <w:rPr>
          <w:rFonts w:ascii="Times New Roman" w:hAnsi="Times New Roman" w:cs="Times New Roman"/>
          <w:sz w:val="24"/>
          <w:szCs w:val="24"/>
        </w:rPr>
        <w:t xml:space="preserve"> wider constitutional development of the Union, their impact on the free movement/funda</w:t>
      </w:r>
      <w:r w:rsidR="00136EF5">
        <w:rPr>
          <w:rFonts w:ascii="Times New Roman" w:hAnsi="Times New Roman" w:cs="Times New Roman"/>
          <w:sz w:val="24"/>
          <w:szCs w:val="24"/>
        </w:rPr>
        <w:t xml:space="preserve">mental rights dynamic is no </w:t>
      </w:r>
      <w:r w:rsidR="000944CA">
        <w:rPr>
          <w:rFonts w:ascii="Times New Roman" w:hAnsi="Times New Roman" w:cs="Times New Roman"/>
          <w:sz w:val="24"/>
          <w:szCs w:val="24"/>
        </w:rPr>
        <w:t xml:space="preserve">less relevant for that. </w:t>
      </w:r>
    </w:p>
    <w:p w14:paraId="478A729F" w14:textId="77777777" w:rsidR="00592C7F" w:rsidRDefault="00592C7F" w:rsidP="009E3E50">
      <w:pPr>
        <w:pStyle w:val="NoSpacing"/>
        <w:jc w:val="both"/>
        <w:rPr>
          <w:rFonts w:ascii="Times New Roman" w:hAnsi="Times New Roman" w:cs="Times New Roman"/>
          <w:sz w:val="24"/>
          <w:szCs w:val="24"/>
        </w:rPr>
      </w:pPr>
    </w:p>
    <w:p w14:paraId="42BE69A2" w14:textId="6ADC5C20" w:rsidR="009E3E50" w:rsidRPr="009E3E50" w:rsidRDefault="00592C7F" w:rsidP="009E3E50">
      <w:pPr>
        <w:pStyle w:val="NoSpacing"/>
        <w:jc w:val="both"/>
        <w:rPr>
          <w:rFonts w:ascii="Times New Roman" w:hAnsi="Times New Roman" w:cs="Times New Roman"/>
          <w:sz w:val="24"/>
          <w:szCs w:val="24"/>
        </w:rPr>
      </w:pPr>
      <w:r>
        <w:rPr>
          <w:rFonts w:ascii="Times New Roman" w:hAnsi="Times New Roman" w:cs="Times New Roman"/>
          <w:sz w:val="24"/>
          <w:szCs w:val="24"/>
        </w:rPr>
        <w:t>Specifically, the</w:t>
      </w:r>
      <w:r w:rsidR="009E3E50">
        <w:rPr>
          <w:rFonts w:ascii="Times New Roman" w:hAnsi="Times New Roman" w:cs="Times New Roman"/>
          <w:sz w:val="24"/>
          <w:szCs w:val="24"/>
        </w:rPr>
        <w:t xml:space="preserve"> section will outline t</w:t>
      </w:r>
      <w:r>
        <w:rPr>
          <w:rFonts w:ascii="Times New Roman" w:hAnsi="Times New Roman" w:cs="Times New Roman"/>
          <w:sz w:val="24"/>
          <w:szCs w:val="24"/>
        </w:rPr>
        <w:t>he outcome of these evolutions</w:t>
      </w:r>
      <w:r w:rsidR="009E3E50">
        <w:rPr>
          <w:rFonts w:ascii="Times New Roman" w:hAnsi="Times New Roman" w:cs="Times New Roman"/>
          <w:sz w:val="24"/>
          <w:szCs w:val="24"/>
        </w:rPr>
        <w:t xml:space="preserve">, first, in terms of the quantitative increase in the frequency with which free movement and fundamental rights will collide. More importantly, it will also demonstrate that the qualitative nature of interactions between the free movement provisions and domestic rules have changed beyond recognition. Crucially, however, this qualitative change has not been matched by the alteration of the Court’s adjudicative approach to resolving tensions between the market freedoms and opposing law, policy and activity, with the result that it is much easier to establish a breach of free movement than it is to demonstrate the justified protection or exercise of fundamental rights. This can lead to a number of potentially serious consequences for the safeguarding of fundamental rights when they come into conflict with free movement.   </w:t>
      </w:r>
    </w:p>
    <w:p w14:paraId="1DE74B50" w14:textId="77777777" w:rsidR="003E5F27" w:rsidRDefault="003E5F27" w:rsidP="003E5F27">
      <w:pPr>
        <w:pStyle w:val="NoSpacing"/>
        <w:jc w:val="both"/>
        <w:rPr>
          <w:rFonts w:ascii="Times New Roman" w:hAnsi="Times New Roman" w:cs="Times New Roman"/>
          <w:b/>
          <w:sz w:val="24"/>
          <w:szCs w:val="24"/>
        </w:rPr>
      </w:pPr>
    </w:p>
    <w:p w14:paraId="4D40FF46" w14:textId="77777777" w:rsidR="003A259F" w:rsidRDefault="003A259F" w:rsidP="003E5F27">
      <w:pPr>
        <w:pStyle w:val="NoSpacing"/>
        <w:jc w:val="both"/>
        <w:rPr>
          <w:rFonts w:ascii="Times New Roman" w:hAnsi="Times New Roman" w:cs="Times New Roman"/>
          <w:b/>
          <w:sz w:val="24"/>
          <w:szCs w:val="24"/>
        </w:rPr>
      </w:pPr>
    </w:p>
    <w:p w14:paraId="518DF7A5" w14:textId="77777777" w:rsidR="003E5F27" w:rsidRDefault="003E5F27" w:rsidP="003E5F27">
      <w:pPr>
        <w:pStyle w:val="NoSpacing"/>
        <w:numPr>
          <w:ilvl w:val="1"/>
          <w:numId w:val="2"/>
        </w:numPr>
        <w:jc w:val="both"/>
        <w:rPr>
          <w:rFonts w:ascii="Times New Roman" w:hAnsi="Times New Roman" w:cs="Times New Roman"/>
          <w:b/>
          <w:i/>
          <w:sz w:val="24"/>
          <w:szCs w:val="24"/>
        </w:rPr>
      </w:pPr>
      <w:r>
        <w:rPr>
          <w:rFonts w:ascii="Times New Roman" w:hAnsi="Times New Roman" w:cs="Times New Roman"/>
          <w:b/>
          <w:i/>
          <w:sz w:val="24"/>
          <w:szCs w:val="24"/>
        </w:rPr>
        <w:t>A quantitative explosion in the level of contact between free movement and fundamental rights</w:t>
      </w:r>
    </w:p>
    <w:p w14:paraId="4E625F44" w14:textId="77777777" w:rsidR="008E4CF7" w:rsidRDefault="008E4CF7" w:rsidP="008E4CF7">
      <w:pPr>
        <w:pStyle w:val="NoSpacing"/>
        <w:jc w:val="both"/>
        <w:rPr>
          <w:rFonts w:ascii="Times New Roman" w:hAnsi="Times New Roman" w:cs="Times New Roman"/>
          <w:b/>
          <w:i/>
          <w:sz w:val="24"/>
          <w:szCs w:val="24"/>
        </w:rPr>
      </w:pPr>
    </w:p>
    <w:p w14:paraId="2EED83E1" w14:textId="77777777" w:rsidR="00C15E06" w:rsidRDefault="00BE7671" w:rsidP="008E4CF7">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expansion of the scope and reach of the free movement provisions, described in section three, has resulted in a quantitative explosion in the volume of clashes between free movement and fundamental rights. Thus, </w:t>
      </w:r>
      <w:r w:rsidR="00DF4AAB">
        <w:rPr>
          <w:rFonts w:ascii="Times New Roman" w:hAnsi="Times New Roman" w:cs="Times New Roman"/>
          <w:sz w:val="24"/>
          <w:szCs w:val="24"/>
        </w:rPr>
        <w:t>the conflict between the free movement of goods and the fundamental right to freedom of expression,</w:t>
      </w:r>
      <w:r w:rsidR="007342C2">
        <w:rPr>
          <w:rFonts w:ascii="Times New Roman" w:hAnsi="Times New Roman" w:cs="Times New Roman"/>
          <w:sz w:val="24"/>
          <w:szCs w:val="24"/>
        </w:rPr>
        <w:t xml:space="preserve"> in </w:t>
      </w:r>
      <w:r w:rsidR="007342C2">
        <w:rPr>
          <w:rFonts w:ascii="Times New Roman" w:hAnsi="Times New Roman" w:cs="Times New Roman"/>
          <w:i/>
          <w:sz w:val="24"/>
          <w:szCs w:val="24"/>
        </w:rPr>
        <w:t>Familiapress</w:t>
      </w:r>
      <w:r w:rsidR="007342C2">
        <w:rPr>
          <w:rFonts w:ascii="Times New Roman" w:hAnsi="Times New Roman" w:cs="Times New Roman"/>
          <w:sz w:val="24"/>
          <w:szCs w:val="24"/>
        </w:rPr>
        <w:t>,</w:t>
      </w:r>
      <w:r w:rsidR="005E4D96">
        <w:rPr>
          <w:rStyle w:val="FootnoteReference"/>
          <w:rFonts w:ascii="Times New Roman" w:hAnsi="Times New Roman" w:cs="Times New Roman"/>
          <w:sz w:val="24"/>
          <w:szCs w:val="24"/>
        </w:rPr>
        <w:footnoteReference w:id="84"/>
      </w:r>
      <w:r w:rsidR="00DF4AAB">
        <w:rPr>
          <w:rFonts w:ascii="Times New Roman" w:hAnsi="Times New Roman" w:cs="Times New Roman"/>
          <w:sz w:val="24"/>
          <w:szCs w:val="24"/>
        </w:rPr>
        <w:t xml:space="preserve"> or the free provision of services and the </w:t>
      </w:r>
      <w:r w:rsidR="007342C2">
        <w:rPr>
          <w:rFonts w:ascii="Times New Roman" w:hAnsi="Times New Roman" w:cs="Times New Roman"/>
          <w:sz w:val="24"/>
          <w:szCs w:val="24"/>
        </w:rPr>
        <w:t xml:space="preserve">fundamental right to human dignity, in </w:t>
      </w:r>
      <w:r w:rsidR="007342C2">
        <w:rPr>
          <w:rFonts w:ascii="Times New Roman" w:hAnsi="Times New Roman" w:cs="Times New Roman"/>
          <w:i/>
          <w:sz w:val="24"/>
          <w:szCs w:val="24"/>
        </w:rPr>
        <w:t>Omega</w:t>
      </w:r>
      <w:r w:rsidR="007342C2">
        <w:rPr>
          <w:rFonts w:ascii="Times New Roman" w:hAnsi="Times New Roman" w:cs="Times New Roman"/>
          <w:sz w:val="24"/>
          <w:szCs w:val="24"/>
        </w:rPr>
        <w:t>,</w:t>
      </w:r>
      <w:r w:rsidR="005E4D96">
        <w:rPr>
          <w:rStyle w:val="FootnoteReference"/>
          <w:rFonts w:ascii="Times New Roman" w:hAnsi="Times New Roman" w:cs="Times New Roman"/>
          <w:sz w:val="24"/>
          <w:szCs w:val="24"/>
        </w:rPr>
        <w:footnoteReference w:id="85"/>
      </w:r>
      <w:r w:rsidR="007342C2">
        <w:rPr>
          <w:rFonts w:ascii="Times New Roman" w:hAnsi="Times New Roman" w:cs="Times New Roman"/>
          <w:sz w:val="24"/>
          <w:szCs w:val="24"/>
        </w:rPr>
        <w:t xml:space="preserve"> would not have been possible without the introduction of the dual regulatory burden test in </w:t>
      </w:r>
      <w:r w:rsidR="007342C2">
        <w:rPr>
          <w:rFonts w:ascii="Times New Roman" w:hAnsi="Times New Roman" w:cs="Times New Roman"/>
          <w:i/>
          <w:sz w:val="24"/>
          <w:szCs w:val="24"/>
        </w:rPr>
        <w:t>Cassis</w:t>
      </w:r>
      <w:r w:rsidR="007342C2">
        <w:rPr>
          <w:rFonts w:ascii="Times New Roman" w:hAnsi="Times New Roman" w:cs="Times New Roman"/>
          <w:sz w:val="24"/>
          <w:szCs w:val="24"/>
        </w:rPr>
        <w:t xml:space="preserve">. Similarly, the clash between the freedoms of establishment and services and the fundamental right to strike, in </w:t>
      </w:r>
      <w:r w:rsidR="007342C2">
        <w:rPr>
          <w:rFonts w:ascii="Times New Roman" w:hAnsi="Times New Roman" w:cs="Times New Roman"/>
          <w:i/>
          <w:sz w:val="24"/>
          <w:szCs w:val="24"/>
        </w:rPr>
        <w:t>Viking</w:t>
      </w:r>
      <w:r w:rsidR="007342C2">
        <w:rPr>
          <w:rFonts w:ascii="Times New Roman" w:hAnsi="Times New Roman" w:cs="Times New Roman"/>
          <w:sz w:val="24"/>
          <w:szCs w:val="24"/>
        </w:rPr>
        <w:t xml:space="preserve"> and </w:t>
      </w:r>
      <w:r w:rsidR="007342C2">
        <w:rPr>
          <w:rFonts w:ascii="Times New Roman" w:hAnsi="Times New Roman" w:cs="Times New Roman"/>
          <w:i/>
          <w:sz w:val="24"/>
          <w:szCs w:val="24"/>
        </w:rPr>
        <w:t>Laval</w:t>
      </w:r>
      <w:r w:rsidR="007342C2">
        <w:rPr>
          <w:rFonts w:ascii="Times New Roman" w:hAnsi="Times New Roman" w:cs="Times New Roman"/>
          <w:sz w:val="24"/>
          <w:szCs w:val="24"/>
        </w:rPr>
        <w:t xml:space="preserve"> respectively,</w:t>
      </w:r>
      <w:r w:rsidR="005E4D96">
        <w:rPr>
          <w:rStyle w:val="FootnoteReference"/>
          <w:rFonts w:ascii="Times New Roman" w:hAnsi="Times New Roman" w:cs="Times New Roman"/>
          <w:sz w:val="24"/>
          <w:szCs w:val="24"/>
        </w:rPr>
        <w:footnoteReference w:id="86"/>
      </w:r>
      <w:r w:rsidR="007342C2">
        <w:rPr>
          <w:rFonts w:ascii="Times New Roman" w:hAnsi="Times New Roman" w:cs="Times New Roman"/>
          <w:sz w:val="24"/>
          <w:szCs w:val="24"/>
        </w:rPr>
        <w:t xml:space="preserve"> w</w:t>
      </w:r>
      <w:r w:rsidR="003A6F40">
        <w:rPr>
          <w:rFonts w:ascii="Times New Roman" w:hAnsi="Times New Roman" w:cs="Times New Roman"/>
          <w:sz w:val="24"/>
          <w:szCs w:val="24"/>
        </w:rPr>
        <w:t>ould not have occurred but for</w:t>
      </w:r>
      <w:r w:rsidR="007342C2">
        <w:rPr>
          <w:rFonts w:ascii="Times New Roman" w:hAnsi="Times New Roman" w:cs="Times New Roman"/>
          <w:sz w:val="24"/>
          <w:szCs w:val="24"/>
        </w:rPr>
        <w:t xml:space="preserve"> the extension of the material scope of Articles 49 and 56 TFEU to include restrictions to market access.</w:t>
      </w:r>
      <w:r w:rsidR="007342C2">
        <w:rPr>
          <w:rStyle w:val="FootnoteReference"/>
          <w:rFonts w:ascii="Times New Roman" w:hAnsi="Times New Roman" w:cs="Times New Roman"/>
          <w:sz w:val="24"/>
          <w:szCs w:val="24"/>
        </w:rPr>
        <w:footnoteReference w:id="87"/>
      </w:r>
      <w:r w:rsidR="003A6F40">
        <w:rPr>
          <w:rFonts w:ascii="Times New Roman" w:hAnsi="Times New Roman" w:cs="Times New Roman"/>
          <w:sz w:val="24"/>
          <w:szCs w:val="24"/>
        </w:rPr>
        <w:t xml:space="preserve"> The Austrian decision to permit environmental protestors to demonstrate on the Brenner motorway would not have engaged Article 34 TFEU on goods</w:t>
      </w:r>
      <w:r w:rsidR="005E4D96">
        <w:rPr>
          <w:rFonts w:ascii="Times New Roman" w:hAnsi="Times New Roman" w:cs="Times New Roman"/>
          <w:sz w:val="24"/>
          <w:szCs w:val="24"/>
        </w:rPr>
        <w:t xml:space="preserve">, in </w:t>
      </w:r>
      <w:r w:rsidR="005E4D96">
        <w:rPr>
          <w:rFonts w:ascii="Times New Roman" w:hAnsi="Times New Roman" w:cs="Times New Roman"/>
          <w:i/>
          <w:sz w:val="24"/>
          <w:szCs w:val="24"/>
        </w:rPr>
        <w:t>Schmidberger</w:t>
      </w:r>
      <w:r w:rsidR="005E4D96">
        <w:rPr>
          <w:rFonts w:ascii="Times New Roman" w:hAnsi="Times New Roman" w:cs="Times New Roman"/>
          <w:sz w:val="24"/>
          <w:szCs w:val="24"/>
        </w:rPr>
        <w:t>,</w:t>
      </w:r>
      <w:r w:rsidR="003A6F40">
        <w:rPr>
          <w:rFonts w:ascii="Times New Roman" w:hAnsi="Times New Roman" w:cs="Times New Roman"/>
          <w:sz w:val="24"/>
          <w:szCs w:val="24"/>
        </w:rPr>
        <w:t xml:space="preserve"> if it were not for the obligation that Member States take positive steps to promote free movement, as opposed to being under </w:t>
      </w:r>
      <w:r w:rsidR="004E3C9D">
        <w:rPr>
          <w:rFonts w:ascii="Times New Roman" w:hAnsi="Times New Roman" w:cs="Times New Roman"/>
          <w:sz w:val="24"/>
          <w:szCs w:val="24"/>
        </w:rPr>
        <w:t xml:space="preserve">only </w:t>
      </w:r>
      <w:r w:rsidR="003A6F40">
        <w:rPr>
          <w:rFonts w:ascii="Times New Roman" w:hAnsi="Times New Roman" w:cs="Times New Roman"/>
          <w:sz w:val="24"/>
          <w:szCs w:val="24"/>
        </w:rPr>
        <w:t>a negative obligation not to impose restrictions on cross-border trade.</w:t>
      </w:r>
      <w:r w:rsidR="005E4D96">
        <w:rPr>
          <w:rStyle w:val="FootnoteReference"/>
          <w:rFonts w:ascii="Times New Roman" w:hAnsi="Times New Roman" w:cs="Times New Roman"/>
          <w:sz w:val="24"/>
          <w:szCs w:val="24"/>
        </w:rPr>
        <w:footnoteReference w:id="88"/>
      </w:r>
      <w:r w:rsidR="00750F1F">
        <w:rPr>
          <w:rFonts w:ascii="Times New Roman" w:hAnsi="Times New Roman" w:cs="Times New Roman"/>
          <w:sz w:val="24"/>
          <w:szCs w:val="24"/>
        </w:rPr>
        <w:t xml:space="preserve"> Finally, the tensions between free movement and fundamental rights would not have arisen in </w:t>
      </w:r>
      <w:r w:rsidR="00750F1F">
        <w:rPr>
          <w:rFonts w:ascii="Times New Roman" w:hAnsi="Times New Roman" w:cs="Times New Roman"/>
          <w:i/>
          <w:sz w:val="24"/>
          <w:szCs w:val="24"/>
        </w:rPr>
        <w:t xml:space="preserve">Familiapress </w:t>
      </w:r>
      <w:r w:rsidR="00750F1F">
        <w:rPr>
          <w:rFonts w:ascii="Times New Roman" w:hAnsi="Times New Roman" w:cs="Times New Roman"/>
          <w:sz w:val="24"/>
          <w:szCs w:val="24"/>
        </w:rPr>
        <w:t xml:space="preserve">and </w:t>
      </w:r>
      <w:r w:rsidR="00750F1F">
        <w:rPr>
          <w:rFonts w:ascii="Times New Roman" w:hAnsi="Times New Roman" w:cs="Times New Roman"/>
          <w:i/>
          <w:sz w:val="24"/>
          <w:szCs w:val="24"/>
        </w:rPr>
        <w:t>Dynamic Medien</w:t>
      </w:r>
      <w:r w:rsidR="005E4D96">
        <w:rPr>
          <w:rStyle w:val="FootnoteReference"/>
          <w:rFonts w:ascii="Times New Roman" w:hAnsi="Times New Roman" w:cs="Times New Roman"/>
          <w:i/>
          <w:sz w:val="24"/>
          <w:szCs w:val="24"/>
        </w:rPr>
        <w:footnoteReference w:id="89"/>
      </w:r>
      <w:r w:rsidR="00750F1F">
        <w:rPr>
          <w:rFonts w:ascii="Times New Roman" w:hAnsi="Times New Roman" w:cs="Times New Roman"/>
          <w:sz w:val="24"/>
          <w:szCs w:val="24"/>
        </w:rPr>
        <w:t xml:space="preserve"> if the vertical effect of the market freedoms had not been expanded to horizontal disputes, while the conflict between Articles 49 and 56 TFEU and the fundamental right to strike</w:t>
      </w:r>
      <w:r w:rsidR="008F63A3">
        <w:rPr>
          <w:rFonts w:ascii="Times New Roman" w:hAnsi="Times New Roman" w:cs="Times New Roman"/>
          <w:sz w:val="24"/>
          <w:szCs w:val="24"/>
        </w:rPr>
        <w:t xml:space="preserve">, in </w:t>
      </w:r>
      <w:r w:rsidR="008F63A3">
        <w:rPr>
          <w:rFonts w:ascii="Times New Roman" w:hAnsi="Times New Roman" w:cs="Times New Roman"/>
          <w:i/>
          <w:sz w:val="24"/>
          <w:szCs w:val="24"/>
        </w:rPr>
        <w:t xml:space="preserve">Viking </w:t>
      </w:r>
      <w:r w:rsidR="008F63A3">
        <w:rPr>
          <w:rFonts w:ascii="Times New Roman" w:hAnsi="Times New Roman" w:cs="Times New Roman"/>
          <w:sz w:val="24"/>
          <w:szCs w:val="24"/>
        </w:rPr>
        <w:t xml:space="preserve">and </w:t>
      </w:r>
      <w:r w:rsidR="008F63A3">
        <w:rPr>
          <w:rFonts w:ascii="Times New Roman" w:hAnsi="Times New Roman" w:cs="Times New Roman"/>
          <w:i/>
          <w:sz w:val="24"/>
          <w:szCs w:val="24"/>
        </w:rPr>
        <w:t>Laval</w:t>
      </w:r>
      <w:r w:rsidR="00750F1F">
        <w:rPr>
          <w:rFonts w:ascii="Times New Roman" w:hAnsi="Times New Roman" w:cs="Times New Roman"/>
          <w:sz w:val="24"/>
          <w:szCs w:val="24"/>
        </w:rPr>
        <w:t xml:space="preserve"> required the extension of the direct effect of those provisions horizontally to </w:t>
      </w:r>
      <w:r w:rsidR="001E1097">
        <w:rPr>
          <w:rFonts w:ascii="Times New Roman" w:hAnsi="Times New Roman" w:cs="Times New Roman"/>
          <w:sz w:val="24"/>
          <w:szCs w:val="24"/>
        </w:rPr>
        <w:t>certain</w:t>
      </w:r>
      <w:r w:rsidR="00750F1F">
        <w:rPr>
          <w:rFonts w:ascii="Times New Roman" w:hAnsi="Times New Roman" w:cs="Times New Roman"/>
          <w:sz w:val="24"/>
          <w:szCs w:val="24"/>
        </w:rPr>
        <w:t xml:space="preserve"> private</w:t>
      </w:r>
      <w:r w:rsidR="001E1097">
        <w:rPr>
          <w:rFonts w:ascii="Times New Roman" w:hAnsi="Times New Roman" w:cs="Times New Roman"/>
          <w:sz w:val="24"/>
          <w:szCs w:val="24"/>
        </w:rPr>
        <w:t xml:space="preserve"> parties</w:t>
      </w:r>
      <w:r w:rsidR="00750F1F">
        <w:rPr>
          <w:rFonts w:ascii="Times New Roman" w:hAnsi="Times New Roman" w:cs="Times New Roman"/>
          <w:sz w:val="24"/>
          <w:szCs w:val="24"/>
        </w:rPr>
        <w:t xml:space="preserve">. </w:t>
      </w:r>
    </w:p>
    <w:p w14:paraId="68E90FD9" w14:textId="77777777" w:rsidR="008E4CF7" w:rsidRPr="007342C2" w:rsidRDefault="007342C2" w:rsidP="008E4CF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14:paraId="5011F21D" w14:textId="77777777" w:rsidR="003E5F27" w:rsidRDefault="003E5F27" w:rsidP="003E5F27">
      <w:pPr>
        <w:pStyle w:val="NoSpacing"/>
        <w:jc w:val="both"/>
        <w:rPr>
          <w:rFonts w:ascii="Times New Roman" w:hAnsi="Times New Roman" w:cs="Times New Roman"/>
          <w:b/>
          <w:i/>
          <w:sz w:val="24"/>
          <w:szCs w:val="24"/>
        </w:rPr>
      </w:pPr>
    </w:p>
    <w:p w14:paraId="5B822D28" w14:textId="77777777" w:rsidR="00E84528" w:rsidRDefault="003E5F27" w:rsidP="003E5F27">
      <w:pPr>
        <w:pStyle w:val="NoSpacing"/>
        <w:numPr>
          <w:ilvl w:val="1"/>
          <w:numId w:val="2"/>
        </w:numPr>
        <w:jc w:val="both"/>
        <w:rPr>
          <w:rFonts w:ascii="Times New Roman" w:hAnsi="Times New Roman" w:cs="Times New Roman"/>
          <w:b/>
          <w:i/>
          <w:sz w:val="24"/>
          <w:szCs w:val="24"/>
        </w:rPr>
      </w:pPr>
      <w:r w:rsidRPr="00E84528">
        <w:rPr>
          <w:rFonts w:ascii="Times New Roman" w:hAnsi="Times New Roman" w:cs="Times New Roman"/>
          <w:b/>
          <w:i/>
          <w:sz w:val="24"/>
          <w:szCs w:val="24"/>
        </w:rPr>
        <w:t>The fundamentally changed quality of free movement’s interactions with domestic rules</w:t>
      </w:r>
    </w:p>
    <w:p w14:paraId="2C0B4394" w14:textId="77777777" w:rsidR="005E4D96" w:rsidRDefault="005E4D96" w:rsidP="005E4D96">
      <w:pPr>
        <w:pStyle w:val="NoSpacing"/>
        <w:jc w:val="both"/>
        <w:rPr>
          <w:rFonts w:ascii="Times New Roman" w:hAnsi="Times New Roman" w:cs="Times New Roman"/>
          <w:b/>
          <w:i/>
          <w:sz w:val="24"/>
          <w:szCs w:val="24"/>
        </w:rPr>
      </w:pPr>
    </w:p>
    <w:p w14:paraId="472C5BC2" w14:textId="77777777" w:rsidR="00342A9E" w:rsidRDefault="008A7B01" w:rsidP="005E4D96">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quantitative fact of increased conflict between free movement and fundamental rights is an outcome of the broader, and arguably more significant, issue that, as a result of free movement’s expansion, it now interacts with qualitatively different law, policy and activity. Thus, </w:t>
      </w:r>
      <w:r w:rsidR="00342A9E">
        <w:rPr>
          <w:rFonts w:ascii="Times New Roman" w:hAnsi="Times New Roman" w:cs="Times New Roman"/>
          <w:sz w:val="24"/>
          <w:szCs w:val="24"/>
        </w:rPr>
        <w:t xml:space="preserve">when the scope of the free movement provisions was limited to protectionist or </w:t>
      </w:r>
      <w:r w:rsidR="001E1097">
        <w:rPr>
          <w:rFonts w:ascii="Times New Roman" w:hAnsi="Times New Roman" w:cs="Times New Roman"/>
          <w:sz w:val="24"/>
          <w:szCs w:val="24"/>
        </w:rPr>
        <w:t>patently</w:t>
      </w:r>
      <w:r w:rsidR="00342A9E">
        <w:rPr>
          <w:rFonts w:ascii="Times New Roman" w:hAnsi="Times New Roman" w:cs="Times New Roman"/>
          <w:sz w:val="24"/>
          <w:szCs w:val="24"/>
        </w:rPr>
        <w:t xml:space="preserve"> discriminatory Member State law and policy, it would largely be triggered by domestic activity that deliberately stuck at the heart of the achievement of the common market, a goal that the Member States had agreed to work towards when the EEC was conceived.</w:t>
      </w:r>
      <w:r w:rsidR="00342A9E">
        <w:rPr>
          <w:rStyle w:val="FootnoteReference"/>
          <w:rFonts w:ascii="Times New Roman" w:hAnsi="Times New Roman" w:cs="Times New Roman"/>
          <w:sz w:val="24"/>
          <w:szCs w:val="24"/>
        </w:rPr>
        <w:footnoteReference w:id="90"/>
      </w:r>
      <w:r w:rsidR="00E85135">
        <w:rPr>
          <w:rFonts w:ascii="Times New Roman" w:hAnsi="Times New Roman" w:cs="Times New Roman"/>
          <w:sz w:val="24"/>
          <w:szCs w:val="24"/>
        </w:rPr>
        <w:t xml:space="preserve"> As noted already, though the</w:t>
      </w:r>
      <w:r w:rsidR="001E1097">
        <w:rPr>
          <w:rFonts w:ascii="Times New Roman" w:hAnsi="Times New Roman" w:cs="Times New Roman"/>
          <w:sz w:val="24"/>
          <w:szCs w:val="24"/>
        </w:rPr>
        <w:t xml:space="preserve"> Treaty recognised that even</w:t>
      </w:r>
      <w:r w:rsidR="00E85135">
        <w:rPr>
          <w:rFonts w:ascii="Times New Roman" w:hAnsi="Times New Roman" w:cs="Times New Roman"/>
          <w:sz w:val="24"/>
          <w:szCs w:val="24"/>
        </w:rPr>
        <w:t xml:space="preserve"> discriminatory conduct might</w:t>
      </w:r>
      <w:r w:rsidR="00C039AD">
        <w:rPr>
          <w:rFonts w:ascii="Times New Roman" w:hAnsi="Times New Roman" w:cs="Times New Roman"/>
          <w:sz w:val="24"/>
          <w:szCs w:val="24"/>
        </w:rPr>
        <w:t xml:space="preserve"> </w:t>
      </w:r>
      <w:r w:rsidR="00E85135">
        <w:rPr>
          <w:rFonts w:ascii="Times New Roman" w:hAnsi="Times New Roman" w:cs="Times New Roman"/>
          <w:sz w:val="24"/>
          <w:szCs w:val="24"/>
        </w:rPr>
        <w:t>serve objectives other than protectionism</w:t>
      </w:r>
      <w:r w:rsidR="00C039AD">
        <w:rPr>
          <w:rFonts w:ascii="Times New Roman" w:hAnsi="Times New Roman" w:cs="Times New Roman"/>
          <w:sz w:val="24"/>
          <w:szCs w:val="24"/>
        </w:rPr>
        <w:t xml:space="preserve"> at times</w:t>
      </w:r>
      <w:r w:rsidR="00E85135">
        <w:rPr>
          <w:rFonts w:ascii="Times New Roman" w:hAnsi="Times New Roman" w:cs="Times New Roman"/>
          <w:sz w:val="24"/>
          <w:szCs w:val="24"/>
        </w:rPr>
        <w:t>, the centrality of economic integrati</w:t>
      </w:r>
      <w:r w:rsidR="00C039AD">
        <w:rPr>
          <w:rFonts w:ascii="Times New Roman" w:hAnsi="Times New Roman" w:cs="Times New Roman"/>
          <w:sz w:val="24"/>
          <w:szCs w:val="24"/>
        </w:rPr>
        <w:t>on to the EEC required the Member States</w:t>
      </w:r>
      <w:r w:rsidR="00E85135">
        <w:rPr>
          <w:rFonts w:ascii="Times New Roman" w:hAnsi="Times New Roman" w:cs="Times New Roman"/>
          <w:sz w:val="24"/>
          <w:szCs w:val="24"/>
        </w:rPr>
        <w:t xml:space="preserve">, where possible, to rethink their approaches to </w:t>
      </w:r>
      <w:r w:rsidR="00C60FE5">
        <w:rPr>
          <w:rFonts w:ascii="Times New Roman" w:hAnsi="Times New Roman" w:cs="Times New Roman"/>
          <w:sz w:val="24"/>
          <w:szCs w:val="24"/>
        </w:rPr>
        <w:t xml:space="preserve">securing </w:t>
      </w:r>
      <w:r w:rsidR="00E85135">
        <w:rPr>
          <w:rFonts w:ascii="Times New Roman" w:hAnsi="Times New Roman" w:cs="Times New Roman"/>
          <w:sz w:val="24"/>
          <w:szCs w:val="24"/>
        </w:rPr>
        <w:t>these public interests.</w:t>
      </w:r>
      <w:r w:rsidR="00375F85">
        <w:rPr>
          <w:rStyle w:val="FootnoteReference"/>
          <w:rFonts w:ascii="Times New Roman" w:hAnsi="Times New Roman" w:cs="Times New Roman"/>
          <w:sz w:val="24"/>
          <w:szCs w:val="24"/>
        </w:rPr>
        <w:footnoteReference w:id="91"/>
      </w:r>
      <w:r w:rsidR="00342A9E">
        <w:rPr>
          <w:rFonts w:ascii="Times New Roman" w:hAnsi="Times New Roman" w:cs="Times New Roman"/>
          <w:sz w:val="24"/>
          <w:szCs w:val="24"/>
        </w:rPr>
        <w:t xml:space="preserve"> </w:t>
      </w:r>
    </w:p>
    <w:p w14:paraId="0BC8F6E6" w14:textId="77777777" w:rsidR="00F57B68" w:rsidRDefault="00F57B68" w:rsidP="005E4D96">
      <w:pPr>
        <w:pStyle w:val="NoSpacing"/>
        <w:jc w:val="both"/>
        <w:rPr>
          <w:rFonts w:ascii="Times New Roman" w:hAnsi="Times New Roman" w:cs="Times New Roman"/>
          <w:sz w:val="24"/>
          <w:szCs w:val="24"/>
        </w:rPr>
      </w:pPr>
    </w:p>
    <w:p w14:paraId="37B48BBB" w14:textId="3421559A" w:rsidR="00525379" w:rsidRDefault="00F57B68" w:rsidP="005E4D96">
      <w:pPr>
        <w:pStyle w:val="NoSpacing"/>
        <w:jc w:val="both"/>
        <w:rPr>
          <w:rFonts w:ascii="Times New Roman" w:hAnsi="Times New Roman" w:cs="Times New Roman"/>
          <w:sz w:val="24"/>
          <w:szCs w:val="24"/>
        </w:rPr>
      </w:pPr>
      <w:r>
        <w:rPr>
          <w:rFonts w:ascii="Times New Roman" w:hAnsi="Times New Roman" w:cs="Times New Roman"/>
          <w:sz w:val="24"/>
          <w:szCs w:val="24"/>
        </w:rPr>
        <w:t xml:space="preserve">However, with the extension of the material scope of the free movement provisions to </w:t>
      </w:r>
      <w:r w:rsidR="003D3D78">
        <w:rPr>
          <w:rFonts w:ascii="Times New Roman" w:hAnsi="Times New Roman" w:cs="Times New Roman"/>
          <w:sz w:val="24"/>
          <w:szCs w:val="24"/>
        </w:rPr>
        <w:t>cover</w:t>
      </w:r>
      <w:r>
        <w:rPr>
          <w:rFonts w:ascii="Times New Roman" w:hAnsi="Times New Roman" w:cs="Times New Roman"/>
          <w:sz w:val="24"/>
          <w:szCs w:val="24"/>
        </w:rPr>
        <w:t xml:space="preserve"> indistinctly applicable measures, including indirectly discriminatory measur</w:t>
      </w:r>
      <w:r w:rsidR="008211F1">
        <w:rPr>
          <w:rFonts w:ascii="Times New Roman" w:hAnsi="Times New Roman" w:cs="Times New Roman"/>
          <w:sz w:val="24"/>
          <w:szCs w:val="24"/>
        </w:rPr>
        <w:t xml:space="preserve">es and </w:t>
      </w:r>
      <w:r w:rsidR="00592C7F">
        <w:rPr>
          <w:rFonts w:ascii="Times New Roman" w:hAnsi="Times New Roman" w:cs="Times New Roman"/>
          <w:sz w:val="24"/>
          <w:szCs w:val="24"/>
        </w:rPr>
        <w:t>DRBs</w:t>
      </w:r>
      <w:r w:rsidR="008211F1">
        <w:rPr>
          <w:rFonts w:ascii="Times New Roman" w:hAnsi="Times New Roman" w:cs="Times New Roman"/>
          <w:sz w:val="24"/>
          <w:szCs w:val="24"/>
        </w:rPr>
        <w:t xml:space="preserve">, it became increasingly possible for Member State activity, which did not exist to protect domestic commodities but instead to pursue other legitimate objectives, to constitute a </w:t>
      </w:r>
      <w:r w:rsidR="008211F1">
        <w:rPr>
          <w:rFonts w:ascii="Times New Roman" w:hAnsi="Times New Roman" w:cs="Times New Roman"/>
          <w:i/>
          <w:sz w:val="24"/>
          <w:szCs w:val="24"/>
        </w:rPr>
        <w:t xml:space="preserve">prima facie </w:t>
      </w:r>
      <w:r w:rsidR="008211F1">
        <w:rPr>
          <w:rFonts w:ascii="Times New Roman" w:hAnsi="Times New Roman" w:cs="Times New Roman"/>
          <w:sz w:val="24"/>
          <w:szCs w:val="24"/>
        </w:rPr>
        <w:lastRenderedPageBreak/>
        <w:t>breach of the market freedoms.</w:t>
      </w:r>
      <w:r w:rsidR="008211F1">
        <w:rPr>
          <w:rStyle w:val="FootnoteReference"/>
          <w:rFonts w:ascii="Times New Roman" w:hAnsi="Times New Roman" w:cs="Times New Roman"/>
          <w:sz w:val="24"/>
          <w:szCs w:val="24"/>
        </w:rPr>
        <w:footnoteReference w:id="92"/>
      </w:r>
      <w:r w:rsidR="00705A4A">
        <w:rPr>
          <w:rFonts w:ascii="Times New Roman" w:hAnsi="Times New Roman" w:cs="Times New Roman"/>
          <w:sz w:val="24"/>
          <w:szCs w:val="24"/>
        </w:rPr>
        <w:t xml:space="preserve"> For instance, where each Member State has independently enacted r</w:t>
      </w:r>
      <w:r w:rsidR="00F75EA1">
        <w:rPr>
          <w:rFonts w:ascii="Times New Roman" w:hAnsi="Times New Roman" w:cs="Times New Roman"/>
          <w:sz w:val="24"/>
          <w:szCs w:val="24"/>
        </w:rPr>
        <w:t xml:space="preserve">ules to protect </w:t>
      </w:r>
      <w:r w:rsidR="00705A4A">
        <w:rPr>
          <w:rFonts w:ascii="Times New Roman" w:hAnsi="Times New Roman" w:cs="Times New Roman"/>
          <w:sz w:val="24"/>
          <w:szCs w:val="24"/>
        </w:rPr>
        <w:t>consumers in light of the</w:t>
      </w:r>
      <w:r w:rsidR="003D3D78">
        <w:rPr>
          <w:rFonts w:ascii="Times New Roman" w:hAnsi="Times New Roman" w:cs="Times New Roman"/>
          <w:sz w:val="24"/>
          <w:szCs w:val="24"/>
        </w:rPr>
        <w:t>ir</w:t>
      </w:r>
      <w:r w:rsidR="00705A4A">
        <w:rPr>
          <w:rFonts w:ascii="Times New Roman" w:hAnsi="Times New Roman" w:cs="Times New Roman"/>
          <w:sz w:val="24"/>
          <w:szCs w:val="24"/>
        </w:rPr>
        <w:t xml:space="preserve"> generally weaker position in the market place, these measures do not constitute a deliberate attack on foreign goods. Rather, the disadvantage they create for importers lies in the fact that the Member State of production implements the policy goal of consumer protection differently from the importing Member State.</w:t>
      </w:r>
      <w:r w:rsidR="00705A4A">
        <w:rPr>
          <w:rStyle w:val="FootnoteReference"/>
          <w:rFonts w:ascii="Times New Roman" w:hAnsi="Times New Roman" w:cs="Times New Roman"/>
          <w:sz w:val="24"/>
          <w:szCs w:val="24"/>
        </w:rPr>
        <w:footnoteReference w:id="93"/>
      </w:r>
      <w:r w:rsidR="00652066">
        <w:rPr>
          <w:rFonts w:ascii="Times New Roman" w:hAnsi="Times New Roman" w:cs="Times New Roman"/>
          <w:sz w:val="24"/>
          <w:szCs w:val="24"/>
        </w:rPr>
        <w:t xml:space="preserve"> Further, as Spaventa points out, in her discussion of the combin</w:t>
      </w:r>
      <w:r w:rsidR="00E41A44">
        <w:rPr>
          <w:rFonts w:ascii="Times New Roman" w:hAnsi="Times New Roman" w:cs="Times New Roman"/>
          <w:sz w:val="24"/>
          <w:szCs w:val="24"/>
        </w:rPr>
        <w:t>ed effects</w:t>
      </w:r>
      <w:r w:rsidR="00652066">
        <w:rPr>
          <w:rFonts w:ascii="Times New Roman" w:hAnsi="Times New Roman" w:cs="Times New Roman"/>
          <w:sz w:val="24"/>
          <w:szCs w:val="24"/>
        </w:rPr>
        <w:t xml:space="preserve"> of the market access test with a general relaxation of the</w:t>
      </w:r>
      <w:r w:rsidR="00E41A44">
        <w:rPr>
          <w:rFonts w:ascii="Times New Roman" w:hAnsi="Times New Roman" w:cs="Times New Roman"/>
          <w:sz w:val="24"/>
          <w:szCs w:val="24"/>
        </w:rPr>
        <w:t xml:space="preserve"> cross-border requirement in</w:t>
      </w:r>
      <w:r w:rsidR="00652066">
        <w:rPr>
          <w:rFonts w:ascii="Times New Roman" w:hAnsi="Times New Roman" w:cs="Times New Roman"/>
          <w:sz w:val="24"/>
          <w:szCs w:val="24"/>
        </w:rPr>
        <w:t xml:space="preserve"> </w:t>
      </w:r>
      <w:r w:rsidR="00E41A44">
        <w:rPr>
          <w:rFonts w:ascii="Times New Roman" w:hAnsi="Times New Roman" w:cs="Times New Roman"/>
          <w:i/>
          <w:sz w:val="24"/>
          <w:szCs w:val="24"/>
        </w:rPr>
        <w:t>Gourmet</w:t>
      </w:r>
      <w:r w:rsidR="00652066">
        <w:rPr>
          <w:rFonts w:ascii="Times New Roman" w:hAnsi="Times New Roman" w:cs="Times New Roman"/>
          <w:sz w:val="24"/>
          <w:szCs w:val="24"/>
        </w:rPr>
        <w:t>,</w:t>
      </w:r>
      <w:r w:rsidR="00652066">
        <w:rPr>
          <w:rStyle w:val="FootnoteReference"/>
          <w:rFonts w:ascii="Times New Roman" w:hAnsi="Times New Roman" w:cs="Times New Roman"/>
          <w:sz w:val="24"/>
          <w:szCs w:val="24"/>
        </w:rPr>
        <w:footnoteReference w:id="94"/>
      </w:r>
      <w:r w:rsidR="00501C76">
        <w:rPr>
          <w:rFonts w:ascii="Times New Roman" w:hAnsi="Times New Roman" w:cs="Times New Roman"/>
          <w:sz w:val="24"/>
          <w:szCs w:val="24"/>
        </w:rPr>
        <w:t xml:space="preserve"> if free movement is triggered by rules that simply make economic activity less attractive to actors (whether providers or recipients), ‘it becomes difficult to identify which, if any, national rules fall outside the scope of the Treaty and therefore need not be justified’.</w:t>
      </w:r>
      <w:r w:rsidR="003D3D78">
        <w:rPr>
          <w:rStyle w:val="FootnoteReference"/>
          <w:rFonts w:ascii="Times New Roman" w:hAnsi="Times New Roman" w:cs="Times New Roman"/>
          <w:sz w:val="24"/>
          <w:szCs w:val="24"/>
        </w:rPr>
        <w:footnoteReference w:id="95"/>
      </w:r>
      <w:r w:rsidR="00501C76">
        <w:rPr>
          <w:rFonts w:ascii="Times New Roman" w:hAnsi="Times New Roman" w:cs="Times New Roman"/>
          <w:sz w:val="24"/>
          <w:szCs w:val="24"/>
        </w:rPr>
        <w:t xml:space="preserve"> </w:t>
      </w:r>
    </w:p>
    <w:p w14:paraId="246144ED" w14:textId="77777777" w:rsidR="00525379" w:rsidRDefault="00525379" w:rsidP="005E4D96">
      <w:pPr>
        <w:pStyle w:val="NoSpacing"/>
        <w:jc w:val="both"/>
        <w:rPr>
          <w:rFonts w:ascii="Times New Roman" w:hAnsi="Times New Roman" w:cs="Times New Roman"/>
          <w:sz w:val="24"/>
          <w:szCs w:val="24"/>
        </w:rPr>
      </w:pPr>
    </w:p>
    <w:p w14:paraId="429DF038" w14:textId="43E98D61" w:rsidR="005E4D96" w:rsidRDefault="00501C76" w:rsidP="005E4D96">
      <w:pPr>
        <w:pStyle w:val="NoSpacing"/>
        <w:jc w:val="both"/>
        <w:rPr>
          <w:rFonts w:ascii="Times New Roman" w:hAnsi="Times New Roman" w:cs="Times New Roman"/>
          <w:sz w:val="24"/>
          <w:szCs w:val="24"/>
        </w:rPr>
      </w:pPr>
      <w:r>
        <w:rPr>
          <w:rFonts w:ascii="Times New Roman" w:hAnsi="Times New Roman" w:cs="Times New Roman"/>
          <w:sz w:val="24"/>
          <w:szCs w:val="24"/>
        </w:rPr>
        <w:t>Indeed, rather than</w:t>
      </w:r>
      <w:r w:rsidR="003D3D78">
        <w:rPr>
          <w:rFonts w:ascii="Times New Roman" w:hAnsi="Times New Roman" w:cs="Times New Roman"/>
          <w:sz w:val="24"/>
          <w:szCs w:val="24"/>
        </w:rPr>
        <w:t xml:space="preserve"> imposing a </w:t>
      </w:r>
      <w:r w:rsidR="003D3D78">
        <w:rPr>
          <w:rFonts w:ascii="Times New Roman" w:hAnsi="Times New Roman" w:cs="Times New Roman"/>
          <w:i/>
          <w:sz w:val="24"/>
          <w:szCs w:val="24"/>
        </w:rPr>
        <w:t xml:space="preserve">prima facie </w:t>
      </w:r>
      <w:r w:rsidR="003D3D78">
        <w:rPr>
          <w:rFonts w:ascii="Times New Roman" w:hAnsi="Times New Roman" w:cs="Times New Roman"/>
          <w:sz w:val="24"/>
          <w:szCs w:val="24"/>
        </w:rPr>
        <w:t>prohibition on rules that reveal a protectionist intent or are protectionist in effect (as indistinctly applicable measures arguably are) in order to facilitate an economically integrated Europe, a test based on reduction in economic attractiveness instead works</w:t>
      </w:r>
      <w:r w:rsidR="00F75EA1">
        <w:rPr>
          <w:rFonts w:ascii="Times New Roman" w:hAnsi="Times New Roman" w:cs="Times New Roman"/>
          <w:sz w:val="24"/>
          <w:szCs w:val="24"/>
        </w:rPr>
        <w:t xml:space="preserve"> more generally towards deregulation</w:t>
      </w:r>
      <w:r w:rsidR="003D3D78">
        <w:rPr>
          <w:rFonts w:ascii="Times New Roman" w:hAnsi="Times New Roman" w:cs="Times New Roman"/>
          <w:sz w:val="24"/>
          <w:szCs w:val="24"/>
        </w:rPr>
        <w:t xml:space="preserve"> and the creation of a ‘market without rules’.</w:t>
      </w:r>
      <w:r w:rsidR="003D3D78">
        <w:rPr>
          <w:rStyle w:val="FootnoteReference"/>
          <w:rFonts w:ascii="Times New Roman" w:hAnsi="Times New Roman" w:cs="Times New Roman"/>
          <w:sz w:val="24"/>
          <w:szCs w:val="24"/>
        </w:rPr>
        <w:footnoteReference w:id="96"/>
      </w:r>
      <w:r w:rsidR="0014025E">
        <w:rPr>
          <w:rFonts w:ascii="Times New Roman" w:hAnsi="Times New Roman" w:cs="Times New Roman"/>
          <w:sz w:val="24"/>
          <w:szCs w:val="24"/>
        </w:rPr>
        <w:t xml:space="preserve"> This risks prioritising a transformed concept of free movement over almost every single</w:t>
      </w:r>
      <w:r w:rsidR="00DB00E8">
        <w:rPr>
          <w:rFonts w:ascii="Times New Roman" w:hAnsi="Times New Roman" w:cs="Times New Roman"/>
          <w:sz w:val="24"/>
          <w:szCs w:val="24"/>
        </w:rPr>
        <w:t xml:space="preserve"> other legitimate endeavour or responsibility of the</w:t>
      </w:r>
      <w:r w:rsidR="0014025E">
        <w:rPr>
          <w:rFonts w:ascii="Times New Roman" w:hAnsi="Times New Roman" w:cs="Times New Roman"/>
          <w:sz w:val="24"/>
          <w:szCs w:val="24"/>
        </w:rPr>
        <w:t xml:space="preserve"> State, </w:t>
      </w:r>
      <w:r w:rsidR="00DB00E8">
        <w:rPr>
          <w:rFonts w:ascii="Times New Roman" w:hAnsi="Times New Roman" w:cs="Times New Roman"/>
          <w:sz w:val="24"/>
          <w:szCs w:val="24"/>
        </w:rPr>
        <w:t>including not only valuable public interests but individual and collective fundamental rights.</w:t>
      </w:r>
      <w:r w:rsidR="00525379">
        <w:rPr>
          <w:rFonts w:ascii="Times New Roman" w:hAnsi="Times New Roman" w:cs="Times New Roman"/>
          <w:sz w:val="24"/>
          <w:szCs w:val="24"/>
        </w:rPr>
        <w:t xml:space="preserve"> Thus,</w:t>
      </w:r>
      <w:r w:rsidR="00576658">
        <w:rPr>
          <w:rFonts w:ascii="Times New Roman" w:hAnsi="Times New Roman" w:cs="Times New Roman"/>
          <w:sz w:val="24"/>
          <w:szCs w:val="24"/>
        </w:rPr>
        <w:t xml:space="preserve"> the inclusion of indistinctly applicable measures and rules restricting market access within the material scope of (most of) the market freedoms led to tensions between them and Member State efforts to protect the fundamental right to freedom of expression,</w:t>
      </w:r>
      <w:r w:rsidR="00576658">
        <w:rPr>
          <w:rStyle w:val="FootnoteReference"/>
          <w:rFonts w:ascii="Times New Roman" w:hAnsi="Times New Roman" w:cs="Times New Roman"/>
          <w:sz w:val="24"/>
          <w:szCs w:val="24"/>
        </w:rPr>
        <w:footnoteReference w:id="97"/>
      </w:r>
      <w:r w:rsidR="00576658">
        <w:rPr>
          <w:rFonts w:ascii="Times New Roman" w:hAnsi="Times New Roman" w:cs="Times New Roman"/>
          <w:sz w:val="24"/>
          <w:szCs w:val="24"/>
        </w:rPr>
        <w:t xml:space="preserve"> the fundamental right to human dignity,</w:t>
      </w:r>
      <w:r w:rsidR="00576658">
        <w:rPr>
          <w:rStyle w:val="FootnoteReference"/>
          <w:rFonts w:ascii="Times New Roman" w:hAnsi="Times New Roman" w:cs="Times New Roman"/>
          <w:sz w:val="24"/>
          <w:szCs w:val="24"/>
        </w:rPr>
        <w:footnoteReference w:id="98"/>
      </w:r>
      <w:r w:rsidR="00576658">
        <w:rPr>
          <w:rFonts w:ascii="Times New Roman" w:hAnsi="Times New Roman" w:cs="Times New Roman"/>
          <w:sz w:val="24"/>
          <w:szCs w:val="24"/>
        </w:rPr>
        <w:t xml:space="preserve"> the fundamental rights of the child,</w:t>
      </w:r>
      <w:r w:rsidR="00576658">
        <w:rPr>
          <w:rStyle w:val="FootnoteReference"/>
          <w:rFonts w:ascii="Times New Roman" w:hAnsi="Times New Roman" w:cs="Times New Roman"/>
          <w:sz w:val="24"/>
          <w:szCs w:val="24"/>
        </w:rPr>
        <w:footnoteReference w:id="99"/>
      </w:r>
      <w:r w:rsidR="00576658">
        <w:rPr>
          <w:rFonts w:ascii="Times New Roman" w:hAnsi="Times New Roman" w:cs="Times New Roman"/>
          <w:sz w:val="24"/>
          <w:szCs w:val="24"/>
        </w:rPr>
        <w:t xml:space="preserve"> and the fundamental right to freedom of association.</w:t>
      </w:r>
      <w:r w:rsidR="00576658">
        <w:rPr>
          <w:rStyle w:val="FootnoteReference"/>
          <w:rFonts w:ascii="Times New Roman" w:hAnsi="Times New Roman" w:cs="Times New Roman"/>
          <w:sz w:val="24"/>
          <w:szCs w:val="24"/>
        </w:rPr>
        <w:footnoteReference w:id="100"/>
      </w:r>
      <w:r w:rsidR="00202F1B">
        <w:rPr>
          <w:rFonts w:ascii="Times New Roman" w:hAnsi="Times New Roman" w:cs="Times New Roman"/>
          <w:sz w:val="24"/>
          <w:szCs w:val="24"/>
        </w:rPr>
        <w:t xml:space="preserve"> Moreover</w:t>
      </w:r>
      <w:r w:rsidR="00576658">
        <w:rPr>
          <w:rFonts w:ascii="Times New Roman" w:hAnsi="Times New Roman" w:cs="Times New Roman"/>
          <w:sz w:val="24"/>
          <w:szCs w:val="24"/>
        </w:rPr>
        <w:t>,</w:t>
      </w:r>
      <w:r w:rsidR="00F317E5">
        <w:rPr>
          <w:rFonts w:ascii="Times New Roman" w:hAnsi="Times New Roman" w:cs="Times New Roman"/>
          <w:sz w:val="24"/>
          <w:szCs w:val="24"/>
        </w:rPr>
        <w:t xml:space="preserve"> the expansion of the material scope of free movement</w:t>
      </w:r>
      <w:r w:rsidR="00202F1B">
        <w:rPr>
          <w:rFonts w:ascii="Times New Roman" w:hAnsi="Times New Roman" w:cs="Times New Roman"/>
          <w:sz w:val="24"/>
          <w:szCs w:val="24"/>
        </w:rPr>
        <w:t xml:space="preserve"> has also given rise to conflict between the market freedoms and Member State programmes for the implementation of fundamental social rights including</w:t>
      </w:r>
      <w:r w:rsidR="00F3569C">
        <w:rPr>
          <w:rFonts w:ascii="Times New Roman" w:hAnsi="Times New Roman" w:cs="Times New Roman"/>
          <w:sz w:val="24"/>
          <w:szCs w:val="24"/>
        </w:rPr>
        <w:t xml:space="preserve"> but not limited to</w:t>
      </w:r>
      <w:r w:rsidR="00202F1B">
        <w:rPr>
          <w:rFonts w:ascii="Times New Roman" w:hAnsi="Times New Roman" w:cs="Times New Roman"/>
          <w:sz w:val="24"/>
          <w:szCs w:val="24"/>
        </w:rPr>
        <w:t>, the fundamental right to social and housing assistance,</w:t>
      </w:r>
      <w:r w:rsidR="00202F1B">
        <w:rPr>
          <w:rStyle w:val="FootnoteReference"/>
          <w:rFonts w:ascii="Times New Roman" w:hAnsi="Times New Roman" w:cs="Times New Roman"/>
          <w:sz w:val="24"/>
          <w:szCs w:val="24"/>
        </w:rPr>
        <w:footnoteReference w:id="101"/>
      </w:r>
      <w:r w:rsidR="00F3569C">
        <w:rPr>
          <w:rFonts w:ascii="Times New Roman" w:hAnsi="Times New Roman" w:cs="Times New Roman"/>
          <w:sz w:val="24"/>
          <w:szCs w:val="24"/>
        </w:rPr>
        <w:t xml:space="preserve"> the right to access to healthcare,</w:t>
      </w:r>
      <w:r w:rsidR="00F3569C">
        <w:rPr>
          <w:rStyle w:val="FootnoteReference"/>
          <w:rFonts w:ascii="Times New Roman" w:hAnsi="Times New Roman" w:cs="Times New Roman"/>
          <w:sz w:val="24"/>
          <w:szCs w:val="24"/>
        </w:rPr>
        <w:footnoteReference w:id="102"/>
      </w:r>
      <w:r w:rsidR="00F3569C">
        <w:rPr>
          <w:rFonts w:ascii="Times New Roman" w:hAnsi="Times New Roman" w:cs="Times New Roman"/>
          <w:sz w:val="24"/>
          <w:szCs w:val="24"/>
        </w:rPr>
        <w:t xml:space="preserve"> the fundamental right to education,</w:t>
      </w:r>
      <w:r w:rsidR="00F3569C">
        <w:rPr>
          <w:rStyle w:val="FootnoteReference"/>
          <w:rFonts w:ascii="Times New Roman" w:hAnsi="Times New Roman" w:cs="Times New Roman"/>
          <w:sz w:val="24"/>
          <w:szCs w:val="24"/>
        </w:rPr>
        <w:footnoteReference w:id="103"/>
      </w:r>
      <w:r w:rsidR="00F3569C">
        <w:rPr>
          <w:rFonts w:ascii="Times New Roman" w:hAnsi="Times New Roman" w:cs="Times New Roman"/>
          <w:sz w:val="24"/>
          <w:szCs w:val="24"/>
        </w:rPr>
        <w:t xml:space="preserve"> and the fundamental right to fair and just working conditions.</w:t>
      </w:r>
      <w:r w:rsidR="00F3569C">
        <w:rPr>
          <w:rStyle w:val="FootnoteReference"/>
          <w:rFonts w:ascii="Times New Roman" w:hAnsi="Times New Roman" w:cs="Times New Roman"/>
          <w:sz w:val="24"/>
          <w:szCs w:val="24"/>
        </w:rPr>
        <w:footnoteReference w:id="104"/>
      </w:r>
      <w:r w:rsidR="00392CF7">
        <w:rPr>
          <w:rFonts w:ascii="Times New Roman" w:hAnsi="Times New Roman" w:cs="Times New Roman"/>
          <w:sz w:val="24"/>
          <w:szCs w:val="24"/>
        </w:rPr>
        <w:t xml:space="preserve"> Critically, the horizontal direct effect of (some of) the </w:t>
      </w:r>
      <w:r w:rsidR="00B07259">
        <w:rPr>
          <w:rFonts w:ascii="Times New Roman" w:hAnsi="Times New Roman" w:cs="Times New Roman"/>
          <w:sz w:val="24"/>
          <w:szCs w:val="24"/>
        </w:rPr>
        <w:t>market freedoms</w:t>
      </w:r>
      <w:r w:rsidR="00525379">
        <w:rPr>
          <w:rFonts w:ascii="Times New Roman" w:hAnsi="Times New Roman" w:cs="Times New Roman"/>
          <w:sz w:val="24"/>
          <w:szCs w:val="24"/>
        </w:rPr>
        <w:t xml:space="preserve"> means that</w:t>
      </w:r>
      <w:r w:rsidR="00B07259">
        <w:rPr>
          <w:rFonts w:ascii="Times New Roman" w:hAnsi="Times New Roman" w:cs="Times New Roman"/>
          <w:sz w:val="24"/>
          <w:szCs w:val="24"/>
        </w:rPr>
        <w:t xml:space="preserve"> the private e</w:t>
      </w:r>
      <w:r w:rsidR="00525379">
        <w:rPr>
          <w:rFonts w:ascii="Times New Roman" w:hAnsi="Times New Roman" w:cs="Times New Roman"/>
          <w:sz w:val="24"/>
          <w:szCs w:val="24"/>
        </w:rPr>
        <w:t>xercise of fundamental rights</w:t>
      </w:r>
      <w:r w:rsidR="004F0671">
        <w:rPr>
          <w:rFonts w:ascii="Times New Roman" w:hAnsi="Times New Roman" w:cs="Times New Roman"/>
          <w:sz w:val="24"/>
          <w:szCs w:val="24"/>
        </w:rPr>
        <w:t>, such as the right to strike,</w:t>
      </w:r>
      <w:r w:rsidR="00525379">
        <w:rPr>
          <w:rFonts w:ascii="Times New Roman" w:hAnsi="Times New Roman" w:cs="Times New Roman"/>
          <w:sz w:val="24"/>
          <w:szCs w:val="24"/>
        </w:rPr>
        <w:t xml:space="preserve"> can</w:t>
      </w:r>
      <w:r w:rsidR="00B07259">
        <w:rPr>
          <w:rFonts w:ascii="Times New Roman" w:hAnsi="Times New Roman" w:cs="Times New Roman"/>
          <w:sz w:val="24"/>
          <w:szCs w:val="24"/>
        </w:rPr>
        <w:t xml:space="preserve"> constitute a </w:t>
      </w:r>
      <w:r w:rsidR="00B07259">
        <w:rPr>
          <w:rFonts w:ascii="Times New Roman" w:hAnsi="Times New Roman" w:cs="Times New Roman"/>
          <w:i/>
          <w:sz w:val="24"/>
          <w:szCs w:val="24"/>
        </w:rPr>
        <w:t xml:space="preserve">prima facie </w:t>
      </w:r>
      <w:r w:rsidR="00B07259">
        <w:rPr>
          <w:rFonts w:ascii="Times New Roman" w:hAnsi="Times New Roman" w:cs="Times New Roman"/>
          <w:sz w:val="24"/>
          <w:szCs w:val="24"/>
        </w:rPr>
        <w:t>breach of free movement.</w:t>
      </w:r>
      <w:r w:rsidR="008F63A3">
        <w:rPr>
          <w:rStyle w:val="FootnoteReference"/>
          <w:rFonts w:ascii="Times New Roman" w:hAnsi="Times New Roman" w:cs="Times New Roman"/>
          <w:sz w:val="24"/>
          <w:szCs w:val="24"/>
        </w:rPr>
        <w:footnoteReference w:id="105"/>
      </w:r>
      <w:r w:rsidR="00392CF7">
        <w:rPr>
          <w:rFonts w:ascii="Times New Roman" w:hAnsi="Times New Roman" w:cs="Times New Roman"/>
          <w:sz w:val="24"/>
          <w:szCs w:val="24"/>
        </w:rPr>
        <w:t xml:space="preserve"> </w:t>
      </w:r>
      <w:r w:rsidR="00F3569C">
        <w:rPr>
          <w:rFonts w:ascii="Times New Roman" w:hAnsi="Times New Roman" w:cs="Times New Roman"/>
          <w:sz w:val="24"/>
          <w:szCs w:val="24"/>
        </w:rPr>
        <w:t xml:space="preserve"> </w:t>
      </w:r>
      <w:r w:rsidR="00202F1B">
        <w:rPr>
          <w:rFonts w:ascii="Times New Roman" w:hAnsi="Times New Roman" w:cs="Times New Roman"/>
          <w:sz w:val="24"/>
          <w:szCs w:val="24"/>
        </w:rPr>
        <w:t xml:space="preserve"> </w:t>
      </w:r>
      <w:r w:rsidR="00DB00E8">
        <w:rPr>
          <w:rFonts w:ascii="Times New Roman" w:hAnsi="Times New Roman" w:cs="Times New Roman"/>
          <w:sz w:val="24"/>
          <w:szCs w:val="24"/>
        </w:rPr>
        <w:t xml:space="preserve"> </w:t>
      </w:r>
      <w:r w:rsidR="003D3D78">
        <w:rPr>
          <w:rFonts w:ascii="Times New Roman" w:hAnsi="Times New Roman" w:cs="Times New Roman"/>
          <w:sz w:val="24"/>
          <w:szCs w:val="24"/>
        </w:rPr>
        <w:t xml:space="preserve"> </w:t>
      </w:r>
      <w:r>
        <w:rPr>
          <w:rFonts w:ascii="Times New Roman" w:hAnsi="Times New Roman" w:cs="Times New Roman"/>
          <w:sz w:val="24"/>
          <w:szCs w:val="24"/>
        </w:rPr>
        <w:t xml:space="preserve">   </w:t>
      </w:r>
      <w:r w:rsidR="008211F1">
        <w:rPr>
          <w:rFonts w:ascii="Times New Roman" w:hAnsi="Times New Roman" w:cs="Times New Roman"/>
          <w:sz w:val="24"/>
          <w:szCs w:val="24"/>
        </w:rPr>
        <w:t xml:space="preserve">  </w:t>
      </w:r>
      <w:r w:rsidR="00342A9E">
        <w:rPr>
          <w:rFonts w:ascii="Times New Roman" w:hAnsi="Times New Roman" w:cs="Times New Roman"/>
          <w:sz w:val="24"/>
          <w:szCs w:val="24"/>
        </w:rPr>
        <w:t xml:space="preserve">  </w:t>
      </w:r>
    </w:p>
    <w:p w14:paraId="4015700E" w14:textId="77777777" w:rsidR="008A7B01" w:rsidRDefault="008A7B01" w:rsidP="005E4D96">
      <w:pPr>
        <w:pStyle w:val="NoSpacing"/>
        <w:jc w:val="both"/>
        <w:rPr>
          <w:rFonts w:ascii="Times New Roman" w:hAnsi="Times New Roman" w:cs="Times New Roman"/>
          <w:sz w:val="24"/>
          <w:szCs w:val="24"/>
        </w:rPr>
      </w:pPr>
    </w:p>
    <w:p w14:paraId="1178AF84" w14:textId="77777777" w:rsidR="00D022B3" w:rsidRDefault="00C13B9A" w:rsidP="00D022B3">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In</w:t>
      </w:r>
      <w:r w:rsidR="00CE6A34">
        <w:rPr>
          <w:rFonts w:ascii="Times New Roman" w:hAnsi="Times New Roman" w:cs="Times New Roman"/>
          <w:sz w:val="24"/>
          <w:szCs w:val="24"/>
        </w:rPr>
        <w:t>terestingly, the</w:t>
      </w:r>
      <w:r>
        <w:rPr>
          <w:rFonts w:ascii="Times New Roman" w:hAnsi="Times New Roman" w:cs="Times New Roman"/>
          <w:sz w:val="24"/>
          <w:szCs w:val="24"/>
        </w:rPr>
        <w:t xml:space="preserve"> contemporary</w:t>
      </w:r>
      <w:r w:rsidR="00CE6A34">
        <w:rPr>
          <w:rFonts w:ascii="Times New Roman" w:hAnsi="Times New Roman" w:cs="Times New Roman"/>
          <w:sz w:val="24"/>
          <w:szCs w:val="24"/>
        </w:rPr>
        <w:t xml:space="preserve"> </w:t>
      </w:r>
      <w:r>
        <w:rPr>
          <w:rFonts w:ascii="Times New Roman" w:hAnsi="Times New Roman" w:cs="Times New Roman"/>
          <w:sz w:val="24"/>
          <w:szCs w:val="24"/>
        </w:rPr>
        <w:t xml:space="preserve">Union </w:t>
      </w:r>
      <w:r w:rsidR="00CE6A34">
        <w:rPr>
          <w:rFonts w:ascii="Times New Roman" w:hAnsi="Times New Roman" w:cs="Times New Roman"/>
          <w:sz w:val="24"/>
          <w:szCs w:val="24"/>
        </w:rPr>
        <w:t>Treat</w:t>
      </w:r>
      <w:r>
        <w:rPr>
          <w:rFonts w:ascii="Times New Roman" w:hAnsi="Times New Roman" w:cs="Times New Roman"/>
          <w:sz w:val="24"/>
          <w:szCs w:val="24"/>
        </w:rPr>
        <w:t>ies purport to respect many of these endeavours as fundamental rights under the Charter</w:t>
      </w:r>
      <w:r>
        <w:rPr>
          <w:rStyle w:val="FootnoteReference"/>
          <w:rFonts w:ascii="Times New Roman" w:hAnsi="Times New Roman" w:cs="Times New Roman"/>
          <w:sz w:val="24"/>
          <w:szCs w:val="24"/>
        </w:rPr>
        <w:footnoteReference w:id="106"/>
      </w:r>
      <w:r>
        <w:rPr>
          <w:rFonts w:ascii="Times New Roman" w:hAnsi="Times New Roman" w:cs="Times New Roman"/>
          <w:sz w:val="24"/>
          <w:szCs w:val="24"/>
        </w:rPr>
        <w:t xml:space="preserve"> and/or as specific Union goals.</w:t>
      </w:r>
      <w:r w:rsidR="00D022B3">
        <w:rPr>
          <w:rStyle w:val="FootnoteReference"/>
          <w:rFonts w:ascii="Times New Roman" w:hAnsi="Times New Roman" w:cs="Times New Roman"/>
          <w:sz w:val="24"/>
          <w:szCs w:val="24"/>
        </w:rPr>
        <w:footnoteReference w:id="107"/>
      </w:r>
      <w:r w:rsidR="002A64A5">
        <w:rPr>
          <w:rFonts w:ascii="Times New Roman" w:hAnsi="Times New Roman" w:cs="Times New Roman"/>
          <w:sz w:val="24"/>
          <w:szCs w:val="24"/>
        </w:rPr>
        <w:t xml:space="preserve"> H</w:t>
      </w:r>
      <w:r w:rsidR="00FC3476">
        <w:rPr>
          <w:rFonts w:ascii="Times New Roman" w:hAnsi="Times New Roman" w:cs="Times New Roman"/>
          <w:sz w:val="24"/>
          <w:szCs w:val="24"/>
        </w:rPr>
        <w:t>owever, the Treaty takes an uneven approach to the implementation of many of these objectives, dividing labour between the Union and the Member States. Thus, in some areas, such as social, environmental and consumer protection, the Union shares competence with the Member States. In areas such as education and health, the EU may only support, coordinate or supplement the actions of the Member States.</w:t>
      </w:r>
      <w:r w:rsidR="007A518E">
        <w:rPr>
          <w:rStyle w:val="FootnoteReference"/>
          <w:rFonts w:ascii="Times New Roman" w:hAnsi="Times New Roman" w:cs="Times New Roman"/>
          <w:sz w:val="24"/>
          <w:szCs w:val="24"/>
        </w:rPr>
        <w:footnoteReference w:id="108"/>
      </w:r>
      <w:r w:rsidR="00B27E47">
        <w:rPr>
          <w:rFonts w:ascii="Times New Roman" w:hAnsi="Times New Roman" w:cs="Times New Roman"/>
          <w:sz w:val="24"/>
          <w:szCs w:val="24"/>
        </w:rPr>
        <w:t xml:space="preserve"> As already noted, the EU has no general competence in the field of fundamental rights. Thus, in relation to many of its contemporary objectives, the EU relies on the Member States to meet its goals. For instance, Article 28 CFR protects the right to strike. However, Article 153(5) TFEU explicitly excludes EU legislative competence in this regard, while Article 153(1) explains that the Union will ‘support and complement’ the activities of the Member States in relation, </w:t>
      </w:r>
      <w:r w:rsidR="00B27E47">
        <w:rPr>
          <w:rFonts w:ascii="Times New Roman" w:hAnsi="Times New Roman" w:cs="Times New Roman"/>
          <w:i/>
          <w:sz w:val="24"/>
          <w:szCs w:val="24"/>
        </w:rPr>
        <w:t>inter alia</w:t>
      </w:r>
      <w:r w:rsidR="00B27E47">
        <w:rPr>
          <w:rFonts w:ascii="Times New Roman" w:hAnsi="Times New Roman" w:cs="Times New Roman"/>
          <w:sz w:val="24"/>
          <w:szCs w:val="24"/>
        </w:rPr>
        <w:t xml:space="preserve">, to the social protection of workers. </w:t>
      </w:r>
      <w:r w:rsidR="00CE6A34">
        <w:rPr>
          <w:rFonts w:ascii="Times New Roman" w:hAnsi="Times New Roman" w:cs="Times New Roman"/>
          <w:sz w:val="24"/>
          <w:szCs w:val="24"/>
        </w:rPr>
        <w:t xml:space="preserve"> </w:t>
      </w:r>
    </w:p>
    <w:p w14:paraId="5DF21A0B" w14:textId="77777777" w:rsidR="00342A9E" w:rsidRDefault="00342A9E" w:rsidP="00D022B3">
      <w:pPr>
        <w:pStyle w:val="NoSpacing"/>
        <w:jc w:val="both"/>
        <w:rPr>
          <w:rFonts w:ascii="Times New Roman" w:hAnsi="Times New Roman" w:cs="Times New Roman"/>
          <w:sz w:val="24"/>
          <w:szCs w:val="24"/>
        </w:rPr>
      </w:pPr>
    </w:p>
    <w:p w14:paraId="2BDDEF97" w14:textId="40F8981F" w:rsidR="008A7B01" w:rsidRDefault="00B27E47" w:rsidP="005E4D96">
      <w:pPr>
        <w:pStyle w:val="NoSpacing"/>
        <w:jc w:val="both"/>
        <w:rPr>
          <w:rFonts w:ascii="Times New Roman" w:hAnsi="Times New Roman" w:cs="Times New Roman"/>
          <w:sz w:val="24"/>
          <w:szCs w:val="24"/>
        </w:rPr>
      </w:pPr>
      <w:r>
        <w:rPr>
          <w:rFonts w:ascii="Times New Roman" w:hAnsi="Times New Roman" w:cs="Times New Roman"/>
          <w:sz w:val="24"/>
          <w:szCs w:val="24"/>
        </w:rPr>
        <w:t>Accordingly, against this background, we might expect to see an adjustment to the Court’s adjudicative methodology in recognition of the fact that free movement has evolved so as to interact not only with deliberately protectionist Member State law and policy, but also the public protection and private exercise of individual and collective fundamental rig</w:t>
      </w:r>
      <w:r w:rsidR="00A406EA">
        <w:rPr>
          <w:rFonts w:ascii="Times New Roman" w:hAnsi="Times New Roman" w:cs="Times New Roman"/>
          <w:sz w:val="24"/>
          <w:szCs w:val="24"/>
        </w:rPr>
        <w:t>hts. Even if viewed only from</w:t>
      </w:r>
      <w:r>
        <w:rPr>
          <w:rFonts w:ascii="Times New Roman" w:hAnsi="Times New Roman" w:cs="Times New Roman"/>
          <w:sz w:val="24"/>
          <w:szCs w:val="24"/>
        </w:rPr>
        <w:t xml:space="preserve"> a Union constitutional perspective, an adaptation of the CJEU’s approach to adjudication </w:t>
      </w:r>
      <w:r w:rsidR="0084599A">
        <w:rPr>
          <w:rFonts w:ascii="Times New Roman" w:hAnsi="Times New Roman" w:cs="Times New Roman"/>
          <w:sz w:val="24"/>
          <w:szCs w:val="24"/>
        </w:rPr>
        <w:t>might be anticipated in light of the fact that the division of labour within the Treaty effectively tasks the Member States wi</w:t>
      </w:r>
      <w:r w:rsidR="002A64A5">
        <w:rPr>
          <w:rFonts w:ascii="Times New Roman" w:hAnsi="Times New Roman" w:cs="Times New Roman"/>
          <w:sz w:val="24"/>
          <w:szCs w:val="24"/>
        </w:rPr>
        <w:t>th the attainment of many of the Union’s</w:t>
      </w:r>
      <w:r w:rsidR="0084599A">
        <w:rPr>
          <w:rFonts w:ascii="Times New Roman" w:hAnsi="Times New Roman" w:cs="Times New Roman"/>
          <w:sz w:val="24"/>
          <w:szCs w:val="24"/>
        </w:rPr>
        <w:t xml:space="preserve"> more socially-oriented goals.</w:t>
      </w:r>
    </w:p>
    <w:p w14:paraId="7C3D344A" w14:textId="77777777" w:rsidR="00E84528" w:rsidRDefault="00E84528" w:rsidP="00E84528">
      <w:pPr>
        <w:pStyle w:val="NoSpacing"/>
        <w:ind w:left="780"/>
        <w:jc w:val="both"/>
        <w:rPr>
          <w:rFonts w:ascii="Times New Roman" w:hAnsi="Times New Roman" w:cs="Times New Roman"/>
          <w:b/>
          <w:i/>
          <w:sz w:val="24"/>
          <w:szCs w:val="24"/>
        </w:rPr>
      </w:pPr>
    </w:p>
    <w:p w14:paraId="530C032D" w14:textId="77777777" w:rsidR="0084599A" w:rsidRDefault="0084599A" w:rsidP="00E84528">
      <w:pPr>
        <w:pStyle w:val="NoSpacing"/>
        <w:ind w:left="780"/>
        <w:jc w:val="both"/>
        <w:rPr>
          <w:rFonts w:ascii="Times New Roman" w:hAnsi="Times New Roman" w:cs="Times New Roman"/>
          <w:b/>
          <w:i/>
          <w:sz w:val="24"/>
          <w:szCs w:val="24"/>
        </w:rPr>
      </w:pPr>
    </w:p>
    <w:p w14:paraId="0EE2BEC6" w14:textId="77777777" w:rsidR="003E5F27" w:rsidRDefault="003E5F27" w:rsidP="003E5F27">
      <w:pPr>
        <w:pStyle w:val="NoSpacing"/>
        <w:numPr>
          <w:ilvl w:val="1"/>
          <w:numId w:val="2"/>
        </w:numPr>
        <w:jc w:val="both"/>
        <w:rPr>
          <w:rFonts w:ascii="Times New Roman" w:hAnsi="Times New Roman" w:cs="Times New Roman"/>
          <w:b/>
          <w:i/>
          <w:sz w:val="24"/>
          <w:szCs w:val="24"/>
        </w:rPr>
      </w:pPr>
      <w:r w:rsidRPr="00E84528">
        <w:rPr>
          <w:rFonts w:ascii="Times New Roman" w:hAnsi="Times New Roman" w:cs="Times New Roman"/>
          <w:b/>
          <w:i/>
          <w:sz w:val="24"/>
          <w:szCs w:val="24"/>
        </w:rPr>
        <w:t xml:space="preserve">The maintenance of </w:t>
      </w:r>
      <w:r w:rsidR="0084599A">
        <w:rPr>
          <w:rFonts w:ascii="Times New Roman" w:hAnsi="Times New Roman" w:cs="Times New Roman"/>
          <w:b/>
          <w:i/>
          <w:sz w:val="24"/>
          <w:szCs w:val="24"/>
        </w:rPr>
        <w:t xml:space="preserve">the breach/justification </w:t>
      </w:r>
      <w:r w:rsidRPr="00E84528">
        <w:rPr>
          <w:rFonts w:ascii="Times New Roman" w:hAnsi="Times New Roman" w:cs="Times New Roman"/>
          <w:b/>
          <w:i/>
          <w:sz w:val="24"/>
          <w:szCs w:val="24"/>
        </w:rPr>
        <w:t>methodology</w:t>
      </w:r>
    </w:p>
    <w:p w14:paraId="2BBD7B36" w14:textId="77777777" w:rsidR="0093331C" w:rsidRDefault="0093331C" w:rsidP="0093331C">
      <w:pPr>
        <w:pStyle w:val="NoSpacing"/>
        <w:jc w:val="both"/>
        <w:rPr>
          <w:rFonts w:ascii="Times New Roman" w:hAnsi="Times New Roman" w:cs="Times New Roman"/>
          <w:b/>
          <w:i/>
          <w:sz w:val="24"/>
          <w:szCs w:val="24"/>
        </w:rPr>
      </w:pPr>
    </w:p>
    <w:p w14:paraId="1F2C92D2" w14:textId="6F703BC6" w:rsidR="009618B1" w:rsidRDefault="00064E13" w:rsidP="0093331C">
      <w:pPr>
        <w:pStyle w:val="NoSpacing"/>
        <w:jc w:val="both"/>
        <w:rPr>
          <w:rFonts w:ascii="Times New Roman" w:hAnsi="Times New Roman" w:cs="Times New Roman"/>
          <w:sz w:val="24"/>
          <w:szCs w:val="24"/>
        </w:rPr>
      </w:pPr>
      <w:r>
        <w:rPr>
          <w:rFonts w:ascii="Times New Roman" w:hAnsi="Times New Roman" w:cs="Times New Roman"/>
          <w:sz w:val="24"/>
          <w:szCs w:val="24"/>
        </w:rPr>
        <w:t>However, though the Court has recognised the qualitatively different nature of interactions between free movement and domestic rules through its substantive introduction of the mandatory requirements,</w:t>
      </w:r>
      <w:r w:rsidR="00F75EA1">
        <w:rPr>
          <w:rStyle w:val="FootnoteReference"/>
          <w:rFonts w:ascii="Times New Roman" w:hAnsi="Times New Roman" w:cs="Times New Roman"/>
          <w:sz w:val="24"/>
          <w:szCs w:val="24"/>
        </w:rPr>
        <w:footnoteReference w:id="109"/>
      </w:r>
      <w:r>
        <w:rPr>
          <w:rFonts w:ascii="Times New Roman" w:hAnsi="Times New Roman" w:cs="Times New Roman"/>
          <w:sz w:val="24"/>
          <w:szCs w:val="24"/>
        </w:rPr>
        <w:t xml:space="preserve"> this has not been echoed by a change in its adjudicative methodology</w:t>
      </w:r>
      <w:r w:rsidR="002B5C25">
        <w:rPr>
          <w:rFonts w:ascii="Times New Roman" w:hAnsi="Times New Roman" w:cs="Times New Roman"/>
          <w:sz w:val="24"/>
          <w:szCs w:val="24"/>
        </w:rPr>
        <w:t>. In all of the</w:t>
      </w:r>
      <w:r w:rsidR="00F75EA1">
        <w:rPr>
          <w:rFonts w:ascii="Times New Roman" w:hAnsi="Times New Roman" w:cs="Times New Roman"/>
          <w:sz w:val="24"/>
          <w:szCs w:val="24"/>
        </w:rPr>
        <w:t xml:space="preserve"> </w:t>
      </w:r>
      <w:r w:rsidR="00C6417C">
        <w:rPr>
          <w:rFonts w:ascii="Times New Roman" w:hAnsi="Times New Roman" w:cs="Times New Roman"/>
          <w:sz w:val="24"/>
          <w:szCs w:val="24"/>
        </w:rPr>
        <w:t xml:space="preserve">new free movement </w:t>
      </w:r>
      <w:r w:rsidR="00F75EA1">
        <w:rPr>
          <w:rFonts w:ascii="Times New Roman" w:hAnsi="Times New Roman" w:cs="Times New Roman"/>
          <w:sz w:val="24"/>
          <w:szCs w:val="24"/>
        </w:rPr>
        <w:t xml:space="preserve">situations outlined in the previous </w:t>
      </w:r>
      <w:r w:rsidR="00025EB6">
        <w:rPr>
          <w:rFonts w:ascii="Times New Roman" w:hAnsi="Times New Roman" w:cs="Times New Roman"/>
          <w:sz w:val="24"/>
          <w:szCs w:val="24"/>
        </w:rPr>
        <w:t>sub</w:t>
      </w:r>
      <w:r w:rsidR="00F75EA1">
        <w:rPr>
          <w:rFonts w:ascii="Times New Roman" w:hAnsi="Times New Roman" w:cs="Times New Roman"/>
          <w:sz w:val="24"/>
          <w:szCs w:val="24"/>
        </w:rPr>
        <w:t>section, the Court has retained th</w:t>
      </w:r>
      <w:r w:rsidR="006A3882">
        <w:rPr>
          <w:rFonts w:ascii="Times New Roman" w:hAnsi="Times New Roman" w:cs="Times New Roman"/>
          <w:sz w:val="24"/>
          <w:szCs w:val="24"/>
        </w:rPr>
        <w:t xml:space="preserve">e two-stage </w:t>
      </w:r>
      <w:r w:rsidR="00F75EA1">
        <w:rPr>
          <w:rFonts w:ascii="Times New Roman" w:hAnsi="Times New Roman" w:cs="Times New Roman"/>
          <w:sz w:val="24"/>
          <w:szCs w:val="24"/>
        </w:rPr>
        <w:t>m</w:t>
      </w:r>
      <w:r w:rsidR="00424116">
        <w:rPr>
          <w:rFonts w:ascii="Times New Roman" w:hAnsi="Times New Roman" w:cs="Times New Roman"/>
          <w:sz w:val="24"/>
          <w:szCs w:val="24"/>
        </w:rPr>
        <w:t xml:space="preserve">odel </w:t>
      </w:r>
      <w:r w:rsidR="00F75EA1">
        <w:rPr>
          <w:rFonts w:ascii="Times New Roman" w:hAnsi="Times New Roman" w:cs="Times New Roman"/>
          <w:sz w:val="24"/>
          <w:szCs w:val="24"/>
        </w:rPr>
        <w:t>it developed in the context of conflicts between the market freedoms and protectionist Member State conduct.</w:t>
      </w:r>
      <w:r w:rsidR="00F75EA1">
        <w:rPr>
          <w:rStyle w:val="FootnoteReference"/>
          <w:rFonts w:ascii="Times New Roman" w:hAnsi="Times New Roman" w:cs="Times New Roman"/>
          <w:sz w:val="24"/>
          <w:szCs w:val="24"/>
        </w:rPr>
        <w:footnoteReference w:id="110"/>
      </w:r>
      <w:r w:rsidR="006A3882">
        <w:rPr>
          <w:rFonts w:ascii="Times New Roman" w:hAnsi="Times New Roman" w:cs="Times New Roman"/>
          <w:sz w:val="24"/>
          <w:szCs w:val="24"/>
        </w:rPr>
        <w:t xml:space="preserve"> </w:t>
      </w:r>
      <w:r w:rsidR="00891DFD">
        <w:rPr>
          <w:rFonts w:ascii="Times New Roman" w:hAnsi="Times New Roman" w:cs="Times New Roman"/>
          <w:sz w:val="24"/>
          <w:szCs w:val="24"/>
        </w:rPr>
        <w:t xml:space="preserve">The problem with the </w:t>
      </w:r>
      <w:r w:rsidR="00891DFD">
        <w:rPr>
          <w:rFonts w:ascii="Times New Roman" w:hAnsi="Times New Roman" w:cs="Times New Roman"/>
          <w:sz w:val="24"/>
          <w:szCs w:val="24"/>
        </w:rPr>
        <w:lastRenderedPageBreak/>
        <w:t>maintenance of the breach/justification approach is that it provides</w:t>
      </w:r>
      <w:r w:rsidR="00891DFD" w:rsidRPr="00891DFD">
        <w:rPr>
          <w:rFonts w:ascii="Times New Roman" w:hAnsi="Times New Roman" w:cs="Times New Roman"/>
          <w:sz w:val="24"/>
          <w:szCs w:val="24"/>
        </w:rPr>
        <w:t xml:space="preserve"> </w:t>
      </w:r>
      <w:r w:rsidR="00891DFD">
        <w:rPr>
          <w:rFonts w:ascii="Times New Roman" w:hAnsi="Times New Roman" w:cs="Times New Roman"/>
          <w:sz w:val="24"/>
          <w:szCs w:val="24"/>
        </w:rPr>
        <w:t>no mechanism, at its first stage, for examining the nature of the obstacle to free movement. Under this framework, a</w:t>
      </w:r>
      <w:r w:rsidR="00A963C9">
        <w:rPr>
          <w:rFonts w:ascii="Times New Roman" w:hAnsi="Times New Roman" w:cs="Times New Roman"/>
          <w:sz w:val="24"/>
          <w:szCs w:val="24"/>
        </w:rPr>
        <w:t>ll types of obstacle are simply presented as a barrier</w:t>
      </w:r>
      <w:r w:rsidR="00B00231">
        <w:rPr>
          <w:rFonts w:ascii="Times New Roman" w:hAnsi="Times New Roman" w:cs="Times New Roman"/>
          <w:sz w:val="24"/>
          <w:szCs w:val="24"/>
        </w:rPr>
        <w:t>, with no differentiation between</w:t>
      </w:r>
      <w:r w:rsidR="00891DFD">
        <w:rPr>
          <w:rFonts w:ascii="Times New Roman" w:hAnsi="Times New Roman" w:cs="Times New Roman"/>
          <w:sz w:val="24"/>
          <w:szCs w:val="24"/>
        </w:rPr>
        <w:t xml:space="preserve"> protectionist Member State policy and domestic public or private activity targeted at protecting or exe</w:t>
      </w:r>
      <w:r w:rsidR="00B00231">
        <w:rPr>
          <w:rFonts w:ascii="Times New Roman" w:hAnsi="Times New Roman" w:cs="Times New Roman"/>
          <w:sz w:val="24"/>
          <w:szCs w:val="24"/>
        </w:rPr>
        <w:t xml:space="preserve">rcising fundamental rights, </w:t>
      </w:r>
      <w:r w:rsidR="00284B92">
        <w:rPr>
          <w:rFonts w:ascii="Times New Roman" w:hAnsi="Times New Roman" w:cs="Times New Roman"/>
          <w:sz w:val="24"/>
          <w:szCs w:val="24"/>
        </w:rPr>
        <w:t>and having only</w:t>
      </w:r>
      <w:r w:rsidR="00891DFD">
        <w:rPr>
          <w:rFonts w:ascii="Times New Roman" w:hAnsi="Times New Roman" w:cs="Times New Roman"/>
          <w:sz w:val="24"/>
          <w:szCs w:val="24"/>
        </w:rPr>
        <w:t xml:space="preserve"> indirect effects on free movement. Accordingly, fundamental rights fall to be assessed at the justifications stage and must overcome the same </w:t>
      </w:r>
      <w:r w:rsidR="009618B1">
        <w:rPr>
          <w:rFonts w:ascii="Times New Roman" w:hAnsi="Times New Roman" w:cs="Times New Roman"/>
          <w:sz w:val="24"/>
          <w:szCs w:val="24"/>
        </w:rPr>
        <w:t>evidential hurdles imposed by the principle of proportionality that</w:t>
      </w:r>
      <w:r w:rsidR="00C6417C">
        <w:rPr>
          <w:rFonts w:ascii="Times New Roman" w:hAnsi="Times New Roman" w:cs="Times New Roman"/>
          <w:sz w:val="24"/>
          <w:szCs w:val="24"/>
        </w:rPr>
        <w:t xml:space="preserve"> were originally introduced to tackle protectionism</w:t>
      </w:r>
      <w:r w:rsidR="009618B1">
        <w:rPr>
          <w:rFonts w:ascii="Times New Roman" w:hAnsi="Times New Roman" w:cs="Times New Roman"/>
          <w:sz w:val="24"/>
          <w:szCs w:val="24"/>
        </w:rPr>
        <w:t xml:space="preserve">, despite their qualitatively different nature. </w:t>
      </w:r>
    </w:p>
    <w:p w14:paraId="0C0951B7" w14:textId="77777777" w:rsidR="009618B1" w:rsidRDefault="009618B1" w:rsidP="0093331C">
      <w:pPr>
        <w:pStyle w:val="NoSpacing"/>
        <w:jc w:val="both"/>
        <w:rPr>
          <w:rFonts w:ascii="Times New Roman" w:hAnsi="Times New Roman" w:cs="Times New Roman"/>
          <w:sz w:val="24"/>
          <w:szCs w:val="24"/>
        </w:rPr>
      </w:pPr>
    </w:p>
    <w:p w14:paraId="5C90A1A3" w14:textId="099F7EC0" w:rsidR="00C6417C" w:rsidRDefault="009618B1" w:rsidP="0093331C">
      <w:pPr>
        <w:pStyle w:val="NoSpacing"/>
        <w:jc w:val="both"/>
        <w:rPr>
          <w:rFonts w:ascii="Times New Roman" w:hAnsi="Times New Roman" w:cs="Times New Roman"/>
          <w:sz w:val="24"/>
          <w:szCs w:val="24"/>
        </w:rPr>
      </w:pPr>
      <w:r>
        <w:rPr>
          <w:rFonts w:ascii="Times New Roman" w:hAnsi="Times New Roman" w:cs="Times New Roman"/>
          <w:sz w:val="24"/>
          <w:szCs w:val="24"/>
        </w:rPr>
        <w:t>In other words, a</w:t>
      </w:r>
      <w:r w:rsidR="00891DFD">
        <w:rPr>
          <w:rFonts w:ascii="Times New Roman" w:hAnsi="Times New Roman" w:cs="Times New Roman"/>
          <w:sz w:val="24"/>
          <w:szCs w:val="24"/>
        </w:rPr>
        <w:t>n adjudicative methodology</w:t>
      </w:r>
      <w:r>
        <w:rPr>
          <w:rFonts w:ascii="Times New Roman" w:hAnsi="Times New Roman" w:cs="Times New Roman"/>
          <w:sz w:val="24"/>
          <w:szCs w:val="24"/>
        </w:rPr>
        <w:t xml:space="preserve"> designed to offer</w:t>
      </w:r>
      <w:r w:rsidR="00891DFD">
        <w:rPr>
          <w:rFonts w:ascii="Times New Roman" w:hAnsi="Times New Roman" w:cs="Times New Roman"/>
          <w:sz w:val="24"/>
          <w:szCs w:val="24"/>
        </w:rPr>
        <w:t xml:space="preserve"> a structural preference to free movement, as a self-evident good within the constitutional parameters of the Rome Treaty, over protectionist activity that, within those the same constitutional bound</w:t>
      </w:r>
      <w:r>
        <w:rPr>
          <w:rFonts w:ascii="Times New Roman" w:hAnsi="Times New Roman" w:cs="Times New Roman"/>
          <w:sz w:val="24"/>
          <w:szCs w:val="24"/>
        </w:rPr>
        <w:t>aries</w:t>
      </w:r>
      <w:r w:rsidR="00545479">
        <w:rPr>
          <w:rFonts w:ascii="Times New Roman" w:hAnsi="Times New Roman" w:cs="Times New Roman"/>
          <w:sz w:val="24"/>
          <w:szCs w:val="24"/>
        </w:rPr>
        <w:t>, is a self-evident wrong</w:t>
      </w:r>
      <w:r>
        <w:rPr>
          <w:rFonts w:ascii="Times New Roman" w:hAnsi="Times New Roman" w:cs="Times New Roman"/>
          <w:sz w:val="24"/>
          <w:szCs w:val="24"/>
        </w:rPr>
        <w:t xml:space="preserve"> was largely logical</w:t>
      </w:r>
      <w:r w:rsidR="00891DFD">
        <w:rPr>
          <w:rFonts w:ascii="Times New Roman" w:hAnsi="Times New Roman" w:cs="Times New Roman"/>
          <w:sz w:val="24"/>
          <w:szCs w:val="24"/>
        </w:rPr>
        <w:t>.</w:t>
      </w:r>
      <w:r>
        <w:rPr>
          <w:rFonts w:ascii="Times New Roman" w:hAnsi="Times New Roman" w:cs="Times New Roman"/>
          <w:sz w:val="24"/>
          <w:szCs w:val="24"/>
        </w:rPr>
        <w:t xml:space="preserve"> </w:t>
      </w:r>
      <w:r w:rsidR="00326668">
        <w:rPr>
          <w:rFonts w:ascii="Times New Roman" w:hAnsi="Times New Roman" w:cs="Times New Roman"/>
          <w:sz w:val="24"/>
          <w:szCs w:val="24"/>
        </w:rPr>
        <w:t xml:space="preserve">The problem in the contemporary free movement environment is that such a juxtaposition is now far from obvious. Now, free movement often interacts with other ‘goods’ or arguably, in the context of fundamental rights, with endeavours of greater importance than economic integration. Yet, these new free movement dynamics have been slotted into the pre-existing breach/justification methodology, resulting in the presentation of fundamental rights as </w:t>
      </w:r>
      <w:r w:rsidR="00326668">
        <w:rPr>
          <w:rFonts w:ascii="Times New Roman" w:hAnsi="Times New Roman" w:cs="Times New Roman"/>
          <w:i/>
          <w:sz w:val="24"/>
          <w:szCs w:val="24"/>
        </w:rPr>
        <w:t xml:space="preserve">prima facie </w:t>
      </w:r>
      <w:r w:rsidR="00326668">
        <w:rPr>
          <w:rFonts w:ascii="Times New Roman" w:hAnsi="Times New Roman" w:cs="Times New Roman"/>
          <w:sz w:val="24"/>
          <w:szCs w:val="24"/>
        </w:rPr>
        <w:t xml:space="preserve">‘wrongs’ in need of defence and justification. </w:t>
      </w:r>
      <w:r w:rsidR="00D1444C">
        <w:rPr>
          <w:rFonts w:ascii="Times New Roman" w:hAnsi="Times New Roman" w:cs="Times New Roman"/>
          <w:sz w:val="24"/>
          <w:szCs w:val="24"/>
        </w:rPr>
        <w:t>More broadly, there is no real mechanism for recognising that many national measures that conflict with f</w:t>
      </w:r>
      <w:r w:rsidR="00F61657">
        <w:rPr>
          <w:rFonts w:ascii="Times New Roman" w:hAnsi="Times New Roman" w:cs="Times New Roman"/>
          <w:sz w:val="24"/>
          <w:szCs w:val="24"/>
        </w:rPr>
        <w:t>ree movement</w:t>
      </w:r>
      <w:r w:rsidR="00D1444C">
        <w:rPr>
          <w:rFonts w:ascii="Times New Roman" w:hAnsi="Times New Roman" w:cs="Times New Roman"/>
          <w:sz w:val="24"/>
          <w:szCs w:val="24"/>
        </w:rPr>
        <w:t xml:space="preserve"> rights nevertheless accord with the wider aims of the contemporary Union</w:t>
      </w:r>
      <w:r w:rsidR="000C1EBC">
        <w:rPr>
          <w:rFonts w:ascii="Times New Roman" w:hAnsi="Times New Roman" w:cs="Times New Roman"/>
          <w:sz w:val="24"/>
          <w:szCs w:val="24"/>
        </w:rPr>
        <w:t xml:space="preserve"> or the fact that the Treaty explicitly reasserts the competence of the Member States in relation to some of these policy goals.</w:t>
      </w:r>
      <w:r w:rsidR="002D684B">
        <w:rPr>
          <w:rStyle w:val="FootnoteReference"/>
          <w:rFonts w:ascii="Times New Roman" w:hAnsi="Times New Roman" w:cs="Times New Roman"/>
          <w:sz w:val="24"/>
          <w:szCs w:val="24"/>
        </w:rPr>
        <w:footnoteReference w:id="111"/>
      </w:r>
      <w:r w:rsidR="002D684B">
        <w:rPr>
          <w:rFonts w:ascii="Times New Roman" w:hAnsi="Times New Roman" w:cs="Times New Roman"/>
          <w:sz w:val="24"/>
          <w:szCs w:val="24"/>
        </w:rPr>
        <w:t xml:space="preserve"> </w:t>
      </w:r>
      <w:r w:rsidR="00D8351A">
        <w:rPr>
          <w:rFonts w:ascii="Times New Roman" w:hAnsi="Times New Roman" w:cs="Times New Roman"/>
          <w:sz w:val="24"/>
          <w:szCs w:val="24"/>
        </w:rPr>
        <w:t>Indeed</w:t>
      </w:r>
      <w:r w:rsidR="00927ABF">
        <w:rPr>
          <w:rFonts w:ascii="Times New Roman" w:hAnsi="Times New Roman" w:cs="Times New Roman"/>
          <w:sz w:val="24"/>
          <w:szCs w:val="24"/>
        </w:rPr>
        <w:t>,</w:t>
      </w:r>
      <w:r w:rsidR="00D8351A">
        <w:rPr>
          <w:rFonts w:ascii="Times New Roman" w:hAnsi="Times New Roman" w:cs="Times New Roman"/>
          <w:sz w:val="24"/>
          <w:szCs w:val="24"/>
        </w:rPr>
        <w:t xml:space="preserve"> as a result of the breach/justification methodology, </w:t>
      </w:r>
      <w:r w:rsidR="00927ABF">
        <w:rPr>
          <w:rFonts w:ascii="Times New Roman" w:hAnsi="Times New Roman" w:cs="Times New Roman"/>
          <w:sz w:val="24"/>
          <w:szCs w:val="24"/>
        </w:rPr>
        <w:t>in the</w:t>
      </w:r>
      <w:r w:rsidR="00F61657">
        <w:rPr>
          <w:rFonts w:ascii="Times New Roman" w:hAnsi="Times New Roman" w:cs="Times New Roman"/>
          <w:sz w:val="24"/>
          <w:szCs w:val="24"/>
        </w:rPr>
        <w:t xml:space="preserve"> free movement </w:t>
      </w:r>
      <w:r w:rsidR="00927ABF">
        <w:rPr>
          <w:rFonts w:ascii="Times New Roman" w:hAnsi="Times New Roman" w:cs="Times New Roman"/>
          <w:sz w:val="24"/>
          <w:szCs w:val="24"/>
        </w:rPr>
        <w:t xml:space="preserve">context, </w:t>
      </w:r>
      <w:r w:rsidR="00CA01D6">
        <w:rPr>
          <w:rFonts w:ascii="Times New Roman" w:hAnsi="Times New Roman" w:cs="Times New Roman"/>
          <w:sz w:val="24"/>
          <w:szCs w:val="24"/>
        </w:rPr>
        <w:t>Member State measures pursuing many of these objectives risk being</w:t>
      </w:r>
      <w:r w:rsidR="00927ABF">
        <w:rPr>
          <w:rFonts w:ascii="Times New Roman" w:hAnsi="Times New Roman" w:cs="Times New Roman"/>
          <w:sz w:val="24"/>
          <w:szCs w:val="24"/>
        </w:rPr>
        <w:t xml:space="preserve"> reconceptualised as </w:t>
      </w:r>
      <w:r w:rsidR="00927ABF">
        <w:rPr>
          <w:rFonts w:ascii="Times New Roman" w:hAnsi="Times New Roman" w:cs="Times New Roman"/>
          <w:i/>
          <w:sz w:val="24"/>
          <w:szCs w:val="24"/>
        </w:rPr>
        <w:t>prima facie</w:t>
      </w:r>
      <w:r w:rsidR="00927ABF">
        <w:rPr>
          <w:rFonts w:ascii="Times New Roman" w:hAnsi="Times New Roman" w:cs="Times New Roman"/>
          <w:sz w:val="24"/>
          <w:szCs w:val="24"/>
        </w:rPr>
        <w:t xml:space="preserve"> breaches of Union law.</w:t>
      </w:r>
    </w:p>
    <w:p w14:paraId="3395C0FC" w14:textId="77777777" w:rsidR="00C6417C" w:rsidRDefault="00C6417C" w:rsidP="0093331C">
      <w:pPr>
        <w:pStyle w:val="NoSpacing"/>
        <w:jc w:val="both"/>
        <w:rPr>
          <w:rFonts w:ascii="Times New Roman" w:hAnsi="Times New Roman" w:cs="Times New Roman"/>
          <w:sz w:val="24"/>
          <w:szCs w:val="24"/>
        </w:rPr>
      </w:pPr>
    </w:p>
    <w:p w14:paraId="13194410" w14:textId="77777777" w:rsidR="00D64197" w:rsidRDefault="001F2BC9" w:rsidP="00D6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If anything, what has occurred is a reinforcement of this adjudicative imbalance, through the </w:t>
      </w:r>
      <w:r w:rsidR="00F61657">
        <w:rPr>
          <w:rFonts w:ascii="Times New Roman" w:hAnsi="Times New Roman" w:cs="Times New Roman"/>
          <w:sz w:val="24"/>
          <w:szCs w:val="24"/>
        </w:rPr>
        <w:t xml:space="preserve">widening of the evidentiary gap between the breach and the justification stages as free movement law has evolved. </w:t>
      </w:r>
      <w:r w:rsidR="00D64197">
        <w:rPr>
          <w:rFonts w:ascii="Times New Roman" w:hAnsi="Times New Roman" w:cs="Times New Roman"/>
          <w:sz w:val="24"/>
          <w:szCs w:val="24"/>
        </w:rPr>
        <w:t>For instance, the language surrounding the substantive expansion of potential justifications</w:t>
      </w:r>
      <w:r w:rsidR="0018012A">
        <w:rPr>
          <w:rFonts w:ascii="Times New Roman" w:hAnsi="Times New Roman" w:cs="Times New Roman"/>
          <w:sz w:val="24"/>
          <w:szCs w:val="24"/>
        </w:rPr>
        <w:t xml:space="preserve"> to </w:t>
      </w:r>
      <w:r w:rsidR="00545479">
        <w:rPr>
          <w:rFonts w:ascii="Times New Roman" w:hAnsi="Times New Roman" w:cs="Times New Roman"/>
          <w:sz w:val="24"/>
          <w:szCs w:val="24"/>
        </w:rPr>
        <w:t xml:space="preserve">non-discriminatory </w:t>
      </w:r>
      <w:r w:rsidR="0018012A">
        <w:rPr>
          <w:rFonts w:ascii="Times New Roman" w:hAnsi="Times New Roman" w:cs="Times New Roman"/>
          <w:sz w:val="24"/>
          <w:szCs w:val="24"/>
        </w:rPr>
        <w:t>restrictions nonetheless</w:t>
      </w:r>
      <w:r w:rsidR="00D64197">
        <w:rPr>
          <w:rFonts w:ascii="Times New Roman" w:hAnsi="Times New Roman" w:cs="Times New Roman"/>
          <w:sz w:val="24"/>
          <w:szCs w:val="24"/>
        </w:rPr>
        <w:t xml:space="preserve"> connotes the procedural subjugation of national rules: they must be ‘mandatory’, ‘imperative’ or ‘overriding’.</w:t>
      </w:r>
      <w:r w:rsidR="00D64197">
        <w:rPr>
          <w:rStyle w:val="FootnoteReference"/>
          <w:rFonts w:ascii="Times New Roman" w:hAnsi="Times New Roman" w:cs="Times New Roman"/>
          <w:sz w:val="24"/>
          <w:szCs w:val="24"/>
        </w:rPr>
        <w:footnoteReference w:id="112"/>
      </w:r>
      <w:r w:rsidR="00D64197">
        <w:rPr>
          <w:rFonts w:ascii="Times New Roman" w:hAnsi="Times New Roman" w:cs="Times New Roman"/>
          <w:sz w:val="24"/>
          <w:szCs w:val="24"/>
        </w:rPr>
        <w:t xml:space="preserve"> Further,</w:t>
      </w:r>
      <w:r w:rsidR="0018012A">
        <w:rPr>
          <w:rFonts w:ascii="Times New Roman" w:hAnsi="Times New Roman" w:cs="Times New Roman"/>
          <w:sz w:val="24"/>
          <w:szCs w:val="24"/>
        </w:rPr>
        <w:t xml:space="preserve"> in</w:t>
      </w:r>
      <w:r w:rsidR="00D64197">
        <w:rPr>
          <w:rFonts w:ascii="Times New Roman" w:hAnsi="Times New Roman" w:cs="Times New Roman"/>
          <w:sz w:val="24"/>
          <w:szCs w:val="24"/>
        </w:rPr>
        <w:t xml:space="preserve"> </w:t>
      </w:r>
      <w:r w:rsidR="0018012A">
        <w:rPr>
          <w:rFonts w:ascii="Times New Roman" w:hAnsi="Times New Roman" w:cs="Times New Roman"/>
          <w:i/>
          <w:sz w:val="24"/>
          <w:szCs w:val="24"/>
        </w:rPr>
        <w:t>Gebhard</w:t>
      </w:r>
      <w:r w:rsidR="0018012A">
        <w:rPr>
          <w:rFonts w:ascii="Times New Roman" w:hAnsi="Times New Roman" w:cs="Times New Roman"/>
          <w:sz w:val="24"/>
          <w:szCs w:val="24"/>
        </w:rPr>
        <w:t xml:space="preserve">, the Court directly transferred </w:t>
      </w:r>
      <w:r w:rsidR="00CF318A">
        <w:rPr>
          <w:rFonts w:ascii="Times New Roman" w:hAnsi="Times New Roman" w:cs="Times New Roman"/>
          <w:sz w:val="24"/>
          <w:szCs w:val="24"/>
        </w:rPr>
        <w:t xml:space="preserve">the proportionality test used for directly discriminatory measures into the assessment of whether </w:t>
      </w:r>
      <w:r w:rsidR="0018012A">
        <w:rPr>
          <w:rFonts w:ascii="Times New Roman" w:hAnsi="Times New Roman" w:cs="Times New Roman"/>
          <w:sz w:val="24"/>
          <w:szCs w:val="24"/>
        </w:rPr>
        <w:t>non-discriminatory obstacles to free movement can be justified in practice.</w:t>
      </w:r>
      <w:r w:rsidR="00D64197">
        <w:rPr>
          <w:rStyle w:val="FootnoteReference"/>
          <w:rFonts w:ascii="Times New Roman" w:hAnsi="Times New Roman" w:cs="Times New Roman"/>
          <w:sz w:val="24"/>
          <w:szCs w:val="24"/>
        </w:rPr>
        <w:footnoteReference w:id="113"/>
      </w:r>
      <w:r w:rsidR="00D64197">
        <w:rPr>
          <w:rFonts w:ascii="Times New Roman" w:hAnsi="Times New Roman" w:cs="Times New Roman"/>
          <w:sz w:val="24"/>
          <w:szCs w:val="24"/>
        </w:rPr>
        <w:t xml:space="preserve"> This case also confirms th</w:t>
      </w:r>
      <w:r>
        <w:rPr>
          <w:rFonts w:ascii="Times New Roman" w:hAnsi="Times New Roman" w:cs="Times New Roman"/>
          <w:sz w:val="24"/>
          <w:szCs w:val="24"/>
        </w:rPr>
        <w:t>at necessity is generally determin</w:t>
      </w:r>
      <w:r w:rsidR="00D64197">
        <w:rPr>
          <w:rFonts w:ascii="Times New Roman" w:hAnsi="Times New Roman" w:cs="Times New Roman"/>
          <w:sz w:val="24"/>
          <w:szCs w:val="24"/>
        </w:rPr>
        <w:t>ed by reference to whether measures less restrictive of free movement are available.</w:t>
      </w:r>
      <w:r w:rsidR="00D64197">
        <w:rPr>
          <w:rStyle w:val="FootnoteReference"/>
          <w:rFonts w:ascii="Times New Roman" w:hAnsi="Times New Roman" w:cs="Times New Roman"/>
          <w:sz w:val="24"/>
          <w:szCs w:val="24"/>
        </w:rPr>
        <w:footnoteReference w:id="114"/>
      </w:r>
      <w:r w:rsidR="001F050A">
        <w:rPr>
          <w:rFonts w:ascii="Times New Roman" w:hAnsi="Times New Roman" w:cs="Times New Roman"/>
          <w:sz w:val="24"/>
          <w:szCs w:val="24"/>
        </w:rPr>
        <w:t xml:space="preserve"> T</w:t>
      </w:r>
      <w:r w:rsidR="00D64197">
        <w:rPr>
          <w:rFonts w:ascii="Times New Roman" w:hAnsi="Times New Roman" w:cs="Times New Roman"/>
          <w:sz w:val="24"/>
          <w:szCs w:val="24"/>
        </w:rPr>
        <w:t xml:space="preserve">he </w:t>
      </w:r>
      <w:r w:rsidR="00D64197">
        <w:rPr>
          <w:rFonts w:ascii="Times New Roman" w:hAnsi="Times New Roman" w:cs="Times New Roman"/>
          <w:i/>
          <w:sz w:val="24"/>
          <w:szCs w:val="24"/>
        </w:rPr>
        <w:t>Gebhard</w:t>
      </w:r>
      <w:r w:rsidR="00D64197">
        <w:rPr>
          <w:rFonts w:ascii="Times New Roman" w:hAnsi="Times New Roman" w:cs="Times New Roman"/>
          <w:sz w:val="24"/>
          <w:szCs w:val="24"/>
        </w:rPr>
        <w:t xml:space="preserve"> formula was </w:t>
      </w:r>
      <w:r w:rsidR="001F050A">
        <w:rPr>
          <w:rFonts w:ascii="Times New Roman" w:hAnsi="Times New Roman" w:cs="Times New Roman"/>
          <w:sz w:val="24"/>
          <w:szCs w:val="24"/>
        </w:rPr>
        <w:t xml:space="preserve">subsequently </w:t>
      </w:r>
      <w:r w:rsidR="00D64197">
        <w:rPr>
          <w:rFonts w:ascii="Times New Roman" w:hAnsi="Times New Roman" w:cs="Times New Roman"/>
          <w:sz w:val="24"/>
          <w:szCs w:val="24"/>
        </w:rPr>
        <w:t>applied in</w:t>
      </w:r>
      <w:r w:rsidR="001F050A">
        <w:rPr>
          <w:rFonts w:ascii="Times New Roman" w:hAnsi="Times New Roman" w:cs="Times New Roman"/>
          <w:sz w:val="24"/>
          <w:szCs w:val="24"/>
        </w:rPr>
        <w:t xml:space="preserve"> fundamental rights cases such as</w:t>
      </w:r>
      <w:r w:rsidR="00D64197">
        <w:rPr>
          <w:rFonts w:ascii="Times New Roman" w:hAnsi="Times New Roman" w:cs="Times New Roman"/>
          <w:sz w:val="24"/>
          <w:szCs w:val="24"/>
        </w:rPr>
        <w:t xml:space="preserve"> </w:t>
      </w:r>
      <w:r w:rsidR="00D64197">
        <w:rPr>
          <w:rFonts w:ascii="Times New Roman" w:hAnsi="Times New Roman" w:cs="Times New Roman"/>
          <w:i/>
          <w:sz w:val="24"/>
          <w:szCs w:val="24"/>
        </w:rPr>
        <w:t>Familiapress, Omega, Viking, Laval, Rüffert</w:t>
      </w:r>
      <w:r w:rsidR="00D64197">
        <w:rPr>
          <w:rFonts w:ascii="Times New Roman" w:hAnsi="Times New Roman" w:cs="Times New Roman"/>
          <w:sz w:val="24"/>
          <w:szCs w:val="24"/>
        </w:rPr>
        <w:t>,</w:t>
      </w:r>
      <w:r w:rsidR="00D64197">
        <w:rPr>
          <w:rFonts w:ascii="Times New Roman" w:hAnsi="Times New Roman" w:cs="Times New Roman"/>
          <w:i/>
          <w:sz w:val="24"/>
          <w:szCs w:val="24"/>
        </w:rPr>
        <w:t xml:space="preserve"> Commission v Luxembourg</w:t>
      </w:r>
      <w:r w:rsidR="001F050A">
        <w:rPr>
          <w:rFonts w:ascii="Times New Roman" w:hAnsi="Times New Roman" w:cs="Times New Roman"/>
          <w:i/>
          <w:sz w:val="24"/>
          <w:szCs w:val="24"/>
        </w:rPr>
        <w:t>,</w:t>
      </w:r>
      <w:r w:rsidR="00D64197">
        <w:rPr>
          <w:rFonts w:ascii="Times New Roman" w:hAnsi="Times New Roman" w:cs="Times New Roman"/>
          <w:i/>
          <w:sz w:val="24"/>
          <w:szCs w:val="24"/>
        </w:rPr>
        <w:t xml:space="preserve"> </w:t>
      </w:r>
      <w:r w:rsidR="00D64197">
        <w:rPr>
          <w:rFonts w:ascii="Times New Roman" w:hAnsi="Times New Roman" w:cs="Times New Roman"/>
          <w:sz w:val="24"/>
          <w:szCs w:val="24"/>
        </w:rPr>
        <w:t xml:space="preserve">and </w:t>
      </w:r>
      <w:r w:rsidR="00D64197">
        <w:rPr>
          <w:rFonts w:ascii="Times New Roman" w:hAnsi="Times New Roman" w:cs="Times New Roman"/>
          <w:i/>
          <w:sz w:val="24"/>
          <w:szCs w:val="24"/>
        </w:rPr>
        <w:t>Dynamic Medien</w:t>
      </w:r>
      <w:r w:rsidR="00D64197">
        <w:rPr>
          <w:rFonts w:ascii="Times New Roman" w:hAnsi="Times New Roman" w:cs="Times New Roman"/>
          <w:sz w:val="24"/>
          <w:szCs w:val="24"/>
        </w:rPr>
        <w:t>.</w:t>
      </w:r>
    </w:p>
    <w:p w14:paraId="4B54DC59" w14:textId="77777777" w:rsidR="00D64197" w:rsidRDefault="00D64197" w:rsidP="00D64197">
      <w:pPr>
        <w:pStyle w:val="NoSpacing"/>
        <w:jc w:val="both"/>
        <w:rPr>
          <w:rFonts w:ascii="Times New Roman" w:hAnsi="Times New Roman" w:cs="Times New Roman"/>
          <w:sz w:val="24"/>
          <w:szCs w:val="24"/>
        </w:rPr>
      </w:pPr>
    </w:p>
    <w:p w14:paraId="11962790" w14:textId="25D1BDD4" w:rsidR="00D64197" w:rsidRDefault="00350C31" w:rsidP="00D64197">
      <w:pPr>
        <w:pStyle w:val="NoSpacing"/>
        <w:jc w:val="both"/>
        <w:rPr>
          <w:rFonts w:ascii="Times New Roman" w:hAnsi="Times New Roman" w:cs="Times New Roman"/>
          <w:sz w:val="24"/>
          <w:szCs w:val="24"/>
        </w:rPr>
      </w:pPr>
      <w:r>
        <w:rPr>
          <w:rFonts w:ascii="Times New Roman" w:hAnsi="Times New Roman" w:cs="Times New Roman"/>
          <w:sz w:val="24"/>
          <w:szCs w:val="24"/>
        </w:rPr>
        <w:t>At the same time as introducing the same proportionality questions that applie</w:t>
      </w:r>
      <w:r w:rsidR="001F2BC9">
        <w:rPr>
          <w:rFonts w:ascii="Times New Roman" w:hAnsi="Times New Roman" w:cs="Times New Roman"/>
          <w:sz w:val="24"/>
          <w:szCs w:val="24"/>
        </w:rPr>
        <w:t xml:space="preserve">d to protectionist and </w:t>
      </w:r>
      <w:r>
        <w:rPr>
          <w:rFonts w:ascii="Times New Roman" w:hAnsi="Times New Roman" w:cs="Times New Roman"/>
          <w:sz w:val="24"/>
          <w:szCs w:val="24"/>
        </w:rPr>
        <w:t xml:space="preserve">discriminatory law and policy to qualitatively different restrictions of free movement, the extension of the material scope of the market freedoms also lowered the evidentiary burden operating at the breach stage. Indeed, the evidential threshold </w:t>
      </w:r>
      <w:r w:rsidR="00D64197">
        <w:rPr>
          <w:rFonts w:ascii="Times New Roman" w:hAnsi="Times New Roman" w:cs="Times New Roman"/>
          <w:sz w:val="24"/>
          <w:szCs w:val="24"/>
        </w:rPr>
        <w:t xml:space="preserve">placed on applicants wishing to establish a breach of free movement is necessarily lowered when the concept of a restriction is </w:t>
      </w:r>
      <w:r w:rsidR="00D64197">
        <w:rPr>
          <w:rFonts w:ascii="Times New Roman" w:hAnsi="Times New Roman" w:cs="Times New Roman"/>
          <w:sz w:val="24"/>
          <w:szCs w:val="24"/>
        </w:rPr>
        <w:lastRenderedPageBreak/>
        <w:t xml:space="preserve">broadened. For instance, it will no longer be necessary for a foreign Member State trader to demonstrate that a receiving Member State is </w:t>
      </w:r>
      <w:r w:rsidR="00D64197">
        <w:rPr>
          <w:rFonts w:ascii="Times New Roman" w:hAnsi="Times New Roman" w:cs="Times New Roman"/>
          <w:i/>
          <w:sz w:val="24"/>
          <w:szCs w:val="24"/>
        </w:rPr>
        <w:t>directly</w:t>
      </w:r>
      <w:r w:rsidR="00D64197">
        <w:rPr>
          <w:rFonts w:ascii="Times New Roman" w:hAnsi="Times New Roman" w:cs="Times New Roman"/>
          <w:sz w:val="24"/>
          <w:szCs w:val="24"/>
        </w:rPr>
        <w:t xml:space="preserve"> discriminating against her/him. In the wake of the market access test, she/he will not even have to display the differential impact of host State rules on her/him as </w:t>
      </w:r>
      <w:r>
        <w:rPr>
          <w:rFonts w:ascii="Times New Roman" w:hAnsi="Times New Roman" w:cs="Times New Roman"/>
          <w:sz w:val="24"/>
          <w:szCs w:val="24"/>
        </w:rPr>
        <w:t>compared with domestic traders. The breadth of evid</w:t>
      </w:r>
      <w:r w:rsidR="00D018F8">
        <w:rPr>
          <w:rFonts w:ascii="Times New Roman" w:hAnsi="Times New Roman" w:cs="Times New Roman"/>
          <w:sz w:val="24"/>
          <w:szCs w:val="24"/>
        </w:rPr>
        <w:t>ential opportunities is, moreover</w:t>
      </w:r>
      <w:r>
        <w:rPr>
          <w:rFonts w:ascii="Times New Roman" w:hAnsi="Times New Roman" w:cs="Times New Roman"/>
          <w:sz w:val="24"/>
          <w:szCs w:val="24"/>
        </w:rPr>
        <w:t>, also accompanied by shallow evidential thresholds.</w:t>
      </w:r>
    </w:p>
    <w:p w14:paraId="48788200" w14:textId="77777777" w:rsidR="00D64197" w:rsidRDefault="00D64197" w:rsidP="00D64197">
      <w:pPr>
        <w:pStyle w:val="NoSpacing"/>
        <w:jc w:val="both"/>
        <w:rPr>
          <w:rFonts w:ascii="Times New Roman" w:hAnsi="Times New Roman" w:cs="Times New Roman"/>
          <w:sz w:val="24"/>
          <w:szCs w:val="24"/>
        </w:rPr>
      </w:pPr>
    </w:p>
    <w:p w14:paraId="522006CD" w14:textId="77777777" w:rsidR="000A14C5" w:rsidRDefault="00D64197" w:rsidP="00D64197">
      <w:pPr>
        <w:pStyle w:val="NoSpacing"/>
        <w:jc w:val="both"/>
        <w:rPr>
          <w:rFonts w:ascii="Times New Roman" w:hAnsi="Times New Roman" w:cs="Times New Roman"/>
          <w:sz w:val="24"/>
          <w:szCs w:val="24"/>
        </w:rPr>
      </w:pPr>
      <w:r w:rsidRPr="005A7950">
        <w:rPr>
          <w:rFonts w:ascii="Times New Roman" w:hAnsi="Times New Roman" w:cs="Times New Roman"/>
          <w:sz w:val="24"/>
          <w:szCs w:val="24"/>
        </w:rPr>
        <w:t>The low evidential burden for establishing a breach of</w:t>
      </w:r>
      <w:r w:rsidR="00EE0838">
        <w:rPr>
          <w:rFonts w:ascii="Times New Roman" w:hAnsi="Times New Roman" w:cs="Times New Roman"/>
          <w:sz w:val="24"/>
          <w:szCs w:val="24"/>
        </w:rPr>
        <w:t xml:space="preserve"> free movement is visible in the fact that potential and indirect impediments, rather than simply actual or direct obstacles, to cross-border movement will suffice.</w:t>
      </w:r>
      <w:r>
        <w:rPr>
          <w:rStyle w:val="FootnoteReference"/>
          <w:rFonts w:ascii="Times New Roman" w:hAnsi="Times New Roman" w:cs="Times New Roman"/>
          <w:sz w:val="24"/>
          <w:szCs w:val="24"/>
        </w:rPr>
        <w:footnoteReference w:id="115"/>
      </w:r>
      <w:r>
        <w:rPr>
          <w:rFonts w:ascii="Times New Roman" w:hAnsi="Times New Roman" w:cs="Times New Roman"/>
          <w:sz w:val="24"/>
          <w:szCs w:val="24"/>
        </w:rPr>
        <w:t xml:space="preserve"> Indeed, many free movement cases involve applicants who are already operating in a host State, regardless of that State’s rules, though they might not always do so under their preferred market conditions.</w:t>
      </w:r>
      <w:r>
        <w:rPr>
          <w:rStyle w:val="FootnoteReference"/>
          <w:rFonts w:ascii="Times New Roman" w:hAnsi="Times New Roman" w:cs="Times New Roman"/>
          <w:sz w:val="24"/>
          <w:szCs w:val="24"/>
        </w:rPr>
        <w:footnoteReference w:id="116"/>
      </w:r>
      <w:r>
        <w:rPr>
          <w:rFonts w:ascii="Times New Roman" w:hAnsi="Times New Roman" w:cs="Times New Roman"/>
          <w:sz w:val="24"/>
          <w:szCs w:val="24"/>
        </w:rPr>
        <w:t xml:space="preserve"> </w:t>
      </w:r>
      <w:r w:rsidR="00A047CC">
        <w:rPr>
          <w:rFonts w:ascii="Times New Roman" w:hAnsi="Times New Roman" w:cs="Times New Roman"/>
          <w:sz w:val="24"/>
          <w:szCs w:val="24"/>
        </w:rPr>
        <w:t>Similarly, t</w:t>
      </w:r>
      <w:r>
        <w:rPr>
          <w:rFonts w:ascii="Times New Roman" w:hAnsi="Times New Roman" w:cs="Times New Roman"/>
          <w:sz w:val="24"/>
          <w:szCs w:val="24"/>
        </w:rPr>
        <w:t>he concept of ‘</w:t>
      </w:r>
      <w:r>
        <w:rPr>
          <w:rFonts w:ascii="Times New Roman" w:hAnsi="Times New Roman" w:cs="Times New Roman"/>
          <w:i/>
          <w:sz w:val="24"/>
          <w:szCs w:val="24"/>
        </w:rPr>
        <w:t>per se</w:t>
      </w:r>
      <w:r>
        <w:rPr>
          <w:rFonts w:ascii="Times New Roman" w:hAnsi="Times New Roman" w:cs="Times New Roman"/>
          <w:sz w:val="24"/>
          <w:szCs w:val="24"/>
        </w:rPr>
        <w:t>’ restrictions necessarily reduces the evidential burden for establishing obstacles. For instance, the presumption that product requirements constitute DRBs removes any need to examine the actual extent of limitations on</w:t>
      </w:r>
      <w:r w:rsidR="00EE0838">
        <w:rPr>
          <w:rFonts w:ascii="Times New Roman" w:hAnsi="Times New Roman" w:cs="Times New Roman"/>
          <w:sz w:val="24"/>
          <w:szCs w:val="24"/>
        </w:rPr>
        <w:t xml:space="preserve"> the</w:t>
      </w:r>
      <w:r>
        <w:rPr>
          <w:rFonts w:ascii="Times New Roman" w:hAnsi="Times New Roman" w:cs="Times New Roman"/>
          <w:sz w:val="24"/>
          <w:szCs w:val="24"/>
        </w:rPr>
        <w:t xml:space="preserve"> free movement </w:t>
      </w:r>
      <w:r w:rsidR="00EE0838">
        <w:rPr>
          <w:rFonts w:ascii="Times New Roman" w:hAnsi="Times New Roman" w:cs="Times New Roman"/>
          <w:sz w:val="24"/>
          <w:szCs w:val="24"/>
        </w:rPr>
        <w:t xml:space="preserve">of goods </w:t>
      </w:r>
      <w:r>
        <w:rPr>
          <w:rFonts w:ascii="Times New Roman" w:hAnsi="Times New Roman" w:cs="Times New Roman"/>
          <w:sz w:val="24"/>
          <w:szCs w:val="24"/>
        </w:rPr>
        <w:t>before a restriction is found. This is potentially problematic where DRBs reflect Member States efforts to protect fundamental rights since the one-sidedness of the proportionality assessment at the justification stage reduces the opportunity to compare the size of the impediment to free movement against the effect of free movement on the protection of fundamental rights.</w:t>
      </w:r>
      <w:r w:rsidR="00EE0838">
        <w:rPr>
          <w:rFonts w:ascii="Times New Roman" w:hAnsi="Times New Roman" w:cs="Times New Roman"/>
          <w:sz w:val="24"/>
          <w:szCs w:val="24"/>
        </w:rPr>
        <w:t xml:space="preserve"> Though </w:t>
      </w:r>
      <w:r w:rsidR="00EE0838">
        <w:rPr>
          <w:rFonts w:ascii="Times New Roman" w:hAnsi="Times New Roman" w:cs="Times New Roman"/>
          <w:i/>
          <w:sz w:val="24"/>
          <w:szCs w:val="24"/>
        </w:rPr>
        <w:t>Keck</w:t>
      </w:r>
      <w:r w:rsidR="00EE0838">
        <w:rPr>
          <w:rFonts w:ascii="Times New Roman" w:hAnsi="Times New Roman" w:cs="Times New Roman"/>
          <w:sz w:val="24"/>
          <w:szCs w:val="24"/>
        </w:rPr>
        <w:t xml:space="preserve"> could arguably be viewed as raising the evidential bar in this context,</w:t>
      </w:r>
      <w:r w:rsidR="00EE0838">
        <w:rPr>
          <w:rStyle w:val="FootnoteReference"/>
          <w:rFonts w:ascii="Times New Roman" w:hAnsi="Times New Roman" w:cs="Times New Roman"/>
          <w:sz w:val="24"/>
          <w:szCs w:val="24"/>
        </w:rPr>
        <w:footnoteReference w:id="117"/>
      </w:r>
      <w:r w:rsidR="00EE0838">
        <w:rPr>
          <w:rFonts w:ascii="Times New Roman" w:hAnsi="Times New Roman" w:cs="Times New Roman"/>
          <w:sz w:val="24"/>
          <w:szCs w:val="24"/>
        </w:rPr>
        <w:t xml:space="preserve"> cases such as </w:t>
      </w:r>
      <w:r w:rsidR="00EE0838">
        <w:rPr>
          <w:rFonts w:ascii="Times New Roman" w:hAnsi="Times New Roman" w:cs="Times New Roman"/>
          <w:i/>
          <w:sz w:val="24"/>
          <w:szCs w:val="24"/>
        </w:rPr>
        <w:t>Gourmet</w:t>
      </w:r>
      <w:r w:rsidR="00EE0838">
        <w:rPr>
          <w:rFonts w:ascii="Times New Roman" w:hAnsi="Times New Roman" w:cs="Times New Roman"/>
          <w:sz w:val="24"/>
          <w:szCs w:val="24"/>
        </w:rPr>
        <w:t xml:space="preserve">, suggest that the threshold for demonstrating differential treatment, in law or fact, will not always be particularly high. </w:t>
      </w:r>
      <w:r w:rsidR="00626452">
        <w:rPr>
          <w:rFonts w:ascii="Times New Roman" w:hAnsi="Times New Roman" w:cs="Times New Roman"/>
          <w:sz w:val="24"/>
          <w:szCs w:val="24"/>
        </w:rPr>
        <w:t>In th</w:t>
      </w:r>
      <w:r w:rsidR="00EE0838">
        <w:rPr>
          <w:rFonts w:ascii="Times New Roman" w:hAnsi="Times New Roman" w:cs="Times New Roman"/>
          <w:sz w:val="24"/>
          <w:szCs w:val="24"/>
        </w:rPr>
        <w:t>at case, the Court considered it</w:t>
      </w:r>
      <w:r w:rsidR="00626452">
        <w:rPr>
          <w:rFonts w:ascii="Times New Roman" w:hAnsi="Times New Roman" w:cs="Times New Roman"/>
          <w:sz w:val="24"/>
          <w:szCs w:val="24"/>
        </w:rPr>
        <w:t xml:space="preserve"> unnecessary to conduct a ‘precise analysis’ in order to conclude that a prohi</w:t>
      </w:r>
      <w:r w:rsidR="00DE6EE6">
        <w:rPr>
          <w:rFonts w:ascii="Times New Roman" w:hAnsi="Times New Roman" w:cs="Times New Roman"/>
          <w:sz w:val="24"/>
          <w:szCs w:val="24"/>
        </w:rPr>
        <w:t>bition of alcohol advertising was l</w:t>
      </w:r>
      <w:r w:rsidR="00626452">
        <w:rPr>
          <w:rFonts w:ascii="Times New Roman" w:hAnsi="Times New Roman" w:cs="Times New Roman"/>
          <w:sz w:val="24"/>
          <w:szCs w:val="24"/>
        </w:rPr>
        <w:t>i</w:t>
      </w:r>
      <w:r w:rsidR="00DE6EE6">
        <w:rPr>
          <w:rFonts w:ascii="Times New Roman" w:hAnsi="Times New Roman" w:cs="Times New Roman"/>
          <w:sz w:val="24"/>
          <w:szCs w:val="24"/>
        </w:rPr>
        <w:t>a</w:t>
      </w:r>
      <w:r w:rsidR="00626452">
        <w:rPr>
          <w:rFonts w:ascii="Times New Roman" w:hAnsi="Times New Roman" w:cs="Times New Roman"/>
          <w:sz w:val="24"/>
          <w:szCs w:val="24"/>
        </w:rPr>
        <w:t xml:space="preserve">ble to impede access to the market </w:t>
      </w:r>
      <w:r w:rsidR="00DE6EE6">
        <w:rPr>
          <w:rFonts w:ascii="Times New Roman" w:hAnsi="Times New Roman" w:cs="Times New Roman"/>
          <w:sz w:val="24"/>
          <w:szCs w:val="24"/>
        </w:rPr>
        <w:t>for imported goods more than domestic products.</w:t>
      </w:r>
      <w:r w:rsidR="00DE6EE6">
        <w:rPr>
          <w:rStyle w:val="FootnoteReference"/>
          <w:rFonts w:ascii="Times New Roman" w:hAnsi="Times New Roman" w:cs="Times New Roman"/>
          <w:sz w:val="24"/>
          <w:szCs w:val="24"/>
        </w:rPr>
        <w:footnoteReference w:id="118"/>
      </w:r>
      <w:r w:rsidR="00DE6EE6">
        <w:rPr>
          <w:rFonts w:ascii="Times New Roman" w:hAnsi="Times New Roman" w:cs="Times New Roman"/>
          <w:sz w:val="24"/>
          <w:szCs w:val="24"/>
        </w:rPr>
        <w:t xml:space="preserve"> T</w:t>
      </w:r>
      <w:r>
        <w:rPr>
          <w:rFonts w:ascii="Times New Roman" w:hAnsi="Times New Roman" w:cs="Times New Roman"/>
          <w:sz w:val="24"/>
          <w:szCs w:val="24"/>
        </w:rPr>
        <w:t>his relatively burden-free establishment of a free movement restriction consequently exposed Swedish efforts to protect the right to health to the more onerous questions of suitability and necessity at the justification stage.</w:t>
      </w:r>
      <w:r>
        <w:rPr>
          <w:rStyle w:val="FootnoteReference"/>
          <w:rFonts w:ascii="Times New Roman" w:hAnsi="Times New Roman" w:cs="Times New Roman"/>
          <w:sz w:val="24"/>
          <w:szCs w:val="24"/>
        </w:rPr>
        <w:footnoteReference w:id="119"/>
      </w:r>
      <w:r>
        <w:rPr>
          <w:rFonts w:ascii="Times New Roman" w:hAnsi="Times New Roman" w:cs="Times New Roman"/>
          <w:sz w:val="24"/>
          <w:szCs w:val="24"/>
        </w:rPr>
        <w:t xml:space="preserve"> </w:t>
      </w:r>
    </w:p>
    <w:p w14:paraId="31B1C748" w14:textId="77777777" w:rsidR="000A14C5" w:rsidRDefault="000A14C5" w:rsidP="00D64197">
      <w:pPr>
        <w:pStyle w:val="NoSpacing"/>
        <w:jc w:val="both"/>
        <w:rPr>
          <w:rFonts w:ascii="Times New Roman" w:hAnsi="Times New Roman" w:cs="Times New Roman"/>
          <w:sz w:val="24"/>
          <w:szCs w:val="24"/>
        </w:rPr>
      </w:pPr>
    </w:p>
    <w:p w14:paraId="0C36E2B6" w14:textId="25B0BDED" w:rsidR="00D64197" w:rsidRDefault="00D64197" w:rsidP="00D64197">
      <w:pPr>
        <w:pStyle w:val="NoSpacing"/>
        <w:jc w:val="both"/>
        <w:rPr>
          <w:rFonts w:ascii="Times New Roman" w:hAnsi="Times New Roman" w:cs="Times New Roman"/>
          <w:sz w:val="24"/>
          <w:szCs w:val="24"/>
        </w:rPr>
      </w:pPr>
      <w:r>
        <w:rPr>
          <w:rFonts w:ascii="Times New Roman" w:hAnsi="Times New Roman" w:cs="Times New Roman"/>
          <w:sz w:val="24"/>
          <w:szCs w:val="24"/>
        </w:rPr>
        <w:t xml:space="preserve">Of course, the Court has frequently made plain that it does not apply a </w:t>
      </w:r>
      <w:r>
        <w:rPr>
          <w:rFonts w:ascii="Times New Roman" w:hAnsi="Times New Roman" w:cs="Times New Roman"/>
          <w:i/>
          <w:sz w:val="24"/>
          <w:szCs w:val="24"/>
        </w:rPr>
        <w:t>de minimis</w:t>
      </w:r>
      <w:r>
        <w:rPr>
          <w:rFonts w:ascii="Times New Roman" w:hAnsi="Times New Roman" w:cs="Times New Roman"/>
          <w:sz w:val="24"/>
          <w:szCs w:val="24"/>
        </w:rPr>
        <w:t xml:space="preserve"> threshold in relation to restrictions on free movement.</w:t>
      </w:r>
      <w:r>
        <w:rPr>
          <w:rStyle w:val="FootnoteReference"/>
          <w:rFonts w:ascii="Times New Roman" w:hAnsi="Times New Roman" w:cs="Times New Roman"/>
          <w:sz w:val="24"/>
          <w:szCs w:val="24"/>
        </w:rPr>
        <w:footnoteReference w:id="120"/>
      </w:r>
      <w:r w:rsidR="00381982">
        <w:rPr>
          <w:rFonts w:ascii="Times New Roman" w:hAnsi="Times New Roman" w:cs="Times New Roman"/>
          <w:sz w:val="24"/>
          <w:szCs w:val="24"/>
        </w:rPr>
        <w:t xml:space="preserve"> </w:t>
      </w:r>
      <w:r>
        <w:rPr>
          <w:rFonts w:ascii="Times New Roman" w:hAnsi="Times New Roman" w:cs="Times New Roman"/>
          <w:sz w:val="24"/>
          <w:szCs w:val="24"/>
        </w:rPr>
        <w:t>Further, some commentators have argued convincingly against the introduction of quantitative empirical threshold</w:t>
      </w:r>
      <w:r w:rsidR="00D018F8">
        <w:rPr>
          <w:rFonts w:ascii="Times New Roman" w:hAnsi="Times New Roman" w:cs="Times New Roman"/>
          <w:sz w:val="24"/>
          <w:szCs w:val="24"/>
        </w:rPr>
        <w:t>s</w:t>
      </w:r>
      <w:r>
        <w:rPr>
          <w:rFonts w:ascii="Times New Roman" w:hAnsi="Times New Roman" w:cs="Times New Roman"/>
          <w:sz w:val="24"/>
          <w:szCs w:val="24"/>
        </w:rPr>
        <w:t xml:space="preserve"> at the restrictions stage</w:t>
      </w:r>
      <w:r w:rsidR="00381982">
        <w:rPr>
          <w:rFonts w:ascii="Times New Roman" w:hAnsi="Times New Roman" w:cs="Times New Roman"/>
          <w:sz w:val="24"/>
          <w:szCs w:val="24"/>
        </w:rPr>
        <w:t>.</w:t>
      </w:r>
      <w:r>
        <w:rPr>
          <w:rStyle w:val="FootnoteReference"/>
          <w:rFonts w:ascii="Times New Roman" w:hAnsi="Times New Roman" w:cs="Times New Roman"/>
          <w:sz w:val="24"/>
          <w:szCs w:val="24"/>
        </w:rPr>
        <w:footnoteReference w:id="121"/>
      </w:r>
      <w:r>
        <w:rPr>
          <w:rFonts w:ascii="Times New Roman" w:hAnsi="Times New Roman" w:cs="Times New Roman"/>
          <w:sz w:val="24"/>
          <w:szCs w:val="24"/>
        </w:rPr>
        <w:t xml:space="preserve"> </w:t>
      </w:r>
      <w:r w:rsidR="00381982">
        <w:rPr>
          <w:rFonts w:ascii="Times New Roman" w:hAnsi="Times New Roman" w:cs="Times New Roman"/>
          <w:sz w:val="24"/>
          <w:szCs w:val="24"/>
        </w:rPr>
        <w:t xml:space="preserve">Yet, by contrast, </w:t>
      </w:r>
      <w:r>
        <w:rPr>
          <w:rFonts w:ascii="Times New Roman" w:hAnsi="Times New Roman" w:cs="Times New Roman"/>
          <w:sz w:val="24"/>
          <w:szCs w:val="24"/>
        </w:rPr>
        <w:t>the Court ha</w:t>
      </w:r>
      <w:r w:rsidR="00381982">
        <w:rPr>
          <w:rFonts w:ascii="Times New Roman" w:hAnsi="Times New Roman" w:cs="Times New Roman"/>
          <w:sz w:val="24"/>
          <w:szCs w:val="24"/>
        </w:rPr>
        <w:t>s been willing to impose</w:t>
      </w:r>
      <w:r>
        <w:rPr>
          <w:rFonts w:ascii="Times New Roman" w:hAnsi="Times New Roman" w:cs="Times New Roman"/>
          <w:sz w:val="24"/>
          <w:szCs w:val="24"/>
        </w:rPr>
        <w:t xml:space="preserve"> empirical obstacles at the </w:t>
      </w:r>
      <w:r>
        <w:rPr>
          <w:rFonts w:ascii="Times New Roman" w:hAnsi="Times New Roman" w:cs="Times New Roman"/>
          <w:sz w:val="24"/>
          <w:szCs w:val="24"/>
        </w:rPr>
        <w:lastRenderedPageBreak/>
        <w:t xml:space="preserve">justification stage, </w:t>
      </w:r>
      <w:r w:rsidR="000A14C5">
        <w:rPr>
          <w:rFonts w:ascii="Times New Roman" w:hAnsi="Times New Roman" w:cs="Times New Roman"/>
          <w:sz w:val="24"/>
          <w:szCs w:val="24"/>
        </w:rPr>
        <w:t xml:space="preserve">at times </w:t>
      </w:r>
      <w:r>
        <w:rPr>
          <w:rFonts w:ascii="Times New Roman" w:hAnsi="Times New Roman" w:cs="Times New Roman"/>
          <w:sz w:val="24"/>
          <w:szCs w:val="24"/>
        </w:rPr>
        <w:t>requiring Member States or private individuals to provide in-depth statistical data to support their fundamental rights justifications.</w:t>
      </w:r>
      <w:r w:rsidR="00A04AC3">
        <w:rPr>
          <w:rStyle w:val="FootnoteReference"/>
          <w:rFonts w:ascii="Times New Roman" w:hAnsi="Times New Roman" w:cs="Times New Roman"/>
          <w:sz w:val="24"/>
          <w:szCs w:val="24"/>
        </w:rPr>
        <w:footnoteReference w:id="122"/>
      </w:r>
      <w:r>
        <w:rPr>
          <w:rFonts w:ascii="Times New Roman" w:hAnsi="Times New Roman" w:cs="Times New Roman"/>
          <w:sz w:val="24"/>
          <w:szCs w:val="24"/>
        </w:rPr>
        <w:t xml:space="preserve"> </w:t>
      </w:r>
    </w:p>
    <w:p w14:paraId="30A41385" w14:textId="77777777" w:rsidR="00D64197" w:rsidRDefault="00D64197" w:rsidP="00D64197">
      <w:pPr>
        <w:pStyle w:val="NoSpacing"/>
        <w:jc w:val="both"/>
        <w:rPr>
          <w:rFonts w:ascii="Times New Roman" w:hAnsi="Times New Roman" w:cs="Times New Roman"/>
          <w:sz w:val="24"/>
          <w:szCs w:val="24"/>
        </w:rPr>
      </w:pPr>
    </w:p>
    <w:p w14:paraId="218DA006" w14:textId="77777777" w:rsidR="00D64197" w:rsidRDefault="00D64197" w:rsidP="00D64197">
      <w:pPr>
        <w:pStyle w:val="NoSpacing"/>
        <w:jc w:val="both"/>
        <w:rPr>
          <w:rFonts w:ascii="Times New Roman" w:hAnsi="Times New Roman" w:cs="Times New Roman"/>
          <w:sz w:val="24"/>
          <w:szCs w:val="24"/>
        </w:rPr>
      </w:pPr>
      <w:r>
        <w:rPr>
          <w:rFonts w:ascii="Times New Roman" w:hAnsi="Times New Roman" w:cs="Times New Roman"/>
          <w:sz w:val="24"/>
          <w:szCs w:val="24"/>
        </w:rPr>
        <w:t>It is well-established in the case-law that, as derogations from a ‘fundamental principle’ of the Union, measures restricting free movement should be interpreted narrowly.</w:t>
      </w:r>
      <w:r>
        <w:rPr>
          <w:rStyle w:val="FootnoteReference"/>
          <w:rFonts w:ascii="Times New Roman" w:hAnsi="Times New Roman" w:cs="Times New Roman"/>
          <w:sz w:val="24"/>
          <w:szCs w:val="24"/>
        </w:rPr>
        <w:footnoteReference w:id="123"/>
      </w:r>
      <w:r>
        <w:rPr>
          <w:rFonts w:ascii="Times New Roman" w:hAnsi="Times New Roman" w:cs="Times New Roman"/>
          <w:sz w:val="24"/>
          <w:szCs w:val="24"/>
        </w:rPr>
        <w:t xml:space="preserve"> As free movement has come into greater contact with fundamental rights, this approach has been transferred into these conflicts. Thus, in </w:t>
      </w:r>
      <w:r>
        <w:rPr>
          <w:rFonts w:ascii="Times New Roman" w:hAnsi="Times New Roman" w:cs="Times New Roman"/>
          <w:i/>
          <w:sz w:val="24"/>
          <w:szCs w:val="24"/>
        </w:rPr>
        <w:t>Omega</w:t>
      </w:r>
      <w:r>
        <w:rPr>
          <w:rFonts w:ascii="Times New Roman" w:hAnsi="Times New Roman" w:cs="Times New Roman"/>
          <w:sz w:val="24"/>
          <w:szCs w:val="24"/>
        </w:rPr>
        <w:t>, the Court stated that</w:t>
      </w:r>
      <w:r w:rsidR="00F079F5">
        <w:rPr>
          <w:rFonts w:ascii="Times New Roman" w:hAnsi="Times New Roman" w:cs="Times New Roman"/>
          <w:sz w:val="24"/>
          <w:szCs w:val="24"/>
        </w:rPr>
        <w:t xml:space="preserve"> the safeguarding of the</w:t>
      </w:r>
      <w:r>
        <w:rPr>
          <w:rFonts w:ascii="Times New Roman" w:hAnsi="Times New Roman" w:cs="Times New Roman"/>
          <w:sz w:val="24"/>
          <w:szCs w:val="24"/>
        </w:rPr>
        <w:t xml:space="preserve"> fundamental right to human dignity, ‘particularly as a justification for a derogation from the fundamental principle to provide services, must be interpreted strictly’.</w:t>
      </w:r>
      <w:r>
        <w:rPr>
          <w:rStyle w:val="FootnoteReference"/>
          <w:rFonts w:ascii="Times New Roman" w:hAnsi="Times New Roman" w:cs="Times New Roman"/>
          <w:sz w:val="24"/>
          <w:szCs w:val="24"/>
        </w:rPr>
        <w:footnoteReference w:id="124"/>
      </w:r>
      <w:r>
        <w:rPr>
          <w:rFonts w:ascii="Times New Roman" w:hAnsi="Times New Roman" w:cs="Times New Roman"/>
          <w:sz w:val="24"/>
          <w:szCs w:val="24"/>
        </w:rPr>
        <w:t xml:space="preserve"> This introduces to the justification stage, evidentiary bars not (usually) faced by free movement.</w:t>
      </w:r>
      <w:r>
        <w:rPr>
          <w:rStyle w:val="FootnoteReference"/>
          <w:rFonts w:ascii="Times New Roman" w:hAnsi="Times New Roman" w:cs="Times New Roman"/>
          <w:sz w:val="24"/>
          <w:szCs w:val="24"/>
        </w:rPr>
        <w:footnoteReference w:id="125"/>
      </w:r>
      <w:r>
        <w:rPr>
          <w:rFonts w:ascii="Times New Roman" w:hAnsi="Times New Roman" w:cs="Times New Roman"/>
          <w:sz w:val="24"/>
          <w:szCs w:val="24"/>
        </w:rPr>
        <w:t xml:space="preserve"> For instance, in </w:t>
      </w:r>
      <w:r>
        <w:rPr>
          <w:rFonts w:ascii="Times New Roman" w:hAnsi="Times New Roman" w:cs="Times New Roman"/>
          <w:i/>
          <w:sz w:val="24"/>
          <w:szCs w:val="24"/>
        </w:rPr>
        <w:t xml:space="preserve">Omega </w:t>
      </w:r>
      <w:r>
        <w:rPr>
          <w:rFonts w:ascii="Times New Roman" w:hAnsi="Times New Roman" w:cs="Times New Roman"/>
          <w:sz w:val="24"/>
          <w:szCs w:val="24"/>
        </w:rPr>
        <w:t xml:space="preserve">itself, the Court declared that ‘public policy may be relied on only if there is a </w:t>
      </w:r>
      <w:r w:rsidRPr="008A734E">
        <w:rPr>
          <w:rFonts w:ascii="Times New Roman" w:hAnsi="Times New Roman" w:cs="Times New Roman"/>
          <w:i/>
          <w:sz w:val="24"/>
          <w:szCs w:val="24"/>
        </w:rPr>
        <w:t>genuine and sufficiently serious threat</w:t>
      </w:r>
      <w:r>
        <w:rPr>
          <w:rFonts w:ascii="Times New Roman" w:hAnsi="Times New Roman" w:cs="Times New Roman"/>
          <w:sz w:val="24"/>
          <w:szCs w:val="24"/>
        </w:rPr>
        <w:t xml:space="preserve"> to a fundamental interest of society’ [emphasis added].</w:t>
      </w:r>
      <w:r>
        <w:rPr>
          <w:rStyle w:val="FootnoteReference"/>
          <w:rFonts w:ascii="Times New Roman" w:hAnsi="Times New Roman" w:cs="Times New Roman"/>
          <w:sz w:val="24"/>
          <w:szCs w:val="24"/>
        </w:rPr>
        <w:footnoteReference w:id="126"/>
      </w:r>
      <w:r>
        <w:rPr>
          <w:rFonts w:ascii="Times New Roman" w:hAnsi="Times New Roman" w:cs="Times New Roman"/>
          <w:sz w:val="24"/>
          <w:szCs w:val="24"/>
        </w:rPr>
        <w:t xml:space="preserve"> This requirement was developed in </w:t>
      </w:r>
      <w:r>
        <w:rPr>
          <w:rFonts w:ascii="Times New Roman" w:hAnsi="Times New Roman" w:cs="Times New Roman"/>
          <w:i/>
          <w:sz w:val="24"/>
          <w:szCs w:val="24"/>
        </w:rPr>
        <w:t>Commission v Luxembourg</w:t>
      </w:r>
      <w:r>
        <w:rPr>
          <w:rFonts w:ascii="Times New Roman" w:hAnsi="Times New Roman" w:cs="Times New Roman"/>
          <w:sz w:val="24"/>
          <w:szCs w:val="24"/>
        </w:rPr>
        <w:t xml:space="preserve"> in which public order legislation, conflicting with free movement and aimed at protecting the fundamental social rights of workers, had to be ‘so crucial for the protection of the political, social or economic order in the Member State concerned as to require compliance therewith by all persons present on the territory…’.</w:t>
      </w:r>
      <w:r>
        <w:rPr>
          <w:rStyle w:val="FootnoteReference"/>
          <w:rFonts w:ascii="Times New Roman" w:hAnsi="Times New Roman" w:cs="Times New Roman"/>
          <w:sz w:val="24"/>
          <w:szCs w:val="24"/>
        </w:rPr>
        <w:footnoteReference w:id="127"/>
      </w:r>
      <w:r>
        <w:rPr>
          <w:rFonts w:ascii="Times New Roman" w:hAnsi="Times New Roman" w:cs="Times New Roman"/>
          <w:sz w:val="24"/>
          <w:szCs w:val="24"/>
        </w:rPr>
        <w:t xml:space="preserve"> Similarly, in </w:t>
      </w:r>
      <w:r>
        <w:rPr>
          <w:rFonts w:ascii="Times New Roman" w:hAnsi="Times New Roman" w:cs="Times New Roman"/>
          <w:i/>
          <w:sz w:val="24"/>
          <w:szCs w:val="24"/>
        </w:rPr>
        <w:t>Viking</w:t>
      </w:r>
      <w:r>
        <w:rPr>
          <w:rFonts w:ascii="Times New Roman" w:hAnsi="Times New Roman" w:cs="Times New Roman"/>
          <w:sz w:val="24"/>
          <w:szCs w:val="24"/>
        </w:rPr>
        <w:t>, exercise of the fundamental right to strike was only permi</w:t>
      </w:r>
      <w:r w:rsidR="00545479">
        <w:rPr>
          <w:rFonts w:ascii="Times New Roman" w:hAnsi="Times New Roman" w:cs="Times New Roman"/>
          <w:sz w:val="24"/>
          <w:szCs w:val="24"/>
        </w:rPr>
        <w:t>ssible if jobs or</w:t>
      </w:r>
      <w:r>
        <w:rPr>
          <w:rFonts w:ascii="Times New Roman" w:hAnsi="Times New Roman" w:cs="Times New Roman"/>
          <w:sz w:val="24"/>
          <w:szCs w:val="24"/>
        </w:rPr>
        <w:t xml:space="preserve"> employment conditions were ‘jeopardised or under serious threat’.</w:t>
      </w:r>
      <w:r>
        <w:rPr>
          <w:rStyle w:val="FootnoteReference"/>
          <w:rFonts w:ascii="Times New Roman" w:hAnsi="Times New Roman" w:cs="Times New Roman"/>
          <w:sz w:val="24"/>
          <w:szCs w:val="24"/>
        </w:rPr>
        <w:footnoteReference w:id="128"/>
      </w:r>
    </w:p>
    <w:p w14:paraId="5140BD54" w14:textId="77777777" w:rsidR="00D64197" w:rsidRDefault="00D64197" w:rsidP="00D64197">
      <w:pPr>
        <w:pStyle w:val="NoSpacing"/>
        <w:jc w:val="both"/>
        <w:rPr>
          <w:rFonts w:ascii="Times New Roman" w:hAnsi="Times New Roman" w:cs="Times New Roman"/>
          <w:sz w:val="24"/>
          <w:szCs w:val="24"/>
        </w:rPr>
      </w:pPr>
    </w:p>
    <w:p w14:paraId="3BAC0D5E" w14:textId="77777777" w:rsidR="00D64197" w:rsidRDefault="00D64197" w:rsidP="00D64197">
      <w:pPr>
        <w:pStyle w:val="NoSpacing"/>
        <w:jc w:val="both"/>
        <w:rPr>
          <w:rFonts w:ascii="Times New Roman" w:hAnsi="Times New Roman" w:cs="Times New Roman"/>
          <w:sz w:val="24"/>
          <w:szCs w:val="24"/>
        </w:rPr>
      </w:pPr>
      <w:r>
        <w:rPr>
          <w:rFonts w:ascii="Times New Roman" w:hAnsi="Times New Roman" w:cs="Times New Roman"/>
          <w:sz w:val="24"/>
          <w:szCs w:val="24"/>
        </w:rPr>
        <w:t>Although the stringency of the application of these qualitative thresholds has been variable,</w:t>
      </w:r>
      <w:r>
        <w:rPr>
          <w:rStyle w:val="FootnoteReference"/>
          <w:rFonts w:ascii="Times New Roman" w:hAnsi="Times New Roman" w:cs="Times New Roman"/>
          <w:sz w:val="24"/>
          <w:szCs w:val="24"/>
        </w:rPr>
        <w:footnoteReference w:id="129"/>
      </w:r>
      <w:r>
        <w:rPr>
          <w:rFonts w:ascii="Times New Roman" w:hAnsi="Times New Roman" w:cs="Times New Roman"/>
          <w:sz w:val="24"/>
          <w:szCs w:val="24"/>
        </w:rPr>
        <w:t xml:space="preserve"> the Court has</w:t>
      </w:r>
      <w:r w:rsidR="005A2974">
        <w:rPr>
          <w:rFonts w:ascii="Times New Roman" w:hAnsi="Times New Roman" w:cs="Times New Roman"/>
          <w:sz w:val="24"/>
          <w:szCs w:val="24"/>
        </w:rPr>
        <w:t xml:space="preserve"> also</w:t>
      </w:r>
      <w:r>
        <w:rPr>
          <w:rFonts w:ascii="Times New Roman" w:hAnsi="Times New Roman" w:cs="Times New Roman"/>
          <w:sz w:val="24"/>
          <w:szCs w:val="24"/>
        </w:rPr>
        <w:t xml:space="preserve"> required Member States to provide statistical data</w:t>
      </w:r>
      <w:r w:rsidR="005A2974">
        <w:rPr>
          <w:rFonts w:ascii="Times New Roman" w:hAnsi="Times New Roman" w:cs="Times New Roman"/>
          <w:sz w:val="24"/>
          <w:szCs w:val="24"/>
        </w:rPr>
        <w:t>, on several occasions,</w:t>
      </w:r>
      <w:r>
        <w:rPr>
          <w:rFonts w:ascii="Times New Roman" w:hAnsi="Times New Roman" w:cs="Times New Roman"/>
          <w:sz w:val="24"/>
          <w:szCs w:val="24"/>
        </w:rPr>
        <w:t xml:space="preserve"> to support their claims that fundamental rights are under ‘serious threat’. Thus, in </w:t>
      </w:r>
      <w:r>
        <w:rPr>
          <w:rFonts w:ascii="Times New Roman" w:hAnsi="Times New Roman" w:cs="Times New Roman"/>
          <w:i/>
          <w:sz w:val="24"/>
          <w:szCs w:val="24"/>
        </w:rPr>
        <w:t>Commission v Luxembourg</w:t>
      </w:r>
      <w:r>
        <w:rPr>
          <w:rFonts w:ascii="Times New Roman" w:hAnsi="Times New Roman" w:cs="Times New Roman"/>
          <w:sz w:val="24"/>
          <w:szCs w:val="24"/>
        </w:rPr>
        <w:t>, the CJEU stated that potential justifications ‘must be accompanied by appropriate evidence’, for which, ‘merely cit[ing] in a general manner’ the objective of worker protection was insufficient.</w:t>
      </w:r>
      <w:r>
        <w:rPr>
          <w:rStyle w:val="FootnoteReference"/>
          <w:rFonts w:ascii="Times New Roman" w:hAnsi="Times New Roman" w:cs="Times New Roman"/>
          <w:sz w:val="24"/>
          <w:szCs w:val="24"/>
        </w:rPr>
        <w:footnoteReference w:id="130"/>
      </w:r>
      <w:r>
        <w:rPr>
          <w:rFonts w:ascii="Times New Roman" w:hAnsi="Times New Roman" w:cs="Times New Roman"/>
          <w:sz w:val="24"/>
          <w:szCs w:val="24"/>
        </w:rPr>
        <w:t xml:space="preserve"> Similarly, in </w:t>
      </w:r>
      <w:r>
        <w:rPr>
          <w:rFonts w:ascii="Times New Roman" w:hAnsi="Times New Roman" w:cs="Times New Roman"/>
          <w:i/>
          <w:sz w:val="24"/>
          <w:szCs w:val="24"/>
        </w:rPr>
        <w:t>Commission v Austria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31"/>
      </w:r>
      <w:r>
        <w:rPr>
          <w:rFonts w:ascii="Times New Roman" w:hAnsi="Times New Roman" w:cs="Times New Roman"/>
          <w:sz w:val="24"/>
          <w:szCs w:val="24"/>
        </w:rPr>
        <w:t xml:space="preserve"> that Member State was required to show that, ‘in each individual case…their rules are necessary and proportionate…accompanied by specific evidence substantiating its arguments’.</w:t>
      </w:r>
      <w:r>
        <w:rPr>
          <w:rStyle w:val="FootnoteReference"/>
          <w:rFonts w:ascii="Times New Roman" w:hAnsi="Times New Roman" w:cs="Times New Roman"/>
          <w:sz w:val="24"/>
          <w:szCs w:val="24"/>
        </w:rPr>
        <w:footnoteReference w:id="132"/>
      </w:r>
      <w:r>
        <w:rPr>
          <w:rFonts w:ascii="Times New Roman" w:hAnsi="Times New Roman" w:cs="Times New Roman"/>
          <w:sz w:val="24"/>
          <w:szCs w:val="24"/>
        </w:rPr>
        <w:t xml:space="preserve"> Though Austria had demonstrated that the number of students registering for medical courses on its territory could be five times higher than the places available, it had no figur</w:t>
      </w:r>
      <w:r w:rsidR="005A2974">
        <w:rPr>
          <w:rFonts w:ascii="Times New Roman" w:hAnsi="Times New Roman" w:cs="Times New Roman"/>
          <w:sz w:val="24"/>
          <w:szCs w:val="24"/>
        </w:rPr>
        <w:t xml:space="preserve">es in relation to other courses. Consequently, its derogation from free movement, in order to prevent risk to the financial equilibrium if its </w:t>
      </w:r>
      <w:r w:rsidR="005A2974">
        <w:rPr>
          <w:rFonts w:ascii="Times New Roman" w:hAnsi="Times New Roman" w:cs="Times New Roman"/>
          <w:sz w:val="24"/>
          <w:szCs w:val="24"/>
        </w:rPr>
        <w:lastRenderedPageBreak/>
        <w:t>education system, a practical consideration for Member States designing programmes for the provision of the fundamental right to education,</w:t>
      </w:r>
      <w:r w:rsidR="005A2974">
        <w:rPr>
          <w:rStyle w:val="FootnoteReference"/>
          <w:rFonts w:ascii="Times New Roman" w:hAnsi="Times New Roman" w:cs="Times New Roman"/>
          <w:sz w:val="24"/>
          <w:szCs w:val="24"/>
        </w:rPr>
        <w:footnoteReference w:id="133"/>
      </w:r>
      <w:r w:rsidR="005A2974">
        <w:rPr>
          <w:rFonts w:ascii="Times New Roman" w:hAnsi="Times New Roman" w:cs="Times New Roman"/>
          <w:sz w:val="24"/>
          <w:szCs w:val="24"/>
        </w:rPr>
        <w:t xml:space="preserve"> could not be justified.</w:t>
      </w:r>
      <w:r>
        <w:rPr>
          <w:rStyle w:val="FootnoteReference"/>
          <w:rFonts w:ascii="Times New Roman" w:hAnsi="Times New Roman" w:cs="Times New Roman"/>
          <w:sz w:val="24"/>
          <w:szCs w:val="24"/>
        </w:rPr>
        <w:footnoteReference w:id="134"/>
      </w:r>
      <w:r>
        <w:rPr>
          <w:rFonts w:ascii="Times New Roman" w:hAnsi="Times New Roman" w:cs="Times New Roman"/>
          <w:sz w:val="24"/>
          <w:szCs w:val="24"/>
        </w:rPr>
        <w:t xml:space="preserve"> </w:t>
      </w:r>
    </w:p>
    <w:p w14:paraId="52899E6C" w14:textId="77777777" w:rsidR="005A2974" w:rsidRDefault="005A2974" w:rsidP="00D64197">
      <w:pPr>
        <w:pStyle w:val="NoSpacing"/>
        <w:jc w:val="both"/>
        <w:rPr>
          <w:rFonts w:ascii="Times New Roman" w:hAnsi="Times New Roman" w:cs="Times New Roman"/>
          <w:sz w:val="24"/>
          <w:szCs w:val="24"/>
        </w:rPr>
      </w:pPr>
    </w:p>
    <w:p w14:paraId="048F75D2" w14:textId="77777777" w:rsidR="00D64197" w:rsidRPr="00790F70" w:rsidRDefault="00D64197" w:rsidP="00D64197">
      <w:pPr>
        <w:pStyle w:val="NoSpacing"/>
        <w:jc w:val="both"/>
        <w:rPr>
          <w:rFonts w:ascii="Times New Roman" w:hAnsi="Times New Roman" w:cs="Times New Roman"/>
          <w:sz w:val="24"/>
          <w:szCs w:val="24"/>
        </w:rPr>
      </w:pPr>
      <w:r>
        <w:rPr>
          <w:rFonts w:ascii="Times New Roman" w:hAnsi="Times New Roman" w:cs="Times New Roman"/>
          <w:sz w:val="24"/>
          <w:szCs w:val="24"/>
        </w:rPr>
        <w:t>The Union’s economic origins</w:t>
      </w:r>
      <w:r w:rsidR="00B270EF">
        <w:rPr>
          <w:rFonts w:ascii="Times New Roman" w:hAnsi="Times New Roman" w:cs="Times New Roman"/>
          <w:sz w:val="24"/>
          <w:szCs w:val="24"/>
        </w:rPr>
        <w:t xml:space="preserve"> </w:t>
      </w:r>
      <w:r>
        <w:rPr>
          <w:rFonts w:ascii="Times New Roman" w:hAnsi="Times New Roman" w:cs="Times New Roman"/>
          <w:sz w:val="24"/>
          <w:szCs w:val="24"/>
        </w:rPr>
        <w:t>have also rendered the Court reluctant to accept justificatory arguments of a ‘purely economic nature’.</w:t>
      </w:r>
      <w:r>
        <w:rPr>
          <w:rStyle w:val="FootnoteReference"/>
          <w:rFonts w:ascii="Times New Roman" w:hAnsi="Times New Roman" w:cs="Times New Roman"/>
          <w:sz w:val="24"/>
          <w:szCs w:val="24"/>
        </w:rPr>
        <w:footnoteReference w:id="135"/>
      </w:r>
      <w:r>
        <w:rPr>
          <w:rFonts w:ascii="Times New Roman" w:hAnsi="Times New Roman" w:cs="Times New Roman"/>
          <w:sz w:val="24"/>
          <w:szCs w:val="24"/>
        </w:rPr>
        <w:t xml:space="preserve"> However, in the context of programmatic fundamental social rights, the planning of public budgets can be a genuine consideration in relation to free movement derogations. The CJEU has, more recently, demonstrated a willingness to examine the risk posed to ‘the financial balance of social security systems’,</w:t>
      </w:r>
      <w:r>
        <w:rPr>
          <w:rStyle w:val="FootnoteReference"/>
          <w:rFonts w:ascii="Times New Roman" w:hAnsi="Times New Roman" w:cs="Times New Roman"/>
          <w:sz w:val="24"/>
          <w:szCs w:val="24"/>
        </w:rPr>
        <w:footnoteReference w:id="136"/>
      </w:r>
      <w:r>
        <w:rPr>
          <w:rFonts w:ascii="Times New Roman" w:hAnsi="Times New Roman" w:cs="Times New Roman"/>
          <w:sz w:val="24"/>
          <w:szCs w:val="24"/>
        </w:rPr>
        <w:t xml:space="preserve"> but this has arguably been undermined by the accompanying evidential burde</w:t>
      </w:r>
      <w:r w:rsidR="004662C3">
        <w:rPr>
          <w:rFonts w:ascii="Times New Roman" w:hAnsi="Times New Roman" w:cs="Times New Roman"/>
          <w:sz w:val="24"/>
          <w:szCs w:val="24"/>
        </w:rPr>
        <w:t>ns placed on the Member States. As Nic Shuibhne and Maci point out, assessment of the proportionality of national measures is often assessed by reference to whether social security systems will be undermined by removing the barriers to free movement</w:t>
      </w:r>
      <w:r w:rsidR="0013215C">
        <w:rPr>
          <w:rFonts w:ascii="Times New Roman" w:hAnsi="Times New Roman" w:cs="Times New Roman"/>
          <w:sz w:val="24"/>
          <w:szCs w:val="24"/>
        </w:rPr>
        <w:t xml:space="preserve"> at the level of the individual</w:t>
      </w:r>
      <w:r w:rsidR="004662C3">
        <w:rPr>
          <w:rFonts w:ascii="Times New Roman" w:hAnsi="Times New Roman" w:cs="Times New Roman"/>
          <w:sz w:val="24"/>
          <w:szCs w:val="24"/>
        </w:rPr>
        <w:t>.</w:t>
      </w:r>
      <w:r w:rsidR="004662C3">
        <w:rPr>
          <w:rStyle w:val="FootnoteReference"/>
          <w:rFonts w:ascii="Times New Roman" w:hAnsi="Times New Roman" w:cs="Times New Roman"/>
          <w:sz w:val="24"/>
          <w:szCs w:val="24"/>
        </w:rPr>
        <w:footnoteReference w:id="137"/>
      </w:r>
      <w:r w:rsidR="004662C3">
        <w:rPr>
          <w:rFonts w:ascii="Times New Roman" w:hAnsi="Times New Roman" w:cs="Times New Roman"/>
          <w:sz w:val="24"/>
          <w:szCs w:val="24"/>
        </w:rPr>
        <w:t xml:space="preserve"> This leads them to ask</w:t>
      </w:r>
      <w:r w:rsidR="00B270EF">
        <w:rPr>
          <w:rFonts w:ascii="Times New Roman" w:hAnsi="Times New Roman" w:cs="Times New Roman"/>
          <w:sz w:val="24"/>
          <w:szCs w:val="24"/>
        </w:rPr>
        <w:t xml:space="preserve">, ‘how can States demonstrate – or more likely project – to a sufficiently rigorous degree the knock-on systematic effects </w:t>
      </w:r>
      <w:r w:rsidR="004662C3">
        <w:rPr>
          <w:rFonts w:ascii="Times New Roman" w:hAnsi="Times New Roman" w:cs="Times New Roman"/>
          <w:sz w:val="24"/>
          <w:szCs w:val="24"/>
        </w:rPr>
        <w:t>[for such programmes]</w:t>
      </w:r>
      <w:r w:rsidR="007234D6">
        <w:rPr>
          <w:rFonts w:ascii="Times New Roman" w:hAnsi="Times New Roman" w:cs="Times New Roman"/>
          <w:sz w:val="24"/>
          <w:szCs w:val="24"/>
        </w:rPr>
        <w:t>?’</w:t>
      </w:r>
      <w:r w:rsidR="004662C3">
        <w:rPr>
          <w:rStyle w:val="FootnoteReference"/>
          <w:rFonts w:ascii="Times New Roman" w:hAnsi="Times New Roman" w:cs="Times New Roman"/>
          <w:sz w:val="24"/>
          <w:szCs w:val="24"/>
        </w:rPr>
        <w:footnoteReference w:id="138"/>
      </w:r>
      <w:r>
        <w:rPr>
          <w:rFonts w:ascii="Times New Roman" w:hAnsi="Times New Roman" w:cs="Times New Roman"/>
          <w:sz w:val="20"/>
          <w:szCs w:val="24"/>
        </w:rPr>
        <w:t xml:space="preserve"> </w:t>
      </w:r>
      <w:r>
        <w:rPr>
          <w:rFonts w:ascii="Times New Roman" w:hAnsi="Times New Roman" w:cs="Times New Roman"/>
          <w:sz w:val="24"/>
          <w:szCs w:val="24"/>
        </w:rPr>
        <w:t xml:space="preserve">    </w:t>
      </w:r>
    </w:p>
    <w:p w14:paraId="0EA7B1F0" w14:textId="77777777" w:rsidR="00D64197" w:rsidRDefault="00D64197" w:rsidP="00D64197">
      <w:pPr>
        <w:pStyle w:val="NoSpacing"/>
        <w:jc w:val="both"/>
        <w:rPr>
          <w:rFonts w:ascii="Times New Roman" w:hAnsi="Times New Roman" w:cs="Times New Roman"/>
          <w:sz w:val="24"/>
          <w:szCs w:val="24"/>
        </w:rPr>
      </w:pPr>
    </w:p>
    <w:p w14:paraId="526203F3" w14:textId="77777777" w:rsidR="00D64197" w:rsidRDefault="00D64197" w:rsidP="00D64197">
      <w:pPr>
        <w:pStyle w:val="NoSpacing"/>
        <w:jc w:val="both"/>
        <w:rPr>
          <w:rFonts w:ascii="Times New Roman" w:hAnsi="Times New Roman" w:cs="Times New Roman"/>
          <w:sz w:val="24"/>
          <w:szCs w:val="24"/>
        </w:rPr>
      </w:pPr>
      <w:r>
        <w:rPr>
          <w:rFonts w:ascii="Times New Roman" w:hAnsi="Times New Roman" w:cs="Times New Roman"/>
          <w:sz w:val="24"/>
          <w:szCs w:val="24"/>
        </w:rPr>
        <w:t>In other fundamental rights areas, where furnishing statistical evidence might be easier, this will not necessarily lead to the conclusion that a Member State measure is justified in practice</w:t>
      </w:r>
      <w:r w:rsidR="004662C3">
        <w:rPr>
          <w:rFonts w:ascii="Times New Roman" w:hAnsi="Times New Roman" w:cs="Times New Roman"/>
          <w:sz w:val="24"/>
          <w:szCs w:val="24"/>
        </w:rPr>
        <w:t xml:space="preserve"> in any case</w:t>
      </w:r>
      <w:r>
        <w:rPr>
          <w:rFonts w:ascii="Times New Roman" w:hAnsi="Times New Roman" w:cs="Times New Roman"/>
          <w:sz w:val="24"/>
          <w:szCs w:val="24"/>
        </w:rPr>
        <w:t>.</w:t>
      </w:r>
      <w:r w:rsidR="004662C3">
        <w:rPr>
          <w:rFonts w:ascii="Times New Roman" w:hAnsi="Times New Roman" w:cs="Times New Roman"/>
          <w:sz w:val="24"/>
          <w:szCs w:val="24"/>
        </w:rPr>
        <w:t xml:space="preserve"> For example,</w:t>
      </w:r>
      <w:r>
        <w:rPr>
          <w:rFonts w:ascii="Times New Roman" w:hAnsi="Times New Roman" w:cs="Times New Roman"/>
          <w:sz w:val="24"/>
          <w:szCs w:val="24"/>
        </w:rPr>
        <w:t xml:space="preserve"> </w:t>
      </w:r>
      <w:r w:rsidR="004662C3">
        <w:rPr>
          <w:rFonts w:ascii="Times New Roman" w:hAnsi="Times New Roman" w:cs="Times New Roman"/>
          <w:sz w:val="24"/>
          <w:szCs w:val="24"/>
        </w:rPr>
        <w:t>i</w:t>
      </w:r>
      <w:r>
        <w:rPr>
          <w:rFonts w:ascii="Times New Roman" w:hAnsi="Times New Roman" w:cs="Times New Roman"/>
          <w:sz w:val="24"/>
          <w:szCs w:val="24"/>
        </w:rPr>
        <w:t xml:space="preserve">n </w:t>
      </w:r>
      <w:r w:rsidRPr="00047790">
        <w:rPr>
          <w:rFonts w:ascii="Times New Roman" w:hAnsi="Times New Roman" w:cs="Times New Roman"/>
          <w:i/>
          <w:sz w:val="24"/>
          <w:szCs w:val="24"/>
        </w:rPr>
        <w:t>Pétillant de Raisin</w:t>
      </w:r>
      <w:r>
        <w:rPr>
          <w:rFonts w:ascii="Times New Roman" w:hAnsi="Times New Roman" w:cs="Times New Roman"/>
          <w:sz w:val="24"/>
          <w:szCs w:val="24"/>
        </w:rPr>
        <w:t>, Germany tried to justify its restrictions on the use of champagne-style bottles for other drinks by presenting a survey in which 75% of participants, having been shown a photograph of the bottle, believed it contained champagne or sparkling wine. Even where the bottle featured a clear label, stating that it contained fruit juice, 50% of people still thought the picture was of champagne. Nevertheless, the Court held that clear labelling would secure consumer protection in a way less restrictive of free movement.</w:t>
      </w:r>
      <w:r>
        <w:rPr>
          <w:rStyle w:val="FootnoteReference"/>
          <w:rFonts w:ascii="Times New Roman" w:hAnsi="Times New Roman" w:cs="Times New Roman"/>
          <w:sz w:val="24"/>
          <w:szCs w:val="24"/>
        </w:rPr>
        <w:footnoteReference w:id="139"/>
      </w:r>
      <w:r>
        <w:rPr>
          <w:rFonts w:ascii="Times New Roman" w:hAnsi="Times New Roman" w:cs="Times New Roman"/>
          <w:sz w:val="24"/>
          <w:szCs w:val="24"/>
        </w:rPr>
        <w:t xml:space="preserve"> </w:t>
      </w:r>
    </w:p>
    <w:p w14:paraId="153E7139" w14:textId="77777777" w:rsidR="00D64197" w:rsidRDefault="00D64197" w:rsidP="00D64197">
      <w:pPr>
        <w:pStyle w:val="NoSpacing"/>
        <w:jc w:val="both"/>
        <w:rPr>
          <w:rFonts w:ascii="Times New Roman" w:hAnsi="Times New Roman" w:cs="Times New Roman"/>
          <w:sz w:val="24"/>
          <w:szCs w:val="24"/>
        </w:rPr>
      </w:pPr>
    </w:p>
    <w:p w14:paraId="178A596C" w14:textId="08633AF8" w:rsidR="000706FB" w:rsidRPr="00415D8F" w:rsidRDefault="004662C3" w:rsidP="000706FB">
      <w:pPr>
        <w:pStyle w:val="NoSpacing"/>
        <w:jc w:val="both"/>
        <w:rPr>
          <w:rFonts w:ascii="Times New Roman" w:hAnsi="Times New Roman" w:cs="Times New Roman"/>
          <w:sz w:val="24"/>
          <w:szCs w:val="24"/>
        </w:rPr>
      </w:pPr>
      <w:r>
        <w:rPr>
          <w:rFonts w:ascii="Times New Roman" w:hAnsi="Times New Roman" w:cs="Times New Roman"/>
          <w:sz w:val="24"/>
          <w:szCs w:val="24"/>
        </w:rPr>
        <w:t>Extending the direct effect of</w:t>
      </w:r>
      <w:r w:rsidR="000706FB">
        <w:rPr>
          <w:rFonts w:ascii="Times New Roman" w:hAnsi="Times New Roman" w:cs="Times New Roman"/>
          <w:sz w:val="24"/>
          <w:szCs w:val="24"/>
        </w:rPr>
        <w:t xml:space="preserve"> (some of)</w:t>
      </w:r>
      <w:r>
        <w:rPr>
          <w:rFonts w:ascii="Times New Roman" w:hAnsi="Times New Roman" w:cs="Times New Roman"/>
          <w:sz w:val="24"/>
          <w:szCs w:val="24"/>
        </w:rPr>
        <w:t xml:space="preserve"> the market freedoms</w:t>
      </w:r>
      <w:r w:rsidR="000706FB">
        <w:rPr>
          <w:rFonts w:ascii="Times New Roman" w:hAnsi="Times New Roman" w:cs="Times New Roman"/>
          <w:sz w:val="24"/>
          <w:szCs w:val="24"/>
        </w:rPr>
        <w:t xml:space="preserve"> to private parties</w:t>
      </w:r>
      <w:r>
        <w:rPr>
          <w:rFonts w:ascii="Times New Roman" w:hAnsi="Times New Roman" w:cs="Times New Roman"/>
          <w:sz w:val="24"/>
          <w:szCs w:val="24"/>
        </w:rPr>
        <w:t xml:space="preserve"> has also </w:t>
      </w:r>
      <w:r w:rsidR="00050272">
        <w:rPr>
          <w:rFonts w:ascii="Times New Roman" w:hAnsi="Times New Roman" w:cs="Times New Roman"/>
          <w:sz w:val="24"/>
          <w:szCs w:val="24"/>
        </w:rPr>
        <w:t>impacted upon</w:t>
      </w:r>
      <w:r>
        <w:rPr>
          <w:rFonts w:ascii="Times New Roman" w:hAnsi="Times New Roman" w:cs="Times New Roman"/>
          <w:sz w:val="24"/>
          <w:szCs w:val="24"/>
        </w:rPr>
        <w:t xml:space="preserve"> the evidential burdens operating at the justifications phase. </w:t>
      </w:r>
      <w:r w:rsidR="000706FB">
        <w:rPr>
          <w:rFonts w:ascii="Times New Roman" w:hAnsi="Times New Roman" w:cs="Times New Roman"/>
          <w:sz w:val="24"/>
          <w:szCs w:val="24"/>
        </w:rPr>
        <w:t xml:space="preserve">First, it can require private actors to play the dual role of combatant and referee. Thus, whilst in </w:t>
      </w:r>
      <w:r w:rsidR="000706FB">
        <w:rPr>
          <w:rFonts w:ascii="Times New Roman" w:hAnsi="Times New Roman" w:cs="Times New Roman"/>
          <w:i/>
          <w:sz w:val="24"/>
          <w:szCs w:val="24"/>
        </w:rPr>
        <w:t>Schmidberger</w:t>
      </w:r>
      <w:r w:rsidR="000706FB">
        <w:rPr>
          <w:rFonts w:ascii="Times New Roman" w:hAnsi="Times New Roman" w:cs="Times New Roman"/>
          <w:sz w:val="24"/>
          <w:szCs w:val="24"/>
        </w:rPr>
        <w:t xml:space="preserve"> the question was whether a public authority had appropriately managed the conflicting relationship between two rights-holders, in </w:t>
      </w:r>
      <w:r w:rsidR="000706FB">
        <w:rPr>
          <w:rFonts w:ascii="Times New Roman" w:hAnsi="Times New Roman" w:cs="Times New Roman"/>
          <w:i/>
          <w:sz w:val="24"/>
          <w:szCs w:val="24"/>
        </w:rPr>
        <w:t>Viking</w:t>
      </w:r>
      <w:r w:rsidR="000706FB">
        <w:rPr>
          <w:rFonts w:ascii="Times New Roman" w:hAnsi="Times New Roman" w:cs="Times New Roman"/>
          <w:sz w:val="24"/>
          <w:szCs w:val="24"/>
        </w:rPr>
        <w:t xml:space="preserve"> and </w:t>
      </w:r>
      <w:r w:rsidR="000706FB">
        <w:rPr>
          <w:rFonts w:ascii="Times New Roman" w:hAnsi="Times New Roman" w:cs="Times New Roman"/>
          <w:i/>
          <w:sz w:val="24"/>
          <w:szCs w:val="24"/>
        </w:rPr>
        <w:t>Laval</w:t>
      </w:r>
      <w:r w:rsidR="000706FB">
        <w:rPr>
          <w:rFonts w:ascii="Times New Roman" w:hAnsi="Times New Roman" w:cs="Times New Roman"/>
          <w:sz w:val="24"/>
          <w:szCs w:val="24"/>
        </w:rPr>
        <w:t xml:space="preserve">, the question becomes whether a private party, in exercising its </w:t>
      </w:r>
      <w:r w:rsidR="000706FB">
        <w:rPr>
          <w:rFonts w:ascii="Times New Roman" w:hAnsi="Times New Roman" w:cs="Times New Roman"/>
          <w:i/>
          <w:sz w:val="24"/>
          <w:szCs w:val="24"/>
        </w:rPr>
        <w:t>own</w:t>
      </w:r>
      <w:r w:rsidR="000706FB">
        <w:rPr>
          <w:rFonts w:ascii="Times New Roman" w:hAnsi="Times New Roman" w:cs="Times New Roman"/>
          <w:sz w:val="24"/>
          <w:szCs w:val="24"/>
        </w:rPr>
        <w:t xml:space="preserve"> fundamental rights, has ensured that it has not unduly restricted the free movement rights of others. Further, as a result of the breach/justification methodology, there is no</w:t>
      </w:r>
      <w:r w:rsidR="00964464">
        <w:rPr>
          <w:rFonts w:ascii="Times New Roman" w:hAnsi="Times New Roman" w:cs="Times New Roman"/>
          <w:sz w:val="24"/>
          <w:szCs w:val="24"/>
        </w:rPr>
        <w:t xml:space="preserve"> reciprocal</w:t>
      </w:r>
      <w:r w:rsidR="000706FB">
        <w:rPr>
          <w:rFonts w:ascii="Times New Roman" w:hAnsi="Times New Roman" w:cs="Times New Roman"/>
          <w:sz w:val="24"/>
          <w:szCs w:val="24"/>
        </w:rPr>
        <w:t xml:space="preserve"> obligation on the holders of free movement rights to consider the proportionality of free movement on the fundamental rights of the other private party. This seems particularly problematic in the context of collective action, since its purpose is to drive the undertaking to the point where it is willing to negotiate further.</w:t>
      </w:r>
      <w:r w:rsidR="000706FB">
        <w:rPr>
          <w:rStyle w:val="FootnoteReference"/>
          <w:rFonts w:ascii="Times New Roman" w:hAnsi="Times New Roman" w:cs="Times New Roman"/>
          <w:sz w:val="24"/>
          <w:szCs w:val="24"/>
        </w:rPr>
        <w:footnoteReference w:id="140"/>
      </w:r>
    </w:p>
    <w:p w14:paraId="3195432D" w14:textId="77777777" w:rsidR="000706FB" w:rsidRDefault="000706FB" w:rsidP="000706FB">
      <w:pPr>
        <w:pStyle w:val="NoSpacing"/>
        <w:jc w:val="both"/>
        <w:rPr>
          <w:rFonts w:ascii="Times New Roman" w:hAnsi="Times New Roman" w:cs="Times New Roman"/>
          <w:sz w:val="24"/>
          <w:szCs w:val="24"/>
        </w:rPr>
      </w:pPr>
    </w:p>
    <w:p w14:paraId="463EDF01" w14:textId="77777777" w:rsidR="000706FB" w:rsidRDefault="00B27F8E" w:rsidP="000706FB">
      <w:pPr>
        <w:pStyle w:val="NoSpacing"/>
        <w:jc w:val="both"/>
        <w:rPr>
          <w:rFonts w:ascii="Times New Roman" w:hAnsi="Times New Roman" w:cs="Times New Roman"/>
          <w:sz w:val="24"/>
          <w:szCs w:val="24"/>
        </w:rPr>
      </w:pPr>
      <w:r>
        <w:rPr>
          <w:rFonts w:ascii="Times New Roman" w:hAnsi="Times New Roman" w:cs="Times New Roman"/>
          <w:sz w:val="24"/>
          <w:szCs w:val="24"/>
        </w:rPr>
        <w:t>Second</w:t>
      </w:r>
      <w:r w:rsidR="000706FB">
        <w:rPr>
          <w:rFonts w:ascii="Times New Roman" w:hAnsi="Times New Roman" w:cs="Times New Roman"/>
          <w:sz w:val="24"/>
          <w:szCs w:val="24"/>
        </w:rPr>
        <w:t xml:space="preserve">, in </w:t>
      </w:r>
      <w:r w:rsidR="000706FB">
        <w:rPr>
          <w:rFonts w:ascii="Times New Roman" w:hAnsi="Times New Roman" w:cs="Times New Roman"/>
          <w:i/>
          <w:sz w:val="24"/>
          <w:szCs w:val="24"/>
        </w:rPr>
        <w:t xml:space="preserve">Viking </w:t>
      </w:r>
      <w:r w:rsidR="000706FB">
        <w:rPr>
          <w:rFonts w:ascii="Times New Roman" w:hAnsi="Times New Roman" w:cs="Times New Roman"/>
          <w:sz w:val="24"/>
          <w:szCs w:val="24"/>
        </w:rPr>
        <w:t xml:space="preserve">and </w:t>
      </w:r>
      <w:r w:rsidR="000706FB">
        <w:rPr>
          <w:rFonts w:ascii="Times New Roman" w:hAnsi="Times New Roman" w:cs="Times New Roman"/>
          <w:i/>
          <w:sz w:val="24"/>
          <w:szCs w:val="24"/>
        </w:rPr>
        <w:t>Laval</w:t>
      </w:r>
      <w:r w:rsidR="000706FB">
        <w:rPr>
          <w:rFonts w:ascii="Times New Roman" w:hAnsi="Times New Roman" w:cs="Times New Roman"/>
          <w:sz w:val="24"/>
          <w:szCs w:val="24"/>
        </w:rPr>
        <w:t xml:space="preserve">, the Court examined the legitimacy of the aim behind the exercise of the fundamental right to strike, where it had held in </w:t>
      </w:r>
      <w:r w:rsidR="000706FB">
        <w:rPr>
          <w:rFonts w:ascii="Times New Roman" w:hAnsi="Times New Roman" w:cs="Times New Roman"/>
          <w:i/>
          <w:sz w:val="24"/>
          <w:szCs w:val="24"/>
        </w:rPr>
        <w:t>Schmidberger</w:t>
      </w:r>
      <w:r w:rsidR="00D86DA0">
        <w:rPr>
          <w:rFonts w:ascii="Times New Roman" w:hAnsi="Times New Roman" w:cs="Times New Roman"/>
          <w:sz w:val="24"/>
          <w:szCs w:val="24"/>
        </w:rPr>
        <w:t xml:space="preserve"> that the objective</w:t>
      </w:r>
      <w:r w:rsidR="000706FB">
        <w:rPr>
          <w:rFonts w:ascii="Times New Roman" w:hAnsi="Times New Roman" w:cs="Times New Roman"/>
          <w:sz w:val="24"/>
          <w:szCs w:val="24"/>
        </w:rPr>
        <w:t xml:space="preserve"> behind the exercise of fundamental rights was not relevant to justification. This is seemingly a direct consequence of the application of the market freedoms to private parties as opposed to the State. Advocate General Mengozzi in </w:t>
      </w:r>
      <w:r w:rsidR="000706FB">
        <w:rPr>
          <w:rFonts w:ascii="Times New Roman" w:hAnsi="Times New Roman" w:cs="Times New Roman"/>
          <w:i/>
          <w:sz w:val="24"/>
          <w:szCs w:val="24"/>
        </w:rPr>
        <w:t>Laval</w:t>
      </w:r>
      <w:r w:rsidR="000706FB">
        <w:rPr>
          <w:rFonts w:ascii="Times New Roman" w:hAnsi="Times New Roman" w:cs="Times New Roman"/>
          <w:sz w:val="24"/>
          <w:szCs w:val="24"/>
        </w:rPr>
        <w:t xml:space="preserve"> explicitly distinguished </w:t>
      </w:r>
      <w:r w:rsidR="000706FB">
        <w:rPr>
          <w:rFonts w:ascii="Times New Roman" w:hAnsi="Times New Roman" w:cs="Times New Roman"/>
          <w:i/>
          <w:sz w:val="24"/>
          <w:szCs w:val="24"/>
        </w:rPr>
        <w:t>Schmidberger</w:t>
      </w:r>
      <w:r w:rsidR="000706FB">
        <w:rPr>
          <w:rFonts w:ascii="Times New Roman" w:hAnsi="Times New Roman" w:cs="Times New Roman"/>
          <w:sz w:val="24"/>
          <w:szCs w:val="24"/>
        </w:rPr>
        <w:t xml:space="preserve"> on the basis that ‘the aims pursued by the collective action taken by the defendant in the main proceedings are…decisive in the context of a dispute in which only private persons are parties’.</w:t>
      </w:r>
      <w:r w:rsidR="000706FB">
        <w:rPr>
          <w:rStyle w:val="FootnoteReference"/>
          <w:rFonts w:ascii="Times New Roman" w:hAnsi="Times New Roman" w:cs="Times New Roman"/>
          <w:sz w:val="24"/>
          <w:szCs w:val="24"/>
        </w:rPr>
        <w:footnoteReference w:id="141"/>
      </w:r>
      <w:r w:rsidR="000706FB">
        <w:rPr>
          <w:rFonts w:ascii="Times New Roman" w:hAnsi="Times New Roman" w:cs="Times New Roman"/>
          <w:sz w:val="24"/>
          <w:szCs w:val="24"/>
        </w:rPr>
        <w:t xml:space="preserve"> Th</w:t>
      </w:r>
      <w:r>
        <w:rPr>
          <w:rFonts w:ascii="Times New Roman" w:hAnsi="Times New Roman" w:cs="Times New Roman"/>
          <w:sz w:val="24"/>
          <w:szCs w:val="24"/>
        </w:rPr>
        <w:t>is approach has the effect of doubling the evidential requirements operating at the justifications phase.</w:t>
      </w:r>
    </w:p>
    <w:p w14:paraId="74FDF20A" w14:textId="77777777" w:rsidR="000706FB" w:rsidRDefault="000706FB" w:rsidP="000706FB">
      <w:pPr>
        <w:pStyle w:val="NoSpacing"/>
        <w:jc w:val="both"/>
        <w:rPr>
          <w:rFonts w:ascii="Times New Roman" w:hAnsi="Times New Roman" w:cs="Times New Roman"/>
          <w:sz w:val="24"/>
          <w:szCs w:val="24"/>
        </w:rPr>
      </w:pPr>
    </w:p>
    <w:p w14:paraId="4D3B712D" w14:textId="77777777" w:rsidR="000706FB" w:rsidRDefault="000706FB" w:rsidP="000706FB">
      <w:pPr>
        <w:pStyle w:val="NoSpacing"/>
        <w:jc w:val="both"/>
        <w:rPr>
          <w:rFonts w:ascii="Times New Roman" w:hAnsi="Times New Roman" w:cs="Times New Roman"/>
          <w:sz w:val="24"/>
          <w:szCs w:val="24"/>
        </w:rPr>
      </w:pPr>
      <w:r>
        <w:rPr>
          <w:rFonts w:ascii="Times New Roman" w:hAnsi="Times New Roman" w:cs="Times New Roman"/>
          <w:sz w:val="24"/>
          <w:szCs w:val="24"/>
        </w:rPr>
        <w:t>Finally, the Treaty</w:t>
      </w:r>
      <w:r w:rsidR="00AE181F">
        <w:rPr>
          <w:rFonts w:ascii="Times New Roman" w:hAnsi="Times New Roman" w:cs="Times New Roman"/>
          <w:sz w:val="24"/>
          <w:szCs w:val="24"/>
        </w:rPr>
        <w:t xml:space="preserve"> free movement</w:t>
      </w:r>
      <w:r>
        <w:rPr>
          <w:rFonts w:ascii="Times New Roman" w:hAnsi="Times New Roman" w:cs="Times New Roman"/>
          <w:sz w:val="24"/>
          <w:szCs w:val="24"/>
        </w:rPr>
        <w:t xml:space="preserve"> provisions are not necessarily designed with private parties in mind, putting them at a disadvantage when individuals come to rely on Treaty derogations to justify their restrictions on free movement. In </w:t>
      </w:r>
      <w:r>
        <w:rPr>
          <w:rFonts w:ascii="Times New Roman" w:hAnsi="Times New Roman" w:cs="Times New Roman"/>
          <w:i/>
          <w:sz w:val="24"/>
          <w:szCs w:val="24"/>
        </w:rPr>
        <w:t>Viking</w:t>
      </w:r>
      <w:r>
        <w:rPr>
          <w:rFonts w:ascii="Times New Roman" w:hAnsi="Times New Roman" w:cs="Times New Roman"/>
          <w:sz w:val="24"/>
          <w:szCs w:val="24"/>
        </w:rPr>
        <w:t>, the Court explicitly recognised that ‘certain provisions of the Treaty are formally addressed to the Member States’.</w:t>
      </w:r>
      <w:r>
        <w:rPr>
          <w:rStyle w:val="FootnoteReference"/>
          <w:rFonts w:ascii="Times New Roman" w:hAnsi="Times New Roman" w:cs="Times New Roman"/>
          <w:sz w:val="24"/>
          <w:szCs w:val="24"/>
        </w:rPr>
        <w:footnoteReference w:id="142"/>
      </w:r>
      <w:r>
        <w:rPr>
          <w:rFonts w:ascii="Times New Roman" w:hAnsi="Times New Roman" w:cs="Times New Roman"/>
          <w:sz w:val="24"/>
          <w:szCs w:val="24"/>
        </w:rPr>
        <w:t xml:space="preserve"> This has caused De Witte to ask, why private parties should be exposed to free movement obligations ‘when the legitimate reasons that can justify restrictions to trade…are entirely framed in terms of </w:t>
      </w:r>
      <w:r>
        <w:rPr>
          <w:rFonts w:ascii="Times New Roman" w:hAnsi="Times New Roman" w:cs="Times New Roman"/>
          <w:i/>
          <w:sz w:val="24"/>
          <w:szCs w:val="24"/>
        </w:rPr>
        <w:t>public</w:t>
      </w:r>
      <w:r>
        <w:rPr>
          <w:rFonts w:ascii="Times New Roman" w:hAnsi="Times New Roman" w:cs="Times New Roman"/>
          <w:sz w:val="24"/>
          <w:szCs w:val="24"/>
        </w:rPr>
        <w:t xml:space="preserve"> interest, [leaving] private parties empty-handed in trying to justify their behaviour’.</w:t>
      </w:r>
      <w:r>
        <w:rPr>
          <w:rStyle w:val="FootnoteReference"/>
          <w:rFonts w:ascii="Times New Roman" w:hAnsi="Times New Roman" w:cs="Times New Roman"/>
          <w:sz w:val="24"/>
          <w:szCs w:val="24"/>
        </w:rPr>
        <w:footnoteReference w:id="143"/>
      </w:r>
      <w:r>
        <w:rPr>
          <w:rFonts w:ascii="Times New Roman" w:hAnsi="Times New Roman" w:cs="Times New Roman"/>
          <w:sz w:val="24"/>
          <w:szCs w:val="24"/>
        </w:rPr>
        <w:t xml:space="preserve"> </w:t>
      </w:r>
    </w:p>
    <w:p w14:paraId="7C71BBD0" w14:textId="77777777" w:rsidR="000706FB" w:rsidRDefault="000706FB" w:rsidP="000706FB">
      <w:pPr>
        <w:pStyle w:val="NoSpacing"/>
        <w:jc w:val="both"/>
        <w:rPr>
          <w:rFonts w:ascii="Times New Roman" w:hAnsi="Times New Roman" w:cs="Times New Roman"/>
          <w:sz w:val="24"/>
          <w:szCs w:val="24"/>
        </w:rPr>
      </w:pPr>
    </w:p>
    <w:p w14:paraId="323F0D0E" w14:textId="197DA88D" w:rsidR="000706FB" w:rsidRPr="00D8127B" w:rsidRDefault="000706FB" w:rsidP="000706FB">
      <w:pPr>
        <w:pStyle w:val="NoSpacing"/>
        <w:jc w:val="both"/>
        <w:rPr>
          <w:rFonts w:ascii="Times New Roman" w:hAnsi="Times New Roman" w:cs="Times New Roman"/>
          <w:sz w:val="24"/>
          <w:szCs w:val="24"/>
        </w:rPr>
      </w:pPr>
      <w:r>
        <w:rPr>
          <w:rFonts w:ascii="Times New Roman" w:hAnsi="Times New Roman" w:cs="Times New Roman"/>
          <w:sz w:val="24"/>
          <w:szCs w:val="24"/>
        </w:rPr>
        <w:t>Of course, reliance on public interest derogations is only relevant to</w:t>
      </w:r>
      <w:r w:rsidR="00AE181F">
        <w:rPr>
          <w:rFonts w:ascii="Times New Roman" w:hAnsi="Times New Roman" w:cs="Times New Roman"/>
          <w:sz w:val="24"/>
          <w:szCs w:val="24"/>
        </w:rPr>
        <w:t xml:space="preserve"> the</w:t>
      </w:r>
      <w:r>
        <w:rPr>
          <w:rFonts w:ascii="Times New Roman" w:hAnsi="Times New Roman" w:cs="Times New Roman"/>
          <w:sz w:val="24"/>
          <w:szCs w:val="24"/>
        </w:rPr>
        <w:t xml:space="preserve"> general</w:t>
      </w:r>
      <w:r w:rsidR="00D86DA0">
        <w:rPr>
          <w:rFonts w:ascii="Times New Roman" w:hAnsi="Times New Roman" w:cs="Times New Roman"/>
          <w:sz w:val="24"/>
          <w:szCs w:val="24"/>
        </w:rPr>
        <w:t>ly limited instances of</w:t>
      </w:r>
      <w:r>
        <w:rPr>
          <w:rFonts w:ascii="Times New Roman" w:hAnsi="Times New Roman" w:cs="Times New Roman"/>
          <w:sz w:val="24"/>
          <w:szCs w:val="24"/>
        </w:rPr>
        <w:t xml:space="preserve"> discriminatory activity. In the context of non-discriminatory conduct, private actors may draw on the non-exhaustive mandatory requirements, which would seem less open to criticism for being ill-suited to the justificatory needs of private actors.</w:t>
      </w:r>
      <w:r w:rsidR="00AE181F">
        <w:rPr>
          <w:rFonts w:ascii="Times New Roman" w:hAnsi="Times New Roman" w:cs="Times New Roman"/>
          <w:sz w:val="24"/>
          <w:szCs w:val="24"/>
        </w:rPr>
        <w:t xml:space="preserve"> In </w:t>
      </w:r>
      <w:r w:rsidR="00AE181F">
        <w:rPr>
          <w:rFonts w:ascii="Times New Roman" w:hAnsi="Times New Roman" w:cs="Times New Roman"/>
          <w:i/>
          <w:sz w:val="24"/>
          <w:szCs w:val="24"/>
        </w:rPr>
        <w:t>Laval</w:t>
      </w:r>
      <w:r w:rsidR="00AE181F">
        <w:rPr>
          <w:rFonts w:ascii="Times New Roman" w:hAnsi="Times New Roman" w:cs="Times New Roman"/>
          <w:sz w:val="24"/>
          <w:szCs w:val="24"/>
        </w:rPr>
        <w:t>, a problem nevertheless arose because Union secondary legislation existed – in the form of the Posted Workers’ Directive</w:t>
      </w:r>
      <w:r w:rsidR="00AE181F">
        <w:rPr>
          <w:rStyle w:val="FootnoteReference"/>
          <w:rFonts w:ascii="Times New Roman" w:hAnsi="Times New Roman" w:cs="Times New Roman"/>
          <w:sz w:val="24"/>
          <w:szCs w:val="24"/>
        </w:rPr>
        <w:footnoteReference w:id="144"/>
      </w:r>
      <w:r w:rsidR="00AE181F">
        <w:rPr>
          <w:rFonts w:ascii="Times New Roman" w:hAnsi="Times New Roman" w:cs="Times New Roman"/>
          <w:sz w:val="24"/>
          <w:szCs w:val="24"/>
        </w:rPr>
        <w:t xml:space="preserve"> – that contained a ‘core nucleus’ of terms and conditions of employment,</w:t>
      </w:r>
      <w:r w:rsidR="00AE181F">
        <w:rPr>
          <w:rStyle w:val="FootnoteReference"/>
          <w:rFonts w:ascii="Times New Roman" w:hAnsi="Times New Roman" w:cs="Times New Roman"/>
          <w:sz w:val="24"/>
          <w:szCs w:val="24"/>
        </w:rPr>
        <w:footnoteReference w:id="145"/>
      </w:r>
      <w:r w:rsidR="00AE181F">
        <w:rPr>
          <w:rFonts w:ascii="Times New Roman" w:hAnsi="Times New Roman" w:cs="Times New Roman"/>
          <w:sz w:val="24"/>
          <w:szCs w:val="24"/>
        </w:rPr>
        <w:t xml:space="preserve"> which Member States were able to impose on service providers posting workers to their territory. Article 3(10) PWD al</w:t>
      </w:r>
      <w:r>
        <w:rPr>
          <w:rFonts w:ascii="Times New Roman" w:hAnsi="Times New Roman" w:cs="Times New Roman"/>
          <w:sz w:val="24"/>
          <w:szCs w:val="24"/>
        </w:rPr>
        <w:t>lows the application of terms and conditions going beyond those to which</w:t>
      </w:r>
      <w:r w:rsidR="007F784E">
        <w:rPr>
          <w:rFonts w:ascii="Times New Roman" w:hAnsi="Times New Roman" w:cs="Times New Roman"/>
          <w:sz w:val="24"/>
          <w:szCs w:val="24"/>
        </w:rPr>
        <w:t xml:space="preserve"> the core nucleus refers for reas</w:t>
      </w:r>
      <w:r>
        <w:rPr>
          <w:rFonts w:ascii="Times New Roman" w:hAnsi="Times New Roman" w:cs="Times New Roman"/>
          <w:sz w:val="24"/>
          <w:szCs w:val="24"/>
        </w:rPr>
        <w:t>ons of public policy</w:t>
      </w:r>
      <w:r w:rsidR="007F784E">
        <w:rPr>
          <w:rFonts w:ascii="Times New Roman" w:hAnsi="Times New Roman" w:cs="Times New Roman"/>
          <w:sz w:val="24"/>
          <w:szCs w:val="24"/>
        </w:rPr>
        <w:t xml:space="preserve">. However, as private actors, the trade unions in </w:t>
      </w:r>
      <w:r w:rsidR="007F784E">
        <w:rPr>
          <w:rFonts w:ascii="Times New Roman" w:hAnsi="Times New Roman" w:cs="Times New Roman"/>
          <w:i/>
          <w:sz w:val="24"/>
          <w:szCs w:val="24"/>
        </w:rPr>
        <w:t>Laval</w:t>
      </w:r>
      <w:r w:rsidR="007F784E">
        <w:rPr>
          <w:rFonts w:ascii="Times New Roman" w:hAnsi="Times New Roman" w:cs="Times New Roman"/>
          <w:sz w:val="24"/>
          <w:szCs w:val="24"/>
        </w:rPr>
        <w:t xml:space="preserve"> were not able to rely on</w:t>
      </w:r>
      <w:r>
        <w:rPr>
          <w:rFonts w:ascii="Times New Roman" w:hAnsi="Times New Roman" w:cs="Times New Roman"/>
          <w:sz w:val="24"/>
          <w:szCs w:val="24"/>
        </w:rPr>
        <w:t xml:space="preserve"> this</w:t>
      </w:r>
      <w:r w:rsidR="007F784E">
        <w:rPr>
          <w:rFonts w:ascii="Times New Roman" w:hAnsi="Times New Roman" w:cs="Times New Roman"/>
          <w:sz w:val="24"/>
          <w:szCs w:val="24"/>
        </w:rPr>
        <w:t xml:space="preserve"> provision</w:t>
      </w:r>
      <w:r>
        <w:rPr>
          <w:rFonts w:ascii="Times New Roman" w:hAnsi="Times New Roman" w:cs="Times New Roman"/>
          <w:sz w:val="24"/>
          <w:szCs w:val="24"/>
        </w:rPr>
        <w:t xml:space="preserve"> to justify collective action aimed at securing the overriding interest of worker protection</w:t>
      </w:r>
      <w:r w:rsidR="004A6E95">
        <w:rPr>
          <w:rFonts w:ascii="Times New Roman" w:hAnsi="Times New Roman" w:cs="Times New Roman"/>
          <w:sz w:val="24"/>
          <w:szCs w:val="24"/>
        </w:rPr>
        <w:t xml:space="preserve"> going beyond the core nucleus of protection contained in the PWD</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46"/>
      </w:r>
      <w:r>
        <w:rPr>
          <w:rFonts w:ascii="Times New Roman" w:hAnsi="Times New Roman" w:cs="Times New Roman"/>
          <w:sz w:val="24"/>
          <w:szCs w:val="24"/>
        </w:rPr>
        <w:t xml:space="preserve">  </w:t>
      </w:r>
    </w:p>
    <w:p w14:paraId="37E49A8B" w14:textId="77777777" w:rsidR="000706FB" w:rsidRPr="0093331C" w:rsidRDefault="000706FB" w:rsidP="00F61657">
      <w:pPr>
        <w:pStyle w:val="NoSpacing"/>
        <w:jc w:val="both"/>
        <w:rPr>
          <w:rFonts w:ascii="Times New Roman" w:hAnsi="Times New Roman" w:cs="Times New Roman"/>
          <w:sz w:val="24"/>
          <w:szCs w:val="24"/>
        </w:rPr>
      </w:pPr>
    </w:p>
    <w:p w14:paraId="580992C6" w14:textId="77777777" w:rsidR="00E84528" w:rsidRPr="00E84528" w:rsidRDefault="00E84528" w:rsidP="00E84528">
      <w:pPr>
        <w:pStyle w:val="NoSpacing"/>
        <w:ind w:left="780"/>
        <w:jc w:val="both"/>
        <w:rPr>
          <w:rFonts w:ascii="Times New Roman" w:hAnsi="Times New Roman" w:cs="Times New Roman"/>
          <w:b/>
          <w:i/>
          <w:sz w:val="24"/>
          <w:szCs w:val="24"/>
        </w:rPr>
      </w:pPr>
    </w:p>
    <w:p w14:paraId="02508C53" w14:textId="77777777" w:rsidR="003E5F27" w:rsidRDefault="003E5F27" w:rsidP="003E5F27">
      <w:pPr>
        <w:pStyle w:val="NoSpacing"/>
        <w:numPr>
          <w:ilvl w:val="1"/>
          <w:numId w:val="2"/>
        </w:numPr>
        <w:jc w:val="both"/>
        <w:rPr>
          <w:rFonts w:ascii="Times New Roman" w:hAnsi="Times New Roman" w:cs="Times New Roman"/>
          <w:b/>
          <w:i/>
          <w:sz w:val="24"/>
          <w:szCs w:val="24"/>
        </w:rPr>
      </w:pPr>
      <w:r>
        <w:rPr>
          <w:rFonts w:ascii="Times New Roman" w:hAnsi="Times New Roman" w:cs="Times New Roman"/>
          <w:b/>
          <w:i/>
          <w:sz w:val="24"/>
          <w:szCs w:val="24"/>
        </w:rPr>
        <w:t>The impact of the breach/justification methodology on the protection and exercise of fundamental rights</w:t>
      </w:r>
    </w:p>
    <w:p w14:paraId="6724102F" w14:textId="77777777" w:rsidR="004662C3" w:rsidRDefault="004662C3" w:rsidP="004662C3">
      <w:pPr>
        <w:pStyle w:val="NoSpacing"/>
        <w:jc w:val="both"/>
        <w:rPr>
          <w:rFonts w:ascii="Times New Roman" w:hAnsi="Times New Roman" w:cs="Times New Roman"/>
          <w:b/>
          <w:i/>
          <w:sz w:val="24"/>
          <w:szCs w:val="24"/>
        </w:rPr>
      </w:pPr>
    </w:p>
    <w:p w14:paraId="6D8DD894" w14:textId="77777777" w:rsidR="00083857" w:rsidRDefault="00083857" w:rsidP="004662C3">
      <w:pPr>
        <w:pStyle w:val="NoSpacing"/>
        <w:jc w:val="both"/>
        <w:rPr>
          <w:rFonts w:ascii="Times New Roman" w:hAnsi="Times New Roman" w:cs="Times New Roman"/>
          <w:sz w:val="24"/>
          <w:szCs w:val="24"/>
        </w:rPr>
      </w:pPr>
      <w:r>
        <w:rPr>
          <w:rFonts w:ascii="Times New Roman" w:hAnsi="Times New Roman" w:cs="Times New Roman"/>
          <w:sz w:val="24"/>
          <w:szCs w:val="24"/>
        </w:rPr>
        <w:t xml:space="preserve">As well as simply making it harder for fundamental rights to prevail over the market provisions, the breach/justification methodology, and the consequent one-sided application of the </w:t>
      </w:r>
      <w:r>
        <w:rPr>
          <w:rFonts w:ascii="Times New Roman" w:hAnsi="Times New Roman" w:cs="Times New Roman"/>
          <w:sz w:val="24"/>
          <w:szCs w:val="24"/>
        </w:rPr>
        <w:lastRenderedPageBreak/>
        <w:t>proportionality principle</w:t>
      </w:r>
      <w:r w:rsidR="00F12AED">
        <w:rPr>
          <w:rFonts w:ascii="Times New Roman" w:hAnsi="Times New Roman" w:cs="Times New Roman"/>
          <w:sz w:val="24"/>
          <w:szCs w:val="24"/>
        </w:rPr>
        <w:t>,</w:t>
      </w:r>
      <w:r>
        <w:rPr>
          <w:rFonts w:ascii="Times New Roman" w:hAnsi="Times New Roman" w:cs="Times New Roman"/>
          <w:sz w:val="24"/>
          <w:szCs w:val="24"/>
        </w:rPr>
        <w:t xml:space="preserve"> has certain concrete consequences for the protection of fundamental rights.  </w:t>
      </w:r>
    </w:p>
    <w:p w14:paraId="75BAA01F" w14:textId="77777777" w:rsidR="00083857" w:rsidRDefault="00083857" w:rsidP="004662C3">
      <w:pPr>
        <w:pStyle w:val="NoSpacing"/>
        <w:jc w:val="both"/>
        <w:rPr>
          <w:rFonts w:ascii="Times New Roman" w:hAnsi="Times New Roman" w:cs="Times New Roman"/>
          <w:sz w:val="24"/>
          <w:szCs w:val="24"/>
        </w:rPr>
      </w:pPr>
    </w:p>
    <w:p w14:paraId="139DB6EE" w14:textId="1331B248" w:rsidR="00332B7A" w:rsidRDefault="00F517FE" w:rsidP="004662C3">
      <w:pPr>
        <w:pStyle w:val="NoSpacing"/>
        <w:jc w:val="both"/>
        <w:rPr>
          <w:rFonts w:ascii="Times New Roman" w:hAnsi="Times New Roman" w:cs="Times New Roman"/>
          <w:sz w:val="24"/>
          <w:szCs w:val="24"/>
        </w:rPr>
      </w:pPr>
      <w:r>
        <w:rPr>
          <w:rFonts w:ascii="Times New Roman" w:hAnsi="Times New Roman" w:cs="Times New Roman"/>
          <w:sz w:val="24"/>
          <w:szCs w:val="24"/>
        </w:rPr>
        <w:t>To begin with</w:t>
      </w:r>
      <w:r w:rsidR="00083857">
        <w:rPr>
          <w:rFonts w:ascii="Times New Roman" w:hAnsi="Times New Roman" w:cs="Times New Roman"/>
          <w:sz w:val="24"/>
          <w:szCs w:val="24"/>
        </w:rPr>
        <w:t>,</w:t>
      </w:r>
      <w:r w:rsidR="00F12AED">
        <w:rPr>
          <w:rFonts w:ascii="Times New Roman" w:hAnsi="Times New Roman" w:cs="Times New Roman"/>
          <w:sz w:val="24"/>
          <w:szCs w:val="24"/>
        </w:rPr>
        <w:t xml:space="preserve"> the processing of disputes between free movement and fundamental rights through two stages results in the examination of the necessity of a fundamental rights measure through a free movement lens. Accordingly, questions of necessity are usually determined by reference to whether measures less restrictive of free movement are available. This can lead to a lowering of fundamental rights standards in real terms. This is exemplified by the case-law on consumer protection</w:t>
      </w:r>
      <w:r w:rsidR="0059564B">
        <w:rPr>
          <w:rFonts w:ascii="Times New Roman" w:hAnsi="Times New Roman" w:cs="Times New Roman"/>
          <w:sz w:val="24"/>
          <w:szCs w:val="24"/>
        </w:rPr>
        <w:t>, now recognised as a fundamental right by Art.38 CFR</w:t>
      </w:r>
      <w:r w:rsidR="00F12AED">
        <w:rPr>
          <w:rFonts w:ascii="Times New Roman" w:hAnsi="Times New Roman" w:cs="Times New Roman"/>
          <w:sz w:val="24"/>
          <w:szCs w:val="24"/>
        </w:rPr>
        <w:t>.</w:t>
      </w:r>
      <w:r w:rsidR="00F12AED">
        <w:rPr>
          <w:rStyle w:val="FootnoteReference"/>
          <w:rFonts w:ascii="Times New Roman" w:hAnsi="Times New Roman" w:cs="Times New Roman"/>
          <w:sz w:val="24"/>
          <w:szCs w:val="24"/>
        </w:rPr>
        <w:footnoteReference w:id="147"/>
      </w:r>
      <w:r w:rsidR="00F12AED">
        <w:rPr>
          <w:rFonts w:ascii="Times New Roman" w:hAnsi="Times New Roman" w:cs="Times New Roman"/>
          <w:sz w:val="24"/>
          <w:szCs w:val="24"/>
        </w:rPr>
        <w:t xml:space="preserve"> The Court has frequently held that consumers can be protected from potential confusion, when purchasing goods, by product labelling.</w:t>
      </w:r>
      <w:r w:rsidR="00F12AED">
        <w:rPr>
          <w:rStyle w:val="FootnoteReference"/>
          <w:rFonts w:ascii="Times New Roman" w:hAnsi="Times New Roman" w:cs="Times New Roman"/>
          <w:sz w:val="24"/>
          <w:szCs w:val="24"/>
        </w:rPr>
        <w:footnoteReference w:id="148"/>
      </w:r>
      <w:r w:rsidR="00F12AED">
        <w:rPr>
          <w:rFonts w:ascii="Times New Roman" w:hAnsi="Times New Roman" w:cs="Times New Roman"/>
          <w:sz w:val="24"/>
          <w:szCs w:val="24"/>
        </w:rPr>
        <w:t xml:space="preserve"> Since Member State consumer protection measures have included, for instance, compositional requirements,</w:t>
      </w:r>
      <w:r w:rsidR="00F12AED">
        <w:rPr>
          <w:rStyle w:val="FootnoteReference"/>
          <w:rFonts w:ascii="Times New Roman" w:hAnsi="Times New Roman" w:cs="Times New Roman"/>
          <w:sz w:val="24"/>
          <w:szCs w:val="24"/>
        </w:rPr>
        <w:footnoteReference w:id="149"/>
      </w:r>
      <w:r w:rsidR="00F12AED">
        <w:rPr>
          <w:rFonts w:ascii="Times New Roman" w:hAnsi="Times New Roman" w:cs="Times New Roman"/>
          <w:sz w:val="24"/>
          <w:szCs w:val="24"/>
        </w:rPr>
        <w:t xml:space="preserve"> new product designations,</w:t>
      </w:r>
      <w:r w:rsidR="00F12AED">
        <w:rPr>
          <w:rStyle w:val="FootnoteReference"/>
          <w:rFonts w:ascii="Times New Roman" w:hAnsi="Times New Roman" w:cs="Times New Roman"/>
          <w:sz w:val="24"/>
          <w:szCs w:val="24"/>
        </w:rPr>
        <w:footnoteReference w:id="150"/>
      </w:r>
      <w:r w:rsidR="00F12AED">
        <w:rPr>
          <w:rFonts w:ascii="Times New Roman" w:hAnsi="Times New Roman" w:cs="Times New Roman"/>
          <w:sz w:val="24"/>
          <w:szCs w:val="24"/>
        </w:rPr>
        <w:t xml:space="preserve"> or entirely altered packaging,</w:t>
      </w:r>
      <w:r w:rsidR="005B7766">
        <w:rPr>
          <w:rStyle w:val="FootnoteReference"/>
          <w:rFonts w:ascii="Times New Roman" w:hAnsi="Times New Roman" w:cs="Times New Roman"/>
          <w:sz w:val="24"/>
          <w:szCs w:val="24"/>
        </w:rPr>
        <w:footnoteReference w:id="151"/>
      </w:r>
      <w:r w:rsidR="00F12AED">
        <w:rPr>
          <w:rFonts w:ascii="Times New Roman" w:hAnsi="Times New Roman" w:cs="Times New Roman"/>
          <w:sz w:val="24"/>
          <w:szCs w:val="24"/>
        </w:rPr>
        <w:t xml:space="preserve"> labelling is clearly less restrictive of free movement.</w:t>
      </w:r>
      <w:r w:rsidR="005B7766">
        <w:rPr>
          <w:rFonts w:ascii="Times New Roman" w:hAnsi="Times New Roman" w:cs="Times New Roman"/>
          <w:sz w:val="24"/>
          <w:szCs w:val="24"/>
        </w:rPr>
        <w:t xml:space="preserve"> However, it is submitted that this does not automatically render Member State rules ‘unnecessary’ from a fundamental rights perspective. Specifically, this approach neglects to consider the realities of consumer behaviour or arguably legitimate Member State desire to protect vulnerable consumers. Thus, we have already seen that the Court rejected evidence in</w:t>
      </w:r>
      <w:r w:rsidR="002F0446">
        <w:rPr>
          <w:rFonts w:ascii="Times New Roman" w:hAnsi="Times New Roman" w:cs="Times New Roman"/>
          <w:sz w:val="24"/>
          <w:szCs w:val="24"/>
        </w:rPr>
        <w:t xml:space="preserve"> the</w:t>
      </w:r>
      <w:r w:rsidR="005B7766">
        <w:rPr>
          <w:rFonts w:ascii="Times New Roman" w:hAnsi="Times New Roman" w:cs="Times New Roman"/>
          <w:sz w:val="24"/>
          <w:szCs w:val="24"/>
        </w:rPr>
        <w:t xml:space="preserve"> </w:t>
      </w:r>
      <w:r w:rsidR="005B7766">
        <w:rPr>
          <w:rFonts w:ascii="Times New Roman" w:hAnsi="Times New Roman" w:cs="Times New Roman"/>
          <w:i/>
          <w:sz w:val="24"/>
          <w:szCs w:val="24"/>
        </w:rPr>
        <w:t>Pétillant de Raisin</w:t>
      </w:r>
      <w:r w:rsidR="005B7766">
        <w:rPr>
          <w:rFonts w:ascii="Times New Roman" w:hAnsi="Times New Roman" w:cs="Times New Roman"/>
          <w:sz w:val="24"/>
          <w:szCs w:val="24"/>
        </w:rPr>
        <w:t xml:space="preserve"> case that many consumers simply do not read labels.</w:t>
      </w:r>
      <w:r w:rsidR="005B7766">
        <w:rPr>
          <w:rStyle w:val="FootnoteReference"/>
          <w:rFonts w:ascii="Times New Roman" w:hAnsi="Times New Roman" w:cs="Times New Roman"/>
          <w:sz w:val="24"/>
          <w:szCs w:val="24"/>
        </w:rPr>
        <w:footnoteReference w:id="152"/>
      </w:r>
      <w:r w:rsidR="005B7766">
        <w:rPr>
          <w:rFonts w:ascii="Times New Roman" w:hAnsi="Times New Roman" w:cs="Times New Roman"/>
          <w:sz w:val="24"/>
          <w:szCs w:val="24"/>
        </w:rPr>
        <w:t xml:space="preserve"> This reduces the effectiveness and the equivalence of labelling as an alternative method of consumer protection</w:t>
      </w:r>
      <w:r>
        <w:rPr>
          <w:rFonts w:ascii="Times New Roman" w:hAnsi="Times New Roman" w:cs="Times New Roman"/>
          <w:sz w:val="24"/>
          <w:szCs w:val="24"/>
        </w:rPr>
        <w:t xml:space="preserve"> and has led Weatherill to ask whether the Court requires ‘</w:t>
      </w:r>
      <w:r w:rsidR="005B7766">
        <w:rPr>
          <w:rFonts w:ascii="Times New Roman" w:hAnsi="Times New Roman" w:cs="Times New Roman"/>
          <w:sz w:val="24"/>
          <w:szCs w:val="24"/>
        </w:rPr>
        <w:t>the relaxation of the grip of national laws [regarding] a consumer more gullible than the European Court is prepared to acknowledge as deserving of protection’.</w:t>
      </w:r>
      <w:r w:rsidR="005B7766">
        <w:rPr>
          <w:rStyle w:val="FootnoteReference"/>
          <w:rFonts w:ascii="Times New Roman" w:hAnsi="Times New Roman" w:cs="Times New Roman"/>
          <w:sz w:val="24"/>
          <w:szCs w:val="24"/>
        </w:rPr>
        <w:footnoteReference w:id="153"/>
      </w:r>
      <w:r w:rsidR="0020294C">
        <w:rPr>
          <w:rFonts w:ascii="Times New Roman" w:hAnsi="Times New Roman" w:cs="Times New Roman"/>
          <w:sz w:val="24"/>
          <w:szCs w:val="24"/>
        </w:rPr>
        <w:t xml:space="preserve"> </w:t>
      </w:r>
      <w:r>
        <w:rPr>
          <w:rFonts w:ascii="Times New Roman" w:hAnsi="Times New Roman" w:cs="Times New Roman"/>
          <w:sz w:val="24"/>
          <w:szCs w:val="24"/>
        </w:rPr>
        <w:t>More broadly, the case-law suggests that this approach can risk a consequent underappreciation of the idiosyncratic fundamental rights needs of Member States based on the peculiarities of language,</w:t>
      </w:r>
      <w:r>
        <w:rPr>
          <w:rStyle w:val="FootnoteReference"/>
          <w:rFonts w:ascii="Times New Roman" w:hAnsi="Times New Roman" w:cs="Times New Roman"/>
          <w:sz w:val="24"/>
          <w:szCs w:val="24"/>
        </w:rPr>
        <w:footnoteReference w:id="154"/>
      </w:r>
      <w:r>
        <w:rPr>
          <w:rFonts w:ascii="Times New Roman" w:hAnsi="Times New Roman" w:cs="Times New Roman"/>
          <w:sz w:val="24"/>
          <w:szCs w:val="24"/>
        </w:rPr>
        <w:t xml:space="preserve"> or, beyond the field of consumer protection, the need to address a particular paucity of press diversity.</w:t>
      </w:r>
      <w:r>
        <w:rPr>
          <w:rStyle w:val="FootnoteReference"/>
          <w:rFonts w:ascii="Times New Roman" w:hAnsi="Times New Roman" w:cs="Times New Roman"/>
          <w:sz w:val="24"/>
          <w:szCs w:val="24"/>
        </w:rPr>
        <w:footnoteReference w:id="155"/>
      </w:r>
      <w:r>
        <w:rPr>
          <w:rFonts w:ascii="Times New Roman" w:hAnsi="Times New Roman" w:cs="Times New Roman"/>
          <w:sz w:val="24"/>
          <w:szCs w:val="24"/>
        </w:rPr>
        <w:t xml:space="preserve">  </w:t>
      </w:r>
    </w:p>
    <w:p w14:paraId="247F9112" w14:textId="77777777" w:rsidR="00332B7A" w:rsidRDefault="00332B7A" w:rsidP="004662C3">
      <w:pPr>
        <w:pStyle w:val="NoSpacing"/>
        <w:jc w:val="both"/>
        <w:rPr>
          <w:rFonts w:ascii="Times New Roman" w:hAnsi="Times New Roman" w:cs="Times New Roman"/>
          <w:sz w:val="24"/>
          <w:szCs w:val="24"/>
        </w:rPr>
      </w:pPr>
    </w:p>
    <w:p w14:paraId="4CED1364" w14:textId="77777777" w:rsidR="00AA3E26" w:rsidRDefault="00AA3E26" w:rsidP="004662C3">
      <w:pPr>
        <w:pStyle w:val="NoSpacing"/>
        <w:jc w:val="both"/>
        <w:rPr>
          <w:rFonts w:ascii="Times New Roman" w:hAnsi="Times New Roman" w:cs="Times New Roman"/>
          <w:sz w:val="24"/>
          <w:szCs w:val="24"/>
        </w:rPr>
      </w:pPr>
      <w:r>
        <w:rPr>
          <w:rFonts w:ascii="Times New Roman" w:hAnsi="Times New Roman" w:cs="Times New Roman"/>
          <w:sz w:val="24"/>
          <w:szCs w:val="24"/>
        </w:rPr>
        <w:t>M</w:t>
      </w:r>
      <w:r w:rsidR="004662C3">
        <w:rPr>
          <w:rFonts w:ascii="Times New Roman" w:hAnsi="Times New Roman" w:cs="Times New Roman"/>
          <w:sz w:val="24"/>
          <w:szCs w:val="24"/>
        </w:rPr>
        <w:t>easures less restrictive of free movement might</w:t>
      </w:r>
      <w:r>
        <w:rPr>
          <w:rFonts w:ascii="Times New Roman" w:hAnsi="Times New Roman" w:cs="Times New Roman"/>
          <w:sz w:val="24"/>
          <w:szCs w:val="24"/>
        </w:rPr>
        <w:t xml:space="preserve"> also</w:t>
      </w:r>
      <w:r w:rsidR="004662C3">
        <w:rPr>
          <w:rFonts w:ascii="Times New Roman" w:hAnsi="Times New Roman" w:cs="Times New Roman"/>
          <w:sz w:val="24"/>
          <w:szCs w:val="24"/>
        </w:rPr>
        <w:t xml:space="preserve"> not be as effective in securing certain fundamental rights. For instance, in </w:t>
      </w:r>
      <w:r w:rsidR="004662C3">
        <w:rPr>
          <w:rFonts w:ascii="Times New Roman" w:hAnsi="Times New Roman" w:cs="Times New Roman"/>
          <w:i/>
          <w:sz w:val="24"/>
          <w:szCs w:val="24"/>
        </w:rPr>
        <w:t>Viking</w:t>
      </w:r>
      <w:r w:rsidR="004662C3">
        <w:rPr>
          <w:rFonts w:ascii="Times New Roman" w:hAnsi="Times New Roman" w:cs="Times New Roman"/>
          <w:sz w:val="24"/>
          <w:szCs w:val="24"/>
        </w:rPr>
        <w:t xml:space="preserve">, the CJEU required the referring court to consider, even if jobs were under serious threat, whether measures less restrictive of free movement than the proposed collective were available. </w:t>
      </w:r>
      <w:r>
        <w:rPr>
          <w:rFonts w:ascii="Times New Roman" w:hAnsi="Times New Roman" w:cs="Times New Roman"/>
          <w:sz w:val="24"/>
          <w:szCs w:val="24"/>
        </w:rPr>
        <w:t>However, s</w:t>
      </w:r>
      <w:r w:rsidR="004662C3">
        <w:rPr>
          <w:rFonts w:ascii="Times New Roman" w:hAnsi="Times New Roman" w:cs="Times New Roman"/>
          <w:sz w:val="24"/>
          <w:szCs w:val="24"/>
        </w:rPr>
        <w:t xml:space="preserve">ince the trade union in </w:t>
      </w:r>
      <w:r w:rsidR="004662C3">
        <w:rPr>
          <w:rFonts w:ascii="Times New Roman" w:hAnsi="Times New Roman" w:cs="Times New Roman"/>
          <w:i/>
          <w:sz w:val="24"/>
          <w:szCs w:val="24"/>
        </w:rPr>
        <w:t>Viking</w:t>
      </w:r>
      <w:r w:rsidR="004662C3">
        <w:rPr>
          <w:rFonts w:ascii="Times New Roman" w:hAnsi="Times New Roman" w:cs="Times New Roman"/>
          <w:sz w:val="24"/>
          <w:szCs w:val="24"/>
        </w:rPr>
        <w:t xml:space="preserve"> was exercising its fundamental right to strike in order to persuade an employer not to exercise free movement rights, any collective action less restrictive of free movement would also inevitably reduce the </w:t>
      </w:r>
      <w:r w:rsidR="004662C3" w:rsidRPr="00AA3E26">
        <w:rPr>
          <w:rFonts w:ascii="Times New Roman" w:hAnsi="Times New Roman" w:cs="Times New Roman"/>
          <w:sz w:val="24"/>
          <w:szCs w:val="24"/>
        </w:rPr>
        <w:t xml:space="preserve">effectiveness </w:t>
      </w:r>
      <w:r w:rsidR="004662C3">
        <w:rPr>
          <w:rFonts w:ascii="Times New Roman" w:hAnsi="Times New Roman" w:cs="Times New Roman"/>
          <w:sz w:val="24"/>
          <w:szCs w:val="24"/>
        </w:rPr>
        <w:t>of exercising that right.</w:t>
      </w:r>
      <w:r w:rsidR="004662C3">
        <w:rPr>
          <w:rStyle w:val="FootnoteReference"/>
          <w:rFonts w:ascii="Times New Roman" w:hAnsi="Times New Roman" w:cs="Times New Roman"/>
          <w:sz w:val="24"/>
          <w:szCs w:val="24"/>
        </w:rPr>
        <w:footnoteReference w:id="156"/>
      </w:r>
    </w:p>
    <w:p w14:paraId="3E0DB17B" w14:textId="77777777" w:rsidR="00AA3E26" w:rsidRDefault="00AA3E26" w:rsidP="004662C3">
      <w:pPr>
        <w:pStyle w:val="NoSpacing"/>
        <w:jc w:val="both"/>
        <w:rPr>
          <w:rFonts w:ascii="Times New Roman" w:hAnsi="Times New Roman" w:cs="Times New Roman"/>
          <w:sz w:val="24"/>
          <w:szCs w:val="24"/>
        </w:rPr>
      </w:pPr>
    </w:p>
    <w:p w14:paraId="1481F973" w14:textId="77777777" w:rsidR="00DB56E2" w:rsidRDefault="00AA3E26" w:rsidP="004662C3">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In the context of programmatic fundamental rights, determining necessity according to whether measures less restrictive of free movement are available reduces the legal space for much-needed consideration of the logistical, budgetary, administrative and other practicalities of designing and implementing systems of social protection. </w:t>
      </w:r>
      <w:r w:rsidR="007462AD">
        <w:rPr>
          <w:rFonts w:ascii="Times New Roman" w:hAnsi="Times New Roman" w:cs="Times New Roman"/>
          <w:sz w:val="24"/>
          <w:szCs w:val="24"/>
        </w:rPr>
        <w:t xml:space="preserve">For instance, the </w:t>
      </w:r>
      <w:r w:rsidR="00891BE9">
        <w:rPr>
          <w:rFonts w:ascii="Times New Roman" w:hAnsi="Times New Roman" w:cs="Times New Roman"/>
          <w:sz w:val="24"/>
          <w:szCs w:val="24"/>
        </w:rPr>
        <w:t>Court held in</w:t>
      </w:r>
      <w:r w:rsidR="007462AD">
        <w:rPr>
          <w:rFonts w:ascii="Times New Roman" w:hAnsi="Times New Roman" w:cs="Times New Roman"/>
          <w:sz w:val="24"/>
          <w:szCs w:val="24"/>
        </w:rPr>
        <w:t xml:space="preserve"> </w:t>
      </w:r>
      <w:r w:rsidR="007462AD">
        <w:rPr>
          <w:rFonts w:ascii="Times New Roman" w:hAnsi="Times New Roman" w:cs="Times New Roman"/>
          <w:i/>
          <w:sz w:val="24"/>
          <w:szCs w:val="24"/>
        </w:rPr>
        <w:t>Libert</w:t>
      </w:r>
      <w:r w:rsidR="00891BE9">
        <w:rPr>
          <w:rFonts w:ascii="Times New Roman" w:hAnsi="Times New Roman" w:cs="Times New Roman"/>
          <w:sz w:val="24"/>
          <w:szCs w:val="24"/>
        </w:rPr>
        <w:t xml:space="preserve"> that a Flemish measure</w:t>
      </w:r>
      <w:r w:rsidR="007462AD">
        <w:rPr>
          <w:rFonts w:ascii="Times New Roman" w:hAnsi="Times New Roman" w:cs="Times New Roman"/>
          <w:sz w:val="24"/>
          <w:szCs w:val="24"/>
        </w:rPr>
        <w:t xml:space="preserve">, targeted at </w:t>
      </w:r>
      <w:r w:rsidR="00891BE9">
        <w:rPr>
          <w:rFonts w:ascii="Times New Roman" w:hAnsi="Times New Roman" w:cs="Times New Roman"/>
          <w:sz w:val="24"/>
          <w:szCs w:val="24"/>
        </w:rPr>
        <w:t>ensuring access to housing, which required the existence of a ‘sufficient connection’ between potential purchasers of land and certain geographical areas, was unnecessary because subsidies for purchase c</w:t>
      </w:r>
      <w:r w:rsidR="00332B7A">
        <w:rPr>
          <w:rFonts w:ascii="Times New Roman" w:hAnsi="Times New Roman" w:cs="Times New Roman"/>
          <w:sz w:val="24"/>
          <w:szCs w:val="24"/>
        </w:rPr>
        <w:t>ould meet this objective with</w:t>
      </w:r>
      <w:r w:rsidR="00891BE9">
        <w:rPr>
          <w:rFonts w:ascii="Times New Roman" w:hAnsi="Times New Roman" w:cs="Times New Roman"/>
          <w:sz w:val="24"/>
          <w:szCs w:val="24"/>
        </w:rPr>
        <w:t xml:space="preserve"> fewer restrictions on f</w:t>
      </w:r>
      <w:r w:rsidR="00332B7A">
        <w:rPr>
          <w:rFonts w:ascii="Times New Roman" w:hAnsi="Times New Roman" w:cs="Times New Roman"/>
          <w:sz w:val="24"/>
          <w:szCs w:val="24"/>
        </w:rPr>
        <w:t>ree movement</w:t>
      </w:r>
      <w:r w:rsidR="0013215C">
        <w:rPr>
          <w:rFonts w:ascii="Times New Roman" w:hAnsi="Times New Roman" w:cs="Times New Roman"/>
          <w:sz w:val="24"/>
          <w:szCs w:val="24"/>
        </w:rPr>
        <w:t xml:space="preserve">. It is clear that </w:t>
      </w:r>
      <w:r w:rsidR="00891BE9">
        <w:rPr>
          <w:rFonts w:ascii="Times New Roman" w:hAnsi="Times New Roman" w:cs="Times New Roman"/>
          <w:sz w:val="24"/>
          <w:szCs w:val="24"/>
        </w:rPr>
        <w:t>subsidy provision would address well the programmatic aim of enabling access to housing, and in a way less restrictive of free movement. What is less clear is whether such an approach would be feasible in light of the constraints it places on broa</w:t>
      </w:r>
      <w:r w:rsidR="00332B7A">
        <w:rPr>
          <w:rFonts w:ascii="Times New Roman" w:hAnsi="Times New Roman" w:cs="Times New Roman"/>
          <w:sz w:val="24"/>
          <w:szCs w:val="24"/>
        </w:rPr>
        <w:t>der national budgets, which must</w:t>
      </w:r>
      <w:r w:rsidR="00891BE9">
        <w:rPr>
          <w:rFonts w:ascii="Times New Roman" w:hAnsi="Times New Roman" w:cs="Times New Roman"/>
          <w:sz w:val="24"/>
          <w:szCs w:val="24"/>
        </w:rPr>
        <w:t xml:space="preserve"> balance competing social and economic demands.</w:t>
      </w:r>
      <w:r w:rsidR="001C74D1">
        <w:rPr>
          <w:rStyle w:val="FootnoteReference"/>
          <w:rFonts w:ascii="Times New Roman" w:hAnsi="Times New Roman" w:cs="Times New Roman"/>
          <w:sz w:val="24"/>
          <w:szCs w:val="24"/>
        </w:rPr>
        <w:footnoteReference w:id="157"/>
      </w:r>
      <w:r w:rsidR="00BD216B">
        <w:rPr>
          <w:rFonts w:ascii="Times New Roman" w:hAnsi="Times New Roman" w:cs="Times New Roman"/>
          <w:sz w:val="24"/>
          <w:szCs w:val="24"/>
        </w:rPr>
        <w:t xml:space="preserve"> </w:t>
      </w:r>
    </w:p>
    <w:p w14:paraId="3E3D6D2C" w14:textId="77777777" w:rsidR="00DB56E2" w:rsidRDefault="00DB56E2" w:rsidP="004662C3">
      <w:pPr>
        <w:pStyle w:val="NoSpacing"/>
        <w:jc w:val="both"/>
        <w:rPr>
          <w:rFonts w:ascii="Times New Roman" w:hAnsi="Times New Roman" w:cs="Times New Roman"/>
          <w:sz w:val="24"/>
          <w:szCs w:val="24"/>
        </w:rPr>
      </w:pPr>
    </w:p>
    <w:p w14:paraId="2E5E8078" w14:textId="0532658E" w:rsidR="00223F2B" w:rsidRDefault="00BD216B" w:rsidP="004662C3">
      <w:pPr>
        <w:pStyle w:val="NoSpacing"/>
        <w:jc w:val="both"/>
        <w:rPr>
          <w:rFonts w:ascii="Times New Roman" w:hAnsi="Times New Roman" w:cs="Times New Roman"/>
          <w:sz w:val="24"/>
          <w:szCs w:val="24"/>
        </w:rPr>
      </w:pPr>
      <w:r>
        <w:rPr>
          <w:rFonts w:ascii="Times New Roman" w:hAnsi="Times New Roman" w:cs="Times New Roman"/>
          <w:sz w:val="24"/>
          <w:szCs w:val="24"/>
        </w:rPr>
        <w:t>Of course, it might be argu</w:t>
      </w:r>
      <w:r w:rsidR="00DB56E2">
        <w:rPr>
          <w:rFonts w:ascii="Times New Roman" w:hAnsi="Times New Roman" w:cs="Times New Roman"/>
          <w:sz w:val="24"/>
          <w:szCs w:val="24"/>
        </w:rPr>
        <w:t>ed that what is at issue in</w:t>
      </w:r>
      <w:r>
        <w:rPr>
          <w:rFonts w:ascii="Times New Roman" w:hAnsi="Times New Roman" w:cs="Times New Roman"/>
          <w:sz w:val="24"/>
          <w:szCs w:val="24"/>
        </w:rPr>
        <w:t xml:space="preserve"> cases</w:t>
      </w:r>
      <w:r w:rsidR="00DB56E2">
        <w:rPr>
          <w:rFonts w:ascii="Times New Roman" w:hAnsi="Times New Roman" w:cs="Times New Roman"/>
          <w:sz w:val="24"/>
          <w:szCs w:val="24"/>
        </w:rPr>
        <w:t xml:space="preserve"> such as </w:t>
      </w:r>
      <w:r w:rsidR="00DB56E2">
        <w:rPr>
          <w:rFonts w:ascii="Times New Roman" w:hAnsi="Times New Roman" w:cs="Times New Roman"/>
          <w:i/>
          <w:sz w:val="24"/>
          <w:szCs w:val="24"/>
        </w:rPr>
        <w:t>Libert</w:t>
      </w:r>
      <w:r>
        <w:rPr>
          <w:rFonts w:ascii="Times New Roman" w:hAnsi="Times New Roman" w:cs="Times New Roman"/>
          <w:sz w:val="24"/>
          <w:szCs w:val="24"/>
        </w:rPr>
        <w:t xml:space="preserve"> is not a tension between a free movement provision and a fundamental right </w:t>
      </w:r>
      <w:r>
        <w:rPr>
          <w:rFonts w:ascii="Times New Roman" w:hAnsi="Times New Roman" w:cs="Times New Roman"/>
          <w:i/>
          <w:sz w:val="24"/>
          <w:szCs w:val="24"/>
        </w:rPr>
        <w:t xml:space="preserve">per </w:t>
      </w:r>
      <w:r w:rsidR="00D857DA">
        <w:rPr>
          <w:rFonts w:ascii="Times New Roman" w:hAnsi="Times New Roman" w:cs="Times New Roman"/>
          <w:i/>
          <w:sz w:val="24"/>
          <w:szCs w:val="24"/>
        </w:rPr>
        <w:t xml:space="preserve">se </w:t>
      </w:r>
      <w:r w:rsidR="00D857DA">
        <w:rPr>
          <w:rFonts w:ascii="Times New Roman" w:hAnsi="Times New Roman" w:cs="Times New Roman"/>
          <w:sz w:val="24"/>
          <w:szCs w:val="24"/>
        </w:rPr>
        <w:t>but</w:t>
      </w:r>
      <w:r>
        <w:rPr>
          <w:rFonts w:ascii="Times New Roman" w:hAnsi="Times New Roman" w:cs="Times New Roman"/>
          <w:sz w:val="24"/>
          <w:szCs w:val="24"/>
        </w:rPr>
        <w:t xml:space="preserve"> a national policy choice that claims to protect a fundamental right in some way. However, it is submitted that this is inherent to the programmatic nature of new</w:t>
      </w:r>
      <w:r w:rsidR="00DB56E2">
        <w:rPr>
          <w:rFonts w:ascii="Times New Roman" w:hAnsi="Times New Roman" w:cs="Times New Roman"/>
          <w:sz w:val="24"/>
          <w:szCs w:val="24"/>
        </w:rPr>
        <w:t>er</w:t>
      </w:r>
      <w:r>
        <w:rPr>
          <w:rFonts w:ascii="Times New Roman" w:hAnsi="Times New Roman" w:cs="Times New Roman"/>
          <w:sz w:val="24"/>
          <w:szCs w:val="24"/>
        </w:rPr>
        <w:t xml:space="preserve"> generations of fundamental economic, social and solidarity </w:t>
      </w:r>
      <w:r w:rsidR="00DB56E2">
        <w:rPr>
          <w:rFonts w:ascii="Times New Roman" w:hAnsi="Times New Roman" w:cs="Times New Roman"/>
          <w:sz w:val="24"/>
          <w:szCs w:val="24"/>
        </w:rPr>
        <w:t xml:space="preserve">rights. As explained above, many of these rights are included in the Charter or explicitly incorporated into the Union’s goals, while the meeting of these objectives can nevertheless fall primarily within Member State competence. Consequently, while Member States might legitimately be required to re-examine whether their programmes of social protection can be pursued as effectively with fewer restrictions on free movement, given their commitment to economic integration, the reciprocal impact of free movement on the attainment of programmatic fundamental rights must also be considered. It is submitted that there is currently insufficient space for these considerations under the one-sided proportionality test that results from the breach/justification model.    </w:t>
      </w:r>
      <w:r>
        <w:rPr>
          <w:rFonts w:ascii="Times New Roman" w:hAnsi="Times New Roman" w:cs="Times New Roman"/>
          <w:sz w:val="24"/>
          <w:szCs w:val="24"/>
        </w:rPr>
        <w:t xml:space="preserve">  </w:t>
      </w:r>
    </w:p>
    <w:p w14:paraId="7A734BB0" w14:textId="77777777" w:rsidR="00223F2B" w:rsidRDefault="00223F2B" w:rsidP="004662C3">
      <w:pPr>
        <w:pStyle w:val="NoSpacing"/>
        <w:jc w:val="both"/>
        <w:rPr>
          <w:rFonts w:ascii="Times New Roman" w:hAnsi="Times New Roman" w:cs="Times New Roman"/>
          <w:sz w:val="24"/>
          <w:szCs w:val="24"/>
        </w:rPr>
      </w:pPr>
    </w:p>
    <w:p w14:paraId="342BA5CF" w14:textId="77777777" w:rsidR="00E67EAD" w:rsidRDefault="00223F2B" w:rsidP="00E67EAD">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transformation of free movement law can also have concrete consequences for the private exercise of fundamental rights. </w:t>
      </w:r>
      <w:r w:rsidR="00E67EAD">
        <w:rPr>
          <w:rFonts w:ascii="Times New Roman" w:hAnsi="Times New Roman" w:cs="Times New Roman"/>
          <w:sz w:val="24"/>
          <w:szCs w:val="24"/>
        </w:rPr>
        <w:t>First, i</w:t>
      </w:r>
      <w:r>
        <w:rPr>
          <w:rFonts w:ascii="Times New Roman" w:hAnsi="Times New Roman" w:cs="Times New Roman"/>
          <w:sz w:val="24"/>
          <w:szCs w:val="24"/>
        </w:rPr>
        <w:t xml:space="preserve">n the wake of </w:t>
      </w:r>
      <w:r>
        <w:rPr>
          <w:rFonts w:ascii="Times New Roman" w:hAnsi="Times New Roman" w:cs="Times New Roman"/>
          <w:i/>
          <w:sz w:val="24"/>
          <w:szCs w:val="24"/>
        </w:rPr>
        <w:t>Viking</w:t>
      </w:r>
      <w:r>
        <w:rPr>
          <w:rFonts w:ascii="Times New Roman" w:hAnsi="Times New Roman" w:cs="Times New Roman"/>
          <w:sz w:val="24"/>
          <w:szCs w:val="24"/>
        </w:rPr>
        <w:t>, in which the Court required</w:t>
      </w:r>
      <w:r w:rsidR="00244843">
        <w:rPr>
          <w:rFonts w:ascii="Times New Roman" w:hAnsi="Times New Roman" w:cs="Times New Roman"/>
          <w:sz w:val="24"/>
          <w:szCs w:val="24"/>
        </w:rPr>
        <w:t xml:space="preserve">, </w:t>
      </w:r>
      <w:r w:rsidR="00244843">
        <w:rPr>
          <w:rFonts w:ascii="Times New Roman" w:hAnsi="Times New Roman" w:cs="Times New Roman"/>
          <w:i/>
          <w:sz w:val="24"/>
          <w:szCs w:val="24"/>
        </w:rPr>
        <w:t>inter alia</w:t>
      </w:r>
      <w:r w:rsidR="00244843">
        <w:rPr>
          <w:rFonts w:ascii="Times New Roman" w:hAnsi="Times New Roman" w:cs="Times New Roman"/>
          <w:sz w:val="24"/>
          <w:szCs w:val="24"/>
        </w:rPr>
        <w:t>, that</w:t>
      </w:r>
      <w:r>
        <w:rPr>
          <w:rFonts w:ascii="Times New Roman" w:hAnsi="Times New Roman" w:cs="Times New Roman"/>
          <w:sz w:val="24"/>
          <w:szCs w:val="24"/>
        </w:rPr>
        <w:t xml:space="preserve"> ‘current jobs be jeopardised or under serious threat’</w:t>
      </w:r>
      <w:r w:rsidR="00244843">
        <w:rPr>
          <w:rFonts w:ascii="Times New Roman" w:hAnsi="Times New Roman" w:cs="Times New Roman"/>
          <w:sz w:val="24"/>
          <w:szCs w:val="24"/>
        </w:rPr>
        <w:t xml:space="preserve"> for strike action to be justified,</w:t>
      </w:r>
      <w:r w:rsidR="00B12735">
        <w:rPr>
          <w:rStyle w:val="FootnoteReference"/>
          <w:rFonts w:ascii="Times New Roman" w:hAnsi="Times New Roman" w:cs="Times New Roman"/>
          <w:sz w:val="24"/>
          <w:szCs w:val="24"/>
        </w:rPr>
        <w:footnoteReference w:id="158"/>
      </w:r>
      <w:r w:rsidR="00B12735">
        <w:rPr>
          <w:rFonts w:ascii="Times New Roman" w:hAnsi="Times New Roman" w:cs="Times New Roman"/>
          <w:sz w:val="24"/>
          <w:szCs w:val="24"/>
        </w:rPr>
        <w:t xml:space="preserve"> Weatherill has remarked that this excludes the possibility of ‘more long-term strategic action by unions and even the ‘political strike’ insofar as it impedes cross-border movement. That constitutes a dramatic incursion into the permitted scope of collective labour rights’.</w:t>
      </w:r>
      <w:r w:rsidR="00B12735">
        <w:rPr>
          <w:rStyle w:val="FootnoteReference"/>
          <w:rFonts w:ascii="Times New Roman" w:hAnsi="Times New Roman" w:cs="Times New Roman"/>
          <w:sz w:val="24"/>
          <w:szCs w:val="24"/>
        </w:rPr>
        <w:footnoteReference w:id="159"/>
      </w:r>
      <w:r w:rsidR="00E67EAD">
        <w:rPr>
          <w:rFonts w:ascii="Times New Roman" w:hAnsi="Times New Roman" w:cs="Times New Roman"/>
          <w:sz w:val="24"/>
          <w:szCs w:val="24"/>
        </w:rPr>
        <w:t xml:space="preserve"> Second, the combination of the horizontal direct effect of Article 56 TFEU with the principle of effective judicial protection led to the Swedish Labour Court allowing an action for damages against the trade unions involved in the </w:t>
      </w:r>
      <w:r w:rsidR="00E67EAD">
        <w:rPr>
          <w:rFonts w:ascii="Times New Roman" w:hAnsi="Times New Roman" w:cs="Times New Roman"/>
          <w:i/>
          <w:sz w:val="24"/>
          <w:szCs w:val="24"/>
        </w:rPr>
        <w:t>Laval</w:t>
      </w:r>
      <w:r w:rsidR="00A1262A">
        <w:rPr>
          <w:rFonts w:ascii="Times New Roman" w:hAnsi="Times New Roman" w:cs="Times New Roman"/>
          <w:sz w:val="24"/>
          <w:szCs w:val="24"/>
        </w:rPr>
        <w:t xml:space="preserve"> case, resulting in</w:t>
      </w:r>
      <w:r w:rsidR="00E67EAD">
        <w:rPr>
          <w:rFonts w:ascii="Times New Roman" w:hAnsi="Times New Roman" w:cs="Times New Roman"/>
          <w:sz w:val="24"/>
          <w:szCs w:val="24"/>
        </w:rPr>
        <w:t xml:space="preserve"> total liabilities of EUR 290 000.</w:t>
      </w:r>
      <w:r w:rsidR="00E67EAD">
        <w:rPr>
          <w:rStyle w:val="FootnoteReference"/>
          <w:rFonts w:ascii="Times New Roman" w:hAnsi="Times New Roman" w:cs="Times New Roman"/>
          <w:sz w:val="24"/>
          <w:szCs w:val="24"/>
        </w:rPr>
        <w:footnoteReference w:id="160"/>
      </w:r>
      <w:r w:rsidR="00E67EAD">
        <w:rPr>
          <w:rFonts w:ascii="Times New Roman" w:hAnsi="Times New Roman" w:cs="Times New Roman"/>
          <w:sz w:val="24"/>
          <w:szCs w:val="24"/>
        </w:rPr>
        <w:t xml:space="preserve"> Further, Apps has speculated that domestic caps, in relation to trade union liabilities, might not apply in the context of ‘</w:t>
      </w:r>
      <w:r w:rsidR="00E67EAD">
        <w:rPr>
          <w:rFonts w:ascii="Times New Roman" w:hAnsi="Times New Roman" w:cs="Times New Roman"/>
          <w:i/>
          <w:sz w:val="24"/>
          <w:szCs w:val="24"/>
        </w:rPr>
        <w:t>Viking</w:t>
      </w:r>
      <w:r w:rsidR="00E67EAD">
        <w:rPr>
          <w:rFonts w:ascii="Times New Roman" w:hAnsi="Times New Roman" w:cs="Times New Roman"/>
          <w:sz w:val="24"/>
          <w:szCs w:val="24"/>
        </w:rPr>
        <w:t xml:space="preserve"> actions’, as a result of the application of the principle of effective judicial protection. Specifically, caps would arguably undermine the effectiveness of damages as a judicial remedy, as they would not fully compensate an employer for the considerable costs of industrial actions. Moreover, </w:t>
      </w:r>
      <w:r w:rsidR="00A1262A">
        <w:rPr>
          <w:rFonts w:ascii="Times New Roman" w:hAnsi="Times New Roman" w:cs="Times New Roman"/>
          <w:sz w:val="24"/>
          <w:szCs w:val="24"/>
        </w:rPr>
        <w:t xml:space="preserve">capped damages might not provide </w:t>
      </w:r>
      <w:r w:rsidR="00A1262A">
        <w:rPr>
          <w:rFonts w:ascii="Times New Roman" w:hAnsi="Times New Roman" w:cs="Times New Roman"/>
          <w:sz w:val="24"/>
          <w:szCs w:val="24"/>
        </w:rPr>
        <w:lastRenderedPageBreak/>
        <w:t>equivalent protection in this context, since damages would not necessarily be capped in relation to other (non-trade union) private parties and actions against the State.</w:t>
      </w:r>
      <w:r w:rsidR="00A1262A">
        <w:rPr>
          <w:rStyle w:val="FootnoteReference"/>
          <w:rFonts w:ascii="Times New Roman" w:hAnsi="Times New Roman" w:cs="Times New Roman"/>
          <w:sz w:val="24"/>
          <w:szCs w:val="24"/>
        </w:rPr>
        <w:footnoteReference w:id="161"/>
      </w:r>
      <w:r w:rsidR="00A1262A">
        <w:rPr>
          <w:rFonts w:ascii="Times New Roman" w:hAnsi="Times New Roman" w:cs="Times New Roman"/>
          <w:sz w:val="24"/>
          <w:szCs w:val="24"/>
        </w:rPr>
        <w:t xml:space="preserve"> The</w:t>
      </w:r>
      <w:r w:rsidR="007D7393">
        <w:rPr>
          <w:rFonts w:ascii="Times New Roman" w:hAnsi="Times New Roman" w:cs="Times New Roman"/>
          <w:sz w:val="24"/>
          <w:szCs w:val="24"/>
        </w:rPr>
        <w:t xml:space="preserve"> chilling effect that the prospect of unlimited damages has on the exercise of fundamental rights by private actors is clearly visible in the </w:t>
      </w:r>
      <w:r w:rsidR="007D7393">
        <w:rPr>
          <w:rFonts w:ascii="Times New Roman" w:hAnsi="Times New Roman" w:cs="Times New Roman"/>
          <w:i/>
          <w:sz w:val="24"/>
          <w:szCs w:val="24"/>
        </w:rPr>
        <w:t xml:space="preserve">BALPA </w:t>
      </w:r>
      <w:r w:rsidR="007D7393">
        <w:rPr>
          <w:rFonts w:ascii="Times New Roman" w:hAnsi="Times New Roman" w:cs="Times New Roman"/>
          <w:sz w:val="24"/>
          <w:szCs w:val="24"/>
        </w:rPr>
        <w:t xml:space="preserve">saga, in which a trade union withdrew its plans for strike action and from related legal proceedings regarding the setting up of a British Airlines subsidiary in another Member State, after British Airlines stated that it would seek unlimited damages, relying on </w:t>
      </w:r>
      <w:r w:rsidR="007D7393">
        <w:rPr>
          <w:rFonts w:ascii="Times New Roman" w:hAnsi="Times New Roman" w:cs="Times New Roman"/>
          <w:i/>
          <w:sz w:val="24"/>
          <w:szCs w:val="24"/>
        </w:rPr>
        <w:t>Viking</w:t>
      </w:r>
      <w:r w:rsidR="007D7393">
        <w:rPr>
          <w:rFonts w:ascii="Times New Roman" w:hAnsi="Times New Roman" w:cs="Times New Roman"/>
          <w:sz w:val="24"/>
          <w:szCs w:val="24"/>
        </w:rPr>
        <w:t>.</w:t>
      </w:r>
      <w:r w:rsidR="00D96A8D">
        <w:rPr>
          <w:rStyle w:val="FootnoteReference"/>
          <w:rFonts w:ascii="Times New Roman" w:hAnsi="Times New Roman" w:cs="Times New Roman"/>
          <w:sz w:val="24"/>
          <w:szCs w:val="24"/>
        </w:rPr>
        <w:footnoteReference w:id="162"/>
      </w:r>
      <w:r w:rsidR="007D7393">
        <w:rPr>
          <w:rFonts w:ascii="Times New Roman" w:hAnsi="Times New Roman" w:cs="Times New Roman"/>
          <w:sz w:val="24"/>
          <w:szCs w:val="24"/>
        </w:rPr>
        <w:t xml:space="preserve"> This was despite the fact that the trade union in that case considered it likely that its activities would fall within the </w:t>
      </w:r>
      <w:r w:rsidR="007D7393">
        <w:rPr>
          <w:rFonts w:ascii="Times New Roman" w:hAnsi="Times New Roman" w:cs="Times New Roman"/>
          <w:i/>
          <w:sz w:val="24"/>
          <w:szCs w:val="24"/>
        </w:rPr>
        <w:t>Viking</w:t>
      </w:r>
      <w:r w:rsidR="007D7393">
        <w:rPr>
          <w:rFonts w:ascii="Times New Roman" w:hAnsi="Times New Roman" w:cs="Times New Roman"/>
          <w:sz w:val="24"/>
          <w:szCs w:val="24"/>
        </w:rPr>
        <w:t xml:space="preserve"> criterio</w:t>
      </w:r>
      <w:r w:rsidR="0013215C">
        <w:rPr>
          <w:rFonts w:ascii="Times New Roman" w:hAnsi="Times New Roman" w:cs="Times New Roman"/>
          <w:sz w:val="24"/>
          <w:szCs w:val="24"/>
        </w:rPr>
        <w:t>n for justification, since</w:t>
      </w:r>
      <w:r w:rsidR="00D96A8D">
        <w:rPr>
          <w:rFonts w:ascii="Times New Roman" w:hAnsi="Times New Roman" w:cs="Times New Roman"/>
          <w:sz w:val="24"/>
          <w:szCs w:val="24"/>
        </w:rPr>
        <w:t xml:space="preserve"> less restrictive forms of collective action had been exhausted. Ewing and Hendy have consequently argued that the spectre of unlimited damages ‘imperils the very existence of trade unions for taking what is no more than trade union action’.</w:t>
      </w:r>
      <w:r w:rsidR="00D96A8D">
        <w:rPr>
          <w:rStyle w:val="FootnoteReference"/>
          <w:rFonts w:ascii="Times New Roman" w:hAnsi="Times New Roman" w:cs="Times New Roman"/>
          <w:sz w:val="24"/>
          <w:szCs w:val="24"/>
        </w:rPr>
        <w:footnoteReference w:id="163"/>
      </w:r>
      <w:r w:rsidR="00E67EAD">
        <w:rPr>
          <w:rFonts w:ascii="Times New Roman" w:hAnsi="Times New Roman" w:cs="Times New Roman"/>
          <w:sz w:val="24"/>
          <w:szCs w:val="24"/>
        </w:rPr>
        <w:t xml:space="preserve"> </w:t>
      </w:r>
    </w:p>
    <w:p w14:paraId="0984CE3E" w14:textId="77777777" w:rsidR="0083181B" w:rsidRDefault="0083181B" w:rsidP="00B12735">
      <w:pPr>
        <w:pStyle w:val="NoSpacing"/>
        <w:jc w:val="both"/>
        <w:rPr>
          <w:rFonts w:ascii="Times New Roman" w:hAnsi="Times New Roman" w:cs="Times New Roman"/>
          <w:sz w:val="24"/>
          <w:szCs w:val="24"/>
        </w:rPr>
      </w:pPr>
    </w:p>
    <w:p w14:paraId="46E8E469" w14:textId="77777777" w:rsidR="0083181B" w:rsidRDefault="0083181B" w:rsidP="00B12735">
      <w:pPr>
        <w:pStyle w:val="NoSpacing"/>
        <w:jc w:val="both"/>
        <w:rPr>
          <w:rFonts w:ascii="Times New Roman" w:hAnsi="Times New Roman" w:cs="Times New Roman"/>
          <w:sz w:val="24"/>
          <w:szCs w:val="24"/>
        </w:rPr>
      </w:pPr>
    </w:p>
    <w:p w14:paraId="6F8F5959" w14:textId="77777777" w:rsidR="0083181B" w:rsidRPr="0083181B" w:rsidRDefault="0083181B" w:rsidP="007A379A">
      <w:pPr>
        <w:pStyle w:val="NoSpacing"/>
        <w:numPr>
          <w:ilvl w:val="0"/>
          <w:numId w:val="2"/>
        </w:numPr>
        <w:jc w:val="both"/>
        <w:rPr>
          <w:rFonts w:ascii="Times New Roman" w:hAnsi="Times New Roman" w:cs="Times New Roman"/>
          <w:b/>
          <w:sz w:val="24"/>
          <w:szCs w:val="24"/>
        </w:rPr>
      </w:pPr>
      <w:r>
        <w:rPr>
          <w:rFonts w:ascii="Times New Roman" w:hAnsi="Times New Roman" w:cs="Times New Roman"/>
          <w:b/>
          <w:sz w:val="24"/>
          <w:szCs w:val="24"/>
        </w:rPr>
        <w:t>Conclusion</w:t>
      </w:r>
    </w:p>
    <w:p w14:paraId="696396ED" w14:textId="77777777" w:rsidR="00DE093E" w:rsidRDefault="00DE093E" w:rsidP="00B12735">
      <w:pPr>
        <w:pStyle w:val="NoSpacing"/>
        <w:jc w:val="both"/>
        <w:rPr>
          <w:rFonts w:ascii="Times New Roman" w:hAnsi="Times New Roman" w:cs="Times New Roman"/>
          <w:sz w:val="24"/>
          <w:szCs w:val="24"/>
        </w:rPr>
      </w:pPr>
    </w:p>
    <w:p w14:paraId="355147A9" w14:textId="297A4BA5" w:rsidR="006E5992" w:rsidRDefault="007A379A" w:rsidP="00B12735">
      <w:pPr>
        <w:pStyle w:val="NoSpacing"/>
        <w:jc w:val="both"/>
        <w:rPr>
          <w:rFonts w:ascii="Times New Roman" w:hAnsi="Times New Roman" w:cs="Times New Roman"/>
          <w:sz w:val="24"/>
          <w:szCs w:val="24"/>
        </w:rPr>
      </w:pPr>
      <w:r>
        <w:rPr>
          <w:rFonts w:ascii="Times New Roman" w:hAnsi="Times New Roman" w:cs="Times New Roman"/>
          <w:sz w:val="24"/>
          <w:szCs w:val="24"/>
        </w:rPr>
        <w:t>It is clear that a</w:t>
      </w:r>
      <w:r w:rsidR="008A6C9C">
        <w:rPr>
          <w:rFonts w:ascii="Times New Roman" w:hAnsi="Times New Roman" w:cs="Times New Roman"/>
          <w:sz w:val="24"/>
          <w:szCs w:val="24"/>
        </w:rPr>
        <w:t>n arc</w:t>
      </w:r>
      <w:r w:rsidR="006E5992">
        <w:rPr>
          <w:rFonts w:ascii="Times New Roman" w:hAnsi="Times New Roman" w:cs="Times New Roman"/>
          <w:sz w:val="24"/>
          <w:szCs w:val="24"/>
        </w:rPr>
        <w:t>h</w:t>
      </w:r>
      <w:r w:rsidR="008A6C9C">
        <w:rPr>
          <w:rFonts w:ascii="Times New Roman" w:hAnsi="Times New Roman" w:cs="Times New Roman"/>
          <w:sz w:val="24"/>
          <w:szCs w:val="24"/>
        </w:rPr>
        <w:t>i</w:t>
      </w:r>
      <w:r w:rsidR="006E5992">
        <w:rPr>
          <w:rFonts w:ascii="Times New Roman" w:hAnsi="Times New Roman" w:cs="Times New Roman"/>
          <w:sz w:val="24"/>
          <w:szCs w:val="24"/>
        </w:rPr>
        <w:t>tectural</w:t>
      </w:r>
      <w:r>
        <w:rPr>
          <w:rFonts w:ascii="Times New Roman" w:hAnsi="Times New Roman" w:cs="Times New Roman"/>
          <w:sz w:val="24"/>
          <w:szCs w:val="24"/>
        </w:rPr>
        <w:t xml:space="preserve"> imbalance exists in the adjudication of conflicts between free movement and fundam</w:t>
      </w:r>
      <w:r w:rsidR="00D96A8D">
        <w:rPr>
          <w:rFonts w:ascii="Times New Roman" w:hAnsi="Times New Roman" w:cs="Times New Roman"/>
          <w:sz w:val="24"/>
          <w:szCs w:val="24"/>
        </w:rPr>
        <w:t>ental rights. The former evidently</w:t>
      </w:r>
      <w:r>
        <w:rPr>
          <w:rFonts w:ascii="Times New Roman" w:hAnsi="Times New Roman" w:cs="Times New Roman"/>
          <w:sz w:val="24"/>
          <w:szCs w:val="24"/>
        </w:rPr>
        <w:t xml:space="preserve"> enjoys a procedural advantage over the latter by virtue of the C</w:t>
      </w:r>
      <w:r w:rsidR="000E32EC">
        <w:rPr>
          <w:rFonts w:ascii="Times New Roman" w:hAnsi="Times New Roman" w:cs="Times New Roman"/>
          <w:sz w:val="24"/>
          <w:szCs w:val="24"/>
        </w:rPr>
        <w:t>ourt’s two-stage breach/justification methodology. However, this article has demonstrated that this is not because the Court simply prefers free movement over fundamental rights in any given case, or as a matter of general judicial positioning. The</w:t>
      </w:r>
      <w:r w:rsidR="00D96891">
        <w:rPr>
          <w:rFonts w:ascii="Times New Roman" w:hAnsi="Times New Roman" w:cs="Times New Roman"/>
          <w:sz w:val="24"/>
          <w:szCs w:val="24"/>
        </w:rPr>
        <w:t xml:space="preserve"> reasons, it has been argued, are simultaneously </w:t>
      </w:r>
      <w:r w:rsidR="000E32EC">
        <w:rPr>
          <w:rFonts w:ascii="Times New Roman" w:hAnsi="Times New Roman" w:cs="Times New Roman"/>
          <w:sz w:val="24"/>
          <w:szCs w:val="24"/>
        </w:rPr>
        <w:t>simple</w:t>
      </w:r>
      <w:r w:rsidR="00D96891">
        <w:rPr>
          <w:rFonts w:ascii="Times New Roman" w:hAnsi="Times New Roman" w:cs="Times New Roman"/>
          <w:sz w:val="24"/>
          <w:szCs w:val="24"/>
        </w:rPr>
        <w:t>r</w:t>
      </w:r>
      <w:r w:rsidR="000E32EC">
        <w:rPr>
          <w:rFonts w:ascii="Times New Roman" w:hAnsi="Times New Roman" w:cs="Times New Roman"/>
          <w:sz w:val="24"/>
          <w:szCs w:val="24"/>
        </w:rPr>
        <w:t xml:space="preserve"> and more complex than that.</w:t>
      </w:r>
      <w:r w:rsidR="00E963F1">
        <w:rPr>
          <w:rFonts w:ascii="Times New Roman" w:hAnsi="Times New Roman" w:cs="Times New Roman"/>
          <w:sz w:val="24"/>
          <w:szCs w:val="24"/>
        </w:rPr>
        <w:t xml:space="preserve"> </w:t>
      </w:r>
      <w:r w:rsidR="006E5992">
        <w:rPr>
          <w:rFonts w:ascii="Times New Roman" w:hAnsi="Times New Roman" w:cs="Times New Roman"/>
          <w:sz w:val="24"/>
          <w:szCs w:val="24"/>
        </w:rPr>
        <w:t xml:space="preserve">On the one hand, the discussion has confirmed the generally accepted belief that the historical significance of free movement within Union law has been influential in the creation of a structural preference for free movement. On the other hand, the analysis has offered a deeper understanding of these historical underpinnings, outlining the specific constitutional drivers of procedural imbalance and assessing their impact on fundamental rights protection.  </w:t>
      </w:r>
    </w:p>
    <w:p w14:paraId="416C864E" w14:textId="77777777" w:rsidR="006E5992" w:rsidRDefault="006E5992" w:rsidP="00B12735">
      <w:pPr>
        <w:pStyle w:val="NoSpacing"/>
        <w:jc w:val="both"/>
        <w:rPr>
          <w:rFonts w:ascii="Times New Roman" w:hAnsi="Times New Roman" w:cs="Times New Roman"/>
          <w:sz w:val="24"/>
          <w:szCs w:val="24"/>
        </w:rPr>
      </w:pPr>
    </w:p>
    <w:p w14:paraId="2CA1FC02" w14:textId="0E788AAB" w:rsidR="006D4472" w:rsidRDefault="006E5992" w:rsidP="00B12735">
      <w:pPr>
        <w:pStyle w:val="NoSpacing"/>
        <w:jc w:val="both"/>
        <w:rPr>
          <w:rFonts w:ascii="Times New Roman" w:hAnsi="Times New Roman" w:cs="Times New Roman"/>
          <w:sz w:val="24"/>
          <w:szCs w:val="24"/>
        </w:rPr>
      </w:pPr>
      <w:r>
        <w:rPr>
          <w:rFonts w:ascii="Times New Roman" w:hAnsi="Times New Roman" w:cs="Times New Roman"/>
          <w:sz w:val="24"/>
          <w:szCs w:val="24"/>
        </w:rPr>
        <w:t>Specifically, t</w:t>
      </w:r>
      <w:r w:rsidR="00D96891">
        <w:rPr>
          <w:rFonts w:ascii="Times New Roman" w:hAnsi="Times New Roman" w:cs="Times New Roman"/>
          <w:sz w:val="24"/>
          <w:szCs w:val="24"/>
        </w:rPr>
        <w:t xml:space="preserve">he Rome Treaty presented free movement as a principal tool for the attainment of its primary goal of economic integration. Crucially, it made no provision for the protection of fundamental rights. </w:t>
      </w:r>
      <w:r w:rsidR="00380579">
        <w:rPr>
          <w:rFonts w:ascii="Times New Roman" w:hAnsi="Times New Roman" w:cs="Times New Roman"/>
          <w:sz w:val="24"/>
          <w:szCs w:val="24"/>
        </w:rPr>
        <w:t xml:space="preserve">The centrality of the market freedoms to core EEC objectives, as well as the textual structure of the free movement provisions, naturally invited a judicial approach to resolving tensions between free movement and opposing law and policy that prioritised the former. A breach/justification model was indeed appropriate given that the scope and reach of the free movement provisions was limited to protectionist and discriminatory conduct by public actors. In other words, the market freedoms would be triggered by exactly the sort of conduct that the Member States had agreed to eliminate when they formed the EEC. </w:t>
      </w:r>
    </w:p>
    <w:p w14:paraId="5D4DA082" w14:textId="77777777" w:rsidR="006D4472" w:rsidRDefault="006D4472" w:rsidP="00B12735">
      <w:pPr>
        <w:pStyle w:val="NoSpacing"/>
        <w:jc w:val="both"/>
        <w:rPr>
          <w:rFonts w:ascii="Times New Roman" w:hAnsi="Times New Roman" w:cs="Times New Roman"/>
          <w:sz w:val="24"/>
          <w:szCs w:val="24"/>
        </w:rPr>
      </w:pPr>
    </w:p>
    <w:p w14:paraId="06137585" w14:textId="77777777" w:rsidR="007A379A" w:rsidRDefault="00380579" w:rsidP="00B12735">
      <w:pPr>
        <w:pStyle w:val="NoSpacing"/>
        <w:jc w:val="both"/>
        <w:rPr>
          <w:rFonts w:ascii="Times New Roman" w:hAnsi="Times New Roman" w:cs="Times New Roman"/>
          <w:sz w:val="24"/>
          <w:szCs w:val="24"/>
        </w:rPr>
      </w:pPr>
      <w:r>
        <w:rPr>
          <w:rFonts w:ascii="Times New Roman" w:hAnsi="Times New Roman" w:cs="Times New Roman"/>
          <w:sz w:val="24"/>
          <w:szCs w:val="24"/>
        </w:rPr>
        <w:t xml:space="preserve">It is the subsequent expansion of free movement law, causing it to interact with an infinite variety of non-protectionist obstacles and to apply to private actors, as well as an accompanying system of decentralised enforcement, that has rendered the breach/justification model problematic. Critically, though EU fundamental rights have evolved beyond what could have </w:t>
      </w:r>
      <w:r>
        <w:rPr>
          <w:rFonts w:ascii="Times New Roman" w:hAnsi="Times New Roman" w:cs="Times New Roman"/>
          <w:sz w:val="24"/>
          <w:szCs w:val="24"/>
        </w:rPr>
        <w:lastRenderedPageBreak/>
        <w:t xml:space="preserve">been envisaged at Rome, the Treaty still offers no guidance as to the position of fundamental rights relative to contemporary free movement law. This has resulted in the slotting of fundamental rights issues into the existing breach/justification methodology and their subsequent </w:t>
      </w:r>
      <w:r w:rsidR="00FC3CEC">
        <w:rPr>
          <w:rFonts w:ascii="Times New Roman" w:hAnsi="Times New Roman" w:cs="Times New Roman"/>
          <w:sz w:val="24"/>
          <w:szCs w:val="24"/>
        </w:rPr>
        <w:t>presentation as</w:t>
      </w:r>
      <w:r>
        <w:rPr>
          <w:rFonts w:ascii="Times New Roman" w:hAnsi="Times New Roman" w:cs="Times New Roman"/>
          <w:sz w:val="24"/>
          <w:szCs w:val="24"/>
        </w:rPr>
        <w:t xml:space="preserve"> </w:t>
      </w:r>
      <w:r>
        <w:rPr>
          <w:rFonts w:ascii="Times New Roman" w:hAnsi="Times New Roman" w:cs="Times New Roman"/>
          <w:i/>
          <w:sz w:val="24"/>
          <w:szCs w:val="24"/>
        </w:rPr>
        <w:t>prima facie</w:t>
      </w:r>
      <w:r>
        <w:rPr>
          <w:rFonts w:ascii="Times New Roman" w:hAnsi="Times New Roman" w:cs="Times New Roman"/>
          <w:sz w:val="24"/>
          <w:szCs w:val="24"/>
        </w:rPr>
        <w:t xml:space="preserve"> ‘wrongs’</w:t>
      </w:r>
      <w:r w:rsidR="006D4472">
        <w:rPr>
          <w:rFonts w:ascii="Times New Roman" w:hAnsi="Times New Roman" w:cs="Times New Roman"/>
          <w:sz w:val="24"/>
          <w:szCs w:val="24"/>
        </w:rPr>
        <w:t>, in need of defence and justification. Further, the widening evidentiary gap between the breach and justification phases has made it progressively harder for both public and private actors to overcome an initial findin</w:t>
      </w:r>
      <w:r w:rsidR="00FC3CEC">
        <w:rPr>
          <w:rFonts w:ascii="Times New Roman" w:hAnsi="Times New Roman" w:cs="Times New Roman"/>
          <w:sz w:val="24"/>
          <w:szCs w:val="24"/>
        </w:rPr>
        <w:t>g that their</w:t>
      </w:r>
      <w:r w:rsidR="006D4472">
        <w:rPr>
          <w:rFonts w:ascii="Times New Roman" w:hAnsi="Times New Roman" w:cs="Times New Roman"/>
          <w:sz w:val="24"/>
          <w:szCs w:val="24"/>
        </w:rPr>
        <w:t xml:space="preserve"> conduct has wrongfully restricted the market freedoms. </w:t>
      </w:r>
    </w:p>
    <w:p w14:paraId="33901E13" w14:textId="77777777" w:rsidR="006D4472" w:rsidRDefault="006D4472" w:rsidP="00B12735">
      <w:pPr>
        <w:pStyle w:val="NoSpacing"/>
        <w:jc w:val="both"/>
        <w:rPr>
          <w:rFonts w:ascii="Times New Roman" w:hAnsi="Times New Roman" w:cs="Times New Roman"/>
          <w:sz w:val="24"/>
          <w:szCs w:val="24"/>
        </w:rPr>
      </w:pPr>
    </w:p>
    <w:p w14:paraId="3ADE7F91" w14:textId="77777777" w:rsidR="00FC3CEC" w:rsidRDefault="006D4472" w:rsidP="00B12735">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This has certain practical consequences for the protection and exercise of fundamental rights, including the possibility that fundamental rights standards will be lowered in real terms; an underappreciation of the idiosyncratic fundamental rights needs of particular Member States; and the reduction of the legal space to consider the effectiveness of alternative fundamental rights approaches, or the administrative or budgetary constraints that inevitably accompany programmatic fundamental rights. Significantly, the Court’s strict approach to interpreting derogations and the potential </w:t>
      </w:r>
      <w:r w:rsidR="00A716F9">
        <w:rPr>
          <w:rFonts w:ascii="Times New Roman" w:hAnsi="Times New Roman" w:cs="Times New Roman"/>
          <w:sz w:val="24"/>
          <w:szCs w:val="24"/>
        </w:rPr>
        <w:t xml:space="preserve">imposition of extensive liabilities </w:t>
      </w:r>
      <w:r>
        <w:rPr>
          <w:rFonts w:ascii="Times New Roman" w:hAnsi="Times New Roman" w:cs="Times New Roman"/>
          <w:sz w:val="24"/>
          <w:szCs w:val="24"/>
        </w:rPr>
        <w:t xml:space="preserve">where fundamental rights </w:t>
      </w:r>
      <w:r w:rsidR="008C567D">
        <w:rPr>
          <w:rFonts w:ascii="Times New Roman" w:hAnsi="Times New Roman" w:cs="Times New Roman"/>
          <w:sz w:val="24"/>
          <w:szCs w:val="24"/>
        </w:rPr>
        <w:t>restrict free movement, present</w:t>
      </w:r>
      <w:r>
        <w:rPr>
          <w:rFonts w:ascii="Times New Roman" w:hAnsi="Times New Roman" w:cs="Times New Roman"/>
          <w:sz w:val="24"/>
          <w:szCs w:val="24"/>
        </w:rPr>
        <w:t xml:space="preserve"> a potentially major disincentive to the private exercise of fundamental rights.</w:t>
      </w:r>
    </w:p>
    <w:p w14:paraId="04D0AE27" w14:textId="77777777" w:rsidR="00FC3CEC" w:rsidRDefault="00FC3CEC" w:rsidP="00B12735">
      <w:pPr>
        <w:pStyle w:val="NoSpacing"/>
        <w:jc w:val="both"/>
        <w:rPr>
          <w:rFonts w:ascii="Times New Roman" w:hAnsi="Times New Roman" w:cs="Times New Roman"/>
          <w:sz w:val="24"/>
          <w:szCs w:val="24"/>
        </w:rPr>
      </w:pPr>
    </w:p>
    <w:p w14:paraId="54B5C4CA" w14:textId="77777777" w:rsidR="00FA0D71" w:rsidRDefault="00A716F9" w:rsidP="00B12735">
      <w:pPr>
        <w:pStyle w:val="NoSpacing"/>
        <w:jc w:val="both"/>
        <w:rPr>
          <w:rFonts w:ascii="Times New Roman" w:hAnsi="Times New Roman" w:cs="Times New Roman"/>
          <w:sz w:val="24"/>
          <w:szCs w:val="24"/>
        </w:rPr>
      </w:pPr>
      <w:r>
        <w:rPr>
          <w:rFonts w:ascii="Times New Roman" w:hAnsi="Times New Roman" w:cs="Times New Roman"/>
          <w:sz w:val="24"/>
          <w:szCs w:val="24"/>
        </w:rPr>
        <w:t>These consequences raise questions about how the current uneven approach to the relationship between free movement and fundamental rights should be overcome. T</w:t>
      </w:r>
      <w:r w:rsidR="00FC3CEC">
        <w:rPr>
          <w:rFonts w:ascii="Times New Roman" w:hAnsi="Times New Roman" w:cs="Times New Roman"/>
          <w:sz w:val="24"/>
          <w:szCs w:val="24"/>
        </w:rPr>
        <w:t>hough there are convincing arguments in the commentary about tempering the operation of the market access test</w:t>
      </w:r>
      <w:r w:rsidR="00FC3CEC">
        <w:rPr>
          <w:rStyle w:val="FootnoteReference"/>
          <w:rFonts w:ascii="Times New Roman" w:hAnsi="Times New Roman" w:cs="Times New Roman"/>
          <w:sz w:val="24"/>
          <w:szCs w:val="24"/>
        </w:rPr>
        <w:footnoteReference w:id="164"/>
      </w:r>
      <w:r w:rsidR="00D439B7">
        <w:rPr>
          <w:rFonts w:ascii="Times New Roman" w:hAnsi="Times New Roman" w:cs="Times New Roman"/>
          <w:sz w:val="24"/>
          <w:szCs w:val="24"/>
        </w:rPr>
        <w:t xml:space="preserve"> or that </w:t>
      </w:r>
      <w:r w:rsidR="00FC3CEC">
        <w:rPr>
          <w:rFonts w:ascii="Times New Roman" w:hAnsi="Times New Roman" w:cs="Times New Roman"/>
          <w:sz w:val="24"/>
          <w:szCs w:val="24"/>
        </w:rPr>
        <w:t>question the horizontal application of the market freedoms to private actors,</w:t>
      </w:r>
      <w:r w:rsidR="00D439B7">
        <w:rPr>
          <w:rStyle w:val="FootnoteReference"/>
          <w:rFonts w:ascii="Times New Roman" w:hAnsi="Times New Roman" w:cs="Times New Roman"/>
          <w:sz w:val="24"/>
          <w:szCs w:val="24"/>
        </w:rPr>
        <w:footnoteReference w:id="165"/>
      </w:r>
      <w:r w:rsidR="008C567D">
        <w:rPr>
          <w:rFonts w:ascii="Times New Roman" w:hAnsi="Times New Roman" w:cs="Times New Roman"/>
          <w:sz w:val="24"/>
          <w:szCs w:val="24"/>
        </w:rPr>
        <w:t xml:space="preserve"> few seriously propose</w:t>
      </w:r>
      <w:r>
        <w:rPr>
          <w:rFonts w:ascii="Times New Roman" w:hAnsi="Times New Roman" w:cs="Times New Roman"/>
          <w:sz w:val="24"/>
          <w:szCs w:val="24"/>
        </w:rPr>
        <w:t xml:space="preserve"> </w:t>
      </w:r>
      <w:r w:rsidR="00D439B7">
        <w:rPr>
          <w:rFonts w:ascii="Times New Roman" w:hAnsi="Times New Roman" w:cs="Times New Roman"/>
          <w:sz w:val="24"/>
          <w:szCs w:val="24"/>
        </w:rPr>
        <w:t>scaling back the scope of free movement law to</w:t>
      </w:r>
      <w:r>
        <w:rPr>
          <w:rFonts w:ascii="Times New Roman" w:hAnsi="Times New Roman" w:cs="Times New Roman"/>
          <w:sz w:val="24"/>
          <w:szCs w:val="24"/>
        </w:rPr>
        <w:t xml:space="preserve"> its old</w:t>
      </w:r>
      <w:r w:rsidR="00D439B7">
        <w:rPr>
          <w:rFonts w:ascii="Times New Roman" w:hAnsi="Times New Roman" w:cs="Times New Roman"/>
          <w:sz w:val="24"/>
          <w:szCs w:val="24"/>
        </w:rPr>
        <w:t xml:space="preserve"> protectionist</w:t>
      </w:r>
      <w:r>
        <w:rPr>
          <w:rFonts w:ascii="Times New Roman" w:hAnsi="Times New Roman" w:cs="Times New Roman"/>
          <w:sz w:val="24"/>
          <w:szCs w:val="24"/>
        </w:rPr>
        <w:t xml:space="preserve"> core</w:t>
      </w:r>
      <w:r w:rsidR="00D439B7">
        <w:rPr>
          <w:rFonts w:ascii="Times New Roman" w:hAnsi="Times New Roman" w:cs="Times New Roman"/>
          <w:sz w:val="24"/>
          <w:szCs w:val="24"/>
        </w:rPr>
        <w:t>. Indeed, it is clear that the expansion of free movement law has been pivotal in the completion of the internal market.</w:t>
      </w:r>
      <w:r w:rsidR="008E4104">
        <w:rPr>
          <w:rStyle w:val="FootnoteReference"/>
          <w:rFonts w:ascii="Times New Roman" w:hAnsi="Times New Roman" w:cs="Times New Roman"/>
          <w:sz w:val="24"/>
          <w:szCs w:val="24"/>
        </w:rPr>
        <w:footnoteReference w:id="166"/>
      </w:r>
      <w:r w:rsidR="00D439B7">
        <w:rPr>
          <w:rFonts w:ascii="Times New Roman" w:hAnsi="Times New Roman" w:cs="Times New Roman"/>
          <w:sz w:val="24"/>
          <w:szCs w:val="24"/>
        </w:rPr>
        <w:t xml:space="preserve"> </w:t>
      </w:r>
      <w:r w:rsidR="005E383F">
        <w:rPr>
          <w:rFonts w:ascii="Times New Roman" w:hAnsi="Times New Roman" w:cs="Times New Roman"/>
          <w:sz w:val="24"/>
          <w:szCs w:val="24"/>
        </w:rPr>
        <w:t>Moreover, especially in light of the current political climate, there is little prospect of Treaty reform to instigate formally a new relationship between free movement and fundamental rights. Indeed, in the process of negotiating Lisbon after the failure of the Constitutional Treaty, there was obvious concern, from certain Member States, that greater Union fundamental rights protection would inhibit, rather than promote, Member State freedom.</w:t>
      </w:r>
      <w:r w:rsidR="005E383F">
        <w:rPr>
          <w:rStyle w:val="FootnoteReference"/>
          <w:rFonts w:ascii="Times New Roman" w:hAnsi="Times New Roman" w:cs="Times New Roman"/>
          <w:sz w:val="24"/>
          <w:szCs w:val="24"/>
        </w:rPr>
        <w:footnoteReference w:id="167"/>
      </w:r>
      <w:r w:rsidR="005E383F">
        <w:rPr>
          <w:rFonts w:ascii="Times New Roman" w:hAnsi="Times New Roman" w:cs="Times New Roman"/>
          <w:sz w:val="24"/>
          <w:szCs w:val="24"/>
        </w:rPr>
        <w:t xml:space="preserve"> </w:t>
      </w:r>
    </w:p>
    <w:p w14:paraId="5C4B632E" w14:textId="77777777" w:rsidR="00FA0D71" w:rsidRDefault="00FA0D71" w:rsidP="00B12735">
      <w:pPr>
        <w:pStyle w:val="NoSpacing"/>
        <w:jc w:val="both"/>
        <w:rPr>
          <w:rFonts w:ascii="Times New Roman" w:hAnsi="Times New Roman" w:cs="Times New Roman"/>
          <w:sz w:val="24"/>
          <w:szCs w:val="24"/>
        </w:rPr>
      </w:pPr>
    </w:p>
    <w:p w14:paraId="5328C7D5" w14:textId="77777777" w:rsidR="006D4472" w:rsidRDefault="005E383F" w:rsidP="00B12735">
      <w:pPr>
        <w:pStyle w:val="NoSpacing"/>
        <w:jc w:val="both"/>
        <w:rPr>
          <w:rFonts w:ascii="Times New Roman" w:hAnsi="Times New Roman" w:cs="Times New Roman"/>
          <w:sz w:val="24"/>
          <w:szCs w:val="24"/>
        </w:rPr>
      </w:pPr>
      <w:r>
        <w:rPr>
          <w:rFonts w:ascii="Times New Roman" w:hAnsi="Times New Roman" w:cs="Times New Roman"/>
          <w:sz w:val="24"/>
          <w:szCs w:val="24"/>
        </w:rPr>
        <w:t>However, other potential avenues exist, not least a change in adjudicative methodology from the Court. Indeed, in the context of</w:t>
      </w:r>
      <w:r w:rsidR="0020515D">
        <w:rPr>
          <w:rFonts w:ascii="Times New Roman" w:hAnsi="Times New Roman" w:cs="Times New Roman"/>
          <w:sz w:val="24"/>
          <w:szCs w:val="24"/>
        </w:rPr>
        <w:t xml:space="preserve"> Union </w:t>
      </w:r>
      <w:r>
        <w:rPr>
          <w:rFonts w:ascii="Times New Roman" w:hAnsi="Times New Roman" w:cs="Times New Roman"/>
          <w:sz w:val="24"/>
          <w:szCs w:val="24"/>
        </w:rPr>
        <w:t>secondary legislation, the CJEU has proven itself able to adapt to the broader Union objectives of the post-Lisbon era through its use of a balancing model to resolve tensions between competing Treaty aims.</w:t>
      </w:r>
      <w:r w:rsidR="002603FF">
        <w:rPr>
          <w:rStyle w:val="FootnoteReference"/>
          <w:rFonts w:ascii="Times New Roman" w:hAnsi="Times New Roman" w:cs="Times New Roman"/>
          <w:sz w:val="24"/>
          <w:szCs w:val="24"/>
        </w:rPr>
        <w:footnoteReference w:id="168"/>
      </w:r>
      <w:r>
        <w:rPr>
          <w:rFonts w:ascii="Times New Roman" w:hAnsi="Times New Roman" w:cs="Times New Roman"/>
          <w:sz w:val="24"/>
          <w:szCs w:val="24"/>
        </w:rPr>
        <w:t xml:space="preserve"> </w:t>
      </w:r>
      <w:r w:rsidR="00FA0D71">
        <w:rPr>
          <w:rFonts w:ascii="Times New Roman" w:hAnsi="Times New Roman" w:cs="Times New Roman"/>
          <w:sz w:val="24"/>
          <w:szCs w:val="24"/>
        </w:rPr>
        <w:t>Significantly, there is increasing recognition amongst the Advocates General, in particular Advocate General Trstenjak, that the post-Lisbon environment necessitates a new approach to the relationship between free movement and fundamental rights.</w:t>
      </w:r>
      <w:r w:rsidR="004F6CEC">
        <w:rPr>
          <w:rStyle w:val="FootnoteReference"/>
          <w:rFonts w:ascii="Times New Roman" w:hAnsi="Times New Roman" w:cs="Times New Roman"/>
          <w:sz w:val="24"/>
          <w:szCs w:val="24"/>
        </w:rPr>
        <w:footnoteReference w:id="169"/>
      </w:r>
      <w:r w:rsidR="00FA0D71">
        <w:rPr>
          <w:rFonts w:ascii="Times New Roman" w:hAnsi="Times New Roman" w:cs="Times New Roman"/>
          <w:sz w:val="24"/>
          <w:szCs w:val="24"/>
        </w:rPr>
        <w:t xml:space="preserve"> She </w:t>
      </w:r>
      <w:r w:rsidR="0020515D">
        <w:rPr>
          <w:rFonts w:ascii="Times New Roman" w:hAnsi="Times New Roman" w:cs="Times New Roman"/>
          <w:sz w:val="24"/>
          <w:szCs w:val="24"/>
        </w:rPr>
        <w:t xml:space="preserve">has </w:t>
      </w:r>
      <w:r w:rsidR="00FA0D71">
        <w:rPr>
          <w:rFonts w:ascii="Times New Roman" w:hAnsi="Times New Roman" w:cs="Times New Roman"/>
          <w:sz w:val="24"/>
          <w:szCs w:val="24"/>
        </w:rPr>
        <w:t xml:space="preserve">proposed balancing as an </w:t>
      </w:r>
      <w:r w:rsidR="00FA0D71">
        <w:rPr>
          <w:rFonts w:ascii="Times New Roman" w:hAnsi="Times New Roman" w:cs="Times New Roman"/>
          <w:sz w:val="24"/>
          <w:szCs w:val="24"/>
        </w:rPr>
        <w:lastRenderedPageBreak/>
        <w:t>appropriate model for managing tensions between these norms in light of the contemporary constitutional framework.</w:t>
      </w:r>
      <w:r w:rsidR="004C665B">
        <w:rPr>
          <w:rStyle w:val="FootnoteReference"/>
          <w:rFonts w:ascii="Times New Roman" w:hAnsi="Times New Roman" w:cs="Times New Roman"/>
          <w:sz w:val="24"/>
          <w:szCs w:val="24"/>
        </w:rPr>
        <w:footnoteReference w:id="170"/>
      </w:r>
      <w:r w:rsidR="00FA0D71">
        <w:rPr>
          <w:rFonts w:ascii="Times New Roman" w:hAnsi="Times New Roman" w:cs="Times New Roman"/>
          <w:sz w:val="24"/>
          <w:szCs w:val="24"/>
        </w:rPr>
        <w:t xml:space="preserve"> This has been welcomed by a number of commentators.</w:t>
      </w:r>
      <w:r w:rsidR="004C665B">
        <w:rPr>
          <w:rStyle w:val="FootnoteReference"/>
          <w:rFonts w:ascii="Times New Roman" w:hAnsi="Times New Roman" w:cs="Times New Roman"/>
          <w:sz w:val="24"/>
          <w:szCs w:val="24"/>
        </w:rPr>
        <w:footnoteReference w:id="171"/>
      </w:r>
      <w:r w:rsidR="0020515D">
        <w:rPr>
          <w:rFonts w:ascii="Times New Roman" w:hAnsi="Times New Roman" w:cs="Times New Roman"/>
          <w:sz w:val="24"/>
          <w:szCs w:val="24"/>
        </w:rPr>
        <w:t xml:space="preserve"> I</w:t>
      </w:r>
      <w:r w:rsidR="00FA0D71">
        <w:rPr>
          <w:rFonts w:ascii="Times New Roman" w:hAnsi="Times New Roman" w:cs="Times New Roman"/>
          <w:sz w:val="24"/>
          <w:szCs w:val="24"/>
        </w:rPr>
        <w:t xml:space="preserve">n the context of primary law, balancing nevertheless raises its own interesting issues including the constitutional challenge of how a balancing model would respect the principle of conferral, the conceptual question of whether free movement should be treated as the equivalent of a fundamental right, and the practical consideration of how a model that presents two norms as equal can nevertheless offer concrete outcomes in a given case. </w:t>
      </w:r>
      <w:r w:rsidR="0020515D">
        <w:rPr>
          <w:rFonts w:ascii="Times New Roman" w:hAnsi="Times New Roman" w:cs="Times New Roman"/>
          <w:sz w:val="24"/>
          <w:szCs w:val="24"/>
        </w:rPr>
        <w:t>Overcoming these</w:t>
      </w:r>
      <w:r w:rsidR="00ED49FB">
        <w:rPr>
          <w:rFonts w:ascii="Times New Roman" w:hAnsi="Times New Roman" w:cs="Times New Roman"/>
          <w:sz w:val="24"/>
          <w:szCs w:val="24"/>
        </w:rPr>
        <w:t xml:space="preserve"> obstacles is arguably within the Court’s interpretative jurisdiction, it just remains to be seen if and how it will rise to the challenge. </w:t>
      </w:r>
      <w:r w:rsidR="0020515D">
        <w:rPr>
          <w:rFonts w:ascii="Times New Roman" w:hAnsi="Times New Roman" w:cs="Times New Roman"/>
          <w:sz w:val="24"/>
          <w:szCs w:val="24"/>
        </w:rPr>
        <w:t xml:space="preserve"> </w:t>
      </w:r>
      <w:r w:rsidR="00FA0D71">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E871456" w14:textId="77777777" w:rsidR="004662C3" w:rsidRDefault="004662C3" w:rsidP="004662C3">
      <w:pPr>
        <w:pStyle w:val="NoSpacing"/>
        <w:jc w:val="both"/>
        <w:rPr>
          <w:rFonts w:ascii="Times New Roman" w:hAnsi="Times New Roman" w:cs="Times New Roman"/>
          <w:sz w:val="24"/>
          <w:szCs w:val="24"/>
        </w:rPr>
      </w:pPr>
    </w:p>
    <w:p w14:paraId="7F241EE6" w14:textId="77777777" w:rsidR="004662C3" w:rsidRPr="003E5F27" w:rsidRDefault="004662C3" w:rsidP="004662C3">
      <w:pPr>
        <w:pStyle w:val="NoSpacing"/>
        <w:jc w:val="both"/>
        <w:rPr>
          <w:rFonts w:ascii="Times New Roman" w:hAnsi="Times New Roman" w:cs="Times New Roman"/>
          <w:b/>
          <w:i/>
          <w:sz w:val="24"/>
          <w:szCs w:val="24"/>
        </w:rPr>
      </w:pPr>
    </w:p>
    <w:p w14:paraId="27C260D5" w14:textId="77777777" w:rsidR="00AF27FB" w:rsidRDefault="00AF27FB" w:rsidP="00273C4A">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 </w:t>
      </w:r>
    </w:p>
    <w:p w14:paraId="670987D8" w14:textId="77777777" w:rsidR="00AF27FB" w:rsidRDefault="00AF27FB" w:rsidP="00273C4A">
      <w:pPr>
        <w:pStyle w:val="NoSpacing"/>
        <w:ind w:left="720"/>
        <w:jc w:val="both"/>
        <w:rPr>
          <w:rFonts w:ascii="Times New Roman" w:hAnsi="Times New Roman" w:cs="Times New Roman"/>
          <w:sz w:val="24"/>
          <w:szCs w:val="24"/>
        </w:rPr>
      </w:pPr>
    </w:p>
    <w:p w14:paraId="73AD59B5" w14:textId="77777777" w:rsidR="001F54BE" w:rsidRPr="001F54BE" w:rsidRDefault="001F54BE" w:rsidP="00972529">
      <w:pPr>
        <w:pStyle w:val="NoSpacing"/>
        <w:jc w:val="both"/>
        <w:rPr>
          <w:rFonts w:ascii="Times New Roman" w:hAnsi="Times New Roman" w:cs="Times New Roman"/>
          <w:sz w:val="24"/>
          <w:szCs w:val="24"/>
        </w:rPr>
      </w:pPr>
    </w:p>
    <w:p w14:paraId="5C5778B4" w14:textId="77777777" w:rsidR="001F54BE" w:rsidRDefault="001F54BE" w:rsidP="00972529">
      <w:pPr>
        <w:pStyle w:val="NoSpacing"/>
        <w:jc w:val="both"/>
        <w:rPr>
          <w:rFonts w:ascii="Times New Roman" w:hAnsi="Times New Roman" w:cs="Times New Roman"/>
          <w:b/>
          <w:sz w:val="24"/>
          <w:szCs w:val="24"/>
        </w:rPr>
      </w:pPr>
    </w:p>
    <w:p w14:paraId="22BE6649" w14:textId="77777777" w:rsidR="00F362FA" w:rsidRPr="00F362FA" w:rsidRDefault="00F362FA" w:rsidP="00F362FA">
      <w:pPr>
        <w:pStyle w:val="NoSpacing"/>
        <w:rPr>
          <w:rFonts w:ascii="Times New Roman" w:hAnsi="Times New Roman" w:cs="Times New Roman"/>
          <w:sz w:val="24"/>
          <w:szCs w:val="24"/>
        </w:rPr>
      </w:pPr>
    </w:p>
    <w:sectPr w:rsidR="00F362FA" w:rsidRPr="00F362F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8D73E" w14:textId="77777777" w:rsidR="00BD0FFE" w:rsidRDefault="00BD0FFE" w:rsidP="00F362FA">
      <w:pPr>
        <w:spacing w:after="0" w:line="240" w:lineRule="auto"/>
      </w:pPr>
      <w:r>
        <w:separator/>
      </w:r>
    </w:p>
  </w:endnote>
  <w:endnote w:type="continuationSeparator" w:id="0">
    <w:p w14:paraId="66CC290E" w14:textId="77777777" w:rsidR="00BD0FFE" w:rsidRDefault="00BD0FFE" w:rsidP="00F36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1051842"/>
      <w:docPartObj>
        <w:docPartGallery w:val="Page Numbers (Bottom of Page)"/>
        <w:docPartUnique/>
      </w:docPartObj>
    </w:sdtPr>
    <w:sdtEndPr>
      <w:rPr>
        <w:noProof/>
      </w:rPr>
    </w:sdtEndPr>
    <w:sdtContent>
      <w:p w14:paraId="4F2D731C" w14:textId="77777777" w:rsidR="00BD216B" w:rsidRDefault="00BD216B">
        <w:pPr>
          <w:pStyle w:val="Footer"/>
          <w:jc w:val="right"/>
        </w:pPr>
        <w:r>
          <w:fldChar w:fldCharType="begin"/>
        </w:r>
        <w:r>
          <w:instrText xml:space="preserve"> PAGE   \* MERGEFORMAT </w:instrText>
        </w:r>
        <w:r>
          <w:fldChar w:fldCharType="separate"/>
        </w:r>
        <w:r w:rsidR="001D5228">
          <w:rPr>
            <w:noProof/>
          </w:rPr>
          <w:t>26</w:t>
        </w:r>
        <w:r>
          <w:rPr>
            <w:noProof/>
          </w:rPr>
          <w:fldChar w:fldCharType="end"/>
        </w:r>
      </w:p>
    </w:sdtContent>
  </w:sdt>
  <w:p w14:paraId="1DA5C706" w14:textId="77777777" w:rsidR="00BD216B" w:rsidRDefault="00BD21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17B11" w14:textId="77777777" w:rsidR="00BD0FFE" w:rsidRDefault="00BD0FFE" w:rsidP="00F362FA">
      <w:pPr>
        <w:spacing w:after="0" w:line="240" w:lineRule="auto"/>
      </w:pPr>
      <w:r>
        <w:separator/>
      </w:r>
    </w:p>
  </w:footnote>
  <w:footnote w:type="continuationSeparator" w:id="0">
    <w:p w14:paraId="13DB1350" w14:textId="77777777" w:rsidR="00BD0FFE" w:rsidRDefault="00BD0FFE" w:rsidP="00F362FA">
      <w:pPr>
        <w:spacing w:after="0" w:line="240" w:lineRule="auto"/>
      </w:pPr>
      <w:r>
        <w:continuationSeparator/>
      </w:r>
    </w:p>
  </w:footnote>
  <w:footnote w:id="1">
    <w:p w14:paraId="770B924A" w14:textId="77777777" w:rsidR="00BD216B" w:rsidRDefault="00BD216B">
      <w:pPr>
        <w:pStyle w:val="FootnoteText"/>
      </w:pPr>
      <w:r>
        <w:rPr>
          <w:rStyle w:val="FootnoteReference"/>
        </w:rPr>
        <w:footnoteRef/>
      </w:r>
      <w:r>
        <w:t xml:space="preserve"> Case C-438/05 </w:t>
      </w:r>
      <w:r>
        <w:rPr>
          <w:i/>
        </w:rPr>
        <w:t xml:space="preserve">International Transport Workers’ Federation and Finnish Seamen’s Union v Viking Line ABP and OÜ Viking Line Eesti </w:t>
      </w:r>
      <w:r>
        <w:t xml:space="preserve">[2007] EU:C:2007:772; Case C-341/05 </w:t>
      </w:r>
      <w:r>
        <w:rPr>
          <w:i/>
        </w:rPr>
        <w:t xml:space="preserve">Laval un Partneri Ltd v Svenska Byggnadsarbetareförbundet, Svenska Byggnadsarbetareförbundets avdelning 1, Byggettan and Svenska Elekrikerförbundet </w:t>
      </w:r>
      <w:r>
        <w:t>[2007] EU:C:2007:809</w:t>
      </w:r>
    </w:p>
  </w:footnote>
  <w:footnote w:id="2">
    <w:p w14:paraId="11F80DFB" w14:textId="77777777" w:rsidR="00BD216B" w:rsidRDefault="00BD216B">
      <w:pPr>
        <w:pStyle w:val="FootnoteText"/>
      </w:pPr>
      <w:r>
        <w:rPr>
          <w:rStyle w:val="FootnoteReference"/>
        </w:rPr>
        <w:footnoteRef/>
      </w:r>
      <w:r>
        <w:t xml:space="preserve"> Case C-112/00 </w:t>
      </w:r>
      <w:r>
        <w:rPr>
          <w:i/>
        </w:rPr>
        <w:t xml:space="preserve">Eugen Schmidberger, International Transporte und Planzüge v Republik Österreich </w:t>
      </w:r>
      <w:r>
        <w:t>[2003] EU:C:2003:333</w:t>
      </w:r>
    </w:p>
  </w:footnote>
  <w:footnote w:id="3">
    <w:p w14:paraId="743D1BA4" w14:textId="77777777" w:rsidR="00BD216B" w:rsidRPr="002C61A3" w:rsidRDefault="00BD216B" w:rsidP="002C61A3">
      <w:pPr>
        <w:pStyle w:val="FootnoteText"/>
      </w:pPr>
      <w:r>
        <w:rPr>
          <w:rStyle w:val="FootnoteReference"/>
        </w:rPr>
        <w:footnoteRef/>
      </w:r>
      <w:r>
        <w:t xml:space="preserve"> C. Brown, ‘Case C-112/00, </w:t>
      </w:r>
      <w:r>
        <w:rPr>
          <w:i/>
        </w:rPr>
        <w:t>Eugen Schmidberger, International Transporte und Planzüge v Republik Österreich</w:t>
      </w:r>
      <w:r>
        <w:t>, Judgment of 12</w:t>
      </w:r>
      <w:r w:rsidRPr="004D55A2">
        <w:rPr>
          <w:vertAlign w:val="superscript"/>
        </w:rPr>
        <w:t>th</w:t>
      </w:r>
      <w:r>
        <w:t xml:space="preserve"> June 2003, Full Court’ (2003) 40 CMLRev 1499, 1508; C. Barnard, ‘Social Dumping or Dumping Socialism?’ (2008) 67 CLJ 262; A. Davies, ‘One Step Forward, Two Steps Back? The </w:t>
      </w:r>
      <w:r>
        <w:rPr>
          <w:i/>
        </w:rPr>
        <w:t xml:space="preserve">Viking </w:t>
      </w:r>
      <w:r>
        <w:t xml:space="preserve">and </w:t>
      </w:r>
      <w:r>
        <w:rPr>
          <w:i/>
        </w:rPr>
        <w:t>Laval</w:t>
      </w:r>
      <w:r>
        <w:t xml:space="preserve"> Cases in the ECJ’, (2008) 37(2) ILJ 126, 139; P. Sypris, T. Novitz, ‘Economic and Social Rights in Conflict: political and judicial approaches to their reconciliation’ (2008) 33(3) ELRev 411. For the application of the breach/justification methodology beyond these three cases, see, for instance, Case C-36/02 </w:t>
      </w:r>
      <w:r>
        <w:rPr>
          <w:i/>
        </w:rPr>
        <w:t>Omega</w:t>
      </w:r>
      <w:r w:rsidRPr="002C61A3">
        <w:rPr>
          <w:bCs/>
          <w:i/>
          <w:shd w:val="clear" w:color="auto" w:fill="FFFFFF"/>
        </w:rPr>
        <w:t xml:space="preserve"> </w:t>
      </w:r>
      <w:r w:rsidRPr="00893DE6">
        <w:rPr>
          <w:bCs/>
          <w:i/>
          <w:shd w:val="clear" w:color="auto" w:fill="FFFFFF"/>
        </w:rPr>
        <w:t>Spielhallen- und Automatenaufstellungs</w:t>
      </w:r>
      <w:r>
        <w:rPr>
          <w:bCs/>
          <w:i/>
          <w:shd w:val="clear" w:color="auto" w:fill="FFFFFF"/>
        </w:rPr>
        <w:t>-GmbH v Oberbürgermeisterin der</w:t>
      </w:r>
      <w:r w:rsidRPr="00893DE6">
        <w:rPr>
          <w:bCs/>
          <w:i/>
          <w:shd w:val="clear" w:color="auto" w:fill="FFFFFF"/>
        </w:rPr>
        <w:t xml:space="preserve"> Bonn</w:t>
      </w:r>
      <w:r>
        <w:rPr>
          <w:bCs/>
          <w:shd w:val="clear" w:color="auto" w:fill="FFFFFF"/>
        </w:rPr>
        <w:t xml:space="preserve"> [2004] EU:C:2004:614</w:t>
      </w:r>
      <w:r>
        <w:t>; Case</w:t>
      </w:r>
      <w:r w:rsidRPr="002C61A3">
        <w:t xml:space="preserve"> </w:t>
      </w:r>
      <w:r>
        <w:t xml:space="preserve">C-244/06 </w:t>
      </w:r>
      <w:r>
        <w:rPr>
          <w:i/>
        </w:rPr>
        <w:t>Dynamic Medien</w:t>
      </w:r>
      <w:r>
        <w:t xml:space="preserve"> </w:t>
      </w:r>
      <w:r>
        <w:rPr>
          <w:i/>
        </w:rPr>
        <w:t>v Avides Media</w:t>
      </w:r>
      <w:r>
        <w:t xml:space="preserve"> [2008] EU:C:2008:85; Case C-368/95 </w:t>
      </w:r>
      <w:r w:rsidRPr="00893DE6">
        <w:rPr>
          <w:bCs/>
          <w:i/>
          <w:shd w:val="clear" w:color="auto" w:fill="FFFFFF"/>
        </w:rPr>
        <w:t>Vereinigte Familiapress Zeitungsverlags</w:t>
      </w:r>
      <w:r>
        <w:rPr>
          <w:bCs/>
          <w:i/>
          <w:shd w:val="clear" w:color="auto" w:fill="FFFFFF"/>
        </w:rPr>
        <w:t xml:space="preserve">- und vertriebs GmbH v </w:t>
      </w:r>
      <w:r w:rsidRPr="00893DE6">
        <w:rPr>
          <w:bCs/>
          <w:i/>
          <w:shd w:val="clear" w:color="auto" w:fill="FFFFFF"/>
        </w:rPr>
        <w:t>Bauer Verla</w:t>
      </w:r>
      <w:r>
        <w:rPr>
          <w:bCs/>
          <w:i/>
          <w:shd w:val="clear" w:color="auto" w:fill="FFFFFF"/>
        </w:rPr>
        <w:t xml:space="preserve">g </w:t>
      </w:r>
      <w:r>
        <w:rPr>
          <w:bCs/>
          <w:shd w:val="clear" w:color="auto" w:fill="FFFFFF"/>
        </w:rPr>
        <w:t>[1997] EU:C:1997:325</w:t>
      </w:r>
    </w:p>
  </w:footnote>
  <w:footnote w:id="4">
    <w:p w14:paraId="675A4B07" w14:textId="77777777" w:rsidR="00BD216B" w:rsidRDefault="00BD216B">
      <w:pPr>
        <w:pStyle w:val="FootnoteText"/>
      </w:pPr>
      <w:r>
        <w:rPr>
          <w:rStyle w:val="FootnoteReference"/>
        </w:rPr>
        <w:footnoteRef/>
      </w:r>
      <w:r>
        <w:t xml:space="preserve"> Davies, ibid, 138-139</w:t>
      </w:r>
    </w:p>
  </w:footnote>
  <w:footnote w:id="5">
    <w:p w14:paraId="0DFD2D7A" w14:textId="77777777" w:rsidR="00BD216B" w:rsidRPr="00097794" w:rsidRDefault="00BD216B">
      <w:pPr>
        <w:pStyle w:val="FootnoteText"/>
      </w:pPr>
      <w:r>
        <w:rPr>
          <w:rStyle w:val="FootnoteReference"/>
        </w:rPr>
        <w:footnoteRef/>
      </w:r>
      <w:r>
        <w:t xml:space="preserve"> Case 11/70 </w:t>
      </w:r>
      <w:r>
        <w:rPr>
          <w:i/>
        </w:rPr>
        <w:t>Internationale Handelsgesellschaft v Einfuhr und Vorratstelle für Getreide und Futtermittel</w:t>
      </w:r>
      <w:r>
        <w:t xml:space="preserve"> [1970] EU:C:1970:114. This concern is arguably reinforced by the Court’s re-emphasis of this rule in </w:t>
      </w:r>
      <w:r>
        <w:rPr>
          <w:i/>
        </w:rPr>
        <w:t xml:space="preserve">Opinion 2/13 </w:t>
      </w:r>
      <w:r>
        <w:t>[2014] EU:C:2014:2454, para.172</w:t>
      </w:r>
    </w:p>
  </w:footnote>
  <w:footnote w:id="6">
    <w:p w14:paraId="44C6644E" w14:textId="77777777" w:rsidR="00BD216B" w:rsidRDefault="00BD216B">
      <w:pPr>
        <w:pStyle w:val="FootnoteText"/>
      </w:pPr>
      <w:r>
        <w:rPr>
          <w:rStyle w:val="FootnoteReference"/>
        </w:rPr>
        <w:footnoteRef/>
      </w:r>
      <w:r>
        <w:t xml:space="preserve"> Case C-319/06 </w:t>
      </w:r>
      <w:r>
        <w:rPr>
          <w:i/>
        </w:rPr>
        <w:t>Commission v Luxembourg</w:t>
      </w:r>
      <w:r>
        <w:t xml:space="preserve"> [2008] EU:C:2008:350; Case C-346/06 </w:t>
      </w:r>
      <w:r>
        <w:rPr>
          <w:i/>
        </w:rPr>
        <w:t>Rüffert</w:t>
      </w:r>
      <w:r>
        <w:t xml:space="preserve"> [2008] EU:C:2008:189</w:t>
      </w:r>
    </w:p>
  </w:footnote>
  <w:footnote w:id="7">
    <w:p w14:paraId="0A02ED04" w14:textId="77777777" w:rsidR="00BD216B" w:rsidRPr="006E7414" w:rsidRDefault="00BD216B">
      <w:pPr>
        <w:pStyle w:val="FootnoteText"/>
      </w:pPr>
      <w:r>
        <w:rPr>
          <w:rStyle w:val="FootnoteReference"/>
        </w:rPr>
        <w:footnoteRef/>
      </w:r>
      <w:r>
        <w:t xml:space="preserve"> N. Reich, ‘Free Movement v. Social Rights in an Enlarged Union – the </w:t>
      </w:r>
      <w:r>
        <w:rPr>
          <w:i/>
        </w:rPr>
        <w:t>Laval</w:t>
      </w:r>
      <w:r>
        <w:t xml:space="preserve"> and </w:t>
      </w:r>
      <w:r>
        <w:rPr>
          <w:i/>
        </w:rPr>
        <w:t>Viking</w:t>
      </w:r>
      <w:r>
        <w:t xml:space="preserve"> Cases before the ECJ’, (2008) GLJ 125, 159; Barnard, n.3, 262, 264; S. Picard, ‘Collective Action versus Free Movement: The </w:t>
      </w:r>
      <w:r>
        <w:rPr>
          <w:i/>
        </w:rPr>
        <w:t>Viking</w:t>
      </w:r>
      <w:r>
        <w:t xml:space="preserve"> and </w:t>
      </w:r>
      <w:r>
        <w:rPr>
          <w:i/>
        </w:rPr>
        <w:t>Laval</w:t>
      </w:r>
      <w:r>
        <w:t xml:space="preserve"> Cases’, (2008) 14(1) European Review of Labour and Research 160</w:t>
      </w:r>
    </w:p>
  </w:footnote>
  <w:footnote w:id="8">
    <w:p w14:paraId="2D4B5C6A" w14:textId="77777777" w:rsidR="00BD216B" w:rsidRDefault="00BD216B">
      <w:pPr>
        <w:pStyle w:val="FootnoteText"/>
      </w:pPr>
      <w:r>
        <w:rPr>
          <w:rStyle w:val="FootnoteReference"/>
        </w:rPr>
        <w:footnoteRef/>
      </w:r>
      <w:r>
        <w:t xml:space="preserve"> See the maintenance of the goal of economic integration, alongside new objectives, in Art.3(3) TEU</w:t>
      </w:r>
    </w:p>
  </w:footnote>
  <w:footnote w:id="9">
    <w:p w14:paraId="3F251D8F" w14:textId="77777777" w:rsidR="00BD216B" w:rsidRPr="0078124A" w:rsidRDefault="00BD216B">
      <w:pPr>
        <w:pStyle w:val="FootnoteText"/>
      </w:pPr>
      <w:r>
        <w:rPr>
          <w:rStyle w:val="FootnoteReference"/>
        </w:rPr>
        <w:footnoteRef/>
      </w:r>
      <w:r>
        <w:t xml:space="preserve"> Part Two, Rome Treaty, entitled ‘Foundations of the Community’ was concerned, </w:t>
      </w:r>
      <w:r>
        <w:rPr>
          <w:i/>
        </w:rPr>
        <w:t>inter alia</w:t>
      </w:r>
      <w:r>
        <w:t>, with the elimination of obstacles to these four freedoms. This commitment is now reiterated in Art.26 TFEU</w:t>
      </w:r>
    </w:p>
  </w:footnote>
  <w:footnote w:id="10">
    <w:p w14:paraId="0DEBC2A1" w14:textId="77777777" w:rsidR="00BD216B" w:rsidRPr="0089645C" w:rsidRDefault="00BD216B" w:rsidP="004A358F">
      <w:pPr>
        <w:pStyle w:val="FootnoteText"/>
      </w:pPr>
      <w:r>
        <w:rPr>
          <w:rStyle w:val="FootnoteReference"/>
        </w:rPr>
        <w:footnoteRef/>
      </w:r>
      <w:r>
        <w:t xml:space="preserve"> Case 15/74 </w:t>
      </w:r>
      <w:r>
        <w:rPr>
          <w:i/>
        </w:rPr>
        <w:t>Centrafram BV a.o. v Sterling Drug</w:t>
      </w:r>
      <w:r>
        <w:t xml:space="preserve"> [1974] EU:C:1974:114, para.8 (goods); Case 152/73 </w:t>
      </w:r>
      <w:r>
        <w:rPr>
          <w:i/>
        </w:rPr>
        <w:t xml:space="preserve">Sotgiu v Deutsche Bundespost </w:t>
      </w:r>
      <w:r>
        <w:t xml:space="preserve">[1974] EU:C:1974:13, para.4, Case 41/74 </w:t>
      </w:r>
      <w:r>
        <w:rPr>
          <w:i/>
        </w:rPr>
        <w:t xml:space="preserve">Van Duyn v Home Office </w:t>
      </w:r>
      <w:r>
        <w:t xml:space="preserve">[1974] EU:C:1974:133, para.13 (workers); Case 2/74 </w:t>
      </w:r>
      <w:r>
        <w:rPr>
          <w:i/>
        </w:rPr>
        <w:t>Reyners v Belgium</w:t>
      </w:r>
      <w:r>
        <w:t xml:space="preserve"> [1974] EU:C:1974:68, para.43, (establishment); Case 36/74 </w:t>
      </w:r>
      <w:r>
        <w:rPr>
          <w:i/>
        </w:rPr>
        <w:t>Walrave and Koch</w:t>
      </w:r>
      <w:r>
        <w:t xml:space="preserve"> [1974] EU:C:1974:140, para.18 (services); Case 7/78 </w:t>
      </w:r>
      <w:r>
        <w:rPr>
          <w:i/>
        </w:rPr>
        <w:t xml:space="preserve">R v Thompson a.o. </w:t>
      </w:r>
      <w:r>
        <w:t>[1978] EU:C:1978:209, para.22 (capital)</w:t>
      </w:r>
    </w:p>
  </w:footnote>
  <w:footnote w:id="11">
    <w:p w14:paraId="28965F80" w14:textId="77777777" w:rsidR="00BD216B" w:rsidRPr="0006764F" w:rsidRDefault="00BD216B" w:rsidP="004A358F">
      <w:pPr>
        <w:pStyle w:val="FootnoteText"/>
      </w:pPr>
      <w:r>
        <w:rPr>
          <w:rStyle w:val="FootnoteReference"/>
        </w:rPr>
        <w:footnoteRef/>
      </w:r>
      <w:r>
        <w:t xml:space="preserve"> Case 216/84 </w:t>
      </w:r>
      <w:r>
        <w:rPr>
          <w:i/>
        </w:rPr>
        <w:t>Commission v France</w:t>
      </w:r>
      <w:r>
        <w:t xml:space="preserve"> [1988] EU:C:1988:81, para.19; Case C-265/95 </w:t>
      </w:r>
      <w:r>
        <w:rPr>
          <w:i/>
        </w:rPr>
        <w:t xml:space="preserve">Commission v France (Spanish Strawberries) </w:t>
      </w:r>
      <w:r>
        <w:t xml:space="preserve">[1997] EU:C:1997:595, paras.24 and 32; Case C-319/06 </w:t>
      </w:r>
      <w:r>
        <w:rPr>
          <w:i/>
        </w:rPr>
        <w:t>Commission v Luxembourg</w:t>
      </w:r>
      <w:r>
        <w:t>, n.6, para.43</w:t>
      </w:r>
    </w:p>
  </w:footnote>
  <w:footnote w:id="12">
    <w:p w14:paraId="2BDA7024" w14:textId="77777777" w:rsidR="00BD216B" w:rsidRPr="0020317A" w:rsidRDefault="00BD216B" w:rsidP="004A358F">
      <w:pPr>
        <w:pStyle w:val="FootnoteText"/>
        <w:rPr>
          <w:lang w:val="pt-PT"/>
        </w:rPr>
      </w:pPr>
      <w:r>
        <w:rPr>
          <w:rStyle w:val="FootnoteReference"/>
        </w:rPr>
        <w:footnoteRef/>
      </w:r>
      <w:r w:rsidRPr="0020317A">
        <w:rPr>
          <w:lang w:val="pt-PT"/>
        </w:rPr>
        <w:t xml:space="preserve"> Case C-379/92 </w:t>
      </w:r>
      <w:r w:rsidRPr="0020317A">
        <w:rPr>
          <w:i/>
          <w:lang w:val="pt-PT"/>
        </w:rPr>
        <w:t>Matteo Peralta</w:t>
      </w:r>
      <w:r w:rsidRPr="0020317A">
        <w:rPr>
          <w:lang w:val="pt-PT"/>
        </w:rPr>
        <w:t xml:space="preserve"> [1994] EU:C:1994:296, para.7; Case C-112/00 </w:t>
      </w:r>
      <w:r w:rsidRPr="0020317A">
        <w:rPr>
          <w:i/>
          <w:lang w:val="pt-PT"/>
        </w:rPr>
        <w:t>Schmidberger</w:t>
      </w:r>
      <w:r w:rsidRPr="0020317A">
        <w:rPr>
          <w:lang w:val="pt-PT"/>
        </w:rPr>
        <w:t>, n.2, para.62</w:t>
      </w:r>
    </w:p>
  </w:footnote>
  <w:footnote w:id="13">
    <w:p w14:paraId="760CE938" w14:textId="77777777" w:rsidR="00BD216B" w:rsidRPr="0020317A" w:rsidRDefault="00BD216B" w:rsidP="004A358F">
      <w:pPr>
        <w:pStyle w:val="FootnoteText"/>
        <w:rPr>
          <w:lang w:val="pt-PT"/>
        </w:rPr>
      </w:pPr>
      <w:r>
        <w:rPr>
          <w:rStyle w:val="FootnoteReference"/>
        </w:rPr>
        <w:footnoteRef/>
      </w:r>
      <w:r w:rsidRPr="0020317A">
        <w:rPr>
          <w:lang w:val="pt-PT"/>
        </w:rPr>
        <w:t xml:space="preserve"> Case 240/83 </w:t>
      </w:r>
      <w:r w:rsidRPr="0020317A">
        <w:rPr>
          <w:i/>
          <w:lang w:val="pt-PT"/>
        </w:rPr>
        <w:t>Procureur de la République v ADBHU</w:t>
      </w:r>
      <w:r w:rsidRPr="0020317A">
        <w:rPr>
          <w:lang w:val="pt-PT"/>
        </w:rPr>
        <w:t xml:space="preserve"> [1985] EU:C:1985:59, para.9</w:t>
      </w:r>
    </w:p>
  </w:footnote>
  <w:footnote w:id="14">
    <w:p w14:paraId="685C08DF" w14:textId="77777777" w:rsidR="00BD216B" w:rsidRPr="0020317A" w:rsidRDefault="00BD216B" w:rsidP="004A358F">
      <w:pPr>
        <w:pStyle w:val="FootnoteText"/>
        <w:rPr>
          <w:lang w:val="pt-PT"/>
        </w:rPr>
      </w:pPr>
      <w:r>
        <w:rPr>
          <w:rStyle w:val="FootnoteReference"/>
        </w:rPr>
        <w:footnoteRef/>
      </w:r>
      <w:r>
        <w:t xml:space="preserve"> Via the freedom of expression. </w:t>
      </w:r>
      <w:r w:rsidRPr="0020317A">
        <w:rPr>
          <w:lang w:val="pt-PT"/>
        </w:rPr>
        <w:t xml:space="preserve">Case C-159/90 </w:t>
      </w:r>
      <w:r w:rsidRPr="0020317A">
        <w:rPr>
          <w:i/>
          <w:lang w:val="pt-PT"/>
        </w:rPr>
        <w:t xml:space="preserve">SPUC v Grogan a.o. </w:t>
      </w:r>
      <w:r w:rsidRPr="0020317A">
        <w:rPr>
          <w:lang w:val="pt-PT"/>
        </w:rPr>
        <w:t>[1991] EU:C:1991:378, para.34</w:t>
      </w:r>
    </w:p>
  </w:footnote>
  <w:footnote w:id="15">
    <w:p w14:paraId="2DCD32D9" w14:textId="77777777" w:rsidR="00BD216B" w:rsidRPr="00287B54" w:rsidRDefault="00BD216B" w:rsidP="004A358F">
      <w:pPr>
        <w:pStyle w:val="FootnoteText"/>
      </w:pPr>
      <w:r>
        <w:rPr>
          <w:rStyle w:val="FootnoteReference"/>
        </w:rPr>
        <w:footnoteRef/>
      </w:r>
      <w:r>
        <w:t xml:space="preserve"> Case 4/75 </w:t>
      </w:r>
      <w:r>
        <w:rPr>
          <w:i/>
        </w:rPr>
        <w:t xml:space="preserve">Rewe Zentralefinanz v Landwirtschaftskammer </w:t>
      </w:r>
      <w:r>
        <w:t xml:space="preserve">[1975] EU:C:1975:98; Case 5/77 </w:t>
      </w:r>
      <w:r>
        <w:rPr>
          <w:i/>
        </w:rPr>
        <w:t>Tedeschi v Denkavit</w:t>
      </w:r>
      <w:r>
        <w:t xml:space="preserve"> [1977] EU:C:1977:144; Case 95/81 </w:t>
      </w:r>
      <w:r>
        <w:rPr>
          <w:i/>
        </w:rPr>
        <w:t>Commission v Italy</w:t>
      </w:r>
      <w:r>
        <w:t xml:space="preserve"> [1982] EU:C:1982:216</w:t>
      </w:r>
    </w:p>
  </w:footnote>
  <w:footnote w:id="16">
    <w:p w14:paraId="34246E86" w14:textId="77777777" w:rsidR="00BD216B" w:rsidRPr="00287B54" w:rsidRDefault="00BD216B" w:rsidP="004A358F">
      <w:pPr>
        <w:pStyle w:val="FootnoteText"/>
        <w:rPr>
          <w:i/>
        </w:rPr>
      </w:pPr>
      <w:r>
        <w:rPr>
          <w:rStyle w:val="FootnoteReference"/>
        </w:rPr>
        <w:footnoteRef/>
      </w:r>
      <w:r>
        <w:t xml:space="preserve"> Case 4/75 </w:t>
      </w:r>
      <w:r>
        <w:rPr>
          <w:i/>
        </w:rPr>
        <w:t>Rewezentralefinanz</w:t>
      </w:r>
      <w:r>
        <w:t xml:space="preserve">, n.15; Case C-324/93 </w:t>
      </w:r>
      <w:r>
        <w:rPr>
          <w:i/>
        </w:rPr>
        <w:t xml:space="preserve">R v SSHD, ex p Evans Medical and Macfarlan Smith </w:t>
      </w:r>
      <w:r w:rsidRPr="00287B54">
        <w:t>[1995]</w:t>
      </w:r>
      <w:r>
        <w:t xml:space="preserve"> EU:C:1995:84</w:t>
      </w:r>
    </w:p>
  </w:footnote>
  <w:footnote w:id="17">
    <w:p w14:paraId="74B0CD4A" w14:textId="77777777" w:rsidR="00BD216B" w:rsidRPr="00287B54" w:rsidRDefault="00BD216B" w:rsidP="004A358F">
      <w:pPr>
        <w:pStyle w:val="FootnoteText"/>
      </w:pPr>
      <w:r>
        <w:rPr>
          <w:rStyle w:val="FootnoteReference"/>
        </w:rPr>
        <w:footnoteRef/>
      </w:r>
      <w:r>
        <w:t xml:space="preserve"> Joined Cases 115/81 </w:t>
      </w:r>
      <w:r>
        <w:rPr>
          <w:i/>
        </w:rPr>
        <w:t>Adoui and Cornuaille v Belgium</w:t>
      </w:r>
      <w:r>
        <w:t xml:space="preserve"> [1982] EU:C:1982:183; Case C-192/01 </w:t>
      </w:r>
      <w:r>
        <w:rPr>
          <w:i/>
        </w:rPr>
        <w:t>Commission v Denmark</w:t>
      </w:r>
      <w:r>
        <w:t xml:space="preserve"> [2003] EU:C:2003:492</w:t>
      </w:r>
    </w:p>
  </w:footnote>
  <w:footnote w:id="18">
    <w:p w14:paraId="3DC07C14" w14:textId="77777777" w:rsidR="00BD216B" w:rsidRPr="00955BCD" w:rsidRDefault="00BD216B" w:rsidP="004A358F">
      <w:pPr>
        <w:pStyle w:val="FootnoteText"/>
      </w:pPr>
      <w:r>
        <w:rPr>
          <w:rStyle w:val="FootnoteReference"/>
        </w:rPr>
        <w:footnoteRef/>
      </w:r>
      <w:r>
        <w:t xml:space="preserve"> Case C-217/99 </w:t>
      </w:r>
      <w:r>
        <w:rPr>
          <w:i/>
        </w:rPr>
        <w:t>Commission v Belgium</w:t>
      </w:r>
      <w:r>
        <w:t xml:space="preserve"> [2000] EU:C:2000:638; Case C-55/99 </w:t>
      </w:r>
      <w:r>
        <w:rPr>
          <w:i/>
        </w:rPr>
        <w:t>Commission v France</w:t>
      </w:r>
      <w:r>
        <w:t xml:space="preserve"> [2000] EU:C:2000:693</w:t>
      </w:r>
    </w:p>
  </w:footnote>
  <w:footnote w:id="19">
    <w:p w14:paraId="1C64F032" w14:textId="77777777" w:rsidR="00BD216B" w:rsidRPr="0020317A" w:rsidRDefault="00BD216B" w:rsidP="004A358F">
      <w:pPr>
        <w:pStyle w:val="FootnoteText"/>
        <w:rPr>
          <w:lang w:val="pt-PT"/>
        </w:rPr>
      </w:pPr>
      <w:r>
        <w:rPr>
          <w:rStyle w:val="FootnoteReference"/>
        </w:rPr>
        <w:footnoteRef/>
      </w:r>
      <w:r w:rsidRPr="0020317A">
        <w:rPr>
          <w:lang w:val="pt-PT"/>
        </w:rPr>
        <w:t xml:space="preserve"> Case 104/75 </w:t>
      </w:r>
      <w:r w:rsidRPr="0020317A">
        <w:rPr>
          <w:i/>
          <w:lang w:val="pt-PT"/>
        </w:rPr>
        <w:t>De Peijper</w:t>
      </w:r>
      <w:r w:rsidRPr="0020317A">
        <w:rPr>
          <w:lang w:val="pt-PT"/>
        </w:rPr>
        <w:t xml:space="preserve"> [1976] EU:C:1976:67; Case C-67/97 </w:t>
      </w:r>
      <w:r w:rsidRPr="0020317A">
        <w:rPr>
          <w:i/>
          <w:lang w:val="pt-PT"/>
        </w:rPr>
        <w:t>Bluhme</w:t>
      </w:r>
      <w:r w:rsidRPr="0020317A">
        <w:rPr>
          <w:lang w:val="pt-PT"/>
        </w:rPr>
        <w:t xml:space="preserve"> [1998] EU:C:1998:584</w:t>
      </w:r>
    </w:p>
  </w:footnote>
  <w:footnote w:id="20">
    <w:p w14:paraId="675F7B57" w14:textId="77777777" w:rsidR="00BD216B" w:rsidRPr="00955BCD" w:rsidRDefault="00BD216B" w:rsidP="004A358F">
      <w:pPr>
        <w:pStyle w:val="FootnoteText"/>
      </w:pPr>
      <w:r>
        <w:rPr>
          <w:rStyle w:val="FootnoteReference"/>
        </w:rPr>
        <w:footnoteRef/>
      </w:r>
      <w:r>
        <w:t xml:space="preserve"> Case C-141/07 </w:t>
      </w:r>
      <w:r>
        <w:rPr>
          <w:i/>
        </w:rPr>
        <w:t>Commission v Germany</w:t>
      </w:r>
      <w:r>
        <w:t xml:space="preserve"> [2008] EU:C:2008:492; Case 13/68 </w:t>
      </w:r>
      <w:r>
        <w:rPr>
          <w:i/>
        </w:rPr>
        <w:t xml:space="preserve">Salgoil </w:t>
      </w:r>
      <w:r>
        <w:t>[1968] EU:C:1968:54</w:t>
      </w:r>
    </w:p>
  </w:footnote>
  <w:footnote w:id="21">
    <w:p w14:paraId="550B95E4" w14:textId="1E1D7F69" w:rsidR="00BD216B" w:rsidRDefault="00BD216B">
      <w:pPr>
        <w:pStyle w:val="FootnoteText"/>
      </w:pPr>
      <w:r>
        <w:rPr>
          <w:rStyle w:val="FootnoteReference"/>
        </w:rPr>
        <w:footnoteRef/>
      </w:r>
      <w:r>
        <w:t xml:space="preserve"> Art.45 and 45(3) TFEU (workers); Arts.49 and 52 TFEU (establishment); Arts.56 and 62 TFEU (services); Art.63 and 65(1)(b) (capital) </w:t>
      </w:r>
    </w:p>
  </w:footnote>
  <w:footnote w:id="22">
    <w:p w14:paraId="38822B23" w14:textId="77777777" w:rsidR="00BD216B" w:rsidRDefault="00BD216B" w:rsidP="0089317C">
      <w:pPr>
        <w:pStyle w:val="FootnoteText"/>
      </w:pPr>
      <w:r>
        <w:rPr>
          <w:rStyle w:val="FootnoteReference"/>
        </w:rPr>
        <w:footnoteRef/>
      </w:r>
      <w:r>
        <w:t xml:space="preserve"> N. Nic Shuibhne, </w:t>
      </w:r>
      <w:r>
        <w:rPr>
          <w:i/>
        </w:rPr>
        <w:t>The Coherence of EU Free Movement Law: Constitutional Responsibility and the Court of Justice,</w:t>
      </w:r>
      <w:r>
        <w:t xml:space="preserve"> (OUP, 2013) 26</w:t>
      </w:r>
    </w:p>
  </w:footnote>
  <w:footnote w:id="23">
    <w:p w14:paraId="74BDB959" w14:textId="77777777" w:rsidR="00BD216B" w:rsidRPr="00010A5D" w:rsidRDefault="00BD216B" w:rsidP="00683486">
      <w:pPr>
        <w:pStyle w:val="FootnoteText"/>
        <w:rPr>
          <w:i/>
        </w:rPr>
      </w:pPr>
      <w:r>
        <w:rPr>
          <w:rStyle w:val="FootnoteReference"/>
        </w:rPr>
        <w:footnoteRef/>
      </w:r>
      <w:r>
        <w:t xml:space="preserve"> See e.g. </w:t>
      </w:r>
      <w:r>
        <w:rPr>
          <w:i/>
        </w:rPr>
        <w:t>Kudla v Poland</w:t>
      </w:r>
      <w:r>
        <w:t xml:space="preserve"> App.no: 30210/96, concerning Art.5 ECHR; </w:t>
      </w:r>
      <w:r>
        <w:rPr>
          <w:i/>
        </w:rPr>
        <w:t>Rowe and Daniels v UK</w:t>
      </w:r>
      <w:r>
        <w:t xml:space="preserve"> App.no: 28901/95, concerning Art.6 ECHR. See also S. Greer, </w:t>
      </w:r>
      <w:r>
        <w:rPr>
          <w:i/>
        </w:rPr>
        <w:t xml:space="preserve">The European Convention on Human Rights: Achievements, Problems and Prospects, </w:t>
      </w:r>
      <w:r w:rsidRPr="00010A5D">
        <w:t>(CUP, 2006) 208</w:t>
      </w:r>
    </w:p>
  </w:footnote>
  <w:footnote w:id="24">
    <w:p w14:paraId="2D7C9128" w14:textId="77777777" w:rsidR="00BD216B" w:rsidRDefault="00BD216B" w:rsidP="004A358F">
      <w:pPr>
        <w:pStyle w:val="FootnoteText"/>
      </w:pPr>
      <w:r>
        <w:rPr>
          <w:rStyle w:val="FootnoteReference"/>
        </w:rPr>
        <w:footnoteRef/>
      </w:r>
      <w:r>
        <w:t xml:space="preserve"> Ibid</w:t>
      </w:r>
    </w:p>
  </w:footnote>
  <w:footnote w:id="25">
    <w:p w14:paraId="3A7B9710" w14:textId="65261251" w:rsidR="00BD216B" w:rsidRDefault="00BD216B">
      <w:pPr>
        <w:pStyle w:val="FootnoteText"/>
      </w:pPr>
      <w:r>
        <w:rPr>
          <w:rStyle w:val="FootnoteReference"/>
        </w:rPr>
        <w:footnoteRef/>
      </w:r>
      <w:r>
        <w:t xml:space="preserve"> The CJEU arguably offers more latitude to the Union legislature in relation to the political, social and economic choices it makes than it does in relation to national law-making. See e.g. Case C-380/03 </w:t>
      </w:r>
      <w:r>
        <w:rPr>
          <w:i/>
        </w:rPr>
        <w:t>Germany v Parliament and Council (Tobacco Advertising)</w:t>
      </w:r>
      <w:r>
        <w:t xml:space="preserve"> [2006] ECR I-11573, para.145.</w:t>
      </w:r>
    </w:p>
  </w:footnote>
  <w:footnote w:id="26">
    <w:p w14:paraId="1ED96EE5" w14:textId="77777777" w:rsidR="00BD216B" w:rsidRPr="003D367B" w:rsidRDefault="00BD216B" w:rsidP="004A358F">
      <w:pPr>
        <w:pStyle w:val="FootnoteText"/>
      </w:pPr>
      <w:r>
        <w:rPr>
          <w:rStyle w:val="FootnoteReference"/>
        </w:rPr>
        <w:footnoteRef/>
      </w:r>
      <w:r>
        <w:t xml:space="preserve"> E.g. Case 5/77 </w:t>
      </w:r>
      <w:r>
        <w:rPr>
          <w:i/>
        </w:rPr>
        <w:t>Tedeschi</w:t>
      </w:r>
      <w:r>
        <w:t>, n.15</w:t>
      </w:r>
    </w:p>
  </w:footnote>
  <w:footnote w:id="27">
    <w:p w14:paraId="168005FC" w14:textId="77777777" w:rsidR="00BD216B" w:rsidRDefault="00BD216B">
      <w:pPr>
        <w:pStyle w:val="FootnoteText"/>
      </w:pPr>
      <w:r>
        <w:rPr>
          <w:rStyle w:val="FootnoteReference"/>
        </w:rPr>
        <w:footnoteRef/>
      </w:r>
      <w:r>
        <w:t xml:space="preserve"> There is a wider debate about whether direct effect confers rights status or whether it is a provision’s rights status that triggers direct effect, see T. Downes, C. Hilson, ‘Making Sense of Rights: Community Rights in EC Law’, (1999) 24(2) ELRev 121, 131; S. Prechal, ‘Does Direct Effect Still Matter?’ (2000) 37 CMLRev 1047 and Cases C-194/94 </w:t>
      </w:r>
      <w:r>
        <w:rPr>
          <w:i/>
        </w:rPr>
        <w:t xml:space="preserve">CIA Security International v Signalson and Securitel </w:t>
      </w:r>
      <w:r>
        <w:t xml:space="preserve">[1996] EU:C:1996:172 and C-72/95 </w:t>
      </w:r>
      <w:r>
        <w:rPr>
          <w:i/>
        </w:rPr>
        <w:t xml:space="preserve">Kraaijveld a.o. </w:t>
      </w:r>
      <w:r>
        <w:t>[1996] EU:C:1996:404. However, this is less relevant to our discussion of the market freedoms, which have been found to encompass individual rights in the course of decisions recognising their direct effect status.</w:t>
      </w:r>
    </w:p>
  </w:footnote>
  <w:footnote w:id="28">
    <w:p w14:paraId="48725044" w14:textId="77777777" w:rsidR="00BD216B" w:rsidRPr="00F25473" w:rsidRDefault="00BD216B">
      <w:pPr>
        <w:pStyle w:val="FootnoteText"/>
      </w:pPr>
      <w:r>
        <w:rPr>
          <w:rStyle w:val="FootnoteReference"/>
        </w:rPr>
        <w:footnoteRef/>
      </w:r>
      <w:r>
        <w:t xml:space="preserve"> Case 26/62 </w:t>
      </w:r>
      <w:r>
        <w:rPr>
          <w:i/>
        </w:rPr>
        <w:t>Van Gend en Loos</w:t>
      </w:r>
      <w:r>
        <w:t xml:space="preserve"> </w:t>
      </w:r>
      <w:r>
        <w:rPr>
          <w:i/>
        </w:rPr>
        <w:t>v Adminstratie der Belgastingen</w:t>
      </w:r>
      <w:r>
        <w:t xml:space="preserve"> [1963] EU:C:1963:1, p.12</w:t>
      </w:r>
    </w:p>
  </w:footnote>
  <w:footnote w:id="29">
    <w:p w14:paraId="647E11A0" w14:textId="58796281" w:rsidR="00BD216B" w:rsidRDefault="00BD216B">
      <w:pPr>
        <w:pStyle w:val="FootnoteText"/>
      </w:pPr>
      <w:r>
        <w:rPr>
          <w:rStyle w:val="FootnoteReference"/>
        </w:rPr>
        <w:footnoteRef/>
      </w:r>
      <w:r w:rsidR="006F6E2B">
        <w:t xml:space="preserve"> Downes, Hilson, n.27</w:t>
      </w:r>
      <w:r>
        <w:t xml:space="preserve">, 124, though they proceed to argue that this is no longer the case in the contemporary direct effect context. This does not undermine the argument made here, however, in relation to the historical strengthening of free movement </w:t>
      </w:r>
      <w:r w:rsidR="006F6E2B">
        <w:t>through</w:t>
      </w:r>
      <w:r>
        <w:t xml:space="preserve"> linking it to the conferral of individual rights.</w:t>
      </w:r>
    </w:p>
  </w:footnote>
  <w:footnote w:id="30">
    <w:p w14:paraId="5377078F" w14:textId="77777777" w:rsidR="00BD216B" w:rsidRDefault="00BD216B">
      <w:pPr>
        <w:pStyle w:val="FootnoteText"/>
      </w:pPr>
      <w:r>
        <w:rPr>
          <w:rStyle w:val="FootnoteReference"/>
        </w:rPr>
        <w:footnoteRef/>
      </w:r>
      <w:r>
        <w:t xml:space="preserve"> Arts.48(3) and 52 EEC</w:t>
      </w:r>
    </w:p>
  </w:footnote>
  <w:footnote w:id="31">
    <w:p w14:paraId="1869CA06" w14:textId="77777777" w:rsidR="00BD216B" w:rsidRDefault="00BD216B">
      <w:pPr>
        <w:pStyle w:val="FootnoteText"/>
      </w:pPr>
      <w:r>
        <w:rPr>
          <w:rStyle w:val="FootnoteReference"/>
        </w:rPr>
        <w:footnoteRef/>
      </w:r>
      <w:r>
        <w:t xml:space="preserve"> Arts.59, 30, 34 and 67 EEC, respectively</w:t>
      </w:r>
    </w:p>
  </w:footnote>
  <w:footnote w:id="32">
    <w:p w14:paraId="2D781030" w14:textId="519DF4B7" w:rsidR="00BD216B" w:rsidRPr="003C07F7" w:rsidRDefault="00BD216B">
      <w:pPr>
        <w:pStyle w:val="FootnoteText"/>
      </w:pPr>
      <w:r>
        <w:rPr>
          <w:rStyle w:val="FootnoteReference"/>
        </w:rPr>
        <w:footnoteRef/>
      </w:r>
      <w:r>
        <w:t xml:space="preserve"> Case 13/68 </w:t>
      </w:r>
      <w:r>
        <w:rPr>
          <w:i/>
        </w:rPr>
        <w:t>Salgoil</w:t>
      </w:r>
      <w:r w:rsidR="006F6E2B">
        <w:t>, n.20</w:t>
      </w:r>
      <w:r>
        <w:t xml:space="preserve">; see also Case 222/82 </w:t>
      </w:r>
      <w:r>
        <w:rPr>
          <w:i/>
        </w:rPr>
        <w:t>Apple and Pear Development Council</w:t>
      </w:r>
      <w:r>
        <w:t xml:space="preserve"> [1983] EU:C:1983:370, para.37</w:t>
      </w:r>
    </w:p>
  </w:footnote>
  <w:footnote w:id="33">
    <w:p w14:paraId="7211CA44" w14:textId="230921E1" w:rsidR="00BD216B" w:rsidRPr="003C07F7" w:rsidRDefault="00BD216B">
      <w:pPr>
        <w:pStyle w:val="FootnoteText"/>
      </w:pPr>
      <w:r>
        <w:rPr>
          <w:rStyle w:val="FootnoteReference"/>
        </w:rPr>
        <w:footnoteRef/>
      </w:r>
      <w:r>
        <w:t xml:space="preserve"> Case 48/75 </w:t>
      </w:r>
      <w:r>
        <w:rPr>
          <w:i/>
        </w:rPr>
        <w:t>Royer</w:t>
      </w:r>
      <w:r>
        <w:t xml:space="preserve"> </w:t>
      </w:r>
      <w:r w:rsidRPr="003C07F7">
        <w:t>[1976] EU:C:</w:t>
      </w:r>
      <w:r>
        <w:t xml:space="preserve">1976:57. See also Case 41/74 </w:t>
      </w:r>
      <w:r>
        <w:rPr>
          <w:i/>
        </w:rPr>
        <w:t>van Duyn v Home Office</w:t>
      </w:r>
      <w:r>
        <w:t xml:space="preserve"> </w:t>
      </w:r>
      <w:r w:rsidR="006F6E2B">
        <w:t>n.10</w:t>
      </w:r>
      <w:r>
        <w:rPr>
          <w:i/>
        </w:rPr>
        <w:t xml:space="preserve"> </w:t>
      </w:r>
      <w:r>
        <w:t xml:space="preserve">para.7 (workers); Case 36/74 </w:t>
      </w:r>
      <w:r>
        <w:rPr>
          <w:i/>
        </w:rPr>
        <w:t>Walrave</w:t>
      </w:r>
      <w:r>
        <w:t>, n.10</w:t>
      </w:r>
      <w:r w:rsidR="006F6E2B">
        <w:t>, para.34 (services); Case C-</w:t>
      </w:r>
      <w:r>
        <w:t>4</w:t>
      </w:r>
      <w:r w:rsidR="006F6E2B">
        <w:t>3</w:t>
      </w:r>
      <w:r>
        <w:t xml:space="preserve">8/05 </w:t>
      </w:r>
      <w:r>
        <w:rPr>
          <w:i/>
        </w:rPr>
        <w:t>Viking</w:t>
      </w:r>
      <w:r>
        <w:t xml:space="preserve">, n.1, paras.58 and 66 (establishment). See in relation to capital Joined Cases C-163/94, C-165/94 and C-250/95 </w:t>
      </w:r>
      <w:r>
        <w:rPr>
          <w:i/>
        </w:rPr>
        <w:t>Sanz de Lera a.o.</w:t>
      </w:r>
      <w:r>
        <w:t xml:space="preserve"> [1995] EU:C:1995:451 </w:t>
      </w:r>
    </w:p>
  </w:footnote>
  <w:footnote w:id="34">
    <w:p w14:paraId="2F8981D3" w14:textId="330A6928" w:rsidR="00BD216B" w:rsidRPr="003E05EF" w:rsidRDefault="00BD216B">
      <w:pPr>
        <w:pStyle w:val="FootnoteText"/>
      </w:pPr>
      <w:r>
        <w:rPr>
          <w:rStyle w:val="FootnoteReference"/>
        </w:rPr>
        <w:footnoteRef/>
      </w:r>
      <w:r>
        <w:t xml:space="preserve"> Case 13/68 </w:t>
      </w:r>
      <w:r>
        <w:rPr>
          <w:i/>
        </w:rPr>
        <w:t>Salgoil</w:t>
      </w:r>
      <w:r w:rsidR="006F6E2B">
        <w:t>, n.20</w:t>
      </w:r>
      <w:r>
        <w:t xml:space="preserve">, p.463. See also Case 48/75 </w:t>
      </w:r>
      <w:r>
        <w:rPr>
          <w:i/>
        </w:rPr>
        <w:t>Royer</w:t>
      </w:r>
      <w:r>
        <w:t>, ibid, para.29</w:t>
      </w:r>
    </w:p>
  </w:footnote>
  <w:footnote w:id="35">
    <w:p w14:paraId="49463D84" w14:textId="415849BE" w:rsidR="00BD216B" w:rsidRPr="00C37CD2" w:rsidRDefault="00BD216B">
      <w:pPr>
        <w:pStyle w:val="FootnoteText"/>
      </w:pPr>
      <w:r>
        <w:rPr>
          <w:rStyle w:val="FootnoteReference"/>
        </w:rPr>
        <w:footnoteRef/>
      </w:r>
      <w:r>
        <w:t xml:space="preserve"> Case 41/74 </w:t>
      </w:r>
      <w:r>
        <w:rPr>
          <w:i/>
        </w:rPr>
        <w:t>van Duyn</w:t>
      </w:r>
      <w:r w:rsidR="006F6E2B">
        <w:t>, n.10</w:t>
      </w:r>
      <w:r>
        <w:t>, para.7</w:t>
      </w:r>
    </w:p>
  </w:footnote>
  <w:footnote w:id="36">
    <w:p w14:paraId="26B2BDD5" w14:textId="77777777" w:rsidR="00BD216B" w:rsidRDefault="00BD216B" w:rsidP="0051177E">
      <w:pPr>
        <w:pStyle w:val="FootnoteText"/>
      </w:pPr>
      <w:r>
        <w:rPr>
          <w:rStyle w:val="FootnoteReference"/>
        </w:rPr>
        <w:footnoteRef/>
      </w:r>
      <w:r>
        <w:t xml:space="preserve"> The European Political Community Treaty would have integrated the ECHR within its laws but this mechanism was absent when attention turned to economic integration. For discussion of this history, see M. Dauses, ‘The Protection of Fundamental Rights in the Community Legal Order’ (1985) 10 ELRev 398. Though the Rome Treaty can be said to incorporate goals beyond purely economic integration, Art.2 EEC presents aims such as social progression as achievable through the medium of the common market.</w:t>
      </w:r>
    </w:p>
  </w:footnote>
  <w:footnote w:id="37">
    <w:p w14:paraId="322955CB" w14:textId="77777777" w:rsidR="00BD216B" w:rsidRPr="00756CA9" w:rsidRDefault="00BD216B" w:rsidP="0051177E">
      <w:pPr>
        <w:pStyle w:val="FootnoteText"/>
      </w:pPr>
      <w:r>
        <w:rPr>
          <w:rStyle w:val="FootnoteReference"/>
        </w:rPr>
        <w:footnoteRef/>
      </w:r>
      <w:r>
        <w:t xml:space="preserve"> Case 29/69 </w:t>
      </w:r>
      <w:r>
        <w:rPr>
          <w:i/>
        </w:rPr>
        <w:t xml:space="preserve">Stauder v Ulm </w:t>
      </w:r>
      <w:r>
        <w:t xml:space="preserve">[1969] EU:C:1969:57; Case 11/70 </w:t>
      </w:r>
      <w:r>
        <w:rPr>
          <w:i/>
        </w:rPr>
        <w:t>Internationale Handelsgesellschaft</w:t>
      </w:r>
      <w:r>
        <w:t>, n.5</w:t>
      </w:r>
    </w:p>
  </w:footnote>
  <w:footnote w:id="38">
    <w:p w14:paraId="76CD162C" w14:textId="77777777" w:rsidR="00BD216B" w:rsidRPr="0004237E" w:rsidRDefault="00BD216B" w:rsidP="0051177E">
      <w:pPr>
        <w:pStyle w:val="FootnoteText"/>
      </w:pPr>
      <w:r>
        <w:rPr>
          <w:rStyle w:val="FootnoteReference"/>
        </w:rPr>
        <w:footnoteRef/>
      </w:r>
      <w:r>
        <w:t xml:space="preserve"> Case 4/73 </w:t>
      </w:r>
      <w:r>
        <w:rPr>
          <w:i/>
        </w:rPr>
        <w:t>Nold v Commission</w:t>
      </w:r>
      <w:r>
        <w:t xml:space="preserve"> [1974] EU:C:1974:51, para.13</w:t>
      </w:r>
    </w:p>
  </w:footnote>
  <w:footnote w:id="39">
    <w:p w14:paraId="34D8967D" w14:textId="77777777" w:rsidR="00BD216B" w:rsidRPr="0004237E" w:rsidRDefault="00BD216B" w:rsidP="0051177E">
      <w:pPr>
        <w:pStyle w:val="FootnoteText"/>
      </w:pPr>
      <w:r>
        <w:rPr>
          <w:rStyle w:val="FootnoteReference"/>
        </w:rPr>
        <w:footnoteRef/>
      </w:r>
      <w:r>
        <w:t xml:space="preserve"> Case C-260/89 </w:t>
      </w:r>
      <w:r>
        <w:rPr>
          <w:i/>
        </w:rPr>
        <w:t xml:space="preserve">ERT v DEP </w:t>
      </w:r>
      <w:r>
        <w:t xml:space="preserve">[1991] EU:C:1991:254; Case C-299/95 </w:t>
      </w:r>
      <w:r>
        <w:rPr>
          <w:i/>
        </w:rPr>
        <w:t>Kremzow v Austria</w:t>
      </w:r>
      <w:r>
        <w:t xml:space="preserve"> [1997] EU:C:1997:254</w:t>
      </w:r>
    </w:p>
  </w:footnote>
  <w:footnote w:id="40">
    <w:p w14:paraId="741200AA" w14:textId="77777777" w:rsidR="00BD216B" w:rsidRPr="00113CD2" w:rsidRDefault="00BD216B">
      <w:pPr>
        <w:pStyle w:val="FootnoteText"/>
      </w:pPr>
      <w:r>
        <w:rPr>
          <w:rStyle w:val="FootnoteReference"/>
        </w:rPr>
        <w:footnoteRef/>
      </w:r>
      <w:r>
        <w:t xml:space="preserve"> See e.g. Case C-112/00 </w:t>
      </w:r>
      <w:r>
        <w:rPr>
          <w:i/>
        </w:rPr>
        <w:t>Schmidberger</w:t>
      </w:r>
      <w:r>
        <w:t xml:space="preserve">, n.2; Case C-368/95 </w:t>
      </w:r>
      <w:r>
        <w:rPr>
          <w:i/>
        </w:rPr>
        <w:t>Familiapress</w:t>
      </w:r>
      <w:r>
        <w:t xml:space="preserve">, n.3; Case C-36/02 </w:t>
      </w:r>
      <w:r>
        <w:rPr>
          <w:i/>
        </w:rPr>
        <w:t>Omega</w:t>
      </w:r>
      <w:r>
        <w:t xml:space="preserve">, n.3; Case C-244/06 </w:t>
      </w:r>
      <w:r>
        <w:rPr>
          <w:i/>
        </w:rPr>
        <w:t>Dynamic Medien</w:t>
      </w:r>
      <w:r>
        <w:t>, n.3</w:t>
      </w:r>
    </w:p>
  </w:footnote>
  <w:footnote w:id="41">
    <w:p w14:paraId="71B06FFE" w14:textId="77777777" w:rsidR="00BD216B" w:rsidRDefault="00BD216B">
      <w:pPr>
        <w:pStyle w:val="FootnoteText"/>
      </w:pPr>
      <w:r>
        <w:rPr>
          <w:rStyle w:val="FootnoteReference"/>
        </w:rPr>
        <w:footnoteRef/>
      </w:r>
      <w:r>
        <w:t xml:space="preserve"> See Brown, n.3 and T. Perišin, ‘Interaction of Fundamental (human) Rights and Fundamental (market) Freedoms in the EU’ (2006) 2 CYELP 85, who both consider fundamental rights to constitute a ‘floating justification’, though Brown accepts that they face the same justificatory questions as ordinary public interests; C. Barnard, </w:t>
      </w:r>
      <w:r>
        <w:rPr>
          <w:i/>
        </w:rPr>
        <w:t>The Substantive Law of the EU: The Four Freedoms</w:t>
      </w:r>
      <w:r>
        <w:t>, (OUP, 2004), 109, who argues that fundamental rights are free-standing justification or mandatory requirement but of higher status than the others;</w:t>
      </w:r>
      <w:r w:rsidRPr="002F20C7">
        <w:t xml:space="preserve"> </w:t>
      </w:r>
      <w:r>
        <w:t xml:space="preserve">G. Gonzales, ‘EC Fundamental Freedoms v Human Rights in the Case C-112/00 </w:t>
      </w:r>
      <w:r>
        <w:rPr>
          <w:i/>
        </w:rPr>
        <w:t>Schmidberger…</w:t>
      </w:r>
      <w:r>
        <w:t xml:space="preserve">’ (2004) 31(3) LIEI 219, 223, who posits that fundamental rights have primacy over free movement; and E. Spaventa, ‘Federalisation versus Centralisation: Tensions in Fundamental Rights Discourse in the EU’ in S. Currie, M. Dougan (eds), </w:t>
      </w:r>
      <w:r>
        <w:rPr>
          <w:i/>
        </w:rPr>
        <w:t>50 Years of the European Treaties: Looking Back and Thinking Forward</w:t>
      </w:r>
      <w:r>
        <w:t xml:space="preserve">, (Hart, 2009), who asserts that fundamental rights have been reduced to the level of a public interest by the Court’s adjudicative methodology. </w:t>
      </w:r>
    </w:p>
  </w:footnote>
  <w:footnote w:id="42">
    <w:p w14:paraId="18C55564" w14:textId="6B772CAB" w:rsidR="00BD216B" w:rsidRDefault="00BD216B" w:rsidP="00AF7C6C">
      <w:pPr>
        <w:pStyle w:val="FootnoteText"/>
      </w:pPr>
      <w:r>
        <w:rPr>
          <w:rStyle w:val="FootnoteReference"/>
        </w:rPr>
        <w:footnoteRef/>
      </w:r>
      <w:r>
        <w:t xml:space="preserve"> A. Veldman, ‘The Protection of the Fundamental Right to Strike within the Context of the European Internal Market: Implications of the Forthcoming Accession to the ECHR’, (2013) 9 ULRev 104, 116-117; J. Coppel, A. O’Neill, ‘The European Court of Justice: Taking Rights Seriously’, (1992) 29 CMLRev 669, 683, citing Case 5/88 </w:t>
      </w:r>
      <w:r>
        <w:rPr>
          <w:i/>
        </w:rPr>
        <w:t>Wachauf</w:t>
      </w:r>
      <w:r>
        <w:t xml:space="preserve"> [1989] EU:C:1989:321; c.f. M. Koskenniemi, ‘The Effects of Rights on Political Culture’, in P. Alston et al (eds), </w:t>
      </w:r>
      <w:r>
        <w:rPr>
          <w:i/>
        </w:rPr>
        <w:t>The EU and Human Rights</w:t>
      </w:r>
      <w:r>
        <w:t xml:space="preserve">, (OUP, 1999), ch.3, 111. Others have asked whether EU fundamental rights reflect the existence but not the substance of the fundamental rights contained in international instruments and within the constitutions of the Member States - A. Williams, </w:t>
      </w:r>
      <w:r>
        <w:rPr>
          <w:i/>
        </w:rPr>
        <w:t>EU Human Rights Policies: A Study in Irony</w:t>
      </w:r>
      <w:r>
        <w:t xml:space="preserve">, (OUP, 2004) 159-160; E. Drywood, ‘Giving with One Hand, Taking with the Other: Fundamental Rights, Children and the Family Reunification Directive’, (2007) 32(3) ELRev 396, 397; Davies, n.3, 139. Others still have postulated that EU fundamental rights exist only as a useful means of avoiding the derailment of the principle of primacy or improving the legitimacy of Union activity – Coppel and O’Neill; S. Greer, A. Williams, ‘Human Rights in the Council of Europe and the EU: Towards ‘Individual’, ‘Constitutional’ or ‘Institutional’ Justice?, (2009) 15(4) ELJ 462. </w:t>
      </w:r>
      <w:r w:rsidR="006F6E2B">
        <w:t>Some of t</w:t>
      </w:r>
      <w:r>
        <w:t xml:space="preserve">hese claims are, themselves, hotly contested - See the response to Coppel and O’Neill of J. Weiler, N. Lockhart, ‘‘Taking Rights Seriously’ Seriously: The European Court and its Fundamental Rights Jurisprudence – Part I’, (1995) 32(1) CMLRev 51, and ‘Part II’ (1995) 32(2) CMLRev 579; G de Búrca, ‘Fundamental Rights and the Reach of EC Law’, (1993) 13(3) OJLS 283; </w:t>
      </w:r>
    </w:p>
  </w:footnote>
  <w:footnote w:id="43">
    <w:p w14:paraId="6569A961" w14:textId="77777777" w:rsidR="00BD216B" w:rsidRDefault="00BD216B">
      <w:pPr>
        <w:pStyle w:val="FootnoteText"/>
      </w:pPr>
      <w:r>
        <w:rPr>
          <w:rStyle w:val="FootnoteReference"/>
        </w:rPr>
        <w:footnoteRef/>
      </w:r>
      <w:r>
        <w:t xml:space="preserve"> Brown; Barnard; Sypris, Novitz, n.3</w:t>
      </w:r>
    </w:p>
  </w:footnote>
  <w:footnote w:id="44">
    <w:p w14:paraId="2193D617" w14:textId="77777777" w:rsidR="00BD216B" w:rsidRPr="008A46AA" w:rsidRDefault="00BD216B">
      <w:pPr>
        <w:pStyle w:val="FootnoteText"/>
      </w:pPr>
      <w:r>
        <w:rPr>
          <w:rStyle w:val="FootnoteReference"/>
        </w:rPr>
        <w:footnoteRef/>
      </w:r>
      <w:r>
        <w:t xml:space="preserve"> Case 152/78 </w:t>
      </w:r>
      <w:r>
        <w:rPr>
          <w:i/>
        </w:rPr>
        <w:t>Commission v France</w:t>
      </w:r>
      <w:r>
        <w:t xml:space="preserve"> [1980] EU:C:1980:187; Case 113/80 </w:t>
      </w:r>
      <w:r>
        <w:rPr>
          <w:i/>
        </w:rPr>
        <w:t>Commission v Ireland</w:t>
      </w:r>
      <w:r>
        <w:t xml:space="preserve"> [1981] EU:C:1981:139</w:t>
      </w:r>
    </w:p>
  </w:footnote>
  <w:footnote w:id="45">
    <w:p w14:paraId="3F8900C1" w14:textId="77777777" w:rsidR="00BD216B" w:rsidRPr="00D11993" w:rsidRDefault="00BD216B">
      <w:pPr>
        <w:pStyle w:val="FootnoteText"/>
      </w:pPr>
      <w:r>
        <w:rPr>
          <w:rStyle w:val="FootnoteReference"/>
        </w:rPr>
        <w:footnoteRef/>
      </w:r>
      <w:r>
        <w:t xml:space="preserve"> Case 152/78 </w:t>
      </w:r>
      <w:r>
        <w:rPr>
          <w:i/>
        </w:rPr>
        <w:t>Commission v France</w:t>
      </w:r>
      <w:r>
        <w:t>, ibid</w:t>
      </w:r>
    </w:p>
  </w:footnote>
  <w:footnote w:id="46">
    <w:p w14:paraId="05EEC223" w14:textId="77777777" w:rsidR="00BD216B" w:rsidRPr="00D11993" w:rsidRDefault="00BD216B">
      <w:pPr>
        <w:pStyle w:val="FootnoteText"/>
      </w:pPr>
      <w:r>
        <w:rPr>
          <w:rStyle w:val="FootnoteReference"/>
        </w:rPr>
        <w:footnoteRef/>
      </w:r>
      <w:r>
        <w:t xml:space="preserve"> Consider e.g. Case 2/74 </w:t>
      </w:r>
      <w:r>
        <w:rPr>
          <w:i/>
        </w:rPr>
        <w:t>Reyners</w:t>
      </w:r>
      <w:r>
        <w:t xml:space="preserve">, n.10 in which the Court found it was possible to separate aspects of the role of </w:t>
      </w:r>
      <w:r>
        <w:rPr>
          <w:i/>
        </w:rPr>
        <w:t>avocat</w:t>
      </w:r>
      <w:r>
        <w:t xml:space="preserve"> linked to the exercise of official authority, which might be limited to Belgian nationals, from the other general tasks arising in that post.</w:t>
      </w:r>
    </w:p>
  </w:footnote>
  <w:footnote w:id="47">
    <w:p w14:paraId="339A59E9" w14:textId="77777777" w:rsidR="00BD216B" w:rsidRPr="00A87F95" w:rsidRDefault="00BD216B">
      <w:pPr>
        <w:pStyle w:val="FootnoteText"/>
        <w:rPr>
          <w:i/>
        </w:rPr>
      </w:pPr>
      <w:r>
        <w:rPr>
          <w:rStyle w:val="FootnoteReference"/>
        </w:rPr>
        <w:footnoteRef/>
      </w:r>
      <w:r>
        <w:t xml:space="preserve"> Joined Cases 60 and 61/84 </w:t>
      </w:r>
      <w:r>
        <w:rPr>
          <w:i/>
        </w:rPr>
        <w:t>Cinéthèque v Fédération Nationale des Cinémas Français</w:t>
      </w:r>
      <w:r>
        <w:t xml:space="preserve"> [1985] EU:C:1985:329; Case C-368/95 </w:t>
      </w:r>
      <w:r>
        <w:rPr>
          <w:i/>
        </w:rPr>
        <w:t>Familiapress</w:t>
      </w:r>
      <w:r>
        <w:t xml:space="preserve">, n.3; Case C-112/00 </w:t>
      </w:r>
      <w:r>
        <w:rPr>
          <w:i/>
        </w:rPr>
        <w:t>Schmidberger</w:t>
      </w:r>
      <w:r>
        <w:t>, n.2</w:t>
      </w:r>
    </w:p>
  </w:footnote>
  <w:footnote w:id="48">
    <w:p w14:paraId="43780507" w14:textId="77777777" w:rsidR="00BD216B" w:rsidRPr="00511223" w:rsidRDefault="00BD216B">
      <w:pPr>
        <w:pStyle w:val="FootnoteText"/>
      </w:pPr>
      <w:r>
        <w:rPr>
          <w:rStyle w:val="FootnoteReference"/>
        </w:rPr>
        <w:footnoteRef/>
      </w:r>
      <w:r>
        <w:t xml:space="preserve"> Thus, for instance, the alleged undermining of fundamental rights in </w:t>
      </w:r>
      <w:r>
        <w:rPr>
          <w:i/>
        </w:rPr>
        <w:t>Viking</w:t>
      </w:r>
      <w:r>
        <w:t xml:space="preserve"> and </w:t>
      </w:r>
      <w:r>
        <w:rPr>
          <w:i/>
        </w:rPr>
        <w:t>Laval</w:t>
      </w:r>
      <w:r>
        <w:t xml:space="preserve"> would not have occurred. </w:t>
      </w:r>
    </w:p>
  </w:footnote>
  <w:footnote w:id="49">
    <w:p w14:paraId="6E65BF06" w14:textId="77777777" w:rsidR="00BD216B" w:rsidRDefault="00BD216B">
      <w:pPr>
        <w:pStyle w:val="FootnoteText"/>
      </w:pPr>
      <w:r>
        <w:rPr>
          <w:rStyle w:val="FootnoteReference"/>
        </w:rPr>
        <w:footnoteRef/>
      </w:r>
      <w:r>
        <w:t xml:space="preserve"> For instance, the civil and political rights in the ECHR have commonly enjoyed stronger legal force than the economic and social rights in the European Social Charter. However, provisions of the ECHR have been interpreted to incorporate rights of an economic and social nature, increasing their legal force. See e.g. the right to collective bargaining in </w:t>
      </w:r>
      <w:r>
        <w:rPr>
          <w:i/>
        </w:rPr>
        <w:t>Demir and Baykara v Turkey</w:t>
      </w:r>
      <w:r>
        <w:t xml:space="preserve"> App no.34503/97 and </w:t>
      </w:r>
      <w:r>
        <w:rPr>
          <w:i/>
        </w:rPr>
        <w:t xml:space="preserve">Enerji Yapi-Yol Sen v Turkey </w:t>
      </w:r>
      <w:r>
        <w:t xml:space="preserve">App no.68959/01. Consider also the wide range of fundamental rights contained in the EU’s Charter of Fundamental Rights, though this is arguably undermined by the distinction made between ‘rights’ and ‘principles’ in Art.52(5) CFR </w:t>
      </w:r>
    </w:p>
  </w:footnote>
  <w:footnote w:id="50">
    <w:p w14:paraId="505E2F15" w14:textId="77777777" w:rsidR="00BD216B" w:rsidRPr="009F5202" w:rsidRDefault="00BD216B">
      <w:pPr>
        <w:pStyle w:val="FootnoteText"/>
      </w:pPr>
      <w:r>
        <w:rPr>
          <w:rStyle w:val="FootnoteReference"/>
        </w:rPr>
        <w:footnoteRef/>
      </w:r>
      <w:r>
        <w:t xml:space="preserve"> Case C-2/90 </w:t>
      </w:r>
      <w:r>
        <w:rPr>
          <w:i/>
        </w:rPr>
        <w:t xml:space="preserve">Commission v Belgium </w:t>
      </w:r>
      <w:r>
        <w:t>[1992] EU:C:1992:310</w:t>
      </w:r>
    </w:p>
  </w:footnote>
  <w:footnote w:id="51">
    <w:p w14:paraId="484113AB" w14:textId="77777777" w:rsidR="00BD216B" w:rsidRDefault="00BD216B">
      <w:pPr>
        <w:pStyle w:val="FootnoteText"/>
      </w:pPr>
      <w:r>
        <w:rPr>
          <w:rStyle w:val="FootnoteReference"/>
        </w:rPr>
        <w:footnoteRef/>
      </w:r>
      <w:r>
        <w:t xml:space="preserve"> Art.37 CFR</w:t>
      </w:r>
    </w:p>
  </w:footnote>
  <w:footnote w:id="52">
    <w:p w14:paraId="039C5533" w14:textId="77777777" w:rsidR="00BD216B" w:rsidRDefault="00BD216B">
      <w:pPr>
        <w:pStyle w:val="FootnoteText"/>
      </w:pPr>
      <w:r>
        <w:rPr>
          <w:rStyle w:val="FootnoteReference"/>
        </w:rPr>
        <w:footnoteRef/>
      </w:r>
      <w:r>
        <w:t xml:space="preserve"> See e.g. N. Bernard, ‘Discrimination and Free Movement in EC Law’ (1996) 45(1) ICLQ 82</w:t>
      </w:r>
    </w:p>
  </w:footnote>
  <w:footnote w:id="53">
    <w:p w14:paraId="1F7D4358" w14:textId="77777777" w:rsidR="00BD216B" w:rsidRPr="00A5610B" w:rsidRDefault="00BD216B">
      <w:pPr>
        <w:pStyle w:val="FootnoteText"/>
      </w:pPr>
      <w:r>
        <w:rPr>
          <w:rStyle w:val="FootnoteReference"/>
        </w:rPr>
        <w:footnoteRef/>
      </w:r>
      <w:r w:rsidRPr="0020317A">
        <w:rPr>
          <w:lang w:val="pt-PT"/>
        </w:rPr>
        <w:t xml:space="preserve"> Case C-281/98 </w:t>
      </w:r>
      <w:r w:rsidRPr="0020317A">
        <w:rPr>
          <w:i/>
          <w:lang w:val="pt-PT"/>
        </w:rPr>
        <w:t>Angonese v Cassa di Riparmio di Bolzano SpA</w:t>
      </w:r>
      <w:r w:rsidRPr="0020317A">
        <w:rPr>
          <w:lang w:val="pt-PT"/>
        </w:rPr>
        <w:t xml:space="preserve"> [2000] EU:C:2000:296 (workers). </w:t>
      </w:r>
      <w:r>
        <w:t xml:space="preserve">See also Case C-19/92 </w:t>
      </w:r>
      <w:r>
        <w:rPr>
          <w:i/>
        </w:rPr>
        <w:t>Kraus</w:t>
      </w:r>
      <w:r>
        <w:t xml:space="preserve"> [1993] EU:C:1993:125 (workers and establishment).</w:t>
      </w:r>
    </w:p>
  </w:footnote>
  <w:footnote w:id="54">
    <w:p w14:paraId="238D5B31" w14:textId="77777777" w:rsidR="00BD216B" w:rsidRPr="00F52B9C" w:rsidRDefault="00BD216B">
      <w:pPr>
        <w:pStyle w:val="FootnoteText"/>
      </w:pPr>
      <w:r>
        <w:rPr>
          <w:rStyle w:val="FootnoteReference"/>
        </w:rPr>
        <w:footnoteRef/>
      </w:r>
      <w:r>
        <w:t xml:space="preserve"> Case 120/78 </w:t>
      </w:r>
      <w:r>
        <w:rPr>
          <w:i/>
        </w:rPr>
        <w:t>Rewe-Zentral AG v Bundesmonopolverwaltung für Branntwein</w:t>
      </w:r>
      <w:r>
        <w:t xml:space="preserve"> [1979] EU:C:1979:42</w:t>
      </w:r>
    </w:p>
  </w:footnote>
  <w:footnote w:id="55">
    <w:p w14:paraId="00F02093" w14:textId="77777777" w:rsidR="00BD216B" w:rsidRPr="00F85A3B" w:rsidRDefault="00BD216B">
      <w:pPr>
        <w:pStyle w:val="FootnoteText"/>
      </w:pPr>
      <w:r>
        <w:rPr>
          <w:rStyle w:val="FootnoteReference"/>
        </w:rPr>
        <w:footnoteRef/>
      </w:r>
      <w:r>
        <w:t xml:space="preserve"> Commonly in relation to services, see Joined Cases C-369/96 and C-376/96 </w:t>
      </w:r>
      <w:r>
        <w:rPr>
          <w:i/>
        </w:rPr>
        <w:t xml:space="preserve">Arblade </w:t>
      </w:r>
      <w:r>
        <w:t xml:space="preserve">[1999] EU:C:1999:575; Case C-36/02 </w:t>
      </w:r>
      <w:r>
        <w:rPr>
          <w:i/>
        </w:rPr>
        <w:t>Omega</w:t>
      </w:r>
      <w:r>
        <w:t>, n.3</w:t>
      </w:r>
    </w:p>
  </w:footnote>
  <w:footnote w:id="56">
    <w:p w14:paraId="171E5C9B" w14:textId="77777777" w:rsidR="00BD216B" w:rsidRPr="00B856BF" w:rsidRDefault="00BD216B" w:rsidP="00B856BF">
      <w:pPr>
        <w:pStyle w:val="FootnoteText"/>
        <w:rPr>
          <w:i/>
        </w:rPr>
      </w:pPr>
      <w:r>
        <w:rPr>
          <w:rStyle w:val="FootnoteReference"/>
        </w:rPr>
        <w:footnoteRef/>
      </w:r>
      <w:r>
        <w:t xml:space="preserve"> Case C-55/94 </w:t>
      </w:r>
      <w:r>
        <w:rPr>
          <w:i/>
        </w:rPr>
        <w:t>Gebhard</w:t>
      </w:r>
      <w:r>
        <w:t xml:space="preserve"> [1995] EU:C:1995:411</w:t>
      </w:r>
    </w:p>
  </w:footnote>
  <w:footnote w:id="57">
    <w:p w14:paraId="02D35871" w14:textId="77777777" w:rsidR="00BD216B" w:rsidRPr="00984BBC" w:rsidRDefault="00BD216B">
      <w:pPr>
        <w:pStyle w:val="FootnoteText"/>
      </w:pPr>
      <w:r>
        <w:rPr>
          <w:rStyle w:val="FootnoteReference"/>
        </w:rPr>
        <w:footnoteRef/>
      </w:r>
      <w:r>
        <w:t xml:space="preserve"> Case C-438/05 </w:t>
      </w:r>
      <w:r>
        <w:rPr>
          <w:i/>
        </w:rPr>
        <w:t>Viking</w:t>
      </w:r>
      <w:r>
        <w:t xml:space="preserve">, n.1 (establishment); Case C-384/93 </w:t>
      </w:r>
      <w:r>
        <w:rPr>
          <w:i/>
        </w:rPr>
        <w:t>Alpine Investments v Minister van Financiën</w:t>
      </w:r>
      <w:r>
        <w:t xml:space="preserve"> [1995] EU:C:1995:126, Case C-405/98 </w:t>
      </w:r>
      <w:r>
        <w:rPr>
          <w:i/>
        </w:rPr>
        <w:t>Gourmet</w:t>
      </w:r>
      <w:r>
        <w:t xml:space="preserve"> [2001] EU:C:2001:135 (services); Case C-415/93 </w:t>
      </w:r>
      <w:r>
        <w:rPr>
          <w:i/>
        </w:rPr>
        <w:t>Bosman</w:t>
      </w:r>
      <w:r>
        <w:t xml:space="preserve"> [1995] EU:C:1995:463 (workers); Case C-171/08 </w:t>
      </w:r>
      <w:r>
        <w:rPr>
          <w:i/>
        </w:rPr>
        <w:t>Commission v Portugal</w:t>
      </w:r>
      <w:r>
        <w:t xml:space="preserve"> (capital). Though Joined Cases C-267 and C-268/91 </w:t>
      </w:r>
      <w:r>
        <w:rPr>
          <w:i/>
        </w:rPr>
        <w:t>Keck and Mithouard</w:t>
      </w:r>
      <w:r>
        <w:t xml:space="preserve"> [1993] EU:C:1993:905 arguably re-emphasised the need for differential treatment in the context of goods, market access questions are visible in the context of domestic rules on product use. See Case C-110/05 </w:t>
      </w:r>
      <w:r>
        <w:rPr>
          <w:i/>
        </w:rPr>
        <w:t xml:space="preserve">Commission v Italy (mopeds) </w:t>
      </w:r>
      <w:r>
        <w:t xml:space="preserve">[2009] EU:C:2009:66; Case C-142/05 </w:t>
      </w:r>
      <w:r>
        <w:rPr>
          <w:i/>
        </w:rPr>
        <w:t>Åklagaren v Mickelsson and Roos</w:t>
      </w:r>
      <w:r>
        <w:t xml:space="preserve"> [2009] EU:C:2009:336   </w:t>
      </w:r>
    </w:p>
  </w:footnote>
  <w:footnote w:id="58">
    <w:p w14:paraId="00F49386" w14:textId="77777777" w:rsidR="00BD216B" w:rsidRPr="00996B91" w:rsidRDefault="00BD216B">
      <w:pPr>
        <w:pStyle w:val="FootnoteText"/>
      </w:pPr>
      <w:r>
        <w:rPr>
          <w:rStyle w:val="FootnoteReference"/>
        </w:rPr>
        <w:footnoteRef/>
      </w:r>
      <w:r>
        <w:t xml:space="preserve"> See Case C-159/90 </w:t>
      </w:r>
      <w:r>
        <w:rPr>
          <w:i/>
        </w:rPr>
        <w:t>Grogan</w:t>
      </w:r>
      <w:r>
        <w:t xml:space="preserve">, n.14, though the lack of remuneration for the provision of information in Ireland about abortion services in the UK meant the issue still felt outwith the scope of Article 56. </w:t>
      </w:r>
    </w:p>
  </w:footnote>
  <w:footnote w:id="59">
    <w:p w14:paraId="41CC3ACF" w14:textId="77777777" w:rsidR="00BD216B" w:rsidRPr="00156636" w:rsidRDefault="00BD216B">
      <w:pPr>
        <w:pStyle w:val="FootnoteText"/>
      </w:pPr>
      <w:r>
        <w:rPr>
          <w:rStyle w:val="FootnoteReference"/>
        </w:rPr>
        <w:footnoteRef/>
      </w:r>
      <w:r>
        <w:t xml:space="preserve"> Case C-157/99 </w:t>
      </w:r>
      <w:r>
        <w:rPr>
          <w:i/>
        </w:rPr>
        <w:t>Geraets-Smits and Peerbooms</w:t>
      </w:r>
      <w:r>
        <w:t xml:space="preserve"> [2001] EU:C:2001:404; Case C-372/04 </w:t>
      </w:r>
      <w:r>
        <w:rPr>
          <w:i/>
        </w:rPr>
        <w:t>Watts</w:t>
      </w:r>
      <w:r>
        <w:t xml:space="preserve"> [2006] EU:C:2006;325</w:t>
      </w:r>
    </w:p>
  </w:footnote>
  <w:footnote w:id="60">
    <w:p w14:paraId="52F8F617" w14:textId="77777777" w:rsidR="00BD216B" w:rsidRDefault="00BD216B">
      <w:pPr>
        <w:pStyle w:val="FootnoteText"/>
      </w:pPr>
      <w:r>
        <w:rPr>
          <w:rStyle w:val="FootnoteReference"/>
        </w:rPr>
        <w:footnoteRef/>
      </w:r>
      <w:r>
        <w:t xml:space="preserve"> Ibid</w:t>
      </w:r>
    </w:p>
  </w:footnote>
  <w:footnote w:id="61">
    <w:p w14:paraId="3405AC12" w14:textId="77777777" w:rsidR="00BD216B" w:rsidRDefault="00BD216B">
      <w:pPr>
        <w:pStyle w:val="FootnoteText"/>
      </w:pPr>
      <w:r>
        <w:rPr>
          <w:rStyle w:val="FootnoteReference"/>
        </w:rPr>
        <w:footnoteRef/>
      </w:r>
      <w:r>
        <w:t xml:space="preserve"> Case 186/87 </w:t>
      </w:r>
      <w:r>
        <w:rPr>
          <w:i/>
        </w:rPr>
        <w:t xml:space="preserve">Cowan </w:t>
      </w:r>
      <w:r>
        <w:t>[1989] EU:C:1989:47</w:t>
      </w:r>
    </w:p>
  </w:footnote>
  <w:footnote w:id="62">
    <w:p w14:paraId="58A6EE9A" w14:textId="77777777" w:rsidR="00BD216B" w:rsidRDefault="00BD216B">
      <w:pPr>
        <w:pStyle w:val="FootnoteText"/>
      </w:pPr>
      <w:r>
        <w:rPr>
          <w:rStyle w:val="FootnoteReference"/>
        </w:rPr>
        <w:footnoteRef/>
      </w:r>
      <w:r>
        <w:t xml:space="preserve"> Case C-274/96 </w:t>
      </w:r>
      <w:r>
        <w:rPr>
          <w:i/>
        </w:rPr>
        <w:t>Bickel and Franz</w:t>
      </w:r>
      <w:r>
        <w:t xml:space="preserve"> [1998] EU:C:1998:563</w:t>
      </w:r>
    </w:p>
  </w:footnote>
  <w:footnote w:id="63">
    <w:p w14:paraId="171C6F67" w14:textId="5F06C67D" w:rsidR="00BD216B" w:rsidRPr="00A80237" w:rsidRDefault="00BD216B">
      <w:pPr>
        <w:pStyle w:val="FootnoteText"/>
      </w:pPr>
      <w:r>
        <w:rPr>
          <w:rStyle w:val="FootnoteReference"/>
        </w:rPr>
        <w:footnoteRef/>
      </w:r>
      <w:r>
        <w:t xml:space="preserve"> Case C-405/98 </w:t>
      </w:r>
      <w:r>
        <w:rPr>
          <w:i/>
        </w:rPr>
        <w:t>Gourmet</w:t>
      </w:r>
      <w:r w:rsidR="006F6E2B">
        <w:t xml:space="preserve"> n.57</w:t>
      </w:r>
    </w:p>
  </w:footnote>
  <w:footnote w:id="64">
    <w:p w14:paraId="38EA73A6" w14:textId="77777777" w:rsidR="00BD216B" w:rsidRDefault="00BD216B">
      <w:pPr>
        <w:pStyle w:val="FootnoteText"/>
      </w:pPr>
      <w:r>
        <w:rPr>
          <w:rStyle w:val="FootnoteReference"/>
        </w:rPr>
        <w:footnoteRef/>
      </w:r>
      <w:r>
        <w:t xml:space="preserve"> Case C-138/02 </w:t>
      </w:r>
      <w:r>
        <w:rPr>
          <w:i/>
        </w:rPr>
        <w:t>Collins</w:t>
      </w:r>
      <w:r>
        <w:t xml:space="preserve"> [2004] EU:C:2004:172</w:t>
      </w:r>
    </w:p>
  </w:footnote>
  <w:footnote w:id="65">
    <w:p w14:paraId="156367BF" w14:textId="77777777" w:rsidR="00BD216B" w:rsidRPr="007A3D9A" w:rsidRDefault="00BD216B">
      <w:pPr>
        <w:pStyle w:val="FootnoteText"/>
      </w:pPr>
      <w:r>
        <w:rPr>
          <w:rStyle w:val="FootnoteReference"/>
        </w:rPr>
        <w:footnoteRef/>
      </w:r>
      <w:r>
        <w:t xml:space="preserve"> Case C-85/96 </w:t>
      </w:r>
      <w:r>
        <w:rPr>
          <w:i/>
        </w:rPr>
        <w:t>Martinez Sala v Freistaat Bayern</w:t>
      </w:r>
      <w:r>
        <w:t xml:space="preserve"> [1998] EU:C:1998:217; Case C-184/99 </w:t>
      </w:r>
      <w:r>
        <w:rPr>
          <w:i/>
        </w:rPr>
        <w:t>Grzelczyk v CPAS</w:t>
      </w:r>
      <w:r>
        <w:t xml:space="preserve"> [2001] EU:C:2001:458; Case C-203/09 </w:t>
      </w:r>
      <w:r>
        <w:rPr>
          <w:i/>
        </w:rPr>
        <w:t>Bidar v London Borough of Ealing and Secretary of State for Education</w:t>
      </w:r>
      <w:r>
        <w:t xml:space="preserve"> [2005] EU:C:2005:715. The boundaries of the personal scope of Article 21 TFEU remain the subject of debate, particularly after the Court’s recent judgment in Case C-333/13 </w:t>
      </w:r>
      <w:r>
        <w:rPr>
          <w:i/>
        </w:rPr>
        <w:t>Dano v Jobcentre Leipzig</w:t>
      </w:r>
      <w:r>
        <w:t xml:space="preserve"> [2014] EU:C:2014:2358. See D. Thym, ‘The elusive limits of solidarity: Residence rights of and social benefits for economically inactive Union citizens’, (2015) 52(1) CMLRev 17 </w:t>
      </w:r>
    </w:p>
  </w:footnote>
  <w:footnote w:id="66">
    <w:p w14:paraId="2EF698F4" w14:textId="263CFFA5" w:rsidR="00BD216B" w:rsidRPr="00632D76" w:rsidRDefault="00BD216B">
      <w:pPr>
        <w:pStyle w:val="FootnoteText"/>
      </w:pPr>
      <w:r>
        <w:rPr>
          <w:rStyle w:val="FootnoteReference"/>
        </w:rPr>
        <w:footnoteRef/>
      </w:r>
      <w:r>
        <w:t xml:space="preserve"> Case C-200/02 </w:t>
      </w:r>
      <w:r>
        <w:rPr>
          <w:i/>
        </w:rPr>
        <w:t>Chen v Secretary of State for the Home Department</w:t>
      </w:r>
      <w:r>
        <w:t xml:space="preserve"> [2004] EU:C:2004:639, para.33</w:t>
      </w:r>
    </w:p>
  </w:footnote>
  <w:footnote w:id="67">
    <w:p w14:paraId="218FC5F5" w14:textId="77777777" w:rsidR="00BD216B" w:rsidRPr="0020317A" w:rsidRDefault="00BD216B">
      <w:pPr>
        <w:pStyle w:val="FootnoteText"/>
        <w:rPr>
          <w:lang w:val="pt-PT"/>
        </w:rPr>
      </w:pPr>
      <w:r>
        <w:rPr>
          <w:rStyle w:val="FootnoteReference"/>
        </w:rPr>
        <w:footnoteRef/>
      </w:r>
      <w:r w:rsidRPr="0020317A">
        <w:rPr>
          <w:lang w:val="pt-PT"/>
        </w:rPr>
        <w:t xml:space="preserve"> Case C-33/97 </w:t>
      </w:r>
      <w:r w:rsidRPr="0020317A">
        <w:rPr>
          <w:i/>
          <w:lang w:val="pt-PT"/>
        </w:rPr>
        <w:t>Colim NV v Bigg’s Continent</w:t>
      </w:r>
      <w:r w:rsidRPr="0020317A">
        <w:rPr>
          <w:lang w:val="pt-PT"/>
        </w:rPr>
        <w:t xml:space="preserve"> [1999] EU:C:1999:274; Case 74/76 </w:t>
      </w:r>
      <w:r w:rsidRPr="0020317A">
        <w:rPr>
          <w:i/>
          <w:lang w:val="pt-PT"/>
        </w:rPr>
        <w:t>Iannelli v Meroni</w:t>
      </w:r>
      <w:r w:rsidRPr="0020317A">
        <w:rPr>
          <w:lang w:val="pt-PT"/>
        </w:rPr>
        <w:t xml:space="preserve"> [1977] EU:C:1977:51; Case C-159/00 </w:t>
      </w:r>
      <w:r w:rsidRPr="0020317A">
        <w:rPr>
          <w:i/>
          <w:lang w:val="pt-PT"/>
        </w:rPr>
        <w:t xml:space="preserve">Sapod Audic v Eco Emballages </w:t>
      </w:r>
      <w:r w:rsidRPr="0020317A">
        <w:rPr>
          <w:lang w:val="pt-PT"/>
        </w:rPr>
        <w:t>[2002] EU:C:2002:343</w:t>
      </w:r>
    </w:p>
  </w:footnote>
  <w:footnote w:id="68">
    <w:p w14:paraId="23AA0AFE" w14:textId="7DDF0C64" w:rsidR="00BD216B" w:rsidRPr="00875321" w:rsidRDefault="00BD216B">
      <w:pPr>
        <w:pStyle w:val="FootnoteText"/>
      </w:pPr>
      <w:r>
        <w:rPr>
          <w:rStyle w:val="FootnoteReference"/>
        </w:rPr>
        <w:footnoteRef/>
      </w:r>
      <w:r>
        <w:t xml:space="preserve"> Case 36/74 </w:t>
      </w:r>
      <w:r>
        <w:rPr>
          <w:i/>
        </w:rPr>
        <w:t>Walrave</w:t>
      </w:r>
      <w:r>
        <w:t xml:space="preserve">, n.10 (services/workers) Case C-415/93 </w:t>
      </w:r>
      <w:r>
        <w:rPr>
          <w:i/>
        </w:rPr>
        <w:t>Bosman</w:t>
      </w:r>
      <w:r w:rsidR="006F6E2B">
        <w:t xml:space="preserve"> n.57</w:t>
      </w:r>
      <w:r>
        <w:t xml:space="preserve">, Case C-176/96 </w:t>
      </w:r>
      <w:r>
        <w:rPr>
          <w:i/>
        </w:rPr>
        <w:t xml:space="preserve">Lehtonen and Castors Braines </w:t>
      </w:r>
      <w:r>
        <w:t xml:space="preserve">[2000] EU:C:2000:201 (workers); Joined Cases 266 and 267/87 </w:t>
      </w:r>
      <w:r>
        <w:rPr>
          <w:i/>
        </w:rPr>
        <w:t xml:space="preserve">Royal Pharmaceutical Society of Great Britain </w:t>
      </w:r>
      <w:r>
        <w:t xml:space="preserve">[1989] EU:C:1989:205, Case C-171/11 </w:t>
      </w:r>
      <w:r>
        <w:rPr>
          <w:i/>
        </w:rPr>
        <w:t xml:space="preserve">Fra.Bo v DVGW </w:t>
      </w:r>
      <w:r>
        <w:t>[2012] EU:C:2012:453 (goods)</w:t>
      </w:r>
    </w:p>
  </w:footnote>
  <w:footnote w:id="69">
    <w:p w14:paraId="4D747496" w14:textId="0E5A1A79" w:rsidR="00BD216B" w:rsidRPr="0089668C" w:rsidRDefault="00BD216B">
      <w:pPr>
        <w:pStyle w:val="FootnoteText"/>
      </w:pPr>
      <w:r>
        <w:rPr>
          <w:rStyle w:val="FootnoteReference"/>
        </w:rPr>
        <w:footnoteRef/>
      </w:r>
      <w:r>
        <w:t xml:space="preserve"> Case C-281/98 </w:t>
      </w:r>
      <w:r>
        <w:rPr>
          <w:i/>
        </w:rPr>
        <w:t>Angonese</w:t>
      </w:r>
      <w:r w:rsidR="006F6E2B">
        <w:t>, n.53</w:t>
      </w:r>
      <w:r>
        <w:t xml:space="preserve"> (workers); Case C-438/05 </w:t>
      </w:r>
      <w:r>
        <w:rPr>
          <w:i/>
        </w:rPr>
        <w:t>Viking</w:t>
      </w:r>
      <w:r>
        <w:t xml:space="preserve">, n.1 (establishment) Case C-341/05 </w:t>
      </w:r>
      <w:r>
        <w:rPr>
          <w:i/>
        </w:rPr>
        <w:t>Laval</w:t>
      </w:r>
      <w:r>
        <w:t xml:space="preserve">, n.1 (services). The extent to which </w:t>
      </w:r>
      <w:r>
        <w:rPr>
          <w:i/>
        </w:rPr>
        <w:t xml:space="preserve">Viking </w:t>
      </w:r>
      <w:r>
        <w:t xml:space="preserve">and </w:t>
      </w:r>
      <w:r>
        <w:rPr>
          <w:i/>
        </w:rPr>
        <w:t>Laval</w:t>
      </w:r>
      <w:r>
        <w:t xml:space="preserve"> can be interpreted as the purely horizontal application of Articles 49 and 56 TFEU is subject to debate since the Court relied heavily on its collective-regulator authority in those cases. However, in </w:t>
      </w:r>
      <w:r>
        <w:rPr>
          <w:i/>
        </w:rPr>
        <w:t>Viking</w:t>
      </w:r>
      <w:r>
        <w:t xml:space="preserve">, at para.62, the Court cited Case C-112/00 </w:t>
      </w:r>
      <w:r>
        <w:rPr>
          <w:i/>
        </w:rPr>
        <w:t>Schmidberger</w:t>
      </w:r>
      <w:r>
        <w:t xml:space="preserve">, n.2 and Case C-265/95 </w:t>
      </w:r>
      <w:r>
        <w:rPr>
          <w:i/>
        </w:rPr>
        <w:t>Commission v France (Spanish Strawberries)</w:t>
      </w:r>
      <w:r>
        <w:t xml:space="preserve">, n.11 to state that the free movement provisions should be extended to private parties simply because they are capable of restricting free movement, rejecting the notion that the application of Article 49 TFEU is restricted to bodies exercising a quasi-public function. </w:t>
      </w:r>
    </w:p>
  </w:footnote>
  <w:footnote w:id="70">
    <w:p w14:paraId="07A96ED2" w14:textId="77777777" w:rsidR="00BD216B" w:rsidRPr="0020317A" w:rsidRDefault="00BD216B">
      <w:pPr>
        <w:pStyle w:val="FootnoteText"/>
        <w:rPr>
          <w:lang w:val="pt-PT"/>
        </w:rPr>
      </w:pPr>
      <w:r>
        <w:rPr>
          <w:rStyle w:val="FootnoteReference"/>
        </w:rPr>
        <w:footnoteRef/>
      </w:r>
      <w:r w:rsidRPr="0020317A">
        <w:rPr>
          <w:lang w:val="pt-PT"/>
        </w:rPr>
        <w:t xml:space="preserve"> Case 6/64 </w:t>
      </w:r>
      <w:r w:rsidRPr="0020317A">
        <w:rPr>
          <w:i/>
          <w:lang w:val="pt-PT"/>
        </w:rPr>
        <w:t>Costa v ENEL</w:t>
      </w:r>
      <w:r w:rsidRPr="0020317A">
        <w:rPr>
          <w:lang w:val="pt-PT"/>
        </w:rPr>
        <w:t xml:space="preserve"> [1964] EU:C:1964:66, p.594</w:t>
      </w:r>
    </w:p>
  </w:footnote>
  <w:footnote w:id="71">
    <w:p w14:paraId="0A0D16FB" w14:textId="77777777" w:rsidR="00BD216B" w:rsidRPr="0020317A" w:rsidRDefault="00BD216B">
      <w:pPr>
        <w:pStyle w:val="FootnoteText"/>
        <w:rPr>
          <w:lang w:val="pt-PT"/>
        </w:rPr>
      </w:pPr>
      <w:r>
        <w:rPr>
          <w:rStyle w:val="FootnoteReference"/>
        </w:rPr>
        <w:footnoteRef/>
      </w:r>
      <w:r w:rsidRPr="0020317A">
        <w:rPr>
          <w:lang w:val="pt-PT"/>
        </w:rPr>
        <w:t xml:space="preserve"> Case 106/77 </w:t>
      </w:r>
      <w:r w:rsidRPr="0020317A">
        <w:rPr>
          <w:i/>
          <w:lang w:val="pt-PT"/>
        </w:rPr>
        <w:t>Simmenthal</w:t>
      </w:r>
      <w:r w:rsidRPr="0020317A">
        <w:rPr>
          <w:lang w:val="pt-PT"/>
        </w:rPr>
        <w:t xml:space="preserve"> [1978] EU:C:1978:49, paras.14-17</w:t>
      </w:r>
    </w:p>
  </w:footnote>
  <w:footnote w:id="72">
    <w:p w14:paraId="33374080" w14:textId="77777777" w:rsidR="00BD216B" w:rsidRDefault="00BD216B">
      <w:pPr>
        <w:pStyle w:val="FootnoteText"/>
      </w:pPr>
      <w:r>
        <w:rPr>
          <w:rStyle w:val="FootnoteReference"/>
        </w:rPr>
        <w:footnoteRef/>
      </w:r>
      <w:r>
        <w:t xml:space="preserve"> Case C-409/06 </w:t>
      </w:r>
      <w:r>
        <w:rPr>
          <w:i/>
        </w:rPr>
        <w:t xml:space="preserve">Winner Wetten v Bürgermeisterin der Stadt Bergheim </w:t>
      </w:r>
      <w:r>
        <w:t>[2010] EU:C:2010:503</w:t>
      </w:r>
    </w:p>
  </w:footnote>
  <w:footnote w:id="73">
    <w:p w14:paraId="69B23382" w14:textId="77777777" w:rsidR="00BD216B" w:rsidRPr="00733B9D" w:rsidRDefault="00BD216B">
      <w:pPr>
        <w:pStyle w:val="FootnoteText"/>
        <w:rPr>
          <w:lang w:val="pt-PT"/>
        </w:rPr>
      </w:pPr>
      <w:r>
        <w:rPr>
          <w:rStyle w:val="FootnoteReference"/>
        </w:rPr>
        <w:footnoteRef/>
      </w:r>
      <w:r w:rsidRPr="00733B9D">
        <w:rPr>
          <w:lang w:val="pt-PT"/>
        </w:rPr>
        <w:t xml:space="preserve"> Ibid; </w:t>
      </w:r>
      <w:r w:rsidRPr="0020317A">
        <w:rPr>
          <w:lang w:val="pt-PT"/>
        </w:rPr>
        <w:t xml:space="preserve">Case C-606/10 </w:t>
      </w:r>
      <w:r w:rsidRPr="0020317A">
        <w:rPr>
          <w:i/>
          <w:lang w:val="pt-PT"/>
        </w:rPr>
        <w:t xml:space="preserve">ANAFE </w:t>
      </w:r>
      <w:r w:rsidRPr="0020317A">
        <w:rPr>
          <w:lang w:val="pt-PT"/>
        </w:rPr>
        <w:t xml:space="preserve">[2012] EU:C:2012:348, para.73; Case C-416/10 </w:t>
      </w:r>
      <w:r w:rsidRPr="0020317A">
        <w:rPr>
          <w:i/>
          <w:lang w:val="pt-PT"/>
        </w:rPr>
        <w:t>Križan a.o.</w:t>
      </w:r>
      <w:r>
        <w:rPr>
          <w:i/>
          <w:lang w:val="pt-PT"/>
        </w:rPr>
        <w:t xml:space="preserve"> </w:t>
      </w:r>
      <w:r w:rsidRPr="0020317A">
        <w:rPr>
          <w:lang w:val="pt-PT"/>
        </w:rPr>
        <w:t>[2013] EU:C:2013:8, para.70</w:t>
      </w:r>
    </w:p>
  </w:footnote>
  <w:footnote w:id="74">
    <w:p w14:paraId="746EE73A" w14:textId="77777777" w:rsidR="00BD216B" w:rsidRPr="000C0385" w:rsidRDefault="00BD216B">
      <w:pPr>
        <w:pStyle w:val="FootnoteText"/>
      </w:pPr>
      <w:r>
        <w:rPr>
          <w:rStyle w:val="FootnoteReference"/>
        </w:rPr>
        <w:footnoteRef/>
      </w:r>
      <w:r>
        <w:t xml:space="preserve"> Case C-6/90 </w:t>
      </w:r>
      <w:r>
        <w:rPr>
          <w:i/>
        </w:rPr>
        <w:t>Francovich and Bonifaci v Italy</w:t>
      </w:r>
      <w:r>
        <w:t xml:space="preserve"> [1991] EU:C:1991:428</w:t>
      </w:r>
    </w:p>
  </w:footnote>
  <w:footnote w:id="75">
    <w:p w14:paraId="5DA99694" w14:textId="77777777" w:rsidR="00BD216B" w:rsidRPr="003671C9" w:rsidRDefault="00BD216B">
      <w:pPr>
        <w:pStyle w:val="FootnoteText"/>
      </w:pPr>
      <w:r>
        <w:rPr>
          <w:rStyle w:val="FootnoteReference"/>
        </w:rPr>
        <w:footnoteRef/>
      </w:r>
      <w:r>
        <w:t xml:space="preserve"> Case C-453/99 </w:t>
      </w:r>
      <w:r>
        <w:rPr>
          <w:i/>
        </w:rPr>
        <w:t>Courage v Crehan</w:t>
      </w:r>
      <w:r>
        <w:t xml:space="preserve"> [2001] EU:C:2001:465 (in relation to competition law)</w:t>
      </w:r>
    </w:p>
  </w:footnote>
  <w:footnote w:id="76">
    <w:p w14:paraId="4E028501" w14:textId="77777777" w:rsidR="00BD216B" w:rsidRDefault="00BD216B">
      <w:pPr>
        <w:pStyle w:val="FootnoteText"/>
      </w:pPr>
      <w:r>
        <w:rPr>
          <w:rStyle w:val="FootnoteReference"/>
        </w:rPr>
        <w:footnoteRef/>
      </w:r>
      <w:r>
        <w:t xml:space="preserve"> Joint Declaration by the European Parliament, Council and the Commission concerning the protection of fundamental rights and the ECHR, 05/04/77 OJ C103</w:t>
      </w:r>
    </w:p>
  </w:footnote>
  <w:footnote w:id="77">
    <w:p w14:paraId="51B55E04" w14:textId="77777777" w:rsidR="00BD216B" w:rsidRDefault="00BD216B">
      <w:pPr>
        <w:pStyle w:val="FootnoteText"/>
      </w:pPr>
      <w:r>
        <w:rPr>
          <w:rStyle w:val="FootnoteReference"/>
        </w:rPr>
        <w:footnoteRef/>
      </w:r>
      <w:r>
        <w:t xml:space="preserve"> Art.7 TEU</w:t>
      </w:r>
    </w:p>
  </w:footnote>
  <w:footnote w:id="78">
    <w:p w14:paraId="35E49373" w14:textId="77777777" w:rsidR="00BD216B" w:rsidRDefault="00BD216B">
      <w:pPr>
        <w:pStyle w:val="FootnoteText"/>
      </w:pPr>
      <w:r>
        <w:rPr>
          <w:rStyle w:val="FootnoteReference"/>
        </w:rPr>
        <w:footnoteRef/>
      </w:r>
      <w:r>
        <w:t xml:space="preserve"> Art.6(1) TEU</w:t>
      </w:r>
    </w:p>
  </w:footnote>
  <w:footnote w:id="79">
    <w:p w14:paraId="1CF96E02" w14:textId="77777777" w:rsidR="00BD216B" w:rsidRPr="00BA6CB4" w:rsidRDefault="00BD216B">
      <w:pPr>
        <w:pStyle w:val="FootnoteText"/>
      </w:pPr>
      <w:r>
        <w:rPr>
          <w:rStyle w:val="FootnoteReference"/>
        </w:rPr>
        <w:footnoteRef/>
      </w:r>
      <w:r>
        <w:t xml:space="preserve"> Art.6(2) TEU, though the apparent consequence of the Court’s </w:t>
      </w:r>
      <w:r>
        <w:rPr>
          <w:i/>
        </w:rPr>
        <w:t xml:space="preserve">Opinion 2/13 </w:t>
      </w:r>
      <w:r>
        <w:t>(n.5) is that formal accession will not occur for some time.</w:t>
      </w:r>
      <w:r>
        <w:rPr>
          <w:i/>
        </w:rPr>
        <w:t xml:space="preserve"> </w:t>
      </w:r>
    </w:p>
  </w:footnote>
  <w:footnote w:id="80">
    <w:p w14:paraId="27FE044A" w14:textId="77777777" w:rsidR="00BD216B" w:rsidRDefault="00BD216B" w:rsidP="00273C4A">
      <w:pPr>
        <w:pStyle w:val="FootnoteText"/>
      </w:pPr>
      <w:r>
        <w:rPr>
          <w:rStyle w:val="FootnoteReference"/>
        </w:rPr>
        <w:footnoteRef/>
      </w:r>
      <w:r>
        <w:t xml:space="preserve"> Art.52(5) CFR</w:t>
      </w:r>
    </w:p>
  </w:footnote>
  <w:footnote w:id="81">
    <w:p w14:paraId="56F76240" w14:textId="77777777" w:rsidR="00BD216B" w:rsidRPr="00C5603B" w:rsidRDefault="00BD216B">
      <w:pPr>
        <w:pStyle w:val="FootnoteText"/>
      </w:pPr>
      <w:r>
        <w:rPr>
          <w:rStyle w:val="FootnoteReference"/>
        </w:rPr>
        <w:footnoteRef/>
      </w:r>
      <w:r>
        <w:t xml:space="preserve"> Joined Cases C-293/12 and C-594/12 </w:t>
      </w:r>
      <w:r>
        <w:rPr>
          <w:i/>
        </w:rPr>
        <w:t>Digital Rights Ireland</w:t>
      </w:r>
      <w:r>
        <w:t xml:space="preserve"> [2014] EU:C:2014:238; Case C-131/12 </w:t>
      </w:r>
      <w:r>
        <w:rPr>
          <w:i/>
        </w:rPr>
        <w:t>Google Spain</w:t>
      </w:r>
      <w:r>
        <w:t xml:space="preserve"> [2014] EU:C:2014:317</w:t>
      </w:r>
    </w:p>
  </w:footnote>
  <w:footnote w:id="82">
    <w:p w14:paraId="6B810325" w14:textId="77777777" w:rsidR="00BD216B" w:rsidRDefault="00BD216B">
      <w:pPr>
        <w:pStyle w:val="FootnoteText"/>
      </w:pPr>
      <w:r>
        <w:rPr>
          <w:rStyle w:val="FootnoteReference"/>
        </w:rPr>
        <w:footnoteRef/>
      </w:r>
      <w:r>
        <w:t xml:space="preserve"> Art.15 CFR</w:t>
      </w:r>
    </w:p>
  </w:footnote>
  <w:footnote w:id="83">
    <w:p w14:paraId="4F6290BC" w14:textId="77777777" w:rsidR="00BD216B" w:rsidRDefault="00BD216B">
      <w:pPr>
        <w:pStyle w:val="FootnoteText"/>
      </w:pPr>
      <w:r>
        <w:rPr>
          <w:rStyle w:val="FootnoteReference"/>
        </w:rPr>
        <w:footnoteRef/>
      </w:r>
      <w:r>
        <w:t xml:space="preserve"> Art.45 CFR</w:t>
      </w:r>
    </w:p>
  </w:footnote>
  <w:footnote w:id="84">
    <w:p w14:paraId="13576486" w14:textId="77777777" w:rsidR="00BD216B" w:rsidRPr="005E4D96" w:rsidRDefault="00BD216B">
      <w:pPr>
        <w:pStyle w:val="FootnoteText"/>
      </w:pPr>
      <w:r>
        <w:rPr>
          <w:rStyle w:val="FootnoteReference"/>
        </w:rPr>
        <w:footnoteRef/>
      </w:r>
      <w:r>
        <w:t xml:space="preserve"> Case C-368/95 </w:t>
      </w:r>
      <w:r>
        <w:rPr>
          <w:i/>
        </w:rPr>
        <w:t>Familiapress</w:t>
      </w:r>
      <w:r>
        <w:t xml:space="preserve">, n.3; see also Case C-244/06 </w:t>
      </w:r>
      <w:r>
        <w:rPr>
          <w:i/>
        </w:rPr>
        <w:t>Dynamic Medien</w:t>
      </w:r>
      <w:r>
        <w:t>, n.3</w:t>
      </w:r>
    </w:p>
  </w:footnote>
  <w:footnote w:id="85">
    <w:p w14:paraId="1AB8358F" w14:textId="77777777" w:rsidR="00BD216B" w:rsidRPr="005E4D96" w:rsidRDefault="00BD216B">
      <w:pPr>
        <w:pStyle w:val="FootnoteText"/>
      </w:pPr>
      <w:r>
        <w:rPr>
          <w:rStyle w:val="FootnoteReference"/>
        </w:rPr>
        <w:footnoteRef/>
      </w:r>
      <w:r>
        <w:t xml:space="preserve"> Case C-36/02 </w:t>
      </w:r>
      <w:r>
        <w:rPr>
          <w:i/>
        </w:rPr>
        <w:t>Omega</w:t>
      </w:r>
      <w:r>
        <w:t>, n.3</w:t>
      </w:r>
    </w:p>
  </w:footnote>
  <w:footnote w:id="86">
    <w:p w14:paraId="27EB705D" w14:textId="77777777" w:rsidR="00BD216B" w:rsidRPr="005E4D96" w:rsidRDefault="00BD216B">
      <w:pPr>
        <w:pStyle w:val="FootnoteText"/>
      </w:pPr>
      <w:r>
        <w:rPr>
          <w:rStyle w:val="FootnoteReference"/>
        </w:rPr>
        <w:footnoteRef/>
      </w:r>
      <w:r>
        <w:t xml:space="preserve"> Case 438/05 </w:t>
      </w:r>
      <w:r>
        <w:rPr>
          <w:i/>
        </w:rPr>
        <w:t>Viking</w:t>
      </w:r>
      <w:r>
        <w:t xml:space="preserve">, n.1; Case C-341/05 </w:t>
      </w:r>
      <w:r>
        <w:rPr>
          <w:i/>
        </w:rPr>
        <w:t>Laval</w:t>
      </w:r>
      <w:r>
        <w:t>, n.1</w:t>
      </w:r>
    </w:p>
  </w:footnote>
  <w:footnote w:id="87">
    <w:p w14:paraId="0E426938" w14:textId="77777777" w:rsidR="00BD216B" w:rsidRPr="007342C2" w:rsidRDefault="00BD216B">
      <w:pPr>
        <w:pStyle w:val="FootnoteText"/>
      </w:pPr>
      <w:r>
        <w:rPr>
          <w:rStyle w:val="FootnoteReference"/>
        </w:rPr>
        <w:footnoteRef/>
      </w:r>
      <w:r>
        <w:t xml:space="preserve"> Though </w:t>
      </w:r>
      <w:r>
        <w:rPr>
          <w:i/>
        </w:rPr>
        <w:t>Laval</w:t>
      </w:r>
      <w:r>
        <w:t xml:space="preserve"> case also concerned directly discriminatory law as a separate issue, paras.112-120 </w:t>
      </w:r>
    </w:p>
  </w:footnote>
  <w:footnote w:id="88">
    <w:p w14:paraId="24CB3D1F" w14:textId="77777777" w:rsidR="00BD216B" w:rsidRPr="005E4D96" w:rsidRDefault="00BD216B">
      <w:pPr>
        <w:pStyle w:val="FootnoteText"/>
      </w:pPr>
      <w:r>
        <w:rPr>
          <w:rStyle w:val="FootnoteReference"/>
        </w:rPr>
        <w:footnoteRef/>
      </w:r>
      <w:r>
        <w:t xml:space="preserve"> Case C-112/00 </w:t>
      </w:r>
      <w:r>
        <w:rPr>
          <w:i/>
        </w:rPr>
        <w:t>Schmidberger</w:t>
      </w:r>
      <w:r>
        <w:t>, n.2</w:t>
      </w:r>
    </w:p>
  </w:footnote>
  <w:footnote w:id="89">
    <w:p w14:paraId="23F49572" w14:textId="77777777" w:rsidR="00BD216B" w:rsidRPr="005E4D96" w:rsidRDefault="00BD216B">
      <w:pPr>
        <w:pStyle w:val="FootnoteText"/>
      </w:pPr>
      <w:r>
        <w:rPr>
          <w:rStyle w:val="FootnoteReference"/>
        </w:rPr>
        <w:footnoteRef/>
      </w:r>
      <w:r>
        <w:t xml:space="preserve"> Case C-244/06 </w:t>
      </w:r>
      <w:r>
        <w:rPr>
          <w:i/>
        </w:rPr>
        <w:t>Dynamic Medien</w:t>
      </w:r>
      <w:r>
        <w:t>, n.3</w:t>
      </w:r>
    </w:p>
  </w:footnote>
  <w:footnote w:id="90">
    <w:p w14:paraId="7915FF51" w14:textId="4C74013F" w:rsidR="00BD216B" w:rsidRPr="00E85135" w:rsidRDefault="00BD216B">
      <w:pPr>
        <w:pStyle w:val="FootnoteText"/>
      </w:pPr>
      <w:r>
        <w:rPr>
          <w:rStyle w:val="FootnoteReference"/>
        </w:rPr>
        <w:footnoteRef/>
      </w:r>
      <w:r>
        <w:t xml:space="preserve"> Case 152/78 </w:t>
      </w:r>
      <w:r>
        <w:rPr>
          <w:i/>
        </w:rPr>
        <w:t>Commission v France</w:t>
      </w:r>
      <w:r w:rsidR="006F6E2B">
        <w:t>, n.44</w:t>
      </w:r>
      <w:r>
        <w:t xml:space="preserve">; Case 113/80 </w:t>
      </w:r>
      <w:r>
        <w:rPr>
          <w:i/>
        </w:rPr>
        <w:t>Commission v Ireland</w:t>
      </w:r>
      <w:r w:rsidR="006F6E2B">
        <w:t>, n.44</w:t>
      </w:r>
    </w:p>
  </w:footnote>
  <w:footnote w:id="91">
    <w:p w14:paraId="5BF0BC83" w14:textId="77777777" w:rsidR="00BD216B" w:rsidRPr="00375F85" w:rsidRDefault="00BD216B">
      <w:pPr>
        <w:pStyle w:val="FootnoteText"/>
      </w:pPr>
      <w:r>
        <w:rPr>
          <w:rStyle w:val="FootnoteReference"/>
        </w:rPr>
        <w:footnoteRef/>
      </w:r>
      <w:r>
        <w:t xml:space="preserve"> Case 2/74 </w:t>
      </w:r>
      <w:r>
        <w:rPr>
          <w:i/>
        </w:rPr>
        <w:t>Reyners</w:t>
      </w:r>
      <w:r>
        <w:t xml:space="preserve">, n.10; Case 261/85 </w:t>
      </w:r>
      <w:r>
        <w:rPr>
          <w:i/>
        </w:rPr>
        <w:t>Commission v UK (pasteurised milk)</w:t>
      </w:r>
      <w:r>
        <w:t xml:space="preserve"> [1988] EU:C:1988:57; Case 35/76 </w:t>
      </w:r>
      <w:r>
        <w:rPr>
          <w:i/>
        </w:rPr>
        <w:t>Simmenthal (sanitary inspections)</w:t>
      </w:r>
      <w:r>
        <w:t xml:space="preserve"> [1976] EU:C:1976:180</w:t>
      </w:r>
    </w:p>
  </w:footnote>
  <w:footnote w:id="92">
    <w:p w14:paraId="3D7CD19F" w14:textId="6BEE202B" w:rsidR="00BD216B" w:rsidRDefault="00BD216B">
      <w:pPr>
        <w:pStyle w:val="FootnoteText"/>
      </w:pPr>
      <w:r>
        <w:rPr>
          <w:rStyle w:val="FootnoteReference"/>
        </w:rPr>
        <w:footnoteRef/>
      </w:r>
      <w:r>
        <w:t xml:space="preserve"> Though there remains some debate in the literature as to whether a final finding of a breach of free movement confirms the existence of protectionist intent or simply protection</w:t>
      </w:r>
      <w:r w:rsidR="006F6E2B">
        <w:t>ist effects. See Bernard, n.52</w:t>
      </w:r>
      <w:r>
        <w:t xml:space="preserve"> and C. Hilson, ‘Discrimination in Community Free Movement Law’, (1999) 24(5) ELRev 445 </w:t>
      </w:r>
    </w:p>
  </w:footnote>
  <w:footnote w:id="93">
    <w:p w14:paraId="7882870B" w14:textId="0491A783" w:rsidR="00BD216B" w:rsidRPr="00705A4A" w:rsidRDefault="00BD216B">
      <w:pPr>
        <w:pStyle w:val="FootnoteText"/>
      </w:pPr>
      <w:r>
        <w:rPr>
          <w:rStyle w:val="FootnoteReference"/>
        </w:rPr>
        <w:footnoteRef/>
      </w:r>
      <w:r>
        <w:t xml:space="preserve"> See e.g. Case 120/78  </w:t>
      </w:r>
      <w:r>
        <w:rPr>
          <w:i/>
        </w:rPr>
        <w:t xml:space="preserve">Cassis, </w:t>
      </w:r>
      <w:r w:rsidR="007D57E2">
        <w:t>n. 54</w:t>
      </w:r>
      <w:r>
        <w:t xml:space="preserve">; Case 261/81 </w:t>
      </w:r>
      <w:r>
        <w:rPr>
          <w:i/>
        </w:rPr>
        <w:t xml:space="preserve">Rau </w:t>
      </w:r>
      <w:r>
        <w:t xml:space="preserve">[1982] EU:C:1982:382; Case C-179/85 </w:t>
      </w:r>
      <w:r>
        <w:rPr>
          <w:i/>
        </w:rPr>
        <w:t>Commission v Germany</w:t>
      </w:r>
      <w:r>
        <w:t xml:space="preserve"> (</w:t>
      </w:r>
      <w:r>
        <w:rPr>
          <w:i/>
        </w:rPr>
        <w:t>Pétillant de Raisin)</w:t>
      </w:r>
      <w:r>
        <w:t xml:space="preserve"> [1986] EU:C:1986:466</w:t>
      </w:r>
    </w:p>
  </w:footnote>
  <w:footnote w:id="94">
    <w:p w14:paraId="4283995F" w14:textId="78D72C12" w:rsidR="00BD216B" w:rsidRPr="00652066" w:rsidRDefault="00BD216B">
      <w:pPr>
        <w:pStyle w:val="FootnoteText"/>
      </w:pPr>
      <w:r>
        <w:rPr>
          <w:rStyle w:val="FootnoteReference"/>
        </w:rPr>
        <w:footnoteRef/>
      </w:r>
      <w:r>
        <w:t xml:space="preserve"> Case C-405/98 </w:t>
      </w:r>
      <w:r>
        <w:rPr>
          <w:i/>
        </w:rPr>
        <w:t>Gourmet</w:t>
      </w:r>
      <w:r w:rsidR="007D57E2">
        <w:t xml:space="preserve"> n.57</w:t>
      </w:r>
    </w:p>
  </w:footnote>
  <w:footnote w:id="95">
    <w:p w14:paraId="4D9FAC66" w14:textId="77777777" w:rsidR="00BD216B" w:rsidRPr="003D3D78" w:rsidRDefault="00BD216B">
      <w:pPr>
        <w:pStyle w:val="FootnoteText"/>
      </w:pPr>
      <w:r>
        <w:rPr>
          <w:rStyle w:val="FootnoteReference"/>
        </w:rPr>
        <w:footnoteRef/>
      </w:r>
      <w:r>
        <w:t xml:space="preserve"> E. Spaventa, ‘Leaving </w:t>
      </w:r>
      <w:r>
        <w:rPr>
          <w:i/>
        </w:rPr>
        <w:t>Keck</w:t>
      </w:r>
      <w:r>
        <w:t xml:space="preserve"> Behind? The Free Movement of Goods After the Rulings in </w:t>
      </w:r>
      <w:r>
        <w:rPr>
          <w:i/>
        </w:rPr>
        <w:t>Commission v Italy</w:t>
      </w:r>
      <w:r>
        <w:t xml:space="preserve"> and </w:t>
      </w:r>
      <w:r>
        <w:rPr>
          <w:i/>
        </w:rPr>
        <w:t>Mickelsson and Roos</w:t>
      </w:r>
      <w:r>
        <w:t>’, (2009) 34(6) ELRev 914, 923</w:t>
      </w:r>
    </w:p>
  </w:footnote>
  <w:footnote w:id="96">
    <w:p w14:paraId="01A5AB90" w14:textId="77777777" w:rsidR="00BD216B" w:rsidRPr="003D3D78" w:rsidRDefault="00BD216B">
      <w:pPr>
        <w:pStyle w:val="FootnoteText"/>
      </w:pPr>
      <w:r>
        <w:rPr>
          <w:rStyle w:val="FootnoteReference"/>
        </w:rPr>
        <w:footnoteRef/>
      </w:r>
      <w:r>
        <w:t xml:space="preserve"> Opinion of AG Tizzano, Case C-442/02 </w:t>
      </w:r>
      <w:r>
        <w:rPr>
          <w:i/>
        </w:rPr>
        <w:t>CaixaBank France</w:t>
      </w:r>
      <w:r>
        <w:t xml:space="preserve"> [2004] EU:C:2004:586; para.63</w:t>
      </w:r>
    </w:p>
  </w:footnote>
  <w:footnote w:id="97">
    <w:p w14:paraId="4BB35302" w14:textId="77777777" w:rsidR="00BD216B" w:rsidRPr="00576658" w:rsidRDefault="00BD216B">
      <w:pPr>
        <w:pStyle w:val="FootnoteText"/>
      </w:pPr>
      <w:r>
        <w:rPr>
          <w:rStyle w:val="FootnoteReference"/>
        </w:rPr>
        <w:footnoteRef/>
      </w:r>
      <w:r>
        <w:t xml:space="preserve"> Case C-368/95 </w:t>
      </w:r>
      <w:r>
        <w:rPr>
          <w:i/>
        </w:rPr>
        <w:t>Familiapress</w:t>
      </w:r>
      <w:r>
        <w:t xml:space="preserve">, n.3 </w:t>
      </w:r>
    </w:p>
  </w:footnote>
  <w:footnote w:id="98">
    <w:p w14:paraId="39844733" w14:textId="77777777" w:rsidR="00BD216B" w:rsidRPr="00A963C9" w:rsidRDefault="00BD216B">
      <w:pPr>
        <w:pStyle w:val="FootnoteText"/>
      </w:pPr>
      <w:r>
        <w:rPr>
          <w:rStyle w:val="FootnoteReference"/>
        </w:rPr>
        <w:footnoteRef/>
      </w:r>
      <w:r>
        <w:t xml:space="preserve"> Case C-36/02 </w:t>
      </w:r>
      <w:r>
        <w:rPr>
          <w:i/>
        </w:rPr>
        <w:t>Omega</w:t>
      </w:r>
      <w:r>
        <w:t>, n.3</w:t>
      </w:r>
    </w:p>
  </w:footnote>
  <w:footnote w:id="99">
    <w:p w14:paraId="22AC3BCE" w14:textId="77777777" w:rsidR="00BD216B" w:rsidRPr="00576658" w:rsidRDefault="00BD216B">
      <w:pPr>
        <w:pStyle w:val="FootnoteText"/>
      </w:pPr>
      <w:r>
        <w:rPr>
          <w:rStyle w:val="FootnoteReference"/>
        </w:rPr>
        <w:footnoteRef/>
      </w:r>
      <w:r>
        <w:t xml:space="preserve"> Case C-244/06 </w:t>
      </w:r>
      <w:r>
        <w:rPr>
          <w:i/>
        </w:rPr>
        <w:t>Dynamic Medien</w:t>
      </w:r>
      <w:r>
        <w:t>, n.3</w:t>
      </w:r>
    </w:p>
  </w:footnote>
  <w:footnote w:id="100">
    <w:p w14:paraId="447F243A" w14:textId="77777777" w:rsidR="00BD216B" w:rsidRPr="00576658" w:rsidRDefault="00BD216B">
      <w:pPr>
        <w:pStyle w:val="FootnoteText"/>
      </w:pPr>
      <w:r>
        <w:rPr>
          <w:rStyle w:val="FootnoteReference"/>
        </w:rPr>
        <w:footnoteRef/>
      </w:r>
      <w:r>
        <w:t xml:space="preserve"> Case C-112/00 </w:t>
      </w:r>
      <w:r>
        <w:rPr>
          <w:i/>
        </w:rPr>
        <w:t>Schmidberger</w:t>
      </w:r>
      <w:r>
        <w:t>, n.2</w:t>
      </w:r>
    </w:p>
  </w:footnote>
  <w:footnote w:id="101">
    <w:p w14:paraId="5C9DAF78" w14:textId="77777777" w:rsidR="00BD216B" w:rsidRPr="00F3569C" w:rsidRDefault="00BD216B">
      <w:pPr>
        <w:pStyle w:val="FootnoteText"/>
      </w:pPr>
      <w:r>
        <w:rPr>
          <w:rStyle w:val="FootnoteReference"/>
        </w:rPr>
        <w:footnoteRef/>
      </w:r>
      <w:r>
        <w:t xml:space="preserve"> Joined Cases C-197/11 and C-203/11 </w:t>
      </w:r>
      <w:r>
        <w:rPr>
          <w:i/>
        </w:rPr>
        <w:t>Libert a.o. v Gouvernement flamand</w:t>
      </w:r>
      <w:r>
        <w:t xml:space="preserve"> [2013] EU:C:2013:288</w:t>
      </w:r>
    </w:p>
  </w:footnote>
  <w:footnote w:id="102">
    <w:p w14:paraId="286165BD" w14:textId="53970DB4" w:rsidR="00BD216B" w:rsidRPr="00F3569C" w:rsidRDefault="00BD216B">
      <w:pPr>
        <w:pStyle w:val="FootnoteText"/>
      </w:pPr>
      <w:r>
        <w:rPr>
          <w:rStyle w:val="FootnoteReference"/>
        </w:rPr>
        <w:footnoteRef/>
      </w:r>
      <w:r>
        <w:t xml:space="preserve"> Case C-372/04 </w:t>
      </w:r>
      <w:r>
        <w:rPr>
          <w:i/>
        </w:rPr>
        <w:t>Watts</w:t>
      </w:r>
      <w:r w:rsidR="007D57E2">
        <w:t xml:space="preserve"> n.59</w:t>
      </w:r>
    </w:p>
  </w:footnote>
  <w:footnote w:id="103">
    <w:p w14:paraId="3B88C0A7" w14:textId="77777777" w:rsidR="00BD216B" w:rsidRPr="00F3569C" w:rsidRDefault="00BD216B">
      <w:pPr>
        <w:pStyle w:val="FootnoteText"/>
      </w:pPr>
      <w:r>
        <w:rPr>
          <w:rStyle w:val="FootnoteReference"/>
        </w:rPr>
        <w:footnoteRef/>
      </w:r>
      <w:r>
        <w:t xml:space="preserve"> Case C-147/03 </w:t>
      </w:r>
      <w:r>
        <w:rPr>
          <w:i/>
        </w:rPr>
        <w:t>Commission v Austria</w:t>
      </w:r>
      <w:r>
        <w:t xml:space="preserve"> [2005] EU:C:2005:427, para.63</w:t>
      </w:r>
    </w:p>
  </w:footnote>
  <w:footnote w:id="104">
    <w:p w14:paraId="08539AF7" w14:textId="77777777" w:rsidR="00BD216B" w:rsidRPr="00F3569C" w:rsidRDefault="00BD216B">
      <w:pPr>
        <w:pStyle w:val="FootnoteText"/>
      </w:pPr>
      <w:r>
        <w:rPr>
          <w:rStyle w:val="FootnoteReference"/>
        </w:rPr>
        <w:footnoteRef/>
      </w:r>
      <w:r>
        <w:t xml:space="preserve"> Case C-319/06 </w:t>
      </w:r>
      <w:r>
        <w:rPr>
          <w:i/>
        </w:rPr>
        <w:t>Commission v Luxembourg</w:t>
      </w:r>
      <w:r>
        <w:t xml:space="preserve">, n.6; Case C-346/06 </w:t>
      </w:r>
      <w:r>
        <w:rPr>
          <w:i/>
        </w:rPr>
        <w:t>Rüffert</w:t>
      </w:r>
      <w:r>
        <w:t>, n.6</w:t>
      </w:r>
    </w:p>
  </w:footnote>
  <w:footnote w:id="105">
    <w:p w14:paraId="0A6CB679" w14:textId="77777777" w:rsidR="00BD216B" w:rsidRPr="008F63A3" w:rsidRDefault="00BD216B">
      <w:pPr>
        <w:pStyle w:val="FootnoteText"/>
      </w:pPr>
      <w:r>
        <w:rPr>
          <w:rStyle w:val="FootnoteReference"/>
        </w:rPr>
        <w:footnoteRef/>
      </w:r>
      <w:r>
        <w:t xml:space="preserve"> Case C-438/05 </w:t>
      </w:r>
      <w:r>
        <w:rPr>
          <w:i/>
        </w:rPr>
        <w:t>Viking</w:t>
      </w:r>
      <w:r>
        <w:t xml:space="preserve">, n.1; Case C-341/05 </w:t>
      </w:r>
      <w:r>
        <w:rPr>
          <w:i/>
        </w:rPr>
        <w:t>Laval</w:t>
      </w:r>
      <w:r>
        <w:t xml:space="preserve"> n.1</w:t>
      </w:r>
    </w:p>
  </w:footnote>
  <w:footnote w:id="106">
    <w:p w14:paraId="07A0F10A" w14:textId="77777777" w:rsidR="00BD216B" w:rsidRPr="00410170" w:rsidRDefault="00BD216B">
      <w:pPr>
        <w:pStyle w:val="FootnoteText"/>
      </w:pPr>
      <w:r>
        <w:rPr>
          <w:rStyle w:val="FootnoteReference"/>
        </w:rPr>
        <w:footnoteRef/>
      </w:r>
      <w:r>
        <w:t xml:space="preserve"> The Charter enjoys primary law status pursuant to Art. 6 TEU. See e.g. Art.11 CFR (freedom of expression); Art.1 CFR (right to human dignity); Art.24 CFR (rights of the child); Art.34(3) CFR (right to housing assistance); Art.35 CFR (right to access to healthcare; Art.14 CFR (right to education); Art.31 CFR (right to fair and just working conditions). Though some of these Charter provisions might relate to ‘principles’ as opposed to ‘rights’, by virtue of Art.52(5) CFR, they can be viewed as fundamental rights for the purpose of this analysis since, as an institution of the Union, pursuant to Art.13 TEU and Art.52(5) CFR, the Court must take these rights into account in its interpretation of EU law. Indeed, see the Court’s incorporation of the right to health in its interpretation of EU secondary law in Case C-544/10 </w:t>
      </w:r>
      <w:r>
        <w:rPr>
          <w:i/>
        </w:rPr>
        <w:t xml:space="preserve">Deutsches Weintor </w:t>
      </w:r>
      <w:r>
        <w:t>[2012] EU:C:2012:526</w:t>
      </w:r>
    </w:p>
  </w:footnote>
  <w:footnote w:id="107">
    <w:p w14:paraId="444BBF22" w14:textId="77777777" w:rsidR="00BD216B" w:rsidRPr="00D022B3" w:rsidRDefault="00BD216B">
      <w:pPr>
        <w:pStyle w:val="FootnoteText"/>
      </w:pPr>
      <w:r>
        <w:rPr>
          <w:rStyle w:val="FootnoteReference"/>
        </w:rPr>
        <w:footnoteRef/>
      </w:r>
      <w:r>
        <w:t xml:space="preserve"> For instance, Art.3(3) TEU states that the Union’s aims include, </w:t>
      </w:r>
      <w:r>
        <w:rPr>
          <w:i/>
        </w:rPr>
        <w:t>inter alia</w:t>
      </w:r>
      <w:r>
        <w:t>, the attainment of a highly competitive social market economy, social progress and a high level of environmental protection, the combatting of social exclusion and discrimination and the promotion of social justice, equality between men and women and protection of the rights of child. Art.12 TEU requires that consumer protection be taken into account in defining and implementing Union policies. Art.11 TEU makes similar provision in relation to environmental protection. Art.151 TEU makes the promotion of employment, improved working conditions, and the maintenance of dialogue between management and labour an objective of the Union and its Member States.</w:t>
      </w:r>
    </w:p>
  </w:footnote>
  <w:footnote w:id="108">
    <w:p w14:paraId="28F06587" w14:textId="77777777" w:rsidR="00BD216B" w:rsidRDefault="00BD216B">
      <w:pPr>
        <w:pStyle w:val="FootnoteText"/>
      </w:pPr>
      <w:r>
        <w:rPr>
          <w:rStyle w:val="FootnoteReference"/>
        </w:rPr>
        <w:footnoteRef/>
      </w:r>
      <w:r>
        <w:t xml:space="preserve"> Arts.3, 4, and 6 TEU</w:t>
      </w:r>
    </w:p>
  </w:footnote>
  <w:footnote w:id="109">
    <w:p w14:paraId="2973AE48" w14:textId="3A930ACC" w:rsidR="00BD216B" w:rsidRPr="00F75EA1" w:rsidRDefault="00BD216B">
      <w:pPr>
        <w:pStyle w:val="FootnoteText"/>
      </w:pPr>
      <w:r>
        <w:rPr>
          <w:rStyle w:val="FootnoteReference"/>
        </w:rPr>
        <w:footnoteRef/>
      </w:r>
      <w:r>
        <w:t xml:space="preserve"> Case 120/78 </w:t>
      </w:r>
      <w:r>
        <w:rPr>
          <w:i/>
        </w:rPr>
        <w:t>Cassis</w:t>
      </w:r>
      <w:r w:rsidR="007D57E2">
        <w:t>, n.54</w:t>
      </w:r>
    </w:p>
  </w:footnote>
  <w:footnote w:id="110">
    <w:p w14:paraId="55F1C983" w14:textId="6C0A47D4" w:rsidR="00BD216B" w:rsidRPr="006A3882" w:rsidRDefault="00BD216B">
      <w:pPr>
        <w:pStyle w:val="FootnoteText"/>
      </w:pPr>
      <w:r>
        <w:rPr>
          <w:rStyle w:val="FootnoteReference"/>
        </w:rPr>
        <w:footnoteRef/>
      </w:r>
      <w:r>
        <w:t xml:space="preserve"> See e.g. Case 112/00 </w:t>
      </w:r>
      <w:r>
        <w:rPr>
          <w:i/>
        </w:rPr>
        <w:t>Schmidberger</w:t>
      </w:r>
      <w:r>
        <w:t xml:space="preserve">, n.2; Case C-368/95 </w:t>
      </w:r>
      <w:r>
        <w:rPr>
          <w:i/>
        </w:rPr>
        <w:t>Familiapress</w:t>
      </w:r>
      <w:r>
        <w:t xml:space="preserve">, n.3; Case C-244/06 </w:t>
      </w:r>
      <w:r>
        <w:rPr>
          <w:i/>
        </w:rPr>
        <w:t>Dynamic Medien</w:t>
      </w:r>
      <w:r>
        <w:t xml:space="preserve">, n.3; Case C-438/05 </w:t>
      </w:r>
      <w:r>
        <w:rPr>
          <w:i/>
        </w:rPr>
        <w:t>Viking</w:t>
      </w:r>
      <w:r>
        <w:t xml:space="preserve">, n.1; Case C-341/05 </w:t>
      </w:r>
      <w:r>
        <w:rPr>
          <w:i/>
        </w:rPr>
        <w:t>Laval</w:t>
      </w:r>
      <w:r>
        <w:t xml:space="preserve"> n.1; Case C-319/06 </w:t>
      </w:r>
      <w:r>
        <w:rPr>
          <w:i/>
        </w:rPr>
        <w:t>Commission v Luxembourg</w:t>
      </w:r>
      <w:r>
        <w:t xml:space="preserve">, n.6; Case C-346/06 </w:t>
      </w:r>
      <w:r>
        <w:rPr>
          <w:i/>
        </w:rPr>
        <w:t>Rüffert</w:t>
      </w:r>
      <w:r>
        <w:t xml:space="preserve">, n.6; Joined Cases C-197/11 and C-203/11 </w:t>
      </w:r>
      <w:r>
        <w:rPr>
          <w:i/>
        </w:rPr>
        <w:t>Libert</w:t>
      </w:r>
      <w:r w:rsidR="007D57E2">
        <w:t>, n.101</w:t>
      </w:r>
    </w:p>
  </w:footnote>
  <w:footnote w:id="111">
    <w:p w14:paraId="37CC79C3" w14:textId="77777777" w:rsidR="00BD216B" w:rsidRDefault="00BD216B">
      <w:pPr>
        <w:pStyle w:val="FootnoteText"/>
      </w:pPr>
      <w:r>
        <w:rPr>
          <w:rStyle w:val="FootnoteReference"/>
        </w:rPr>
        <w:footnoteRef/>
      </w:r>
      <w:r>
        <w:t xml:space="preserve"> E.g. Art.28 CFR protects the right to strike in the EU but Art.153(5) TFEU excludes Union competence in relation to that right.</w:t>
      </w:r>
    </w:p>
  </w:footnote>
  <w:footnote w:id="112">
    <w:p w14:paraId="3A67F925" w14:textId="79A15425" w:rsidR="00BD216B" w:rsidRPr="001F2BC9" w:rsidRDefault="00BD216B" w:rsidP="00D64197">
      <w:pPr>
        <w:pStyle w:val="FootnoteText"/>
        <w:rPr>
          <w:i/>
        </w:rPr>
      </w:pPr>
      <w:r>
        <w:rPr>
          <w:rStyle w:val="FootnoteReference"/>
        </w:rPr>
        <w:footnoteRef/>
      </w:r>
      <w:r>
        <w:t xml:space="preserve"> Case 120/78 </w:t>
      </w:r>
      <w:r>
        <w:rPr>
          <w:i/>
        </w:rPr>
        <w:t>Cassis</w:t>
      </w:r>
      <w:r w:rsidR="007D57E2">
        <w:t>, n.54</w:t>
      </w:r>
      <w:r>
        <w:t>;</w:t>
      </w:r>
      <w:r>
        <w:rPr>
          <w:i/>
        </w:rPr>
        <w:t xml:space="preserve"> </w:t>
      </w:r>
      <w:r>
        <w:t xml:space="preserve">Case C-55/94 </w:t>
      </w:r>
      <w:r w:rsidRPr="00383392">
        <w:t>Gebhard</w:t>
      </w:r>
      <w:r w:rsidR="007D57E2">
        <w:t>, n.56</w:t>
      </w:r>
      <w:r>
        <w:t xml:space="preserve">; </w:t>
      </w:r>
      <w:r w:rsidRPr="00383392">
        <w:t>Case</w:t>
      </w:r>
      <w:r>
        <w:t xml:space="preserve"> C-438/05 </w:t>
      </w:r>
      <w:r>
        <w:rPr>
          <w:i/>
        </w:rPr>
        <w:t>Viking</w:t>
      </w:r>
      <w:r>
        <w:t>, n.1</w:t>
      </w:r>
    </w:p>
  </w:footnote>
  <w:footnote w:id="113">
    <w:p w14:paraId="41CDC8F9" w14:textId="79F64A4E" w:rsidR="00BD216B" w:rsidRPr="00CF318A" w:rsidRDefault="00BD216B" w:rsidP="00D64197">
      <w:pPr>
        <w:pStyle w:val="FootnoteText"/>
      </w:pPr>
      <w:r>
        <w:rPr>
          <w:rStyle w:val="FootnoteReference"/>
        </w:rPr>
        <w:footnoteRef/>
      </w:r>
      <w:r>
        <w:t xml:space="preserve"> Case C-55/94 </w:t>
      </w:r>
      <w:r>
        <w:rPr>
          <w:i/>
        </w:rPr>
        <w:t>Gebhard</w:t>
      </w:r>
      <w:r w:rsidR="007D57E2">
        <w:t>, n.56</w:t>
      </w:r>
      <w:r>
        <w:t xml:space="preserve">. Of course with the exception that they also be non-discriminatory. See also Case 120/78 </w:t>
      </w:r>
      <w:r>
        <w:rPr>
          <w:i/>
        </w:rPr>
        <w:t>Cassis</w:t>
      </w:r>
      <w:r w:rsidR="007D57E2">
        <w:t>, n.54</w:t>
      </w:r>
      <w:r>
        <w:t>, which also reiterated the necessity requirement in relation to DRBs.</w:t>
      </w:r>
    </w:p>
  </w:footnote>
  <w:footnote w:id="114">
    <w:p w14:paraId="0EA3CBB5" w14:textId="6AF0A1CE" w:rsidR="00BD216B" w:rsidRPr="00A80DDD" w:rsidRDefault="00BD216B" w:rsidP="00D64197">
      <w:pPr>
        <w:pStyle w:val="FootnoteText"/>
      </w:pPr>
      <w:r>
        <w:rPr>
          <w:rStyle w:val="FootnoteReference"/>
        </w:rPr>
        <w:footnoteRef/>
      </w:r>
      <w:r>
        <w:t xml:space="preserve"> See also Joined Cases C-197/11 and C-203/11 </w:t>
      </w:r>
      <w:r>
        <w:rPr>
          <w:i/>
        </w:rPr>
        <w:t>Libert</w:t>
      </w:r>
      <w:r w:rsidR="007D57E2">
        <w:t>, n.101</w:t>
      </w:r>
    </w:p>
  </w:footnote>
  <w:footnote w:id="115">
    <w:p w14:paraId="3CCA8AAA" w14:textId="77777777" w:rsidR="00BD216B" w:rsidRPr="00F50E91" w:rsidRDefault="00BD216B" w:rsidP="00D64197">
      <w:pPr>
        <w:pStyle w:val="FootnoteText"/>
      </w:pPr>
      <w:r>
        <w:rPr>
          <w:rStyle w:val="FootnoteReference"/>
        </w:rPr>
        <w:footnoteRef/>
      </w:r>
      <w:r>
        <w:t xml:space="preserve"> See famously, in relation to MEQRs, Case 8/74 </w:t>
      </w:r>
      <w:r>
        <w:rPr>
          <w:i/>
        </w:rPr>
        <w:t>Procureur du Roi v Dassonville</w:t>
      </w:r>
      <w:r>
        <w:t xml:space="preserve"> [1974] EU:C:1974:82</w:t>
      </w:r>
    </w:p>
  </w:footnote>
  <w:footnote w:id="116">
    <w:p w14:paraId="4136602B" w14:textId="63D4D6B3" w:rsidR="00BD216B" w:rsidRPr="008527F5" w:rsidRDefault="00BD216B" w:rsidP="00D64197">
      <w:pPr>
        <w:pStyle w:val="FootnoteText"/>
      </w:pPr>
      <w:r>
        <w:rPr>
          <w:rStyle w:val="FootnoteReference"/>
        </w:rPr>
        <w:footnoteRef/>
      </w:r>
      <w:r>
        <w:t xml:space="preserve"> Beyond the goods case-law, consider, for instance Case 186/87 </w:t>
      </w:r>
      <w:r>
        <w:rPr>
          <w:i/>
        </w:rPr>
        <w:t>Cowan</w:t>
      </w:r>
      <w:r w:rsidR="007D57E2">
        <w:t>, n.61</w:t>
      </w:r>
      <w:r>
        <w:t xml:space="preserve"> or Case C-274/96 </w:t>
      </w:r>
      <w:r>
        <w:rPr>
          <w:i/>
        </w:rPr>
        <w:t>Bickel and Franz</w:t>
      </w:r>
      <w:r w:rsidR="007D57E2">
        <w:t>, n.62</w:t>
      </w:r>
      <w:r>
        <w:t xml:space="preserve"> in which, incidentally, a tangential restriction on the free receipt of services triggered a conflict with the fundamental rights of minority groups and respect for their cultural and linguistic identity (Arts.21 and 22 CFR). More broadly, in the context of citizenship, see Case C-148/02 </w:t>
      </w:r>
      <w:r>
        <w:rPr>
          <w:i/>
        </w:rPr>
        <w:t>Garcia Avello</w:t>
      </w:r>
      <w:r>
        <w:t xml:space="preserve"> [2003] EU:C:2003:539</w:t>
      </w:r>
    </w:p>
  </w:footnote>
  <w:footnote w:id="117">
    <w:p w14:paraId="5E14253D" w14:textId="77777777" w:rsidR="00BD216B" w:rsidRDefault="00BD216B" w:rsidP="00EE0838">
      <w:pPr>
        <w:pStyle w:val="FootnoteText"/>
      </w:pPr>
      <w:r>
        <w:rPr>
          <w:rStyle w:val="FootnoteReference"/>
        </w:rPr>
        <w:footnoteRef/>
      </w:r>
      <w:r>
        <w:t xml:space="preserve"> See e.g. C. Barnard, ‘Fitting the Remaining Pieces into the Goods and Persons Jigsaw’ (2001) 26(1) ELRev 35, 45</w:t>
      </w:r>
    </w:p>
  </w:footnote>
  <w:footnote w:id="118">
    <w:p w14:paraId="45E58A46" w14:textId="0AD1F178" w:rsidR="00BD216B" w:rsidRPr="00DE6EE6" w:rsidRDefault="00BD216B" w:rsidP="00DE6EE6">
      <w:pPr>
        <w:pStyle w:val="FootnoteText"/>
      </w:pPr>
      <w:r>
        <w:rPr>
          <w:rStyle w:val="FootnoteReference"/>
        </w:rPr>
        <w:footnoteRef/>
      </w:r>
      <w:r>
        <w:t xml:space="preserve"> Case C-405/98 </w:t>
      </w:r>
      <w:r>
        <w:rPr>
          <w:i/>
        </w:rPr>
        <w:t>Gourmet</w:t>
      </w:r>
      <w:r>
        <w:t>, n.5</w:t>
      </w:r>
      <w:r w:rsidR="007D57E2">
        <w:t>7</w:t>
      </w:r>
      <w:r>
        <w:t xml:space="preserve">, para.21; see also Joined Cases C-34-36/95 </w:t>
      </w:r>
      <w:r w:rsidRPr="00381982">
        <w:rPr>
          <w:rStyle w:val="affairetitle"/>
          <w:i/>
        </w:rPr>
        <w:t>Konsumentombudsmannen v De Agostini and TV-Shop</w:t>
      </w:r>
      <w:r w:rsidRPr="00381982">
        <w:rPr>
          <w:i/>
        </w:rPr>
        <w:t xml:space="preserve"> De Agostini</w:t>
      </w:r>
      <w:r>
        <w:t xml:space="preserve"> [1997] EU:C:1997:344, though the CJEU left the final application of the facts to the national court</w:t>
      </w:r>
    </w:p>
  </w:footnote>
  <w:footnote w:id="119">
    <w:p w14:paraId="11F6759A" w14:textId="77777777" w:rsidR="00BD216B" w:rsidRDefault="00BD216B" w:rsidP="00D64197">
      <w:pPr>
        <w:pStyle w:val="FootnoteText"/>
      </w:pPr>
      <w:r>
        <w:rPr>
          <w:rStyle w:val="FootnoteReference"/>
        </w:rPr>
        <w:footnoteRef/>
      </w:r>
      <w:r>
        <w:t xml:space="preserve"> See also D. Wilsher, who argues that findings of discrimination based on ‘judicial hunches’ are inappropriate especially since non-product rules often ‘pursue broad policy goals that are largely non-justiciable’ - ‘Does </w:t>
      </w:r>
      <w:r>
        <w:rPr>
          <w:i/>
        </w:rPr>
        <w:t>Keck</w:t>
      </w:r>
      <w:r>
        <w:t xml:space="preserve"> Discrimination Make Any Sense? An Assessment of the Non-Discrimination Principle within the European Single Market’, (2008) 33(1) ELRev 3 </w:t>
      </w:r>
    </w:p>
  </w:footnote>
  <w:footnote w:id="120">
    <w:p w14:paraId="370A4413" w14:textId="77777777" w:rsidR="00BD216B" w:rsidRDefault="00BD216B" w:rsidP="00D64197">
      <w:pPr>
        <w:pStyle w:val="FootnoteText"/>
      </w:pPr>
      <w:r>
        <w:rPr>
          <w:rStyle w:val="FootnoteReference"/>
        </w:rPr>
        <w:footnoteRef/>
      </w:r>
      <w:r>
        <w:t xml:space="preserve"> Joined Cases 177-178/82 </w:t>
      </w:r>
      <w:r>
        <w:rPr>
          <w:i/>
        </w:rPr>
        <w:t>Van de Haar</w:t>
      </w:r>
      <w:r>
        <w:t xml:space="preserve"> [1984] EU:C:1984:144; Case 269/83 </w:t>
      </w:r>
      <w:r>
        <w:rPr>
          <w:i/>
        </w:rPr>
        <w:t>Commission v France</w:t>
      </w:r>
      <w:r>
        <w:t xml:space="preserve"> [1985] EU:C:1985:115; Case C-67/97 </w:t>
      </w:r>
      <w:r>
        <w:rPr>
          <w:i/>
        </w:rPr>
        <w:t>Bluhme</w:t>
      </w:r>
      <w:r>
        <w:t xml:space="preserve">, n.19  </w:t>
      </w:r>
    </w:p>
  </w:footnote>
  <w:footnote w:id="121">
    <w:p w14:paraId="1FE27069" w14:textId="77777777" w:rsidR="00BD216B" w:rsidRDefault="00BD216B" w:rsidP="00D64197">
      <w:pPr>
        <w:pStyle w:val="FootnoteText"/>
      </w:pPr>
      <w:r>
        <w:rPr>
          <w:rStyle w:val="FootnoteReference"/>
        </w:rPr>
        <w:footnoteRef/>
      </w:r>
      <w:r>
        <w:t xml:space="preserve"> G. Davies, ‘The Court’s jurisprudence on free movement of goods: pragmatic presumptions, not philosophical principles’ (2012) European Journal of Consumer Law’, 25, 31; P. Oliver, ‘Some further reflections on the scope of Articles 28-30 (ex 30-36) EC,’ (1999) 36(4) CMLRev 783, 799</w:t>
      </w:r>
    </w:p>
  </w:footnote>
  <w:footnote w:id="122">
    <w:p w14:paraId="0872FF86" w14:textId="51A73C8D" w:rsidR="00BD216B" w:rsidRDefault="00BD216B">
      <w:pPr>
        <w:pStyle w:val="FootnoteText"/>
      </w:pPr>
      <w:r>
        <w:rPr>
          <w:rStyle w:val="FootnoteReference"/>
        </w:rPr>
        <w:footnoteRef/>
      </w:r>
      <w:r>
        <w:t xml:space="preserve"> Case C-319/06 </w:t>
      </w:r>
      <w:r>
        <w:rPr>
          <w:i/>
        </w:rPr>
        <w:t>Commission v Luxembourg</w:t>
      </w:r>
      <w:r>
        <w:t xml:space="preserve">, n.6; see also Case C-543/08 </w:t>
      </w:r>
      <w:r>
        <w:rPr>
          <w:i/>
        </w:rPr>
        <w:t xml:space="preserve">Commission v Portugal </w:t>
      </w:r>
      <w:r>
        <w:t xml:space="preserve">[2010] EU:C:2010669, para.87; </w:t>
      </w:r>
      <w:r w:rsidRPr="007234D6">
        <w:t xml:space="preserve">Case C-147/03 </w:t>
      </w:r>
      <w:r w:rsidRPr="007234D6">
        <w:rPr>
          <w:i/>
        </w:rPr>
        <w:t>Commission v Austria</w:t>
      </w:r>
      <w:r w:rsidR="007D57E2">
        <w:t>, n.103</w:t>
      </w:r>
    </w:p>
  </w:footnote>
  <w:footnote w:id="123">
    <w:p w14:paraId="4CFF2803" w14:textId="77777777" w:rsidR="00BD216B" w:rsidRPr="0020317A" w:rsidRDefault="00BD216B" w:rsidP="00D64197">
      <w:pPr>
        <w:pStyle w:val="FootnoteText"/>
        <w:rPr>
          <w:lang w:val="pt-PT"/>
        </w:rPr>
      </w:pPr>
      <w:r>
        <w:rPr>
          <w:rStyle w:val="FootnoteReference"/>
        </w:rPr>
        <w:footnoteRef/>
      </w:r>
      <w:r>
        <w:rPr>
          <w:lang w:val="pt-PT"/>
        </w:rPr>
        <w:t xml:space="preserve"> N.20</w:t>
      </w:r>
    </w:p>
  </w:footnote>
  <w:footnote w:id="124">
    <w:p w14:paraId="73AED9F2" w14:textId="77777777" w:rsidR="00BD216B" w:rsidRPr="0020317A" w:rsidRDefault="00BD216B" w:rsidP="00D64197">
      <w:pPr>
        <w:pStyle w:val="FootnoteText"/>
        <w:rPr>
          <w:lang w:val="pt-PT"/>
        </w:rPr>
      </w:pPr>
      <w:r>
        <w:rPr>
          <w:rStyle w:val="FootnoteReference"/>
        </w:rPr>
        <w:footnoteRef/>
      </w:r>
      <w:r w:rsidRPr="0020317A">
        <w:rPr>
          <w:lang w:val="pt-PT"/>
        </w:rPr>
        <w:t xml:space="preserve"> Case C-36/02 </w:t>
      </w:r>
      <w:r w:rsidRPr="0020317A">
        <w:rPr>
          <w:i/>
          <w:lang w:val="pt-PT"/>
        </w:rPr>
        <w:t>Omega</w:t>
      </w:r>
      <w:r w:rsidRPr="0020317A">
        <w:rPr>
          <w:lang w:val="pt-PT"/>
        </w:rPr>
        <w:t xml:space="preserve">, n.3, para.30; Case C-319/06 </w:t>
      </w:r>
      <w:r w:rsidRPr="0020317A">
        <w:rPr>
          <w:i/>
          <w:lang w:val="pt-PT"/>
        </w:rPr>
        <w:t>Commission v Luxembourg</w:t>
      </w:r>
      <w:r w:rsidRPr="0020317A">
        <w:rPr>
          <w:lang w:val="pt-PT"/>
        </w:rPr>
        <w:t>, n.6, para.30</w:t>
      </w:r>
    </w:p>
  </w:footnote>
  <w:footnote w:id="125">
    <w:p w14:paraId="15EC1779" w14:textId="422A5532" w:rsidR="00BD216B" w:rsidRPr="00E0798E" w:rsidRDefault="00BD216B" w:rsidP="00D64197">
      <w:pPr>
        <w:pStyle w:val="FootnoteText"/>
      </w:pPr>
      <w:r>
        <w:rPr>
          <w:rStyle w:val="FootnoteReference"/>
        </w:rPr>
        <w:footnoteRef/>
      </w:r>
      <w:r>
        <w:t xml:space="preserve"> There is evidence of the infrequent application of obliquely operative, and inconsistently applied, qualitative thresholds at the restrictions stage. See, for instance, Case C-110/05 </w:t>
      </w:r>
      <w:r>
        <w:rPr>
          <w:i/>
        </w:rPr>
        <w:t>Commission v Italy,</w:t>
      </w:r>
      <w:r w:rsidR="007D57E2">
        <w:t xml:space="preserve"> n.57</w:t>
      </w:r>
      <w:r>
        <w:t xml:space="preserve">, para.56; Case C-142/05 </w:t>
      </w:r>
      <w:r>
        <w:rPr>
          <w:i/>
        </w:rPr>
        <w:t>Mickelsson and Roos</w:t>
      </w:r>
      <w:r w:rsidR="007D57E2">
        <w:t>, n.57</w:t>
      </w:r>
      <w:r>
        <w:t xml:space="preserve">, para.27; Case C-443/10 </w:t>
      </w:r>
      <w:r>
        <w:rPr>
          <w:i/>
        </w:rPr>
        <w:t xml:space="preserve">Bonnarde </w:t>
      </w:r>
      <w:r>
        <w:t xml:space="preserve">[2011] EU:C:2011:641; Case C-148/02 </w:t>
      </w:r>
      <w:r>
        <w:rPr>
          <w:i/>
        </w:rPr>
        <w:t>Garcia Avello</w:t>
      </w:r>
      <w:r w:rsidR="007D57E2">
        <w:t>, n.116</w:t>
      </w:r>
      <w:r>
        <w:t xml:space="preserve">, para.36. </w:t>
      </w:r>
    </w:p>
  </w:footnote>
  <w:footnote w:id="126">
    <w:p w14:paraId="1D4D287E" w14:textId="77777777" w:rsidR="00BD216B" w:rsidRPr="00381982" w:rsidRDefault="00BD216B" w:rsidP="00D64197">
      <w:pPr>
        <w:pStyle w:val="FootnoteText"/>
        <w:rPr>
          <w:lang w:val="pt-PT"/>
        </w:rPr>
      </w:pPr>
      <w:r>
        <w:rPr>
          <w:rStyle w:val="FootnoteReference"/>
        </w:rPr>
        <w:footnoteRef/>
      </w:r>
      <w:r w:rsidRPr="00381982">
        <w:rPr>
          <w:lang w:val="pt-PT"/>
        </w:rPr>
        <w:t xml:space="preserve"> Case C-36/02 </w:t>
      </w:r>
      <w:r w:rsidRPr="00381982">
        <w:rPr>
          <w:i/>
          <w:lang w:val="pt-PT"/>
        </w:rPr>
        <w:t>Omega</w:t>
      </w:r>
      <w:r w:rsidRPr="00381982">
        <w:rPr>
          <w:lang w:val="pt-PT"/>
        </w:rPr>
        <w:t>, n.3, Para.30</w:t>
      </w:r>
    </w:p>
  </w:footnote>
  <w:footnote w:id="127">
    <w:p w14:paraId="341731B5" w14:textId="77777777" w:rsidR="00BD216B" w:rsidRPr="00790F70" w:rsidRDefault="00BD216B" w:rsidP="00D64197">
      <w:pPr>
        <w:pStyle w:val="FootnoteText"/>
      </w:pPr>
      <w:r>
        <w:rPr>
          <w:rStyle w:val="FootnoteReference"/>
        </w:rPr>
        <w:footnoteRef/>
      </w:r>
      <w:r>
        <w:t xml:space="preserve"> Case C-319/06 </w:t>
      </w:r>
      <w:r>
        <w:rPr>
          <w:i/>
        </w:rPr>
        <w:t>Commission v Luxembourg</w:t>
      </w:r>
      <w:r>
        <w:t>, n.6, paras.50 and 29</w:t>
      </w:r>
    </w:p>
  </w:footnote>
  <w:footnote w:id="128">
    <w:p w14:paraId="78DAAE9D" w14:textId="77777777" w:rsidR="00BD216B" w:rsidRPr="00790F70" w:rsidRDefault="00BD216B" w:rsidP="00D64197">
      <w:pPr>
        <w:pStyle w:val="FootnoteText"/>
        <w:rPr>
          <w:i/>
        </w:rPr>
      </w:pPr>
      <w:r>
        <w:rPr>
          <w:rStyle w:val="FootnoteReference"/>
        </w:rPr>
        <w:footnoteRef/>
      </w:r>
      <w:r>
        <w:t xml:space="preserve"> Case C-438/05 </w:t>
      </w:r>
      <w:r>
        <w:rPr>
          <w:i/>
        </w:rPr>
        <w:t xml:space="preserve">Viking, </w:t>
      </w:r>
      <w:r w:rsidRPr="00790F70">
        <w:t>n.1, para.81</w:t>
      </w:r>
    </w:p>
  </w:footnote>
  <w:footnote w:id="129">
    <w:p w14:paraId="7869B046" w14:textId="77777777" w:rsidR="00BD216B" w:rsidRPr="00790F70" w:rsidRDefault="00BD216B" w:rsidP="00D64197">
      <w:pPr>
        <w:pStyle w:val="FootnoteText"/>
      </w:pPr>
      <w:r>
        <w:rPr>
          <w:rStyle w:val="FootnoteReference"/>
        </w:rPr>
        <w:footnoteRef/>
      </w:r>
      <w:r>
        <w:t xml:space="preserve"> Compare the CJEU’s application of the proportionality principle in Case C-36/02 </w:t>
      </w:r>
      <w:r>
        <w:rPr>
          <w:i/>
        </w:rPr>
        <w:t>Omega</w:t>
      </w:r>
      <w:r>
        <w:t xml:space="preserve"> with its proportionality assessment in Case C-341/05 </w:t>
      </w:r>
      <w:r>
        <w:rPr>
          <w:i/>
        </w:rPr>
        <w:t>Laval</w:t>
      </w:r>
      <w:r>
        <w:t>, n.1. For consideration (and criticism) of the reasons behind the Court’s light touch proportionality assessments in certain cases, see N. Nic Shuibhne and M. Maci, ‘Proving Public Interest: The Growing Impact of Evidence in Free Movement Case Law’, (2013) 50(4) CMLRev 965, 995</w:t>
      </w:r>
    </w:p>
  </w:footnote>
  <w:footnote w:id="130">
    <w:p w14:paraId="099C555C" w14:textId="77777777" w:rsidR="00BD216B" w:rsidRPr="00E21161" w:rsidRDefault="00BD216B" w:rsidP="00D64197">
      <w:pPr>
        <w:pStyle w:val="FootnoteText"/>
      </w:pPr>
      <w:r>
        <w:rPr>
          <w:rStyle w:val="FootnoteReference"/>
        </w:rPr>
        <w:footnoteRef/>
      </w:r>
      <w:r>
        <w:t xml:space="preserve"> Case C-319/06 </w:t>
      </w:r>
      <w:r>
        <w:rPr>
          <w:i/>
        </w:rPr>
        <w:t>Commission v Luxembourg</w:t>
      </w:r>
      <w:r>
        <w:t xml:space="preserve">, n.6; see also Case C-543/08 </w:t>
      </w:r>
      <w:r>
        <w:rPr>
          <w:i/>
        </w:rPr>
        <w:t xml:space="preserve">Commission v Portugal </w:t>
      </w:r>
      <w:r>
        <w:t xml:space="preserve">[2010] EU:C:2010669, para.87 </w:t>
      </w:r>
    </w:p>
  </w:footnote>
  <w:footnote w:id="131">
    <w:p w14:paraId="4D835B80" w14:textId="13B2C1BB" w:rsidR="00BD216B" w:rsidRPr="007234D6" w:rsidRDefault="00BD216B" w:rsidP="00D64197">
      <w:pPr>
        <w:pStyle w:val="FootnoteText"/>
      </w:pPr>
      <w:r>
        <w:rPr>
          <w:rStyle w:val="FootnoteReference"/>
        </w:rPr>
        <w:footnoteRef/>
      </w:r>
      <w:r w:rsidRPr="007234D6">
        <w:t xml:space="preserve"> Case C-147/03 </w:t>
      </w:r>
      <w:r w:rsidRPr="007234D6">
        <w:rPr>
          <w:i/>
        </w:rPr>
        <w:t>Commission v Austria</w:t>
      </w:r>
      <w:r w:rsidR="007D57E2">
        <w:t>, n.103</w:t>
      </w:r>
    </w:p>
  </w:footnote>
  <w:footnote w:id="132">
    <w:p w14:paraId="435A165D" w14:textId="77777777" w:rsidR="00BD216B" w:rsidRPr="0020317A" w:rsidRDefault="00BD216B" w:rsidP="00D64197">
      <w:pPr>
        <w:pStyle w:val="FootnoteText"/>
        <w:rPr>
          <w:lang w:val="pt-PT"/>
        </w:rPr>
      </w:pPr>
      <w:r>
        <w:rPr>
          <w:rStyle w:val="FootnoteReference"/>
        </w:rPr>
        <w:footnoteRef/>
      </w:r>
      <w:r w:rsidRPr="0020317A">
        <w:rPr>
          <w:lang w:val="pt-PT"/>
        </w:rPr>
        <w:t xml:space="preserve"> Para.63</w:t>
      </w:r>
    </w:p>
  </w:footnote>
  <w:footnote w:id="133">
    <w:p w14:paraId="7218D7F5" w14:textId="77777777" w:rsidR="00BD216B" w:rsidRPr="0020317A" w:rsidRDefault="00BD216B" w:rsidP="005A2974">
      <w:pPr>
        <w:pStyle w:val="FootnoteText"/>
        <w:rPr>
          <w:lang w:val="pt-PT"/>
        </w:rPr>
      </w:pPr>
      <w:r>
        <w:rPr>
          <w:rStyle w:val="FootnoteReference"/>
        </w:rPr>
        <w:footnoteRef/>
      </w:r>
      <w:r w:rsidRPr="0020317A">
        <w:rPr>
          <w:lang w:val="pt-PT"/>
        </w:rPr>
        <w:t xml:space="preserve"> Art.14 CFR</w:t>
      </w:r>
    </w:p>
  </w:footnote>
  <w:footnote w:id="134">
    <w:p w14:paraId="3E21BA9B" w14:textId="77777777" w:rsidR="00BD216B" w:rsidRPr="0020317A" w:rsidRDefault="00BD216B" w:rsidP="00D64197">
      <w:pPr>
        <w:pStyle w:val="FootnoteText"/>
        <w:rPr>
          <w:lang w:val="pt-PT"/>
        </w:rPr>
      </w:pPr>
      <w:r>
        <w:rPr>
          <w:rStyle w:val="FootnoteReference"/>
        </w:rPr>
        <w:footnoteRef/>
      </w:r>
      <w:r w:rsidRPr="0020317A">
        <w:rPr>
          <w:lang w:val="pt-PT"/>
        </w:rPr>
        <w:t xml:space="preserve"> Paras.64-65</w:t>
      </w:r>
    </w:p>
  </w:footnote>
  <w:footnote w:id="135">
    <w:p w14:paraId="2F0095AA" w14:textId="77777777" w:rsidR="00BD216B" w:rsidRPr="0020317A" w:rsidRDefault="00BD216B" w:rsidP="00D64197">
      <w:pPr>
        <w:pStyle w:val="FootnoteText"/>
        <w:rPr>
          <w:lang w:val="pt-PT"/>
        </w:rPr>
      </w:pPr>
      <w:r>
        <w:rPr>
          <w:rStyle w:val="FootnoteReference"/>
        </w:rPr>
        <w:footnoteRef/>
      </w:r>
      <w:r w:rsidRPr="0020317A">
        <w:rPr>
          <w:lang w:val="pt-PT"/>
        </w:rPr>
        <w:t xml:space="preserve"> Case C-398/95 </w:t>
      </w:r>
      <w:r w:rsidRPr="0020317A">
        <w:rPr>
          <w:i/>
          <w:lang w:val="pt-PT"/>
        </w:rPr>
        <w:t>SETTEG</w:t>
      </w:r>
      <w:r w:rsidRPr="0020317A">
        <w:rPr>
          <w:lang w:val="pt-PT"/>
        </w:rPr>
        <w:t xml:space="preserve"> [1997] EU:C:1997:282, para.23; Case 238/82 </w:t>
      </w:r>
      <w:r w:rsidRPr="0020317A">
        <w:rPr>
          <w:i/>
          <w:lang w:val="pt-PT"/>
        </w:rPr>
        <w:t>Duphar</w:t>
      </w:r>
      <w:r w:rsidRPr="0020317A">
        <w:rPr>
          <w:lang w:val="pt-PT"/>
        </w:rPr>
        <w:t xml:space="preserve"> [1984] EU:C:1984:45, para.23</w:t>
      </w:r>
    </w:p>
  </w:footnote>
  <w:footnote w:id="136">
    <w:p w14:paraId="447A6DEE" w14:textId="2D5F2889" w:rsidR="00BD216B" w:rsidRPr="00125F5A" w:rsidRDefault="00BD216B" w:rsidP="00D64197">
      <w:pPr>
        <w:pStyle w:val="FootnoteText"/>
      </w:pPr>
      <w:r>
        <w:rPr>
          <w:rStyle w:val="FootnoteReference"/>
        </w:rPr>
        <w:footnoteRef/>
      </w:r>
      <w:r>
        <w:t xml:space="preserve"> Case C-147/03 </w:t>
      </w:r>
      <w:r>
        <w:rPr>
          <w:i/>
        </w:rPr>
        <w:t>Commission v Austria</w:t>
      </w:r>
      <w:r w:rsidR="00B155D7">
        <w:t>, n.103</w:t>
      </w:r>
      <w:r>
        <w:t xml:space="preserve">; Case C-368/98 </w:t>
      </w:r>
      <w:r>
        <w:rPr>
          <w:i/>
        </w:rPr>
        <w:t>Vanbraekel</w:t>
      </w:r>
      <w:r>
        <w:t xml:space="preserve"> [2001] EU:C:2001:400</w:t>
      </w:r>
    </w:p>
  </w:footnote>
  <w:footnote w:id="137">
    <w:p w14:paraId="27D80EC4" w14:textId="20B290D3" w:rsidR="00BD216B" w:rsidRDefault="00BD216B">
      <w:pPr>
        <w:pStyle w:val="FootnoteText"/>
      </w:pPr>
      <w:r>
        <w:rPr>
          <w:rStyle w:val="FootnoteReference"/>
        </w:rPr>
        <w:footnoteRef/>
      </w:r>
      <w:r>
        <w:t xml:space="preserve"> N. Nic Shuibhne and M. Maci, </w:t>
      </w:r>
      <w:r w:rsidR="00B155D7">
        <w:t>n.129</w:t>
      </w:r>
      <w:r>
        <w:t>, citing C. Newdick, ‘Citizenship, free movement and health care: Cementing individual rights by corroding social solidarity’, (2006) 43 CMLRev 1645</w:t>
      </w:r>
    </w:p>
  </w:footnote>
  <w:footnote w:id="138">
    <w:p w14:paraId="6D8B7BF5" w14:textId="5E91547D" w:rsidR="00BD216B" w:rsidRPr="00964464" w:rsidRDefault="00BD216B">
      <w:pPr>
        <w:pStyle w:val="FootnoteText"/>
      </w:pPr>
      <w:r>
        <w:rPr>
          <w:rStyle w:val="FootnoteReference"/>
        </w:rPr>
        <w:footnoteRef/>
      </w:r>
      <w:r>
        <w:t xml:space="preserve"> Ibid. Though, in the context of Union citizenship, consider the Court’s more recent approach to the ‘cumulative impact’ of individual claims on a Member State’s social security system as a whole. See Case C-67/14 </w:t>
      </w:r>
      <w:r>
        <w:rPr>
          <w:i/>
        </w:rPr>
        <w:t xml:space="preserve">Alimanovic </w:t>
      </w:r>
      <w:r>
        <w:t>[2015] EU:C:2015:597.</w:t>
      </w:r>
    </w:p>
  </w:footnote>
  <w:footnote w:id="139">
    <w:p w14:paraId="783C288A" w14:textId="7FB7F3B3" w:rsidR="00BD216B" w:rsidRPr="00047790" w:rsidRDefault="00BD216B" w:rsidP="00D64197">
      <w:pPr>
        <w:pStyle w:val="FootnoteText"/>
      </w:pPr>
      <w:r>
        <w:rPr>
          <w:rStyle w:val="FootnoteReference"/>
        </w:rPr>
        <w:footnoteRef/>
      </w:r>
      <w:r>
        <w:t xml:space="preserve"> Case 179/85 </w:t>
      </w:r>
      <w:r>
        <w:rPr>
          <w:i/>
        </w:rPr>
        <w:t>Pétillant de raisin)</w:t>
      </w:r>
      <w:r w:rsidR="00B155D7">
        <w:t>, n.93</w:t>
      </w:r>
      <w:r>
        <w:t>. Germany’s survey detailed in H-C von Jeydebrand u.d. Lasa, ‘Free Movement of Foodstuffs, Consumer Protection, and Food Standards in the European Community: has the Court of Justice got it wrong?’ (1991) 16(5) CMLRev 391, 408</w:t>
      </w:r>
    </w:p>
  </w:footnote>
  <w:footnote w:id="140">
    <w:p w14:paraId="36EC2EC5" w14:textId="77777777" w:rsidR="00BD216B" w:rsidRPr="000706FB" w:rsidRDefault="00BD216B">
      <w:pPr>
        <w:pStyle w:val="FootnoteText"/>
      </w:pPr>
      <w:r>
        <w:rPr>
          <w:rStyle w:val="FootnoteReference"/>
        </w:rPr>
        <w:footnoteRef/>
      </w:r>
      <w:r>
        <w:t xml:space="preserve"> Of course there are instances in which citizens will be expected to keep the exercise of their own fundamental rights in check. For instance, journalists are required to ensure that their exercise of the freedom of expression does not unduly interfere with the right to privacy. However, since fundamental rights are not generally horizontally effective, this is achieved by reference to rules developed in the process of law-making or through the measures of collective-regulators. Thus in a situation factually similar to Case C-265/95 </w:t>
      </w:r>
      <w:r>
        <w:rPr>
          <w:i/>
        </w:rPr>
        <w:t>Spanish Strawberries</w:t>
      </w:r>
      <w:r>
        <w:t xml:space="preserve">, n.11, the demonstrators could have regulated their behaviour according to the criminal law.  </w:t>
      </w:r>
    </w:p>
  </w:footnote>
  <w:footnote w:id="141">
    <w:p w14:paraId="1DCB0021" w14:textId="77777777" w:rsidR="00BD216B" w:rsidRPr="0020317A" w:rsidRDefault="00BD216B" w:rsidP="000706FB">
      <w:pPr>
        <w:pStyle w:val="FootnoteText"/>
        <w:rPr>
          <w:lang w:val="pt-PT"/>
        </w:rPr>
      </w:pPr>
      <w:r>
        <w:rPr>
          <w:rStyle w:val="FootnoteReference"/>
        </w:rPr>
        <w:footnoteRef/>
      </w:r>
      <w:r w:rsidRPr="0020317A">
        <w:rPr>
          <w:lang w:val="pt-PT"/>
        </w:rPr>
        <w:t xml:space="preserve"> Case C-341/05 </w:t>
      </w:r>
      <w:r w:rsidRPr="0020317A">
        <w:rPr>
          <w:i/>
          <w:lang w:val="pt-PT"/>
        </w:rPr>
        <w:t>Laval</w:t>
      </w:r>
      <w:r w:rsidRPr="0020317A">
        <w:rPr>
          <w:lang w:val="pt-PT"/>
        </w:rPr>
        <w:t xml:space="preserve"> [2007] EU:C:2007:291, para.44</w:t>
      </w:r>
    </w:p>
  </w:footnote>
  <w:footnote w:id="142">
    <w:p w14:paraId="0FD0AD2F" w14:textId="77777777" w:rsidR="00BD216B" w:rsidRDefault="00BD216B" w:rsidP="000706FB">
      <w:pPr>
        <w:pStyle w:val="FootnoteText"/>
      </w:pPr>
      <w:r>
        <w:rPr>
          <w:rStyle w:val="FootnoteReference"/>
        </w:rPr>
        <w:footnoteRef/>
      </w:r>
      <w:r>
        <w:t xml:space="preserve"> Case C-438/05 </w:t>
      </w:r>
      <w:r w:rsidRPr="00D86DA0">
        <w:rPr>
          <w:i/>
        </w:rPr>
        <w:t>Viking</w:t>
      </w:r>
      <w:r>
        <w:t>, n.1, para.58</w:t>
      </w:r>
    </w:p>
  </w:footnote>
  <w:footnote w:id="143">
    <w:p w14:paraId="5390AA95" w14:textId="77777777" w:rsidR="00BD216B" w:rsidRPr="0010491B" w:rsidRDefault="00BD216B" w:rsidP="000706FB">
      <w:pPr>
        <w:pStyle w:val="FootnoteText"/>
      </w:pPr>
      <w:r>
        <w:rPr>
          <w:rStyle w:val="FootnoteReference"/>
        </w:rPr>
        <w:footnoteRef/>
      </w:r>
      <w:r>
        <w:t xml:space="preserve"> B. De Witte, ‘Direct Effect and the Nature of the Legal Order’, in G. de Búrca, P. Craig (eds), </w:t>
      </w:r>
      <w:r>
        <w:rPr>
          <w:i/>
        </w:rPr>
        <w:t>The Evolution of EU Law</w:t>
      </w:r>
      <w:r>
        <w:t>’ (OUP, 2011), 323, 329</w:t>
      </w:r>
    </w:p>
  </w:footnote>
  <w:footnote w:id="144">
    <w:p w14:paraId="6FECED0B" w14:textId="77777777" w:rsidR="00BD216B" w:rsidRDefault="00BD216B">
      <w:pPr>
        <w:pStyle w:val="FootnoteText"/>
      </w:pPr>
      <w:r>
        <w:rPr>
          <w:rStyle w:val="FootnoteReference"/>
        </w:rPr>
        <w:footnoteRef/>
      </w:r>
      <w:r>
        <w:t xml:space="preserve"> Directive 96/71/EC of the European Parliament and Council of 16 December 1996 concerning the posting of workers in the framework of the provision of services (OJ 1997 L18/1)</w:t>
      </w:r>
    </w:p>
  </w:footnote>
  <w:footnote w:id="145">
    <w:p w14:paraId="6F4EB3CF" w14:textId="77777777" w:rsidR="00BD216B" w:rsidRDefault="00BD216B">
      <w:pPr>
        <w:pStyle w:val="FootnoteText"/>
      </w:pPr>
      <w:r>
        <w:rPr>
          <w:rStyle w:val="FootnoteReference"/>
        </w:rPr>
        <w:footnoteRef/>
      </w:r>
      <w:r>
        <w:t xml:space="preserve"> Art.3(1)(a)-(g)</w:t>
      </w:r>
    </w:p>
  </w:footnote>
  <w:footnote w:id="146">
    <w:p w14:paraId="3954ECEF" w14:textId="77777777" w:rsidR="00BD216B" w:rsidRPr="00D86DA0" w:rsidRDefault="00BD216B" w:rsidP="000706FB">
      <w:pPr>
        <w:pStyle w:val="FootnoteText"/>
        <w:rPr>
          <w:lang w:val="pt-PT"/>
        </w:rPr>
      </w:pPr>
      <w:r>
        <w:rPr>
          <w:rStyle w:val="FootnoteReference"/>
        </w:rPr>
        <w:footnoteRef/>
      </w:r>
      <w:r w:rsidRPr="00D86DA0">
        <w:rPr>
          <w:lang w:val="pt-PT"/>
        </w:rPr>
        <w:t xml:space="preserve"> Case C-341/05 </w:t>
      </w:r>
      <w:r w:rsidRPr="00D86DA0">
        <w:rPr>
          <w:i/>
          <w:lang w:val="pt-PT"/>
        </w:rPr>
        <w:t>Laval,</w:t>
      </w:r>
      <w:r>
        <w:rPr>
          <w:i/>
          <w:lang w:val="pt-PT"/>
        </w:rPr>
        <w:t xml:space="preserve"> </w:t>
      </w:r>
      <w:r w:rsidRPr="00D86DA0">
        <w:rPr>
          <w:lang w:val="pt-PT"/>
        </w:rPr>
        <w:t>n.</w:t>
      </w:r>
      <w:r>
        <w:rPr>
          <w:lang w:val="pt-PT"/>
        </w:rPr>
        <w:t>1,</w:t>
      </w:r>
      <w:r w:rsidRPr="00D86DA0">
        <w:rPr>
          <w:i/>
          <w:lang w:val="pt-PT"/>
        </w:rPr>
        <w:t xml:space="preserve"> </w:t>
      </w:r>
      <w:r w:rsidRPr="00D86DA0">
        <w:rPr>
          <w:lang w:val="pt-PT"/>
        </w:rPr>
        <w:t>para.84</w:t>
      </w:r>
    </w:p>
  </w:footnote>
  <w:footnote w:id="147">
    <w:p w14:paraId="0A12537C" w14:textId="08358BB5" w:rsidR="00BD216B" w:rsidRDefault="00BD216B">
      <w:pPr>
        <w:pStyle w:val="FootnoteText"/>
      </w:pPr>
      <w:r>
        <w:rPr>
          <w:rStyle w:val="FootnoteReference"/>
        </w:rPr>
        <w:footnoteRef/>
      </w:r>
      <w:r>
        <w:t xml:space="preserve"> It is accepted that the requirement that the Union ensures a high level of consumer protection, contained in Art. 38 CFR, might only amount to a ‘principle’, rather than a ‘right’ under the Charter. However, this distinction does not alter the analysis here, since, as an institution of the Union under Art.13 TEU, the CJEU is obliged, pursuant to Art.52(2) CFR, to take consumer protection into account in its interpretation of free movement. </w:t>
      </w:r>
    </w:p>
  </w:footnote>
  <w:footnote w:id="148">
    <w:p w14:paraId="7C197A89" w14:textId="13E72373" w:rsidR="00BD216B" w:rsidRPr="00F12AED" w:rsidRDefault="00BD216B">
      <w:pPr>
        <w:pStyle w:val="FootnoteText"/>
      </w:pPr>
      <w:r>
        <w:rPr>
          <w:rStyle w:val="FootnoteReference"/>
        </w:rPr>
        <w:footnoteRef/>
      </w:r>
      <w:r>
        <w:t xml:space="preserve"> Case 261/81 </w:t>
      </w:r>
      <w:r>
        <w:rPr>
          <w:i/>
        </w:rPr>
        <w:t>Rau</w:t>
      </w:r>
      <w:r w:rsidR="00B155D7">
        <w:t>, n.93</w:t>
      </w:r>
      <w:r>
        <w:t xml:space="preserve">; Case 179/85 </w:t>
      </w:r>
      <w:r>
        <w:rPr>
          <w:i/>
        </w:rPr>
        <w:t>Pétillant de Raisin</w:t>
      </w:r>
      <w:r w:rsidR="00B155D7">
        <w:t>, n.93</w:t>
      </w:r>
    </w:p>
  </w:footnote>
  <w:footnote w:id="149">
    <w:p w14:paraId="787EC656" w14:textId="47F5C678" w:rsidR="00BD216B" w:rsidRPr="00F12AED" w:rsidRDefault="00BD216B">
      <w:pPr>
        <w:pStyle w:val="FootnoteText"/>
      </w:pPr>
      <w:r>
        <w:rPr>
          <w:rStyle w:val="FootnoteReference"/>
        </w:rPr>
        <w:footnoteRef/>
      </w:r>
      <w:r>
        <w:t xml:space="preserve"> Case C-120/78 </w:t>
      </w:r>
      <w:r>
        <w:rPr>
          <w:i/>
        </w:rPr>
        <w:t>Cassis</w:t>
      </w:r>
      <w:r w:rsidR="00B155D7">
        <w:t>, n.54</w:t>
      </w:r>
    </w:p>
  </w:footnote>
  <w:footnote w:id="150">
    <w:p w14:paraId="328BD917" w14:textId="77777777" w:rsidR="00BD216B" w:rsidRPr="00F12AED" w:rsidRDefault="00BD216B">
      <w:pPr>
        <w:pStyle w:val="FootnoteText"/>
      </w:pPr>
      <w:r>
        <w:rPr>
          <w:rStyle w:val="FootnoteReference"/>
        </w:rPr>
        <w:footnoteRef/>
      </w:r>
      <w:r>
        <w:t xml:space="preserve"> Case 178/84 </w:t>
      </w:r>
      <w:r>
        <w:rPr>
          <w:i/>
        </w:rPr>
        <w:t>Commission v Germany</w:t>
      </w:r>
      <w:r>
        <w:t xml:space="preserve"> [1987] EU:C:1987:126</w:t>
      </w:r>
    </w:p>
  </w:footnote>
  <w:footnote w:id="151">
    <w:p w14:paraId="3A1406F8" w14:textId="33DF0479" w:rsidR="00BD216B" w:rsidRPr="005B7766" w:rsidRDefault="00BD216B">
      <w:pPr>
        <w:pStyle w:val="FootnoteText"/>
      </w:pPr>
      <w:r>
        <w:rPr>
          <w:rStyle w:val="FootnoteReference"/>
        </w:rPr>
        <w:footnoteRef/>
      </w:r>
      <w:r>
        <w:t xml:space="preserve"> Case 261/81 </w:t>
      </w:r>
      <w:r>
        <w:rPr>
          <w:i/>
        </w:rPr>
        <w:t>Rau</w:t>
      </w:r>
      <w:r w:rsidR="00B155D7">
        <w:t>, n.93</w:t>
      </w:r>
    </w:p>
  </w:footnote>
  <w:footnote w:id="152">
    <w:p w14:paraId="2D5C3A1A" w14:textId="6B9A0CD2" w:rsidR="00BD216B" w:rsidRPr="005B7766" w:rsidRDefault="00BD216B">
      <w:pPr>
        <w:pStyle w:val="FootnoteText"/>
      </w:pPr>
      <w:r>
        <w:rPr>
          <w:rStyle w:val="FootnoteReference"/>
        </w:rPr>
        <w:footnoteRef/>
      </w:r>
      <w:r>
        <w:t xml:space="preserve"> Case 179/85 </w:t>
      </w:r>
      <w:r>
        <w:rPr>
          <w:i/>
        </w:rPr>
        <w:t>Pétillant de Raisin</w:t>
      </w:r>
      <w:r w:rsidR="00B155D7">
        <w:t>, n.93</w:t>
      </w:r>
      <w:r>
        <w:t xml:space="preserve">; Case C-470/93 </w:t>
      </w:r>
      <w:r>
        <w:rPr>
          <w:i/>
        </w:rPr>
        <w:t>Mars</w:t>
      </w:r>
      <w:r>
        <w:t xml:space="preserve"> [1995] EU:C:1995:224</w:t>
      </w:r>
    </w:p>
  </w:footnote>
  <w:footnote w:id="153">
    <w:p w14:paraId="462DC166" w14:textId="77777777" w:rsidR="00BD216B" w:rsidRDefault="00BD216B">
      <w:pPr>
        <w:pStyle w:val="FootnoteText"/>
      </w:pPr>
      <w:r>
        <w:rPr>
          <w:rStyle w:val="FootnoteReference"/>
        </w:rPr>
        <w:footnoteRef/>
      </w:r>
      <w:r>
        <w:t xml:space="preserve"> S. Weatherill, ‘Recent Case Law Concerning the Free Movement of Goods: Mapping the Frontiers of Market Deregulation’, (1999) 36 CMLRev 51, 57</w:t>
      </w:r>
    </w:p>
  </w:footnote>
  <w:footnote w:id="154">
    <w:p w14:paraId="64614A9B" w14:textId="77777777" w:rsidR="00BD216B" w:rsidRDefault="00BD216B">
      <w:pPr>
        <w:pStyle w:val="FootnoteText"/>
      </w:pPr>
      <w:r>
        <w:rPr>
          <w:rStyle w:val="FootnoteReference"/>
        </w:rPr>
        <w:footnoteRef/>
      </w:r>
      <w:r>
        <w:t xml:space="preserve"> </w:t>
      </w:r>
      <w:r w:rsidRPr="00F517FE">
        <w:t xml:space="preserve">Case C-315/92 </w:t>
      </w:r>
      <w:r w:rsidRPr="00F517FE">
        <w:rPr>
          <w:rFonts w:eastAsia="Times New Roman" w:cs="Times New Roman"/>
          <w:i/>
          <w:iCs/>
          <w:color w:val="000000"/>
          <w:lang w:eastAsia="en-GB"/>
        </w:rPr>
        <w:t>Verband Sozialer Wettbewerb v Clinique Laboratories and Estée Lauder</w:t>
      </w:r>
      <w:r w:rsidRPr="00F517FE">
        <w:rPr>
          <w:rFonts w:eastAsia="Times New Roman" w:cs="Times New Roman"/>
          <w:color w:val="000000"/>
          <w:lang w:eastAsia="en-GB"/>
        </w:rPr>
        <w:t xml:space="preserve"> [1994] EU:C:1994:34</w:t>
      </w:r>
    </w:p>
  </w:footnote>
  <w:footnote w:id="155">
    <w:p w14:paraId="03781360" w14:textId="77777777" w:rsidR="00BD216B" w:rsidRPr="00F517FE" w:rsidRDefault="00BD216B">
      <w:pPr>
        <w:pStyle w:val="FootnoteText"/>
      </w:pPr>
      <w:r>
        <w:rPr>
          <w:rStyle w:val="FootnoteReference"/>
        </w:rPr>
        <w:footnoteRef/>
      </w:r>
      <w:r>
        <w:t xml:space="preserve"> Case C-368/95 </w:t>
      </w:r>
      <w:r>
        <w:rPr>
          <w:i/>
        </w:rPr>
        <w:t>Familiapress</w:t>
      </w:r>
      <w:r>
        <w:t>, n.3</w:t>
      </w:r>
    </w:p>
  </w:footnote>
  <w:footnote w:id="156">
    <w:p w14:paraId="308BEF0A" w14:textId="77777777" w:rsidR="00BD216B" w:rsidRDefault="00BD216B" w:rsidP="004662C3">
      <w:pPr>
        <w:pStyle w:val="FootnoteText"/>
      </w:pPr>
      <w:r>
        <w:rPr>
          <w:rStyle w:val="FootnoteReference"/>
        </w:rPr>
        <w:footnoteRef/>
      </w:r>
      <w:r>
        <w:t xml:space="preserve"> See also Davies, n.3; T. Novitz, ‘A Human Rights Analysis of the </w:t>
      </w:r>
      <w:r>
        <w:rPr>
          <w:i/>
        </w:rPr>
        <w:t xml:space="preserve">Viking </w:t>
      </w:r>
      <w:r>
        <w:t xml:space="preserve">and </w:t>
      </w:r>
      <w:r>
        <w:rPr>
          <w:i/>
        </w:rPr>
        <w:t xml:space="preserve">Laval </w:t>
      </w:r>
      <w:r>
        <w:t>Judgments’ (2007-2008) 10 CYELS 541, 560-561</w:t>
      </w:r>
    </w:p>
  </w:footnote>
  <w:footnote w:id="157">
    <w:p w14:paraId="035E3013" w14:textId="25F33871" w:rsidR="00BD216B" w:rsidRPr="00293182" w:rsidRDefault="00BD216B">
      <w:pPr>
        <w:pStyle w:val="FootnoteText"/>
        <w:rPr>
          <w:i/>
        </w:rPr>
      </w:pPr>
      <w:r>
        <w:rPr>
          <w:rStyle w:val="FootnoteReference"/>
        </w:rPr>
        <w:footnoteRef/>
      </w:r>
      <w:r>
        <w:t xml:space="preserve"> For a fuller discussion see S. Reynolds, ‘Housing Policy as a Restriction of Free Movement and Member States’ Discretion to Design Programmes of Social Protection: </w:t>
      </w:r>
      <w:r>
        <w:rPr>
          <w:i/>
        </w:rPr>
        <w:t>Libert</w:t>
      </w:r>
      <w:r>
        <w:t xml:space="preserve">’, (2015) 52(1) CMLRev 259. See also Case C-372/04 </w:t>
      </w:r>
      <w:r>
        <w:rPr>
          <w:i/>
        </w:rPr>
        <w:t>Watts</w:t>
      </w:r>
      <w:r w:rsidR="00B155D7">
        <w:t>, n.59</w:t>
      </w:r>
      <w:r>
        <w:t>;</w:t>
      </w:r>
      <w:r w:rsidR="00B155D7">
        <w:t xml:space="preserve"> Nic Shuibhne, Maci, n.129</w:t>
      </w:r>
      <w:r>
        <w:t xml:space="preserve">, 1003 </w:t>
      </w:r>
    </w:p>
  </w:footnote>
  <w:footnote w:id="158">
    <w:p w14:paraId="4F66E96C" w14:textId="77777777" w:rsidR="00BD216B" w:rsidRPr="00B12735" w:rsidRDefault="00BD216B">
      <w:pPr>
        <w:pStyle w:val="FootnoteText"/>
      </w:pPr>
      <w:r>
        <w:rPr>
          <w:rStyle w:val="FootnoteReference"/>
        </w:rPr>
        <w:footnoteRef/>
      </w:r>
      <w:r>
        <w:t xml:space="preserve"> Case C-438/05 </w:t>
      </w:r>
      <w:r>
        <w:rPr>
          <w:i/>
        </w:rPr>
        <w:t>Viking</w:t>
      </w:r>
      <w:r>
        <w:t>, n.1, para.81</w:t>
      </w:r>
    </w:p>
  </w:footnote>
  <w:footnote w:id="159">
    <w:p w14:paraId="3A15A7A1" w14:textId="77777777" w:rsidR="00BD216B" w:rsidRPr="00717E65" w:rsidRDefault="00BD216B" w:rsidP="00B12735">
      <w:pPr>
        <w:pStyle w:val="FootnoteText"/>
      </w:pPr>
      <w:r>
        <w:rPr>
          <w:rStyle w:val="FootnoteReference"/>
        </w:rPr>
        <w:footnoteRef/>
      </w:r>
      <w:r>
        <w:t xml:space="preserve"> S. Weatherill, ‘</w:t>
      </w:r>
      <w:r>
        <w:rPr>
          <w:i/>
        </w:rPr>
        <w:t>Whose</w:t>
      </w:r>
      <w:r>
        <w:t xml:space="preserve"> internal market? Companies’ or Workers’ or Judges’ or Politicians’’ (2011) 24(1) EUSA Review 2, 3</w:t>
      </w:r>
    </w:p>
  </w:footnote>
  <w:footnote w:id="160">
    <w:p w14:paraId="6BCCABB2" w14:textId="77777777" w:rsidR="00BD216B" w:rsidRPr="00136DC1" w:rsidRDefault="00BD216B" w:rsidP="00E67EAD">
      <w:pPr>
        <w:pStyle w:val="FootnoteText"/>
      </w:pPr>
      <w:r>
        <w:rPr>
          <w:rStyle w:val="FootnoteReference"/>
        </w:rPr>
        <w:footnoteRef/>
      </w:r>
      <w:r>
        <w:t xml:space="preserve"> U. Bernitz, N. Reich, ‘Case No. A 268/04, The Labour Court, Sweden (Arbetsdomstolen) Judgment No.89/09 of 2 December 2009, </w:t>
      </w:r>
      <w:r>
        <w:rPr>
          <w:i/>
        </w:rPr>
        <w:t xml:space="preserve">Laval un Partneri Ltd v Svenska Byggnadsarbetareforbundet et al </w:t>
      </w:r>
      <w:r>
        <w:t>(2011) 48 CMLRev 603, 613-614</w:t>
      </w:r>
    </w:p>
  </w:footnote>
  <w:footnote w:id="161">
    <w:p w14:paraId="25E3AE32" w14:textId="240587EB" w:rsidR="00BD216B" w:rsidRPr="00A1262A" w:rsidRDefault="00BD216B">
      <w:pPr>
        <w:pStyle w:val="FootnoteText"/>
      </w:pPr>
      <w:r>
        <w:rPr>
          <w:rStyle w:val="FootnoteReference"/>
        </w:rPr>
        <w:footnoteRef/>
      </w:r>
      <w:r>
        <w:t xml:space="preserve"> K. Apps, ‘Damages against trade unions after </w:t>
      </w:r>
      <w:r>
        <w:rPr>
          <w:i/>
        </w:rPr>
        <w:t>Viking</w:t>
      </w:r>
      <w:r>
        <w:t xml:space="preserve"> and </w:t>
      </w:r>
      <w:r>
        <w:rPr>
          <w:i/>
        </w:rPr>
        <w:t>Laval</w:t>
      </w:r>
      <w:r>
        <w:t>’ (2009) 34(1) ELRev 141, 151, discussing particularly the caps on trade union liability in the UK context, i</w:t>
      </w:r>
      <w:r w:rsidR="00D857DA">
        <w:t>mposed by s.22 Trade Union and L</w:t>
      </w:r>
      <w:r>
        <w:t xml:space="preserve">abour Relations (Consolidation) Act 1992. Apps reasons by analogy with the removal of caps in relation to sexual discrimination in Case C-271/91 </w:t>
      </w:r>
      <w:r>
        <w:rPr>
          <w:i/>
        </w:rPr>
        <w:t>Marshall v Southampton and South West Hampshire AHA</w:t>
      </w:r>
      <w:r>
        <w:t xml:space="preserve"> [1993] EU:C:1993:335</w:t>
      </w:r>
    </w:p>
  </w:footnote>
  <w:footnote w:id="162">
    <w:p w14:paraId="2A9E889C" w14:textId="77777777" w:rsidR="00BD216B" w:rsidRPr="00D96A8D" w:rsidRDefault="00BD216B">
      <w:pPr>
        <w:pStyle w:val="FootnoteText"/>
      </w:pPr>
      <w:r>
        <w:rPr>
          <w:rStyle w:val="FootnoteReference"/>
        </w:rPr>
        <w:footnoteRef/>
      </w:r>
      <w:r>
        <w:t xml:space="preserve"> See Apps, ibid; K. Ewing and J. Hendy, ‘The Dramatic Implications of </w:t>
      </w:r>
      <w:r>
        <w:rPr>
          <w:i/>
        </w:rPr>
        <w:t>Demir</w:t>
      </w:r>
      <w:r>
        <w:t xml:space="preserve"> and </w:t>
      </w:r>
      <w:r>
        <w:rPr>
          <w:i/>
        </w:rPr>
        <w:t>Baykara</w:t>
      </w:r>
      <w:r>
        <w:t>, (2010) ILJ 2, 44-47</w:t>
      </w:r>
    </w:p>
  </w:footnote>
  <w:footnote w:id="163">
    <w:p w14:paraId="1EEB9759" w14:textId="4CDDBFE5" w:rsidR="00BD216B" w:rsidRPr="00D96A8D" w:rsidRDefault="00BD216B">
      <w:pPr>
        <w:pStyle w:val="FootnoteText"/>
      </w:pPr>
      <w:r>
        <w:rPr>
          <w:rStyle w:val="FootnoteReference"/>
        </w:rPr>
        <w:footnoteRef/>
      </w:r>
      <w:r w:rsidR="00A5387F">
        <w:t xml:space="preserve"> Ibid</w:t>
      </w:r>
      <w:r>
        <w:t xml:space="preserve">. The existence of </w:t>
      </w:r>
      <w:r>
        <w:rPr>
          <w:i/>
        </w:rPr>
        <w:t>Francovich</w:t>
      </w:r>
      <w:r>
        <w:t xml:space="preserve"> liability also made it possible, in </w:t>
      </w:r>
      <w:r>
        <w:rPr>
          <w:i/>
        </w:rPr>
        <w:t>Schmidberger</w:t>
      </w:r>
      <w:r>
        <w:t xml:space="preserve">, for an action for damages to be brought against the State for not taking positive steps to restrict the fundamental rights of freedom of association and expression. </w:t>
      </w:r>
    </w:p>
  </w:footnote>
  <w:footnote w:id="164">
    <w:p w14:paraId="4F1A0088" w14:textId="77777777" w:rsidR="00BD216B" w:rsidRDefault="00BD216B">
      <w:pPr>
        <w:pStyle w:val="FootnoteText"/>
      </w:pPr>
      <w:r>
        <w:rPr>
          <w:rStyle w:val="FootnoteReference"/>
        </w:rPr>
        <w:footnoteRef/>
      </w:r>
      <w:r>
        <w:t xml:space="preserve"> For instance Nic Shuibhne proposes the introduction of a qualitative ‘appreciability’ threshold, n.22, 254</w:t>
      </w:r>
    </w:p>
  </w:footnote>
  <w:footnote w:id="165">
    <w:p w14:paraId="33933B06" w14:textId="72178BC8" w:rsidR="00BD216B" w:rsidRDefault="00BD216B">
      <w:pPr>
        <w:pStyle w:val="FootnoteText"/>
      </w:pPr>
      <w:r>
        <w:rPr>
          <w:rStyle w:val="FootnoteReference"/>
        </w:rPr>
        <w:footnoteRef/>
      </w:r>
      <w:r>
        <w:t xml:space="preserve"> De Witte, n.14</w:t>
      </w:r>
      <w:r w:rsidR="00A5387F">
        <w:t>3</w:t>
      </w:r>
      <w:r>
        <w:t>; A. Dashwood, ‘</w:t>
      </w:r>
      <w:r>
        <w:rPr>
          <w:i/>
        </w:rPr>
        <w:t>Viking</w:t>
      </w:r>
      <w:r>
        <w:t xml:space="preserve"> and </w:t>
      </w:r>
      <w:r>
        <w:rPr>
          <w:i/>
        </w:rPr>
        <w:t>Laval</w:t>
      </w:r>
      <w:r>
        <w:t>: Issues of Horizontal Direct Effect,’ (2007-2008) CYELS 525, 529</w:t>
      </w:r>
    </w:p>
  </w:footnote>
  <w:footnote w:id="166">
    <w:p w14:paraId="324C11F3" w14:textId="77777777" w:rsidR="00BD216B" w:rsidRDefault="00BD216B">
      <w:pPr>
        <w:pStyle w:val="FootnoteText"/>
      </w:pPr>
      <w:r>
        <w:rPr>
          <w:rStyle w:val="FootnoteReference"/>
        </w:rPr>
        <w:footnoteRef/>
      </w:r>
      <w:r>
        <w:t xml:space="preserve"> Consider the Commission Communication ‘Technical Harmonisation and Standardisation: A New Approach, COM(1985)19</w:t>
      </w:r>
    </w:p>
  </w:footnote>
  <w:footnote w:id="167">
    <w:p w14:paraId="2B5956AB" w14:textId="77777777" w:rsidR="00BD216B" w:rsidRDefault="00BD216B" w:rsidP="005E383F">
      <w:pPr>
        <w:pStyle w:val="FootnoteText"/>
      </w:pPr>
      <w:r>
        <w:rPr>
          <w:rStyle w:val="FootnoteReference"/>
        </w:rPr>
        <w:footnoteRef/>
      </w:r>
      <w:r>
        <w:t xml:space="preserve"> This is most visible in Protocol (No 30) on the Application of the Charter of Fundamental Rights of the European Union to Poland and the United Kingdom</w:t>
      </w:r>
    </w:p>
  </w:footnote>
  <w:footnote w:id="168">
    <w:p w14:paraId="1D5EAB3A" w14:textId="01E69070" w:rsidR="00BD216B" w:rsidRPr="00FA0D71" w:rsidRDefault="00BD216B">
      <w:pPr>
        <w:pStyle w:val="FootnoteText"/>
      </w:pPr>
      <w:r>
        <w:rPr>
          <w:rStyle w:val="FootnoteReference"/>
        </w:rPr>
        <w:footnoteRef/>
      </w:r>
      <w:r>
        <w:t xml:space="preserve"> Case C-544/10 </w:t>
      </w:r>
      <w:r>
        <w:rPr>
          <w:i/>
        </w:rPr>
        <w:t>Deutsches Weintor</w:t>
      </w:r>
      <w:r w:rsidR="00A5387F">
        <w:t>, n.106</w:t>
      </w:r>
      <w:r>
        <w:t xml:space="preserve">; Case C-70/10 </w:t>
      </w:r>
      <w:r>
        <w:rPr>
          <w:i/>
        </w:rPr>
        <w:t>Scarlett v SABAM</w:t>
      </w:r>
      <w:r>
        <w:t xml:space="preserve"> [2011] EU:C:2011:771; Case C-12/11 </w:t>
      </w:r>
      <w:r>
        <w:rPr>
          <w:i/>
        </w:rPr>
        <w:t>McDonagh v Ryan Air</w:t>
      </w:r>
      <w:r>
        <w:t xml:space="preserve"> [2013] EU:C:2013:43; Case C-283/11 </w:t>
      </w:r>
      <w:r>
        <w:rPr>
          <w:i/>
        </w:rPr>
        <w:t>Sky Österreich</w:t>
      </w:r>
      <w:r>
        <w:t xml:space="preserve"> [2013] EU:C:2013:28; Case C-34/10 </w:t>
      </w:r>
      <w:r>
        <w:rPr>
          <w:i/>
        </w:rPr>
        <w:t>Brüstle</w:t>
      </w:r>
      <w:r>
        <w:t xml:space="preserve"> [2011] EU:C:2011:669</w:t>
      </w:r>
    </w:p>
  </w:footnote>
  <w:footnote w:id="169">
    <w:p w14:paraId="53DB8006" w14:textId="77777777" w:rsidR="00BD216B" w:rsidRPr="004C665B" w:rsidRDefault="00BD216B">
      <w:pPr>
        <w:pStyle w:val="FootnoteText"/>
      </w:pPr>
      <w:r>
        <w:rPr>
          <w:rStyle w:val="FootnoteReference"/>
        </w:rPr>
        <w:footnoteRef/>
      </w:r>
      <w:r>
        <w:t xml:space="preserve"> Opinion of AG Trstenjak, Case C-271/08 </w:t>
      </w:r>
      <w:r>
        <w:rPr>
          <w:i/>
        </w:rPr>
        <w:t>Commission v Germany</w:t>
      </w:r>
      <w:r>
        <w:t xml:space="preserve"> [2010] EU:C:2010:183; Opinion of AG Trstenjak, Case C-81/09 </w:t>
      </w:r>
      <w:r>
        <w:rPr>
          <w:i/>
        </w:rPr>
        <w:t>Typou</w:t>
      </w:r>
      <w:r>
        <w:t xml:space="preserve"> [2010] EU:C:2010:304; Opinion of AG Wahl, Case C-113/13 </w:t>
      </w:r>
      <w:r>
        <w:rPr>
          <w:i/>
        </w:rPr>
        <w:t>Spezzino a.o.</w:t>
      </w:r>
      <w:r>
        <w:t xml:space="preserve"> [2014] EU:C:2014:291; Opinion of AG Cruz Villalón, Case C-515/08 </w:t>
      </w:r>
      <w:r>
        <w:rPr>
          <w:i/>
        </w:rPr>
        <w:t>Santos Palhota</w:t>
      </w:r>
      <w:r>
        <w:t xml:space="preserve"> [2010] EU:C:2010:245</w:t>
      </w:r>
    </w:p>
  </w:footnote>
  <w:footnote w:id="170">
    <w:p w14:paraId="26CB499D" w14:textId="77777777" w:rsidR="00BD216B" w:rsidRPr="004C665B" w:rsidRDefault="00BD216B">
      <w:pPr>
        <w:pStyle w:val="FootnoteText"/>
      </w:pPr>
      <w:r>
        <w:rPr>
          <w:rStyle w:val="FootnoteReference"/>
        </w:rPr>
        <w:footnoteRef/>
      </w:r>
      <w:r>
        <w:t xml:space="preserve"> Case C-271/08 </w:t>
      </w:r>
      <w:r>
        <w:rPr>
          <w:i/>
        </w:rPr>
        <w:t>Commission v Germany</w:t>
      </w:r>
      <w:r>
        <w:t>, ibid, paras.177-191</w:t>
      </w:r>
    </w:p>
  </w:footnote>
  <w:footnote w:id="171">
    <w:p w14:paraId="5FD3C0EF" w14:textId="77777777" w:rsidR="00BD216B" w:rsidRPr="004C665B" w:rsidRDefault="00BD216B">
      <w:pPr>
        <w:pStyle w:val="FootnoteText"/>
      </w:pPr>
      <w:r>
        <w:rPr>
          <w:rStyle w:val="FootnoteReference"/>
        </w:rPr>
        <w:footnoteRef/>
      </w:r>
      <w:r>
        <w:t xml:space="preserve"> C. Barnard, S. Deakin, ‘European Labour Law After </w:t>
      </w:r>
      <w:r>
        <w:rPr>
          <w:i/>
        </w:rPr>
        <w:t>Laval</w:t>
      </w:r>
      <w:r>
        <w:t xml:space="preserve">’ in M. Moreau (ed), </w:t>
      </w:r>
      <w:r>
        <w:rPr>
          <w:i/>
        </w:rPr>
        <w:t xml:space="preserve">Before and After the Economic Crisis: What Implications for the ‘European Social Model’?’ </w:t>
      </w:r>
      <w:r>
        <w:t>(Edward Elgar, 2011), ch.16; S de Vries. ‘Balancing Fundamental Rights with Economic Freedoms According to the European Court of Justice’, (2013) 9(1) ULRev 169; V. Trestenjak, E. Beysen, ‘The Growing Overlap of Fundamental Freedoms and Fundamental Rights in the Case-Law of the CJEU’, (2013) ELRev 293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76A9F"/>
    <w:multiLevelType w:val="multilevel"/>
    <w:tmpl w:val="6362330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83A0CED"/>
    <w:multiLevelType w:val="hybridMultilevel"/>
    <w:tmpl w:val="92380A58"/>
    <w:lvl w:ilvl="0" w:tplc="9B98893E">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413499"/>
    <w:multiLevelType w:val="multilevel"/>
    <w:tmpl w:val="6362330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C970082"/>
    <w:multiLevelType w:val="hybridMultilevel"/>
    <w:tmpl w:val="35E291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781A4C"/>
    <w:multiLevelType w:val="hybridMultilevel"/>
    <w:tmpl w:val="C6900C6E"/>
    <w:lvl w:ilvl="0" w:tplc="E6B2F196">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F94CA1"/>
    <w:multiLevelType w:val="hybridMultilevel"/>
    <w:tmpl w:val="855EF006"/>
    <w:lvl w:ilvl="0" w:tplc="88DABD2A">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D04BCB"/>
    <w:multiLevelType w:val="hybridMultilevel"/>
    <w:tmpl w:val="D91A7C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4226BC"/>
    <w:multiLevelType w:val="hybridMultilevel"/>
    <w:tmpl w:val="EF3A11F4"/>
    <w:lvl w:ilvl="0" w:tplc="7E4CC28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4A5724"/>
    <w:multiLevelType w:val="hybridMultilevel"/>
    <w:tmpl w:val="DB96A33E"/>
    <w:lvl w:ilvl="0" w:tplc="8A9E3FB8">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8844F0"/>
    <w:multiLevelType w:val="hybridMultilevel"/>
    <w:tmpl w:val="E47C15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4850B1"/>
    <w:multiLevelType w:val="hybridMultilevel"/>
    <w:tmpl w:val="671AC178"/>
    <w:lvl w:ilvl="0" w:tplc="F1BA1A3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
  </w:num>
  <w:num w:numId="4">
    <w:abstractNumId w:val="8"/>
  </w:num>
  <w:num w:numId="5">
    <w:abstractNumId w:val="4"/>
  </w:num>
  <w:num w:numId="6">
    <w:abstractNumId w:val="0"/>
  </w:num>
  <w:num w:numId="7">
    <w:abstractNumId w:val="10"/>
  </w:num>
  <w:num w:numId="8">
    <w:abstractNumId w:val="7"/>
  </w:num>
  <w:num w:numId="9">
    <w:abstractNumId w:val="6"/>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2FA"/>
    <w:rsid w:val="00022125"/>
    <w:rsid w:val="00025EB6"/>
    <w:rsid w:val="00050272"/>
    <w:rsid w:val="00064E13"/>
    <w:rsid w:val="000706FB"/>
    <w:rsid w:val="000812DB"/>
    <w:rsid w:val="00083857"/>
    <w:rsid w:val="000944CA"/>
    <w:rsid w:val="000962E2"/>
    <w:rsid w:val="00097794"/>
    <w:rsid w:val="000A14C5"/>
    <w:rsid w:val="000C0385"/>
    <w:rsid w:val="000C1EBC"/>
    <w:rsid w:val="000E32EC"/>
    <w:rsid w:val="000F4D6D"/>
    <w:rsid w:val="00107C85"/>
    <w:rsid w:val="00110F1D"/>
    <w:rsid w:val="00113CD2"/>
    <w:rsid w:val="0011686C"/>
    <w:rsid w:val="00120F4B"/>
    <w:rsid w:val="00122208"/>
    <w:rsid w:val="0013215C"/>
    <w:rsid w:val="00136EF5"/>
    <w:rsid w:val="0014025E"/>
    <w:rsid w:val="00156636"/>
    <w:rsid w:val="00167420"/>
    <w:rsid w:val="00174A25"/>
    <w:rsid w:val="0018012A"/>
    <w:rsid w:val="00180694"/>
    <w:rsid w:val="001A55DD"/>
    <w:rsid w:val="001C74D1"/>
    <w:rsid w:val="001D1EEC"/>
    <w:rsid w:val="001D2889"/>
    <w:rsid w:val="001D4EDA"/>
    <w:rsid w:val="001D5228"/>
    <w:rsid w:val="001E1097"/>
    <w:rsid w:val="001E6C9C"/>
    <w:rsid w:val="001E7948"/>
    <w:rsid w:val="001F04FB"/>
    <w:rsid w:val="001F050A"/>
    <w:rsid w:val="001F2BC9"/>
    <w:rsid w:val="001F54BE"/>
    <w:rsid w:val="001F7B49"/>
    <w:rsid w:val="0020294C"/>
    <w:rsid w:val="00202F1B"/>
    <w:rsid w:val="0020317A"/>
    <w:rsid w:val="0020515D"/>
    <w:rsid w:val="00213B7D"/>
    <w:rsid w:val="00220D88"/>
    <w:rsid w:val="00223F2B"/>
    <w:rsid w:val="0022403F"/>
    <w:rsid w:val="0022677D"/>
    <w:rsid w:val="00243F32"/>
    <w:rsid w:val="00244843"/>
    <w:rsid w:val="00254BD1"/>
    <w:rsid w:val="002603FF"/>
    <w:rsid w:val="00261D44"/>
    <w:rsid w:val="00264372"/>
    <w:rsid w:val="00265832"/>
    <w:rsid w:val="00273C4A"/>
    <w:rsid w:val="002811EC"/>
    <w:rsid w:val="00284B92"/>
    <w:rsid w:val="00293182"/>
    <w:rsid w:val="002A2169"/>
    <w:rsid w:val="002A64A5"/>
    <w:rsid w:val="002B5C25"/>
    <w:rsid w:val="002C61A3"/>
    <w:rsid w:val="002D3E45"/>
    <w:rsid w:val="002D563F"/>
    <w:rsid w:val="002D684B"/>
    <w:rsid w:val="002F0446"/>
    <w:rsid w:val="002F20C7"/>
    <w:rsid w:val="003067F8"/>
    <w:rsid w:val="00311692"/>
    <w:rsid w:val="00325D47"/>
    <w:rsid w:val="00326668"/>
    <w:rsid w:val="00332B7A"/>
    <w:rsid w:val="003362FE"/>
    <w:rsid w:val="003405C5"/>
    <w:rsid w:val="00342A9E"/>
    <w:rsid w:val="00344541"/>
    <w:rsid w:val="00350C31"/>
    <w:rsid w:val="003671C9"/>
    <w:rsid w:val="00375F85"/>
    <w:rsid w:val="00380579"/>
    <w:rsid w:val="00381982"/>
    <w:rsid w:val="003852F7"/>
    <w:rsid w:val="003860CB"/>
    <w:rsid w:val="00392CF7"/>
    <w:rsid w:val="00396AD4"/>
    <w:rsid w:val="003A020F"/>
    <w:rsid w:val="003A259F"/>
    <w:rsid w:val="003A6F40"/>
    <w:rsid w:val="003B15CC"/>
    <w:rsid w:val="003B371F"/>
    <w:rsid w:val="003C07F7"/>
    <w:rsid w:val="003C4464"/>
    <w:rsid w:val="003D3D78"/>
    <w:rsid w:val="003D4306"/>
    <w:rsid w:val="003E05EF"/>
    <w:rsid w:val="003E23C0"/>
    <w:rsid w:val="003E5F27"/>
    <w:rsid w:val="00400750"/>
    <w:rsid w:val="00400BFC"/>
    <w:rsid w:val="00410170"/>
    <w:rsid w:val="004179C3"/>
    <w:rsid w:val="00424116"/>
    <w:rsid w:val="00430E91"/>
    <w:rsid w:val="00444AB4"/>
    <w:rsid w:val="00464A7E"/>
    <w:rsid w:val="00465153"/>
    <w:rsid w:val="004662C3"/>
    <w:rsid w:val="00477D1A"/>
    <w:rsid w:val="00480DFC"/>
    <w:rsid w:val="00482977"/>
    <w:rsid w:val="004A28F0"/>
    <w:rsid w:val="004A358F"/>
    <w:rsid w:val="004A6E95"/>
    <w:rsid w:val="004B3472"/>
    <w:rsid w:val="004C4E96"/>
    <w:rsid w:val="004C665B"/>
    <w:rsid w:val="004D10A2"/>
    <w:rsid w:val="004D3EB2"/>
    <w:rsid w:val="004E3C9D"/>
    <w:rsid w:val="004E3CD1"/>
    <w:rsid w:val="004E4CD6"/>
    <w:rsid w:val="004F0671"/>
    <w:rsid w:val="004F6CEC"/>
    <w:rsid w:val="00501C76"/>
    <w:rsid w:val="00511169"/>
    <w:rsid w:val="00511223"/>
    <w:rsid w:val="0051177E"/>
    <w:rsid w:val="00525379"/>
    <w:rsid w:val="00527E42"/>
    <w:rsid w:val="00531D90"/>
    <w:rsid w:val="0054430E"/>
    <w:rsid w:val="00545479"/>
    <w:rsid w:val="00555C62"/>
    <w:rsid w:val="00576658"/>
    <w:rsid w:val="0057679E"/>
    <w:rsid w:val="00592C7F"/>
    <w:rsid w:val="0059564B"/>
    <w:rsid w:val="005A2974"/>
    <w:rsid w:val="005A2C1A"/>
    <w:rsid w:val="005B1774"/>
    <w:rsid w:val="005B7766"/>
    <w:rsid w:val="005D143C"/>
    <w:rsid w:val="005D1821"/>
    <w:rsid w:val="005E383F"/>
    <w:rsid w:val="005E4D96"/>
    <w:rsid w:val="00623C6A"/>
    <w:rsid w:val="00623CBA"/>
    <w:rsid w:val="00626452"/>
    <w:rsid w:val="0062682D"/>
    <w:rsid w:val="00632D76"/>
    <w:rsid w:val="006378CE"/>
    <w:rsid w:val="00643462"/>
    <w:rsid w:val="00645F99"/>
    <w:rsid w:val="006471ED"/>
    <w:rsid w:val="00652066"/>
    <w:rsid w:val="00683486"/>
    <w:rsid w:val="006904DE"/>
    <w:rsid w:val="00692723"/>
    <w:rsid w:val="00695B43"/>
    <w:rsid w:val="006A1FEB"/>
    <w:rsid w:val="006A3882"/>
    <w:rsid w:val="006B15AF"/>
    <w:rsid w:val="006B3F90"/>
    <w:rsid w:val="006C32B8"/>
    <w:rsid w:val="006D3EED"/>
    <w:rsid w:val="006D4472"/>
    <w:rsid w:val="006E5992"/>
    <w:rsid w:val="006E7414"/>
    <w:rsid w:val="006F4BAC"/>
    <w:rsid w:val="006F6E2B"/>
    <w:rsid w:val="00705A4A"/>
    <w:rsid w:val="00707435"/>
    <w:rsid w:val="00710713"/>
    <w:rsid w:val="007234D6"/>
    <w:rsid w:val="00733B9D"/>
    <w:rsid w:val="007342C2"/>
    <w:rsid w:val="00740AC6"/>
    <w:rsid w:val="007462AD"/>
    <w:rsid w:val="00746C89"/>
    <w:rsid w:val="00750F1F"/>
    <w:rsid w:val="00751FD6"/>
    <w:rsid w:val="007556B2"/>
    <w:rsid w:val="0076279A"/>
    <w:rsid w:val="007714B8"/>
    <w:rsid w:val="007736B2"/>
    <w:rsid w:val="0078124A"/>
    <w:rsid w:val="007A0004"/>
    <w:rsid w:val="007A09DD"/>
    <w:rsid w:val="007A379A"/>
    <w:rsid w:val="007A3D9A"/>
    <w:rsid w:val="007A518E"/>
    <w:rsid w:val="007B3E19"/>
    <w:rsid w:val="007C591B"/>
    <w:rsid w:val="007D2010"/>
    <w:rsid w:val="007D57E2"/>
    <w:rsid w:val="007D621C"/>
    <w:rsid w:val="007D6D46"/>
    <w:rsid w:val="007D7393"/>
    <w:rsid w:val="007F06C3"/>
    <w:rsid w:val="007F156D"/>
    <w:rsid w:val="007F784E"/>
    <w:rsid w:val="008211F1"/>
    <w:rsid w:val="00823193"/>
    <w:rsid w:val="008264E6"/>
    <w:rsid w:val="0083181B"/>
    <w:rsid w:val="00832930"/>
    <w:rsid w:val="00844996"/>
    <w:rsid w:val="0084599A"/>
    <w:rsid w:val="0086759C"/>
    <w:rsid w:val="00867BF3"/>
    <w:rsid w:val="00875321"/>
    <w:rsid w:val="00891BE9"/>
    <w:rsid w:val="00891DFD"/>
    <w:rsid w:val="0089317C"/>
    <w:rsid w:val="0089668C"/>
    <w:rsid w:val="008A004B"/>
    <w:rsid w:val="008A46AA"/>
    <w:rsid w:val="008A6C9C"/>
    <w:rsid w:val="008A7B01"/>
    <w:rsid w:val="008C0443"/>
    <w:rsid w:val="008C567D"/>
    <w:rsid w:val="008E1F68"/>
    <w:rsid w:val="008E4104"/>
    <w:rsid w:val="008E4CF7"/>
    <w:rsid w:val="008F63A3"/>
    <w:rsid w:val="008F736A"/>
    <w:rsid w:val="00927ABF"/>
    <w:rsid w:val="00927B57"/>
    <w:rsid w:val="0093331C"/>
    <w:rsid w:val="009517DF"/>
    <w:rsid w:val="00953593"/>
    <w:rsid w:val="00955C7A"/>
    <w:rsid w:val="009618B1"/>
    <w:rsid w:val="00964464"/>
    <w:rsid w:val="00972529"/>
    <w:rsid w:val="00984BBC"/>
    <w:rsid w:val="00993BEF"/>
    <w:rsid w:val="00996B91"/>
    <w:rsid w:val="009A26D4"/>
    <w:rsid w:val="009A431C"/>
    <w:rsid w:val="009E0647"/>
    <w:rsid w:val="009E3E50"/>
    <w:rsid w:val="009E5C85"/>
    <w:rsid w:val="009F5202"/>
    <w:rsid w:val="00A047CC"/>
    <w:rsid w:val="00A04AC3"/>
    <w:rsid w:val="00A1262A"/>
    <w:rsid w:val="00A27007"/>
    <w:rsid w:val="00A32A4C"/>
    <w:rsid w:val="00A35393"/>
    <w:rsid w:val="00A406EA"/>
    <w:rsid w:val="00A44723"/>
    <w:rsid w:val="00A52A3E"/>
    <w:rsid w:val="00A5387F"/>
    <w:rsid w:val="00A5610B"/>
    <w:rsid w:val="00A60B93"/>
    <w:rsid w:val="00A62A14"/>
    <w:rsid w:val="00A716F9"/>
    <w:rsid w:val="00A738D4"/>
    <w:rsid w:val="00A80237"/>
    <w:rsid w:val="00A87F95"/>
    <w:rsid w:val="00A9555F"/>
    <w:rsid w:val="00A963C9"/>
    <w:rsid w:val="00AA24E1"/>
    <w:rsid w:val="00AA3E26"/>
    <w:rsid w:val="00AB768F"/>
    <w:rsid w:val="00AC1EF2"/>
    <w:rsid w:val="00AE181F"/>
    <w:rsid w:val="00AE720E"/>
    <w:rsid w:val="00AF27FB"/>
    <w:rsid w:val="00AF7C6C"/>
    <w:rsid w:val="00B00231"/>
    <w:rsid w:val="00B06A15"/>
    <w:rsid w:val="00B07259"/>
    <w:rsid w:val="00B117AC"/>
    <w:rsid w:val="00B12251"/>
    <w:rsid w:val="00B12735"/>
    <w:rsid w:val="00B155D7"/>
    <w:rsid w:val="00B270EF"/>
    <w:rsid w:val="00B27E47"/>
    <w:rsid w:val="00B27F8E"/>
    <w:rsid w:val="00B331DB"/>
    <w:rsid w:val="00B40C8D"/>
    <w:rsid w:val="00B413AE"/>
    <w:rsid w:val="00B441C8"/>
    <w:rsid w:val="00B51B90"/>
    <w:rsid w:val="00B63274"/>
    <w:rsid w:val="00B856BF"/>
    <w:rsid w:val="00B9429C"/>
    <w:rsid w:val="00BA6CB4"/>
    <w:rsid w:val="00BB2ED4"/>
    <w:rsid w:val="00BB7B4A"/>
    <w:rsid w:val="00BC0CDA"/>
    <w:rsid w:val="00BD0FFE"/>
    <w:rsid w:val="00BD154D"/>
    <w:rsid w:val="00BD216B"/>
    <w:rsid w:val="00BE7671"/>
    <w:rsid w:val="00BF0F90"/>
    <w:rsid w:val="00BF11CF"/>
    <w:rsid w:val="00BF1D81"/>
    <w:rsid w:val="00BF5DAA"/>
    <w:rsid w:val="00C01E40"/>
    <w:rsid w:val="00C039AD"/>
    <w:rsid w:val="00C11931"/>
    <w:rsid w:val="00C13B9A"/>
    <w:rsid w:val="00C15E06"/>
    <w:rsid w:val="00C32A05"/>
    <w:rsid w:val="00C35CFD"/>
    <w:rsid w:val="00C35EA1"/>
    <w:rsid w:val="00C37CD2"/>
    <w:rsid w:val="00C411C3"/>
    <w:rsid w:val="00C50B33"/>
    <w:rsid w:val="00C5603B"/>
    <w:rsid w:val="00C60FE5"/>
    <w:rsid w:val="00C63D1F"/>
    <w:rsid w:val="00C6417C"/>
    <w:rsid w:val="00C74E85"/>
    <w:rsid w:val="00C82BE9"/>
    <w:rsid w:val="00C83217"/>
    <w:rsid w:val="00C83EBC"/>
    <w:rsid w:val="00CA01D6"/>
    <w:rsid w:val="00CA5FE2"/>
    <w:rsid w:val="00CB1A15"/>
    <w:rsid w:val="00CB1FA1"/>
    <w:rsid w:val="00CC76F3"/>
    <w:rsid w:val="00CD2C8A"/>
    <w:rsid w:val="00CE0866"/>
    <w:rsid w:val="00CE2828"/>
    <w:rsid w:val="00CE6A34"/>
    <w:rsid w:val="00CF267F"/>
    <w:rsid w:val="00CF318A"/>
    <w:rsid w:val="00D018F8"/>
    <w:rsid w:val="00D022B3"/>
    <w:rsid w:val="00D055E3"/>
    <w:rsid w:val="00D0654B"/>
    <w:rsid w:val="00D06639"/>
    <w:rsid w:val="00D11993"/>
    <w:rsid w:val="00D1444C"/>
    <w:rsid w:val="00D26191"/>
    <w:rsid w:val="00D264EB"/>
    <w:rsid w:val="00D31A41"/>
    <w:rsid w:val="00D34E64"/>
    <w:rsid w:val="00D41E80"/>
    <w:rsid w:val="00D439B7"/>
    <w:rsid w:val="00D64197"/>
    <w:rsid w:val="00D7696D"/>
    <w:rsid w:val="00D8351A"/>
    <w:rsid w:val="00D857DA"/>
    <w:rsid w:val="00D86DA0"/>
    <w:rsid w:val="00D87D60"/>
    <w:rsid w:val="00D96891"/>
    <w:rsid w:val="00D96A8D"/>
    <w:rsid w:val="00DA58DB"/>
    <w:rsid w:val="00DB00E8"/>
    <w:rsid w:val="00DB56E2"/>
    <w:rsid w:val="00DD38BD"/>
    <w:rsid w:val="00DE093E"/>
    <w:rsid w:val="00DE0E5B"/>
    <w:rsid w:val="00DE6EE6"/>
    <w:rsid w:val="00DF109E"/>
    <w:rsid w:val="00DF3FF6"/>
    <w:rsid w:val="00DF4AAB"/>
    <w:rsid w:val="00E35C40"/>
    <w:rsid w:val="00E41A44"/>
    <w:rsid w:val="00E44A54"/>
    <w:rsid w:val="00E67373"/>
    <w:rsid w:val="00E67EAD"/>
    <w:rsid w:val="00E7319F"/>
    <w:rsid w:val="00E819D2"/>
    <w:rsid w:val="00E84528"/>
    <w:rsid w:val="00E85135"/>
    <w:rsid w:val="00E93D0F"/>
    <w:rsid w:val="00E9528C"/>
    <w:rsid w:val="00E963F1"/>
    <w:rsid w:val="00EB31C0"/>
    <w:rsid w:val="00EB4E35"/>
    <w:rsid w:val="00EB7B51"/>
    <w:rsid w:val="00EC00F9"/>
    <w:rsid w:val="00ED2B0B"/>
    <w:rsid w:val="00ED49FB"/>
    <w:rsid w:val="00EE0838"/>
    <w:rsid w:val="00EE28EE"/>
    <w:rsid w:val="00F000BE"/>
    <w:rsid w:val="00F00B80"/>
    <w:rsid w:val="00F05B8C"/>
    <w:rsid w:val="00F079F5"/>
    <w:rsid w:val="00F11ACF"/>
    <w:rsid w:val="00F12AED"/>
    <w:rsid w:val="00F1687C"/>
    <w:rsid w:val="00F22BD9"/>
    <w:rsid w:val="00F25473"/>
    <w:rsid w:val="00F27937"/>
    <w:rsid w:val="00F317E5"/>
    <w:rsid w:val="00F3569C"/>
    <w:rsid w:val="00F362FA"/>
    <w:rsid w:val="00F42B02"/>
    <w:rsid w:val="00F4678B"/>
    <w:rsid w:val="00F517FE"/>
    <w:rsid w:val="00F52B9C"/>
    <w:rsid w:val="00F57B68"/>
    <w:rsid w:val="00F61657"/>
    <w:rsid w:val="00F62A3D"/>
    <w:rsid w:val="00F62E27"/>
    <w:rsid w:val="00F75EA1"/>
    <w:rsid w:val="00F84514"/>
    <w:rsid w:val="00F85A3B"/>
    <w:rsid w:val="00F86DE6"/>
    <w:rsid w:val="00F96ADC"/>
    <w:rsid w:val="00FA0D71"/>
    <w:rsid w:val="00FC18B0"/>
    <w:rsid w:val="00FC3476"/>
    <w:rsid w:val="00FC3CEC"/>
    <w:rsid w:val="00FC6F65"/>
    <w:rsid w:val="00FE5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14502"/>
  <w15:docId w15:val="{54006640-DE9B-4497-B9E1-6F963C59E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62FA"/>
    <w:pPr>
      <w:spacing w:after="0" w:line="240" w:lineRule="auto"/>
    </w:pPr>
  </w:style>
  <w:style w:type="paragraph" w:styleId="FootnoteText">
    <w:name w:val="footnote text"/>
    <w:basedOn w:val="Normal"/>
    <w:link w:val="FootnoteTextChar"/>
    <w:uiPriority w:val="99"/>
    <w:semiHidden/>
    <w:unhideWhenUsed/>
    <w:rsid w:val="00F362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2FA"/>
    <w:rPr>
      <w:sz w:val="20"/>
      <w:szCs w:val="20"/>
    </w:rPr>
  </w:style>
  <w:style w:type="character" w:styleId="FootnoteReference">
    <w:name w:val="footnote reference"/>
    <w:basedOn w:val="DefaultParagraphFont"/>
    <w:uiPriority w:val="99"/>
    <w:semiHidden/>
    <w:unhideWhenUsed/>
    <w:rsid w:val="00F362FA"/>
    <w:rPr>
      <w:vertAlign w:val="superscript"/>
    </w:rPr>
  </w:style>
  <w:style w:type="character" w:styleId="Hyperlink">
    <w:name w:val="Hyperlink"/>
    <w:basedOn w:val="DefaultParagraphFont"/>
    <w:uiPriority w:val="99"/>
    <w:unhideWhenUsed/>
    <w:rsid w:val="0051177E"/>
    <w:rPr>
      <w:color w:val="0000FF" w:themeColor="hyperlink"/>
      <w:u w:val="single"/>
    </w:rPr>
  </w:style>
  <w:style w:type="character" w:styleId="Emphasis">
    <w:name w:val="Emphasis"/>
    <w:basedOn w:val="DefaultParagraphFont"/>
    <w:uiPriority w:val="20"/>
    <w:qFormat/>
    <w:rsid w:val="007556B2"/>
    <w:rPr>
      <w:i/>
      <w:iCs/>
    </w:rPr>
  </w:style>
  <w:style w:type="paragraph" w:styleId="NormalWeb">
    <w:name w:val="Normal (Web)"/>
    <w:basedOn w:val="Normal"/>
    <w:uiPriority w:val="99"/>
    <w:semiHidden/>
    <w:unhideWhenUsed/>
    <w:rsid w:val="007556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74E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E85"/>
  </w:style>
  <w:style w:type="paragraph" w:styleId="Footer">
    <w:name w:val="footer"/>
    <w:basedOn w:val="Normal"/>
    <w:link w:val="FooterChar"/>
    <w:uiPriority w:val="99"/>
    <w:unhideWhenUsed/>
    <w:rsid w:val="00C74E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E85"/>
  </w:style>
  <w:style w:type="character" w:customStyle="1" w:styleId="affairetitle">
    <w:name w:val="affaire_title"/>
    <w:basedOn w:val="DefaultParagraphFont"/>
    <w:rsid w:val="00381982"/>
  </w:style>
  <w:style w:type="character" w:styleId="CommentReference">
    <w:name w:val="annotation reference"/>
    <w:basedOn w:val="DefaultParagraphFont"/>
    <w:uiPriority w:val="99"/>
    <w:semiHidden/>
    <w:unhideWhenUsed/>
    <w:rsid w:val="003067F8"/>
    <w:rPr>
      <w:sz w:val="16"/>
      <w:szCs w:val="16"/>
    </w:rPr>
  </w:style>
  <w:style w:type="paragraph" w:styleId="CommentText">
    <w:name w:val="annotation text"/>
    <w:basedOn w:val="Normal"/>
    <w:link w:val="CommentTextChar"/>
    <w:uiPriority w:val="99"/>
    <w:semiHidden/>
    <w:unhideWhenUsed/>
    <w:rsid w:val="003067F8"/>
    <w:pPr>
      <w:spacing w:line="240" w:lineRule="auto"/>
    </w:pPr>
    <w:rPr>
      <w:sz w:val="20"/>
      <w:szCs w:val="20"/>
    </w:rPr>
  </w:style>
  <w:style w:type="character" w:customStyle="1" w:styleId="CommentTextChar">
    <w:name w:val="Comment Text Char"/>
    <w:basedOn w:val="DefaultParagraphFont"/>
    <w:link w:val="CommentText"/>
    <w:uiPriority w:val="99"/>
    <w:semiHidden/>
    <w:rsid w:val="003067F8"/>
    <w:rPr>
      <w:sz w:val="20"/>
      <w:szCs w:val="20"/>
    </w:rPr>
  </w:style>
  <w:style w:type="paragraph" w:styleId="CommentSubject">
    <w:name w:val="annotation subject"/>
    <w:basedOn w:val="CommentText"/>
    <w:next w:val="CommentText"/>
    <w:link w:val="CommentSubjectChar"/>
    <w:uiPriority w:val="99"/>
    <w:semiHidden/>
    <w:unhideWhenUsed/>
    <w:rsid w:val="003067F8"/>
    <w:rPr>
      <w:b/>
      <w:bCs/>
    </w:rPr>
  </w:style>
  <w:style w:type="character" w:customStyle="1" w:styleId="CommentSubjectChar">
    <w:name w:val="Comment Subject Char"/>
    <w:basedOn w:val="CommentTextChar"/>
    <w:link w:val="CommentSubject"/>
    <w:uiPriority w:val="99"/>
    <w:semiHidden/>
    <w:rsid w:val="003067F8"/>
    <w:rPr>
      <w:b/>
      <w:bCs/>
      <w:sz w:val="20"/>
      <w:szCs w:val="20"/>
    </w:rPr>
  </w:style>
  <w:style w:type="paragraph" w:styleId="BalloonText">
    <w:name w:val="Balloon Text"/>
    <w:basedOn w:val="Normal"/>
    <w:link w:val="BalloonTextChar"/>
    <w:uiPriority w:val="99"/>
    <w:semiHidden/>
    <w:unhideWhenUsed/>
    <w:rsid w:val="00306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7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35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2B81D-A714-4D85-AC04-2F55B3102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10602</Words>
  <Characters>60433</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Reynolds, Stephanie</cp:lastModifiedBy>
  <cp:revision>3</cp:revision>
  <dcterms:created xsi:type="dcterms:W3CDTF">2016-05-17T15:01:00Z</dcterms:created>
  <dcterms:modified xsi:type="dcterms:W3CDTF">2016-05-17T15:01:00Z</dcterms:modified>
</cp:coreProperties>
</file>